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g"/>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settings.xml" ContentType="application/vnd.openxmlformats-officedocument.wordprocessingml.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customXml/itemProps6.xml" ContentType="application/vnd.openxmlformats-officedocument.customXmlProperties+xml"/>
  <Override PartName="/customXml/itemProps5.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46"/>
        <w:tblW w:w="5000" w:type="pct"/>
        <w:jc w:val="center"/>
        <w:tblLayout w:type="autofit"/>
        <w:tblCellMar>
          <w:top w:w="0" w:type="dxa"/>
          <w:left w:w="108" w:type="dxa"/>
          <w:bottom w:w="0" w:type="dxa"/>
          <w:right w:w="108" w:type="dxa"/>
        </w:tblCellMar>
      </w:tblPr>
      <w:tblGrid>
        <w:gridCol w:w="8730"/>
      </w:tblGrid>
      <w:tr w14:paraId="140F06AA">
        <w:tblPrEx>
          <w:tblCellMar>
            <w:top w:w="0" w:type="dxa"/>
            <w:left w:w="108" w:type="dxa"/>
            <w:bottom w:w="0" w:type="dxa"/>
            <w:right w:w="108" w:type="dxa"/>
          </w:tblCellMar>
        </w:tblPrEx>
        <w:trPr>
          <w:trHeight w:val="2149" w:hRule="atLeast"/>
          <w:jc w:val="center"/>
        </w:trPr>
        <w:tc>
          <w:tcPr>
            <w:tcW w:w="5000" w:type="pct"/>
          </w:tcPr>
          <w:p w14:paraId="50350AFE">
            <w:pPr>
              <w:rPr>
                <w:rFonts w:ascii="宋体" w:hAnsi="宋体"/>
                <w:b/>
                <w:snapToGrid w:val="0"/>
                <w:color w:val="auto"/>
                <w:kern w:val="0"/>
                <w:sz w:val="28"/>
                <w:szCs w:val="28"/>
              </w:rPr>
            </w:pPr>
            <w:r>
              <w:rPr>
                <w:rFonts w:hint="eastAsia" w:ascii="宋体" w:hAnsi="宋体"/>
                <w:b/>
                <w:snapToGrid w:val="0"/>
                <w:color w:val="auto"/>
                <w:kern w:val="0"/>
                <w:sz w:val="28"/>
                <w:szCs w:val="28"/>
              </w:rPr>
              <w:t>项目编号：LP环验字（202</w:t>
            </w:r>
            <w:r>
              <w:rPr>
                <w:rFonts w:ascii="宋体" w:hAnsi="宋体"/>
                <w:b/>
                <w:snapToGrid w:val="0"/>
                <w:color w:val="auto"/>
                <w:kern w:val="0"/>
                <w:sz w:val="28"/>
                <w:szCs w:val="28"/>
              </w:rPr>
              <w:t>6</w:t>
            </w:r>
            <w:r>
              <w:rPr>
                <w:rFonts w:hint="eastAsia" w:ascii="宋体" w:hAnsi="宋体"/>
                <w:b/>
                <w:snapToGrid w:val="0"/>
                <w:color w:val="auto"/>
                <w:kern w:val="0"/>
                <w:sz w:val="28"/>
                <w:szCs w:val="28"/>
              </w:rPr>
              <w:t>）00</w:t>
            </w:r>
            <w:r>
              <w:rPr>
                <w:rFonts w:ascii="宋体" w:hAnsi="宋体"/>
                <w:b/>
                <w:snapToGrid w:val="0"/>
                <w:color w:val="auto"/>
                <w:kern w:val="0"/>
                <w:sz w:val="28"/>
                <w:szCs w:val="28"/>
              </w:rPr>
              <w:t>7</w:t>
            </w:r>
          </w:p>
        </w:tc>
      </w:tr>
      <w:tr w14:paraId="2A2991C5">
        <w:tblPrEx>
          <w:tblCellMar>
            <w:top w:w="0" w:type="dxa"/>
            <w:left w:w="108" w:type="dxa"/>
            <w:bottom w:w="0" w:type="dxa"/>
            <w:right w:w="108" w:type="dxa"/>
          </w:tblCellMar>
        </w:tblPrEx>
        <w:trPr>
          <w:trHeight w:val="1275" w:hRule="atLeast"/>
          <w:jc w:val="center"/>
        </w:trPr>
        <w:tc>
          <w:tcPr>
            <w:tcW w:w="5000" w:type="pct"/>
          </w:tcPr>
          <w:p w14:paraId="4F5109D7">
            <w:pPr>
              <w:spacing w:line="360" w:lineRule="auto"/>
              <w:jc w:val="center"/>
              <w:rPr>
                <w:rFonts w:ascii="宋体" w:hAnsi="宋体"/>
                <w:b/>
                <w:color w:val="auto"/>
                <w:sz w:val="48"/>
                <w:szCs w:val="48"/>
              </w:rPr>
            </w:pPr>
            <w:bookmarkStart w:id="0" w:name="OLE_LINK70"/>
            <w:bookmarkStart w:id="1" w:name="OLE_LINK73"/>
            <w:r>
              <w:rPr>
                <w:rFonts w:hint="eastAsia" w:ascii="宋体" w:hAnsi="宋体"/>
                <w:b/>
                <w:color w:val="auto"/>
                <w:sz w:val="48"/>
                <w:szCs w:val="48"/>
              </w:rPr>
              <w:t>大芦湖油田产能建设项目（2023-2025年）（一期）</w:t>
            </w:r>
          </w:p>
          <w:p w14:paraId="15F8EFA1">
            <w:pPr>
              <w:spacing w:line="360" w:lineRule="auto"/>
              <w:jc w:val="center"/>
              <w:rPr>
                <w:rFonts w:ascii="宋体" w:hAnsi="宋体"/>
                <w:b/>
                <w:color w:val="auto"/>
                <w:sz w:val="48"/>
                <w:szCs w:val="48"/>
              </w:rPr>
            </w:pPr>
            <w:r>
              <w:rPr>
                <w:rFonts w:ascii="宋体" w:hAnsi="宋体"/>
                <w:b/>
                <w:color w:val="auto"/>
                <w:sz w:val="48"/>
                <w:szCs w:val="48"/>
              </w:rPr>
              <w:t>竣工环境保护</w:t>
            </w:r>
            <w:r>
              <w:rPr>
                <w:rFonts w:hint="eastAsia" w:ascii="宋体" w:hAnsi="宋体"/>
                <w:b/>
                <w:color w:val="auto"/>
                <w:sz w:val="48"/>
                <w:szCs w:val="48"/>
              </w:rPr>
              <w:t>验收</w:t>
            </w:r>
            <w:bookmarkEnd w:id="0"/>
            <w:bookmarkEnd w:id="1"/>
            <w:r>
              <w:rPr>
                <w:rFonts w:hint="eastAsia" w:ascii="宋体" w:hAnsi="宋体"/>
                <w:b/>
                <w:color w:val="auto"/>
                <w:sz w:val="48"/>
                <w:szCs w:val="48"/>
              </w:rPr>
              <w:t>调查报告</w:t>
            </w:r>
          </w:p>
          <w:p w14:paraId="22C73EEE">
            <w:pPr>
              <w:spacing w:line="360" w:lineRule="auto"/>
              <w:jc w:val="center"/>
              <w:rPr>
                <w:rFonts w:ascii="宋体" w:hAnsi="宋体"/>
                <w:b/>
                <w:snapToGrid w:val="0"/>
                <w:color w:val="auto"/>
                <w:kern w:val="0"/>
                <w:sz w:val="40"/>
                <w:szCs w:val="40"/>
              </w:rPr>
            </w:pPr>
          </w:p>
        </w:tc>
      </w:tr>
    </w:tbl>
    <w:p w14:paraId="0836E0F2">
      <w:pPr>
        <w:snapToGrid w:val="0"/>
        <w:spacing w:line="360" w:lineRule="auto"/>
        <w:jc w:val="center"/>
        <w:rPr>
          <w:rFonts w:ascii="宋体" w:hAnsi="宋体"/>
          <w:b/>
          <w:color w:val="auto"/>
        </w:rPr>
      </w:pPr>
    </w:p>
    <w:p w14:paraId="2BFB8CD3">
      <w:pPr>
        <w:snapToGrid w:val="0"/>
        <w:spacing w:line="360" w:lineRule="auto"/>
        <w:jc w:val="center"/>
        <w:rPr>
          <w:rFonts w:ascii="宋体" w:hAnsi="宋体"/>
          <w:b/>
          <w:color w:val="auto"/>
        </w:rPr>
      </w:pPr>
    </w:p>
    <w:p w14:paraId="2AF7B53E">
      <w:pPr>
        <w:snapToGrid w:val="0"/>
        <w:spacing w:line="360" w:lineRule="auto"/>
        <w:jc w:val="center"/>
        <w:rPr>
          <w:rFonts w:ascii="宋体" w:hAnsi="宋体"/>
          <w:b/>
          <w:color w:val="auto"/>
        </w:rPr>
      </w:pPr>
    </w:p>
    <w:p w14:paraId="23924C8E">
      <w:pPr>
        <w:snapToGrid w:val="0"/>
        <w:spacing w:line="360" w:lineRule="auto"/>
        <w:jc w:val="center"/>
        <w:rPr>
          <w:rFonts w:ascii="宋体" w:hAnsi="宋体"/>
          <w:b/>
          <w:color w:val="auto"/>
        </w:rPr>
      </w:pPr>
    </w:p>
    <w:p w14:paraId="7AD8E497">
      <w:pPr>
        <w:snapToGrid w:val="0"/>
        <w:spacing w:line="360" w:lineRule="auto"/>
        <w:jc w:val="center"/>
        <w:rPr>
          <w:rFonts w:ascii="宋体" w:hAnsi="宋体"/>
          <w:b/>
          <w:color w:val="auto"/>
        </w:rPr>
      </w:pPr>
    </w:p>
    <w:p w14:paraId="1C0A1807">
      <w:pPr>
        <w:snapToGrid w:val="0"/>
        <w:spacing w:line="360" w:lineRule="auto"/>
        <w:jc w:val="center"/>
        <w:rPr>
          <w:rFonts w:ascii="宋体" w:hAnsi="宋体"/>
          <w:b/>
          <w:color w:val="auto"/>
        </w:rPr>
      </w:pPr>
    </w:p>
    <w:p w14:paraId="6847B2B4">
      <w:pPr>
        <w:snapToGrid w:val="0"/>
        <w:spacing w:line="360" w:lineRule="auto"/>
        <w:jc w:val="center"/>
        <w:rPr>
          <w:rFonts w:ascii="宋体" w:hAnsi="宋体"/>
          <w:b/>
          <w:color w:val="auto"/>
        </w:rPr>
      </w:pPr>
    </w:p>
    <w:p w14:paraId="0AD6EB20">
      <w:pPr>
        <w:snapToGrid w:val="0"/>
        <w:spacing w:line="360" w:lineRule="auto"/>
        <w:jc w:val="center"/>
        <w:rPr>
          <w:rFonts w:ascii="宋体" w:hAnsi="宋体"/>
          <w:b/>
          <w:color w:val="auto"/>
        </w:rPr>
      </w:pPr>
    </w:p>
    <w:p w14:paraId="25AAA934">
      <w:pPr>
        <w:snapToGrid w:val="0"/>
        <w:spacing w:line="360" w:lineRule="auto"/>
        <w:jc w:val="center"/>
        <w:rPr>
          <w:rFonts w:ascii="宋体" w:hAnsi="宋体"/>
          <w:b/>
          <w:color w:val="auto"/>
        </w:rPr>
      </w:pPr>
    </w:p>
    <w:p w14:paraId="6E4E374B">
      <w:pPr>
        <w:snapToGrid w:val="0"/>
        <w:spacing w:line="360" w:lineRule="auto"/>
        <w:jc w:val="center"/>
        <w:rPr>
          <w:rFonts w:ascii="宋体" w:hAnsi="宋体"/>
          <w:b/>
          <w:color w:val="auto"/>
        </w:rPr>
      </w:pPr>
    </w:p>
    <w:p w14:paraId="001EAC8A">
      <w:pPr>
        <w:snapToGrid w:val="0"/>
        <w:spacing w:line="360" w:lineRule="auto"/>
        <w:jc w:val="center"/>
        <w:rPr>
          <w:rFonts w:ascii="宋体" w:hAnsi="宋体"/>
          <w:b/>
          <w:color w:val="auto"/>
        </w:rPr>
      </w:pPr>
    </w:p>
    <w:tbl>
      <w:tblPr>
        <w:tblStyle w:val="46"/>
        <w:tblW w:w="5000" w:type="pct"/>
        <w:jc w:val="center"/>
        <w:tblLayout w:type="fixed"/>
        <w:tblCellMar>
          <w:top w:w="0" w:type="dxa"/>
          <w:left w:w="0" w:type="dxa"/>
          <w:bottom w:w="0" w:type="dxa"/>
          <w:right w:w="0" w:type="dxa"/>
        </w:tblCellMar>
      </w:tblPr>
      <w:tblGrid>
        <w:gridCol w:w="2407"/>
        <w:gridCol w:w="203"/>
        <w:gridCol w:w="5771"/>
        <w:gridCol w:w="349"/>
      </w:tblGrid>
      <w:tr w14:paraId="163544AF">
        <w:tblPrEx>
          <w:tblCellMar>
            <w:top w:w="0" w:type="dxa"/>
            <w:left w:w="0" w:type="dxa"/>
            <w:bottom w:w="0" w:type="dxa"/>
            <w:right w:w="0" w:type="dxa"/>
          </w:tblCellMar>
        </w:tblPrEx>
        <w:trPr>
          <w:gridAfter w:val="1"/>
          <w:wAfter w:w="199" w:type="pct"/>
          <w:trHeight w:val="723" w:hRule="atLeast"/>
          <w:jc w:val="center"/>
        </w:trPr>
        <w:tc>
          <w:tcPr>
            <w:tcW w:w="1379" w:type="pct"/>
          </w:tcPr>
          <w:p w14:paraId="1344A788">
            <w:pPr>
              <w:pStyle w:val="270"/>
              <w:widowControl w:val="0"/>
              <w:tabs>
                <w:tab w:val="left" w:pos="0"/>
                <w:tab w:val="clear" w:pos="377"/>
              </w:tabs>
              <w:adjustRightInd w:val="0"/>
              <w:snapToGrid w:val="0"/>
              <w:spacing w:line="240" w:lineRule="auto"/>
              <w:jc w:val="distribute"/>
              <w:rPr>
                <w:rFonts w:hAnsi="宋体"/>
                <w:snapToGrid w:val="0"/>
                <w:color w:val="auto"/>
                <w:spacing w:val="-20"/>
                <w:sz w:val="28"/>
                <w:szCs w:val="28"/>
              </w:rPr>
            </w:pPr>
            <w:r>
              <w:rPr>
                <w:rFonts w:hint="eastAsia" w:hAnsi="宋体"/>
                <w:snapToGrid w:val="0"/>
                <w:color w:val="auto"/>
                <w:spacing w:val="-20"/>
                <w:sz w:val="28"/>
                <w:szCs w:val="28"/>
              </w:rPr>
              <w:t>建设单位（</w:t>
            </w:r>
            <w:r>
              <w:rPr>
                <w:rFonts w:hAnsi="宋体"/>
                <w:snapToGrid w:val="0"/>
                <w:color w:val="auto"/>
                <w:spacing w:val="-20"/>
                <w:sz w:val="28"/>
                <w:szCs w:val="28"/>
              </w:rPr>
              <w:t>盖章）</w:t>
            </w:r>
          </w:p>
        </w:tc>
        <w:tc>
          <w:tcPr>
            <w:tcW w:w="116" w:type="pct"/>
          </w:tcPr>
          <w:p w14:paraId="1F101C2A">
            <w:pPr>
              <w:pStyle w:val="270"/>
              <w:widowControl w:val="0"/>
              <w:tabs>
                <w:tab w:val="left" w:pos="0"/>
                <w:tab w:val="clear" w:pos="377"/>
              </w:tabs>
              <w:adjustRightInd w:val="0"/>
              <w:snapToGrid w:val="0"/>
              <w:spacing w:line="240" w:lineRule="auto"/>
              <w:jc w:val="both"/>
              <w:rPr>
                <w:rFonts w:hAnsi="宋体"/>
                <w:b w:val="0"/>
                <w:snapToGrid w:val="0"/>
                <w:color w:val="auto"/>
                <w:kern w:val="2"/>
                <w:sz w:val="28"/>
                <w:szCs w:val="28"/>
              </w:rPr>
            </w:pPr>
            <w:r>
              <w:rPr>
                <w:rFonts w:hint="eastAsia" w:hAnsi="宋体"/>
                <w:color w:val="auto"/>
                <w:sz w:val="28"/>
                <w:szCs w:val="28"/>
              </w:rPr>
              <w:t>：</w:t>
            </w:r>
          </w:p>
        </w:tc>
        <w:tc>
          <w:tcPr>
            <w:tcW w:w="3304" w:type="pct"/>
          </w:tcPr>
          <w:p w14:paraId="11B231B2">
            <w:pPr>
              <w:tabs>
                <w:tab w:val="left" w:pos="2340"/>
              </w:tabs>
              <w:adjustRightInd w:val="0"/>
              <w:snapToGrid w:val="0"/>
              <w:rPr>
                <w:rFonts w:ascii="宋体" w:hAnsi="宋体"/>
                <w:b/>
                <w:color w:val="auto"/>
                <w:sz w:val="28"/>
                <w:szCs w:val="28"/>
                <w:u w:val="single"/>
              </w:rPr>
            </w:pPr>
            <w:bookmarkStart w:id="2" w:name="OLE_LINK7"/>
            <w:r>
              <w:rPr>
                <w:rFonts w:hint="eastAsia" w:ascii="宋体" w:hAnsi="宋体"/>
                <w:b/>
                <w:color w:val="auto"/>
                <w:sz w:val="28"/>
                <w:szCs w:val="28"/>
                <w:u w:val="single"/>
              </w:rPr>
              <w:t>胜利油田高青石油开发有限责任公司</w:t>
            </w:r>
            <w:bookmarkEnd w:id="2"/>
            <w:r>
              <w:rPr>
                <w:rFonts w:hint="eastAsia" w:ascii="宋体" w:hAnsi="宋体"/>
                <w:b/>
                <w:color w:val="auto"/>
                <w:sz w:val="28"/>
                <w:szCs w:val="28"/>
                <w:u w:val="single"/>
              </w:rPr>
              <w:t xml:space="preserve">                           </w:t>
            </w:r>
          </w:p>
        </w:tc>
      </w:tr>
      <w:tr w14:paraId="4B890436">
        <w:tblPrEx>
          <w:tblCellMar>
            <w:top w:w="0" w:type="dxa"/>
            <w:left w:w="0" w:type="dxa"/>
            <w:bottom w:w="0" w:type="dxa"/>
            <w:right w:w="0" w:type="dxa"/>
          </w:tblCellMar>
        </w:tblPrEx>
        <w:trPr>
          <w:trHeight w:val="78" w:hRule="atLeast"/>
          <w:jc w:val="center"/>
        </w:trPr>
        <w:tc>
          <w:tcPr>
            <w:tcW w:w="1379" w:type="pct"/>
          </w:tcPr>
          <w:p w14:paraId="61D34E4C">
            <w:pPr>
              <w:pStyle w:val="270"/>
              <w:widowControl w:val="0"/>
              <w:tabs>
                <w:tab w:val="left" w:pos="0"/>
                <w:tab w:val="clear" w:pos="377"/>
              </w:tabs>
              <w:adjustRightInd w:val="0"/>
              <w:snapToGrid w:val="0"/>
              <w:spacing w:line="240" w:lineRule="auto"/>
              <w:jc w:val="distribute"/>
              <w:rPr>
                <w:rFonts w:hAnsi="宋体"/>
                <w:snapToGrid w:val="0"/>
                <w:color w:val="auto"/>
                <w:spacing w:val="-20"/>
                <w:sz w:val="28"/>
                <w:szCs w:val="28"/>
              </w:rPr>
            </w:pPr>
            <w:r>
              <w:rPr>
                <w:rFonts w:hint="eastAsia" w:hAnsi="宋体"/>
                <w:snapToGrid w:val="0"/>
                <w:color w:val="auto"/>
                <w:spacing w:val="-20"/>
                <w:sz w:val="28"/>
                <w:szCs w:val="28"/>
              </w:rPr>
              <w:t>编制技术</w:t>
            </w:r>
            <w:r>
              <w:rPr>
                <w:rFonts w:hAnsi="宋体"/>
                <w:snapToGrid w:val="0"/>
                <w:color w:val="auto"/>
                <w:spacing w:val="-20"/>
                <w:sz w:val="28"/>
                <w:szCs w:val="28"/>
              </w:rPr>
              <w:t>机构</w:t>
            </w:r>
            <w:r>
              <w:rPr>
                <w:rFonts w:hint="eastAsia" w:hAnsi="宋体"/>
                <w:snapToGrid w:val="0"/>
                <w:color w:val="auto"/>
                <w:spacing w:val="-20"/>
                <w:sz w:val="28"/>
                <w:szCs w:val="28"/>
              </w:rPr>
              <w:t>（</w:t>
            </w:r>
            <w:r>
              <w:rPr>
                <w:rFonts w:hAnsi="宋体"/>
                <w:snapToGrid w:val="0"/>
                <w:color w:val="auto"/>
                <w:spacing w:val="-20"/>
                <w:sz w:val="28"/>
                <w:szCs w:val="28"/>
              </w:rPr>
              <w:t>盖章）</w:t>
            </w:r>
          </w:p>
        </w:tc>
        <w:tc>
          <w:tcPr>
            <w:tcW w:w="116" w:type="pct"/>
          </w:tcPr>
          <w:p w14:paraId="7E9A2FAA">
            <w:pPr>
              <w:pStyle w:val="270"/>
              <w:widowControl w:val="0"/>
              <w:tabs>
                <w:tab w:val="left" w:pos="0"/>
                <w:tab w:val="clear" w:pos="377"/>
              </w:tabs>
              <w:adjustRightInd w:val="0"/>
              <w:snapToGrid w:val="0"/>
              <w:spacing w:line="240" w:lineRule="auto"/>
              <w:jc w:val="both"/>
              <w:rPr>
                <w:rFonts w:hAnsi="宋体"/>
                <w:color w:val="auto"/>
                <w:sz w:val="28"/>
                <w:szCs w:val="28"/>
              </w:rPr>
            </w:pPr>
            <w:r>
              <w:rPr>
                <w:rFonts w:hint="eastAsia" w:hAnsi="宋体"/>
                <w:color w:val="auto"/>
                <w:sz w:val="28"/>
                <w:szCs w:val="28"/>
              </w:rPr>
              <w:t>：</w:t>
            </w:r>
          </w:p>
        </w:tc>
        <w:tc>
          <w:tcPr>
            <w:tcW w:w="3504" w:type="pct"/>
            <w:gridSpan w:val="2"/>
          </w:tcPr>
          <w:p w14:paraId="710BB1FD">
            <w:pPr>
              <w:tabs>
                <w:tab w:val="left" w:pos="2340"/>
              </w:tabs>
              <w:adjustRightInd w:val="0"/>
              <w:snapToGrid w:val="0"/>
              <w:rPr>
                <w:rFonts w:ascii="宋体" w:hAnsi="宋体"/>
                <w:b/>
                <w:color w:val="auto"/>
                <w:sz w:val="28"/>
                <w:szCs w:val="28"/>
                <w:u w:val="single"/>
              </w:rPr>
            </w:pPr>
            <w:r>
              <w:rPr>
                <w:rFonts w:hint="eastAsia" w:ascii="宋体" w:hAnsi="宋体"/>
                <w:b/>
                <w:color w:val="auto"/>
                <w:sz w:val="28"/>
                <w:szCs w:val="28"/>
                <w:u w:val="single"/>
              </w:rPr>
              <w:t xml:space="preserve">山东蓝普检测技术有限公司 </w:t>
            </w:r>
            <w:r>
              <w:rPr>
                <w:rFonts w:ascii="宋体" w:hAnsi="宋体"/>
                <w:b/>
                <w:color w:val="auto"/>
                <w:sz w:val="28"/>
                <w:szCs w:val="28"/>
                <w:u w:val="single"/>
              </w:rPr>
              <w:t xml:space="preserve">       </w:t>
            </w:r>
            <w:r>
              <w:rPr>
                <w:rFonts w:hint="eastAsia" w:ascii="宋体" w:hAnsi="宋体"/>
                <w:b/>
                <w:color w:val="auto"/>
                <w:sz w:val="28"/>
                <w:szCs w:val="28"/>
                <w:u w:val="single"/>
              </w:rPr>
              <w:t xml:space="preserve">              </w:t>
            </w:r>
          </w:p>
        </w:tc>
      </w:tr>
    </w:tbl>
    <w:p w14:paraId="2724C439">
      <w:pPr>
        <w:snapToGrid w:val="0"/>
        <w:spacing w:line="360" w:lineRule="auto"/>
        <w:jc w:val="center"/>
        <w:rPr>
          <w:rFonts w:ascii="宋体" w:hAnsi="宋体"/>
          <w:b/>
          <w:color w:val="auto"/>
        </w:rPr>
      </w:pPr>
    </w:p>
    <w:p w14:paraId="4275F3E0">
      <w:pPr>
        <w:snapToGrid w:val="0"/>
        <w:spacing w:line="360" w:lineRule="auto"/>
        <w:rPr>
          <w:rFonts w:ascii="宋体" w:hAnsi="宋体"/>
          <w:b/>
          <w:color w:val="auto"/>
        </w:rPr>
      </w:pPr>
    </w:p>
    <w:p w14:paraId="432B8795">
      <w:pPr>
        <w:snapToGrid w:val="0"/>
        <w:spacing w:line="360" w:lineRule="auto"/>
        <w:jc w:val="center"/>
        <w:rPr>
          <w:rFonts w:ascii="宋体" w:hAnsi="宋体"/>
          <w:b/>
          <w:color w:val="auto"/>
        </w:rPr>
      </w:pPr>
    </w:p>
    <w:tbl>
      <w:tblPr>
        <w:tblStyle w:val="46"/>
        <w:tblW w:w="5000" w:type="pct"/>
        <w:jc w:val="center"/>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8730"/>
      </w:tblGrid>
      <w:tr w14:paraId="3DAF72F1">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5000" w:type="pct"/>
          </w:tcPr>
          <w:p w14:paraId="49AD819A">
            <w:pPr>
              <w:adjustRightInd w:val="0"/>
              <w:snapToGrid w:val="0"/>
              <w:spacing w:line="360" w:lineRule="auto"/>
              <w:jc w:val="center"/>
              <w:rPr>
                <w:rFonts w:ascii="宋体" w:hAnsi="宋体"/>
                <w:b/>
                <w:snapToGrid w:val="0"/>
                <w:color w:val="auto"/>
                <w:kern w:val="0"/>
                <w:sz w:val="28"/>
                <w:szCs w:val="28"/>
              </w:rPr>
            </w:pPr>
            <w:r>
              <w:rPr>
                <w:rFonts w:hint="eastAsia" w:ascii="宋体" w:hAnsi="宋体"/>
                <w:b/>
                <w:snapToGrid w:val="0"/>
                <w:color w:val="auto"/>
                <w:kern w:val="0"/>
                <w:sz w:val="28"/>
                <w:szCs w:val="28"/>
              </w:rPr>
              <w:t>编制时间</w:t>
            </w:r>
            <w:r>
              <w:rPr>
                <w:rFonts w:ascii="宋体" w:hAnsi="宋体"/>
                <w:b/>
                <w:snapToGrid w:val="0"/>
                <w:color w:val="auto"/>
                <w:kern w:val="0"/>
                <w:sz w:val="28"/>
                <w:szCs w:val="28"/>
              </w:rPr>
              <w:t>：</w:t>
            </w:r>
            <w:r>
              <w:rPr>
                <w:rFonts w:hint="eastAsia" w:ascii="宋体" w:hAnsi="宋体"/>
                <w:b/>
                <w:snapToGrid w:val="0"/>
                <w:color w:val="auto"/>
                <w:kern w:val="0"/>
                <w:sz w:val="28"/>
                <w:szCs w:val="28"/>
              </w:rPr>
              <w:t>二〇</w:t>
            </w:r>
            <w:r>
              <w:rPr>
                <w:rFonts w:ascii="宋体" w:hAnsi="宋体"/>
                <w:b/>
                <w:snapToGrid w:val="0"/>
                <w:color w:val="auto"/>
                <w:kern w:val="0"/>
                <w:sz w:val="28"/>
                <w:szCs w:val="28"/>
              </w:rPr>
              <w:t>二</w:t>
            </w:r>
            <w:r>
              <w:rPr>
                <w:rFonts w:hint="eastAsia" w:ascii="宋体" w:hAnsi="宋体"/>
                <w:b/>
                <w:snapToGrid w:val="0"/>
                <w:color w:val="auto"/>
                <w:kern w:val="0"/>
                <w:sz w:val="28"/>
                <w:szCs w:val="28"/>
              </w:rPr>
              <w:t>六</w:t>
            </w:r>
            <w:r>
              <w:rPr>
                <w:rFonts w:ascii="宋体" w:hAnsi="宋体"/>
                <w:b/>
                <w:snapToGrid w:val="0"/>
                <w:color w:val="auto"/>
                <w:kern w:val="0"/>
                <w:sz w:val="28"/>
                <w:szCs w:val="28"/>
              </w:rPr>
              <w:t>年</w:t>
            </w:r>
            <w:r>
              <w:rPr>
                <w:rFonts w:hint="eastAsia" w:ascii="宋体" w:hAnsi="宋体"/>
                <w:b/>
                <w:snapToGrid w:val="0"/>
                <w:color w:val="auto"/>
                <w:kern w:val="0"/>
                <w:sz w:val="28"/>
                <w:szCs w:val="28"/>
              </w:rPr>
              <w:t>五月</w:t>
            </w:r>
          </w:p>
        </w:tc>
      </w:tr>
    </w:tbl>
    <w:p w14:paraId="2BCC2F26">
      <w:pPr>
        <w:spacing w:line="300" w:lineRule="auto"/>
        <w:rPr>
          <w:rFonts w:ascii="宋体" w:hAnsi="宋体"/>
          <w:color w:val="auto"/>
          <w:sz w:val="48"/>
          <w:szCs w:val="48"/>
        </w:rPr>
        <w:sectPr>
          <w:footerReference r:id="rId4" w:type="default"/>
          <w:headerReference r:id="rId3" w:type="even"/>
          <w:pgSz w:w="11906" w:h="16838"/>
          <w:pgMar w:top="1418" w:right="1588" w:bottom="1418" w:left="1588" w:header="1134" w:footer="851" w:gutter="0"/>
          <w:pgNumType w:fmt="upperLetter" w:start="1"/>
          <w:cols w:space="720" w:num="1"/>
          <w:docGrid w:linePitch="312" w:charSpace="0"/>
        </w:sectPr>
      </w:pPr>
    </w:p>
    <w:p w14:paraId="0B2687FE">
      <w:pPr>
        <w:spacing w:line="300" w:lineRule="auto"/>
        <w:jc w:val="center"/>
        <w:rPr>
          <w:rFonts w:ascii="宋体" w:hAnsi="宋体"/>
          <w:color w:val="auto"/>
          <w:sz w:val="48"/>
          <w:szCs w:val="48"/>
        </w:rPr>
        <w:sectPr>
          <w:pgSz w:w="11906" w:h="16838"/>
          <w:pgMar w:top="1418" w:right="1588" w:bottom="1418" w:left="1588" w:header="1134" w:footer="851" w:gutter="0"/>
          <w:pgNumType w:fmt="upperLetter" w:start="1"/>
          <w:cols w:space="720" w:num="1"/>
          <w:docGrid w:linePitch="312" w:charSpace="0"/>
        </w:sectPr>
      </w:pPr>
    </w:p>
    <w:tbl>
      <w:tblPr>
        <w:tblStyle w:val="46"/>
        <w:tblW w:w="5000" w:type="pct"/>
        <w:jc w:val="center"/>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8730"/>
      </w:tblGrid>
      <w:tr w14:paraId="10E65D2B">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1557" w:hRule="atLeast"/>
          <w:jc w:val="center"/>
        </w:trPr>
        <w:tc>
          <w:tcPr>
            <w:tcW w:w="5000" w:type="pct"/>
          </w:tcPr>
          <w:p w14:paraId="667187EA">
            <w:pPr>
              <w:spacing w:line="300" w:lineRule="auto"/>
              <w:jc w:val="center"/>
              <w:rPr>
                <w:rFonts w:ascii="宋体" w:hAnsi="宋体"/>
                <w:color w:val="auto"/>
                <w:sz w:val="48"/>
                <w:szCs w:val="48"/>
              </w:rPr>
            </w:pPr>
          </w:p>
          <w:p w14:paraId="5E717140">
            <w:pPr>
              <w:widowControl/>
              <w:spacing w:line="360" w:lineRule="auto"/>
              <w:jc w:val="center"/>
              <w:rPr>
                <w:rFonts w:ascii="黑体" w:hAnsi="黑体" w:eastAsia="黑体" w:cs="宋体"/>
                <w:b/>
                <w:color w:val="auto"/>
                <w:kern w:val="0"/>
                <w:sz w:val="48"/>
                <w:szCs w:val="48"/>
              </w:rPr>
            </w:pPr>
            <w:r>
              <w:rPr>
                <w:rFonts w:hint="eastAsia" w:ascii="黑体" w:hAnsi="黑体" w:eastAsia="黑体" w:cs="宋体"/>
                <w:b/>
                <w:color w:val="auto"/>
                <w:kern w:val="0"/>
                <w:sz w:val="48"/>
                <w:szCs w:val="48"/>
              </w:rPr>
              <w:t>大芦湖油田产能建设项目（2023-2025年）（一期）</w:t>
            </w:r>
          </w:p>
          <w:p w14:paraId="20700A24">
            <w:pPr>
              <w:widowControl/>
              <w:spacing w:line="360" w:lineRule="auto"/>
              <w:jc w:val="center"/>
              <w:rPr>
                <w:rFonts w:ascii="宋体" w:hAnsi="宋体"/>
                <w:b/>
                <w:snapToGrid w:val="0"/>
                <w:color w:val="auto"/>
                <w:kern w:val="0"/>
                <w:sz w:val="28"/>
                <w:szCs w:val="28"/>
              </w:rPr>
            </w:pPr>
            <w:r>
              <w:rPr>
                <w:rFonts w:hint="eastAsia" w:ascii="黑体" w:hAnsi="黑体" w:eastAsia="黑体" w:cs="宋体"/>
                <w:color w:val="auto"/>
                <w:kern w:val="0"/>
                <w:sz w:val="48"/>
                <w:szCs w:val="48"/>
              </w:rPr>
              <w:t>竣工环境保护设施验收调查报告</w:t>
            </w:r>
          </w:p>
        </w:tc>
      </w:tr>
    </w:tbl>
    <w:p w14:paraId="1D3B5D43">
      <w:pPr>
        <w:snapToGrid w:val="0"/>
        <w:spacing w:line="360" w:lineRule="auto"/>
        <w:jc w:val="center"/>
        <w:rPr>
          <w:rFonts w:ascii="宋体" w:hAnsi="宋体"/>
          <w:b/>
          <w:color w:val="auto"/>
        </w:rPr>
      </w:pPr>
    </w:p>
    <w:p w14:paraId="13374576">
      <w:pPr>
        <w:snapToGrid w:val="0"/>
        <w:spacing w:line="360" w:lineRule="auto"/>
        <w:jc w:val="center"/>
        <w:rPr>
          <w:rFonts w:ascii="宋体" w:hAnsi="宋体"/>
          <w:b/>
          <w:color w:val="auto"/>
        </w:rPr>
      </w:pPr>
    </w:p>
    <w:tbl>
      <w:tblPr>
        <w:tblStyle w:val="46"/>
        <w:tblW w:w="5081" w:type="pct"/>
        <w:jc w:val="center"/>
        <w:tblLayout w:type="fixed"/>
        <w:tblCellMar>
          <w:top w:w="0" w:type="dxa"/>
          <w:left w:w="0" w:type="dxa"/>
          <w:bottom w:w="0" w:type="dxa"/>
          <w:right w:w="0" w:type="dxa"/>
        </w:tblCellMar>
      </w:tblPr>
      <w:tblGrid>
        <w:gridCol w:w="1985"/>
        <w:gridCol w:w="142"/>
        <w:gridCol w:w="2553"/>
        <w:gridCol w:w="852"/>
        <w:gridCol w:w="286"/>
        <w:gridCol w:w="3053"/>
      </w:tblGrid>
      <w:tr w14:paraId="0412E13E">
        <w:tblPrEx>
          <w:tblCellMar>
            <w:top w:w="0" w:type="dxa"/>
            <w:left w:w="0" w:type="dxa"/>
            <w:bottom w:w="0" w:type="dxa"/>
            <w:right w:w="0" w:type="dxa"/>
          </w:tblCellMar>
        </w:tblPrEx>
        <w:trPr>
          <w:trHeight w:val="567" w:hRule="exact"/>
          <w:jc w:val="center"/>
        </w:trPr>
        <w:tc>
          <w:tcPr>
            <w:tcW w:w="1119" w:type="pct"/>
            <w:tcFitText/>
          </w:tcPr>
          <w:p w14:paraId="497A5718">
            <w:pPr>
              <w:tabs>
                <w:tab w:val="left" w:pos="2340"/>
              </w:tabs>
              <w:adjustRightInd w:val="0"/>
              <w:snapToGrid w:val="0"/>
              <w:rPr>
                <w:rFonts w:ascii="宋体" w:hAnsi="宋体"/>
                <w:b/>
                <w:color w:val="auto"/>
                <w:spacing w:val="34"/>
                <w:kern w:val="0"/>
                <w:sz w:val="28"/>
                <w:szCs w:val="28"/>
              </w:rPr>
            </w:pPr>
            <w:r>
              <w:rPr>
                <w:rFonts w:hint="eastAsia" w:ascii="宋体" w:hAnsi="宋体"/>
                <w:b/>
                <w:color w:val="auto"/>
                <w:spacing w:val="1"/>
                <w:w w:val="87"/>
                <w:kern w:val="0"/>
                <w:sz w:val="28"/>
              </w:rPr>
              <w:t>建设单位法人代</w:t>
            </w:r>
            <w:r>
              <w:rPr>
                <w:rFonts w:hint="eastAsia" w:ascii="宋体" w:hAnsi="宋体"/>
                <w:b/>
                <w:color w:val="auto"/>
                <w:w w:val="87"/>
                <w:kern w:val="0"/>
                <w:sz w:val="28"/>
              </w:rPr>
              <w:t>表</w:t>
            </w:r>
          </w:p>
        </w:tc>
        <w:tc>
          <w:tcPr>
            <w:tcW w:w="80" w:type="pct"/>
          </w:tcPr>
          <w:p w14:paraId="4CA9BE08">
            <w:pPr>
              <w:tabs>
                <w:tab w:val="left" w:pos="2340"/>
              </w:tabs>
              <w:adjustRightInd w:val="0"/>
              <w:snapToGrid w:val="0"/>
              <w:rPr>
                <w:rFonts w:ascii="宋体" w:hAnsi="宋体"/>
                <w:b/>
                <w:color w:val="auto"/>
                <w:spacing w:val="34"/>
                <w:kern w:val="0"/>
                <w:sz w:val="28"/>
                <w:szCs w:val="28"/>
              </w:rPr>
            </w:pPr>
            <w:r>
              <w:rPr>
                <w:rFonts w:hint="eastAsia" w:ascii="宋体" w:hAnsi="宋体"/>
                <w:b/>
                <w:color w:val="auto"/>
                <w:spacing w:val="34"/>
                <w:kern w:val="0"/>
                <w:sz w:val="28"/>
                <w:szCs w:val="28"/>
              </w:rPr>
              <w:t>：</w:t>
            </w:r>
          </w:p>
        </w:tc>
        <w:tc>
          <w:tcPr>
            <w:tcW w:w="3801" w:type="pct"/>
            <w:gridSpan w:val="4"/>
          </w:tcPr>
          <w:p w14:paraId="579C5BC7">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程先民</w:t>
            </w:r>
          </w:p>
        </w:tc>
      </w:tr>
      <w:tr w14:paraId="79DB8B78">
        <w:tblPrEx>
          <w:tblCellMar>
            <w:top w:w="0" w:type="dxa"/>
            <w:left w:w="0" w:type="dxa"/>
            <w:bottom w:w="0" w:type="dxa"/>
            <w:right w:w="0" w:type="dxa"/>
          </w:tblCellMar>
        </w:tblPrEx>
        <w:trPr>
          <w:trHeight w:val="806" w:hRule="exact"/>
          <w:jc w:val="center"/>
        </w:trPr>
        <w:tc>
          <w:tcPr>
            <w:tcW w:w="1119" w:type="pct"/>
            <w:tcFitText/>
          </w:tcPr>
          <w:p w14:paraId="64655F72">
            <w:pPr>
              <w:tabs>
                <w:tab w:val="left" w:pos="2340"/>
              </w:tabs>
              <w:adjustRightInd w:val="0"/>
              <w:snapToGrid w:val="0"/>
              <w:rPr>
                <w:rFonts w:ascii="宋体" w:hAnsi="宋体"/>
                <w:b/>
                <w:color w:val="auto"/>
                <w:spacing w:val="10"/>
                <w:sz w:val="28"/>
                <w:szCs w:val="28"/>
              </w:rPr>
            </w:pPr>
            <w:r>
              <w:rPr>
                <w:rFonts w:hint="eastAsia" w:ascii="宋体" w:hAnsi="宋体"/>
                <w:b/>
                <w:color w:val="auto"/>
                <w:spacing w:val="1"/>
                <w:w w:val="87"/>
                <w:kern w:val="0"/>
                <w:sz w:val="28"/>
              </w:rPr>
              <w:t>编制单位法人代</w:t>
            </w:r>
            <w:r>
              <w:rPr>
                <w:rFonts w:hint="eastAsia" w:ascii="宋体" w:hAnsi="宋体"/>
                <w:b/>
                <w:color w:val="auto"/>
                <w:w w:val="87"/>
                <w:kern w:val="0"/>
                <w:sz w:val="28"/>
              </w:rPr>
              <w:t>表</w:t>
            </w:r>
          </w:p>
        </w:tc>
        <w:tc>
          <w:tcPr>
            <w:tcW w:w="80" w:type="pct"/>
          </w:tcPr>
          <w:p w14:paraId="2A9582C6">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w:t>
            </w:r>
          </w:p>
        </w:tc>
        <w:tc>
          <w:tcPr>
            <w:tcW w:w="3801" w:type="pct"/>
            <w:gridSpan w:val="4"/>
          </w:tcPr>
          <w:p w14:paraId="593D44F1">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万薛峰</w:t>
            </w:r>
          </w:p>
        </w:tc>
      </w:tr>
      <w:tr w14:paraId="656969EE">
        <w:tblPrEx>
          <w:tblCellMar>
            <w:top w:w="0" w:type="dxa"/>
            <w:left w:w="0" w:type="dxa"/>
            <w:bottom w:w="0" w:type="dxa"/>
            <w:right w:w="0" w:type="dxa"/>
          </w:tblCellMar>
        </w:tblPrEx>
        <w:trPr>
          <w:trHeight w:val="561" w:hRule="exact"/>
          <w:jc w:val="center"/>
        </w:trPr>
        <w:tc>
          <w:tcPr>
            <w:tcW w:w="1119" w:type="pct"/>
            <w:tcFitText/>
          </w:tcPr>
          <w:p w14:paraId="50212ADB">
            <w:pPr>
              <w:tabs>
                <w:tab w:val="left" w:pos="2340"/>
              </w:tabs>
              <w:adjustRightInd w:val="0"/>
              <w:snapToGrid w:val="0"/>
              <w:rPr>
                <w:rFonts w:ascii="宋体" w:hAnsi="宋体"/>
                <w:b/>
                <w:color w:val="auto"/>
                <w:spacing w:val="10"/>
                <w:sz w:val="28"/>
                <w:szCs w:val="28"/>
              </w:rPr>
            </w:pPr>
            <w:r>
              <w:rPr>
                <w:rFonts w:hint="eastAsia" w:ascii="宋体" w:hAnsi="宋体"/>
                <w:b/>
                <w:color w:val="auto"/>
                <w:spacing w:val="4"/>
                <w:w w:val="99"/>
                <w:kern w:val="0"/>
                <w:sz w:val="28"/>
              </w:rPr>
              <w:t>报告编写负责</w:t>
            </w:r>
            <w:r>
              <w:rPr>
                <w:rFonts w:hint="eastAsia" w:ascii="宋体" w:hAnsi="宋体"/>
                <w:b/>
                <w:color w:val="auto"/>
                <w:spacing w:val="-10"/>
                <w:w w:val="99"/>
                <w:kern w:val="0"/>
                <w:sz w:val="28"/>
              </w:rPr>
              <w:t>人</w:t>
            </w:r>
          </w:p>
        </w:tc>
        <w:tc>
          <w:tcPr>
            <w:tcW w:w="80" w:type="pct"/>
          </w:tcPr>
          <w:p w14:paraId="5A03B7A4">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w:t>
            </w:r>
          </w:p>
        </w:tc>
        <w:tc>
          <w:tcPr>
            <w:tcW w:w="3801" w:type="pct"/>
            <w:gridSpan w:val="4"/>
          </w:tcPr>
          <w:p w14:paraId="500DB354">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谷国政</w:t>
            </w:r>
          </w:p>
        </w:tc>
      </w:tr>
      <w:tr w14:paraId="68FB6332">
        <w:tblPrEx>
          <w:tblCellMar>
            <w:top w:w="0" w:type="dxa"/>
            <w:left w:w="0" w:type="dxa"/>
            <w:bottom w:w="0" w:type="dxa"/>
            <w:right w:w="0" w:type="dxa"/>
          </w:tblCellMar>
        </w:tblPrEx>
        <w:trPr>
          <w:trHeight w:val="561" w:hRule="exact"/>
          <w:jc w:val="center"/>
        </w:trPr>
        <w:tc>
          <w:tcPr>
            <w:tcW w:w="1119" w:type="pct"/>
            <w:tcFitText/>
          </w:tcPr>
          <w:p w14:paraId="46BD032F">
            <w:pPr>
              <w:tabs>
                <w:tab w:val="left" w:pos="2340"/>
              </w:tabs>
              <w:adjustRightInd w:val="0"/>
              <w:snapToGrid w:val="0"/>
              <w:rPr>
                <w:rFonts w:ascii="宋体" w:hAnsi="宋体"/>
                <w:b/>
                <w:color w:val="auto"/>
                <w:spacing w:val="10"/>
                <w:sz w:val="28"/>
                <w:szCs w:val="28"/>
              </w:rPr>
            </w:pPr>
            <w:r>
              <w:rPr>
                <w:rFonts w:hint="eastAsia" w:ascii="宋体" w:hAnsi="宋体"/>
                <w:b/>
                <w:color w:val="auto"/>
                <w:spacing w:val="70"/>
                <w:kern w:val="0"/>
                <w:sz w:val="28"/>
                <w:szCs w:val="28"/>
              </w:rPr>
              <w:t>报告编写</w:t>
            </w:r>
            <w:r>
              <w:rPr>
                <w:rFonts w:hint="eastAsia" w:ascii="宋体" w:hAnsi="宋体"/>
                <w:b/>
                <w:color w:val="auto"/>
                <w:kern w:val="0"/>
                <w:sz w:val="28"/>
                <w:szCs w:val="28"/>
              </w:rPr>
              <w:t>人</w:t>
            </w:r>
          </w:p>
        </w:tc>
        <w:tc>
          <w:tcPr>
            <w:tcW w:w="80" w:type="pct"/>
          </w:tcPr>
          <w:p w14:paraId="0FA1C484">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w:t>
            </w:r>
          </w:p>
        </w:tc>
        <w:tc>
          <w:tcPr>
            <w:tcW w:w="1439" w:type="pct"/>
          </w:tcPr>
          <w:p w14:paraId="72DF68EB">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谷国政</w:t>
            </w:r>
          </w:p>
        </w:tc>
        <w:tc>
          <w:tcPr>
            <w:tcW w:w="480" w:type="pct"/>
            <w:tcFitText/>
          </w:tcPr>
          <w:p w14:paraId="1803D24D">
            <w:pPr>
              <w:tabs>
                <w:tab w:val="left" w:pos="2340"/>
              </w:tabs>
              <w:adjustRightInd w:val="0"/>
              <w:snapToGrid w:val="0"/>
              <w:rPr>
                <w:rFonts w:ascii="宋体" w:hAnsi="宋体"/>
                <w:color w:val="auto"/>
                <w:sz w:val="28"/>
                <w:szCs w:val="28"/>
              </w:rPr>
            </w:pPr>
          </w:p>
        </w:tc>
        <w:tc>
          <w:tcPr>
            <w:tcW w:w="161" w:type="pct"/>
          </w:tcPr>
          <w:p w14:paraId="665132A6">
            <w:pPr>
              <w:pStyle w:val="270"/>
              <w:widowControl w:val="0"/>
              <w:tabs>
                <w:tab w:val="left" w:pos="0"/>
                <w:tab w:val="clear" w:pos="377"/>
              </w:tabs>
              <w:adjustRightInd w:val="0"/>
              <w:snapToGrid w:val="0"/>
              <w:spacing w:line="240" w:lineRule="auto"/>
              <w:jc w:val="both"/>
              <w:rPr>
                <w:rFonts w:hAnsi="宋体"/>
                <w:b w:val="0"/>
                <w:snapToGrid w:val="0"/>
                <w:color w:val="auto"/>
                <w:kern w:val="2"/>
                <w:sz w:val="28"/>
                <w:szCs w:val="28"/>
              </w:rPr>
            </w:pPr>
          </w:p>
        </w:tc>
        <w:tc>
          <w:tcPr>
            <w:tcW w:w="1721" w:type="pct"/>
          </w:tcPr>
          <w:p w14:paraId="63F52276">
            <w:pPr>
              <w:tabs>
                <w:tab w:val="left" w:pos="2340"/>
              </w:tabs>
              <w:adjustRightInd w:val="0"/>
              <w:snapToGrid w:val="0"/>
              <w:rPr>
                <w:rFonts w:ascii="宋体" w:hAnsi="宋体"/>
                <w:color w:val="auto"/>
                <w:sz w:val="28"/>
                <w:szCs w:val="28"/>
              </w:rPr>
            </w:pPr>
          </w:p>
        </w:tc>
      </w:tr>
    </w:tbl>
    <w:p w14:paraId="462604D9">
      <w:pPr>
        <w:rPr>
          <w:rFonts w:ascii="宋体" w:hAnsi="宋体"/>
          <w:color w:val="auto"/>
        </w:rPr>
      </w:pPr>
    </w:p>
    <w:p w14:paraId="498CA81D">
      <w:pPr>
        <w:rPr>
          <w:rFonts w:ascii="宋体" w:hAnsi="宋体"/>
          <w:color w:val="auto"/>
        </w:rPr>
      </w:pPr>
    </w:p>
    <w:p w14:paraId="72D392EB">
      <w:pPr>
        <w:rPr>
          <w:rFonts w:ascii="宋体" w:hAnsi="宋体"/>
          <w:color w:val="auto"/>
        </w:rPr>
      </w:pPr>
    </w:p>
    <w:tbl>
      <w:tblPr>
        <w:tblStyle w:val="46"/>
        <w:tblW w:w="8946" w:type="pct"/>
        <w:jc w:val="center"/>
        <w:tblLayout w:type="fixed"/>
        <w:tblCellMar>
          <w:top w:w="0" w:type="dxa"/>
          <w:left w:w="0" w:type="dxa"/>
          <w:bottom w:w="0" w:type="dxa"/>
          <w:right w:w="0" w:type="dxa"/>
        </w:tblCellMar>
      </w:tblPr>
      <w:tblGrid>
        <w:gridCol w:w="1697"/>
        <w:gridCol w:w="143"/>
        <w:gridCol w:w="6890"/>
        <w:gridCol w:w="6890"/>
      </w:tblGrid>
      <w:tr w14:paraId="4D0D0F0C">
        <w:tblPrEx>
          <w:tblCellMar>
            <w:top w:w="0" w:type="dxa"/>
            <w:left w:w="0" w:type="dxa"/>
            <w:bottom w:w="0" w:type="dxa"/>
            <w:right w:w="0" w:type="dxa"/>
          </w:tblCellMar>
        </w:tblPrEx>
        <w:trPr>
          <w:trHeight w:val="533" w:hRule="atLeast"/>
          <w:jc w:val="center"/>
        </w:trPr>
        <w:tc>
          <w:tcPr>
            <w:tcW w:w="543" w:type="pct"/>
            <w:tcFitText/>
          </w:tcPr>
          <w:p w14:paraId="2D39A997">
            <w:pPr>
              <w:pStyle w:val="270"/>
              <w:widowControl w:val="0"/>
              <w:tabs>
                <w:tab w:val="left" w:pos="0"/>
                <w:tab w:val="clear" w:pos="377"/>
              </w:tabs>
              <w:adjustRightInd w:val="0"/>
              <w:snapToGrid w:val="0"/>
              <w:spacing w:line="240" w:lineRule="auto"/>
              <w:jc w:val="distribute"/>
              <w:rPr>
                <w:rFonts w:hAnsi="宋体"/>
                <w:snapToGrid w:val="0"/>
                <w:color w:val="auto"/>
                <w:spacing w:val="-20"/>
                <w:sz w:val="28"/>
                <w:szCs w:val="28"/>
              </w:rPr>
            </w:pPr>
          </w:p>
        </w:tc>
        <w:tc>
          <w:tcPr>
            <w:tcW w:w="45" w:type="pct"/>
          </w:tcPr>
          <w:p w14:paraId="57A56048">
            <w:pPr>
              <w:pStyle w:val="270"/>
              <w:widowControl w:val="0"/>
              <w:tabs>
                <w:tab w:val="left" w:pos="0"/>
                <w:tab w:val="clear" w:pos="377"/>
              </w:tabs>
              <w:adjustRightInd w:val="0"/>
              <w:snapToGrid w:val="0"/>
              <w:spacing w:line="240" w:lineRule="auto"/>
              <w:jc w:val="both"/>
              <w:rPr>
                <w:rFonts w:hAnsi="宋体"/>
                <w:color w:val="auto"/>
                <w:sz w:val="28"/>
                <w:szCs w:val="28"/>
              </w:rPr>
            </w:pPr>
          </w:p>
        </w:tc>
        <w:tc>
          <w:tcPr>
            <w:tcW w:w="2205" w:type="pct"/>
          </w:tcPr>
          <w:p w14:paraId="42D0499D">
            <w:pPr>
              <w:tabs>
                <w:tab w:val="left" w:pos="2340"/>
              </w:tabs>
              <w:adjustRightInd w:val="0"/>
              <w:snapToGrid w:val="0"/>
              <w:ind w:firstLine="140" w:firstLineChars="50"/>
              <w:rPr>
                <w:rFonts w:ascii="宋体" w:hAnsi="宋体"/>
                <w:color w:val="auto"/>
                <w:sz w:val="28"/>
                <w:szCs w:val="28"/>
                <w:u w:val="single"/>
              </w:rPr>
            </w:pPr>
          </w:p>
        </w:tc>
        <w:tc>
          <w:tcPr>
            <w:tcW w:w="2205" w:type="pct"/>
          </w:tcPr>
          <w:p w14:paraId="1FDBEF97">
            <w:pPr>
              <w:tabs>
                <w:tab w:val="left" w:pos="2340"/>
              </w:tabs>
              <w:adjustRightInd w:val="0"/>
              <w:snapToGrid w:val="0"/>
              <w:ind w:firstLine="140" w:firstLineChars="50"/>
              <w:rPr>
                <w:rFonts w:ascii="宋体" w:hAnsi="宋体"/>
                <w:color w:val="auto"/>
                <w:sz w:val="28"/>
                <w:szCs w:val="28"/>
                <w:u w:val="single"/>
              </w:rPr>
            </w:pPr>
          </w:p>
        </w:tc>
      </w:tr>
      <w:tr w14:paraId="5D90BA14">
        <w:tblPrEx>
          <w:tblCellMar>
            <w:top w:w="0" w:type="dxa"/>
            <w:left w:w="0" w:type="dxa"/>
            <w:bottom w:w="0" w:type="dxa"/>
            <w:right w:w="0" w:type="dxa"/>
          </w:tblCellMar>
        </w:tblPrEx>
        <w:trPr>
          <w:trHeight w:val="533" w:hRule="atLeast"/>
          <w:jc w:val="center"/>
        </w:trPr>
        <w:tc>
          <w:tcPr>
            <w:tcW w:w="543" w:type="pct"/>
            <w:tcFitText/>
          </w:tcPr>
          <w:p w14:paraId="6B02D9D7">
            <w:pPr>
              <w:pStyle w:val="270"/>
              <w:widowControl w:val="0"/>
              <w:tabs>
                <w:tab w:val="left" w:pos="0"/>
                <w:tab w:val="clear" w:pos="377"/>
              </w:tabs>
              <w:adjustRightInd w:val="0"/>
              <w:snapToGrid w:val="0"/>
              <w:spacing w:line="240" w:lineRule="auto"/>
              <w:jc w:val="distribute"/>
              <w:rPr>
                <w:rFonts w:hAnsi="宋体"/>
                <w:snapToGrid w:val="0"/>
                <w:color w:val="auto"/>
                <w:spacing w:val="-20"/>
                <w:sz w:val="28"/>
                <w:szCs w:val="28"/>
              </w:rPr>
            </w:pPr>
          </w:p>
        </w:tc>
        <w:tc>
          <w:tcPr>
            <w:tcW w:w="45" w:type="pct"/>
          </w:tcPr>
          <w:p w14:paraId="146A7999">
            <w:pPr>
              <w:pStyle w:val="270"/>
              <w:widowControl w:val="0"/>
              <w:tabs>
                <w:tab w:val="left" w:pos="0"/>
                <w:tab w:val="clear" w:pos="377"/>
              </w:tabs>
              <w:adjustRightInd w:val="0"/>
              <w:snapToGrid w:val="0"/>
              <w:spacing w:line="240" w:lineRule="auto"/>
              <w:jc w:val="both"/>
              <w:rPr>
                <w:rFonts w:hAnsi="宋体"/>
                <w:color w:val="auto"/>
                <w:sz w:val="28"/>
                <w:szCs w:val="28"/>
              </w:rPr>
            </w:pPr>
          </w:p>
        </w:tc>
        <w:tc>
          <w:tcPr>
            <w:tcW w:w="2205" w:type="pct"/>
          </w:tcPr>
          <w:p w14:paraId="4FCAC49F">
            <w:pPr>
              <w:tabs>
                <w:tab w:val="left" w:pos="2340"/>
              </w:tabs>
              <w:adjustRightInd w:val="0"/>
              <w:snapToGrid w:val="0"/>
              <w:rPr>
                <w:rFonts w:ascii="宋体" w:hAnsi="宋体"/>
                <w:color w:val="auto"/>
                <w:sz w:val="28"/>
                <w:szCs w:val="28"/>
                <w:u w:val="single"/>
              </w:rPr>
            </w:pPr>
          </w:p>
        </w:tc>
        <w:tc>
          <w:tcPr>
            <w:tcW w:w="2205" w:type="pct"/>
          </w:tcPr>
          <w:p w14:paraId="3E5D6C20">
            <w:pPr>
              <w:tabs>
                <w:tab w:val="left" w:pos="2340"/>
              </w:tabs>
              <w:adjustRightInd w:val="0"/>
              <w:snapToGrid w:val="0"/>
              <w:rPr>
                <w:rFonts w:ascii="宋体" w:hAnsi="宋体"/>
                <w:color w:val="auto"/>
                <w:sz w:val="28"/>
                <w:szCs w:val="28"/>
                <w:u w:val="single"/>
              </w:rPr>
            </w:pPr>
          </w:p>
        </w:tc>
      </w:tr>
    </w:tbl>
    <w:p w14:paraId="3B7F1E70">
      <w:pPr>
        <w:snapToGrid w:val="0"/>
        <w:spacing w:line="360" w:lineRule="auto"/>
        <w:jc w:val="center"/>
        <w:rPr>
          <w:rFonts w:ascii="宋体" w:hAnsi="宋体"/>
          <w:b/>
          <w:color w:val="auto"/>
        </w:rPr>
      </w:pPr>
    </w:p>
    <w:p w14:paraId="608B95DC">
      <w:pPr>
        <w:snapToGrid w:val="0"/>
        <w:spacing w:line="360" w:lineRule="auto"/>
        <w:jc w:val="center"/>
        <w:rPr>
          <w:rFonts w:ascii="宋体" w:hAnsi="宋体"/>
          <w:b/>
          <w:color w:val="auto"/>
        </w:rPr>
      </w:pPr>
    </w:p>
    <w:p w14:paraId="1EE6D344">
      <w:pPr>
        <w:snapToGrid w:val="0"/>
        <w:spacing w:line="360" w:lineRule="auto"/>
        <w:jc w:val="center"/>
        <w:rPr>
          <w:rFonts w:ascii="宋体" w:hAnsi="宋体"/>
          <w:b/>
          <w:color w:val="auto"/>
        </w:rPr>
        <w:sectPr>
          <w:pgSz w:w="11906" w:h="16838"/>
          <w:pgMar w:top="1418" w:right="1588" w:bottom="1418" w:left="1588" w:header="1134" w:footer="851" w:gutter="0"/>
          <w:pgNumType w:fmt="upperLetter" w:start="1"/>
          <w:cols w:space="720" w:num="1"/>
          <w:docGrid w:linePitch="312" w:charSpace="0"/>
        </w:sectPr>
      </w:pPr>
    </w:p>
    <w:p w14:paraId="01CF10A1">
      <w:pPr>
        <w:snapToGrid w:val="0"/>
        <w:spacing w:line="360" w:lineRule="auto"/>
        <w:jc w:val="center"/>
        <w:rPr>
          <w:rFonts w:ascii="宋体" w:hAnsi="宋体"/>
          <w:b/>
          <w:color w:val="auto"/>
        </w:rPr>
      </w:pPr>
    </w:p>
    <w:p w14:paraId="08CFD985">
      <w:pPr>
        <w:snapToGrid w:val="0"/>
        <w:spacing w:line="360" w:lineRule="auto"/>
        <w:jc w:val="center"/>
        <w:rPr>
          <w:rFonts w:ascii="宋体" w:hAnsi="宋体"/>
          <w:b/>
          <w:color w:val="auto"/>
        </w:rPr>
      </w:pPr>
    </w:p>
    <w:p w14:paraId="6DFF3548">
      <w:pPr>
        <w:tabs>
          <w:tab w:val="left" w:pos="2340"/>
        </w:tabs>
        <w:adjustRightInd w:val="0"/>
        <w:snapToGrid w:val="0"/>
        <w:rPr>
          <w:rFonts w:ascii="宋体" w:hAnsi="宋体"/>
          <w:b/>
          <w:color w:val="auto"/>
          <w:spacing w:val="10"/>
          <w:sz w:val="28"/>
          <w:szCs w:val="28"/>
        </w:rPr>
        <w:sectPr>
          <w:type w:val="continuous"/>
          <w:pgSz w:w="11906" w:h="16838"/>
          <w:pgMar w:top="1418" w:right="1588" w:bottom="1418" w:left="1588" w:header="1134" w:footer="851" w:gutter="0"/>
          <w:pgNumType w:fmt="upperLetter" w:start="1"/>
          <w:cols w:space="425" w:num="2"/>
          <w:docGrid w:linePitch="312" w:charSpace="0"/>
        </w:sectPr>
      </w:pPr>
    </w:p>
    <w:tbl>
      <w:tblPr>
        <w:tblStyle w:val="46"/>
        <w:tblW w:w="4950" w:type="pct"/>
        <w:jc w:val="right"/>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0" w:type="dxa"/>
          <w:bottom w:w="0" w:type="dxa"/>
          <w:right w:w="0" w:type="dxa"/>
        </w:tblCellMar>
      </w:tblPr>
      <w:tblGrid>
        <w:gridCol w:w="735"/>
        <w:gridCol w:w="238"/>
        <w:gridCol w:w="2995"/>
        <w:gridCol w:w="142"/>
      </w:tblGrid>
      <w:tr w14:paraId="20581938">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gridAfter w:val="1"/>
          <w:wAfter w:w="172" w:type="pct"/>
          <w:trHeight w:val="1173" w:hRule="atLeast"/>
          <w:jc w:val="right"/>
        </w:trPr>
        <w:tc>
          <w:tcPr>
            <w:tcW w:w="4827" w:type="pct"/>
            <w:gridSpan w:val="3"/>
            <w:tcBorders>
              <w:bottom w:val="nil"/>
            </w:tcBorders>
          </w:tcPr>
          <w:p w14:paraId="687972AA">
            <w:pPr>
              <w:tabs>
                <w:tab w:val="left" w:pos="2340"/>
              </w:tabs>
              <w:adjustRightInd w:val="0"/>
              <w:snapToGrid w:val="0"/>
              <w:rPr>
                <w:rFonts w:ascii="宋体" w:hAnsi="宋体"/>
                <w:color w:val="auto"/>
                <w:spacing w:val="10"/>
                <w:sz w:val="28"/>
                <w:szCs w:val="28"/>
                <w:u w:val="single"/>
              </w:rPr>
            </w:pPr>
            <w:r>
              <w:rPr>
                <w:rFonts w:hint="eastAsia" w:ascii="宋体" w:hAnsi="宋体"/>
                <w:b/>
                <w:color w:val="auto"/>
                <w:spacing w:val="10"/>
                <w:sz w:val="28"/>
                <w:szCs w:val="28"/>
              </w:rPr>
              <w:t>建设单位：</w:t>
            </w:r>
            <w:bookmarkStart w:id="3" w:name="OLE_LINK15"/>
            <w:bookmarkStart w:id="4" w:name="OLE_LINK9"/>
            <w:r>
              <w:rPr>
                <w:rFonts w:ascii="宋体" w:hAnsi="宋体"/>
                <w:color w:val="auto"/>
                <w:spacing w:val="10"/>
                <w:sz w:val="28"/>
                <w:szCs w:val="28"/>
                <w:u w:val="single"/>
              </w:rPr>
              <w:t>胜利油田高青石油开发有限责任公司</w:t>
            </w:r>
            <w:bookmarkEnd w:id="3"/>
            <w:bookmarkEnd w:id="4"/>
          </w:p>
          <w:p w14:paraId="309D5A4F">
            <w:pPr>
              <w:tabs>
                <w:tab w:val="left" w:pos="2340"/>
              </w:tabs>
              <w:adjustRightInd w:val="0"/>
              <w:snapToGrid w:val="0"/>
              <w:rPr>
                <w:rFonts w:ascii="宋体" w:hAnsi="宋体"/>
                <w:b/>
                <w:color w:val="auto"/>
                <w:sz w:val="28"/>
                <w:szCs w:val="28"/>
                <w:u w:val="single"/>
              </w:rPr>
            </w:pPr>
            <w:r>
              <w:rPr>
                <w:rFonts w:hint="eastAsia" w:ascii="宋体" w:hAnsi="宋体"/>
                <w:color w:val="auto"/>
                <w:spacing w:val="10"/>
                <w:sz w:val="28"/>
                <w:szCs w:val="28"/>
              </w:rPr>
              <w:t>（盖章）</w:t>
            </w:r>
          </w:p>
        </w:tc>
      </w:tr>
      <w:tr w14:paraId="0BD9CEF7">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gridAfter w:val="1"/>
          <w:wAfter w:w="172" w:type="pct"/>
          <w:trHeight w:val="552" w:hRule="atLeast"/>
          <w:jc w:val="right"/>
        </w:trPr>
        <w:tc>
          <w:tcPr>
            <w:tcW w:w="893" w:type="pct"/>
            <w:tcBorders>
              <w:right w:val="nil"/>
            </w:tcBorders>
            <w:tcFitText/>
          </w:tcPr>
          <w:p w14:paraId="28375CA6">
            <w:pPr>
              <w:pStyle w:val="270"/>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电</w:t>
            </w:r>
            <w:r>
              <w:rPr>
                <w:rFonts w:hint="eastAsia" w:hAnsi="宋体"/>
                <w:snapToGrid w:val="0"/>
                <w:color w:val="auto"/>
                <w:sz w:val="28"/>
                <w:szCs w:val="28"/>
              </w:rPr>
              <w:t>话</w:t>
            </w:r>
          </w:p>
        </w:tc>
        <w:tc>
          <w:tcPr>
            <w:tcW w:w="291" w:type="pct"/>
            <w:tcBorders>
              <w:left w:val="nil"/>
              <w:right w:val="nil"/>
            </w:tcBorders>
          </w:tcPr>
          <w:p w14:paraId="70B1D080">
            <w:pPr>
              <w:pStyle w:val="270"/>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641" w:type="pct"/>
            <w:tcBorders>
              <w:left w:val="nil"/>
            </w:tcBorders>
          </w:tcPr>
          <w:p w14:paraId="4B05C396">
            <w:pPr>
              <w:tabs>
                <w:tab w:val="left" w:pos="2340"/>
              </w:tabs>
              <w:adjustRightInd w:val="0"/>
              <w:snapToGrid w:val="0"/>
              <w:rPr>
                <w:rFonts w:ascii="宋体" w:hAnsi="宋体"/>
                <w:color w:val="auto"/>
                <w:sz w:val="28"/>
                <w:szCs w:val="28"/>
                <w:u w:val="single"/>
              </w:rPr>
            </w:pPr>
            <w:r>
              <w:rPr>
                <w:rFonts w:hint="eastAsia" w:ascii="宋体" w:hAnsi="宋体"/>
                <w:color w:val="auto"/>
                <w:spacing w:val="10"/>
                <w:sz w:val="28"/>
                <w:szCs w:val="28"/>
              </w:rPr>
              <w:t>0533-2387636</w:t>
            </w:r>
          </w:p>
        </w:tc>
      </w:tr>
      <w:tr w14:paraId="05545CD0">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gridAfter w:val="1"/>
          <w:wAfter w:w="172" w:type="pct"/>
          <w:trHeight w:val="574" w:hRule="atLeast"/>
          <w:jc w:val="right"/>
        </w:trPr>
        <w:tc>
          <w:tcPr>
            <w:tcW w:w="893" w:type="pct"/>
            <w:tcBorders>
              <w:right w:val="nil"/>
            </w:tcBorders>
            <w:tcFitText/>
          </w:tcPr>
          <w:p w14:paraId="293F8E5E">
            <w:pPr>
              <w:pStyle w:val="270"/>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邮</w:t>
            </w:r>
            <w:r>
              <w:rPr>
                <w:rFonts w:hint="eastAsia" w:hAnsi="宋体"/>
                <w:snapToGrid w:val="0"/>
                <w:color w:val="auto"/>
                <w:sz w:val="28"/>
                <w:szCs w:val="28"/>
              </w:rPr>
              <w:t>编</w:t>
            </w:r>
          </w:p>
        </w:tc>
        <w:tc>
          <w:tcPr>
            <w:tcW w:w="291" w:type="pct"/>
            <w:tcBorders>
              <w:left w:val="nil"/>
              <w:right w:val="nil"/>
            </w:tcBorders>
          </w:tcPr>
          <w:p w14:paraId="56DD4C48">
            <w:pPr>
              <w:pStyle w:val="270"/>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641" w:type="pct"/>
            <w:tcBorders>
              <w:left w:val="nil"/>
            </w:tcBorders>
          </w:tcPr>
          <w:p w14:paraId="7C653916">
            <w:pPr>
              <w:tabs>
                <w:tab w:val="left" w:pos="2340"/>
              </w:tabs>
              <w:adjustRightInd w:val="0"/>
              <w:snapToGrid w:val="0"/>
              <w:rPr>
                <w:rFonts w:ascii="宋体" w:hAnsi="宋体"/>
                <w:color w:val="auto"/>
                <w:spacing w:val="10"/>
                <w:sz w:val="28"/>
                <w:szCs w:val="28"/>
              </w:rPr>
            </w:pPr>
            <w:r>
              <w:rPr>
                <w:rFonts w:ascii="宋体" w:hAnsi="宋体"/>
                <w:color w:val="auto"/>
                <w:spacing w:val="10"/>
                <w:sz w:val="28"/>
                <w:szCs w:val="28"/>
              </w:rPr>
              <w:t>25</w:t>
            </w:r>
            <w:r>
              <w:rPr>
                <w:rFonts w:hint="eastAsia" w:ascii="宋体" w:hAnsi="宋体"/>
                <w:color w:val="auto"/>
                <w:spacing w:val="10"/>
                <w:sz w:val="28"/>
                <w:szCs w:val="28"/>
              </w:rPr>
              <w:t>6300</w:t>
            </w:r>
          </w:p>
        </w:tc>
      </w:tr>
      <w:tr w14:paraId="1145D274">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gridAfter w:val="1"/>
          <w:wAfter w:w="172" w:type="pct"/>
          <w:trHeight w:val="1171" w:hRule="atLeast"/>
          <w:jc w:val="right"/>
        </w:trPr>
        <w:tc>
          <w:tcPr>
            <w:tcW w:w="893" w:type="pct"/>
            <w:tcBorders>
              <w:right w:val="nil"/>
            </w:tcBorders>
            <w:tcFitText/>
          </w:tcPr>
          <w:p w14:paraId="13344EAE">
            <w:pPr>
              <w:pStyle w:val="270"/>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地</w:t>
            </w:r>
            <w:r>
              <w:rPr>
                <w:rFonts w:hint="eastAsia" w:hAnsi="宋体"/>
                <w:snapToGrid w:val="0"/>
                <w:color w:val="auto"/>
                <w:sz w:val="28"/>
                <w:szCs w:val="28"/>
              </w:rPr>
              <w:t>址</w:t>
            </w:r>
          </w:p>
        </w:tc>
        <w:tc>
          <w:tcPr>
            <w:tcW w:w="291" w:type="pct"/>
            <w:tcBorders>
              <w:left w:val="nil"/>
              <w:right w:val="nil"/>
            </w:tcBorders>
          </w:tcPr>
          <w:p w14:paraId="1973456C">
            <w:pPr>
              <w:pStyle w:val="270"/>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641" w:type="pct"/>
            <w:tcBorders>
              <w:left w:val="nil"/>
            </w:tcBorders>
          </w:tcPr>
          <w:p w14:paraId="3BBCA434">
            <w:pPr>
              <w:tabs>
                <w:tab w:val="left" w:pos="2340"/>
              </w:tabs>
              <w:adjustRightInd w:val="0"/>
              <w:snapToGrid w:val="0"/>
              <w:rPr>
                <w:rFonts w:ascii="宋体" w:hAnsi="宋体"/>
                <w:color w:val="auto"/>
                <w:sz w:val="28"/>
                <w:szCs w:val="28"/>
                <w:u w:val="single"/>
              </w:rPr>
            </w:pPr>
            <w:r>
              <w:rPr>
                <w:rFonts w:hint="eastAsia" w:ascii="宋体" w:hAnsi="宋体"/>
                <w:color w:val="auto"/>
                <w:sz w:val="28"/>
                <w:szCs w:val="28"/>
              </w:rPr>
              <w:t>山东省淄博市高青县经济开发区济高高速路南280米</w:t>
            </w:r>
          </w:p>
        </w:tc>
      </w:tr>
      <w:tr w14:paraId="682830A4">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trHeight w:val="1173" w:hRule="atLeast"/>
          <w:jc w:val="right"/>
        </w:trPr>
        <w:tc>
          <w:tcPr>
            <w:tcW w:w="5000" w:type="pct"/>
            <w:gridSpan w:val="4"/>
            <w:tcBorders>
              <w:bottom w:val="nil"/>
            </w:tcBorders>
          </w:tcPr>
          <w:p w14:paraId="40000361">
            <w:pPr>
              <w:tabs>
                <w:tab w:val="left" w:pos="2340"/>
              </w:tabs>
              <w:adjustRightInd w:val="0"/>
              <w:snapToGrid w:val="0"/>
              <w:rPr>
                <w:rFonts w:ascii="宋体" w:hAnsi="宋体"/>
                <w:color w:val="auto"/>
                <w:sz w:val="28"/>
                <w:szCs w:val="28"/>
                <w:u w:val="single"/>
              </w:rPr>
            </w:pPr>
            <w:r>
              <w:rPr>
                <w:rFonts w:hint="eastAsia" w:ascii="宋体" w:hAnsi="宋体"/>
                <w:b/>
                <w:color w:val="auto"/>
                <w:spacing w:val="10"/>
                <w:sz w:val="28"/>
                <w:szCs w:val="28"/>
              </w:rPr>
              <w:t>编制技术机构：</w:t>
            </w:r>
            <w:bookmarkStart w:id="5" w:name="OLE_LINK1"/>
            <w:r>
              <w:rPr>
                <w:rFonts w:hint="eastAsia" w:ascii="宋体" w:hAnsi="宋体"/>
                <w:color w:val="auto"/>
                <w:spacing w:val="10"/>
                <w:sz w:val="28"/>
                <w:szCs w:val="28"/>
                <w:u w:val="single"/>
              </w:rPr>
              <w:t>山东蓝普检测技术有限公司</w:t>
            </w:r>
            <w:bookmarkEnd w:id="5"/>
            <w:r>
              <w:rPr>
                <w:rFonts w:hint="eastAsia" w:ascii="宋体" w:hAnsi="宋体"/>
                <w:color w:val="auto"/>
                <w:spacing w:val="10"/>
                <w:sz w:val="28"/>
                <w:szCs w:val="28"/>
              </w:rPr>
              <w:t>（盖章）</w:t>
            </w:r>
          </w:p>
        </w:tc>
      </w:tr>
      <w:tr w14:paraId="66892A65">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trHeight w:val="552" w:hRule="atLeast"/>
          <w:jc w:val="right"/>
        </w:trPr>
        <w:tc>
          <w:tcPr>
            <w:tcW w:w="893" w:type="pct"/>
            <w:tcBorders>
              <w:right w:val="nil"/>
            </w:tcBorders>
            <w:tcFitText/>
          </w:tcPr>
          <w:p w14:paraId="16A49884">
            <w:pPr>
              <w:pStyle w:val="270"/>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电</w:t>
            </w:r>
            <w:r>
              <w:rPr>
                <w:rFonts w:hint="eastAsia" w:hAnsi="宋体"/>
                <w:snapToGrid w:val="0"/>
                <w:color w:val="auto"/>
                <w:sz w:val="28"/>
                <w:szCs w:val="28"/>
              </w:rPr>
              <w:t>话</w:t>
            </w:r>
          </w:p>
        </w:tc>
        <w:tc>
          <w:tcPr>
            <w:tcW w:w="291" w:type="pct"/>
            <w:tcBorders>
              <w:left w:val="nil"/>
              <w:right w:val="nil"/>
            </w:tcBorders>
          </w:tcPr>
          <w:p w14:paraId="0F508BDB">
            <w:pPr>
              <w:pStyle w:val="270"/>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814" w:type="pct"/>
            <w:gridSpan w:val="2"/>
            <w:tcBorders>
              <w:left w:val="nil"/>
            </w:tcBorders>
          </w:tcPr>
          <w:p w14:paraId="0DD028D1">
            <w:pPr>
              <w:tabs>
                <w:tab w:val="left" w:pos="2340"/>
              </w:tabs>
              <w:adjustRightInd w:val="0"/>
              <w:snapToGrid w:val="0"/>
              <w:rPr>
                <w:rFonts w:ascii="宋体" w:hAnsi="宋体"/>
                <w:color w:val="auto"/>
                <w:sz w:val="28"/>
                <w:szCs w:val="28"/>
                <w:u w:val="single"/>
              </w:rPr>
            </w:pPr>
            <w:r>
              <w:rPr>
                <w:rFonts w:ascii="宋体" w:hAnsi="宋体"/>
                <w:color w:val="auto"/>
                <w:spacing w:val="10"/>
                <w:sz w:val="28"/>
                <w:szCs w:val="28"/>
              </w:rPr>
              <w:t>0546-7781281</w:t>
            </w:r>
          </w:p>
        </w:tc>
      </w:tr>
      <w:tr w14:paraId="2D0BBF39">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trHeight w:val="574" w:hRule="atLeast"/>
          <w:jc w:val="right"/>
        </w:trPr>
        <w:tc>
          <w:tcPr>
            <w:tcW w:w="893" w:type="pct"/>
            <w:tcBorders>
              <w:right w:val="nil"/>
            </w:tcBorders>
            <w:tcFitText/>
          </w:tcPr>
          <w:p w14:paraId="75866FD3">
            <w:pPr>
              <w:pStyle w:val="270"/>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邮</w:t>
            </w:r>
            <w:r>
              <w:rPr>
                <w:rFonts w:hint="eastAsia" w:hAnsi="宋体"/>
                <w:snapToGrid w:val="0"/>
                <w:color w:val="auto"/>
                <w:sz w:val="28"/>
                <w:szCs w:val="28"/>
              </w:rPr>
              <w:t>编</w:t>
            </w:r>
          </w:p>
        </w:tc>
        <w:tc>
          <w:tcPr>
            <w:tcW w:w="291" w:type="pct"/>
            <w:tcBorders>
              <w:left w:val="nil"/>
              <w:right w:val="nil"/>
            </w:tcBorders>
          </w:tcPr>
          <w:p w14:paraId="42371C3A">
            <w:pPr>
              <w:pStyle w:val="270"/>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814" w:type="pct"/>
            <w:gridSpan w:val="2"/>
            <w:tcBorders>
              <w:left w:val="nil"/>
            </w:tcBorders>
          </w:tcPr>
          <w:p w14:paraId="706AAC14">
            <w:pPr>
              <w:tabs>
                <w:tab w:val="left" w:pos="2340"/>
              </w:tabs>
              <w:adjustRightInd w:val="0"/>
              <w:snapToGrid w:val="0"/>
              <w:rPr>
                <w:rFonts w:ascii="宋体" w:hAnsi="宋体"/>
                <w:color w:val="auto"/>
                <w:spacing w:val="10"/>
                <w:sz w:val="28"/>
                <w:szCs w:val="28"/>
              </w:rPr>
            </w:pPr>
            <w:r>
              <w:rPr>
                <w:rFonts w:hint="eastAsia" w:ascii="宋体" w:hAnsi="宋体"/>
                <w:color w:val="auto"/>
                <w:spacing w:val="10"/>
                <w:sz w:val="28"/>
                <w:szCs w:val="28"/>
              </w:rPr>
              <w:t>257000</w:t>
            </w:r>
          </w:p>
        </w:tc>
      </w:tr>
      <w:tr w14:paraId="43BEFC6C">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trHeight w:val="1171" w:hRule="atLeast"/>
          <w:jc w:val="right"/>
        </w:trPr>
        <w:tc>
          <w:tcPr>
            <w:tcW w:w="893" w:type="pct"/>
            <w:tcBorders>
              <w:right w:val="nil"/>
            </w:tcBorders>
            <w:tcFitText/>
          </w:tcPr>
          <w:p w14:paraId="62855B35">
            <w:pPr>
              <w:pStyle w:val="270"/>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地</w:t>
            </w:r>
            <w:r>
              <w:rPr>
                <w:rFonts w:hint="eastAsia" w:hAnsi="宋体"/>
                <w:snapToGrid w:val="0"/>
                <w:color w:val="auto"/>
                <w:sz w:val="28"/>
                <w:szCs w:val="28"/>
              </w:rPr>
              <w:t>址</w:t>
            </w:r>
          </w:p>
        </w:tc>
        <w:tc>
          <w:tcPr>
            <w:tcW w:w="291" w:type="pct"/>
            <w:tcBorders>
              <w:left w:val="nil"/>
              <w:right w:val="nil"/>
            </w:tcBorders>
          </w:tcPr>
          <w:p w14:paraId="4706FDD9">
            <w:pPr>
              <w:pStyle w:val="270"/>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814" w:type="pct"/>
            <w:gridSpan w:val="2"/>
            <w:tcBorders>
              <w:left w:val="nil"/>
            </w:tcBorders>
          </w:tcPr>
          <w:p w14:paraId="30B3B142">
            <w:pPr>
              <w:tabs>
                <w:tab w:val="left" w:pos="2340"/>
              </w:tabs>
              <w:adjustRightInd w:val="0"/>
              <w:snapToGrid w:val="0"/>
              <w:rPr>
                <w:rFonts w:ascii="宋体" w:hAnsi="宋体"/>
                <w:color w:val="auto"/>
                <w:sz w:val="28"/>
                <w:szCs w:val="28"/>
                <w:u w:val="single"/>
              </w:rPr>
            </w:pPr>
            <w:r>
              <w:rPr>
                <w:rFonts w:hint="eastAsia" w:ascii="宋体" w:hAnsi="宋体"/>
                <w:color w:val="auto"/>
                <w:spacing w:val="10"/>
                <w:sz w:val="28"/>
                <w:szCs w:val="28"/>
              </w:rPr>
              <w:t>山东省东营市东营区胜园街道六盘山路7号</w:t>
            </w:r>
          </w:p>
        </w:tc>
      </w:tr>
    </w:tbl>
    <w:p w14:paraId="1696635C">
      <w:pPr>
        <w:snapToGrid w:val="0"/>
        <w:spacing w:line="360" w:lineRule="auto"/>
        <w:jc w:val="center"/>
        <w:rPr>
          <w:rFonts w:ascii="宋体" w:hAnsi="宋体"/>
          <w:b/>
          <w:color w:val="auto"/>
        </w:rPr>
        <w:sectPr>
          <w:type w:val="continuous"/>
          <w:pgSz w:w="11906" w:h="16838"/>
          <w:pgMar w:top="1418" w:right="1588" w:bottom="1418" w:left="1588" w:header="1134" w:footer="851" w:gutter="0"/>
          <w:pgNumType w:fmt="upperLetter" w:start="1"/>
          <w:cols w:space="425" w:num="2"/>
          <w:docGrid w:linePitch="312" w:charSpace="0"/>
        </w:sectPr>
      </w:pPr>
    </w:p>
    <w:p w14:paraId="6317C920">
      <w:pPr>
        <w:widowControl/>
        <w:jc w:val="left"/>
        <w:rPr>
          <w:rFonts w:ascii="宋体" w:hAnsi="宋体"/>
          <w:color w:val="auto"/>
        </w:rPr>
        <w:sectPr>
          <w:type w:val="continuous"/>
          <w:pgSz w:w="11906" w:h="16838"/>
          <w:pgMar w:top="1418" w:right="1588" w:bottom="1418" w:left="1588" w:header="1134" w:footer="851" w:gutter="0"/>
          <w:pgNumType w:fmt="upperLetter" w:start="1"/>
          <w:cols w:space="720" w:num="1"/>
          <w:docGrid w:linePitch="312" w:charSpace="0"/>
        </w:sectPr>
      </w:pPr>
    </w:p>
    <w:p w14:paraId="617DC30E">
      <w:pPr>
        <w:pStyle w:val="4"/>
        <w:ind w:firstLine="480"/>
        <w:jc w:val="right"/>
        <w:rPr>
          <w:color w:val="auto"/>
          <w:lang w:val="zh-CN"/>
        </w:rPr>
        <w:sectPr>
          <w:headerReference r:id="rId5" w:type="default"/>
          <w:footerReference r:id="rId6" w:type="default"/>
          <w:pgSz w:w="11906" w:h="16838"/>
          <w:pgMar w:top="1418" w:right="1588" w:bottom="1418" w:left="1588" w:header="1134" w:footer="850" w:gutter="0"/>
          <w:pgNumType w:fmt="upperRoman" w:start="1"/>
          <w:cols w:space="720" w:num="1"/>
          <w:docGrid w:linePitch="312" w:charSpace="0"/>
        </w:sectPr>
      </w:pPr>
    </w:p>
    <w:p w14:paraId="3E6842D4">
      <w:pPr>
        <w:pStyle w:val="78"/>
        <w:rPr>
          <w:rFonts w:ascii="宋体" w:hAnsi="宋体" w:eastAsia="宋体"/>
          <w:color w:val="auto"/>
          <w:sz w:val="36"/>
          <w:szCs w:val="36"/>
        </w:rPr>
      </w:pPr>
      <w:r>
        <w:rPr>
          <w:rFonts w:hint="eastAsia" w:ascii="宋体" w:hAnsi="宋体" w:eastAsia="宋体"/>
          <w:color w:val="auto"/>
          <w:sz w:val="36"/>
          <w:szCs w:val="36"/>
        </w:rPr>
        <w:t>目  录</w:t>
      </w:r>
    </w:p>
    <w:p w14:paraId="40AA6599">
      <w:pPr>
        <w:pStyle w:val="31"/>
        <w:rPr>
          <w:rFonts w:asciiTheme="minorHAnsi" w:hAnsiTheme="minorHAnsi" w:eastAsiaTheme="minorEastAsia" w:cstheme="minorBidi"/>
          <w:b w:val="0"/>
          <w:bCs w:val="0"/>
          <w:color w:val="auto"/>
          <w:sz w:val="21"/>
          <w:szCs w:val="22"/>
        </w:rPr>
      </w:pPr>
      <w:r>
        <w:rPr>
          <w:rFonts w:ascii="宋体" w:hAnsi="宋体"/>
          <w:color w:val="auto"/>
          <w:sz w:val="24"/>
        </w:rPr>
        <w:fldChar w:fldCharType="begin"/>
      </w:r>
      <w:r>
        <w:rPr>
          <w:rFonts w:ascii="宋体" w:hAnsi="宋体"/>
          <w:color w:val="auto"/>
          <w:sz w:val="24"/>
        </w:rPr>
        <w:instrText xml:space="preserve"> TOC \o "1-2" \h \z \u </w:instrText>
      </w:r>
      <w:r>
        <w:rPr>
          <w:rFonts w:ascii="宋体" w:hAnsi="宋体"/>
          <w:color w:val="auto"/>
          <w:sz w:val="24"/>
        </w:rPr>
        <w:fldChar w:fldCharType="separate"/>
      </w:r>
      <w:r>
        <w:rPr>
          <w:color w:val="auto"/>
        </w:rPr>
        <w:fldChar w:fldCharType="begin"/>
      </w:r>
      <w:r>
        <w:rPr>
          <w:color w:val="auto"/>
        </w:rPr>
        <w:instrText xml:space="preserve"> HYPERLINK \l "_Toc231283610" </w:instrText>
      </w:r>
      <w:r>
        <w:rPr>
          <w:color w:val="auto"/>
        </w:rPr>
        <w:fldChar w:fldCharType="separate"/>
      </w:r>
      <w:r>
        <w:rPr>
          <w:rStyle w:val="60"/>
          <w:color w:val="auto"/>
        </w:rPr>
        <w:t>前  言</w:t>
      </w:r>
      <w:r>
        <w:rPr>
          <w:color w:val="auto"/>
        </w:rPr>
        <w:tab/>
      </w:r>
      <w:r>
        <w:rPr>
          <w:color w:val="auto"/>
        </w:rPr>
        <w:fldChar w:fldCharType="begin"/>
      </w:r>
      <w:r>
        <w:rPr>
          <w:color w:val="auto"/>
        </w:rPr>
        <w:instrText xml:space="preserve"> PAGEREF _Toc231283610 \h </w:instrText>
      </w:r>
      <w:r>
        <w:rPr>
          <w:color w:val="auto"/>
        </w:rPr>
        <w:fldChar w:fldCharType="separate"/>
      </w:r>
      <w:r>
        <w:rPr>
          <w:color w:val="auto"/>
        </w:rPr>
        <w:t>1</w:t>
      </w:r>
      <w:r>
        <w:rPr>
          <w:color w:val="auto"/>
        </w:rPr>
        <w:fldChar w:fldCharType="end"/>
      </w:r>
      <w:r>
        <w:rPr>
          <w:color w:val="auto"/>
        </w:rPr>
        <w:fldChar w:fldCharType="end"/>
      </w:r>
    </w:p>
    <w:p w14:paraId="5310F238">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"_Toc231283611" </w:instrText>
      </w:r>
      <w:r>
        <w:rPr>
          <w:color w:val="auto"/>
        </w:rPr>
        <w:fldChar w:fldCharType="separate"/>
      </w:r>
      <w:r>
        <w:rPr>
          <w:rStyle w:val="60"/>
          <w:color w:val="auto"/>
        </w:rPr>
        <w:t>1 项目概况</w:t>
      </w:r>
      <w:r>
        <w:rPr>
          <w:color w:val="auto"/>
        </w:rPr>
        <w:tab/>
      </w:r>
      <w:r>
        <w:rPr>
          <w:color w:val="auto"/>
        </w:rPr>
        <w:fldChar w:fldCharType="begin"/>
      </w:r>
      <w:r>
        <w:rPr>
          <w:color w:val="auto"/>
        </w:rPr>
        <w:instrText xml:space="preserve"> PAGEREF _Toc231283611 \h </w:instrText>
      </w:r>
      <w:r>
        <w:rPr>
          <w:color w:val="auto"/>
        </w:rPr>
        <w:fldChar w:fldCharType="separate"/>
      </w:r>
      <w:r>
        <w:rPr>
          <w:color w:val="auto"/>
        </w:rPr>
        <w:t>1</w:t>
      </w:r>
      <w:r>
        <w:rPr>
          <w:color w:val="auto"/>
        </w:rPr>
        <w:fldChar w:fldCharType="end"/>
      </w:r>
      <w:r>
        <w:rPr>
          <w:color w:val="auto"/>
        </w:rPr>
        <w:fldChar w:fldCharType="end"/>
      </w:r>
    </w:p>
    <w:p w14:paraId="41C993F4">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"_Toc231283612" </w:instrText>
      </w:r>
      <w:r>
        <w:rPr>
          <w:color w:val="auto"/>
        </w:rPr>
        <w:fldChar w:fldCharType="separate"/>
      </w:r>
      <w:r>
        <w:rPr>
          <w:rStyle w:val="60"/>
          <w:color w:val="auto"/>
        </w:rPr>
        <w:t>1.1 项目基本概况</w:t>
      </w:r>
      <w:r>
        <w:rPr>
          <w:color w:val="auto"/>
        </w:rPr>
        <w:tab/>
      </w:r>
      <w:r>
        <w:rPr>
          <w:color w:val="auto"/>
        </w:rPr>
        <w:fldChar w:fldCharType="begin"/>
      </w:r>
      <w:r>
        <w:rPr>
          <w:color w:val="auto"/>
        </w:rPr>
        <w:instrText xml:space="preserve"> PAGEREF _Toc231283612 \h </w:instrText>
      </w:r>
      <w:r>
        <w:rPr>
          <w:color w:val="auto"/>
        </w:rPr>
        <w:fldChar w:fldCharType="separate"/>
      </w:r>
      <w:r>
        <w:rPr>
          <w:color w:val="auto"/>
        </w:rPr>
        <w:t>1</w:t>
      </w:r>
      <w:r>
        <w:rPr>
          <w:color w:val="auto"/>
        </w:rPr>
        <w:fldChar w:fldCharType="end"/>
      </w:r>
      <w:r>
        <w:rPr>
          <w:color w:val="auto"/>
        </w:rPr>
        <w:fldChar w:fldCharType="end"/>
      </w:r>
    </w:p>
    <w:p w14:paraId="4D1792FD">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"_Toc231283613" </w:instrText>
      </w:r>
      <w:r>
        <w:rPr>
          <w:color w:val="auto"/>
        </w:rPr>
        <w:fldChar w:fldCharType="separate"/>
      </w:r>
      <w:r>
        <w:rPr>
          <w:rStyle w:val="60"/>
          <w:color w:val="auto"/>
        </w:rPr>
        <w:t>1.2 项目建设过程</w:t>
      </w:r>
      <w:r>
        <w:rPr>
          <w:color w:val="auto"/>
        </w:rPr>
        <w:tab/>
      </w:r>
      <w:r>
        <w:rPr>
          <w:color w:val="auto"/>
        </w:rPr>
        <w:fldChar w:fldCharType="begin"/>
      </w:r>
      <w:r>
        <w:rPr>
          <w:color w:val="auto"/>
        </w:rPr>
        <w:instrText xml:space="preserve"> PAGEREF _Toc231283613 \h </w:instrText>
      </w:r>
      <w:r>
        <w:rPr>
          <w:color w:val="auto"/>
        </w:rPr>
        <w:fldChar w:fldCharType="separate"/>
      </w:r>
      <w:r>
        <w:rPr>
          <w:color w:val="auto"/>
        </w:rPr>
        <w:t>3</w:t>
      </w:r>
      <w:r>
        <w:rPr>
          <w:color w:val="auto"/>
        </w:rPr>
        <w:fldChar w:fldCharType="end"/>
      </w:r>
      <w:r>
        <w:rPr>
          <w:color w:val="auto"/>
        </w:rPr>
        <w:fldChar w:fldCharType="end"/>
      </w:r>
    </w:p>
    <w:p w14:paraId="0EB097FC">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"_Toc231283614" </w:instrText>
      </w:r>
      <w:r>
        <w:rPr>
          <w:color w:val="auto"/>
        </w:rPr>
        <w:fldChar w:fldCharType="separate"/>
      </w:r>
      <w:r>
        <w:rPr>
          <w:rStyle w:val="60"/>
          <w:color w:val="auto"/>
        </w:rPr>
        <w:t>2 验收依据</w:t>
      </w:r>
      <w:r>
        <w:rPr>
          <w:color w:val="auto"/>
        </w:rPr>
        <w:tab/>
      </w:r>
      <w:r>
        <w:rPr>
          <w:color w:val="auto"/>
        </w:rPr>
        <w:fldChar w:fldCharType="begin"/>
      </w:r>
      <w:r>
        <w:rPr>
          <w:color w:val="auto"/>
        </w:rPr>
        <w:instrText xml:space="preserve"> PAGEREF _Toc231283614 \h </w:instrText>
      </w:r>
      <w:r>
        <w:rPr>
          <w:color w:val="auto"/>
        </w:rPr>
        <w:fldChar w:fldCharType="separate"/>
      </w:r>
      <w:r>
        <w:rPr>
          <w:color w:val="auto"/>
        </w:rPr>
        <w:t>4</w:t>
      </w:r>
      <w:r>
        <w:rPr>
          <w:color w:val="auto"/>
        </w:rPr>
        <w:fldChar w:fldCharType="end"/>
      </w:r>
      <w:r>
        <w:rPr>
          <w:color w:val="auto"/>
        </w:rPr>
        <w:fldChar w:fldCharType="end"/>
      </w:r>
    </w:p>
    <w:p w14:paraId="1F9E5FDE">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"_Toc231283615" </w:instrText>
      </w:r>
      <w:r>
        <w:rPr>
          <w:color w:val="auto"/>
        </w:rPr>
        <w:fldChar w:fldCharType="separate"/>
      </w:r>
      <w:r>
        <w:rPr>
          <w:rStyle w:val="60"/>
          <w:color w:val="auto"/>
        </w:rPr>
        <w:t>2.1 建设项目环境保护相关法律、法规和规章制度</w:t>
      </w:r>
      <w:r>
        <w:rPr>
          <w:color w:val="auto"/>
        </w:rPr>
        <w:tab/>
      </w:r>
      <w:r>
        <w:rPr>
          <w:color w:val="auto"/>
        </w:rPr>
        <w:fldChar w:fldCharType="begin"/>
      </w:r>
      <w:r>
        <w:rPr>
          <w:color w:val="auto"/>
        </w:rPr>
        <w:instrText xml:space="preserve"> PAGEREF _Toc231283615 \h </w:instrText>
      </w:r>
      <w:r>
        <w:rPr>
          <w:color w:val="auto"/>
        </w:rPr>
        <w:fldChar w:fldCharType="separate"/>
      </w:r>
      <w:r>
        <w:rPr>
          <w:color w:val="auto"/>
        </w:rPr>
        <w:t>4</w:t>
      </w:r>
      <w:r>
        <w:rPr>
          <w:color w:val="auto"/>
        </w:rPr>
        <w:fldChar w:fldCharType="end"/>
      </w:r>
      <w:r>
        <w:rPr>
          <w:color w:val="auto"/>
        </w:rPr>
        <w:fldChar w:fldCharType="end"/>
      </w:r>
    </w:p>
    <w:p w14:paraId="3F425602">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"_Toc231283616" </w:instrText>
      </w:r>
      <w:r>
        <w:rPr>
          <w:color w:val="auto"/>
        </w:rPr>
        <w:fldChar w:fldCharType="separate"/>
      </w:r>
      <w:r>
        <w:rPr>
          <w:rStyle w:val="60"/>
          <w:color w:val="auto"/>
        </w:rPr>
        <w:t>2.2 地方相关规章与规范性文件</w:t>
      </w:r>
      <w:r>
        <w:rPr>
          <w:color w:val="auto"/>
        </w:rPr>
        <w:tab/>
      </w:r>
      <w:r>
        <w:rPr>
          <w:color w:val="auto"/>
        </w:rPr>
        <w:fldChar w:fldCharType="begin"/>
      </w:r>
      <w:r>
        <w:rPr>
          <w:color w:val="auto"/>
        </w:rPr>
        <w:instrText xml:space="preserve"> PAGEREF _Toc231283616 \h </w:instrText>
      </w:r>
      <w:r>
        <w:rPr>
          <w:color w:val="auto"/>
        </w:rPr>
        <w:fldChar w:fldCharType="separate"/>
      </w:r>
      <w:r>
        <w:rPr>
          <w:color w:val="auto"/>
        </w:rPr>
        <w:t>4</w:t>
      </w:r>
      <w:r>
        <w:rPr>
          <w:color w:val="auto"/>
        </w:rPr>
        <w:fldChar w:fldCharType="end"/>
      </w:r>
      <w:r>
        <w:rPr>
          <w:color w:val="auto"/>
        </w:rPr>
        <w:fldChar w:fldCharType="end"/>
      </w:r>
    </w:p>
    <w:p w14:paraId="148349FC">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"_Toc231283617" </w:instrText>
      </w:r>
      <w:r>
        <w:rPr>
          <w:color w:val="auto"/>
        </w:rPr>
        <w:fldChar w:fldCharType="separate"/>
      </w:r>
      <w:r>
        <w:rPr>
          <w:rStyle w:val="60"/>
          <w:color w:val="auto"/>
        </w:rPr>
        <w:t>2.3 相关标准</w:t>
      </w:r>
      <w:r>
        <w:rPr>
          <w:color w:val="auto"/>
        </w:rPr>
        <w:tab/>
      </w:r>
      <w:r>
        <w:rPr>
          <w:color w:val="auto"/>
        </w:rPr>
        <w:fldChar w:fldCharType="begin"/>
      </w:r>
      <w:r>
        <w:rPr>
          <w:color w:val="auto"/>
        </w:rPr>
        <w:instrText xml:space="preserve"> PAGEREF _Toc231283617 \h </w:instrText>
      </w:r>
      <w:r>
        <w:rPr>
          <w:color w:val="auto"/>
        </w:rPr>
        <w:fldChar w:fldCharType="separate"/>
      </w:r>
      <w:r>
        <w:rPr>
          <w:color w:val="auto"/>
        </w:rPr>
        <w:t>5</w:t>
      </w:r>
      <w:r>
        <w:rPr>
          <w:color w:val="auto"/>
        </w:rPr>
        <w:fldChar w:fldCharType="end"/>
      </w:r>
      <w:r>
        <w:rPr>
          <w:color w:val="auto"/>
        </w:rPr>
        <w:fldChar w:fldCharType="end"/>
      </w:r>
    </w:p>
    <w:p w14:paraId="2FBBDA1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"_Toc231283618" </w:instrText>
      </w:r>
      <w:r>
        <w:rPr>
          <w:color w:val="auto"/>
        </w:rPr>
        <w:fldChar w:fldCharType="separate"/>
      </w:r>
      <w:r>
        <w:rPr>
          <w:rStyle w:val="60"/>
          <w:color w:val="auto"/>
        </w:rPr>
        <w:t>2.4 竣工环境保护验收技术规范和指南</w:t>
      </w:r>
      <w:r>
        <w:rPr>
          <w:color w:val="auto"/>
        </w:rPr>
        <w:tab/>
      </w:r>
      <w:r>
        <w:rPr>
          <w:color w:val="auto"/>
        </w:rPr>
        <w:fldChar w:fldCharType="begin"/>
      </w:r>
      <w:r>
        <w:rPr>
          <w:color w:val="auto"/>
        </w:rPr>
        <w:instrText xml:space="preserve"> PAGEREF _Toc231283618 \h </w:instrText>
      </w:r>
      <w:r>
        <w:rPr>
          <w:color w:val="auto"/>
        </w:rPr>
        <w:fldChar w:fldCharType="separate"/>
      </w:r>
      <w:r>
        <w:rPr>
          <w:color w:val="auto"/>
        </w:rPr>
        <w:t>6</w:t>
      </w:r>
      <w:r>
        <w:rPr>
          <w:color w:val="auto"/>
        </w:rPr>
        <w:fldChar w:fldCharType="end"/>
      </w:r>
      <w:r>
        <w:rPr>
          <w:color w:val="auto"/>
        </w:rPr>
        <w:fldChar w:fldCharType="end"/>
      </w:r>
    </w:p>
    <w:p w14:paraId="7D6836DF">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"_Toc231283619" </w:instrText>
      </w:r>
      <w:r>
        <w:rPr>
          <w:color w:val="auto"/>
        </w:rPr>
        <w:fldChar w:fldCharType="separate"/>
      </w:r>
      <w:r>
        <w:rPr>
          <w:rStyle w:val="60"/>
          <w:color w:val="auto"/>
        </w:rPr>
        <w:t>2.5 环境影响评价文件、环评审批文件及其他相关文件</w:t>
      </w:r>
      <w:r>
        <w:rPr>
          <w:color w:val="auto"/>
        </w:rPr>
        <w:tab/>
      </w:r>
      <w:r>
        <w:rPr>
          <w:color w:val="auto"/>
        </w:rPr>
        <w:fldChar w:fldCharType="begin"/>
      </w:r>
      <w:r>
        <w:rPr>
          <w:color w:val="auto"/>
        </w:rPr>
        <w:instrText xml:space="preserve"> PAGEREF _Toc231283619 \h </w:instrText>
      </w:r>
      <w:r>
        <w:rPr>
          <w:color w:val="auto"/>
        </w:rPr>
        <w:fldChar w:fldCharType="separate"/>
      </w:r>
      <w:r>
        <w:rPr>
          <w:color w:val="auto"/>
        </w:rPr>
        <w:t>6</w:t>
      </w:r>
      <w:r>
        <w:rPr>
          <w:color w:val="auto"/>
        </w:rPr>
        <w:fldChar w:fldCharType="end"/>
      </w:r>
      <w:r>
        <w:rPr>
          <w:color w:val="auto"/>
        </w:rPr>
        <w:fldChar w:fldCharType="end"/>
      </w:r>
    </w:p>
    <w:p w14:paraId="5793FC25">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"_Toc231283620" </w:instrText>
      </w:r>
      <w:r>
        <w:rPr>
          <w:color w:val="auto"/>
        </w:rPr>
        <w:fldChar w:fldCharType="separate"/>
      </w:r>
      <w:r>
        <w:rPr>
          <w:rStyle w:val="60"/>
          <w:color w:val="auto"/>
        </w:rPr>
        <w:t>3 项目建设情况调查</w:t>
      </w:r>
      <w:r>
        <w:rPr>
          <w:color w:val="auto"/>
        </w:rPr>
        <w:tab/>
      </w:r>
      <w:r>
        <w:rPr>
          <w:color w:val="auto"/>
        </w:rPr>
        <w:fldChar w:fldCharType="begin"/>
      </w:r>
      <w:r>
        <w:rPr>
          <w:color w:val="auto"/>
        </w:rPr>
        <w:instrText xml:space="preserve"> PAGEREF _Toc231283620 \h </w:instrText>
      </w:r>
      <w:r>
        <w:rPr>
          <w:color w:val="auto"/>
        </w:rPr>
        <w:fldChar w:fldCharType="separate"/>
      </w:r>
      <w:r>
        <w:rPr>
          <w:color w:val="auto"/>
        </w:rPr>
        <w:t>7</w:t>
      </w:r>
      <w:r>
        <w:rPr>
          <w:color w:val="auto"/>
        </w:rPr>
        <w:fldChar w:fldCharType="end"/>
      </w:r>
      <w:r>
        <w:rPr>
          <w:color w:val="auto"/>
        </w:rPr>
        <w:fldChar w:fldCharType="end"/>
      </w:r>
    </w:p>
    <w:p w14:paraId="110CB843">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"_Toc231283621" </w:instrText>
      </w:r>
      <w:r>
        <w:rPr>
          <w:color w:val="auto"/>
        </w:rPr>
        <w:fldChar w:fldCharType="separate"/>
      </w:r>
      <w:r>
        <w:rPr>
          <w:rStyle w:val="60"/>
          <w:color w:val="auto"/>
        </w:rPr>
        <w:t>3.1 现有工程</w:t>
      </w:r>
      <w:r>
        <w:rPr>
          <w:color w:val="auto"/>
        </w:rPr>
        <w:tab/>
      </w:r>
      <w:r>
        <w:rPr>
          <w:color w:val="auto"/>
        </w:rPr>
        <w:fldChar w:fldCharType="begin"/>
      </w:r>
      <w:r>
        <w:rPr>
          <w:color w:val="auto"/>
        </w:rPr>
        <w:instrText xml:space="preserve"> PAGEREF _Toc231283621 \h </w:instrText>
      </w:r>
      <w:r>
        <w:rPr>
          <w:color w:val="auto"/>
        </w:rPr>
        <w:fldChar w:fldCharType="separate"/>
      </w:r>
      <w:r>
        <w:rPr>
          <w:color w:val="auto"/>
        </w:rPr>
        <w:t>7</w:t>
      </w:r>
      <w:r>
        <w:rPr>
          <w:color w:val="auto"/>
        </w:rPr>
        <w:fldChar w:fldCharType="end"/>
      </w:r>
      <w:r>
        <w:rPr>
          <w:color w:val="auto"/>
        </w:rPr>
        <w:fldChar w:fldCharType="end"/>
      </w:r>
    </w:p>
    <w:p w14:paraId="7B1520E2">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"_Toc231283622" </w:instrText>
      </w:r>
      <w:r>
        <w:rPr>
          <w:color w:val="auto"/>
        </w:rPr>
        <w:fldChar w:fldCharType="separate"/>
      </w:r>
      <w:r>
        <w:rPr>
          <w:rStyle w:val="60"/>
          <w:color w:val="auto"/>
        </w:rPr>
        <w:t>3.2 本期工程建设内容</w:t>
      </w:r>
      <w:r>
        <w:rPr>
          <w:color w:val="auto"/>
        </w:rPr>
        <w:tab/>
      </w:r>
      <w:r>
        <w:rPr>
          <w:color w:val="auto"/>
        </w:rPr>
        <w:fldChar w:fldCharType="begin"/>
      </w:r>
      <w:r>
        <w:rPr>
          <w:color w:val="auto"/>
        </w:rPr>
        <w:instrText xml:space="preserve"> PAGEREF _Toc231283622 \h </w:instrText>
      </w:r>
      <w:r>
        <w:rPr>
          <w:color w:val="auto"/>
        </w:rPr>
        <w:fldChar w:fldCharType="separate"/>
      </w:r>
      <w:r>
        <w:rPr>
          <w:color w:val="auto"/>
        </w:rPr>
        <w:t>12</w:t>
      </w:r>
      <w:r>
        <w:rPr>
          <w:color w:val="auto"/>
        </w:rPr>
        <w:fldChar w:fldCharType="end"/>
      </w:r>
      <w:r>
        <w:rPr>
          <w:color w:val="auto"/>
        </w:rPr>
        <w:fldChar w:fldCharType="end"/>
      </w:r>
    </w:p>
    <w:p w14:paraId="09723C23">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"_Toc231283623" </w:instrText>
      </w:r>
      <w:r>
        <w:rPr>
          <w:color w:val="auto"/>
        </w:rPr>
        <w:fldChar w:fldCharType="separate"/>
      </w:r>
      <w:r>
        <w:rPr>
          <w:rStyle w:val="60"/>
          <w:color w:val="auto"/>
        </w:rPr>
        <w:t>3.3 主要工艺流程</w:t>
      </w:r>
      <w:r>
        <w:rPr>
          <w:color w:val="auto"/>
        </w:rPr>
        <w:tab/>
      </w:r>
      <w:r>
        <w:rPr>
          <w:color w:val="auto"/>
        </w:rPr>
        <w:fldChar w:fldCharType="begin"/>
      </w:r>
      <w:r>
        <w:rPr>
          <w:color w:val="auto"/>
        </w:rPr>
        <w:instrText xml:space="preserve"> PAGEREF _Toc231283623 \h </w:instrText>
      </w:r>
      <w:r>
        <w:rPr>
          <w:color w:val="auto"/>
        </w:rPr>
        <w:fldChar w:fldCharType="separate"/>
      </w:r>
      <w:r>
        <w:rPr>
          <w:color w:val="auto"/>
        </w:rPr>
        <w:t>51</w:t>
      </w:r>
      <w:r>
        <w:rPr>
          <w:color w:val="auto"/>
        </w:rPr>
        <w:fldChar w:fldCharType="end"/>
      </w:r>
      <w:r>
        <w:rPr>
          <w:color w:val="auto"/>
        </w:rPr>
        <w:fldChar w:fldCharType="end"/>
      </w:r>
    </w:p>
    <w:p w14:paraId="3CB14B7E">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"_Toc231283624" </w:instrText>
      </w:r>
      <w:r>
        <w:rPr>
          <w:color w:val="auto"/>
        </w:rPr>
        <w:fldChar w:fldCharType="separate"/>
      </w:r>
      <w:r>
        <w:rPr>
          <w:rStyle w:val="60"/>
          <w:color w:val="auto"/>
        </w:rPr>
        <w:t>3.4 主要污染源统计及采取的环境保护措施</w:t>
      </w:r>
      <w:r>
        <w:rPr>
          <w:color w:val="auto"/>
        </w:rPr>
        <w:tab/>
      </w:r>
      <w:r>
        <w:rPr>
          <w:color w:val="auto"/>
        </w:rPr>
        <w:fldChar w:fldCharType="begin"/>
      </w:r>
      <w:r>
        <w:rPr>
          <w:color w:val="auto"/>
        </w:rPr>
        <w:instrText xml:space="preserve"> PAGEREF _Toc231283624 \h </w:instrText>
      </w:r>
      <w:r>
        <w:rPr>
          <w:color w:val="auto"/>
        </w:rPr>
        <w:fldChar w:fldCharType="separate"/>
      </w:r>
      <w:r>
        <w:rPr>
          <w:color w:val="auto"/>
        </w:rPr>
        <w:t>54</w:t>
      </w:r>
      <w:r>
        <w:rPr>
          <w:color w:val="auto"/>
        </w:rPr>
        <w:fldChar w:fldCharType="end"/>
      </w:r>
      <w:r>
        <w:rPr>
          <w:color w:val="auto"/>
        </w:rPr>
        <w:fldChar w:fldCharType="end"/>
      </w:r>
    </w:p>
    <w:p w14:paraId="34999273">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"_Toc231283625" </w:instrText>
      </w:r>
      <w:r>
        <w:rPr>
          <w:color w:val="auto"/>
        </w:rPr>
        <w:fldChar w:fldCharType="separate"/>
      </w:r>
      <w:r>
        <w:rPr>
          <w:rStyle w:val="60"/>
          <w:color w:val="auto"/>
        </w:rPr>
        <w:t>3.5 环境敏感目标变化情况调查</w:t>
      </w:r>
      <w:r>
        <w:rPr>
          <w:color w:val="auto"/>
        </w:rPr>
        <w:tab/>
      </w:r>
      <w:r>
        <w:rPr>
          <w:color w:val="auto"/>
        </w:rPr>
        <w:fldChar w:fldCharType="begin"/>
      </w:r>
      <w:r>
        <w:rPr>
          <w:color w:val="auto"/>
        </w:rPr>
        <w:instrText xml:space="preserve"> PAGEREF _Toc231283625 \h </w:instrText>
      </w:r>
      <w:r>
        <w:rPr>
          <w:color w:val="auto"/>
        </w:rPr>
        <w:fldChar w:fldCharType="separate"/>
      </w:r>
      <w:r>
        <w:rPr>
          <w:color w:val="auto"/>
        </w:rPr>
        <w:t>65</w:t>
      </w:r>
      <w:r>
        <w:rPr>
          <w:color w:val="auto"/>
        </w:rPr>
        <w:fldChar w:fldCharType="end"/>
      </w:r>
      <w:r>
        <w:rPr>
          <w:color w:val="auto"/>
        </w:rPr>
        <w:fldChar w:fldCharType="end"/>
      </w:r>
    </w:p>
    <w:p w14:paraId="7D14AC9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"_Toc231283626" </w:instrText>
      </w:r>
      <w:r>
        <w:rPr>
          <w:color w:val="auto"/>
        </w:rPr>
        <w:fldChar w:fldCharType="separate"/>
      </w:r>
      <w:r>
        <w:rPr>
          <w:rStyle w:val="60"/>
          <w:color w:val="auto"/>
        </w:rPr>
        <w:t>3.6 工程总投资和环保投资</w:t>
      </w:r>
      <w:r>
        <w:rPr>
          <w:color w:val="auto"/>
        </w:rPr>
        <w:tab/>
      </w:r>
      <w:r>
        <w:rPr>
          <w:color w:val="auto"/>
        </w:rPr>
        <w:fldChar w:fldCharType="begin"/>
      </w:r>
      <w:r>
        <w:rPr>
          <w:color w:val="auto"/>
        </w:rPr>
        <w:instrText xml:space="preserve"> PAGEREF _Toc231283626 \h </w:instrText>
      </w:r>
      <w:r>
        <w:rPr>
          <w:color w:val="auto"/>
        </w:rPr>
        <w:fldChar w:fldCharType="separate"/>
      </w:r>
      <w:r>
        <w:rPr>
          <w:color w:val="auto"/>
        </w:rPr>
        <w:t>70</w:t>
      </w:r>
      <w:r>
        <w:rPr>
          <w:color w:val="auto"/>
        </w:rPr>
        <w:fldChar w:fldCharType="end"/>
      </w:r>
      <w:r>
        <w:rPr>
          <w:color w:val="auto"/>
        </w:rPr>
        <w:fldChar w:fldCharType="end"/>
      </w:r>
    </w:p>
    <w:p w14:paraId="154048C3">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"_Toc231283627" </w:instrText>
      </w:r>
      <w:r>
        <w:rPr>
          <w:color w:val="auto"/>
        </w:rPr>
        <w:fldChar w:fldCharType="separate"/>
      </w:r>
      <w:r>
        <w:rPr>
          <w:rStyle w:val="60"/>
          <w:color w:val="auto"/>
        </w:rPr>
        <w:t>3.7 项目产能规模和验收工况</w:t>
      </w:r>
      <w:r>
        <w:rPr>
          <w:color w:val="auto"/>
        </w:rPr>
        <w:tab/>
      </w:r>
      <w:r>
        <w:rPr>
          <w:color w:val="auto"/>
        </w:rPr>
        <w:fldChar w:fldCharType="begin"/>
      </w:r>
      <w:r>
        <w:rPr>
          <w:color w:val="auto"/>
        </w:rPr>
        <w:instrText xml:space="preserve"> PAGEREF _Toc231283627 \h </w:instrText>
      </w:r>
      <w:r>
        <w:rPr>
          <w:color w:val="auto"/>
        </w:rPr>
        <w:fldChar w:fldCharType="separate"/>
      </w:r>
      <w:r>
        <w:rPr>
          <w:color w:val="auto"/>
        </w:rPr>
        <w:t>70</w:t>
      </w:r>
      <w:r>
        <w:rPr>
          <w:color w:val="auto"/>
        </w:rPr>
        <w:fldChar w:fldCharType="end"/>
      </w:r>
      <w:r>
        <w:rPr>
          <w:color w:val="auto"/>
        </w:rPr>
        <w:fldChar w:fldCharType="end"/>
      </w:r>
    </w:p>
    <w:p w14:paraId="2A75C3FB">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"_Toc231283628" </w:instrText>
      </w:r>
      <w:r>
        <w:rPr>
          <w:color w:val="auto"/>
        </w:rPr>
        <w:fldChar w:fldCharType="separate"/>
      </w:r>
      <w:r>
        <w:rPr>
          <w:rStyle w:val="60"/>
          <w:color w:val="auto"/>
        </w:rPr>
        <w:t>3.8 项目变动情况</w:t>
      </w:r>
      <w:r>
        <w:rPr>
          <w:color w:val="auto"/>
        </w:rPr>
        <w:tab/>
      </w:r>
      <w:r>
        <w:rPr>
          <w:color w:val="auto"/>
        </w:rPr>
        <w:fldChar w:fldCharType="begin"/>
      </w:r>
      <w:r>
        <w:rPr>
          <w:color w:val="auto"/>
        </w:rPr>
        <w:instrText xml:space="preserve"> PAGEREF _Toc231283628 \h </w:instrText>
      </w:r>
      <w:r>
        <w:rPr>
          <w:color w:val="auto"/>
        </w:rPr>
        <w:fldChar w:fldCharType="separate"/>
      </w:r>
      <w:r>
        <w:rPr>
          <w:color w:val="auto"/>
        </w:rPr>
        <w:t>71</w:t>
      </w:r>
      <w:r>
        <w:rPr>
          <w:color w:val="auto"/>
        </w:rPr>
        <w:fldChar w:fldCharType="end"/>
      </w:r>
      <w:r>
        <w:rPr>
          <w:color w:val="auto"/>
        </w:rPr>
        <w:fldChar w:fldCharType="end"/>
      </w:r>
    </w:p>
    <w:p w14:paraId="0184E875">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"_Toc231283629" </w:instrText>
      </w:r>
      <w:r>
        <w:rPr>
          <w:color w:val="auto"/>
        </w:rPr>
        <w:fldChar w:fldCharType="separate"/>
      </w:r>
      <w:r>
        <w:rPr>
          <w:rStyle w:val="60"/>
          <w:color w:val="auto"/>
        </w:rPr>
        <w:t>4 验收调查依据</w:t>
      </w:r>
      <w:r>
        <w:rPr>
          <w:color w:val="auto"/>
        </w:rPr>
        <w:tab/>
      </w:r>
      <w:r>
        <w:rPr>
          <w:color w:val="auto"/>
        </w:rPr>
        <w:fldChar w:fldCharType="begin"/>
      </w:r>
      <w:r>
        <w:rPr>
          <w:color w:val="auto"/>
        </w:rPr>
        <w:instrText xml:space="preserve"> PAGEREF _Toc231283629 \h </w:instrText>
      </w:r>
      <w:r>
        <w:rPr>
          <w:color w:val="auto"/>
        </w:rPr>
        <w:fldChar w:fldCharType="separate"/>
      </w:r>
      <w:r>
        <w:rPr>
          <w:color w:val="auto"/>
        </w:rPr>
        <w:t>79</w:t>
      </w:r>
      <w:r>
        <w:rPr>
          <w:color w:val="auto"/>
        </w:rPr>
        <w:fldChar w:fldCharType="end"/>
      </w:r>
      <w:r>
        <w:rPr>
          <w:color w:val="auto"/>
        </w:rPr>
        <w:fldChar w:fldCharType="end"/>
      </w:r>
    </w:p>
    <w:p w14:paraId="2D9BB489">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"_Toc231283630" </w:instrText>
      </w:r>
      <w:r>
        <w:rPr>
          <w:color w:val="auto"/>
        </w:rPr>
        <w:fldChar w:fldCharType="separate"/>
      </w:r>
      <w:r>
        <w:rPr>
          <w:rStyle w:val="60"/>
          <w:color w:val="auto"/>
        </w:rPr>
        <w:t>4.1 环境影响报告书主要结论与建议</w:t>
      </w:r>
      <w:r>
        <w:rPr>
          <w:color w:val="auto"/>
        </w:rPr>
        <w:tab/>
      </w:r>
      <w:r>
        <w:rPr>
          <w:color w:val="auto"/>
        </w:rPr>
        <w:fldChar w:fldCharType="begin"/>
      </w:r>
      <w:r>
        <w:rPr>
          <w:color w:val="auto"/>
        </w:rPr>
        <w:instrText xml:space="preserve"> PAGEREF _Toc231283630 \h </w:instrText>
      </w:r>
      <w:r>
        <w:rPr>
          <w:color w:val="auto"/>
        </w:rPr>
        <w:fldChar w:fldCharType="separate"/>
      </w:r>
      <w:r>
        <w:rPr>
          <w:color w:val="auto"/>
        </w:rPr>
        <w:t>79</w:t>
      </w:r>
      <w:r>
        <w:rPr>
          <w:color w:val="auto"/>
        </w:rPr>
        <w:fldChar w:fldCharType="end"/>
      </w:r>
      <w:r>
        <w:rPr>
          <w:color w:val="auto"/>
        </w:rPr>
        <w:fldChar w:fldCharType="end"/>
      </w:r>
    </w:p>
    <w:p w14:paraId="5F0A49C5">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"_Toc231283631" </w:instrText>
      </w:r>
      <w:r>
        <w:rPr>
          <w:color w:val="auto"/>
        </w:rPr>
        <w:fldChar w:fldCharType="separate"/>
      </w:r>
      <w:r>
        <w:rPr>
          <w:rStyle w:val="60"/>
          <w:color w:val="auto"/>
        </w:rPr>
        <w:t>4.2 审批部门审批决定</w:t>
      </w:r>
      <w:r>
        <w:rPr>
          <w:color w:val="auto"/>
        </w:rPr>
        <w:tab/>
      </w:r>
      <w:r>
        <w:rPr>
          <w:color w:val="auto"/>
        </w:rPr>
        <w:fldChar w:fldCharType="begin"/>
      </w:r>
      <w:r>
        <w:rPr>
          <w:color w:val="auto"/>
        </w:rPr>
        <w:instrText xml:space="preserve"> PAGEREF _Toc231283631 \h </w:instrText>
      </w:r>
      <w:r>
        <w:rPr>
          <w:color w:val="auto"/>
        </w:rPr>
        <w:fldChar w:fldCharType="separate"/>
      </w:r>
      <w:r>
        <w:rPr>
          <w:color w:val="auto"/>
        </w:rPr>
        <w:t>89</w:t>
      </w:r>
      <w:r>
        <w:rPr>
          <w:color w:val="auto"/>
        </w:rPr>
        <w:fldChar w:fldCharType="end"/>
      </w:r>
      <w:r>
        <w:rPr>
          <w:color w:val="auto"/>
        </w:rPr>
        <w:fldChar w:fldCharType="end"/>
      </w:r>
    </w:p>
    <w:p w14:paraId="4CFDE478">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"_Toc231283632" </w:instrText>
      </w:r>
      <w:r>
        <w:rPr>
          <w:color w:val="auto"/>
        </w:rPr>
        <w:fldChar w:fldCharType="separate"/>
      </w:r>
      <w:r>
        <w:rPr>
          <w:rStyle w:val="60"/>
          <w:color w:val="auto"/>
        </w:rPr>
        <w:t>4.3 验收执行标准</w:t>
      </w:r>
      <w:r>
        <w:rPr>
          <w:color w:val="auto"/>
        </w:rPr>
        <w:tab/>
      </w:r>
      <w:r>
        <w:rPr>
          <w:color w:val="auto"/>
        </w:rPr>
        <w:fldChar w:fldCharType="begin"/>
      </w:r>
      <w:r>
        <w:rPr>
          <w:color w:val="auto"/>
        </w:rPr>
        <w:instrText xml:space="preserve"> PAGEREF _Toc231283632 \h </w:instrText>
      </w:r>
      <w:r>
        <w:rPr>
          <w:color w:val="auto"/>
        </w:rPr>
        <w:fldChar w:fldCharType="separate"/>
      </w:r>
      <w:r>
        <w:rPr>
          <w:color w:val="auto"/>
        </w:rPr>
        <w:t>91</w:t>
      </w:r>
      <w:r>
        <w:rPr>
          <w:color w:val="auto"/>
        </w:rPr>
        <w:fldChar w:fldCharType="end"/>
      </w:r>
      <w:r>
        <w:rPr>
          <w:color w:val="auto"/>
        </w:rPr>
        <w:fldChar w:fldCharType="end"/>
      </w:r>
    </w:p>
    <w:p w14:paraId="66CA80BA">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"_Toc231283633" </w:instrText>
      </w:r>
      <w:r>
        <w:rPr>
          <w:color w:val="auto"/>
        </w:rPr>
        <w:fldChar w:fldCharType="separate"/>
      </w:r>
      <w:r>
        <w:rPr>
          <w:rStyle w:val="60"/>
          <w:color w:val="auto"/>
        </w:rPr>
        <w:t>5 环境保护设施调查</w:t>
      </w:r>
      <w:r>
        <w:rPr>
          <w:color w:val="auto"/>
        </w:rPr>
        <w:tab/>
      </w:r>
      <w:r>
        <w:rPr>
          <w:color w:val="auto"/>
        </w:rPr>
        <w:fldChar w:fldCharType="begin"/>
      </w:r>
      <w:r>
        <w:rPr>
          <w:color w:val="auto"/>
        </w:rPr>
        <w:instrText xml:space="preserve"> PAGEREF _Toc231283633 \h </w:instrText>
      </w:r>
      <w:r>
        <w:rPr>
          <w:color w:val="auto"/>
        </w:rPr>
        <w:fldChar w:fldCharType="separate"/>
      </w:r>
      <w:r>
        <w:rPr>
          <w:color w:val="auto"/>
        </w:rPr>
        <w:t>95</w:t>
      </w:r>
      <w:r>
        <w:rPr>
          <w:color w:val="auto"/>
        </w:rPr>
        <w:fldChar w:fldCharType="end"/>
      </w:r>
      <w:r>
        <w:rPr>
          <w:color w:val="auto"/>
        </w:rPr>
        <w:fldChar w:fldCharType="end"/>
      </w:r>
    </w:p>
    <w:p w14:paraId="4DB76808">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"_Toc231283634" </w:instrText>
      </w:r>
      <w:r>
        <w:rPr>
          <w:color w:val="auto"/>
        </w:rPr>
        <w:fldChar w:fldCharType="separate"/>
      </w:r>
      <w:r>
        <w:rPr>
          <w:rStyle w:val="60"/>
          <w:color w:val="auto"/>
        </w:rPr>
        <w:t>5.1 生态保护工程和设施</w:t>
      </w:r>
      <w:r>
        <w:rPr>
          <w:color w:val="auto"/>
        </w:rPr>
        <w:tab/>
      </w:r>
      <w:r>
        <w:rPr>
          <w:color w:val="auto"/>
        </w:rPr>
        <w:fldChar w:fldCharType="begin"/>
      </w:r>
      <w:r>
        <w:rPr>
          <w:color w:val="auto"/>
        </w:rPr>
        <w:instrText xml:space="preserve"> PAGEREF _Toc231283634 \h </w:instrText>
      </w:r>
      <w:r>
        <w:rPr>
          <w:color w:val="auto"/>
        </w:rPr>
        <w:fldChar w:fldCharType="separate"/>
      </w:r>
      <w:r>
        <w:rPr>
          <w:color w:val="auto"/>
        </w:rPr>
        <w:t>95</w:t>
      </w:r>
      <w:r>
        <w:rPr>
          <w:color w:val="auto"/>
        </w:rPr>
        <w:fldChar w:fldCharType="end"/>
      </w:r>
      <w:r>
        <w:rPr>
          <w:color w:val="auto"/>
        </w:rPr>
        <w:fldChar w:fldCharType="end"/>
      </w:r>
    </w:p>
    <w:p w14:paraId="48564C26">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"_Toc231283635" </w:instrText>
      </w:r>
      <w:r>
        <w:rPr>
          <w:color w:val="auto"/>
        </w:rPr>
        <w:fldChar w:fldCharType="separate"/>
      </w:r>
      <w:r>
        <w:rPr>
          <w:rStyle w:val="60"/>
          <w:color w:val="auto"/>
        </w:rPr>
        <w:t>5.2 污染防治和处置设施</w:t>
      </w:r>
      <w:r>
        <w:rPr>
          <w:color w:val="auto"/>
        </w:rPr>
        <w:tab/>
      </w:r>
      <w:r>
        <w:rPr>
          <w:color w:val="auto"/>
        </w:rPr>
        <w:fldChar w:fldCharType="begin"/>
      </w:r>
      <w:r>
        <w:rPr>
          <w:color w:val="auto"/>
        </w:rPr>
        <w:instrText xml:space="preserve"> PAGEREF _Toc231283635 \h </w:instrText>
      </w:r>
      <w:r>
        <w:rPr>
          <w:color w:val="auto"/>
        </w:rPr>
        <w:fldChar w:fldCharType="separate"/>
      </w:r>
      <w:r>
        <w:rPr>
          <w:color w:val="auto"/>
        </w:rPr>
        <w:t>96</w:t>
      </w:r>
      <w:r>
        <w:rPr>
          <w:color w:val="auto"/>
        </w:rPr>
        <w:fldChar w:fldCharType="end"/>
      </w:r>
      <w:r>
        <w:rPr>
          <w:color w:val="auto"/>
        </w:rPr>
        <w:fldChar w:fldCharType="end"/>
      </w:r>
    </w:p>
    <w:p w14:paraId="4B1CB4F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"_Toc231283636" </w:instrText>
      </w:r>
      <w:r>
        <w:rPr>
          <w:color w:val="auto"/>
        </w:rPr>
        <w:fldChar w:fldCharType="separate"/>
      </w:r>
      <w:r>
        <w:rPr>
          <w:rStyle w:val="60"/>
          <w:color w:val="auto"/>
        </w:rPr>
        <w:t>5.3 “三同时”落实情况</w:t>
      </w:r>
      <w:r>
        <w:rPr>
          <w:color w:val="auto"/>
        </w:rPr>
        <w:tab/>
      </w:r>
      <w:r>
        <w:rPr>
          <w:color w:val="auto"/>
        </w:rPr>
        <w:fldChar w:fldCharType="begin"/>
      </w:r>
      <w:r>
        <w:rPr>
          <w:color w:val="auto"/>
        </w:rPr>
        <w:instrText xml:space="preserve"> PAGEREF _Toc231283636 \h </w:instrText>
      </w:r>
      <w:r>
        <w:rPr>
          <w:color w:val="auto"/>
        </w:rPr>
        <w:fldChar w:fldCharType="separate"/>
      </w:r>
      <w:r>
        <w:rPr>
          <w:color w:val="auto"/>
        </w:rPr>
        <w:t>102</w:t>
      </w:r>
      <w:r>
        <w:rPr>
          <w:color w:val="auto"/>
        </w:rPr>
        <w:fldChar w:fldCharType="end"/>
      </w:r>
      <w:r>
        <w:rPr>
          <w:color w:val="auto"/>
        </w:rPr>
        <w:fldChar w:fldCharType="end"/>
      </w:r>
    </w:p>
    <w:p w14:paraId="49E5215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"_Toc231283637" </w:instrText>
      </w:r>
      <w:r>
        <w:rPr>
          <w:color w:val="auto"/>
        </w:rPr>
        <w:fldChar w:fldCharType="separate"/>
      </w:r>
      <w:r>
        <w:rPr>
          <w:rStyle w:val="60"/>
          <w:color w:val="auto"/>
        </w:rPr>
        <w:t>5.4 在线监测装置</w:t>
      </w:r>
      <w:r>
        <w:rPr>
          <w:color w:val="auto"/>
        </w:rPr>
        <w:tab/>
      </w:r>
      <w:r>
        <w:rPr>
          <w:color w:val="auto"/>
        </w:rPr>
        <w:fldChar w:fldCharType="begin"/>
      </w:r>
      <w:r>
        <w:rPr>
          <w:color w:val="auto"/>
        </w:rPr>
        <w:instrText xml:space="preserve"> PAGEREF _Toc231283637 \h </w:instrText>
      </w:r>
      <w:r>
        <w:rPr>
          <w:color w:val="auto"/>
        </w:rPr>
        <w:fldChar w:fldCharType="separate"/>
      </w:r>
      <w:r>
        <w:rPr>
          <w:color w:val="auto"/>
        </w:rPr>
        <w:t>108</w:t>
      </w:r>
      <w:r>
        <w:rPr>
          <w:color w:val="auto"/>
        </w:rPr>
        <w:fldChar w:fldCharType="end"/>
      </w:r>
      <w:r>
        <w:rPr>
          <w:color w:val="auto"/>
        </w:rPr>
        <w:fldChar w:fldCharType="end"/>
      </w:r>
    </w:p>
    <w:p w14:paraId="24C15C42">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"_Toc231283638" </w:instrText>
      </w:r>
      <w:r>
        <w:rPr>
          <w:color w:val="auto"/>
        </w:rPr>
        <w:fldChar w:fldCharType="separate"/>
      </w:r>
      <w:r>
        <w:rPr>
          <w:rStyle w:val="60"/>
          <w:color w:val="auto"/>
        </w:rPr>
        <w:t>6 环境影响调查</w:t>
      </w:r>
      <w:r>
        <w:rPr>
          <w:color w:val="auto"/>
        </w:rPr>
        <w:tab/>
      </w:r>
      <w:r>
        <w:rPr>
          <w:color w:val="auto"/>
        </w:rPr>
        <w:fldChar w:fldCharType="begin"/>
      </w:r>
      <w:r>
        <w:rPr>
          <w:color w:val="auto"/>
        </w:rPr>
        <w:instrText xml:space="preserve"> PAGEREF _Toc231283638 \h </w:instrText>
      </w:r>
      <w:r>
        <w:rPr>
          <w:color w:val="auto"/>
        </w:rPr>
        <w:fldChar w:fldCharType="separate"/>
      </w:r>
      <w:r>
        <w:rPr>
          <w:color w:val="auto"/>
        </w:rPr>
        <w:t>108</w:t>
      </w:r>
      <w:r>
        <w:rPr>
          <w:color w:val="auto"/>
        </w:rPr>
        <w:fldChar w:fldCharType="end"/>
      </w:r>
      <w:r>
        <w:rPr>
          <w:color w:val="auto"/>
        </w:rPr>
        <w:fldChar w:fldCharType="end"/>
      </w:r>
    </w:p>
    <w:p w14:paraId="5A443B09">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"_Toc231283639" </w:instrText>
      </w:r>
      <w:r>
        <w:rPr>
          <w:color w:val="auto"/>
        </w:rPr>
        <w:fldChar w:fldCharType="separate"/>
      </w:r>
      <w:r>
        <w:rPr>
          <w:rStyle w:val="60"/>
          <w:color w:val="auto"/>
        </w:rPr>
        <w:t>6.1 调查目的及原则</w:t>
      </w:r>
      <w:r>
        <w:rPr>
          <w:color w:val="auto"/>
        </w:rPr>
        <w:tab/>
      </w:r>
      <w:r>
        <w:rPr>
          <w:color w:val="auto"/>
        </w:rPr>
        <w:fldChar w:fldCharType="begin"/>
      </w:r>
      <w:r>
        <w:rPr>
          <w:color w:val="auto"/>
        </w:rPr>
        <w:instrText xml:space="preserve"> PAGEREF _Toc231283639 \h </w:instrText>
      </w:r>
      <w:r>
        <w:rPr>
          <w:color w:val="auto"/>
        </w:rPr>
        <w:fldChar w:fldCharType="separate"/>
      </w:r>
      <w:r>
        <w:rPr>
          <w:color w:val="auto"/>
        </w:rPr>
        <w:t>108</w:t>
      </w:r>
      <w:r>
        <w:rPr>
          <w:color w:val="auto"/>
        </w:rPr>
        <w:fldChar w:fldCharType="end"/>
      </w:r>
      <w:r>
        <w:rPr>
          <w:color w:val="auto"/>
        </w:rPr>
        <w:fldChar w:fldCharType="end"/>
      </w:r>
    </w:p>
    <w:p w14:paraId="1D55900F">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"_Toc231283640" </w:instrText>
      </w:r>
      <w:r>
        <w:rPr>
          <w:color w:val="auto"/>
        </w:rPr>
        <w:fldChar w:fldCharType="separate"/>
      </w:r>
      <w:r>
        <w:rPr>
          <w:rStyle w:val="60"/>
          <w:color w:val="auto"/>
        </w:rPr>
        <w:t>6.2 调查方法</w:t>
      </w:r>
      <w:r>
        <w:rPr>
          <w:color w:val="auto"/>
        </w:rPr>
        <w:tab/>
      </w:r>
      <w:r>
        <w:rPr>
          <w:color w:val="auto"/>
        </w:rPr>
        <w:fldChar w:fldCharType="begin"/>
      </w:r>
      <w:r>
        <w:rPr>
          <w:color w:val="auto"/>
        </w:rPr>
        <w:instrText xml:space="preserve"> PAGEREF _Toc231283640 \h </w:instrText>
      </w:r>
      <w:r>
        <w:rPr>
          <w:color w:val="auto"/>
        </w:rPr>
        <w:fldChar w:fldCharType="separate"/>
      </w:r>
      <w:r>
        <w:rPr>
          <w:color w:val="auto"/>
        </w:rPr>
        <w:t>108</w:t>
      </w:r>
      <w:r>
        <w:rPr>
          <w:color w:val="auto"/>
        </w:rPr>
        <w:fldChar w:fldCharType="end"/>
      </w:r>
      <w:r>
        <w:rPr>
          <w:color w:val="auto"/>
        </w:rPr>
        <w:fldChar w:fldCharType="end"/>
      </w:r>
    </w:p>
    <w:p w14:paraId="3D436133">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"_Toc231283641" </w:instrText>
      </w:r>
      <w:r>
        <w:rPr>
          <w:color w:val="auto"/>
        </w:rPr>
        <w:fldChar w:fldCharType="separate"/>
      </w:r>
      <w:r>
        <w:rPr>
          <w:rStyle w:val="60"/>
          <w:color w:val="auto"/>
        </w:rPr>
        <w:t>6.3 调查范围和调查因子</w:t>
      </w:r>
      <w:r>
        <w:rPr>
          <w:color w:val="auto"/>
        </w:rPr>
        <w:tab/>
      </w:r>
      <w:r>
        <w:rPr>
          <w:color w:val="auto"/>
        </w:rPr>
        <w:fldChar w:fldCharType="begin"/>
      </w:r>
      <w:r>
        <w:rPr>
          <w:color w:val="auto"/>
        </w:rPr>
        <w:instrText xml:space="preserve"> PAGEREF _Toc231283641 \h </w:instrText>
      </w:r>
      <w:r>
        <w:rPr>
          <w:color w:val="auto"/>
        </w:rPr>
        <w:fldChar w:fldCharType="separate"/>
      </w:r>
      <w:r>
        <w:rPr>
          <w:color w:val="auto"/>
        </w:rPr>
        <w:t>109</w:t>
      </w:r>
      <w:r>
        <w:rPr>
          <w:color w:val="auto"/>
        </w:rPr>
        <w:fldChar w:fldCharType="end"/>
      </w:r>
      <w:r>
        <w:rPr>
          <w:color w:val="auto"/>
        </w:rPr>
        <w:fldChar w:fldCharType="end"/>
      </w:r>
    </w:p>
    <w:p w14:paraId="46F1B89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"_Toc231283642" </w:instrText>
      </w:r>
      <w:r>
        <w:rPr>
          <w:color w:val="auto"/>
        </w:rPr>
        <w:fldChar w:fldCharType="separate"/>
      </w:r>
      <w:r>
        <w:rPr>
          <w:rStyle w:val="60"/>
          <w:color w:val="auto"/>
        </w:rPr>
        <w:t>6.4 环境影响监测</w:t>
      </w:r>
      <w:r>
        <w:rPr>
          <w:color w:val="auto"/>
        </w:rPr>
        <w:tab/>
      </w:r>
      <w:r>
        <w:rPr>
          <w:color w:val="auto"/>
        </w:rPr>
        <w:fldChar w:fldCharType="begin"/>
      </w:r>
      <w:r>
        <w:rPr>
          <w:color w:val="auto"/>
        </w:rPr>
        <w:instrText xml:space="preserve"> PAGEREF _Toc231283642 \h </w:instrText>
      </w:r>
      <w:r>
        <w:rPr>
          <w:color w:val="auto"/>
        </w:rPr>
        <w:fldChar w:fldCharType="separate"/>
      </w:r>
      <w:r>
        <w:rPr>
          <w:color w:val="auto"/>
        </w:rPr>
        <w:t>110</w:t>
      </w:r>
      <w:r>
        <w:rPr>
          <w:color w:val="auto"/>
        </w:rPr>
        <w:fldChar w:fldCharType="end"/>
      </w:r>
      <w:r>
        <w:rPr>
          <w:color w:val="auto"/>
        </w:rPr>
        <w:fldChar w:fldCharType="end"/>
      </w:r>
    </w:p>
    <w:p w14:paraId="3AF7CD1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"_Toc231283643" </w:instrText>
      </w:r>
      <w:r>
        <w:rPr>
          <w:color w:val="auto"/>
        </w:rPr>
        <w:fldChar w:fldCharType="separate"/>
      </w:r>
      <w:r>
        <w:rPr>
          <w:rStyle w:val="60"/>
          <w:color w:val="auto"/>
        </w:rPr>
        <w:t>6.5 施工期环境影响调查</w:t>
      </w:r>
      <w:r>
        <w:rPr>
          <w:color w:val="auto"/>
        </w:rPr>
        <w:tab/>
      </w:r>
      <w:r>
        <w:rPr>
          <w:color w:val="auto"/>
        </w:rPr>
        <w:fldChar w:fldCharType="begin"/>
      </w:r>
      <w:r>
        <w:rPr>
          <w:color w:val="auto"/>
        </w:rPr>
        <w:instrText xml:space="preserve"> PAGEREF _Toc231283643 \h </w:instrText>
      </w:r>
      <w:r>
        <w:rPr>
          <w:color w:val="auto"/>
        </w:rPr>
        <w:fldChar w:fldCharType="separate"/>
      </w:r>
      <w:r>
        <w:rPr>
          <w:color w:val="auto"/>
        </w:rPr>
        <w:t>152</w:t>
      </w:r>
      <w:r>
        <w:rPr>
          <w:color w:val="auto"/>
        </w:rPr>
        <w:fldChar w:fldCharType="end"/>
      </w:r>
      <w:r>
        <w:rPr>
          <w:color w:val="auto"/>
        </w:rPr>
        <w:fldChar w:fldCharType="end"/>
      </w:r>
    </w:p>
    <w:p w14:paraId="61EA36F5">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"_Toc231283644" </w:instrText>
      </w:r>
      <w:r>
        <w:rPr>
          <w:color w:val="auto"/>
        </w:rPr>
        <w:fldChar w:fldCharType="separate"/>
      </w:r>
      <w:r>
        <w:rPr>
          <w:rStyle w:val="60"/>
          <w:color w:val="auto"/>
        </w:rPr>
        <w:t>6.6 运营期环境影响调查</w:t>
      </w:r>
      <w:r>
        <w:rPr>
          <w:color w:val="auto"/>
        </w:rPr>
        <w:tab/>
      </w:r>
      <w:r>
        <w:rPr>
          <w:color w:val="auto"/>
        </w:rPr>
        <w:fldChar w:fldCharType="begin"/>
      </w:r>
      <w:r>
        <w:rPr>
          <w:color w:val="auto"/>
        </w:rPr>
        <w:instrText xml:space="preserve"> PAGEREF _Toc231283644 \h </w:instrText>
      </w:r>
      <w:r>
        <w:rPr>
          <w:color w:val="auto"/>
        </w:rPr>
        <w:fldChar w:fldCharType="separate"/>
      </w:r>
      <w:r>
        <w:rPr>
          <w:color w:val="auto"/>
        </w:rPr>
        <w:t>156</w:t>
      </w:r>
      <w:r>
        <w:rPr>
          <w:color w:val="auto"/>
        </w:rPr>
        <w:fldChar w:fldCharType="end"/>
      </w:r>
      <w:r>
        <w:rPr>
          <w:color w:val="auto"/>
        </w:rPr>
        <w:fldChar w:fldCharType="end"/>
      </w:r>
    </w:p>
    <w:p w14:paraId="76579772">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"_Toc231283645" </w:instrText>
      </w:r>
      <w:r>
        <w:rPr>
          <w:color w:val="auto"/>
        </w:rPr>
        <w:fldChar w:fldCharType="separate"/>
      </w:r>
      <w:r>
        <w:rPr>
          <w:rStyle w:val="60"/>
          <w:color w:val="auto"/>
        </w:rPr>
        <w:t>6.7 社会影响调查</w:t>
      </w:r>
      <w:r>
        <w:rPr>
          <w:color w:val="auto"/>
        </w:rPr>
        <w:tab/>
      </w:r>
      <w:r>
        <w:rPr>
          <w:color w:val="auto"/>
        </w:rPr>
        <w:fldChar w:fldCharType="begin"/>
      </w:r>
      <w:r>
        <w:rPr>
          <w:color w:val="auto"/>
        </w:rPr>
        <w:instrText xml:space="preserve"> PAGEREF _Toc231283645 \h </w:instrText>
      </w:r>
      <w:r>
        <w:rPr>
          <w:color w:val="auto"/>
        </w:rPr>
        <w:fldChar w:fldCharType="separate"/>
      </w:r>
      <w:r>
        <w:rPr>
          <w:color w:val="auto"/>
        </w:rPr>
        <w:t>158</w:t>
      </w:r>
      <w:r>
        <w:rPr>
          <w:color w:val="auto"/>
        </w:rPr>
        <w:fldChar w:fldCharType="end"/>
      </w:r>
      <w:r>
        <w:rPr>
          <w:color w:val="auto"/>
        </w:rPr>
        <w:fldChar w:fldCharType="end"/>
      </w:r>
    </w:p>
    <w:p w14:paraId="72138990">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"_Toc231283646" </w:instrText>
      </w:r>
      <w:r>
        <w:rPr>
          <w:color w:val="auto"/>
        </w:rPr>
        <w:fldChar w:fldCharType="separate"/>
      </w:r>
      <w:r>
        <w:rPr>
          <w:rStyle w:val="60"/>
          <w:color w:val="auto"/>
        </w:rPr>
        <w:t>7 清洁生产调查</w:t>
      </w:r>
      <w:r>
        <w:rPr>
          <w:color w:val="auto"/>
        </w:rPr>
        <w:tab/>
      </w:r>
      <w:r>
        <w:rPr>
          <w:color w:val="auto"/>
        </w:rPr>
        <w:fldChar w:fldCharType="begin"/>
      </w:r>
      <w:r>
        <w:rPr>
          <w:color w:val="auto"/>
        </w:rPr>
        <w:instrText xml:space="preserve"> PAGEREF _Toc231283646 \h </w:instrText>
      </w:r>
      <w:r>
        <w:rPr>
          <w:color w:val="auto"/>
        </w:rPr>
        <w:fldChar w:fldCharType="separate"/>
      </w:r>
      <w:r>
        <w:rPr>
          <w:color w:val="auto"/>
        </w:rPr>
        <w:t>159</w:t>
      </w:r>
      <w:r>
        <w:rPr>
          <w:color w:val="auto"/>
        </w:rPr>
        <w:fldChar w:fldCharType="end"/>
      </w:r>
      <w:r>
        <w:rPr>
          <w:color w:val="auto"/>
        </w:rPr>
        <w:fldChar w:fldCharType="end"/>
      </w:r>
    </w:p>
    <w:p w14:paraId="1F125AC3">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"_Toc231283647" </w:instrText>
      </w:r>
      <w:r>
        <w:rPr>
          <w:color w:val="auto"/>
        </w:rPr>
        <w:fldChar w:fldCharType="separate"/>
      </w:r>
      <w:r>
        <w:rPr>
          <w:rStyle w:val="60"/>
          <w:color w:val="auto"/>
        </w:rPr>
        <w:t>7.1 实际清洁生产指标调查</w:t>
      </w:r>
      <w:r>
        <w:rPr>
          <w:color w:val="auto"/>
        </w:rPr>
        <w:tab/>
      </w:r>
      <w:r>
        <w:rPr>
          <w:color w:val="auto"/>
        </w:rPr>
        <w:fldChar w:fldCharType="begin"/>
      </w:r>
      <w:r>
        <w:rPr>
          <w:color w:val="auto"/>
        </w:rPr>
        <w:instrText xml:space="preserve"> PAGEREF _Toc231283647 \h </w:instrText>
      </w:r>
      <w:r>
        <w:rPr>
          <w:color w:val="auto"/>
        </w:rPr>
        <w:fldChar w:fldCharType="separate"/>
      </w:r>
      <w:r>
        <w:rPr>
          <w:color w:val="auto"/>
        </w:rPr>
        <w:t>159</w:t>
      </w:r>
      <w:r>
        <w:rPr>
          <w:color w:val="auto"/>
        </w:rPr>
        <w:fldChar w:fldCharType="end"/>
      </w:r>
      <w:r>
        <w:rPr>
          <w:color w:val="auto"/>
        </w:rPr>
        <w:fldChar w:fldCharType="end"/>
      </w:r>
    </w:p>
    <w:p w14:paraId="56694426">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"_Toc231283648" </w:instrText>
      </w:r>
      <w:r>
        <w:rPr>
          <w:color w:val="auto"/>
        </w:rPr>
        <w:fldChar w:fldCharType="separate"/>
      </w:r>
      <w:r>
        <w:rPr>
          <w:rStyle w:val="60"/>
          <w:color w:val="auto"/>
        </w:rPr>
        <w:t>7.2 实际清洁生产指标与环评报告的符合度</w:t>
      </w:r>
      <w:r>
        <w:rPr>
          <w:color w:val="auto"/>
        </w:rPr>
        <w:tab/>
      </w:r>
      <w:r>
        <w:rPr>
          <w:color w:val="auto"/>
        </w:rPr>
        <w:fldChar w:fldCharType="begin"/>
      </w:r>
      <w:r>
        <w:rPr>
          <w:color w:val="auto"/>
        </w:rPr>
        <w:instrText xml:space="preserve"> PAGEREF _Toc231283648 \h </w:instrText>
      </w:r>
      <w:r>
        <w:rPr>
          <w:color w:val="auto"/>
        </w:rPr>
        <w:fldChar w:fldCharType="separate"/>
      </w:r>
      <w:r>
        <w:rPr>
          <w:color w:val="auto"/>
        </w:rPr>
        <w:t>160</w:t>
      </w:r>
      <w:r>
        <w:rPr>
          <w:color w:val="auto"/>
        </w:rPr>
        <w:fldChar w:fldCharType="end"/>
      </w:r>
      <w:r>
        <w:rPr>
          <w:color w:val="auto"/>
        </w:rPr>
        <w:fldChar w:fldCharType="end"/>
      </w:r>
    </w:p>
    <w:p w14:paraId="5479B5C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"_Toc231283649" </w:instrText>
      </w:r>
      <w:r>
        <w:rPr>
          <w:color w:val="auto"/>
        </w:rPr>
        <w:fldChar w:fldCharType="separate"/>
      </w:r>
      <w:r>
        <w:rPr>
          <w:rStyle w:val="60"/>
          <w:color w:val="auto"/>
        </w:rPr>
        <w:t>7.3 实际清洁生产水平</w:t>
      </w:r>
      <w:r>
        <w:rPr>
          <w:color w:val="auto"/>
        </w:rPr>
        <w:tab/>
      </w:r>
      <w:r>
        <w:rPr>
          <w:color w:val="auto"/>
        </w:rPr>
        <w:fldChar w:fldCharType="begin"/>
      </w:r>
      <w:r>
        <w:rPr>
          <w:color w:val="auto"/>
        </w:rPr>
        <w:instrText xml:space="preserve"> PAGEREF _Toc231283649 \h </w:instrText>
      </w:r>
      <w:r>
        <w:rPr>
          <w:color w:val="auto"/>
        </w:rPr>
        <w:fldChar w:fldCharType="separate"/>
      </w:r>
      <w:r>
        <w:rPr>
          <w:color w:val="auto"/>
        </w:rPr>
        <w:t>160</w:t>
      </w:r>
      <w:r>
        <w:rPr>
          <w:color w:val="auto"/>
        </w:rPr>
        <w:fldChar w:fldCharType="end"/>
      </w:r>
      <w:r>
        <w:rPr>
          <w:color w:val="auto"/>
        </w:rPr>
        <w:fldChar w:fldCharType="end"/>
      </w:r>
    </w:p>
    <w:p w14:paraId="7CA2AF8F">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"_Toc231283650" </w:instrText>
      </w:r>
      <w:r>
        <w:rPr>
          <w:color w:val="auto"/>
        </w:rPr>
        <w:fldChar w:fldCharType="separate"/>
      </w:r>
      <w:r>
        <w:rPr>
          <w:rStyle w:val="60"/>
          <w:color w:val="auto"/>
        </w:rPr>
        <w:t>8 环境风险事故防范及应急措施调查</w:t>
      </w:r>
      <w:r>
        <w:rPr>
          <w:color w:val="auto"/>
        </w:rPr>
        <w:tab/>
      </w:r>
      <w:r>
        <w:rPr>
          <w:color w:val="auto"/>
        </w:rPr>
        <w:fldChar w:fldCharType="begin"/>
      </w:r>
      <w:r>
        <w:rPr>
          <w:color w:val="auto"/>
        </w:rPr>
        <w:instrText xml:space="preserve"> PAGEREF _Toc231283650 \h </w:instrText>
      </w:r>
      <w:r>
        <w:rPr>
          <w:color w:val="auto"/>
        </w:rPr>
        <w:fldChar w:fldCharType="separate"/>
      </w:r>
      <w:r>
        <w:rPr>
          <w:color w:val="auto"/>
        </w:rPr>
        <w:t>161</w:t>
      </w:r>
      <w:r>
        <w:rPr>
          <w:color w:val="auto"/>
        </w:rPr>
        <w:fldChar w:fldCharType="end"/>
      </w:r>
      <w:r>
        <w:rPr>
          <w:color w:val="auto"/>
        </w:rPr>
        <w:fldChar w:fldCharType="end"/>
      </w:r>
    </w:p>
    <w:p w14:paraId="07DF5A4E">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"_Toc231283651" </w:instrText>
      </w:r>
      <w:r>
        <w:rPr>
          <w:color w:val="auto"/>
        </w:rPr>
        <w:fldChar w:fldCharType="separate"/>
      </w:r>
      <w:r>
        <w:rPr>
          <w:rStyle w:val="60"/>
          <w:color w:val="auto"/>
        </w:rPr>
        <w:t>8.1 环境风险调查</w:t>
      </w:r>
      <w:r>
        <w:rPr>
          <w:color w:val="auto"/>
        </w:rPr>
        <w:tab/>
      </w:r>
      <w:r>
        <w:rPr>
          <w:color w:val="auto"/>
        </w:rPr>
        <w:fldChar w:fldCharType="begin"/>
      </w:r>
      <w:r>
        <w:rPr>
          <w:color w:val="auto"/>
        </w:rPr>
        <w:instrText xml:space="preserve"> PAGEREF _Toc231283651 \h </w:instrText>
      </w:r>
      <w:r>
        <w:rPr>
          <w:color w:val="auto"/>
        </w:rPr>
        <w:fldChar w:fldCharType="separate"/>
      </w:r>
      <w:r>
        <w:rPr>
          <w:color w:val="auto"/>
        </w:rPr>
        <w:t>161</w:t>
      </w:r>
      <w:r>
        <w:rPr>
          <w:color w:val="auto"/>
        </w:rPr>
        <w:fldChar w:fldCharType="end"/>
      </w:r>
      <w:r>
        <w:rPr>
          <w:color w:val="auto"/>
        </w:rPr>
        <w:fldChar w:fldCharType="end"/>
      </w:r>
    </w:p>
    <w:p w14:paraId="7B76B03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"_Toc231283652" </w:instrText>
      </w:r>
      <w:r>
        <w:rPr>
          <w:color w:val="auto"/>
        </w:rPr>
        <w:fldChar w:fldCharType="separate"/>
      </w:r>
      <w:r>
        <w:rPr>
          <w:rStyle w:val="60"/>
          <w:color w:val="auto"/>
        </w:rPr>
        <w:t>8.2 环境风险防范措施调查</w:t>
      </w:r>
      <w:r>
        <w:rPr>
          <w:color w:val="auto"/>
        </w:rPr>
        <w:tab/>
      </w:r>
      <w:r>
        <w:rPr>
          <w:color w:val="auto"/>
        </w:rPr>
        <w:fldChar w:fldCharType="begin"/>
      </w:r>
      <w:r>
        <w:rPr>
          <w:color w:val="auto"/>
        </w:rPr>
        <w:instrText xml:space="preserve"> PAGEREF _Toc231283652 \h </w:instrText>
      </w:r>
      <w:r>
        <w:rPr>
          <w:color w:val="auto"/>
        </w:rPr>
        <w:fldChar w:fldCharType="separate"/>
      </w:r>
      <w:r>
        <w:rPr>
          <w:color w:val="auto"/>
        </w:rPr>
        <w:t>161</w:t>
      </w:r>
      <w:r>
        <w:rPr>
          <w:color w:val="auto"/>
        </w:rPr>
        <w:fldChar w:fldCharType="end"/>
      </w:r>
      <w:r>
        <w:rPr>
          <w:color w:val="auto"/>
        </w:rPr>
        <w:fldChar w:fldCharType="end"/>
      </w:r>
    </w:p>
    <w:p w14:paraId="2A5AEFAC">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"_Toc231283653" </w:instrText>
      </w:r>
      <w:r>
        <w:rPr>
          <w:color w:val="auto"/>
        </w:rPr>
        <w:fldChar w:fldCharType="separate"/>
      </w:r>
      <w:r>
        <w:rPr>
          <w:rStyle w:val="60"/>
          <w:color w:val="auto"/>
        </w:rPr>
        <w:t>8.3 应急预案调查</w:t>
      </w:r>
      <w:r>
        <w:rPr>
          <w:color w:val="auto"/>
        </w:rPr>
        <w:tab/>
      </w:r>
      <w:r>
        <w:rPr>
          <w:color w:val="auto"/>
        </w:rPr>
        <w:fldChar w:fldCharType="begin"/>
      </w:r>
      <w:r>
        <w:rPr>
          <w:color w:val="auto"/>
        </w:rPr>
        <w:instrText xml:space="preserve"> PAGEREF _Toc231283653 \h </w:instrText>
      </w:r>
      <w:r>
        <w:rPr>
          <w:color w:val="auto"/>
        </w:rPr>
        <w:fldChar w:fldCharType="separate"/>
      </w:r>
      <w:r>
        <w:rPr>
          <w:color w:val="auto"/>
        </w:rPr>
        <w:t>162</w:t>
      </w:r>
      <w:r>
        <w:rPr>
          <w:color w:val="auto"/>
        </w:rPr>
        <w:fldChar w:fldCharType="end"/>
      </w:r>
      <w:r>
        <w:rPr>
          <w:color w:val="auto"/>
        </w:rPr>
        <w:fldChar w:fldCharType="end"/>
      </w:r>
    </w:p>
    <w:p w14:paraId="6DBFC35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"_Toc231283654" </w:instrText>
      </w:r>
      <w:r>
        <w:rPr>
          <w:color w:val="auto"/>
        </w:rPr>
        <w:fldChar w:fldCharType="separate"/>
      </w:r>
      <w:r>
        <w:rPr>
          <w:rStyle w:val="60"/>
          <w:rFonts w:hAnsi="黑体" w:eastAsia="黑体" w:cstheme="majorBidi"/>
          <w:bCs/>
          <w:color w:val="auto"/>
        </w:rPr>
        <w:t>8.4 应急物资调查</w:t>
      </w:r>
      <w:r>
        <w:rPr>
          <w:color w:val="auto"/>
        </w:rPr>
        <w:tab/>
      </w:r>
      <w:r>
        <w:rPr>
          <w:color w:val="auto"/>
        </w:rPr>
        <w:fldChar w:fldCharType="begin"/>
      </w:r>
      <w:r>
        <w:rPr>
          <w:color w:val="auto"/>
        </w:rPr>
        <w:instrText xml:space="preserve"> PAGEREF _Toc231283654 \h </w:instrText>
      </w:r>
      <w:r>
        <w:rPr>
          <w:color w:val="auto"/>
        </w:rPr>
        <w:fldChar w:fldCharType="separate"/>
      </w:r>
      <w:r>
        <w:rPr>
          <w:color w:val="auto"/>
        </w:rPr>
        <w:t>163</w:t>
      </w:r>
      <w:r>
        <w:rPr>
          <w:color w:val="auto"/>
        </w:rPr>
        <w:fldChar w:fldCharType="end"/>
      </w:r>
      <w:r>
        <w:rPr>
          <w:color w:val="auto"/>
        </w:rPr>
        <w:fldChar w:fldCharType="end"/>
      </w:r>
    </w:p>
    <w:p w14:paraId="00908F81">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"_Toc231283655" </w:instrText>
      </w:r>
      <w:r>
        <w:rPr>
          <w:color w:val="auto"/>
        </w:rPr>
        <w:fldChar w:fldCharType="separate"/>
      </w:r>
      <w:r>
        <w:rPr>
          <w:rStyle w:val="60"/>
          <w:color w:val="auto"/>
        </w:rPr>
        <w:t>9 环境管理状况调查及监测计划落实情况调查</w:t>
      </w:r>
      <w:r>
        <w:rPr>
          <w:color w:val="auto"/>
        </w:rPr>
        <w:tab/>
      </w:r>
      <w:r>
        <w:rPr>
          <w:color w:val="auto"/>
        </w:rPr>
        <w:fldChar w:fldCharType="begin"/>
      </w:r>
      <w:r>
        <w:rPr>
          <w:color w:val="auto"/>
        </w:rPr>
        <w:instrText xml:space="preserve"> PAGEREF _Toc231283655 \h </w:instrText>
      </w:r>
      <w:r>
        <w:rPr>
          <w:color w:val="auto"/>
        </w:rPr>
        <w:fldChar w:fldCharType="separate"/>
      </w:r>
      <w:r>
        <w:rPr>
          <w:color w:val="auto"/>
        </w:rPr>
        <w:t>166</w:t>
      </w:r>
      <w:r>
        <w:rPr>
          <w:color w:val="auto"/>
        </w:rPr>
        <w:fldChar w:fldCharType="end"/>
      </w:r>
      <w:r>
        <w:rPr>
          <w:color w:val="auto"/>
        </w:rPr>
        <w:fldChar w:fldCharType="end"/>
      </w:r>
    </w:p>
    <w:p w14:paraId="6CC1BB22">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"_Toc231283656" </w:instrText>
      </w:r>
      <w:r>
        <w:rPr>
          <w:color w:val="auto"/>
        </w:rPr>
        <w:fldChar w:fldCharType="separate"/>
      </w:r>
      <w:r>
        <w:rPr>
          <w:rStyle w:val="60"/>
          <w:rFonts w:hAnsi="黑体"/>
          <w:color w:val="auto"/>
        </w:rPr>
        <w:t>9.1 “三同时”制度执行情况调查</w:t>
      </w:r>
      <w:r>
        <w:rPr>
          <w:color w:val="auto"/>
        </w:rPr>
        <w:tab/>
      </w:r>
      <w:r>
        <w:rPr>
          <w:color w:val="auto"/>
        </w:rPr>
        <w:fldChar w:fldCharType="begin"/>
      </w:r>
      <w:r>
        <w:rPr>
          <w:color w:val="auto"/>
        </w:rPr>
        <w:instrText xml:space="preserve"> PAGEREF _Toc231283656 \h </w:instrText>
      </w:r>
      <w:r>
        <w:rPr>
          <w:color w:val="auto"/>
        </w:rPr>
        <w:fldChar w:fldCharType="separate"/>
      </w:r>
      <w:r>
        <w:rPr>
          <w:color w:val="auto"/>
        </w:rPr>
        <w:t>166</w:t>
      </w:r>
      <w:r>
        <w:rPr>
          <w:color w:val="auto"/>
        </w:rPr>
        <w:fldChar w:fldCharType="end"/>
      </w:r>
      <w:r>
        <w:rPr>
          <w:color w:val="auto"/>
        </w:rPr>
        <w:fldChar w:fldCharType="end"/>
      </w:r>
    </w:p>
    <w:p w14:paraId="3A697694">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"_Toc231283657" </w:instrText>
      </w:r>
      <w:r>
        <w:rPr>
          <w:color w:val="auto"/>
        </w:rPr>
        <w:fldChar w:fldCharType="separate"/>
      </w:r>
      <w:r>
        <w:rPr>
          <w:rStyle w:val="60"/>
          <w:color w:val="auto"/>
        </w:rPr>
        <w:t>9.2 环境管理机构设置及环境管理制度</w:t>
      </w:r>
      <w:r>
        <w:rPr>
          <w:color w:val="auto"/>
        </w:rPr>
        <w:tab/>
      </w:r>
      <w:r>
        <w:rPr>
          <w:color w:val="auto"/>
        </w:rPr>
        <w:fldChar w:fldCharType="begin"/>
      </w:r>
      <w:r>
        <w:rPr>
          <w:color w:val="auto"/>
        </w:rPr>
        <w:instrText xml:space="preserve"> PAGEREF _Toc231283657 \h </w:instrText>
      </w:r>
      <w:r>
        <w:rPr>
          <w:color w:val="auto"/>
        </w:rPr>
        <w:fldChar w:fldCharType="separate"/>
      </w:r>
      <w:r>
        <w:rPr>
          <w:color w:val="auto"/>
        </w:rPr>
        <w:t>166</w:t>
      </w:r>
      <w:r>
        <w:rPr>
          <w:color w:val="auto"/>
        </w:rPr>
        <w:fldChar w:fldCharType="end"/>
      </w:r>
      <w:r>
        <w:rPr>
          <w:color w:val="auto"/>
        </w:rPr>
        <w:fldChar w:fldCharType="end"/>
      </w:r>
    </w:p>
    <w:p w14:paraId="1B76A3AD">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"_Toc231283658" </w:instrText>
      </w:r>
      <w:r>
        <w:rPr>
          <w:color w:val="auto"/>
        </w:rPr>
        <w:fldChar w:fldCharType="separate"/>
      </w:r>
      <w:r>
        <w:rPr>
          <w:rStyle w:val="60"/>
          <w:color w:val="auto"/>
        </w:rPr>
        <w:t>9.3 监测情况落实情况调查</w:t>
      </w:r>
      <w:r>
        <w:rPr>
          <w:color w:val="auto"/>
        </w:rPr>
        <w:tab/>
      </w:r>
      <w:r>
        <w:rPr>
          <w:color w:val="auto"/>
        </w:rPr>
        <w:fldChar w:fldCharType="begin"/>
      </w:r>
      <w:r>
        <w:rPr>
          <w:color w:val="auto"/>
        </w:rPr>
        <w:instrText xml:space="preserve"> PAGEREF _Toc231283658 \h </w:instrText>
      </w:r>
      <w:r>
        <w:rPr>
          <w:color w:val="auto"/>
        </w:rPr>
        <w:fldChar w:fldCharType="separate"/>
      </w:r>
      <w:r>
        <w:rPr>
          <w:color w:val="auto"/>
        </w:rPr>
        <w:t>166</w:t>
      </w:r>
      <w:r>
        <w:rPr>
          <w:color w:val="auto"/>
        </w:rPr>
        <w:fldChar w:fldCharType="end"/>
      </w:r>
      <w:r>
        <w:rPr>
          <w:color w:val="auto"/>
        </w:rPr>
        <w:fldChar w:fldCharType="end"/>
      </w:r>
    </w:p>
    <w:p w14:paraId="38D15D6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"_Toc231283659" </w:instrText>
      </w:r>
      <w:r>
        <w:rPr>
          <w:color w:val="auto"/>
        </w:rPr>
        <w:fldChar w:fldCharType="separate"/>
      </w:r>
      <w:r>
        <w:rPr>
          <w:rStyle w:val="60"/>
          <w:color w:val="auto"/>
        </w:rPr>
        <w:t>9.4 排污许可调查</w:t>
      </w:r>
      <w:r>
        <w:rPr>
          <w:color w:val="auto"/>
        </w:rPr>
        <w:tab/>
      </w:r>
      <w:r>
        <w:rPr>
          <w:color w:val="auto"/>
        </w:rPr>
        <w:fldChar w:fldCharType="begin"/>
      </w:r>
      <w:r>
        <w:rPr>
          <w:color w:val="auto"/>
        </w:rPr>
        <w:instrText xml:space="preserve"> PAGEREF _Toc231283659 \h </w:instrText>
      </w:r>
      <w:r>
        <w:rPr>
          <w:color w:val="auto"/>
        </w:rPr>
        <w:fldChar w:fldCharType="separate"/>
      </w:r>
      <w:r>
        <w:rPr>
          <w:color w:val="auto"/>
        </w:rPr>
        <w:t>171</w:t>
      </w:r>
      <w:r>
        <w:rPr>
          <w:color w:val="auto"/>
        </w:rPr>
        <w:fldChar w:fldCharType="end"/>
      </w:r>
      <w:r>
        <w:rPr>
          <w:color w:val="auto"/>
        </w:rPr>
        <w:fldChar w:fldCharType="end"/>
      </w:r>
    </w:p>
    <w:p w14:paraId="54EA3A8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"_Toc231283660" </w:instrText>
      </w:r>
      <w:r>
        <w:rPr>
          <w:color w:val="auto"/>
        </w:rPr>
        <w:fldChar w:fldCharType="separate"/>
      </w:r>
      <w:r>
        <w:rPr>
          <w:rStyle w:val="60"/>
          <w:color w:val="auto"/>
        </w:rPr>
        <w:t>9.5 主要污染物排放总量核算</w:t>
      </w:r>
      <w:r>
        <w:rPr>
          <w:color w:val="auto"/>
        </w:rPr>
        <w:tab/>
      </w:r>
      <w:r>
        <w:rPr>
          <w:color w:val="auto"/>
        </w:rPr>
        <w:fldChar w:fldCharType="begin"/>
      </w:r>
      <w:r>
        <w:rPr>
          <w:color w:val="auto"/>
        </w:rPr>
        <w:instrText xml:space="preserve"> PAGEREF _Toc231283660 \h </w:instrText>
      </w:r>
      <w:r>
        <w:rPr>
          <w:color w:val="auto"/>
        </w:rPr>
        <w:fldChar w:fldCharType="separate"/>
      </w:r>
      <w:r>
        <w:rPr>
          <w:color w:val="auto"/>
        </w:rPr>
        <w:t>171</w:t>
      </w:r>
      <w:r>
        <w:rPr>
          <w:color w:val="auto"/>
        </w:rPr>
        <w:fldChar w:fldCharType="end"/>
      </w:r>
      <w:r>
        <w:rPr>
          <w:color w:val="auto"/>
        </w:rPr>
        <w:fldChar w:fldCharType="end"/>
      </w:r>
    </w:p>
    <w:p w14:paraId="5DCDE715">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"_Toc231283661" </w:instrText>
      </w:r>
      <w:r>
        <w:rPr>
          <w:color w:val="auto"/>
        </w:rPr>
        <w:fldChar w:fldCharType="separate"/>
      </w:r>
      <w:r>
        <w:rPr>
          <w:rStyle w:val="60"/>
          <w:rFonts w:hAnsi="黑体"/>
          <w:color w:val="auto"/>
        </w:rPr>
        <w:t>10 公众参与调查</w:t>
      </w:r>
      <w:r>
        <w:rPr>
          <w:color w:val="auto"/>
        </w:rPr>
        <w:tab/>
      </w:r>
      <w:r>
        <w:rPr>
          <w:color w:val="auto"/>
        </w:rPr>
        <w:fldChar w:fldCharType="begin"/>
      </w:r>
      <w:r>
        <w:rPr>
          <w:color w:val="auto"/>
        </w:rPr>
        <w:instrText xml:space="preserve"> PAGEREF _Toc231283661 \h </w:instrText>
      </w:r>
      <w:r>
        <w:rPr>
          <w:color w:val="auto"/>
        </w:rPr>
        <w:fldChar w:fldCharType="separate"/>
      </w:r>
      <w:r>
        <w:rPr>
          <w:color w:val="auto"/>
        </w:rPr>
        <w:t>172</w:t>
      </w:r>
      <w:r>
        <w:rPr>
          <w:color w:val="auto"/>
        </w:rPr>
        <w:fldChar w:fldCharType="end"/>
      </w:r>
      <w:r>
        <w:rPr>
          <w:color w:val="auto"/>
        </w:rPr>
        <w:fldChar w:fldCharType="end"/>
      </w:r>
    </w:p>
    <w:p w14:paraId="29E5B57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"_Toc231283662" </w:instrText>
      </w:r>
      <w:r>
        <w:rPr>
          <w:color w:val="auto"/>
        </w:rPr>
        <w:fldChar w:fldCharType="separate"/>
      </w:r>
      <w:r>
        <w:rPr>
          <w:rStyle w:val="60"/>
          <w:rFonts w:eastAsia="黑体" w:hAnsiTheme="majorHAnsi" w:cstheme="majorBidi"/>
          <w:bCs/>
          <w:color w:val="auto"/>
        </w:rPr>
        <w:t>10.1 调查目的</w:t>
      </w:r>
      <w:r>
        <w:rPr>
          <w:color w:val="auto"/>
        </w:rPr>
        <w:tab/>
      </w:r>
      <w:r>
        <w:rPr>
          <w:color w:val="auto"/>
        </w:rPr>
        <w:fldChar w:fldCharType="begin"/>
      </w:r>
      <w:r>
        <w:rPr>
          <w:color w:val="auto"/>
        </w:rPr>
        <w:instrText xml:space="preserve"> PAGEREF _Toc231283662 \h </w:instrText>
      </w:r>
      <w:r>
        <w:rPr>
          <w:color w:val="auto"/>
        </w:rPr>
        <w:fldChar w:fldCharType="separate"/>
      </w:r>
      <w:r>
        <w:rPr>
          <w:color w:val="auto"/>
        </w:rPr>
        <w:t>172</w:t>
      </w:r>
      <w:r>
        <w:rPr>
          <w:color w:val="auto"/>
        </w:rPr>
        <w:fldChar w:fldCharType="end"/>
      </w:r>
      <w:r>
        <w:rPr>
          <w:color w:val="auto"/>
        </w:rPr>
        <w:fldChar w:fldCharType="end"/>
      </w:r>
    </w:p>
    <w:p w14:paraId="4EAF926D">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"_Toc231283663" </w:instrText>
      </w:r>
      <w:r>
        <w:rPr>
          <w:color w:val="auto"/>
        </w:rPr>
        <w:fldChar w:fldCharType="separate"/>
      </w:r>
      <w:r>
        <w:rPr>
          <w:rStyle w:val="60"/>
          <w:rFonts w:eastAsia="黑体" w:hAnsiTheme="majorHAnsi" w:cstheme="majorBidi"/>
          <w:bCs/>
          <w:color w:val="auto"/>
        </w:rPr>
        <w:t>10.2 调查方法</w:t>
      </w:r>
      <w:r>
        <w:rPr>
          <w:color w:val="auto"/>
        </w:rPr>
        <w:tab/>
      </w:r>
      <w:r>
        <w:rPr>
          <w:color w:val="auto"/>
        </w:rPr>
        <w:fldChar w:fldCharType="begin"/>
      </w:r>
      <w:r>
        <w:rPr>
          <w:color w:val="auto"/>
        </w:rPr>
        <w:instrText xml:space="preserve"> PAGEREF _Toc231283663 \h </w:instrText>
      </w:r>
      <w:r>
        <w:rPr>
          <w:color w:val="auto"/>
        </w:rPr>
        <w:fldChar w:fldCharType="separate"/>
      </w:r>
      <w:r>
        <w:rPr>
          <w:color w:val="auto"/>
        </w:rPr>
        <w:t>172</w:t>
      </w:r>
      <w:r>
        <w:rPr>
          <w:color w:val="auto"/>
        </w:rPr>
        <w:fldChar w:fldCharType="end"/>
      </w:r>
      <w:r>
        <w:rPr>
          <w:color w:val="auto"/>
        </w:rPr>
        <w:fldChar w:fldCharType="end"/>
      </w:r>
    </w:p>
    <w:p w14:paraId="5DC70FE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"_Toc231283664" </w:instrText>
      </w:r>
      <w:r>
        <w:rPr>
          <w:color w:val="auto"/>
        </w:rPr>
        <w:fldChar w:fldCharType="separate"/>
      </w:r>
      <w:r>
        <w:rPr>
          <w:rStyle w:val="60"/>
          <w:rFonts w:eastAsia="黑体" w:hAnsiTheme="majorHAnsi" w:cstheme="majorBidi"/>
          <w:bCs/>
          <w:color w:val="auto"/>
        </w:rPr>
        <w:t>10.3 调查结果</w:t>
      </w:r>
      <w:r>
        <w:rPr>
          <w:color w:val="auto"/>
        </w:rPr>
        <w:tab/>
      </w:r>
      <w:r>
        <w:rPr>
          <w:color w:val="auto"/>
        </w:rPr>
        <w:fldChar w:fldCharType="begin"/>
      </w:r>
      <w:r>
        <w:rPr>
          <w:color w:val="auto"/>
        </w:rPr>
        <w:instrText xml:space="preserve"> PAGEREF _Toc231283664 \h </w:instrText>
      </w:r>
      <w:r>
        <w:rPr>
          <w:color w:val="auto"/>
        </w:rPr>
        <w:fldChar w:fldCharType="separate"/>
      </w:r>
      <w:r>
        <w:rPr>
          <w:color w:val="auto"/>
        </w:rPr>
        <w:t>172</w:t>
      </w:r>
      <w:r>
        <w:rPr>
          <w:color w:val="auto"/>
        </w:rPr>
        <w:fldChar w:fldCharType="end"/>
      </w:r>
      <w:r>
        <w:rPr>
          <w:color w:val="auto"/>
        </w:rPr>
        <w:fldChar w:fldCharType="end"/>
      </w:r>
    </w:p>
    <w:p w14:paraId="1317778E">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"_Toc231283665" </w:instrText>
      </w:r>
      <w:r>
        <w:rPr>
          <w:color w:val="auto"/>
        </w:rPr>
        <w:fldChar w:fldCharType="separate"/>
      </w:r>
      <w:r>
        <w:rPr>
          <w:rStyle w:val="60"/>
          <w:color w:val="auto"/>
        </w:rPr>
        <w:t>11 验收调查结论</w:t>
      </w:r>
      <w:r>
        <w:rPr>
          <w:color w:val="auto"/>
        </w:rPr>
        <w:tab/>
      </w:r>
      <w:r>
        <w:rPr>
          <w:color w:val="auto"/>
        </w:rPr>
        <w:fldChar w:fldCharType="begin"/>
      </w:r>
      <w:r>
        <w:rPr>
          <w:color w:val="auto"/>
        </w:rPr>
        <w:instrText xml:space="preserve"> PAGEREF _Toc231283665 \h </w:instrText>
      </w:r>
      <w:r>
        <w:rPr>
          <w:color w:val="auto"/>
        </w:rPr>
        <w:fldChar w:fldCharType="separate"/>
      </w:r>
      <w:r>
        <w:rPr>
          <w:color w:val="auto"/>
        </w:rPr>
        <w:t>173</w:t>
      </w:r>
      <w:r>
        <w:rPr>
          <w:color w:val="auto"/>
        </w:rPr>
        <w:fldChar w:fldCharType="end"/>
      </w:r>
      <w:r>
        <w:rPr>
          <w:color w:val="auto"/>
        </w:rPr>
        <w:fldChar w:fldCharType="end"/>
      </w:r>
    </w:p>
    <w:p w14:paraId="645233B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"_Toc231283666" </w:instrText>
      </w:r>
      <w:r>
        <w:rPr>
          <w:color w:val="auto"/>
        </w:rPr>
        <w:fldChar w:fldCharType="separate"/>
      </w:r>
      <w:r>
        <w:rPr>
          <w:rStyle w:val="60"/>
          <w:color w:val="auto"/>
        </w:rPr>
        <w:t>11.1 工程调查结论</w:t>
      </w:r>
      <w:r>
        <w:rPr>
          <w:color w:val="auto"/>
        </w:rPr>
        <w:tab/>
      </w:r>
      <w:r>
        <w:rPr>
          <w:color w:val="auto"/>
        </w:rPr>
        <w:fldChar w:fldCharType="begin"/>
      </w:r>
      <w:r>
        <w:rPr>
          <w:color w:val="auto"/>
        </w:rPr>
        <w:instrText xml:space="preserve"> PAGEREF _Toc231283666 \h </w:instrText>
      </w:r>
      <w:r>
        <w:rPr>
          <w:color w:val="auto"/>
        </w:rPr>
        <w:fldChar w:fldCharType="separate"/>
      </w:r>
      <w:r>
        <w:rPr>
          <w:color w:val="auto"/>
        </w:rPr>
        <w:t>173</w:t>
      </w:r>
      <w:r>
        <w:rPr>
          <w:color w:val="auto"/>
        </w:rPr>
        <w:fldChar w:fldCharType="end"/>
      </w:r>
      <w:r>
        <w:rPr>
          <w:color w:val="auto"/>
        </w:rPr>
        <w:fldChar w:fldCharType="end"/>
      </w:r>
    </w:p>
    <w:p w14:paraId="068FAC4F">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"_Toc231283667" </w:instrText>
      </w:r>
      <w:r>
        <w:rPr>
          <w:color w:val="auto"/>
        </w:rPr>
        <w:fldChar w:fldCharType="separate"/>
      </w:r>
      <w:r>
        <w:rPr>
          <w:rStyle w:val="60"/>
          <w:color w:val="auto"/>
        </w:rPr>
        <w:t>11.2 工程建设对环境的影响</w:t>
      </w:r>
      <w:r>
        <w:rPr>
          <w:color w:val="auto"/>
        </w:rPr>
        <w:tab/>
      </w:r>
      <w:r>
        <w:rPr>
          <w:color w:val="auto"/>
        </w:rPr>
        <w:fldChar w:fldCharType="begin"/>
      </w:r>
      <w:r>
        <w:rPr>
          <w:color w:val="auto"/>
        </w:rPr>
        <w:instrText xml:space="preserve"> PAGEREF _Toc231283667 \h </w:instrText>
      </w:r>
      <w:r>
        <w:rPr>
          <w:color w:val="auto"/>
        </w:rPr>
        <w:fldChar w:fldCharType="separate"/>
      </w:r>
      <w:r>
        <w:rPr>
          <w:color w:val="auto"/>
        </w:rPr>
        <w:t>173</w:t>
      </w:r>
      <w:r>
        <w:rPr>
          <w:color w:val="auto"/>
        </w:rPr>
        <w:fldChar w:fldCharType="end"/>
      </w:r>
      <w:r>
        <w:rPr>
          <w:color w:val="auto"/>
        </w:rPr>
        <w:fldChar w:fldCharType="end"/>
      </w:r>
    </w:p>
    <w:p w14:paraId="5F8B70DB">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"_Toc231283668" </w:instrText>
      </w:r>
      <w:r>
        <w:rPr>
          <w:color w:val="auto"/>
        </w:rPr>
        <w:fldChar w:fldCharType="separate"/>
      </w:r>
      <w:r>
        <w:rPr>
          <w:rStyle w:val="60"/>
          <w:color w:val="auto"/>
        </w:rPr>
        <w:t>11.3 环境保护设施调试运行效果</w:t>
      </w:r>
      <w:r>
        <w:rPr>
          <w:color w:val="auto"/>
        </w:rPr>
        <w:tab/>
      </w:r>
      <w:r>
        <w:rPr>
          <w:color w:val="auto"/>
        </w:rPr>
        <w:fldChar w:fldCharType="begin"/>
      </w:r>
      <w:r>
        <w:rPr>
          <w:color w:val="auto"/>
        </w:rPr>
        <w:instrText xml:space="preserve"> PAGEREF _Toc231283668 \h </w:instrText>
      </w:r>
      <w:r>
        <w:rPr>
          <w:color w:val="auto"/>
        </w:rPr>
        <w:fldChar w:fldCharType="separate"/>
      </w:r>
      <w:r>
        <w:rPr>
          <w:color w:val="auto"/>
        </w:rPr>
        <w:t>176</w:t>
      </w:r>
      <w:r>
        <w:rPr>
          <w:color w:val="auto"/>
        </w:rPr>
        <w:fldChar w:fldCharType="end"/>
      </w:r>
      <w:r>
        <w:rPr>
          <w:color w:val="auto"/>
        </w:rPr>
        <w:fldChar w:fldCharType="end"/>
      </w:r>
    </w:p>
    <w:p w14:paraId="3424DB7F">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"_Toc231283669" </w:instrText>
      </w:r>
      <w:r>
        <w:rPr>
          <w:color w:val="auto"/>
        </w:rPr>
        <w:fldChar w:fldCharType="separate"/>
      </w:r>
      <w:r>
        <w:rPr>
          <w:rStyle w:val="60"/>
          <w:color w:val="auto"/>
        </w:rPr>
        <w:t>11.4 建议和后续要求</w:t>
      </w:r>
      <w:r>
        <w:rPr>
          <w:color w:val="auto"/>
        </w:rPr>
        <w:tab/>
      </w:r>
      <w:r>
        <w:rPr>
          <w:color w:val="auto"/>
        </w:rPr>
        <w:fldChar w:fldCharType="begin"/>
      </w:r>
      <w:r>
        <w:rPr>
          <w:color w:val="auto"/>
        </w:rPr>
        <w:instrText xml:space="preserve"> PAGEREF _Toc231283669 \h </w:instrText>
      </w:r>
      <w:r>
        <w:rPr>
          <w:color w:val="auto"/>
        </w:rPr>
        <w:fldChar w:fldCharType="separate"/>
      </w:r>
      <w:r>
        <w:rPr>
          <w:color w:val="auto"/>
        </w:rPr>
        <w:t>178</w:t>
      </w:r>
      <w:r>
        <w:rPr>
          <w:color w:val="auto"/>
        </w:rPr>
        <w:fldChar w:fldCharType="end"/>
      </w:r>
      <w:r>
        <w:rPr>
          <w:color w:val="auto"/>
        </w:rPr>
        <w:fldChar w:fldCharType="end"/>
      </w:r>
    </w:p>
    <w:p w14:paraId="0129559C">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"_Toc231283670" </w:instrText>
      </w:r>
      <w:r>
        <w:rPr>
          <w:color w:val="auto"/>
        </w:rPr>
        <w:fldChar w:fldCharType="separate"/>
      </w:r>
      <w:r>
        <w:rPr>
          <w:rStyle w:val="60"/>
          <w:color w:val="auto"/>
        </w:rPr>
        <w:t>11.5 验收报告调查结论</w:t>
      </w:r>
      <w:r>
        <w:rPr>
          <w:color w:val="auto"/>
        </w:rPr>
        <w:tab/>
      </w:r>
      <w:r>
        <w:rPr>
          <w:color w:val="auto"/>
        </w:rPr>
        <w:fldChar w:fldCharType="begin"/>
      </w:r>
      <w:r>
        <w:rPr>
          <w:color w:val="auto"/>
        </w:rPr>
        <w:instrText xml:space="preserve"> PAGEREF _Toc231283670 \h </w:instrText>
      </w:r>
      <w:r>
        <w:rPr>
          <w:color w:val="auto"/>
        </w:rPr>
        <w:fldChar w:fldCharType="separate"/>
      </w:r>
      <w:r>
        <w:rPr>
          <w:color w:val="auto"/>
        </w:rPr>
        <w:t>178</w:t>
      </w:r>
      <w:r>
        <w:rPr>
          <w:color w:val="auto"/>
        </w:rPr>
        <w:fldChar w:fldCharType="end"/>
      </w:r>
      <w:r>
        <w:rPr>
          <w:color w:val="auto"/>
        </w:rPr>
        <w:fldChar w:fldCharType="end"/>
      </w:r>
    </w:p>
    <w:p w14:paraId="30ADB70F">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"_Toc231283671" </w:instrText>
      </w:r>
      <w:r>
        <w:rPr>
          <w:color w:val="auto"/>
        </w:rPr>
        <w:fldChar w:fldCharType="separate"/>
      </w:r>
      <w:r>
        <w:rPr>
          <w:rStyle w:val="60"/>
          <w:color w:val="auto"/>
        </w:rPr>
        <w:t>12 附件</w:t>
      </w:r>
      <w:r>
        <w:rPr>
          <w:color w:val="auto"/>
        </w:rPr>
        <w:tab/>
      </w:r>
      <w:r>
        <w:rPr>
          <w:color w:val="auto"/>
        </w:rPr>
        <w:fldChar w:fldCharType="begin"/>
      </w:r>
      <w:r>
        <w:rPr>
          <w:color w:val="auto"/>
        </w:rPr>
        <w:instrText xml:space="preserve"> PAGEREF _Toc231283671 \h </w:instrText>
      </w:r>
      <w:r>
        <w:rPr>
          <w:color w:val="auto"/>
        </w:rPr>
        <w:fldChar w:fldCharType="separate"/>
      </w:r>
      <w:r>
        <w:rPr>
          <w:color w:val="auto"/>
        </w:rPr>
        <w:t>179</w:t>
      </w:r>
      <w:r>
        <w:rPr>
          <w:color w:val="auto"/>
        </w:rPr>
        <w:fldChar w:fldCharType="end"/>
      </w:r>
      <w:r>
        <w:rPr>
          <w:color w:val="auto"/>
        </w:rPr>
        <w:fldChar w:fldCharType="end"/>
      </w:r>
    </w:p>
    <w:p w14:paraId="08B0772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"_Toc231283672" </w:instrText>
      </w:r>
      <w:r>
        <w:rPr>
          <w:color w:val="auto"/>
        </w:rPr>
        <w:fldChar w:fldCharType="separate"/>
      </w:r>
      <w:r>
        <w:rPr>
          <w:rStyle w:val="60"/>
          <w:color w:val="auto"/>
        </w:rPr>
        <w:t>附件1  验收调查工作委托书</w:t>
      </w:r>
      <w:r>
        <w:rPr>
          <w:color w:val="auto"/>
        </w:rPr>
        <w:tab/>
      </w:r>
      <w:r>
        <w:rPr>
          <w:color w:val="auto"/>
        </w:rPr>
        <w:fldChar w:fldCharType="begin"/>
      </w:r>
      <w:r>
        <w:rPr>
          <w:color w:val="auto"/>
        </w:rPr>
        <w:instrText xml:space="preserve"> PAGEREF _Toc231283672 \h </w:instrText>
      </w:r>
      <w:r>
        <w:rPr>
          <w:color w:val="auto"/>
        </w:rPr>
        <w:fldChar w:fldCharType="separate"/>
      </w:r>
      <w:r>
        <w:rPr>
          <w:color w:val="auto"/>
        </w:rPr>
        <w:t>179</w:t>
      </w:r>
      <w:r>
        <w:rPr>
          <w:color w:val="auto"/>
        </w:rPr>
        <w:fldChar w:fldCharType="end"/>
      </w:r>
      <w:r>
        <w:rPr>
          <w:color w:val="auto"/>
        </w:rPr>
        <w:fldChar w:fldCharType="end"/>
      </w:r>
    </w:p>
    <w:p w14:paraId="5147C40E">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"_Toc231283673" </w:instrText>
      </w:r>
      <w:r>
        <w:rPr>
          <w:color w:val="auto"/>
        </w:rPr>
        <w:fldChar w:fldCharType="separate"/>
      </w:r>
      <w:r>
        <w:rPr>
          <w:rStyle w:val="60"/>
          <w:color w:val="auto"/>
        </w:rPr>
        <w:t>附件2  环境影响报告书批复</w:t>
      </w:r>
      <w:r>
        <w:rPr>
          <w:color w:val="auto"/>
        </w:rPr>
        <w:tab/>
      </w:r>
      <w:r>
        <w:rPr>
          <w:color w:val="auto"/>
        </w:rPr>
        <w:fldChar w:fldCharType="begin"/>
      </w:r>
      <w:r>
        <w:rPr>
          <w:color w:val="auto"/>
        </w:rPr>
        <w:instrText xml:space="preserve"> PAGEREF _Toc231283673 \h </w:instrText>
      </w:r>
      <w:r>
        <w:rPr>
          <w:color w:val="auto"/>
        </w:rPr>
        <w:fldChar w:fldCharType="separate"/>
      </w:r>
      <w:r>
        <w:rPr>
          <w:color w:val="auto"/>
        </w:rPr>
        <w:t>180</w:t>
      </w:r>
      <w:r>
        <w:rPr>
          <w:color w:val="auto"/>
        </w:rPr>
        <w:fldChar w:fldCharType="end"/>
      </w:r>
      <w:r>
        <w:rPr>
          <w:color w:val="auto"/>
        </w:rPr>
        <w:fldChar w:fldCharType="end"/>
      </w:r>
    </w:p>
    <w:p w14:paraId="527FBF6B">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"_Toc231283674" </w:instrText>
      </w:r>
      <w:r>
        <w:rPr>
          <w:color w:val="auto"/>
        </w:rPr>
        <w:fldChar w:fldCharType="separate"/>
      </w:r>
      <w:r>
        <w:rPr>
          <w:rStyle w:val="60"/>
          <w:color w:val="auto"/>
        </w:rPr>
        <w:t>附件3  竣工日期及调试日期公示截图</w:t>
      </w:r>
      <w:r>
        <w:rPr>
          <w:color w:val="auto"/>
        </w:rPr>
        <w:tab/>
      </w:r>
      <w:r>
        <w:rPr>
          <w:color w:val="auto"/>
        </w:rPr>
        <w:fldChar w:fldCharType="begin"/>
      </w:r>
      <w:r>
        <w:rPr>
          <w:color w:val="auto"/>
        </w:rPr>
        <w:instrText xml:space="preserve"> PAGEREF _Toc231283674 \h </w:instrText>
      </w:r>
      <w:r>
        <w:rPr>
          <w:color w:val="auto"/>
        </w:rPr>
        <w:fldChar w:fldCharType="separate"/>
      </w:r>
      <w:r>
        <w:rPr>
          <w:color w:val="auto"/>
        </w:rPr>
        <w:t>184</w:t>
      </w:r>
      <w:r>
        <w:rPr>
          <w:color w:val="auto"/>
        </w:rPr>
        <w:fldChar w:fldCharType="end"/>
      </w:r>
      <w:r>
        <w:rPr>
          <w:color w:val="auto"/>
        </w:rPr>
        <w:fldChar w:fldCharType="end"/>
      </w:r>
    </w:p>
    <w:p w14:paraId="194065EB">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"_Toc231283675" </w:instrText>
      </w:r>
      <w:r>
        <w:rPr>
          <w:color w:val="auto"/>
        </w:rPr>
        <w:fldChar w:fldCharType="separate"/>
      </w:r>
      <w:r>
        <w:rPr>
          <w:rStyle w:val="60"/>
          <w:color w:val="auto"/>
        </w:rPr>
        <w:t>附件5  排污登记回执</w:t>
      </w:r>
      <w:r>
        <w:rPr>
          <w:color w:val="auto"/>
        </w:rPr>
        <w:tab/>
      </w:r>
      <w:r>
        <w:rPr>
          <w:color w:val="auto"/>
        </w:rPr>
        <w:fldChar w:fldCharType="begin"/>
      </w:r>
      <w:r>
        <w:rPr>
          <w:color w:val="auto"/>
        </w:rPr>
        <w:instrText xml:space="preserve"> PAGEREF _Toc231283675 \h </w:instrText>
      </w:r>
      <w:r>
        <w:rPr>
          <w:color w:val="auto"/>
        </w:rPr>
        <w:fldChar w:fldCharType="separate"/>
      </w:r>
      <w:r>
        <w:rPr>
          <w:color w:val="auto"/>
        </w:rPr>
        <w:t>187</w:t>
      </w:r>
      <w:r>
        <w:rPr>
          <w:color w:val="auto"/>
        </w:rPr>
        <w:fldChar w:fldCharType="end"/>
      </w:r>
      <w:r>
        <w:rPr>
          <w:color w:val="auto"/>
        </w:rPr>
        <w:fldChar w:fldCharType="end"/>
      </w:r>
    </w:p>
    <w:p w14:paraId="4937A12E">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"_Toc231283676" </w:instrText>
      </w:r>
      <w:r>
        <w:rPr>
          <w:color w:val="auto"/>
        </w:rPr>
        <w:fldChar w:fldCharType="separate"/>
      </w:r>
      <w:r>
        <w:rPr>
          <w:rStyle w:val="60"/>
          <w:color w:val="auto"/>
        </w:rPr>
        <w:t>附件6  突发环境事件应急预案备案表</w:t>
      </w:r>
      <w:r>
        <w:rPr>
          <w:color w:val="auto"/>
        </w:rPr>
        <w:tab/>
      </w:r>
      <w:r>
        <w:rPr>
          <w:color w:val="auto"/>
        </w:rPr>
        <w:fldChar w:fldCharType="begin"/>
      </w:r>
      <w:r>
        <w:rPr>
          <w:color w:val="auto"/>
        </w:rPr>
        <w:instrText xml:space="preserve"> PAGEREF _Toc231283676 \h </w:instrText>
      </w:r>
      <w:r>
        <w:rPr>
          <w:color w:val="auto"/>
        </w:rPr>
        <w:fldChar w:fldCharType="separate"/>
      </w:r>
      <w:r>
        <w:rPr>
          <w:color w:val="auto"/>
        </w:rPr>
        <w:t>188</w:t>
      </w:r>
      <w:r>
        <w:rPr>
          <w:color w:val="auto"/>
        </w:rPr>
        <w:fldChar w:fldCharType="end"/>
      </w:r>
      <w:r>
        <w:rPr>
          <w:color w:val="auto"/>
        </w:rPr>
        <w:fldChar w:fldCharType="end"/>
      </w:r>
    </w:p>
    <w:p w14:paraId="1A95D834">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"_Toc231283677" </w:instrText>
      </w:r>
      <w:r>
        <w:rPr>
          <w:color w:val="auto"/>
        </w:rPr>
        <w:fldChar w:fldCharType="separate"/>
      </w:r>
      <w:r>
        <w:rPr>
          <w:rStyle w:val="60"/>
          <w:color w:val="auto"/>
        </w:rPr>
        <w:t>附件7  危废处置合同及处置单位资质</w:t>
      </w:r>
      <w:r>
        <w:rPr>
          <w:color w:val="auto"/>
        </w:rPr>
        <w:tab/>
      </w:r>
      <w:r>
        <w:rPr>
          <w:color w:val="auto"/>
        </w:rPr>
        <w:fldChar w:fldCharType="begin"/>
      </w:r>
      <w:r>
        <w:rPr>
          <w:color w:val="auto"/>
        </w:rPr>
        <w:instrText xml:space="preserve"> PAGEREF _Toc231283677 \h </w:instrText>
      </w:r>
      <w:r>
        <w:rPr>
          <w:color w:val="auto"/>
        </w:rPr>
        <w:fldChar w:fldCharType="separate"/>
      </w:r>
      <w:r>
        <w:rPr>
          <w:color w:val="auto"/>
        </w:rPr>
        <w:t>190</w:t>
      </w:r>
      <w:r>
        <w:rPr>
          <w:color w:val="auto"/>
        </w:rPr>
        <w:fldChar w:fldCharType="end"/>
      </w:r>
      <w:r>
        <w:rPr>
          <w:color w:val="auto"/>
        </w:rPr>
        <w:fldChar w:fldCharType="end"/>
      </w:r>
    </w:p>
    <w:p w14:paraId="4F6758B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"_Toc231283678" </w:instrText>
      </w:r>
      <w:r>
        <w:rPr>
          <w:color w:val="auto"/>
        </w:rPr>
        <w:fldChar w:fldCharType="separate"/>
      </w:r>
      <w:r>
        <w:rPr>
          <w:rStyle w:val="60"/>
          <w:color w:val="auto"/>
        </w:rPr>
        <w:t>附件8 泥浆不落地处置单位环评手续</w:t>
      </w:r>
      <w:r>
        <w:rPr>
          <w:color w:val="auto"/>
        </w:rPr>
        <w:tab/>
      </w:r>
      <w:r>
        <w:rPr>
          <w:color w:val="auto"/>
        </w:rPr>
        <w:fldChar w:fldCharType="begin"/>
      </w:r>
      <w:r>
        <w:rPr>
          <w:color w:val="auto"/>
        </w:rPr>
        <w:instrText xml:space="preserve"> PAGEREF _Toc231283678 \h </w:instrText>
      </w:r>
      <w:r>
        <w:rPr>
          <w:color w:val="auto"/>
        </w:rPr>
        <w:fldChar w:fldCharType="separate"/>
      </w:r>
      <w:r>
        <w:rPr>
          <w:color w:val="auto"/>
        </w:rPr>
        <w:t>202</w:t>
      </w:r>
      <w:r>
        <w:rPr>
          <w:color w:val="auto"/>
        </w:rPr>
        <w:fldChar w:fldCharType="end"/>
      </w:r>
      <w:r>
        <w:rPr>
          <w:color w:val="auto"/>
        </w:rPr>
        <w:fldChar w:fldCharType="end"/>
      </w:r>
    </w:p>
    <w:p w14:paraId="0D90F8B4">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"_Toc231283679" </w:instrText>
      </w:r>
      <w:r>
        <w:rPr>
          <w:color w:val="auto"/>
        </w:rPr>
        <w:fldChar w:fldCharType="separate"/>
      </w:r>
      <w:r>
        <w:rPr>
          <w:rStyle w:val="60"/>
          <w:color w:val="auto"/>
        </w:rPr>
        <w:t>附件9  钻井固废固化泥浆检测报告(部分)</w:t>
      </w:r>
      <w:r>
        <w:rPr>
          <w:color w:val="auto"/>
        </w:rPr>
        <w:tab/>
      </w:r>
      <w:r>
        <w:rPr>
          <w:color w:val="auto"/>
        </w:rPr>
        <w:fldChar w:fldCharType="begin"/>
      </w:r>
      <w:r>
        <w:rPr>
          <w:color w:val="auto"/>
        </w:rPr>
        <w:instrText xml:space="preserve"> PAGEREF _Toc231283679 \h </w:instrText>
      </w:r>
      <w:r>
        <w:rPr>
          <w:color w:val="auto"/>
        </w:rPr>
        <w:fldChar w:fldCharType="separate"/>
      </w:r>
      <w:r>
        <w:rPr>
          <w:color w:val="auto"/>
        </w:rPr>
        <w:t>211</w:t>
      </w:r>
      <w:r>
        <w:rPr>
          <w:color w:val="auto"/>
        </w:rPr>
        <w:fldChar w:fldCharType="end"/>
      </w:r>
      <w:r>
        <w:rPr>
          <w:color w:val="auto"/>
        </w:rPr>
        <w:fldChar w:fldCharType="end"/>
      </w:r>
    </w:p>
    <w:p w14:paraId="42D07E2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"_Toc231283680" </w:instrText>
      </w:r>
      <w:r>
        <w:rPr>
          <w:color w:val="auto"/>
        </w:rPr>
        <w:fldChar w:fldCharType="separate"/>
      </w:r>
      <w:r>
        <w:rPr>
          <w:rStyle w:val="60"/>
          <w:color w:val="auto"/>
        </w:rPr>
        <w:t>附件10  钻井固废液相处理去向证明（部分）</w:t>
      </w:r>
      <w:r>
        <w:rPr>
          <w:color w:val="auto"/>
        </w:rPr>
        <w:tab/>
      </w:r>
      <w:r>
        <w:rPr>
          <w:color w:val="auto"/>
        </w:rPr>
        <w:fldChar w:fldCharType="begin"/>
      </w:r>
      <w:r>
        <w:rPr>
          <w:color w:val="auto"/>
        </w:rPr>
        <w:instrText xml:space="preserve"> PAGEREF _Toc231283680 \h </w:instrText>
      </w:r>
      <w:r>
        <w:rPr>
          <w:color w:val="auto"/>
        </w:rPr>
        <w:fldChar w:fldCharType="separate"/>
      </w:r>
      <w:r>
        <w:rPr>
          <w:color w:val="auto"/>
        </w:rPr>
        <w:t>224</w:t>
      </w:r>
      <w:r>
        <w:rPr>
          <w:color w:val="auto"/>
        </w:rPr>
        <w:fldChar w:fldCharType="end"/>
      </w:r>
      <w:r>
        <w:rPr>
          <w:color w:val="auto"/>
        </w:rPr>
        <w:fldChar w:fldCharType="end"/>
      </w:r>
    </w:p>
    <w:p w14:paraId="009A7E6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"_Toc231283681" </w:instrText>
      </w:r>
      <w:r>
        <w:rPr>
          <w:color w:val="auto"/>
        </w:rPr>
        <w:fldChar w:fldCharType="separate"/>
      </w:r>
      <w:r>
        <w:rPr>
          <w:rStyle w:val="60"/>
          <w:color w:val="auto"/>
        </w:rPr>
        <w:t>附件11  钻井固废固相处理去向证明（部分）</w:t>
      </w:r>
      <w:r>
        <w:rPr>
          <w:color w:val="auto"/>
        </w:rPr>
        <w:tab/>
      </w:r>
      <w:r>
        <w:rPr>
          <w:color w:val="auto"/>
        </w:rPr>
        <w:fldChar w:fldCharType="begin"/>
      </w:r>
      <w:r>
        <w:rPr>
          <w:color w:val="auto"/>
        </w:rPr>
        <w:instrText xml:space="preserve"> PAGEREF _Toc231283681 \h </w:instrText>
      </w:r>
      <w:r>
        <w:rPr>
          <w:color w:val="auto"/>
        </w:rPr>
        <w:fldChar w:fldCharType="separate"/>
      </w:r>
      <w:r>
        <w:rPr>
          <w:color w:val="auto"/>
        </w:rPr>
        <w:t>227</w:t>
      </w:r>
      <w:r>
        <w:rPr>
          <w:color w:val="auto"/>
        </w:rPr>
        <w:fldChar w:fldCharType="end"/>
      </w:r>
      <w:r>
        <w:rPr>
          <w:color w:val="auto"/>
        </w:rPr>
        <w:fldChar w:fldCharType="end"/>
      </w:r>
    </w:p>
    <w:p w14:paraId="548755BE">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"_Toc231283682" </w:instrText>
      </w:r>
      <w:r>
        <w:rPr>
          <w:color w:val="auto"/>
        </w:rPr>
        <w:fldChar w:fldCharType="separate"/>
      </w:r>
      <w:r>
        <w:rPr>
          <w:rStyle w:val="60"/>
          <w:color w:val="auto"/>
        </w:rPr>
        <w:t>附件12  钻井固废及废液拉运联单</w:t>
      </w:r>
      <w:r>
        <w:rPr>
          <w:color w:val="auto"/>
        </w:rPr>
        <w:tab/>
      </w:r>
      <w:r>
        <w:rPr>
          <w:color w:val="auto"/>
        </w:rPr>
        <w:fldChar w:fldCharType="begin"/>
      </w:r>
      <w:r>
        <w:rPr>
          <w:color w:val="auto"/>
        </w:rPr>
        <w:instrText xml:space="preserve"> PAGEREF _Toc231283682 \h </w:instrText>
      </w:r>
      <w:r>
        <w:rPr>
          <w:color w:val="auto"/>
        </w:rPr>
        <w:fldChar w:fldCharType="separate"/>
      </w:r>
      <w:r>
        <w:rPr>
          <w:color w:val="auto"/>
        </w:rPr>
        <w:t>230</w:t>
      </w:r>
      <w:r>
        <w:rPr>
          <w:color w:val="auto"/>
        </w:rPr>
        <w:fldChar w:fldCharType="end"/>
      </w:r>
      <w:r>
        <w:rPr>
          <w:color w:val="auto"/>
        </w:rPr>
        <w:fldChar w:fldCharType="end"/>
      </w:r>
    </w:p>
    <w:p w14:paraId="3971D1A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"_Toc231283683" </w:instrText>
      </w:r>
      <w:r>
        <w:rPr>
          <w:color w:val="auto"/>
        </w:rPr>
        <w:fldChar w:fldCharType="separate"/>
      </w:r>
      <w:r>
        <w:rPr>
          <w:rStyle w:val="60"/>
          <w:color w:val="auto"/>
        </w:rPr>
        <w:t>附件13  地面改造项目工程交工验收证书</w:t>
      </w:r>
      <w:r>
        <w:rPr>
          <w:color w:val="auto"/>
        </w:rPr>
        <w:tab/>
      </w:r>
      <w:r>
        <w:rPr>
          <w:color w:val="auto"/>
        </w:rPr>
        <w:fldChar w:fldCharType="begin"/>
      </w:r>
      <w:r>
        <w:rPr>
          <w:color w:val="auto"/>
        </w:rPr>
        <w:instrText xml:space="preserve"> PAGEREF _Toc231283683 \h </w:instrText>
      </w:r>
      <w:r>
        <w:rPr>
          <w:color w:val="auto"/>
        </w:rPr>
        <w:fldChar w:fldCharType="separate"/>
      </w:r>
      <w:r>
        <w:rPr>
          <w:color w:val="auto"/>
        </w:rPr>
        <w:t>239</w:t>
      </w:r>
      <w:r>
        <w:rPr>
          <w:color w:val="auto"/>
        </w:rPr>
        <w:fldChar w:fldCharType="end"/>
      </w:r>
      <w:r>
        <w:rPr>
          <w:color w:val="auto"/>
        </w:rPr>
        <w:fldChar w:fldCharType="end"/>
      </w:r>
    </w:p>
    <w:p w14:paraId="662CD5C0">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"_Toc231283684" </w:instrText>
      </w:r>
      <w:r>
        <w:rPr>
          <w:color w:val="auto"/>
        </w:rPr>
        <w:fldChar w:fldCharType="separate"/>
      </w:r>
      <w:r>
        <w:rPr>
          <w:rStyle w:val="60"/>
          <w:color w:val="auto"/>
        </w:rPr>
        <w:t>附件14  取水许可证</w:t>
      </w:r>
      <w:r>
        <w:rPr>
          <w:color w:val="auto"/>
        </w:rPr>
        <w:tab/>
      </w:r>
      <w:r>
        <w:rPr>
          <w:color w:val="auto"/>
        </w:rPr>
        <w:fldChar w:fldCharType="begin"/>
      </w:r>
      <w:r>
        <w:rPr>
          <w:color w:val="auto"/>
        </w:rPr>
        <w:instrText xml:space="preserve"> PAGEREF _Toc231283684 \h </w:instrText>
      </w:r>
      <w:r>
        <w:rPr>
          <w:color w:val="auto"/>
        </w:rPr>
        <w:fldChar w:fldCharType="separate"/>
      </w:r>
      <w:r>
        <w:rPr>
          <w:color w:val="auto"/>
        </w:rPr>
        <w:t>240</w:t>
      </w:r>
      <w:r>
        <w:rPr>
          <w:color w:val="auto"/>
        </w:rPr>
        <w:fldChar w:fldCharType="end"/>
      </w:r>
      <w:r>
        <w:rPr>
          <w:color w:val="auto"/>
        </w:rPr>
        <w:fldChar w:fldCharType="end"/>
      </w:r>
    </w:p>
    <w:p w14:paraId="5A6627ED">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"_Toc231283685" </w:instrText>
      </w:r>
      <w:r>
        <w:rPr>
          <w:color w:val="auto"/>
        </w:rPr>
        <w:fldChar w:fldCharType="separate"/>
      </w:r>
      <w:r>
        <w:rPr>
          <w:rStyle w:val="60"/>
          <w:rFonts w:ascii="宋体" w:hAnsi="宋体"/>
          <w:color w:val="auto"/>
        </w:rPr>
        <w:t>建设项目工程竣工环境保护设施“三同时”验收登记表</w:t>
      </w:r>
      <w:r>
        <w:rPr>
          <w:color w:val="auto"/>
        </w:rPr>
        <w:tab/>
      </w:r>
      <w:r>
        <w:rPr>
          <w:color w:val="auto"/>
        </w:rPr>
        <w:fldChar w:fldCharType="begin"/>
      </w:r>
      <w:r>
        <w:rPr>
          <w:color w:val="auto"/>
        </w:rPr>
        <w:instrText xml:space="preserve"> PAGEREF _Toc231283685 \h </w:instrText>
      </w:r>
      <w:r>
        <w:rPr>
          <w:color w:val="auto"/>
        </w:rPr>
        <w:fldChar w:fldCharType="separate"/>
      </w:r>
      <w:r>
        <w:rPr>
          <w:color w:val="auto"/>
        </w:rPr>
        <w:t>241</w:t>
      </w:r>
      <w:r>
        <w:rPr>
          <w:color w:val="auto"/>
        </w:rPr>
        <w:fldChar w:fldCharType="end"/>
      </w:r>
      <w:r>
        <w:rPr>
          <w:color w:val="auto"/>
        </w:rPr>
        <w:fldChar w:fldCharType="end"/>
      </w:r>
    </w:p>
    <w:p w14:paraId="6A9EEE8E">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"_Toc231283686" </w:instrText>
      </w:r>
      <w:r>
        <w:rPr>
          <w:color w:val="auto"/>
        </w:rPr>
        <w:fldChar w:fldCharType="separate"/>
      </w:r>
      <w:r>
        <w:rPr>
          <w:rStyle w:val="60"/>
          <w:rFonts w:ascii="宋体" w:hAnsi="宋体"/>
          <w:color w:val="auto"/>
        </w:rPr>
        <w:t>其他需要说明的事项</w:t>
      </w:r>
      <w:r>
        <w:rPr>
          <w:color w:val="auto"/>
        </w:rPr>
        <w:tab/>
      </w:r>
      <w:r>
        <w:rPr>
          <w:color w:val="auto"/>
        </w:rPr>
        <w:fldChar w:fldCharType="begin"/>
      </w:r>
      <w:r>
        <w:rPr>
          <w:color w:val="auto"/>
        </w:rPr>
        <w:instrText xml:space="preserve"> PAGEREF _Toc231283686 \h </w:instrText>
      </w:r>
      <w:r>
        <w:rPr>
          <w:color w:val="auto"/>
        </w:rPr>
        <w:fldChar w:fldCharType="separate"/>
      </w:r>
      <w:r>
        <w:rPr>
          <w:color w:val="auto"/>
        </w:rPr>
        <w:t>242</w:t>
      </w:r>
      <w:r>
        <w:rPr>
          <w:color w:val="auto"/>
        </w:rPr>
        <w:fldChar w:fldCharType="end"/>
      </w:r>
      <w:r>
        <w:rPr>
          <w:color w:val="auto"/>
        </w:rPr>
        <w:fldChar w:fldCharType="end"/>
      </w:r>
    </w:p>
    <w:p w14:paraId="14FE3EE5">
      <w:pPr>
        <w:pStyle w:val="38"/>
        <w:tabs>
          <w:tab w:val="right" w:leader="dot" w:pos="8720"/>
        </w:tabs>
        <w:rPr>
          <w:rFonts w:ascii="宋体" w:hAnsi="宋体"/>
          <w:b/>
          <w:bCs/>
          <w:color w:val="auto"/>
        </w:rPr>
        <w:sectPr>
          <w:footerReference r:id="rId7" w:type="default"/>
          <w:pgSz w:w="11906" w:h="16838"/>
          <w:pgMar w:top="1418" w:right="1588" w:bottom="1418" w:left="1588" w:header="1134" w:footer="850" w:gutter="0"/>
          <w:pgNumType w:fmt="lowerRoman" w:start="1"/>
          <w:cols w:space="720" w:num="1"/>
          <w:docGrid w:linePitch="312" w:charSpace="0"/>
        </w:sectPr>
      </w:pPr>
      <w:r>
        <w:rPr>
          <w:rFonts w:ascii="宋体" w:hAnsi="宋体"/>
          <w:bCs/>
          <w:color w:val="auto"/>
        </w:rPr>
        <w:fldChar w:fldCharType="end"/>
      </w:r>
      <w:bookmarkStart w:id="6" w:name="_Toc6930796"/>
      <w:bookmarkStart w:id="7" w:name="_Toc6927452"/>
    </w:p>
    <w:p w14:paraId="5375FD30">
      <w:pPr>
        <w:pStyle w:val="4"/>
        <w:ind w:firstLine="0" w:firstLineChars="0"/>
        <w:jc w:val="center"/>
        <w:outlineLvl w:val="0"/>
        <w:rPr>
          <w:b/>
          <w:color w:val="auto"/>
        </w:rPr>
      </w:pPr>
      <w:bookmarkStart w:id="8" w:name="_Toc231283610"/>
      <w:r>
        <w:rPr>
          <w:rFonts w:hint="eastAsia"/>
          <w:b/>
          <w:color w:val="auto"/>
        </w:rPr>
        <w:t>前  言</w:t>
      </w:r>
      <w:bookmarkEnd w:id="6"/>
      <w:bookmarkEnd w:id="7"/>
      <w:bookmarkEnd w:id="8"/>
      <w:r>
        <w:rPr>
          <w:rFonts w:hint="eastAsia"/>
          <w:b/>
          <w:color w:val="auto"/>
        </w:rPr>
        <w:t xml:space="preserve"> </w:t>
      </w:r>
    </w:p>
    <w:p w14:paraId="08BB3C0F">
      <w:pPr>
        <w:pStyle w:val="128"/>
        <w:adjustRightInd w:val="0"/>
        <w:snapToGrid w:val="0"/>
        <w:spacing w:line="331" w:lineRule="auto"/>
        <w:ind w:firstLine="480"/>
        <w:jc w:val="both"/>
        <w:rPr>
          <w:snapToGrid w:val="0"/>
          <w:color w:val="auto"/>
        </w:rPr>
      </w:pPr>
      <w:r>
        <w:rPr>
          <w:rFonts w:hint="eastAsia"/>
          <w:color w:val="auto"/>
        </w:rPr>
        <w:t>胜利油田高青石油开发有限责任公司高青区域开发区块包括高青油田、正理庄油田、大芦湖油田等3个油田，</w:t>
      </w:r>
      <w:bookmarkStart w:id="9" w:name="OLE_LINK37"/>
      <w:r>
        <w:rPr>
          <w:rFonts w:hint="eastAsia"/>
          <w:color w:val="auto"/>
        </w:rPr>
        <w:t>胜利油田高青石油开发有限责任公司</w:t>
      </w:r>
      <w:bookmarkEnd w:id="9"/>
      <w:r>
        <w:rPr>
          <w:rFonts w:hint="eastAsia"/>
          <w:color w:val="auto"/>
        </w:rPr>
        <w:t>属于胜利油田东胜精攻石油开发集团股份有限公司高青区域下属公司（</w:t>
      </w:r>
      <w:bookmarkStart w:id="10" w:name="OLE_LINK148"/>
      <w:bookmarkStart w:id="11" w:name="OLE_LINK149"/>
      <w:r>
        <w:rPr>
          <w:rFonts w:hint="eastAsia"/>
          <w:color w:val="auto"/>
        </w:rPr>
        <w:t>后文简称为“东胜高青公司”</w:t>
      </w:r>
      <w:bookmarkEnd w:id="10"/>
      <w:bookmarkEnd w:id="11"/>
      <w:r>
        <w:rPr>
          <w:rFonts w:hint="eastAsia"/>
          <w:color w:val="auto"/>
        </w:rPr>
        <w:t>）。</w:t>
      </w:r>
    </w:p>
    <w:p w14:paraId="6A9883AF">
      <w:pPr>
        <w:pStyle w:val="128"/>
        <w:adjustRightInd w:val="0"/>
        <w:snapToGrid w:val="0"/>
        <w:spacing w:line="331" w:lineRule="auto"/>
        <w:ind w:firstLine="480"/>
        <w:jc w:val="both"/>
        <w:rPr>
          <w:color w:val="auto"/>
        </w:rPr>
      </w:pPr>
      <w:r>
        <w:rPr>
          <w:rFonts w:hint="eastAsia"/>
          <w:color w:val="auto"/>
        </w:rPr>
        <w:t>本项目开发区域为大芦湖油田，地理位置位于山东省淄博市高青县境内，为推动东胜公司老区滚动开发，完善平面井网、挖掘高部位剩余油，东胜公司实施了大芦湖油田产能建设项目（</w:t>
      </w:r>
      <w:r>
        <w:rPr>
          <w:color w:val="auto"/>
        </w:rPr>
        <w:t>2023-2025年）</w:t>
      </w:r>
      <w:r>
        <w:rPr>
          <w:rFonts w:hint="eastAsia"/>
          <w:color w:val="auto"/>
        </w:rPr>
        <w:t>。20</w:t>
      </w:r>
      <w:r>
        <w:rPr>
          <w:color w:val="auto"/>
        </w:rPr>
        <w:t>24</w:t>
      </w:r>
      <w:r>
        <w:rPr>
          <w:rFonts w:hint="eastAsia"/>
          <w:color w:val="auto"/>
        </w:rPr>
        <w:t>年</w:t>
      </w:r>
      <w:r>
        <w:rPr>
          <w:color w:val="auto"/>
        </w:rPr>
        <w:t>5</w:t>
      </w:r>
      <w:r>
        <w:rPr>
          <w:rFonts w:hint="eastAsia"/>
          <w:color w:val="auto"/>
        </w:rPr>
        <w:t>月，森诺科技有限公司编制完成《大芦湖油田产能建设项目（2023-2025年）环境影响报告书》。20</w:t>
      </w:r>
      <w:r>
        <w:rPr>
          <w:color w:val="auto"/>
        </w:rPr>
        <w:t>24</w:t>
      </w:r>
      <w:r>
        <w:rPr>
          <w:rFonts w:hint="eastAsia"/>
          <w:color w:val="auto"/>
        </w:rPr>
        <w:t>年</w:t>
      </w:r>
      <w:r>
        <w:rPr>
          <w:color w:val="auto"/>
        </w:rPr>
        <w:t>5</w:t>
      </w:r>
      <w:r>
        <w:rPr>
          <w:rFonts w:hint="eastAsia"/>
          <w:color w:val="auto"/>
        </w:rPr>
        <w:t>月</w:t>
      </w:r>
      <w:r>
        <w:rPr>
          <w:color w:val="auto"/>
        </w:rPr>
        <w:t>27</w:t>
      </w:r>
      <w:r>
        <w:rPr>
          <w:rFonts w:hint="eastAsia"/>
          <w:color w:val="auto"/>
        </w:rPr>
        <w:t>日，淄博市生态环境局高青分局以“高环审[20</w:t>
      </w:r>
      <w:r>
        <w:rPr>
          <w:color w:val="auto"/>
        </w:rPr>
        <w:t>24</w:t>
      </w:r>
      <w:r>
        <w:rPr>
          <w:rFonts w:hint="eastAsia"/>
          <w:color w:val="auto"/>
        </w:rPr>
        <w:t>]</w:t>
      </w:r>
      <w:r>
        <w:rPr>
          <w:color w:val="auto"/>
        </w:rPr>
        <w:t>12</w:t>
      </w:r>
      <w:r>
        <w:rPr>
          <w:rFonts w:hint="eastAsia"/>
          <w:color w:val="auto"/>
        </w:rPr>
        <w:t>号”文对本项目环境影响报告书予以批复。</w:t>
      </w:r>
      <w:r>
        <w:rPr>
          <w:rFonts w:hint="eastAsia"/>
          <w:color w:val="auto"/>
          <w:lang w:val="en-US"/>
        </w:rPr>
        <w:t>环评中项目主要内容为：部署163口井，其中新钻油井98口，注水井51口，油井转注水井5口，探井转油井9口，新建井场20座，依托老井场34座。</w:t>
      </w:r>
      <w:bookmarkStart w:id="12" w:name="OLE_LINK68"/>
      <w:bookmarkStart w:id="13" w:name="OLE_LINK78"/>
      <w:r>
        <w:rPr>
          <w:rFonts w:hint="eastAsia"/>
          <w:color w:val="auto"/>
          <w:lang w:val="en-US"/>
        </w:rPr>
        <w:t>新建燃气加热炉8台，更换燃气加热炉1台</w:t>
      </w:r>
      <w:bookmarkEnd w:id="12"/>
      <w:bookmarkEnd w:id="13"/>
      <w:r>
        <w:rPr>
          <w:rFonts w:hint="eastAsia"/>
          <w:color w:val="auto"/>
          <w:lang w:val="en-US"/>
        </w:rPr>
        <w:t>；新建多功能罐23座，新建空气源热泵加热系统27座，新建双腔油气混输装置2座,新建井口加药装置4套，新建天然气干燥器4座、天然气分气包4座，新建计量装置橇2套、三相分离器橇3套；新建集油阀组6套；新建集油管线45.55km、掺水管线8.98km、新建供气管线1.024km；新建压驱供水泵橇16套，新建注水管线30km，新建低压供水管线3.54km。高青联合站内卸油池改造，扩建樊107注水站，滨博接转站内迁建注水泵1台；同时配套建设供配电、自控、通信及道路等工程。</w:t>
      </w:r>
    </w:p>
    <w:p w14:paraId="181503BA">
      <w:pPr>
        <w:pStyle w:val="4"/>
        <w:ind w:firstLine="480"/>
        <w:rPr>
          <w:color w:val="auto"/>
        </w:rPr>
      </w:pPr>
      <w:r>
        <w:rPr>
          <w:rFonts w:hint="eastAsia"/>
          <w:color w:val="auto"/>
        </w:rPr>
        <w:t>根据实际生产需要以及产能建设项目“单井建设周期短，整体建设周期长”的特点，本项目采取了分期验收的形式。</w:t>
      </w:r>
      <w:bookmarkStart w:id="14" w:name="OLE_LINK12"/>
      <w:bookmarkStart w:id="15" w:name="OLE_LINK11"/>
      <w:r>
        <w:rPr>
          <w:rFonts w:hint="eastAsia"/>
          <w:color w:val="auto"/>
        </w:rPr>
        <w:t>2</w:t>
      </w:r>
      <w:r>
        <w:rPr>
          <w:color w:val="auto"/>
        </w:rPr>
        <w:t>024</w:t>
      </w:r>
      <w:r>
        <w:rPr>
          <w:rFonts w:hint="eastAsia"/>
          <w:color w:val="auto"/>
        </w:rPr>
        <w:t>年8月2</w:t>
      </w:r>
      <w:r>
        <w:rPr>
          <w:color w:val="auto"/>
        </w:rPr>
        <w:t>5</w:t>
      </w:r>
      <w:r>
        <w:rPr>
          <w:rFonts w:hint="eastAsia"/>
          <w:color w:val="auto"/>
        </w:rPr>
        <w:t>日，一期工程（后文称“本期工程”）地面工程开工，</w:t>
      </w:r>
      <w:r>
        <w:rPr>
          <w:color w:val="auto"/>
        </w:rPr>
        <w:t>2024年9</w:t>
      </w:r>
      <w:r>
        <w:rPr>
          <w:rFonts w:hint="eastAsia"/>
          <w:color w:val="auto"/>
        </w:rPr>
        <w:t>月</w:t>
      </w:r>
      <w:r>
        <w:rPr>
          <w:color w:val="auto"/>
        </w:rPr>
        <w:t>3</w:t>
      </w:r>
      <w:r>
        <w:rPr>
          <w:rFonts w:hint="eastAsia"/>
          <w:color w:val="auto"/>
        </w:rPr>
        <w:t>日，钻井工程开工。2</w:t>
      </w:r>
      <w:r>
        <w:rPr>
          <w:color w:val="auto"/>
        </w:rPr>
        <w:t>025年12</w:t>
      </w:r>
      <w:r>
        <w:rPr>
          <w:rFonts w:hint="eastAsia"/>
          <w:color w:val="auto"/>
        </w:rPr>
        <w:t>月</w:t>
      </w:r>
      <w:r>
        <w:rPr>
          <w:color w:val="auto"/>
        </w:rPr>
        <w:t>29日</w:t>
      </w:r>
      <w:r>
        <w:rPr>
          <w:rFonts w:hint="eastAsia"/>
          <w:color w:val="auto"/>
        </w:rPr>
        <w:t>，</w:t>
      </w:r>
      <w:bookmarkStart w:id="16" w:name="OLE_LINK249"/>
      <w:bookmarkStart w:id="17" w:name="OLE_LINK248"/>
      <w:r>
        <w:rPr>
          <w:rFonts w:hint="eastAsia"/>
          <w:color w:val="auto"/>
        </w:rPr>
        <w:t>本期工程</w:t>
      </w:r>
      <w:bookmarkEnd w:id="16"/>
      <w:bookmarkEnd w:id="17"/>
      <w:r>
        <w:rPr>
          <w:rFonts w:hint="eastAsia"/>
          <w:color w:val="auto"/>
        </w:rPr>
        <w:t>竣工</w:t>
      </w:r>
      <w:bookmarkEnd w:id="14"/>
      <w:bookmarkEnd w:id="15"/>
      <w:r>
        <w:rPr>
          <w:rFonts w:hint="eastAsia"/>
          <w:color w:val="auto"/>
        </w:rPr>
        <w:t>，本次仅对一期工程进行竣工环保验收，后续建设内容纳入后期验收。</w:t>
      </w:r>
    </w:p>
    <w:p w14:paraId="228131E7">
      <w:pPr>
        <w:pStyle w:val="4"/>
        <w:ind w:firstLine="480"/>
        <w:rPr>
          <w:color w:val="auto"/>
        </w:rPr>
      </w:pPr>
      <w:r>
        <w:rPr>
          <w:rFonts w:hint="eastAsia"/>
          <w:color w:val="auto"/>
        </w:rPr>
        <w:t>本期工程共包含两部分。1）滚动开发工程：共部署24口井，其中探井转开发井8口，新钻井</w:t>
      </w:r>
      <w:r>
        <w:rPr>
          <w:color w:val="auto"/>
        </w:rPr>
        <w:t>16口（油井9口、注水井7口）</w:t>
      </w:r>
      <w:r>
        <w:rPr>
          <w:rFonts w:hint="eastAsia"/>
          <w:color w:val="auto"/>
        </w:rPr>
        <w:t>，</w:t>
      </w:r>
      <w:r>
        <w:rPr>
          <w:color w:val="auto"/>
        </w:rPr>
        <w:t>分布于12座井场中</w:t>
      </w:r>
      <w:r>
        <w:rPr>
          <w:rFonts w:hint="eastAsia"/>
          <w:color w:val="auto"/>
        </w:rPr>
        <w:t>；</w:t>
      </w:r>
      <w:r>
        <w:rPr>
          <w:color w:val="auto"/>
        </w:rPr>
        <w:t>新建</w:t>
      </w:r>
      <w:r>
        <w:rPr>
          <w:rFonts w:hint="eastAsia"/>
          <w:color w:val="auto"/>
        </w:rPr>
        <w:t>了9座游梁式抽油机；</w:t>
      </w:r>
      <w:r>
        <w:rPr>
          <w:color w:val="auto"/>
        </w:rPr>
        <w:t>新建</w:t>
      </w:r>
      <w:r>
        <w:rPr>
          <w:rFonts w:hint="eastAsia"/>
          <w:color w:val="auto"/>
        </w:rPr>
        <w:t>了</w:t>
      </w:r>
      <w:r>
        <w:rPr>
          <w:color w:val="auto"/>
        </w:rPr>
        <w:t>17套</w:t>
      </w:r>
      <w:r>
        <w:rPr>
          <w:rFonts w:hint="eastAsia"/>
          <w:color w:val="auto"/>
        </w:rPr>
        <w:t>采油</w:t>
      </w:r>
      <w:r>
        <w:rPr>
          <w:color w:val="auto"/>
        </w:rPr>
        <w:t>井口装置</w:t>
      </w:r>
      <w:r>
        <w:rPr>
          <w:rFonts w:hint="eastAsia"/>
          <w:color w:val="auto"/>
        </w:rPr>
        <w:t>，7套注水井口装置；</w:t>
      </w:r>
      <w:r>
        <w:rPr>
          <w:rFonts w:hint="eastAsia"/>
          <w:snapToGrid w:val="0"/>
          <w:color w:val="auto"/>
        </w:rPr>
        <w:t>新建了</w:t>
      </w:r>
      <w:r>
        <w:rPr>
          <w:rFonts w:hint="eastAsia"/>
          <w:color w:val="auto"/>
          <w:kern w:val="0"/>
        </w:rPr>
        <w:t>φ6</w:t>
      </w:r>
      <w:r>
        <w:rPr>
          <w:color w:val="auto"/>
          <w:kern w:val="0"/>
        </w:rPr>
        <w:t>0×4mm</w:t>
      </w:r>
      <w:r>
        <w:rPr>
          <w:rFonts w:hint="eastAsia"/>
          <w:color w:val="auto"/>
          <w:kern w:val="0"/>
        </w:rPr>
        <w:t>单井集油管线共</w:t>
      </w:r>
      <w:r>
        <w:rPr>
          <w:color w:val="auto"/>
          <w:kern w:val="0"/>
        </w:rPr>
        <w:t>0.8km</w:t>
      </w:r>
      <w:r>
        <w:rPr>
          <w:rFonts w:hint="eastAsia"/>
          <w:color w:val="auto"/>
          <w:kern w:val="0"/>
        </w:rPr>
        <w:t>，新建了φ</w:t>
      </w:r>
      <w:r>
        <w:rPr>
          <w:color w:val="auto"/>
          <w:kern w:val="0"/>
        </w:rPr>
        <w:t>114×5mm</w:t>
      </w:r>
      <w:r>
        <w:rPr>
          <w:rFonts w:hint="eastAsia"/>
          <w:color w:val="auto"/>
          <w:kern w:val="0"/>
        </w:rPr>
        <w:t>集油支线共4</w:t>
      </w:r>
      <w:r>
        <w:rPr>
          <w:color w:val="auto"/>
          <w:kern w:val="0"/>
        </w:rPr>
        <w:t>.02km</w:t>
      </w:r>
      <w:r>
        <w:rPr>
          <w:rFonts w:hint="eastAsia"/>
          <w:color w:val="auto"/>
          <w:kern w:val="0"/>
        </w:rPr>
        <w:t>，</w:t>
      </w:r>
      <w:r>
        <w:rPr>
          <w:rFonts w:hint="eastAsia"/>
          <w:color w:val="auto"/>
          <w:kern w:val="0"/>
        </w:rPr>
        <w:t>新建了</w:t>
      </w:r>
      <w:r>
        <w:rPr>
          <w:rFonts w:hint="eastAsia"/>
          <w:color w:val="auto"/>
        </w:rPr>
        <w:t>φ48×4mm天然气管线0</w:t>
      </w:r>
      <w:r>
        <w:rPr>
          <w:color w:val="auto"/>
        </w:rPr>
        <w:t>.274km</w:t>
      </w:r>
      <w:r>
        <w:rPr>
          <w:rFonts w:hint="eastAsia"/>
          <w:color w:val="auto"/>
        </w:rPr>
        <w:t>；新建了φ76×11mm单井注水管线共0.05km，新建了DN150注水管线共2.2km，新建了DN110注水管线共0.5km，合计2.75km；新建了9台40m</w:t>
      </w:r>
      <w:r>
        <w:rPr>
          <w:rFonts w:hint="eastAsia"/>
          <w:color w:val="auto"/>
          <w:vertAlign w:val="superscript"/>
        </w:rPr>
        <w:t>3</w:t>
      </w:r>
      <w:r>
        <w:rPr>
          <w:rFonts w:hint="eastAsia"/>
          <w:color w:val="auto"/>
        </w:rPr>
        <w:t>多功能罐（电加热），燃气水套炉4座；</w:t>
      </w:r>
      <w:r>
        <w:rPr>
          <w:rFonts w:cs="宋体"/>
          <w:color w:val="auto"/>
        </w:rPr>
        <w:t>2</w:t>
      </w:r>
      <w:r>
        <w:rPr>
          <w:rFonts w:hint="eastAsia" w:cs="宋体"/>
          <w:color w:val="auto"/>
        </w:rPr>
        <w:t>）</w:t>
      </w:r>
      <w:r>
        <w:rPr>
          <w:rFonts w:hint="eastAsia"/>
          <w:color w:val="auto"/>
        </w:rPr>
        <w:t>高青管理区地面系统优化建设工程：樊101、高21、樊18共3个区块集输系统改造；樊101块、樊121块、高21块、樊18区块、樊26区块、樊11区块等6个区块注水系统改造；高青联合站内拆除2台旧</w:t>
      </w:r>
      <w:r>
        <w:rPr>
          <w:color w:val="auto"/>
        </w:rPr>
        <w:t>800kW</w:t>
      </w:r>
      <w:r>
        <w:rPr>
          <w:rFonts w:hint="eastAsia"/>
          <w:color w:val="auto"/>
        </w:rPr>
        <w:t>加热炉，新建1台</w:t>
      </w:r>
      <w:r>
        <w:rPr>
          <w:color w:val="auto"/>
        </w:rPr>
        <w:t>2500kW</w:t>
      </w:r>
      <w:r>
        <w:rPr>
          <w:rFonts w:hint="eastAsia"/>
          <w:color w:val="auto"/>
        </w:rPr>
        <w:t>加热炉。</w:t>
      </w:r>
      <w:r>
        <w:rPr>
          <w:color w:val="auto"/>
        </w:rPr>
        <w:t>配套建设供配电、自控及道路等工程。</w:t>
      </w:r>
      <w:r>
        <w:rPr>
          <w:rFonts w:cs="宋体"/>
          <w:color w:val="auto"/>
          <w:spacing w:val="4"/>
        </w:rPr>
        <w:t>实际总投资为</w:t>
      </w:r>
      <w:r>
        <w:rPr>
          <w:rFonts w:hint="eastAsia" w:cs="宋体"/>
          <w:color w:val="auto"/>
          <w:spacing w:val="4"/>
        </w:rPr>
        <w:t>38353万元，实际</w:t>
      </w:r>
      <w:r>
        <w:rPr>
          <w:rFonts w:cs="宋体"/>
          <w:color w:val="auto"/>
          <w:spacing w:val="4"/>
        </w:rPr>
        <w:t>环保投资</w:t>
      </w:r>
      <w:r>
        <w:rPr>
          <w:color w:val="auto"/>
          <w:spacing w:val="4"/>
        </w:rPr>
        <w:t>346万元</w:t>
      </w:r>
      <w:r>
        <w:rPr>
          <w:rFonts w:hint="eastAsia" w:cs="宋体"/>
          <w:color w:val="auto"/>
          <w:spacing w:val="4"/>
        </w:rPr>
        <w:t>。</w:t>
      </w:r>
      <w:bookmarkStart w:id="18" w:name="OLE_LINK122"/>
      <w:bookmarkStart w:id="19" w:name="OLE_LINK16"/>
      <w:r>
        <w:rPr>
          <w:rFonts w:hint="eastAsia" w:cs="宋体"/>
          <w:color w:val="auto"/>
          <w:spacing w:val="4"/>
        </w:rPr>
        <w:t>胜利油田高青石油开发有限责任公司</w:t>
      </w:r>
      <w:bookmarkStart w:id="20" w:name="OLE_LINK164"/>
      <w:bookmarkStart w:id="21" w:name="OLE_LINK163"/>
      <w:r>
        <w:rPr>
          <w:rFonts w:hint="eastAsia" w:cs="宋体"/>
          <w:color w:val="auto"/>
          <w:spacing w:val="4"/>
        </w:rPr>
        <w:t>已</w:t>
      </w:r>
      <w:bookmarkStart w:id="22" w:name="OLE_LINK3"/>
      <w:bookmarkStart w:id="23" w:name="OLE_LINK2"/>
      <w:r>
        <w:rPr>
          <w:rFonts w:hint="eastAsia" w:cs="宋体"/>
          <w:color w:val="auto"/>
          <w:spacing w:val="4"/>
        </w:rPr>
        <w:t>于</w:t>
      </w:r>
      <w:bookmarkEnd w:id="22"/>
      <w:bookmarkEnd w:id="23"/>
      <w:r>
        <w:rPr>
          <w:color w:val="auto"/>
        </w:rPr>
        <w:t>2026年3月10日</w:t>
      </w:r>
      <w:r>
        <w:rPr>
          <w:rFonts w:cs="宋体"/>
          <w:color w:val="auto"/>
          <w:spacing w:val="4"/>
        </w:rPr>
        <w:t>取得排污许可</w:t>
      </w:r>
      <w:r>
        <w:rPr>
          <w:rFonts w:hint="eastAsia" w:cs="宋体"/>
          <w:color w:val="auto"/>
          <w:spacing w:val="4"/>
        </w:rPr>
        <w:t>登记回执</w:t>
      </w:r>
      <w:r>
        <w:rPr>
          <w:rFonts w:cs="宋体"/>
          <w:color w:val="auto"/>
          <w:spacing w:val="4"/>
        </w:rPr>
        <w:t>，编号</w:t>
      </w:r>
      <w:r>
        <w:rPr>
          <w:rFonts w:hint="eastAsia" w:cs="宋体"/>
          <w:color w:val="auto"/>
          <w:spacing w:val="4"/>
        </w:rPr>
        <w:t>为</w:t>
      </w:r>
      <w:r>
        <w:rPr>
          <w:rFonts w:cs="宋体"/>
          <w:color w:val="auto"/>
          <w:spacing w:val="4"/>
        </w:rPr>
        <w:t>913703221672516964001X</w:t>
      </w:r>
      <w:r>
        <w:rPr>
          <w:rFonts w:hint="eastAsia" w:cs="宋体"/>
          <w:color w:val="auto"/>
          <w:spacing w:val="4"/>
        </w:rPr>
        <w:t>，</w:t>
      </w:r>
      <w:bookmarkEnd w:id="18"/>
      <w:bookmarkEnd w:id="20"/>
      <w:bookmarkEnd w:id="21"/>
      <w:r>
        <w:rPr>
          <w:rFonts w:hint="eastAsia"/>
          <w:color w:val="auto"/>
        </w:rPr>
        <w:t>有效期自</w:t>
      </w:r>
      <w:r>
        <w:rPr>
          <w:color w:val="auto"/>
        </w:rPr>
        <w:t>2026年3月10日至2031年3月9日止</w:t>
      </w:r>
      <w:r>
        <w:rPr>
          <w:rFonts w:hint="eastAsia" w:cs="宋体"/>
          <w:color w:val="auto"/>
          <w:spacing w:val="4"/>
        </w:rPr>
        <w:t>，经调查，本期工程新建加热炉及拆旧燃气多功能罐已于排污许可手续中更新</w:t>
      </w:r>
      <w:bookmarkEnd w:id="19"/>
      <w:r>
        <w:rPr>
          <w:rFonts w:hint="eastAsia" w:cs="宋体"/>
          <w:color w:val="auto"/>
          <w:spacing w:val="4"/>
        </w:rPr>
        <w:t>。</w:t>
      </w:r>
    </w:p>
    <w:p w14:paraId="10F3A87F">
      <w:pPr>
        <w:pStyle w:val="4"/>
        <w:ind w:firstLine="480"/>
        <w:rPr>
          <w:color w:val="auto"/>
        </w:rPr>
      </w:pPr>
      <w:r>
        <w:rPr>
          <w:rFonts w:hint="eastAsia"/>
          <w:color w:val="auto"/>
        </w:rPr>
        <w:t>本期工程建成后，实际主要工程量较</w:t>
      </w:r>
      <w:r>
        <w:rPr>
          <w:color w:val="auto"/>
        </w:rPr>
        <w:t>环评</w:t>
      </w:r>
      <w:r>
        <w:rPr>
          <w:rFonts w:hint="eastAsia"/>
          <w:color w:val="auto"/>
        </w:rPr>
        <w:t>阶段发生</w:t>
      </w:r>
      <w:r>
        <w:rPr>
          <w:color w:val="auto"/>
        </w:rPr>
        <w:t>的</w:t>
      </w:r>
      <w:r>
        <w:rPr>
          <w:rFonts w:hint="eastAsia"/>
          <w:color w:val="auto"/>
        </w:rPr>
        <w:t>主要</w:t>
      </w:r>
      <w:r>
        <w:rPr>
          <w:color w:val="auto"/>
        </w:rPr>
        <w:t>变化是</w:t>
      </w:r>
      <w:r>
        <w:rPr>
          <w:rFonts w:hint="eastAsia"/>
          <w:color w:val="auto"/>
        </w:rPr>
        <w:t>：</w:t>
      </w:r>
      <w:r>
        <w:rPr>
          <w:color w:val="auto"/>
        </w:rPr>
        <w:t>1）分期建设，</w:t>
      </w:r>
      <w:r>
        <w:rPr>
          <w:rFonts w:hint="eastAsia"/>
          <w:color w:val="auto"/>
        </w:rPr>
        <w:t>本期工程实际建设油井及注水井数共</w:t>
      </w:r>
      <w:r>
        <w:rPr>
          <w:color w:val="auto"/>
        </w:rPr>
        <w:t>24</w:t>
      </w:r>
      <w:r>
        <w:rPr>
          <w:rFonts w:hint="eastAsia"/>
          <w:color w:val="auto"/>
        </w:rPr>
        <w:t>口</w:t>
      </w:r>
      <w:r>
        <w:rPr>
          <w:rFonts w:hint="eastAsia"/>
          <w:color w:val="auto"/>
        </w:rPr>
        <w:t>，环评部署井数共</w:t>
      </w:r>
      <w:r>
        <w:rPr>
          <w:color w:val="auto"/>
        </w:rPr>
        <w:t>163</w:t>
      </w:r>
      <w:r>
        <w:rPr>
          <w:rFonts w:hint="eastAsia"/>
          <w:color w:val="auto"/>
        </w:rPr>
        <w:t>口，实施了环评设计井数的</w:t>
      </w:r>
      <w:r>
        <w:rPr>
          <w:color w:val="auto"/>
        </w:rPr>
        <w:t>14.7%</w:t>
      </w:r>
      <w:r>
        <w:rPr>
          <w:rFonts w:hint="eastAsia"/>
          <w:color w:val="auto"/>
        </w:rPr>
        <w:t>，配套的井口装置、压力供水橇泵、配套管线均分期建设；本期工程实施了高青管理区地面系统优化建设工程，滨博北区地面系统优化建设工程未投产、樊</w:t>
      </w:r>
      <w:r>
        <w:rPr>
          <w:color w:val="auto"/>
        </w:rPr>
        <w:t>107</w:t>
      </w:r>
      <w:r>
        <w:rPr>
          <w:rFonts w:hint="eastAsia"/>
          <w:color w:val="auto"/>
        </w:rPr>
        <w:t>注水站扩建工程未投产，纳入后期验收；</w:t>
      </w:r>
      <w:r>
        <w:rPr>
          <w:color w:val="auto"/>
        </w:rPr>
        <w:t>2</w:t>
      </w:r>
      <w:r>
        <w:rPr>
          <w:rFonts w:hint="eastAsia"/>
          <w:color w:val="auto"/>
        </w:rPr>
        <w:t>）</w:t>
      </w:r>
      <w:bookmarkStart w:id="24" w:name="OLE_LINK316"/>
      <w:bookmarkStart w:id="25" w:name="OLE_LINK315"/>
      <w:r>
        <w:rPr>
          <w:rFonts w:hint="eastAsia"/>
          <w:color w:val="auto"/>
        </w:rPr>
        <w:t>高青管理区地面系统优化建设工程</w:t>
      </w:r>
      <w:bookmarkEnd w:id="24"/>
      <w:bookmarkEnd w:id="25"/>
      <w:r>
        <w:rPr>
          <w:rFonts w:hint="eastAsia"/>
          <w:color w:val="auto"/>
        </w:rPr>
        <w:t>集油管线共减少2.138km，掺水管线减少</w:t>
      </w:r>
      <w:r>
        <w:rPr>
          <w:color w:val="auto"/>
        </w:rPr>
        <w:t>0.7km</w:t>
      </w:r>
      <w:r>
        <w:rPr>
          <w:rFonts w:hint="eastAsia"/>
          <w:color w:val="auto"/>
        </w:rPr>
        <w:t>；注水管线减少</w:t>
      </w:r>
      <w:r>
        <w:rPr>
          <w:color w:val="auto"/>
        </w:rPr>
        <w:t>3.35km</w:t>
      </w:r>
      <w:r>
        <w:rPr>
          <w:rFonts w:hint="eastAsia"/>
          <w:color w:val="auto"/>
        </w:rPr>
        <w:t>，供水管线减少1.19km</w:t>
      </w:r>
      <w:r>
        <w:rPr>
          <w:color w:val="auto"/>
        </w:rPr>
        <w:t>；</w:t>
      </w:r>
      <w:r>
        <w:rPr>
          <w:rFonts w:hint="eastAsia"/>
          <w:color w:val="auto"/>
        </w:rPr>
        <w:t>穿跨越工程量减少；3）</w:t>
      </w:r>
      <w:bookmarkStart w:id="26" w:name="OLE_LINK294"/>
      <w:bookmarkStart w:id="27" w:name="OLE_LINK293"/>
      <w:r>
        <w:rPr>
          <w:rFonts w:hint="eastAsia"/>
          <w:color w:val="auto"/>
        </w:rPr>
        <w:t>环评设计新建燃气加热炉8台，更换燃气加热炉1台（拆1换1），总功率新增2</w:t>
      </w:r>
      <w:r>
        <w:rPr>
          <w:color w:val="auto"/>
        </w:rPr>
        <w:t>050kW</w:t>
      </w:r>
      <w:r>
        <w:rPr>
          <w:rFonts w:hint="eastAsia"/>
          <w:color w:val="auto"/>
        </w:rPr>
        <w:t>；实际新建燃气加热炉</w:t>
      </w:r>
      <w:r>
        <w:rPr>
          <w:color w:val="auto"/>
        </w:rPr>
        <w:t>5</w:t>
      </w:r>
      <w:r>
        <w:rPr>
          <w:rFonts w:hint="eastAsia"/>
          <w:color w:val="auto"/>
        </w:rPr>
        <w:t>台，拆除燃气加热炉2台,</w:t>
      </w:r>
      <w:bookmarkStart w:id="28" w:name="OLE_LINK259"/>
      <w:bookmarkStart w:id="29" w:name="OLE_LINK258"/>
      <w:r>
        <w:rPr>
          <w:rFonts w:hint="eastAsia"/>
          <w:color w:val="auto"/>
        </w:rPr>
        <w:t>总功率新增1</w:t>
      </w:r>
      <w:r>
        <w:rPr>
          <w:color w:val="auto"/>
        </w:rPr>
        <w:t>380kW</w:t>
      </w:r>
      <w:bookmarkEnd w:id="28"/>
      <w:bookmarkEnd w:id="29"/>
      <w:r>
        <w:rPr>
          <w:rFonts w:hint="eastAsia"/>
          <w:color w:val="auto"/>
        </w:rPr>
        <w:t>。</w:t>
      </w:r>
      <w:bookmarkStart w:id="30" w:name="OLE_LINK256"/>
      <w:bookmarkStart w:id="31" w:name="OLE_LINK257"/>
      <w:r>
        <w:rPr>
          <w:rFonts w:hint="eastAsia"/>
          <w:color w:val="auto"/>
        </w:rPr>
        <w:t>燃气加热炉台数减少3台，功率减少6</w:t>
      </w:r>
      <w:r>
        <w:rPr>
          <w:color w:val="auto"/>
        </w:rPr>
        <w:t>70kW</w:t>
      </w:r>
      <w:bookmarkEnd w:id="26"/>
      <w:bookmarkEnd w:id="27"/>
      <w:bookmarkEnd w:id="30"/>
      <w:bookmarkEnd w:id="31"/>
      <w:r>
        <w:rPr>
          <w:rFonts w:hint="eastAsia"/>
          <w:color w:val="auto"/>
        </w:rPr>
        <w:t>。根据《关于印发环评管理中部分行业建设项目重大变动清单的通知》（环办[2015]52号）、《关于进一步加强石油天然气行业环境影响评价管理的通知》（环办环评函[2019]910号）等相关文件要求，</w:t>
      </w:r>
      <w:r>
        <w:rPr>
          <w:color w:val="auto"/>
        </w:rPr>
        <w:t>上述变化不涉及</w:t>
      </w:r>
      <w:r>
        <w:rPr>
          <w:rFonts w:hint="eastAsia"/>
          <w:color w:val="auto"/>
        </w:rPr>
        <w:t>相关文件规定的重大变动情况，可以纳入本次验收，本项目不构成重大变动。</w:t>
      </w:r>
    </w:p>
    <w:p w14:paraId="3E74743D">
      <w:pPr>
        <w:pStyle w:val="4"/>
        <w:wordWrap w:val="0"/>
        <w:ind w:firstLine="480"/>
        <w:rPr>
          <w:color w:val="auto"/>
          <w:lang w:val="zh-CN"/>
        </w:rPr>
      </w:pPr>
      <w:r>
        <w:rPr>
          <w:color w:val="auto"/>
          <w:lang w:val="zh-CN"/>
        </w:rPr>
        <w:t>根据国家有关法律法规的要求</w:t>
      </w:r>
      <w:r>
        <w:rPr>
          <w:color w:val="auto"/>
        </w:rPr>
        <w:t>，</w:t>
      </w:r>
      <w:r>
        <w:rPr>
          <w:rFonts w:hint="eastAsia"/>
          <w:color w:val="auto"/>
          <w:lang w:val="zh-CN"/>
        </w:rPr>
        <w:t>东胜公司</w:t>
      </w:r>
      <w:r>
        <w:rPr>
          <w:color w:val="auto"/>
          <w:lang w:val="zh-CN"/>
        </w:rPr>
        <w:t>于</w:t>
      </w:r>
      <w:r>
        <w:rPr>
          <w:color w:val="auto"/>
        </w:rPr>
        <w:t>2025</w:t>
      </w:r>
      <w:r>
        <w:rPr>
          <w:rFonts w:hint="eastAsia"/>
          <w:color w:val="auto"/>
        </w:rPr>
        <w:t>年</w:t>
      </w:r>
      <w:r>
        <w:rPr>
          <w:color w:val="auto"/>
        </w:rPr>
        <w:t>12</w:t>
      </w:r>
      <w:r>
        <w:rPr>
          <w:rFonts w:hint="eastAsia"/>
          <w:color w:val="auto"/>
        </w:rPr>
        <w:t>月</w:t>
      </w:r>
      <w:r>
        <w:rPr>
          <w:color w:val="auto"/>
        </w:rPr>
        <w:t>30</w:t>
      </w:r>
      <w:r>
        <w:rPr>
          <w:rFonts w:hint="eastAsia"/>
          <w:color w:val="auto"/>
        </w:rPr>
        <w:t>日</w:t>
      </w:r>
      <w:r>
        <w:rPr>
          <w:rFonts w:hint="eastAsia"/>
          <w:color w:val="auto"/>
          <w:lang w:val="zh-CN"/>
        </w:rPr>
        <w:t>在中国</w:t>
      </w:r>
      <w:r>
        <w:rPr>
          <w:color w:val="auto"/>
          <w:lang w:val="zh-CN"/>
        </w:rPr>
        <w:t>石化胜利油田</w:t>
      </w:r>
      <w:r>
        <w:rPr>
          <w:rFonts w:hint="eastAsia"/>
          <w:color w:val="auto"/>
          <w:lang w:val="zh-CN"/>
        </w:rPr>
        <w:t>网站</w:t>
      </w:r>
      <w:r>
        <w:rPr>
          <w:rFonts w:hint="eastAsia"/>
          <w:color w:val="auto"/>
        </w:rPr>
        <w:t>（</w:t>
      </w:r>
      <w:r>
        <w:rPr>
          <w:color w:val="auto"/>
        </w:rPr>
        <w:t>http://portal.sinopec.com/</w:t>
      </w:r>
      <w:r>
        <w:rPr>
          <w:rFonts w:hint="eastAsia"/>
          <w:color w:val="auto"/>
        </w:rPr>
        <w:t>）</w:t>
      </w:r>
      <w:r>
        <w:rPr>
          <w:rFonts w:hint="eastAsia"/>
          <w:color w:val="auto"/>
          <w:lang w:val="zh-CN"/>
        </w:rPr>
        <w:t>对</w:t>
      </w:r>
      <w:r>
        <w:rPr>
          <w:color w:val="auto"/>
          <w:lang w:val="zh-CN"/>
        </w:rPr>
        <w:t>该工程</w:t>
      </w:r>
      <w:r>
        <w:rPr>
          <w:rFonts w:hint="eastAsia"/>
          <w:color w:val="auto"/>
          <w:lang w:val="zh-CN"/>
        </w:rPr>
        <w:t>的</w:t>
      </w:r>
      <w:r>
        <w:rPr>
          <w:color w:val="auto"/>
          <w:lang w:val="zh-CN"/>
        </w:rPr>
        <w:t>竣工日期和调试起止日期</w:t>
      </w:r>
      <w:r>
        <w:rPr>
          <w:rFonts w:hint="eastAsia"/>
          <w:color w:val="auto"/>
          <w:lang w:val="zh-CN"/>
        </w:rPr>
        <w:t>进行了</w:t>
      </w:r>
      <w:r>
        <w:rPr>
          <w:color w:val="auto"/>
          <w:lang w:val="zh-CN"/>
        </w:rPr>
        <w:t>网上公示</w:t>
      </w:r>
      <w:r>
        <w:rPr>
          <w:rFonts w:hint="eastAsia"/>
          <w:color w:val="auto"/>
        </w:rPr>
        <w:t>，</w:t>
      </w:r>
      <w:r>
        <w:rPr>
          <w:color w:val="auto"/>
          <w:lang w:val="zh-CN"/>
        </w:rPr>
        <w:t>并委托</w:t>
      </w:r>
      <w:r>
        <w:rPr>
          <w:rFonts w:hint="eastAsia"/>
          <w:color w:val="auto"/>
          <w:lang w:val="zh-CN"/>
        </w:rPr>
        <w:t>山东蓝普检测技术有限公司</w:t>
      </w:r>
      <w:r>
        <w:rPr>
          <w:rFonts w:hint="eastAsia"/>
          <w:snapToGrid w:val="0"/>
          <w:color w:val="auto"/>
        </w:rPr>
        <w:t>（以下简称“</w:t>
      </w:r>
      <w:r>
        <w:rPr>
          <w:rFonts w:hint="eastAsia"/>
          <w:color w:val="auto"/>
          <w:lang w:val="zh-CN"/>
        </w:rPr>
        <w:t>我公司</w:t>
      </w:r>
      <w:r>
        <w:rPr>
          <w:rFonts w:hint="eastAsia"/>
          <w:snapToGrid w:val="0"/>
          <w:color w:val="auto"/>
        </w:rPr>
        <w:t>”</w:t>
      </w:r>
      <w:r>
        <w:rPr>
          <w:rFonts w:hint="eastAsia"/>
          <w:color w:val="auto"/>
        </w:rPr>
        <w:t>）</w:t>
      </w:r>
      <w:r>
        <w:rPr>
          <w:rFonts w:hint="eastAsia"/>
          <w:color w:val="auto"/>
          <w:lang w:val="zh-CN"/>
        </w:rPr>
        <w:t>承担</w:t>
      </w:r>
      <w:r>
        <w:rPr>
          <w:color w:val="auto"/>
          <w:lang w:val="zh-CN"/>
        </w:rPr>
        <w:t>本项目竣工环境保护设施验收调查报告的编制工作</w:t>
      </w:r>
      <w:r>
        <w:rPr>
          <w:rFonts w:hint="eastAsia"/>
          <w:color w:val="auto"/>
        </w:rPr>
        <w:t>（</w:t>
      </w:r>
      <w:r>
        <w:rPr>
          <w:rFonts w:hint="eastAsia"/>
          <w:color w:val="auto"/>
          <w:lang w:val="zh-CN"/>
        </w:rPr>
        <w:t>委托书</w:t>
      </w:r>
      <w:r>
        <w:rPr>
          <w:color w:val="auto"/>
          <w:lang w:val="zh-CN"/>
        </w:rPr>
        <w:t>见</w:t>
      </w:r>
      <w:r>
        <w:rPr>
          <w:rFonts w:hint="eastAsia"/>
          <w:color w:val="auto"/>
          <w:lang w:val="zh-CN"/>
        </w:rPr>
        <w:t>附件</w:t>
      </w:r>
      <w:r>
        <w:rPr>
          <w:rFonts w:hint="eastAsia"/>
          <w:color w:val="auto"/>
        </w:rPr>
        <w:t>1）</w:t>
      </w:r>
      <w:r>
        <w:rPr>
          <w:color w:val="auto"/>
          <w:lang w:val="zh-CN"/>
        </w:rPr>
        <w:t>。</w:t>
      </w:r>
      <w:r>
        <w:rPr>
          <w:rFonts w:hint="eastAsia"/>
          <w:color w:val="auto"/>
          <w:lang w:val="zh-CN"/>
        </w:rPr>
        <w:t>接受</w:t>
      </w:r>
      <w:r>
        <w:rPr>
          <w:color w:val="auto"/>
          <w:lang w:val="zh-CN"/>
        </w:rPr>
        <w:t>委托后，我公司成立了</w:t>
      </w:r>
      <w:r>
        <w:rPr>
          <w:rFonts w:hint="eastAsia"/>
          <w:color w:val="auto"/>
          <w:lang w:val="zh-CN"/>
        </w:rPr>
        <w:t>该项目的验收调查</w:t>
      </w:r>
      <w:r>
        <w:rPr>
          <w:color w:val="auto"/>
          <w:lang w:val="zh-CN"/>
        </w:rPr>
        <w:t>组，收集了项目环境影响报告书、报告书批复文件</w:t>
      </w:r>
      <w:r>
        <w:rPr>
          <w:rFonts w:hint="eastAsia"/>
          <w:color w:val="auto"/>
          <w:lang w:val="zh-CN"/>
        </w:rPr>
        <w:t>及项目生产</w:t>
      </w:r>
      <w:r>
        <w:rPr>
          <w:color w:val="auto"/>
          <w:lang w:val="zh-CN"/>
        </w:rPr>
        <w:t>运行数据等有关的资料，派</w:t>
      </w:r>
      <w:r>
        <w:rPr>
          <w:rFonts w:hint="eastAsia"/>
          <w:color w:val="auto"/>
          <w:lang w:val="zh-CN"/>
        </w:rPr>
        <w:t>工作</w:t>
      </w:r>
      <w:r>
        <w:rPr>
          <w:color w:val="auto"/>
          <w:lang w:val="zh-CN"/>
        </w:rPr>
        <w:t>人员到项目</w:t>
      </w:r>
      <w:r>
        <w:rPr>
          <w:rFonts w:hint="eastAsia"/>
          <w:color w:val="auto"/>
          <w:lang w:val="zh-CN"/>
        </w:rPr>
        <w:t>建设地点</w:t>
      </w:r>
      <w:r>
        <w:rPr>
          <w:color w:val="auto"/>
          <w:lang w:val="zh-CN"/>
        </w:rPr>
        <w:t>进行了现场踏勘，在此基础上</w:t>
      </w:r>
      <w:r>
        <w:rPr>
          <w:rFonts w:hint="eastAsia"/>
          <w:color w:val="auto"/>
          <w:lang w:val="zh-CN"/>
        </w:rPr>
        <w:t>制定了环境</w:t>
      </w:r>
      <w:r>
        <w:rPr>
          <w:color w:val="auto"/>
          <w:lang w:val="zh-CN"/>
        </w:rPr>
        <w:t>现状</w:t>
      </w:r>
      <w:r>
        <w:rPr>
          <w:rFonts w:hint="eastAsia"/>
          <w:color w:val="auto"/>
          <w:lang w:val="zh-CN"/>
        </w:rPr>
        <w:t>监测</w:t>
      </w:r>
      <w:r>
        <w:rPr>
          <w:color w:val="auto"/>
          <w:lang w:val="zh-CN"/>
        </w:rPr>
        <w:t>方案，</w:t>
      </w:r>
      <w:r>
        <w:rPr>
          <w:rFonts w:hint="eastAsia"/>
          <w:color w:val="auto"/>
          <w:lang w:val="zh-CN"/>
        </w:rPr>
        <w:t>于202</w:t>
      </w:r>
      <w:r>
        <w:rPr>
          <w:color w:val="auto"/>
          <w:lang w:val="zh-CN"/>
        </w:rPr>
        <w:t>6</w:t>
      </w:r>
      <w:r>
        <w:rPr>
          <w:rFonts w:hint="eastAsia"/>
          <w:color w:val="auto"/>
          <w:lang w:val="zh-CN"/>
        </w:rPr>
        <w:t>年</w:t>
      </w:r>
      <w:r>
        <w:rPr>
          <w:color w:val="auto"/>
          <w:lang w:val="zh-CN"/>
        </w:rPr>
        <w:t>2</w:t>
      </w:r>
      <w:r>
        <w:rPr>
          <w:rFonts w:hint="eastAsia"/>
          <w:color w:val="auto"/>
          <w:lang w:val="zh-CN"/>
        </w:rPr>
        <w:t>月</w:t>
      </w:r>
      <w:r>
        <w:rPr>
          <w:color w:val="auto"/>
          <w:lang w:val="zh-CN"/>
        </w:rPr>
        <w:t>28</w:t>
      </w:r>
      <w:r>
        <w:rPr>
          <w:rFonts w:hint="eastAsia"/>
          <w:color w:val="auto"/>
          <w:lang w:val="zh-CN"/>
        </w:rPr>
        <w:t>日～</w:t>
      </w:r>
      <w:r>
        <w:rPr>
          <w:color w:val="auto"/>
          <w:lang w:val="zh-CN"/>
        </w:rPr>
        <w:t>3</w:t>
      </w:r>
      <w:r>
        <w:rPr>
          <w:rFonts w:hint="eastAsia"/>
          <w:color w:val="auto"/>
          <w:lang w:val="zh-CN"/>
        </w:rPr>
        <w:t>月</w:t>
      </w:r>
      <w:r>
        <w:rPr>
          <w:color w:val="auto"/>
          <w:lang w:val="zh-CN"/>
        </w:rPr>
        <w:t>11</w:t>
      </w:r>
      <w:r>
        <w:rPr>
          <w:rFonts w:hint="eastAsia"/>
          <w:color w:val="auto"/>
          <w:lang w:val="zh-CN"/>
        </w:rPr>
        <w:t>日、202</w:t>
      </w:r>
      <w:r>
        <w:rPr>
          <w:color w:val="auto"/>
          <w:lang w:val="zh-CN"/>
        </w:rPr>
        <w:t>6</w:t>
      </w:r>
      <w:r>
        <w:rPr>
          <w:rFonts w:hint="eastAsia"/>
          <w:color w:val="auto"/>
          <w:lang w:val="zh-CN"/>
        </w:rPr>
        <w:t>年</w:t>
      </w:r>
      <w:r>
        <w:rPr>
          <w:color w:val="auto"/>
          <w:lang w:val="zh-CN"/>
        </w:rPr>
        <w:t>3</w:t>
      </w:r>
      <w:r>
        <w:rPr>
          <w:rFonts w:hint="eastAsia"/>
          <w:color w:val="auto"/>
          <w:lang w:val="zh-CN"/>
        </w:rPr>
        <w:t>月</w:t>
      </w:r>
      <w:r>
        <w:rPr>
          <w:color w:val="auto"/>
          <w:lang w:val="zh-CN"/>
        </w:rPr>
        <w:t>16</w:t>
      </w:r>
      <w:r>
        <w:rPr>
          <w:rFonts w:hint="eastAsia"/>
          <w:color w:val="auto"/>
          <w:lang w:val="zh-CN"/>
        </w:rPr>
        <w:t>日～</w:t>
      </w:r>
      <w:r>
        <w:rPr>
          <w:color w:val="auto"/>
          <w:lang w:val="zh-CN"/>
        </w:rPr>
        <w:t>3</w:t>
      </w:r>
      <w:r>
        <w:rPr>
          <w:rFonts w:hint="eastAsia"/>
          <w:color w:val="auto"/>
          <w:lang w:val="zh-CN"/>
        </w:rPr>
        <w:t>月</w:t>
      </w:r>
      <w:r>
        <w:rPr>
          <w:color w:val="auto"/>
          <w:lang w:val="zh-CN"/>
        </w:rPr>
        <w:t>20</w:t>
      </w:r>
      <w:r>
        <w:rPr>
          <w:rFonts w:hint="eastAsia"/>
          <w:color w:val="auto"/>
          <w:lang w:val="zh-CN"/>
        </w:rPr>
        <w:t>日开展了现场监测。</w:t>
      </w:r>
      <w:r>
        <w:rPr>
          <w:color w:val="auto"/>
          <w:lang w:val="zh-CN"/>
        </w:rPr>
        <w:t>根据调查和</w:t>
      </w:r>
      <w:r>
        <w:rPr>
          <w:rFonts w:hint="eastAsia"/>
          <w:color w:val="auto"/>
          <w:lang w:val="zh-CN"/>
        </w:rPr>
        <w:t>监测</w:t>
      </w:r>
      <w:r>
        <w:rPr>
          <w:color w:val="auto"/>
          <w:lang w:val="zh-CN"/>
        </w:rPr>
        <w:t>结果，编制完成了《</w:t>
      </w:r>
      <w:r>
        <w:rPr>
          <w:rFonts w:hint="eastAsia"/>
          <w:color w:val="auto"/>
          <w:lang w:val="zh-CN"/>
        </w:rPr>
        <w:t>大芦湖油田产能建设项目（2023-2025年）（一期）竣工环境保护设施验收调查报告</w:t>
      </w:r>
      <w:r>
        <w:rPr>
          <w:color w:val="auto"/>
          <w:lang w:val="zh-CN"/>
        </w:rPr>
        <w:t>》。</w:t>
      </w:r>
    </w:p>
    <w:p w14:paraId="3E09F8D4">
      <w:pPr>
        <w:pStyle w:val="4"/>
        <w:ind w:firstLine="480"/>
        <w:rPr>
          <w:color w:val="auto"/>
          <w:lang w:val="zh-CN"/>
        </w:rPr>
      </w:pPr>
      <w:r>
        <w:rPr>
          <w:rFonts w:hint="eastAsia"/>
          <w:color w:val="auto"/>
          <w:lang w:val="zh-CN"/>
        </w:rPr>
        <w:t>根据</w:t>
      </w:r>
      <w:r>
        <w:rPr>
          <w:color w:val="auto"/>
          <w:lang w:val="zh-CN"/>
        </w:rPr>
        <w:t>项目验收</w:t>
      </w:r>
      <w:r>
        <w:rPr>
          <w:rFonts w:hint="eastAsia"/>
          <w:color w:val="auto"/>
          <w:lang w:val="zh-CN"/>
        </w:rPr>
        <w:t>现场</w:t>
      </w:r>
      <w:r>
        <w:rPr>
          <w:color w:val="auto"/>
          <w:lang w:val="zh-CN"/>
        </w:rPr>
        <w:t>调查</w:t>
      </w:r>
      <w:r>
        <w:rPr>
          <w:rFonts w:hint="eastAsia"/>
          <w:color w:val="auto"/>
          <w:lang w:val="zh-CN"/>
        </w:rPr>
        <w:t>、监测</w:t>
      </w:r>
      <w:r>
        <w:rPr>
          <w:color w:val="auto"/>
          <w:lang w:val="zh-CN"/>
        </w:rPr>
        <w:t>结果可知</w:t>
      </w:r>
      <w:r>
        <w:rPr>
          <w:rFonts w:hint="eastAsia"/>
          <w:color w:val="auto"/>
          <w:lang w:val="zh-CN"/>
        </w:rPr>
        <w:t>：本项目的建成</w:t>
      </w:r>
      <w:r>
        <w:rPr>
          <w:color w:val="auto"/>
          <w:lang w:val="zh-CN"/>
        </w:rPr>
        <w:t>对周边环境空气</w:t>
      </w:r>
      <w:r>
        <w:rPr>
          <w:rFonts w:hint="eastAsia"/>
          <w:color w:val="auto"/>
          <w:lang w:val="zh-CN"/>
        </w:rPr>
        <w:t>、地下水环境、</w:t>
      </w:r>
      <w:r>
        <w:rPr>
          <w:color w:val="auto"/>
          <w:lang w:val="zh-CN"/>
        </w:rPr>
        <w:t>声环境</w:t>
      </w:r>
      <w:r>
        <w:rPr>
          <w:rFonts w:hint="eastAsia"/>
          <w:color w:val="auto"/>
          <w:lang w:val="zh-CN"/>
        </w:rPr>
        <w:t>、</w:t>
      </w:r>
      <w:r>
        <w:rPr>
          <w:color w:val="auto"/>
          <w:lang w:val="zh-CN"/>
        </w:rPr>
        <w:t>土壤环境的影响较小，</w:t>
      </w:r>
      <w:r>
        <w:rPr>
          <w:rFonts w:hint="eastAsia"/>
          <w:color w:val="auto"/>
          <w:lang w:val="zh-CN"/>
        </w:rPr>
        <w:t>产生</w:t>
      </w:r>
      <w:r>
        <w:rPr>
          <w:color w:val="auto"/>
          <w:lang w:val="zh-CN"/>
        </w:rPr>
        <w:t>的固体废物均</w:t>
      </w:r>
      <w:r>
        <w:rPr>
          <w:rFonts w:hint="eastAsia"/>
          <w:color w:val="auto"/>
          <w:lang w:val="zh-CN"/>
        </w:rPr>
        <w:t>已</w:t>
      </w:r>
      <w:r>
        <w:rPr>
          <w:color w:val="auto"/>
          <w:lang w:val="zh-CN"/>
        </w:rPr>
        <w:t>得到妥善处置；</w:t>
      </w:r>
      <w:r>
        <w:rPr>
          <w:rFonts w:hint="eastAsia"/>
          <w:color w:val="auto"/>
          <w:lang w:val="zh-CN"/>
        </w:rPr>
        <w:t>施工临时占地区域地貌和植被已基本恢复，项目的建设未对周边生态环境造成不利影响。施工期</w:t>
      </w:r>
      <w:r>
        <w:rPr>
          <w:color w:val="auto"/>
          <w:lang w:val="zh-CN"/>
        </w:rPr>
        <w:t>及</w:t>
      </w:r>
      <w:r>
        <w:rPr>
          <w:rFonts w:hint="eastAsia"/>
          <w:color w:val="auto"/>
          <w:lang w:val="zh-CN"/>
        </w:rPr>
        <w:t>运营期</w:t>
      </w:r>
      <w:r>
        <w:rPr>
          <w:color w:val="auto"/>
          <w:lang w:val="zh-CN"/>
        </w:rPr>
        <w:t>的各项环保措施</w:t>
      </w:r>
      <w:r>
        <w:rPr>
          <w:rFonts w:hint="eastAsia"/>
          <w:color w:val="auto"/>
          <w:lang w:val="zh-CN"/>
        </w:rPr>
        <w:t>均</w:t>
      </w:r>
      <w:r>
        <w:rPr>
          <w:color w:val="auto"/>
          <w:lang w:val="zh-CN"/>
        </w:rPr>
        <w:t>得到有效落实</w:t>
      </w:r>
      <w:r>
        <w:rPr>
          <w:rFonts w:hint="eastAsia"/>
          <w:color w:val="auto"/>
          <w:lang w:val="zh-CN"/>
        </w:rPr>
        <w:t>，达到了环评批复的要求，建议通过竣工环境保护验收。</w:t>
      </w:r>
    </w:p>
    <w:p w14:paraId="2B036A2C">
      <w:pPr>
        <w:pStyle w:val="4"/>
        <w:ind w:firstLine="480"/>
        <w:rPr>
          <w:color w:val="auto"/>
        </w:rPr>
      </w:pPr>
      <w:r>
        <w:rPr>
          <w:rFonts w:hint="eastAsia"/>
          <w:color w:val="auto"/>
        </w:rPr>
        <w:t>在报告编制过程中，得到了生态环境主管部门淄博市生态环境局高青分局、建设单位</w:t>
      </w:r>
      <w:bookmarkStart w:id="32" w:name="OLE_LINK151"/>
      <w:bookmarkStart w:id="33" w:name="OLE_LINK150"/>
      <w:r>
        <w:rPr>
          <w:rFonts w:hint="eastAsia"/>
          <w:color w:val="auto"/>
        </w:rPr>
        <w:t>东胜高青公司</w:t>
      </w:r>
      <w:bookmarkEnd w:id="32"/>
      <w:bookmarkEnd w:id="33"/>
      <w:r>
        <w:rPr>
          <w:rFonts w:hint="eastAsia"/>
          <w:color w:val="auto"/>
        </w:rPr>
        <w:t>、环评报告书编制机构森诺科技</w:t>
      </w:r>
      <w:r>
        <w:rPr>
          <w:rFonts w:hint="eastAsia"/>
          <w:color w:val="auto"/>
          <w:lang w:val="zh-CN"/>
        </w:rPr>
        <w:t>有限公司</w:t>
      </w:r>
      <w:r>
        <w:rPr>
          <w:rFonts w:hint="eastAsia"/>
          <w:color w:val="auto"/>
        </w:rPr>
        <w:t>等单位的热情指导和大力支持，在此一并表示感谢！验收报告中不妥之处敬请批评指正！</w:t>
      </w:r>
    </w:p>
    <w:p w14:paraId="582A2A44">
      <w:pPr>
        <w:pStyle w:val="4"/>
        <w:ind w:firstLine="480"/>
        <w:rPr>
          <w:color w:val="auto"/>
        </w:rPr>
      </w:pPr>
    </w:p>
    <w:p w14:paraId="75127F13">
      <w:pPr>
        <w:pStyle w:val="4"/>
        <w:ind w:firstLine="480"/>
        <w:rPr>
          <w:color w:val="auto"/>
          <w:lang w:val="zh-CN"/>
        </w:rPr>
      </w:pPr>
    </w:p>
    <w:p w14:paraId="4EF6004B">
      <w:pPr>
        <w:pStyle w:val="4"/>
        <w:ind w:firstLine="480"/>
        <w:jc w:val="right"/>
        <w:rPr>
          <w:color w:val="auto"/>
          <w:lang w:val="zh-CN"/>
        </w:rPr>
      </w:pPr>
      <w:r>
        <w:rPr>
          <w:rFonts w:hint="eastAsia"/>
          <w:color w:val="auto"/>
          <w:lang w:val="zh-CN"/>
        </w:rPr>
        <w:t>验收</w:t>
      </w:r>
      <w:r>
        <w:rPr>
          <w:color w:val="auto"/>
          <w:lang w:val="zh-CN"/>
        </w:rPr>
        <w:t>调查组</w:t>
      </w:r>
    </w:p>
    <w:p w14:paraId="49365733">
      <w:pPr>
        <w:pStyle w:val="4"/>
        <w:ind w:firstLine="480"/>
        <w:jc w:val="right"/>
        <w:rPr>
          <w:rFonts w:cs="Calibri"/>
          <w:color w:val="auto"/>
          <w:szCs w:val="20"/>
        </w:rPr>
      </w:pPr>
      <w:r>
        <w:rPr>
          <w:rFonts w:hint="eastAsia"/>
          <w:color w:val="auto"/>
          <w:lang w:val="zh-CN"/>
        </w:rPr>
        <w:t>2</w:t>
      </w:r>
      <w:r>
        <w:rPr>
          <w:color w:val="auto"/>
          <w:lang w:val="zh-CN"/>
        </w:rPr>
        <w:t>026年3月</w:t>
      </w:r>
    </w:p>
    <w:p w14:paraId="730FB95D">
      <w:pPr>
        <w:rPr>
          <w:rFonts w:ascii="宋体" w:hAnsi="宋体" w:cs="Calibri"/>
          <w:color w:val="auto"/>
          <w:sz w:val="24"/>
          <w:szCs w:val="20"/>
        </w:rPr>
      </w:pPr>
    </w:p>
    <w:p w14:paraId="4060073E">
      <w:pPr>
        <w:tabs>
          <w:tab w:val="center" w:pos="4365"/>
        </w:tabs>
        <w:rPr>
          <w:rFonts w:ascii="宋体" w:hAnsi="宋体" w:cs="Calibri"/>
          <w:color w:val="auto"/>
          <w:sz w:val="24"/>
          <w:szCs w:val="20"/>
        </w:rPr>
        <w:sectPr>
          <w:pgSz w:w="11906" w:h="16838"/>
          <w:pgMar w:top="1418" w:right="1588" w:bottom="1418" w:left="1588" w:header="1134" w:footer="850" w:gutter="0"/>
          <w:pgNumType w:start="1"/>
          <w:cols w:space="720" w:num="1"/>
          <w:docGrid w:linePitch="312" w:charSpace="0"/>
        </w:sectPr>
      </w:pPr>
      <w:r>
        <w:rPr>
          <w:rFonts w:ascii="宋体" w:hAnsi="宋体" w:cs="Calibri"/>
          <w:color w:val="auto"/>
          <w:sz w:val="24"/>
          <w:szCs w:val="20"/>
        </w:rPr>
        <w:tab/>
      </w:r>
    </w:p>
    <w:p w14:paraId="6A57DBE9">
      <w:pPr>
        <w:pStyle w:val="3"/>
        <w:rPr>
          <w:color w:val="auto"/>
        </w:rPr>
      </w:pPr>
      <w:bookmarkStart w:id="34" w:name="_Toc231283611"/>
      <w:r>
        <w:rPr>
          <w:rFonts w:hint="eastAsia"/>
          <w:color w:val="auto"/>
        </w:rPr>
        <w:t>项目</w:t>
      </w:r>
      <w:r>
        <w:rPr>
          <w:color w:val="auto"/>
        </w:rPr>
        <w:t>概况</w:t>
      </w:r>
      <w:bookmarkEnd w:id="34"/>
    </w:p>
    <w:p w14:paraId="5B58D544">
      <w:pPr>
        <w:pStyle w:val="5"/>
        <w:rPr>
          <w:color w:val="auto"/>
        </w:rPr>
      </w:pPr>
      <w:bookmarkStart w:id="35" w:name="_Toc231283612"/>
      <w:r>
        <w:rPr>
          <w:rFonts w:hint="eastAsia"/>
          <w:color w:val="auto"/>
        </w:rPr>
        <w:t>项目基本概况</w:t>
      </w:r>
      <w:bookmarkEnd w:id="35"/>
    </w:p>
    <w:p w14:paraId="087C8C35">
      <w:pPr>
        <w:pStyle w:val="4"/>
        <w:ind w:firstLine="472"/>
        <w:rPr>
          <w:color w:val="auto"/>
          <w:spacing w:val="-2"/>
        </w:rPr>
      </w:pPr>
      <w:r>
        <w:rPr>
          <w:rFonts w:hint="eastAsia"/>
          <w:color w:val="auto"/>
          <w:spacing w:val="-2"/>
        </w:rPr>
        <w:t>项目名称</w:t>
      </w:r>
      <w:r>
        <w:rPr>
          <w:color w:val="auto"/>
          <w:spacing w:val="-2"/>
        </w:rPr>
        <w:t>：</w:t>
      </w:r>
      <w:r>
        <w:rPr>
          <w:rFonts w:hint="eastAsia"/>
          <w:color w:val="auto"/>
          <w:spacing w:val="-2"/>
        </w:rPr>
        <w:t xml:space="preserve">大芦湖油田产能建设项目（2023-2025年）（一期）； </w:t>
      </w:r>
    </w:p>
    <w:p w14:paraId="53CD4B02">
      <w:pPr>
        <w:pStyle w:val="4"/>
        <w:ind w:firstLine="472"/>
        <w:rPr>
          <w:color w:val="auto"/>
          <w:spacing w:val="-2"/>
        </w:rPr>
      </w:pPr>
      <w:r>
        <w:rPr>
          <w:rFonts w:hint="eastAsia"/>
          <w:color w:val="auto"/>
          <w:spacing w:val="-2"/>
        </w:rPr>
        <w:t>建设性质</w:t>
      </w:r>
      <w:r>
        <w:rPr>
          <w:color w:val="auto"/>
          <w:spacing w:val="-2"/>
        </w:rPr>
        <w:t>：</w:t>
      </w:r>
      <w:r>
        <w:rPr>
          <w:rFonts w:hint="eastAsia"/>
          <w:color w:val="auto"/>
          <w:spacing w:val="-2"/>
        </w:rPr>
        <w:t>改扩建；</w:t>
      </w:r>
    </w:p>
    <w:p w14:paraId="0BDAB21C">
      <w:pPr>
        <w:pStyle w:val="4"/>
        <w:ind w:firstLine="472"/>
        <w:rPr>
          <w:color w:val="auto"/>
          <w:spacing w:val="-2"/>
        </w:rPr>
      </w:pPr>
      <w:r>
        <w:rPr>
          <w:rFonts w:hint="eastAsia"/>
          <w:color w:val="auto"/>
          <w:spacing w:val="-2"/>
        </w:rPr>
        <w:t>建设单位</w:t>
      </w:r>
      <w:r>
        <w:rPr>
          <w:color w:val="auto"/>
          <w:spacing w:val="-2"/>
        </w:rPr>
        <w:t>：</w:t>
      </w:r>
      <w:bookmarkStart w:id="36" w:name="OLE_LINK291"/>
      <w:bookmarkStart w:id="37" w:name="OLE_LINK292"/>
      <w:r>
        <w:rPr>
          <w:rFonts w:hint="eastAsia"/>
          <w:color w:val="auto"/>
        </w:rPr>
        <w:t>胜利油田高青石油开发有限责任公司</w:t>
      </w:r>
      <w:bookmarkEnd w:id="36"/>
      <w:bookmarkEnd w:id="37"/>
      <w:r>
        <w:rPr>
          <w:rFonts w:hint="eastAsia"/>
          <w:color w:val="auto"/>
        </w:rPr>
        <w:t>；</w:t>
      </w:r>
    </w:p>
    <w:p w14:paraId="154D7E5E">
      <w:pPr>
        <w:pStyle w:val="4"/>
        <w:ind w:firstLine="472"/>
        <w:rPr>
          <w:color w:val="auto"/>
        </w:rPr>
      </w:pPr>
      <w:r>
        <w:rPr>
          <w:rFonts w:hint="eastAsia"/>
          <w:color w:val="auto"/>
          <w:spacing w:val="-2"/>
        </w:rPr>
        <w:t>建设规模：</w:t>
      </w:r>
      <w:r>
        <w:rPr>
          <w:color w:val="auto"/>
        </w:rPr>
        <w:t xml:space="preserve"> </w:t>
      </w:r>
    </w:p>
    <w:p w14:paraId="366FA799">
      <w:pPr>
        <w:pStyle w:val="4"/>
        <w:ind w:firstLine="480"/>
        <w:rPr>
          <w:color w:val="auto"/>
        </w:rPr>
      </w:pPr>
      <w:r>
        <w:rPr>
          <w:rFonts w:hint="eastAsia"/>
          <w:color w:val="auto"/>
        </w:rPr>
        <w:t>1）滚动开发工程：共部署24口井，其中探井转开发井8口，新钻井</w:t>
      </w:r>
      <w:r>
        <w:rPr>
          <w:color w:val="auto"/>
        </w:rPr>
        <w:t>16口（油井9口、注水井7口）</w:t>
      </w:r>
      <w:r>
        <w:rPr>
          <w:rFonts w:hint="eastAsia"/>
          <w:color w:val="auto"/>
        </w:rPr>
        <w:t>，</w:t>
      </w:r>
      <w:r>
        <w:rPr>
          <w:color w:val="auto"/>
        </w:rPr>
        <w:t>分布于</w:t>
      </w:r>
      <w:r>
        <w:rPr>
          <w:rFonts w:hint="eastAsia"/>
          <w:color w:val="auto"/>
        </w:rPr>
        <w:t>11</w:t>
      </w:r>
      <w:r>
        <w:rPr>
          <w:color w:val="auto"/>
        </w:rPr>
        <w:t>座新建井场中</w:t>
      </w:r>
      <w:r>
        <w:rPr>
          <w:rFonts w:hint="eastAsia"/>
          <w:color w:val="auto"/>
        </w:rPr>
        <w:t>；</w:t>
      </w:r>
      <w:r>
        <w:rPr>
          <w:color w:val="auto"/>
        </w:rPr>
        <w:t>新建</w:t>
      </w:r>
      <w:r>
        <w:rPr>
          <w:rFonts w:hint="eastAsia"/>
          <w:color w:val="auto"/>
        </w:rPr>
        <w:t>了9座游梁式抽油机；</w:t>
      </w:r>
      <w:r>
        <w:rPr>
          <w:color w:val="auto"/>
        </w:rPr>
        <w:t>新建</w:t>
      </w:r>
      <w:r>
        <w:rPr>
          <w:rFonts w:hint="eastAsia"/>
          <w:color w:val="auto"/>
        </w:rPr>
        <w:t>了16</w:t>
      </w:r>
      <w:r>
        <w:rPr>
          <w:color w:val="auto"/>
        </w:rPr>
        <w:t>套</w:t>
      </w:r>
      <w:r>
        <w:rPr>
          <w:rFonts w:hint="eastAsia"/>
          <w:color w:val="auto"/>
        </w:rPr>
        <w:t>采油</w:t>
      </w:r>
      <w:r>
        <w:rPr>
          <w:color w:val="auto"/>
        </w:rPr>
        <w:t>井口装置</w:t>
      </w:r>
      <w:r>
        <w:rPr>
          <w:rFonts w:hint="eastAsia"/>
          <w:color w:val="auto"/>
        </w:rPr>
        <w:t>，7套注水井口装置；</w:t>
      </w:r>
      <w:r>
        <w:rPr>
          <w:rFonts w:hint="eastAsia"/>
          <w:snapToGrid w:val="0"/>
          <w:color w:val="auto"/>
        </w:rPr>
        <w:t>新建了</w:t>
      </w:r>
      <w:r>
        <w:rPr>
          <w:rFonts w:hint="eastAsia"/>
          <w:color w:val="auto"/>
          <w:kern w:val="0"/>
        </w:rPr>
        <w:t>φ6</w:t>
      </w:r>
      <w:r>
        <w:rPr>
          <w:color w:val="auto"/>
          <w:kern w:val="0"/>
        </w:rPr>
        <w:t>0</w:t>
      </w:r>
      <w:r>
        <w:rPr>
          <w:rFonts w:hint="eastAsia"/>
          <w:color w:val="auto"/>
        </w:rPr>
        <w:t>×</w:t>
      </w:r>
      <w:r>
        <w:rPr>
          <w:color w:val="auto"/>
          <w:kern w:val="0"/>
        </w:rPr>
        <w:t>4mm</w:t>
      </w:r>
      <w:r>
        <w:rPr>
          <w:rFonts w:hint="eastAsia"/>
          <w:color w:val="auto"/>
          <w:kern w:val="0"/>
        </w:rPr>
        <w:t>单井集油管线共</w:t>
      </w:r>
      <w:r>
        <w:rPr>
          <w:color w:val="auto"/>
          <w:kern w:val="0"/>
        </w:rPr>
        <w:t>0.8km</w:t>
      </w:r>
      <w:r>
        <w:rPr>
          <w:rFonts w:hint="eastAsia"/>
          <w:color w:val="auto"/>
          <w:kern w:val="0"/>
        </w:rPr>
        <w:t>，新建了φ</w:t>
      </w:r>
      <w:r>
        <w:rPr>
          <w:color w:val="auto"/>
          <w:kern w:val="0"/>
        </w:rPr>
        <w:t>114</w:t>
      </w:r>
      <w:r>
        <w:rPr>
          <w:rFonts w:hint="eastAsia"/>
          <w:color w:val="auto"/>
        </w:rPr>
        <w:t>×</w:t>
      </w:r>
      <w:r>
        <w:rPr>
          <w:color w:val="auto"/>
          <w:kern w:val="0"/>
        </w:rPr>
        <w:t>5mm</w:t>
      </w:r>
      <w:r>
        <w:rPr>
          <w:rFonts w:hint="eastAsia"/>
          <w:color w:val="auto"/>
          <w:kern w:val="0"/>
        </w:rPr>
        <w:t>集油支线共4</w:t>
      </w:r>
      <w:r>
        <w:rPr>
          <w:color w:val="auto"/>
          <w:kern w:val="0"/>
        </w:rPr>
        <w:t>.02km</w:t>
      </w:r>
      <w:r>
        <w:rPr>
          <w:rFonts w:hint="eastAsia"/>
          <w:color w:val="auto"/>
        </w:rPr>
        <w:t>；新建了φ76</w:t>
      </w:r>
      <w:bookmarkStart w:id="38" w:name="OLE_LINK158"/>
      <w:bookmarkStart w:id="39" w:name="OLE_LINK233"/>
      <w:r>
        <w:rPr>
          <w:rFonts w:hint="eastAsia"/>
          <w:color w:val="auto"/>
        </w:rPr>
        <w:t>×</w:t>
      </w:r>
      <w:bookmarkEnd w:id="38"/>
      <w:bookmarkEnd w:id="39"/>
      <w:r>
        <w:rPr>
          <w:rFonts w:hint="eastAsia"/>
          <w:color w:val="auto"/>
        </w:rPr>
        <w:t>11mm单井注水管线共0.05km，新建了DN150注水管线共2.2km，新建了DN110注水管线共0.5km，合计2.75km；新建了9台40m</w:t>
      </w:r>
      <w:r>
        <w:rPr>
          <w:rFonts w:hint="eastAsia"/>
          <w:color w:val="auto"/>
          <w:vertAlign w:val="superscript"/>
        </w:rPr>
        <w:t>3</w:t>
      </w:r>
      <w:r>
        <w:rPr>
          <w:rFonts w:hint="eastAsia"/>
          <w:color w:val="auto"/>
        </w:rPr>
        <w:t>多功能罐（均为电加热），燃气水套炉4台（2台1</w:t>
      </w:r>
      <w:r>
        <w:rPr>
          <w:color w:val="auto"/>
        </w:rPr>
        <w:t>50kW</w:t>
      </w:r>
      <w:r>
        <w:rPr>
          <w:rFonts w:hint="eastAsia"/>
          <w:color w:val="auto"/>
        </w:rPr>
        <w:t>、1台1</w:t>
      </w:r>
      <w:r>
        <w:rPr>
          <w:color w:val="auto"/>
        </w:rPr>
        <w:t>00kW</w:t>
      </w:r>
      <w:r>
        <w:rPr>
          <w:rFonts w:hint="eastAsia"/>
          <w:color w:val="auto"/>
        </w:rPr>
        <w:t>、1台8</w:t>
      </w:r>
      <w:r>
        <w:rPr>
          <w:color w:val="auto"/>
        </w:rPr>
        <w:t>0</w:t>
      </w:r>
      <w:bookmarkStart w:id="40" w:name="OLE_LINK157"/>
      <w:r>
        <w:rPr>
          <w:color w:val="auto"/>
        </w:rPr>
        <w:t>kW</w:t>
      </w:r>
      <w:bookmarkEnd w:id="40"/>
      <w:r>
        <w:rPr>
          <w:rFonts w:hint="eastAsia"/>
          <w:color w:val="auto"/>
        </w:rPr>
        <w:t>）；</w:t>
      </w:r>
    </w:p>
    <w:p w14:paraId="369EEF73">
      <w:pPr>
        <w:pStyle w:val="4"/>
        <w:ind w:firstLine="480"/>
        <w:rPr>
          <w:color w:val="auto"/>
        </w:rPr>
      </w:pPr>
      <w:r>
        <w:rPr>
          <w:rFonts w:cs="宋体"/>
          <w:color w:val="auto"/>
        </w:rPr>
        <w:t>2</w:t>
      </w:r>
      <w:r>
        <w:rPr>
          <w:rFonts w:hint="eastAsia" w:cs="宋体"/>
          <w:color w:val="auto"/>
        </w:rPr>
        <w:t>）</w:t>
      </w:r>
      <w:r>
        <w:rPr>
          <w:rFonts w:hint="eastAsia"/>
          <w:color w:val="auto"/>
        </w:rPr>
        <w:t>高青管理区地面系统优化建设工程：樊101、高21、樊18共3个区块集输系统改造；樊101块、樊121块、高21块、樊18区块、樊26区块、樊11区块等6个区块注水系统改造；高青联合站内拆除2台旧</w:t>
      </w:r>
      <w:r>
        <w:rPr>
          <w:color w:val="auto"/>
        </w:rPr>
        <w:t>800kW</w:t>
      </w:r>
      <w:r>
        <w:rPr>
          <w:rFonts w:hint="eastAsia"/>
          <w:color w:val="auto"/>
        </w:rPr>
        <w:t>加热炉，新建1台</w:t>
      </w:r>
      <w:r>
        <w:rPr>
          <w:color w:val="auto"/>
        </w:rPr>
        <w:t>2500kW</w:t>
      </w:r>
      <w:r>
        <w:rPr>
          <w:rFonts w:hint="eastAsia"/>
          <w:color w:val="auto"/>
        </w:rPr>
        <w:t>加热炉。</w:t>
      </w:r>
    </w:p>
    <w:p w14:paraId="4F6EB6FD">
      <w:pPr>
        <w:pStyle w:val="4"/>
        <w:ind w:firstLine="480"/>
        <w:rPr>
          <w:rFonts w:cs="宋体"/>
          <w:color w:val="auto"/>
          <w:spacing w:val="4"/>
        </w:rPr>
      </w:pPr>
      <w:r>
        <w:rPr>
          <w:color w:val="auto"/>
        </w:rPr>
        <w:t>配套建设供配电、自控及道路等工程</w:t>
      </w:r>
      <w:r>
        <w:rPr>
          <w:rFonts w:hint="eastAsia"/>
          <w:color w:val="auto"/>
        </w:rPr>
        <w:t>。</w:t>
      </w:r>
    </w:p>
    <w:p w14:paraId="0F302A9A">
      <w:pPr>
        <w:pStyle w:val="4"/>
        <w:ind w:firstLine="472"/>
        <w:rPr>
          <w:rFonts w:cs="宋体"/>
          <w:color w:val="auto"/>
          <w:spacing w:val="4"/>
        </w:rPr>
      </w:pPr>
      <w:r>
        <w:rPr>
          <w:rFonts w:hint="eastAsia"/>
          <w:color w:val="auto"/>
          <w:spacing w:val="-2"/>
        </w:rPr>
        <w:t>建设</w:t>
      </w:r>
      <w:r>
        <w:rPr>
          <w:color w:val="auto"/>
          <w:spacing w:val="-2"/>
        </w:rPr>
        <w:t>投资：</w:t>
      </w:r>
      <w:r>
        <w:rPr>
          <w:rFonts w:hint="eastAsia" w:cs="宋体"/>
          <w:color w:val="auto"/>
          <w:spacing w:val="4"/>
        </w:rPr>
        <w:t>项目</w:t>
      </w:r>
      <w:r>
        <w:rPr>
          <w:rFonts w:cs="宋体"/>
          <w:color w:val="auto"/>
          <w:spacing w:val="4"/>
        </w:rPr>
        <w:t>实际总投资为</w:t>
      </w:r>
      <w:r>
        <w:rPr>
          <w:rFonts w:hint="eastAsia" w:cs="宋体"/>
          <w:color w:val="auto"/>
          <w:spacing w:val="4"/>
        </w:rPr>
        <w:t>38353万元，实际</w:t>
      </w:r>
      <w:r>
        <w:rPr>
          <w:rFonts w:cs="宋体"/>
          <w:color w:val="auto"/>
          <w:spacing w:val="4"/>
        </w:rPr>
        <w:t>环保投资346万元</w:t>
      </w:r>
      <w:r>
        <w:rPr>
          <w:rFonts w:hint="eastAsia"/>
          <w:color w:val="auto"/>
          <w:spacing w:val="-2"/>
        </w:rPr>
        <w:t>；</w:t>
      </w:r>
    </w:p>
    <w:p w14:paraId="42574A7A">
      <w:pPr>
        <w:pStyle w:val="4"/>
        <w:ind w:firstLine="472"/>
        <w:rPr>
          <w:color w:val="auto"/>
          <w:spacing w:val="-2"/>
        </w:rPr>
        <w:sectPr>
          <w:headerReference r:id="rId8" w:type="default"/>
          <w:footerReference r:id="rId9" w:type="default"/>
          <w:pgSz w:w="11907" w:h="16839"/>
          <w:pgMar w:top="1418" w:right="1588" w:bottom="1418" w:left="1588" w:header="1134" w:footer="850" w:gutter="0"/>
          <w:pgNumType w:start="1"/>
          <w:cols w:space="720" w:num="1"/>
          <w:docGrid w:linePitch="312" w:charSpace="0"/>
        </w:sectPr>
      </w:pPr>
      <w:r>
        <w:rPr>
          <w:rFonts w:hint="eastAsia"/>
          <w:color w:val="auto"/>
          <w:spacing w:val="-2"/>
        </w:rPr>
        <w:t>建设地点</w:t>
      </w:r>
      <w:r>
        <w:rPr>
          <w:color w:val="auto"/>
          <w:spacing w:val="-2"/>
        </w:rPr>
        <w:t>：</w:t>
      </w:r>
      <w:r>
        <w:rPr>
          <w:rFonts w:hint="eastAsia"/>
          <w:color w:val="auto"/>
        </w:rPr>
        <w:t>山东省淄博市高青县境内</w:t>
      </w:r>
      <w:r>
        <w:rPr>
          <w:rFonts w:hint="eastAsia"/>
          <w:color w:val="auto"/>
          <w:spacing w:val="-2"/>
        </w:rPr>
        <w:t>，</w:t>
      </w:r>
      <w:r>
        <w:rPr>
          <w:color w:val="auto"/>
          <w:spacing w:val="-2"/>
        </w:rPr>
        <w:t>详见</w:t>
      </w:r>
      <w:r>
        <w:rPr>
          <w:color w:val="auto"/>
          <w:spacing w:val="-2"/>
        </w:rPr>
        <w:fldChar w:fldCharType="begin"/>
      </w:r>
      <w:r>
        <w:rPr>
          <w:color w:val="auto"/>
          <w:spacing w:val="-2"/>
        </w:rPr>
        <w:instrText xml:space="preserve"> REF _Ref225273170 \h  \* MERGEFORMAT </w:instrText>
      </w:r>
      <w:r>
        <w:rPr>
          <w:color w:val="auto"/>
          <w:spacing w:val="-2"/>
        </w:rPr>
        <w:fldChar w:fldCharType="separate"/>
      </w:r>
      <w:r>
        <w:rPr>
          <w:color w:val="auto"/>
        </w:rPr>
        <w:t>图 1.1</w:t>
      </w:r>
      <w:r>
        <w:rPr>
          <w:color w:val="auto"/>
        </w:rPr>
        <w:noBreakHyphen/>
      </w:r>
      <w:r>
        <w:rPr>
          <w:color w:val="auto"/>
        </w:rPr>
        <w:t>1</w:t>
      </w:r>
      <w:r>
        <w:rPr>
          <w:color w:val="auto"/>
          <w:spacing w:val="-2"/>
        </w:rPr>
        <w:fldChar w:fldCharType="end"/>
      </w:r>
      <w:r>
        <w:rPr>
          <w:rFonts w:hint="eastAsia"/>
          <w:color w:val="auto"/>
          <w:spacing w:val="-2"/>
        </w:rPr>
        <w:t>。</w:t>
      </w:r>
    </w:p>
    <w:p w14:paraId="61151575">
      <w:pPr>
        <w:pStyle w:val="4"/>
        <w:ind w:firstLine="480"/>
        <w:jc w:val="center"/>
        <w:rPr>
          <w:color w:val="auto"/>
        </w:rPr>
      </w:pPr>
      <w:r>
        <w:rPr>
          <w:color w:val="auto"/>
        </w:rPr>
        <w:drawing>
          <wp:inline distT="0" distB="0" distL="0" distR="0">
            <wp:extent cx="7125335" cy="4832350"/>
            <wp:effectExtent l="0" t="0" r="0" b="6350"/>
            <wp:docPr id="459578565" name="图片 459578565" descr="I:\5-2025年项目\26.东胜1月两个验收\7、大芦湖油田产能建设项目（2023-2025年）\_高青县 基本要素版 8开 1∶12.5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5" name="图片 459578565" descr="I:\5-2025年项目\26.东胜1月两个验收\7、大芦湖油田产能建设项目（2023-2025年）\_高青县 基本要素版 8开 1∶12.5万(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7129172" cy="4835406"/>
                    </a:xfrm>
                    <a:prstGeom prst="rect">
                      <a:avLst/>
                    </a:prstGeom>
                    <a:noFill/>
                    <a:ln>
                      <a:noFill/>
                    </a:ln>
                  </pic:spPr>
                </pic:pic>
              </a:graphicData>
            </a:graphic>
          </wp:inline>
        </w:drawing>
      </w:r>
    </w:p>
    <w:p w14:paraId="1B5138EA">
      <w:pPr>
        <w:pStyle w:val="15"/>
        <w:spacing w:before="120"/>
        <w:rPr>
          <w:color w:val="auto"/>
        </w:rPr>
        <w:sectPr>
          <w:pgSz w:w="16839" w:h="11907" w:orient="landscape"/>
          <w:pgMar w:top="1588" w:right="1418" w:bottom="1588" w:left="1418" w:header="1134" w:footer="850" w:gutter="0"/>
          <w:cols w:space="720" w:num="1"/>
          <w:docGrid w:linePitch="312" w:charSpace="0"/>
        </w:sectPr>
      </w:pPr>
      <w:bookmarkStart w:id="41" w:name="_Ref225273170"/>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1.1</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bookmarkEnd w:id="41"/>
      <w:r>
        <w:rPr>
          <w:color w:val="auto"/>
        </w:rPr>
        <w:t xml:space="preserve"> </w:t>
      </w:r>
      <w:r>
        <w:rPr>
          <w:rFonts w:hint="eastAsia"/>
          <w:color w:val="auto"/>
        </w:rPr>
        <w:t>本项目地理位置图</w:t>
      </w:r>
    </w:p>
    <w:p w14:paraId="26025D31">
      <w:pPr>
        <w:pStyle w:val="5"/>
        <w:rPr>
          <w:color w:val="auto"/>
        </w:rPr>
      </w:pPr>
      <w:bookmarkStart w:id="42" w:name="_Toc231283613"/>
      <w:r>
        <w:rPr>
          <w:rFonts w:hint="eastAsia"/>
          <w:color w:val="auto"/>
        </w:rPr>
        <w:t>项目建设过程</w:t>
      </w:r>
      <w:bookmarkEnd w:id="42"/>
    </w:p>
    <w:p w14:paraId="2FE74329">
      <w:pPr>
        <w:pStyle w:val="4"/>
        <w:ind w:firstLine="480"/>
        <w:rPr>
          <w:color w:val="auto"/>
        </w:rPr>
      </w:pPr>
      <w:r>
        <w:rPr>
          <w:rFonts w:hint="eastAsia"/>
          <w:color w:val="auto"/>
        </w:rPr>
        <w:t>1）环评编制及批复情况</w:t>
      </w:r>
    </w:p>
    <w:p w14:paraId="1214BA83">
      <w:pPr>
        <w:pStyle w:val="4"/>
        <w:ind w:firstLine="480"/>
        <w:rPr>
          <w:color w:val="auto"/>
        </w:rPr>
      </w:pPr>
      <w:r>
        <w:rPr>
          <w:rFonts w:hint="eastAsia"/>
          <w:color w:val="auto"/>
        </w:rPr>
        <w:t>20</w:t>
      </w:r>
      <w:r>
        <w:rPr>
          <w:color w:val="auto"/>
        </w:rPr>
        <w:t>24</w:t>
      </w:r>
      <w:r>
        <w:rPr>
          <w:rFonts w:hint="eastAsia"/>
          <w:color w:val="auto"/>
        </w:rPr>
        <w:t>年</w:t>
      </w:r>
      <w:r>
        <w:rPr>
          <w:color w:val="auto"/>
        </w:rPr>
        <w:t>5</w:t>
      </w:r>
      <w:r>
        <w:rPr>
          <w:rFonts w:hint="eastAsia"/>
          <w:color w:val="auto"/>
        </w:rPr>
        <w:t>月，森诺科技有限公司编制完成《大芦湖油田产能建设项目（2023-2025年）环境影响报告书》；</w:t>
      </w:r>
    </w:p>
    <w:p w14:paraId="4BF5496D">
      <w:pPr>
        <w:pStyle w:val="4"/>
        <w:ind w:firstLine="480"/>
        <w:rPr>
          <w:color w:val="auto"/>
        </w:rPr>
      </w:pPr>
      <w:r>
        <w:rPr>
          <w:rFonts w:hint="eastAsia"/>
          <w:color w:val="auto"/>
        </w:rPr>
        <w:t>20</w:t>
      </w:r>
      <w:r>
        <w:rPr>
          <w:color w:val="auto"/>
        </w:rPr>
        <w:t>24</w:t>
      </w:r>
      <w:r>
        <w:rPr>
          <w:rFonts w:hint="eastAsia"/>
          <w:color w:val="auto"/>
        </w:rPr>
        <w:t>年</w:t>
      </w:r>
      <w:r>
        <w:rPr>
          <w:color w:val="auto"/>
        </w:rPr>
        <w:t>5</w:t>
      </w:r>
      <w:r>
        <w:rPr>
          <w:rFonts w:hint="eastAsia"/>
          <w:color w:val="auto"/>
        </w:rPr>
        <w:t>月</w:t>
      </w:r>
      <w:r>
        <w:rPr>
          <w:color w:val="auto"/>
        </w:rPr>
        <w:t>27</w:t>
      </w:r>
      <w:r>
        <w:rPr>
          <w:rFonts w:hint="eastAsia"/>
          <w:color w:val="auto"/>
        </w:rPr>
        <w:t>日，淄博市生态环境局高青分局以“</w:t>
      </w:r>
      <w:bookmarkStart w:id="43" w:name="OLE_LINK305"/>
      <w:bookmarkStart w:id="44" w:name="OLE_LINK306"/>
      <w:r>
        <w:rPr>
          <w:rFonts w:hint="eastAsia"/>
          <w:color w:val="auto"/>
        </w:rPr>
        <w:t>高环审[20</w:t>
      </w:r>
      <w:r>
        <w:rPr>
          <w:color w:val="auto"/>
        </w:rPr>
        <w:t>24</w:t>
      </w:r>
      <w:r>
        <w:rPr>
          <w:rFonts w:hint="eastAsia"/>
          <w:color w:val="auto"/>
        </w:rPr>
        <w:t>]</w:t>
      </w:r>
      <w:r>
        <w:rPr>
          <w:color w:val="auto"/>
        </w:rPr>
        <w:t>12</w:t>
      </w:r>
      <w:r>
        <w:rPr>
          <w:rFonts w:hint="eastAsia"/>
          <w:color w:val="auto"/>
        </w:rPr>
        <w:t>号</w:t>
      </w:r>
      <w:bookmarkEnd w:id="43"/>
      <w:bookmarkEnd w:id="44"/>
      <w:r>
        <w:rPr>
          <w:rFonts w:hint="eastAsia"/>
          <w:color w:val="auto"/>
        </w:rPr>
        <w:t>”文对本项目环境影响报告书予以批复；</w:t>
      </w:r>
    </w:p>
    <w:p w14:paraId="1BA293C9">
      <w:pPr>
        <w:pStyle w:val="4"/>
        <w:ind w:firstLine="480"/>
        <w:rPr>
          <w:color w:val="auto"/>
        </w:rPr>
      </w:pPr>
      <w:r>
        <w:rPr>
          <w:color w:val="auto"/>
        </w:rPr>
        <w:t>2</w:t>
      </w:r>
      <w:r>
        <w:rPr>
          <w:rFonts w:hint="eastAsia"/>
          <w:color w:val="auto"/>
        </w:rPr>
        <w:t>）本期工程情况</w:t>
      </w:r>
      <w:r>
        <w:rPr>
          <w:color w:val="auto"/>
        </w:rPr>
        <w:t xml:space="preserve"> </w:t>
      </w:r>
    </w:p>
    <w:p w14:paraId="65FC2982">
      <w:pPr>
        <w:pStyle w:val="4"/>
        <w:ind w:firstLine="480"/>
        <w:rPr>
          <w:color w:val="auto"/>
        </w:rPr>
      </w:pPr>
      <w:bookmarkStart w:id="45" w:name="OLE_LINK309"/>
      <w:r>
        <w:rPr>
          <w:rFonts w:hint="eastAsia"/>
          <w:color w:val="auto"/>
        </w:rPr>
        <w:t>2</w:t>
      </w:r>
      <w:r>
        <w:rPr>
          <w:color w:val="auto"/>
        </w:rPr>
        <w:t>024</w:t>
      </w:r>
      <w:r>
        <w:rPr>
          <w:rFonts w:hint="eastAsia"/>
          <w:color w:val="auto"/>
        </w:rPr>
        <w:t>年8月2</w:t>
      </w:r>
      <w:r>
        <w:rPr>
          <w:color w:val="auto"/>
        </w:rPr>
        <w:t>5</w:t>
      </w:r>
      <w:r>
        <w:rPr>
          <w:rFonts w:hint="eastAsia"/>
          <w:color w:val="auto"/>
        </w:rPr>
        <w:t>日，一期工程（后文称“本期工程”）地面工程开工，</w:t>
      </w:r>
      <w:r>
        <w:rPr>
          <w:color w:val="auto"/>
        </w:rPr>
        <w:t>2024年9</w:t>
      </w:r>
      <w:r>
        <w:rPr>
          <w:rFonts w:hint="eastAsia"/>
          <w:color w:val="auto"/>
        </w:rPr>
        <w:t>月</w:t>
      </w:r>
      <w:r>
        <w:rPr>
          <w:color w:val="auto"/>
        </w:rPr>
        <w:t>3</w:t>
      </w:r>
      <w:r>
        <w:rPr>
          <w:rFonts w:hint="eastAsia"/>
          <w:color w:val="auto"/>
        </w:rPr>
        <w:t>日，钻井工程开工。</w:t>
      </w:r>
      <w:r>
        <w:rPr>
          <w:rFonts w:hint="eastAsia"/>
          <w:color w:val="auto"/>
        </w:rPr>
        <w:t>施工单位主要为胜利石油工程有限公司黄河钻井总公司、胜利油田长城钻井技术有限责任公司</w:t>
      </w:r>
      <w:bookmarkEnd w:id="45"/>
      <w:r>
        <w:rPr>
          <w:rFonts w:hint="eastAsia"/>
          <w:color w:val="auto"/>
        </w:rPr>
        <w:t>、东营市东胜星源工程安装有限责任公司；</w:t>
      </w:r>
    </w:p>
    <w:p w14:paraId="6AF9F8D2">
      <w:pPr>
        <w:pStyle w:val="4"/>
        <w:ind w:firstLine="480"/>
        <w:rPr>
          <w:color w:val="auto"/>
        </w:rPr>
      </w:pPr>
      <w:r>
        <w:rPr>
          <w:rFonts w:hint="eastAsia"/>
          <w:color w:val="auto"/>
        </w:rPr>
        <w:t>3）本期工程竣工</w:t>
      </w:r>
    </w:p>
    <w:p w14:paraId="5CF9418D">
      <w:pPr>
        <w:pStyle w:val="4"/>
        <w:ind w:firstLine="480"/>
        <w:rPr>
          <w:color w:val="auto"/>
        </w:rPr>
      </w:pPr>
      <w:r>
        <w:rPr>
          <w:rFonts w:hint="eastAsia"/>
          <w:color w:val="auto"/>
        </w:rPr>
        <w:t>2</w:t>
      </w:r>
      <w:r>
        <w:rPr>
          <w:color w:val="auto"/>
        </w:rPr>
        <w:t>025年12</w:t>
      </w:r>
      <w:r>
        <w:rPr>
          <w:rFonts w:hint="eastAsia"/>
          <w:color w:val="auto"/>
        </w:rPr>
        <w:t>月</w:t>
      </w:r>
      <w:r>
        <w:rPr>
          <w:color w:val="auto"/>
        </w:rPr>
        <w:t>29日</w:t>
      </w:r>
      <w:r>
        <w:rPr>
          <w:rFonts w:hint="eastAsia"/>
          <w:color w:val="auto"/>
        </w:rPr>
        <w:t>，本期工程建设完成，实际建设内容不存在“重大变动”，剩余未建设部分，待建设完成后续开展竣工环保验收。</w:t>
      </w:r>
    </w:p>
    <w:p w14:paraId="3C53E103">
      <w:pPr>
        <w:pStyle w:val="4"/>
        <w:ind w:firstLine="480"/>
        <w:rPr>
          <w:color w:val="auto"/>
        </w:rPr>
      </w:pPr>
      <w:r>
        <w:rPr>
          <w:rFonts w:hint="eastAsia"/>
          <w:color w:val="auto"/>
        </w:rPr>
        <w:t>4）本期工程自查</w:t>
      </w:r>
    </w:p>
    <w:p w14:paraId="4005B971">
      <w:pPr>
        <w:pStyle w:val="4"/>
        <w:ind w:firstLine="480"/>
        <w:rPr>
          <w:color w:val="auto"/>
        </w:rPr>
      </w:pPr>
      <w:r>
        <w:rPr>
          <w:rFonts w:hint="eastAsia"/>
          <w:color w:val="auto"/>
        </w:rPr>
        <w:t>2025年</w:t>
      </w:r>
      <w:r>
        <w:rPr>
          <w:color w:val="auto"/>
        </w:rPr>
        <w:t>12</w:t>
      </w:r>
      <w:r>
        <w:rPr>
          <w:rFonts w:hint="eastAsia"/>
          <w:color w:val="auto"/>
        </w:rPr>
        <w:t>月</w:t>
      </w:r>
      <w:r>
        <w:rPr>
          <w:color w:val="auto"/>
        </w:rPr>
        <w:t>30</w:t>
      </w:r>
      <w:r>
        <w:rPr>
          <w:rFonts w:hint="eastAsia"/>
          <w:color w:val="auto"/>
        </w:rPr>
        <w:t>日，东胜高青公司对本期工程进行自查，具备竣工环保验收条件。</w:t>
      </w:r>
    </w:p>
    <w:p w14:paraId="3E2395DC">
      <w:pPr>
        <w:pStyle w:val="4"/>
        <w:ind w:firstLine="480"/>
        <w:rPr>
          <w:color w:val="auto"/>
        </w:rPr>
      </w:pPr>
      <w:r>
        <w:rPr>
          <w:rFonts w:hint="eastAsia"/>
          <w:color w:val="auto"/>
        </w:rPr>
        <w:t>5）本期工程公示时间</w:t>
      </w:r>
    </w:p>
    <w:p w14:paraId="1BB4B3B4">
      <w:pPr>
        <w:pStyle w:val="4"/>
        <w:ind w:firstLine="480"/>
        <w:rPr>
          <w:color w:val="auto"/>
        </w:rPr>
      </w:pPr>
      <w:r>
        <w:rPr>
          <w:color w:val="auto"/>
        </w:rPr>
        <w:t>2025年12</w:t>
      </w:r>
      <w:r>
        <w:rPr>
          <w:rFonts w:hint="eastAsia"/>
          <w:color w:val="auto"/>
        </w:rPr>
        <w:t>月</w:t>
      </w:r>
      <w:r>
        <w:rPr>
          <w:color w:val="auto"/>
        </w:rPr>
        <w:t>30</w:t>
      </w:r>
      <w:r>
        <w:rPr>
          <w:rFonts w:hint="eastAsia"/>
          <w:color w:val="auto"/>
        </w:rPr>
        <w:t>日，在中国石化胜利油田网站（</w:t>
      </w:r>
      <w:r>
        <w:rPr>
          <w:color w:val="auto"/>
        </w:rPr>
        <w:t>http://portal.sinopec.com/sites/slof</w:t>
      </w:r>
      <w:r>
        <w:rPr>
          <w:rFonts w:hint="eastAsia"/>
          <w:color w:val="auto"/>
        </w:rPr>
        <w:t>）对本期工程的竣工日期和调试进行了网上公示，调试日期</w:t>
      </w:r>
      <w:r>
        <w:rPr>
          <w:color w:val="auto"/>
        </w:rPr>
        <w:t>2025年12</w:t>
      </w:r>
      <w:r>
        <w:rPr>
          <w:rFonts w:hint="eastAsia"/>
          <w:color w:val="auto"/>
        </w:rPr>
        <w:t>月</w:t>
      </w:r>
      <w:r>
        <w:rPr>
          <w:color w:val="auto"/>
        </w:rPr>
        <w:t>30</w:t>
      </w:r>
      <w:r>
        <w:rPr>
          <w:rFonts w:hint="eastAsia"/>
          <w:color w:val="auto"/>
        </w:rPr>
        <w:t>日～</w:t>
      </w:r>
      <w:r>
        <w:rPr>
          <w:color w:val="auto"/>
        </w:rPr>
        <w:t>2026年12</w:t>
      </w:r>
      <w:r>
        <w:rPr>
          <w:rFonts w:hint="eastAsia"/>
          <w:color w:val="auto"/>
        </w:rPr>
        <w:t>月</w:t>
      </w:r>
      <w:r>
        <w:rPr>
          <w:color w:val="auto"/>
        </w:rPr>
        <w:t>29</w:t>
      </w:r>
      <w:r>
        <w:rPr>
          <w:rFonts w:hint="eastAsia"/>
          <w:color w:val="auto"/>
        </w:rPr>
        <w:t>日。</w:t>
      </w:r>
    </w:p>
    <w:p w14:paraId="138A35E2">
      <w:pPr>
        <w:pStyle w:val="4"/>
        <w:ind w:firstLine="480"/>
        <w:rPr>
          <w:color w:val="auto"/>
        </w:rPr>
      </w:pPr>
      <w:r>
        <w:rPr>
          <w:rFonts w:hint="eastAsia"/>
          <w:color w:val="auto"/>
        </w:rPr>
        <w:t>6）2</w:t>
      </w:r>
      <w:r>
        <w:rPr>
          <w:color w:val="auto"/>
        </w:rPr>
        <w:t>026</w:t>
      </w:r>
      <w:r>
        <w:rPr>
          <w:rFonts w:hint="eastAsia"/>
          <w:color w:val="auto"/>
        </w:rPr>
        <w:t>年2月1</w:t>
      </w:r>
      <w:r>
        <w:rPr>
          <w:color w:val="auto"/>
        </w:rPr>
        <w:t>0</w:t>
      </w:r>
      <w:r>
        <w:rPr>
          <w:rFonts w:hint="eastAsia"/>
          <w:color w:val="auto"/>
        </w:rPr>
        <w:t>日，建设</w:t>
      </w:r>
      <w:r>
        <w:rPr>
          <w:color w:val="auto"/>
        </w:rPr>
        <w:t>单位</w:t>
      </w:r>
      <w:r>
        <w:rPr>
          <w:rFonts w:hint="eastAsia"/>
          <w:color w:val="auto"/>
        </w:rPr>
        <w:t>委托我公司承担本项目竣工环境保护设施验收调查报告的编制工作；</w:t>
      </w:r>
    </w:p>
    <w:p w14:paraId="256394CE">
      <w:pPr>
        <w:pStyle w:val="4"/>
        <w:ind w:firstLine="480"/>
        <w:rPr>
          <w:color w:val="auto"/>
        </w:rPr>
      </w:pPr>
      <w:r>
        <w:rPr>
          <w:rFonts w:hint="eastAsia"/>
          <w:color w:val="auto"/>
        </w:rPr>
        <w:t>7）</w:t>
      </w:r>
      <w:r>
        <w:rPr>
          <w:color w:val="auto"/>
        </w:rPr>
        <w:t>2026</w:t>
      </w:r>
      <w:r>
        <w:rPr>
          <w:rFonts w:hint="eastAsia"/>
          <w:color w:val="auto"/>
        </w:rPr>
        <w:t>年</w:t>
      </w:r>
      <w:r>
        <w:rPr>
          <w:color w:val="auto"/>
        </w:rPr>
        <w:t>2</w:t>
      </w:r>
      <w:r>
        <w:rPr>
          <w:rFonts w:hint="eastAsia"/>
          <w:color w:val="auto"/>
        </w:rPr>
        <w:t>月</w:t>
      </w:r>
      <w:r>
        <w:rPr>
          <w:color w:val="auto"/>
        </w:rPr>
        <w:t>13</w:t>
      </w:r>
      <w:r>
        <w:rPr>
          <w:rFonts w:hint="eastAsia"/>
          <w:color w:val="auto"/>
        </w:rPr>
        <w:t>日，验收</w:t>
      </w:r>
      <w:r>
        <w:rPr>
          <w:color w:val="auto"/>
        </w:rPr>
        <w:t>调查组对</w:t>
      </w:r>
      <w:r>
        <w:rPr>
          <w:rFonts w:hint="eastAsia"/>
          <w:color w:val="auto"/>
        </w:rPr>
        <w:t>本项目</w:t>
      </w:r>
      <w:r>
        <w:rPr>
          <w:color w:val="auto"/>
        </w:rPr>
        <w:t>进行了调查工作</w:t>
      </w:r>
      <w:r>
        <w:rPr>
          <w:rFonts w:hint="eastAsia"/>
          <w:color w:val="auto"/>
        </w:rPr>
        <w:t>，</w:t>
      </w:r>
      <w:r>
        <w:rPr>
          <w:color w:val="auto"/>
        </w:rPr>
        <w:t>并制定了</w:t>
      </w:r>
      <w:r>
        <w:rPr>
          <w:rFonts w:hint="eastAsia"/>
          <w:color w:val="auto"/>
        </w:rPr>
        <w:t>验收监测</w:t>
      </w:r>
      <w:r>
        <w:rPr>
          <w:color w:val="auto"/>
        </w:rPr>
        <w:t>方案</w:t>
      </w:r>
      <w:r>
        <w:rPr>
          <w:rFonts w:hint="eastAsia"/>
          <w:color w:val="auto"/>
        </w:rPr>
        <w:t>，对本项目环境质量现状及污染物进行监测工作；</w:t>
      </w:r>
    </w:p>
    <w:p w14:paraId="3BEF6D72">
      <w:pPr>
        <w:pStyle w:val="4"/>
        <w:ind w:firstLine="480"/>
        <w:rPr>
          <w:color w:val="auto"/>
        </w:rPr>
      </w:pPr>
      <w:r>
        <w:rPr>
          <w:rFonts w:hint="eastAsia"/>
          <w:color w:val="auto"/>
        </w:rPr>
        <w:t>8）202</w:t>
      </w:r>
      <w:r>
        <w:rPr>
          <w:color w:val="auto"/>
        </w:rPr>
        <w:t>6</w:t>
      </w:r>
      <w:r>
        <w:rPr>
          <w:rFonts w:hint="eastAsia"/>
          <w:color w:val="auto"/>
        </w:rPr>
        <w:t>年</w:t>
      </w:r>
      <w:bookmarkStart w:id="46" w:name="OLE_LINK159"/>
      <w:bookmarkStart w:id="47" w:name="OLE_LINK160"/>
      <w:r>
        <w:rPr>
          <w:color w:val="auto"/>
        </w:rPr>
        <w:t>2</w:t>
      </w:r>
      <w:r>
        <w:rPr>
          <w:rFonts w:hint="eastAsia"/>
          <w:color w:val="auto"/>
        </w:rPr>
        <w:t>月</w:t>
      </w:r>
      <w:r>
        <w:rPr>
          <w:color w:val="auto"/>
        </w:rPr>
        <w:t>28</w:t>
      </w:r>
      <w:r>
        <w:rPr>
          <w:rFonts w:hint="eastAsia"/>
          <w:color w:val="auto"/>
        </w:rPr>
        <w:t>日～</w:t>
      </w:r>
      <w:r>
        <w:rPr>
          <w:color w:val="auto"/>
        </w:rPr>
        <w:t>3</w:t>
      </w:r>
      <w:r>
        <w:rPr>
          <w:rFonts w:hint="eastAsia"/>
          <w:color w:val="auto"/>
        </w:rPr>
        <w:t>月</w:t>
      </w:r>
      <w:r>
        <w:rPr>
          <w:color w:val="auto"/>
        </w:rPr>
        <w:t>11</w:t>
      </w:r>
      <w:r>
        <w:rPr>
          <w:rFonts w:hint="eastAsia"/>
          <w:color w:val="auto"/>
        </w:rPr>
        <w:t>日</w:t>
      </w:r>
      <w:bookmarkEnd w:id="46"/>
      <w:bookmarkEnd w:id="47"/>
      <w:r>
        <w:rPr>
          <w:rFonts w:hint="eastAsia"/>
          <w:color w:val="auto"/>
        </w:rPr>
        <w:t>、</w:t>
      </w:r>
      <w:r>
        <w:rPr>
          <w:color w:val="auto"/>
        </w:rPr>
        <w:t>3</w:t>
      </w:r>
      <w:r>
        <w:rPr>
          <w:rFonts w:hint="eastAsia"/>
          <w:color w:val="auto"/>
        </w:rPr>
        <w:t>月</w:t>
      </w:r>
      <w:r>
        <w:rPr>
          <w:color w:val="auto"/>
        </w:rPr>
        <w:t>16</w:t>
      </w:r>
      <w:r>
        <w:rPr>
          <w:rFonts w:hint="eastAsia"/>
          <w:color w:val="auto"/>
        </w:rPr>
        <w:t>日～</w:t>
      </w:r>
      <w:r>
        <w:rPr>
          <w:color w:val="auto"/>
        </w:rPr>
        <w:t>3</w:t>
      </w:r>
      <w:r>
        <w:rPr>
          <w:rFonts w:hint="eastAsia"/>
          <w:color w:val="auto"/>
        </w:rPr>
        <w:t>月</w:t>
      </w:r>
      <w:r>
        <w:rPr>
          <w:color w:val="auto"/>
        </w:rPr>
        <w:t>20</w:t>
      </w:r>
      <w:r>
        <w:rPr>
          <w:rFonts w:hint="eastAsia"/>
          <w:color w:val="auto"/>
        </w:rPr>
        <w:t>日我公司开展了本项目现场采样、监测工作；根据验收调查组现场踏勘及验收监测结果，本项目建设区域生态恢复效果良好，未造成环境污染和生态破坏；</w:t>
      </w:r>
      <w:bookmarkStart w:id="610" w:name="_GoBack"/>
      <w:bookmarkEnd w:id="610"/>
    </w:p>
    <w:p w14:paraId="7A96A6C9">
      <w:pPr>
        <w:pStyle w:val="4"/>
        <w:ind w:firstLine="480"/>
        <w:rPr>
          <w:color w:val="auto"/>
        </w:rPr>
      </w:pPr>
      <w:r>
        <w:rPr>
          <w:rFonts w:hint="eastAsia"/>
          <w:color w:val="auto"/>
        </w:rPr>
        <w:t>9</w:t>
      </w:r>
      <w:r>
        <w:rPr>
          <w:color w:val="auto"/>
        </w:rPr>
        <w:t>)2026</w:t>
      </w:r>
      <w:r>
        <w:rPr>
          <w:rFonts w:hint="eastAsia"/>
          <w:color w:val="auto"/>
        </w:rPr>
        <w:t>年3月，验收调查单位完成本项目竣工环境保护设施验收调查报告的编制工作。</w:t>
      </w:r>
    </w:p>
    <w:p w14:paraId="59BEC0FD">
      <w:pPr>
        <w:pStyle w:val="4"/>
        <w:ind w:firstLine="480"/>
        <w:rPr>
          <w:color w:val="auto"/>
        </w:rPr>
        <w:sectPr>
          <w:pgSz w:w="11907" w:h="16839"/>
          <w:pgMar w:top="1418" w:right="1588" w:bottom="1418" w:left="1588" w:header="1134" w:footer="850" w:gutter="0"/>
          <w:cols w:space="720" w:num="1"/>
          <w:docGrid w:linePitch="312" w:charSpace="0"/>
        </w:sectPr>
      </w:pPr>
    </w:p>
    <w:p w14:paraId="215E1FE8">
      <w:pPr>
        <w:pStyle w:val="3"/>
        <w:rPr>
          <w:color w:val="auto"/>
        </w:rPr>
      </w:pPr>
      <w:bookmarkStart w:id="48" w:name="_Toc231283614"/>
      <w:r>
        <w:rPr>
          <w:rFonts w:hint="eastAsia"/>
          <w:color w:val="auto"/>
        </w:rPr>
        <w:t>验收依据</w:t>
      </w:r>
      <w:bookmarkEnd w:id="48"/>
    </w:p>
    <w:p w14:paraId="25989F43">
      <w:pPr>
        <w:pStyle w:val="5"/>
        <w:rPr>
          <w:color w:val="auto"/>
        </w:rPr>
      </w:pPr>
      <w:bookmarkStart w:id="49" w:name="_Toc231283615"/>
      <w:r>
        <w:rPr>
          <w:rFonts w:hint="eastAsia"/>
          <w:color w:val="auto"/>
        </w:rPr>
        <w:t>建设项目</w:t>
      </w:r>
      <w:r>
        <w:rPr>
          <w:color w:val="auto"/>
        </w:rPr>
        <w:t>环境保护相关法律</w:t>
      </w:r>
      <w:r>
        <w:rPr>
          <w:rFonts w:hint="eastAsia"/>
          <w:color w:val="auto"/>
        </w:rPr>
        <w:t>、</w:t>
      </w:r>
      <w:r>
        <w:rPr>
          <w:color w:val="auto"/>
        </w:rPr>
        <w:t>法规和规章制度</w:t>
      </w:r>
      <w:bookmarkEnd w:id="49"/>
    </w:p>
    <w:p w14:paraId="4F641258">
      <w:pPr>
        <w:pStyle w:val="95"/>
        <w:widowControl/>
        <w:numPr>
          <w:ilvl w:val="0"/>
          <w:numId w:val="12"/>
        </w:numPr>
        <w:ind w:left="91"/>
        <w:rPr>
          <w:color w:val="auto"/>
        </w:rPr>
      </w:pPr>
      <w:r>
        <w:rPr>
          <w:rFonts w:hint="eastAsia"/>
          <w:color w:val="auto"/>
        </w:rPr>
        <w:t>《中华人民共和国环境保护法》（201</w:t>
      </w:r>
      <w:r>
        <w:rPr>
          <w:color w:val="auto"/>
        </w:rPr>
        <w:t>5</w:t>
      </w:r>
      <w:r>
        <w:rPr>
          <w:rFonts w:hint="eastAsia"/>
          <w:color w:val="auto"/>
        </w:rPr>
        <w:t>年1月1日）；</w:t>
      </w:r>
    </w:p>
    <w:p w14:paraId="72B25C7F">
      <w:pPr>
        <w:pStyle w:val="95"/>
        <w:widowControl/>
        <w:numPr>
          <w:ilvl w:val="0"/>
          <w:numId w:val="12"/>
        </w:numPr>
        <w:ind w:firstLine="480"/>
        <w:rPr>
          <w:color w:val="auto"/>
        </w:rPr>
      </w:pPr>
      <w:r>
        <w:rPr>
          <w:rFonts w:hint="eastAsia"/>
          <w:color w:val="auto"/>
        </w:rPr>
        <w:t>《中华人民共和国水污染防治法》（2018年1月1日）；</w:t>
      </w:r>
    </w:p>
    <w:p w14:paraId="24D2BA28">
      <w:pPr>
        <w:pStyle w:val="95"/>
        <w:widowControl/>
        <w:numPr>
          <w:ilvl w:val="0"/>
          <w:numId w:val="12"/>
        </w:numPr>
        <w:ind w:firstLine="480"/>
        <w:rPr>
          <w:color w:val="auto"/>
        </w:rPr>
      </w:pPr>
      <w:r>
        <w:rPr>
          <w:rFonts w:hint="eastAsia"/>
          <w:color w:val="auto"/>
        </w:rPr>
        <w:t>《中华人民共和国大气污染防治法》（201</w:t>
      </w:r>
      <w:r>
        <w:rPr>
          <w:color w:val="auto"/>
        </w:rPr>
        <w:t>8</w:t>
      </w:r>
      <w:r>
        <w:rPr>
          <w:rFonts w:hint="eastAsia"/>
          <w:color w:val="auto"/>
        </w:rPr>
        <w:t>年1</w:t>
      </w:r>
      <w:r>
        <w:rPr>
          <w:color w:val="auto"/>
        </w:rPr>
        <w:t>0</w:t>
      </w:r>
      <w:r>
        <w:rPr>
          <w:rFonts w:hint="eastAsia"/>
          <w:color w:val="auto"/>
        </w:rPr>
        <w:t>月</w:t>
      </w:r>
      <w:r>
        <w:rPr>
          <w:color w:val="auto"/>
        </w:rPr>
        <w:t>26</w:t>
      </w:r>
      <w:r>
        <w:rPr>
          <w:rFonts w:hint="eastAsia"/>
          <w:color w:val="auto"/>
        </w:rPr>
        <w:t>日</w:t>
      </w:r>
      <w:r>
        <w:rPr>
          <w:color w:val="auto"/>
        </w:rPr>
        <w:t>）</w:t>
      </w:r>
      <w:r>
        <w:rPr>
          <w:rFonts w:hint="eastAsia"/>
          <w:color w:val="auto"/>
        </w:rPr>
        <w:t>；</w:t>
      </w:r>
    </w:p>
    <w:p w14:paraId="7250711C">
      <w:pPr>
        <w:pStyle w:val="95"/>
        <w:widowControl/>
        <w:numPr>
          <w:ilvl w:val="0"/>
          <w:numId w:val="12"/>
        </w:numPr>
        <w:ind w:firstLine="480"/>
        <w:rPr>
          <w:color w:val="auto"/>
        </w:rPr>
      </w:pPr>
      <w:r>
        <w:rPr>
          <w:rFonts w:hint="eastAsia"/>
          <w:color w:val="auto"/>
        </w:rPr>
        <w:t>《中华人民共和国固体废物污染环境防治法》（2020年9月1日）；</w:t>
      </w:r>
    </w:p>
    <w:p w14:paraId="4E94DC93">
      <w:pPr>
        <w:pStyle w:val="95"/>
        <w:widowControl/>
        <w:numPr>
          <w:ilvl w:val="0"/>
          <w:numId w:val="12"/>
        </w:numPr>
        <w:ind w:firstLine="480"/>
        <w:rPr>
          <w:color w:val="auto"/>
        </w:rPr>
      </w:pPr>
      <w:r>
        <w:rPr>
          <w:rFonts w:hint="eastAsia"/>
          <w:color w:val="auto"/>
        </w:rPr>
        <w:t>《</w:t>
      </w:r>
      <w:r>
        <w:rPr>
          <w:color w:val="auto"/>
        </w:rPr>
        <w:t>中华人民共和国噪声污染防治法</w:t>
      </w:r>
      <w:r>
        <w:rPr>
          <w:rFonts w:hint="eastAsia"/>
          <w:color w:val="auto"/>
        </w:rPr>
        <w:t>》（</w:t>
      </w:r>
      <w:r>
        <w:rPr>
          <w:color w:val="auto"/>
        </w:rPr>
        <w:t>2022</w:t>
      </w:r>
      <w:r>
        <w:rPr>
          <w:rFonts w:hint="eastAsia"/>
          <w:color w:val="auto"/>
        </w:rPr>
        <w:t>年</w:t>
      </w:r>
      <w:r>
        <w:rPr>
          <w:color w:val="auto"/>
        </w:rPr>
        <w:t>6</w:t>
      </w:r>
      <w:r>
        <w:rPr>
          <w:rFonts w:hint="eastAsia"/>
          <w:color w:val="auto"/>
        </w:rPr>
        <w:t>月</w:t>
      </w:r>
      <w:r>
        <w:rPr>
          <w:color w:val="auto"/>
        </w:rPr>
        <w:t>5</w:t>
      </w:r>
      <w:r>
        <w:rPr>
          <w:rFonts w:hint="eastAsia"/>
          <w:color w:val="auto"/>
        </w:rPr>
        <w:t>日）；</w:t>
      </w:r>
    </w:p>
    <w:p w14:paraId="42BB34ED">
      <w:pPr>
        <w:pStyle w:val="95"/>
        <w:widowControl/>
        <w:numPr>
          <w:ilvl w:val="0"/>
          <w:numId w:val="12"/>
        </w:numPr>
        <w:ind w:firstLine="480"/>
        <w:rPr>
          <w:color w:val="auto"/>
        </w:rPr>
      </w:pPr>
      <w:r>
        <w:rPr>
          <w:rFonts w:hint="eastAsia"/>
          <w:color w:val="auto"/>
        </w:rPr>
        <w:t>《中华人民共和国环境影响评价法》（</w:t>
      </w:r>
      <w:r>
        <w:rPr>
          <w:color w:val="auto"/>
        </w:rPr>
        <w:t>2018</w:t>
      </w:r>
      <w:r>
        <w:rPr>
          <w:rFonts w:hint="eastAsia"/>
          <w:color w:val="auto"/>
        </w:rPr>
        <w:t>年</w:t>
      </w:r>
      <w:r>
        <w:rPr>
          <w:color w:val="auto"/>
        </w:rPr>
        <w:t>12</w:t>
      </w:r>
      <w:r>
        <w:rPr>
          <w:rFonts w:hint="eastAsia"/>
          <w:color w:val="auto"/>
        </w:rPr>
        <w:t>月</w:t>
      </w:r>
      <w:r>
        <w:rPr>
          <w:color w:val="auto"/>
        </w:rPr>
        <w:t>29</w:t>
      </w:r>
      <w:r>
        <w:rPr>
          <w:rFonts w:hint="eastAsia"/>
          <w:color w:val="auto"/>
        </w:rPr>
        <w:t>日）；</w:t>
      </w:r>
    </w:p>
    <w:p w14:paraId="67283835">
      <w:pPr>
        <w:pStyle w:val="95"/>
        <w:widowControl/>
        <w:numPr>
          <w:ilvl w:val="0"/>
          <w:numId w:val="12"/>
        </w:numPr>
        <w:ind w:firstLine="480"/>
        <w:rPr>
          <w:color w:val="auto"/>
        </w:rPr>
      </w:pPr>
      <w:r>
        <w:rPr>
          <w:rFonts w:hint="eastAsia"/>
          <w:color w:val="auto"/>
        </w:rPr>
        <w:t>《中华人民共和国突发事件应对法》（20</w:t>
      </w:r>
      <w:r>
        <w:rPr>
          <w:color w:val="auto"/>
        </w:rPr>
        <w:t>24</w:t>
      </w:r>
      <w:r>
        <w:rPr>
          <w:rFonts w:hint="eastAsia"/>
          <w:color w:val="auto"/>
        </w:rPr>
        <w:t>年11月1日）；</w:t>
      </w:r>
    </w:p>
    <w:p w14:paraId="462C85D7">
      <w:pPr>
        <w:pStyle w:val="95"/>
        <w:widowControl/>
        <w:numPr>
          <w:ilvl w:val="0"/>
          <w:numId w:val="12"/>
        </w:numPr>
        <w:ind w:firstLine="480"/>
        <w:rPr>
          <w:color w:val="auto"/>
        </w:rPr>
      </w:pPr>
      <w:r>
        <w:rPr>
          <w:rFonts w:hint="eastAsia"/>
          <w:color w:val="auto"/>
        </w:rPr>
        <w:t>《中华人民共和国循环经济促进法》（2</w:t>
      </w:r>
      <w:r>
        <w:rPr>
          <w:color w:val="auto"/>
        </w:rPr>
        <w:t>018</w:t>
      </w:r>
      <w:r>
        <w:rPr>
          <w:rFonts w:hint="eastAsia"/>
          <w:color w:val="auto"/>
        </w:rPr>
        <w:t>年1</w:t>
      </w:r>
      <w:r>
        <w:rPr>
          <w:color w:val="auto"/>
        </w:rPr>
        <w:t>0</w:t>
      </w:r>
      <w:r>
        <w:rPr>
          <w:rFonts w:hint="eastAsia"/>
          <w:color w:val="auto"/>
        </w:rPr>
        <w:t>月</w:t>
      </w:r>
      <w:r>
        <w:rPr>
          <w:color w:val="auto"/>
        </w:rPr>
        <w:t>26</w:t>
      </w:r>
      <w:r>
        <w:rPr>
          <w:rFonts w:hint="eastAsia"/>
          <w:color w:val="auto"/>
        </w:rPr>
        <w:t>日）；</w:t>
      </w:r>
    </w:p>
    <w:p w14:paraId="41F92EBC">
      <w:pPr>
        <w:pStyle w:val="95"/>
        <w:widowControl/>
        <w:numPr>
          <w:ilvl w:val="0"/>
          <w:numId w:val="12"/>
        </w:numPr>
        <w:ind w:firstLine="480"/>
        <w:rPr>
          <w:color w:val="auto"/>
        </w:rPr>
      </w:pPr>
      <w:r>
        <w:rPr>
          <w:rFonts w:hint="eastAsia"/>
          <w:color w:val="auto"/>
        </w:rPr>
        <w:t>《中华人民共和国水土保持法》（2011年3月1日）；</w:t>
      </w:r>
    </w:p>
    <w:p w14:paraId="7BEEE13C">
      <w:pPr>
        <w:pStyle w:val="95"/>
        <w:widowControl/>
        <w:numPr>
          <w:ilvl w:val="0"/>
          <w:numId w:val="12"/>
        </w:numPr>
        <w:ind w:firstLine="480"/>
        <w:rPr>
          <w:color w:val="auto"/>
        </w:rPr>
      </w:pPr>
      <w:r>
        <w:rPr>
          <w:rFonts w:hint="eastAsia"/>
          <w:color w:val="auto"/>
        </w:rPr>
        <w:t>《建设项目环境保护管理条例》（2017年10月1日）；</w:t>
      </w:r>
    </w:p>
    <w:p w14:paraId="5134CD9F">
      <w:pPr>
        <w:pStyle w:val="95"/>
        <w:widowControl/>
        <w:numPr>
          <w:ilvl w:val="0"/>
          <w:numId w:val="12"/>
        </w:numPr>
        <w:ind w:firstLine="480"/>
        <w:rPr>
          <w:color w:val="auto"/>
        </w:rPr>
      </w:pPr>
      <w:r>
        <w:rPr>
          <w:rFonts w:hint="eastAsia"/>
          <w:color w:val="auto"/>
        </w:rPr>
        <w:t>《石油天然气开采业污染防治技术政策》（2012年3月7日）；</w:t>
      </w:r>
    </w:p>
    <w:p w14:paraId="2A4CF34E">
      <w:pPr>
        <w:pStyle w:val="95"/>
        <w:widowControl/>
        <w:numPr>
          <w:ilvl w:val="0"/>
          <w:numId w:val="12"/>
        </w:numPr>
        <w:ind w:firstLine="480"/>
        <w:rPr>
          <w:color w:val="auto"/>
        </w:rPr>
      </w:pPr>
      <w:r>
        <w:rPr>
          <w:rFonts w:hint="eastAsia"/>
          <w:color w:val="auto"/>
        </w:rPr>
        <w:t>《突发环境事件应急管理办法》（2015年6月5日）；</w:t>
      </w:r>
    </w:p>
    <w:p w14:paraId="71281B19">
      <w:pPr>
        <w:pStyle w:val="95"/>
        <w:widowControl/>
        <w:numPr>
          <w:ilvl w:val="0"/>
          <w:numId w:val="12"/>
        </w:numPr>
        <w:ind w:firstLine="480"/>
        <w:rPr>
          <w:color w:val="auto"/>
        </w:rPr>
      </w:pPr>
      <w:r>
        <w:rPr>
          <w:rFonts w:hint="eastAsia"/>
          <w:color w:val="auto"/>
        </w:rPr>
        <w:t>《关于印发环评管理中部分行业建设项目重大变动清单的通知》（环办[2015]52号）；</w:t>
      </w:r>
    </w:p>
    <w:p w14:paraId="17B1D164">
      <w:pPr>
        <w:pStyle w:val="95"/>
        <w:widowControl/>
        <w:numPr>
          <w:ilvl w:val="0"/>
          <w:numId w:val="12"/>
        </w:numPr>
        <w:ind w:firstLine="480"/>
        <w:rPr>
          <w:color w:val="auto"/>
        </w:rPr>
      </w:pPr>
      <w:r>
        <w:rPr>
          <w:color w:val="auto"/>
        </w:rPr>
        <w:t>《建设项目竣工环境保护验收暂行办法》</w:t>
      </w:r>
      <w:r>
        <w:rPr>
          <w:rFonts w:hint="eastAsia"/>
          <w:color w:val="auto"/>
        </w:rPr>
        <w:t>（2017年11月20日）；</w:t>
      </w:r>
    </w:p>
    <w:p w14:paraId="06BC779E">
      <w:pPr>
        <w:pStyle w:val="95"/>
        <w:widowControl/>
        <w:numPr>
          <w:ilvl w:val="0"/>
          <w:numId w:val="12"/>
        </w:numPr>
        <w:ind w:firstLine="480"/>
        <w:rPr>
          <w:color w:val="auto"/>
        </w:rPr>
      </w:pPr>
      <w:r>
        <w:rPr>
          <w:rFonts w:hint="eastAsia"/>
          <w:color w:val="auto"/>
        </w:rPr>
        <w:t>《关于进一步加强石油天然气行业环境影响评价管理的通知》（环办环评函[</w:t>
      </w:r>
      <w:r>
        <w:rPr>
          <w:color w:val="auto"/>
        </w:rPr>
        <w:t>2019</w:t>
      </w:r>
      <w:r>
        <w:rPr>
          <w:rFonts w:hint="eastAsia"/>
          <w:color w:val="auto"/>
        </w:rPr>
        <w:t>]</w:t>
      </w:r>
      <w:r>
        <w:rPr>
          <w:color w:val="auto"/>
        </w:rPr>
        <w:t>910</w:t>
      </w:r>
      <w:r>
        <w:rPr>
          <w:rFonts w:hint="eastAsia"/>
          <w:color w:val="auto"/>
        </w:rPr>
        <w:t>号）。</w:t>
      </w:r>
    </w:p>
    <w:p w14:paraId="02161027">
      <w:pPr>
        <w:pStyle w:val="5"/>
        <w:rPr>
          <w:color w:val="auto"/>
        </w:rPr>
      </w:pPr>
      <w:bookmarkStart w:id="50" w:name="_Toc231283616"/>
      <w:r>
        <w:rPr>
          <w:rFonts w:hint="eastAsia"/>
          <w:color w:val="auto"/>
        </w:rPr>
        <w:t>地方</w:t>
      </w:r>
      <w:r>
        <w:rPr>
          <w:color w:val="auto"/>
        </w:rPr>
        <w:t>相关规章</w:t>
      </w:r>
      <w:r>
        <w:rPr>
          <w:rFonts w:hint="eastAsia"/>
          <w:color w:val="auto"/>
        </w:rPr>
        <w:t>与</w:t>
      </w:r>
      <w:r>
        <w:rPr>
          <w:color w:val="auto"/>
        </w:rPr>
        <w:t>规范性文件</w:t>
      </w:r>
      <w:bookmarkEnd w:id="50"/>
    </w:p>
    <w:p w14:paraId="4E67EAC0">
      <w:pPr>
        <w:pStyle w:val="95"/>
        <w:widowControl/>
        <w:numPr>
          <w:ilvl w:val="0"/>
          <w:numId w:val="13"/>
        </w:numPr>
        <w:rPr>
          <w:color w:val="auto"/>
        </w:rPr>
      </w:pPr>
      <w:bookmarkStart w:id="51" w:name="_Toc485714184"/>
      <w:r>
        <w:rPr>
          <w:rFonts w:hint="eastAsia"/>
          <w:color w:val="auto"/>
        </w:rPr>
        <w:t>《山东省环境保护条例》（2019年1月1日）；</w:t>
      </w:r>
    </w:p>
    <w:p w14:paraId="28713C95">
      <w:pPr>
        <w:pStyle w:val="95"/>
        <w:widowControl/>
        <w:numPr>
          <w:ilvl w:val="0"/>
          <w:numId w:val="13"/>
        </w:numPr>
        <w:rPr>
          <w:color w:val="auto"/>
        </w:rPr>
      </w:pPr>
      <w:r>
        <w:rPr>
          <w:rFonts w:hint="eastAsia"/>
          <w:color w:val="auto"/>
        </w:rPr>
        <w:t>《山东省水污染防治条例》（20</w:t>
      </w:r>
      <w:r>
        <w:rPr>
          <w:color w:val="auto"/>
        </w:rPr>
        <w:t>20</w:t>
      </w:r>
      <w:r>
        <w:rPr>
          <w:rFonts w:hint="eastAsia"/>
          <w:color w:val="auto"/>
        </w:rPr>
        <w:t>年</w:t>
      </w:r>
      <w:r>
        <w:rPr>
          <w:color w:val="auto"/>
        </w:rPr>
        <w:t>11</w:t>
      </w:r>
      <w:r>
        <w:rPr>
          <w:rFonts w:hint="eastAsia"/>
          <w:color w:val="auto"/>
        </w:rPr>
        <w:t>月</w:t>
      </w:r>
      <w:r>
        <w:rPr>
          <w:color w:val="auto"/>
        </w:rPr>
        <w:t>27</w:t>
      </w:r>
      <w:r>
        <w:rPr>
          <w:rFonts w:hint="eastAsia"/>
          <w:color w:val="auto"/>
        </w:rPr>
        <w:t>日）；</w:t>
      </w:r>
    </w:p>
    <w:p w14:paraId="6424C9C5">
      <w:pPr>
        <w:pStyle w:val="95"/>
        <w:widowControl/>
        <w:numPr>
          <w:ilvl w:val="0"/>
          <w:numId w:val="13"/>
        </w:numPr>
        <w:ind w:firstLine="480"/>
        <w:rPr>
          <w:color w:val="auto"/>
        </w:rPr>
      </w:pPr>
      <w:r>
        <w:rPr>
          <w:rFonts w:hint="eastAsia"/>
          <w:color w:val="auto"/>
        </w:rPr>
        <w:t>《山东省实施&lt;中华人民共和国固体废物污染环境防治法&gt;办法》（2018年1月23日）；</w:t>
      </w:r>
    </w:p>
    <w:p w14:paraId="4177EDC0">
      <w:pPr>
        <w:pStyle w:val="95"/>
        <w:widowControl/>
        <w:numPr>
          <w:ilvl w:val="0"/>
          <w:numId w:val="13"/>
        </w:numPr>
        <w:ind w:firstLine="480"/>
        <w:rPr>
          <w:color w:val="auto"/>
        </w:rPr>
      </w:pPr>
      <w:r>
        <w:rPr>
          <w:rFonts w:hint="eastAsia"/>
          <w:color w:val="auto"/>
        </w:rPr>
        <w:t>《山东省人民政府办公厅关于印发山东省突发事件应急预案管理办法的通知》（鲁政办发[2014]15号）；</w:t>
      </w:r>
    </w:p>
    <w:p w14:paraId="38B2EEBF">
      <w:pPr>
        <w:pStyle w:val="95"/>
        <w:widowControl/>
        <w:numPr>
          <w:ilvl w:val="0"/>
          <w:numId w:val="13"/>
        </w:numPr>
        <w:ind w:firstLine="480"/>
        <w:rPr>
          <w:color w:val="auto"/>
        </w:rPr>
      </w:pPr>
      <w:r>
        <w:rPr>
          <w:rFonts w:hint="eastAsia"/>
          <w:color w:val="auto"/>
        </w:rPr>
        <w:t>《山东省环境保护厅关于印发&lt;山东省土壤环境保护和综合治理工作方案&gt;的通知》（鲁环发[2014]126号）；</w:t>
      </w:r>
    </w:p>
    <w:p w14:paraId="5C682106">
      <w:pPr>
        <w:pStyle w:val="95"/>
        <w:widowControl/>
        <w:numPr>
          <w:ilvl w:val="0"/>
          <w:numId w:val="13"/>
        </w:numPr>
        <w:ind w:firstLine="480"/>
        <w:rPr>
          <w:color w:val="auto"/>
        </w:rPr>
      </w:pPr>
      <w:r>
        <w:rPr>
          <w:rFonts w:hint="eastAsia"/>
          <w:color w:val="auto"/>
        </w:rPr>
        <w:t>《山东省人民政府关于印发山东省土壤污染防治工作方案的通知》（鲁政发[2016]37号）；</w:t>
      </w:r>
    </w:p>
    <w:p w14:paraId="789A7AC8">
      <w:pPr>
        <w:pStyle w:val="95"/>
        <w:widowControl/>
        <w:numPr>
          <w:ilvl w:val="0"/>
          <w:numId w:val="13"/>
        </w:numPr>
        <w:ind w:firstLine="480"/>
        <w:rPr>
          <w:color w:val="auto"/>
        </w:rPr>
      </w:pPr>
      <w:r>
        <w:rPr>
          <w:rFonts w:hint="eastAsia"/>
          <w:color w:val="auto"/>
        </w:rPr>
        <w:t>《关于进一步加强建设项目固体废物环境管理的通知》（鲁环办函[2016]141号）；</w:t>
      </w:r>
    </w:p>
    <w:p w14:paraId="5FBF1BAA">
      <w:pPr>
        <w:pStyle w:val="95"/>
        <w:widowControl/>
        <w:numPr>
          <w:ilvl w:val="0"/>
          <w:numId w:val="13"/>
        </w:numPr>
        <w:ind w:firstLine="480"/>
        <w:rPr>
          <w:color w:val="auto"/>
        </w:rPr>
      </w:pPr>
      <w:r>
        <w:rPr>
          <w:rFonts w:hint="eastAsia"/>
          <w:color w:val="auto"/>
        </w:rPr>
        <w:t>《山东省人民政府办公厅关于全面加强节约用水工作的通知》（鲁政办字[2017]151号）；</w:t>
      </w:r>
    </w:p>
    <w:p w14:paraId="51826945">
      <w:pPr>
        <w:pStyle w:val="95"/>
        <w:widowControl/>
        <w:numPr>
          <w:ilvl w:val="0"/>
          <w:numId w:val="13"/>
        </w:numPr>
        <w:ind w:firstLine="480"/>
        <w:rPr>
          <w:color w:val="auto"/>
        </w:rPr>
      </w:pPr>
      <w:r>
        <w:rPr>
          <w:rFonts w:hint="eastAsia"/>
          <w:color w:val="auto"/>
        </w:rPr>
        <w:t>《关于印发山东省扬尘污染综合整治方案的通知》（鲁环发[2019]112号）；</w:t>
      </w:r>
    </w:p>
    <w:p w14:paraId="32152BAB">
      <w:pPr>
        <w:pStyle w:val="95"/>
        <w:widowControl/>
        <w:numPr>
          <w:ilvl w:val="0"/>
          <w:numId w:val="13"/>
        </w:numPr>
        <w:ind w:firstLine="480"/>
        <w:rPr>
          <w:color w:val="auto"/>
        </w:rPr>
      </w:pPr>
      <w:r>
        <w:rPr>
          <w:color w:val="auto"/>
        </w:rPr>
        <w:t>《</w:t>
      </w:r>
      <w:r>
        <w:rPr>
          <w:rFonts w:hint="eastAsia"/>
          <w:color w:val="auto"/>
        </w:rPr>
        <w:t>山东省环境保护厅关于下放建设项目环评文件审批权限后竣工环境保护验收有关工作的通知</w:t>
      </w:r>
      <w:r>
        <w:rPr>
          <w:color w:val="auto"/>
        </w:rPr>
        <w:t>》</w:t>
      </w:r>
      <w:r>
        <w:rPr>
          <w:rFonts w:hint="eastAsia"/>
          <w:color w:val="auto"/>
        </w:rPr>
        <w:t>（鲁环函[</w:t>
      </w:r>
      <w:r>
        <w:rPr>
          <w:color w:val="auto"/>
        </w:rPr>
        <w:t>2018</w:t>
      </w:r>
      <w:r>
        <w:rPr>
          <w:rFonts w:hint="eastAsia"/>
          <w:color w:val="auto"/>
        </w:rPr>
        <w:t>]261号）；</w:t>
      </w:r>
    </w:p>
    <w:p w14:paraId="25447D10">
      <w:pPr>
        <w:pStyle w:val="327"/>
        <w:numPr>
          <w:ilvl w:val="0"/>
          <w:numId w:val="13"/>
        </w:numPr>
        <w:adjustRightInd w:val="0"/>
        <w:snapToGrid w:val="0"/>
        <w:spacing w:line="328" w:lineRule="auto"/>
        <w:ind w:firstLineChars="0"/>
        <w:rPr>
          <w:color w:val="auto"/>
        </w:rPr>
      </w:pPr>
      <w:r>
        <w:rPr>
          <w:rFonts w:hint="eastAsia"/>
          <w:color w:val="auto"/>
        </w:rPr>
        <w:t>《关于进一步规范和加强企业环境管理的意见》（淄环发[2010]60号）；</w:t>
      </w:r>
    </w:p>
    <w:p w14:paraId="261E084E">
      <w:pPr>
        <w:pStyle w:val="327"/>
        <w:numPr>
          <w:ilvl w:val="0"/>
          <w:numId w:val="13"/>
        </w:numPr>
        <w:adjustRightInd w:val="0"/>
        <w:snapToGrid w:val="0"/>
        <w:spacing w:line="328" w:lineRule="auto"/>
        <w:ind w:firstLineChars="0"/>
        <w:rPr>
          <w:color w:val="auto"/>
        </w:rPr>
      </w:pPr>
      <w:r>
        <w:rPr>
          <w:rFonts w:hint="eastAsia"/>
          <w:color w:val="auto"/>
        </w:rPr>
        <w:t>《淄博市城区噪声标准适用区域划分及管理规定》（淄政办字[2019]43号）；</w:t>
      </w:r>
    </w:p>
    <w:p w14:paraId="44D3CA7B">
      <w:pPr>
        <w:pStyle w:val="327"/>
        <w:numPr>
          <w:ilvl w:val="0"/>
          <w:numId w:val="13"/>
        </w:numPr>
        <w:adjustRightInd w:val="0"/>
        <w:snapToGrid w:val="0"/>
        <w:spacing w:line="328" w:lineRule="auto"/>
        <w:ind w:firstLineChars="0"/>
        <w:rPr>
          <w:color w:val="auto"/>
        </w:rPr>
      </w:pPr>
      <w:r>
        <w:rPr>
          <w:rFonts w:hint="eastAsia"/>
          <w:color w:val="auto"/>
        </w:rPr>
        <w:t>《淄博市国土空间总体规划（2021-2035年）》（2023年12月21日）；</w:t>
      </w:r>
    </w:p>
    <w:p w14:paraId="431E8AAE">
      <w:pPr>
        <w:pStyle w:val="327"/>
        <w:numPr>
          <w:ilvl w:val="0"/>
          <w:numId w:val="13"/>
        </w:numPr>
        <w:adjustRightInd w:val="0"/>
        <w:snapToGrid w:val="0"/>
        <w:spacing w:line="328" w:lineRule="auto"/>
        <w:ind w:firstLineChars="0"/>
        <w:rPr>
          <w:color w:val="auto"/>
        </w:rPr>
      </w:pPr>
      <w:r>
        <w:rPr>
          <w:rFonts w:hint="eastAsia"/>
          <w:color w:val="auto"/>
        </w:rPr>
        <w:t>《淄博市人民政府办公厅关于划定淄博市大气污染物排放控制区的通知》（淄政办字[2021]66号）；</w:t>
      </w:r>
    </w:p>
    <w:p w14:paraId="70C411C7">
      <w:pPr>
        <w:pStyle w:val="327"/>
        <w:numPr>
          <w:ilvl w:val="0"/>
          <w:numId w:val="13"/>
        </w:numPr>
        <w:adjustRightInd w:val="0"/>
        <w:snapToGrid w:val="0"/>
        <w:spacing w:line="328" w:lineRule="auto"/>
        <w:ind w:firstLineChars="0"/>
        <w:rPr>
          <w:color w:val="auto"/>
        </w:rPr>
      </w:pPr>
      <w:r>
        <w:rPr>
          <w:rFonts w:hint="eastAsia"/>
          <w:color w:val="auto"/>
        </w:rPr>
        <w:t>《淄博市生态环境局审批环境影响评价文件的建设项目目录（2021年本）》（2021年1月20日）；</w:t>
      </w:r>
    </w:p>
    <w:p w14:paraId="435ECDBE">
      <w:pPr>
        <w:pStyle w:val="327"/>
        <w:numPr>
          <w:ilvl w:val="0"/>
          <w:numId w:val="13"/>
        </w:numPr>
        <w:adjustRightInd w:val="0"/>
        <w:snapToGrid w:val="0"/>
        <w:spacing w:line="328" w:lineRule="auto"/>
        <w:ind w:firstLineChars="0"/>
        <w:rPr>
          <w:color w:val="auto"/>
        </w:rPr>
      </w:pPr>
      <w:r>
        <w:rPr>
          <w:rFonts w:hint="eastAsia"/>
          <w:color w:val="auto"/>
        </w:rPr>
        <w:t>《淄博市水资源保护管理条例》（2012年1月1日）；</w:t>
      </w:r>
    </w:p>
    <w:p w14:paraId="54145F68">
      <w:pPr>
        <w:pStyle w:val="327"/>
        <w:numPr>
          <w:ilvl w:val="0"/>
          <w:numId w:val="13"/>
        </w:numPr>
        <w:adjustRightInd w:val="0"/>
        <w:snapToGrid w:val="0"/>
        <w:spacing w:line="328" w:lineRule="auto"/>
        <w:ind w:firstLineChars="0"/>
        <w:rPr>
          <w:color w:val="auto"/>
        </w:rPr>
      </w:pPr>
      <w:r>
        <w:rPr>
          <w:rFonts w:hint="eastAsia"/>
          <w:color w:val="auto"/>
        </w:rPr>
        <w:t>《淄博市水土保持规划（2018-2030年）》；</w:t>
      </w:r>
    </w:p>
    <w:p w14:paraId="7C15C592">
      <w:pPr>
        <w:pStyle w:val="327"/>
        <w:numPr>
          <w:ilvl w:val="0"/>
          <w:numId w:val="13"/>
        </w:numPr>
        <w:adjustRightInd w:val="0"/>
        <w:snapToGrid w:val="0"/>
        <w:spacing w:line="328" w:lineRule="auto"/>
        <w:ind w:firstLineChars="0"/>
        <w:rPr>
          <w:color w:val="auto"/>
        </w:rPr>
      </w:pPr>
      <w:r>
        <w:rPr>
          <w:rFonts w:hint="eastAsia"/>
          <w:color w:val="auto"/>
        </w:rPr>
        <w:t>《关于加快推进重点行业挥发性有机物综合治理工作的通知》（淄环发[2020]31号）；</w:t>
      </w:r>
    </w:p>
    <w:p w14:paraId="4F89179C">
      <w:pPr>
        <w:pStyle w:val="327"/>
        <w:numPr>
          <w:ilvl w:val="0"/>
          <w:numId w:val="13"/>
        </w:numPr>
        <w:adjustRightInd w:val="0"/>
        <w:snapToGrid w:val="0"/>
        <w:spacing w:line="328" w:lineRule="auto"/>
        <w:ind w:firstLineChars="0"/>
        <w:rPr>
          <w:color w:val="auto"/>
        </w:rPr>
      </w:pPr>
      <w:r>
        <w:rPr>
          <w:rFonts w:hint="eastAsia"/>
          <w:color w:val="auto"/>
        </w:rPr>
        <w:t>《高青县水土保持规划（2016-2030年）》；</w:t>
      </w:r>
    </w:p>
    <w:p w14:paraId="405EE865">
      <w:pPr>
        <w:pStyle w:val="327"/>
        <w:numPr>
          <w:ilvl w:val="0"/>
          <w:numId w:val="13"/>
        </w:numPr>
        <w:adjustRightInd w:val="0"/>
        <w:snapToGrid w:val="0"/>
        <w:spacing w:line="328" w:lineRule="auto"/>
        <w:ind w:firstLineChars="0"/>
        <w:rPr>
          <w:color w:val="auto"/>
        </w:rPr>
      </w:pPr>
      <w:r>
        <w:rPr>
          <w:rFonts w:hint="eastAsia"/>
          <w:color w:val="auto"/>
        </w:rPr>
        <w:t>《淄博市人民政府关于印发淄博市“三线一单”生态环境分区管控方案的通知》（淄政字[2021]49号）；</w:t>
      </w:r>
    </w:p>
    <w:p w14:paraId="342F7CEA">
      <w:pPr>
        <w:pStyle w:val="327"/>
        <w:numPr>
          <w:ilvl w:val="0"/>
          <w:numId w:val="13"/>
        </w:numPr>
        <w:adjustRightInd w:val="0"/>
        <w:snapToGrid w:val="0"/>
        <w:spacing w:line="328" w:lineRule="auto"/>
        <w:ind w:firstLineChars="0"/>
        <w:rPr>
          <w:color w:val="auto"/>
        </w:rPr>
      </w:pPr>
      <w:r>
        <w:rPr>
          <w:rFonts w:hint="eastAsia"/>
          <w:color w:val="auto"/>
        </w:rPr>
        <w:t>《淄博市“三线一单”生态环境准入清单（动态更新版）》（2023年4月20日）。</w:t>
      </w:r>
    </w:p>
    <w:p w14:paraId="417D809C">
      <w:pPr>
        <w:pStyle w:val="5"/>
        <w:rPr>
          <w:color w:val="auto"/>
        </w:rPr>
      </w:pPr>
      <w:bookmarkStart w:id="52" w:name="_Toc231283617"/>
      <w:r>
        <w:rPr>
          <w:rFonts w:hint="eastAsia"/>
          <w:color w:val="auto"/>
        </w:rPr>
        <w:t>相关标准</w:t>
      </w:r>
      <w:bookmarkEnd w:id="52"/>
    </w:p>
    <w:p w14:paraId="40D480EF">
      <w:pPr>
        <w:pStyle w:val="95"/>
        <w:widowControl/>
        <w:numPr>
          <w:ilvl w:val="0"/>
          <w:numId w:val="14"/>
        </w:numPr>
        <w:rPr>
          <w:color w:val="auto"/>
        </w:rPr>
      </w:pPr>
      <w:r>
        <w:rPr>
          <w:rFonts w:hint="eastAsia"/>
          <w:color w:val="auto"/>
        </w:rPr>
        <w:t>《环境空气质量标准》（GB 3095-2026）；</w:t>
      </w:r>
    </w:p>
    <w:p w14:paraId="7F0BBAB2">
      <w:pPr>
        <w:pStyle w:val="95"/>
        <w:widowControl/>
        <w:numPr>
          <w:ilvl w:val="0"/>
          <w:numId w:val="14"/>
        </w:numPr>
        <w:rPr>
          <w:color w:val="auto"/>
        </w:rPr>
      </w:pPr>
      <w:r>
        <w:rPr>
          <w:rFonts w:hint="eastAsia"/>
          <w:color w:val="auto"/>
        </w:rPr>
        <w:t>《大气污染物综合排放标准详解》（国家环境保护局科技标准司制定）；</w:t>
      </w:r>
    </w:p>
    <w:p w14:paraId="01893BD1">
      <w:pPr>
        <w:pStyle w:val="95"/>
        <w:widowControl/>
        <w:numPr>
          <w:ilvl w:val="0"/>
          <w:numId w:val="14"/>
        </w:numPr>
        <w:rPr>
          <w:color w:val="auto"/>
        </w:rPr>
      </w:pPr>
      <w:r>
        <w:rPr>
          <w:rFonts w:hint="eastAsia"/>
          <w:color w:val="auto"/>
        </w:rPr>
        <w:t>《地表水环境质量标准》（GB 3838-2002）；</w:t>
      </w:r>
    </w:p>
    <w:p w14:paraId="0A3A4127">
      <w:pPr>
        <w:pStyle w:val="95"/>
        <w:widowControl/>
        <w:numPr>
          <w:ilvl w:val="0"/>
          <w:numId w:val="14"/>
        </w:numPr>
        <w:rPr>
          <w:color w:val="auto"/>
        </w:rPr>
      </w:pPr>
      <w:r>
        <w:rPr>
          <w:rFonts w:hint="eastAsia"/>
          <w:color w:val="auto"/>
        </w:rPr>
        <w:t>《地下水质量标准》（GB/T 14848-2017）；</w:t>
      </w:r>
    </w:p>
    <w:p w14:paraId="231E4CE6">
      <w:pPr>
        <w:pStyle w:val="95"/>
        <w:widowControl/>
        <w:numPr>
          <w:ilvl w:val="0"/>
          <w:numId w:val="14"/>
        </w:numPr>
        <w:rPr>
          <w:color w:val="auto"/>
        </w:rPr>
      </w:pPr>
      <w:r>
        <w:rPr>
          <w:rFonts w:hint="eastAsia"/>
          <w:color w:val="auto"/>
        </w:rPr>
        <w:t>《声环境质量标准》（GB 3096-2008）；</w:t>
      </w:r>
    </w:p>
    <w:p w14:paraId="607DB56B">
      <w:pPr>
        <w:pStyle w:val="95"/>
        <w:widowControl/>
        <w:numPr>
          <w:ilvl w:val="0"/>
          <w:numId w:val="14"/>
        </w:numPr>
        <w:rPr>
          <w:color w:val="auto"/>
        </w:rPr>
      </w:pPr>
      <w:r>
        <w:rPr>
          <w:rFonts w:hint="eastAsia"/>
          <w:color w:val="auto"/>
        </w:rPr>
        <w:t>《土壤环境质量 建设用地土壤污染风险管控标准（试行）》（GB 36600-2018）；</w:t>
      </w:r>
    </w:p>
    <w:p w14:paraId="335BA535">
      <w:pPr>
        <w:pStyle w:val="95"/>
        <w:widowControl/>
        <w:numPr>
          <w:ilvl w:val="0"/>
          <w:numId w:val="14"/>
        </w:numPr>
        <w:rPr>
          <w:color w:val="auto"/>
        </w:rPr>
      </w:pPr>
      <w:r>
        <w:rPr>
          <w:rFonts w:hint="eastAsia"/>
          <w:color w:val="auto"/>
        </w:rPr>
        <w:t>《挥发性有机物排放标准 第7部分：其他行业》（DB37/ 2801.7-2019）；</w:t>
      </w:r>
    </w:p>
    <w:p w14:paraId="7B13FEF2">
      <w:pPr>
        <w:pStyle w:val="95"/>
        <w:widowControl/>
        <w:numPr>
          <w:ilvl w:val="0"/>
          <w:numId w:val="14"/>
        </w:numPr>
        <w:rPr>
          <w:color w:val="auto"/>
        </w:rPr>
      </w:pPr>
      <w:r>
        <w:rPr>
          <w:rFonts w:hint="eastAsia"/>
          <w:color w:val="auto"/>
        </w:rPr>
        <w:t>《碎屑岩油藏注水水质指标技术要求及分析方法》（SY/T 5329-2022）；</w:t>
      </w:r>
    </w:p>
    <w:p w14:paraId="4A76CD7B">
      <w:pPr>
        <w:pStyle w:val="95"/>
        <w:widowControl/>
        <w:numPr>
          <w:ilvl w:val="0"/>
          <w:numId w:val="14"/>
        </w:numPr>
        <w:rPr>
          <w:color w:val="auto"/>
        </w:rPr>
      </w:pPr>
      <w:r>
        <w:rPr>
          <w:rFonts w:hint="eastAsia"/>
          <w:color w:val="auto"/>
        </w:rPr>
        <w:t>《建筑施工噪声排放标准》(GB 12523-2025)；</w:t>
      </w:r>
    </w:p>
    <w:p w14:paraId="0640F708">
      <w:pPr>
        <w:pStyle w:val="95"/>
        <w:widowControl/>
        <w:numPr>
          <w:ilvl w:val="0"/>
          <w:numId w:val="14"/>
        </w:numPr>
        <w:rPr>
          <w:color w:val="auto"/>
        </w:rPr>
      </w:pPr>
      <w:r>
        <w:rPr>
          <w:rFonts w:hint="eastAsia"/>
          <w:color w:val="auto"/>
        </w:rPr>
        <w:t>《工业企业厂界环境噪声排放标准》（GB 12348-2008）；</w:t>
      </w:r>
    </w:p>
    <w:p w14:paraId="6AADF84E">
      <w:pPr>
        <w:pStyle w:val="95"/>
        <w:widowControl/>
        <w:numPr>
          <w:ilvl w:val="0"/>
          <w:numId w:val="14"/>
        </w:numPr>
        <w:rPr>
          <w:color w:val="auto"/>
        </w:rPr>
      </w:pPr>
      <w:r>
        <w:rPr>
          <w:rFonts w:hint="eastAsia"/>
          <w:color w:val="auto"/>
        </w:rPr>
        <w:t>《一般工业固体废物贮存和填埋污染控制标准》（GB 18599-2020）；</w:t>
      </w:r>
    </w:p>
    <w:p w14:paraId="5B6E8AFB">
      <w:pPr>
        <w:pStyle w:val="95"/>
        <w:widowControl/>
        <w:numPr>
          <w:ilvl w:val="0"/>
          <w:numId w:val="14"/>
        </w:numPr>
        <w:rPr>
          <w:color w:val="auto"/>
        </w:rPr>
      </w:pPr>
      <w:r>
        <w:rPr>
          <w:rFonts w:hint="eastAsia"/>
          <w:color w:val="auto"/>
        </w:rPr>
        <w:t>《危险废物贮存污染控制标准》（GB 18597-2023）；</w:t>
      </w:r>
    </w:p>
    <w:p w14:paraId="6FB55616">
      <w:pPr>
        <w:pStyle w:val="95"/>
        <w:widowControl/>
        <w:numPr>
          <w:ilvl w:val="0"/>
          <w:numId w:val="14"/>
        </w:numPr>
        <w:rPr>
          <w:color w:val="auto"/>
        </w:rPr>
      </w:pPr>
      <w:r>
        <w:rPr>
          <w:rFonts w:hint="eastAsia" w:cs="宋体"/>
          <w:color w:val="auto"/>
        </w:rPr>
        <w:t>《危险废物排除管理清单（</w:t>
      </w:r>
      <w:r>
        <w:rPr>
          <w:rFonts w:hint="eastAsia" w:cs="Calibri"/>
          <w:color w:val="auto"/>
        </w:rPr>
        <w:t>2026</w:t>
      </w:r>
      <w:r>
        <w:rPr>
          <w:rFonts w:hint="eastAsia" w:cs="宋体"/>
          <w:color w:val="auto"/>
        </w:rPr>
        <w:t xml:space="preserve">年版）》（公告 </w:t>
      </w:r>
      <w:r>
        <w:rPr>
          <w:rFonts w:hint="eastAsia" w:cs="Calibri"/>
          <w:color w:val="auto"/>
        </w:rPr>
        <w:t>2026</w:t>
      </w:r>
      <w:r>
        <w:rPr>
          <w:rFonts w:hint="eastAsia" w:cs="宋体"/>
          <w:color w:val="auto"/>
        </w:rPr>
        <w:t>年 第</w:t>
      </w:r>
      <w:r>
        <w:rPr>
          <w:rFonts w:hint="eastAsia" w:cs="Calibri"/>
          <w:color w:val="auto"/>
        </w:rPr>
        <w:t>2</w:t>
      </w:r>
      <w:r>
        <w:rPr>
          <w:rFonts w:hint="eastAsia" w:cs="宋体"/>
          <w:color w:val="auto"/>
        </w:rPr>
        <w:t>号）</w:t>
      </w:r>
      <w:r>
        <w:rPr>
          <w:rFonts w:hint="eastAsia"/>
          <w:color w:val="auto"/>
        </w:rPr>
        <w:t>。</w:t>
      </w:r>
    </w:p>
    <w:bookmarkEnd w:id="51"/>
    <w:p w14:paraId="249A2AEB">
      <w:pPr>
        <w:pStyle w:val="5"/>
        <w:rPr>
          <w:color w:val="auto"/>
        </w:rPr>
      </w:pPr>
      <w:bookmarkStart w:id="53" w:name="_Toc231283618"/>
      <w:r>
        <w:rPr>
          <w:rFonts w:hint="eastAsia"/>
          <w:color w:val="auto"/>
        </w:rPr>
        <w:t>竣工环境保护</w:t>
      </w:r>
      <w:r>
        <w:rPr>
          <w:color w:val="auto"/>
        </w:rPr>
        <w:t>验收</w:t>
      </w:r>
      <w:r>
        <w:rPr>
          <w:rFonts w:hint="eastAsia"/>
          <w:color w:val="auto"/>
        </w:rPr>
        <w:t>技术</w:t>
      </w:r>
      <w:r>
        <w:rPr>
          <w:color w:val="auto"/>
        </w:rPr>
        <w:t>规范</w:t>
      </w:r>
      <w:r>
        <w:rPr>
          <w:rFonts w:hint="eastAsia"/>
          <w:color w:val="auto"/>
        </w:rPr>
        <w:t>和指南</w:t>
      </w:r>
      <w:bookmarkEnd w:id="53"/>
    </w:p>
    <w:p w14:paraId="109DBB45">
      <w:pPr>
        <w:pStyle w:val="95"/>
        <w:widowControl/>
        <w:numPr>
          <w:ilvl w:val="0"/>
          <w:numId w:val="15"/>
        </w:numPr>
        <w:rPr>
          <w:color w:val="auto"/>
        </w:rPr>
      </w:pPr>
      <w:r>
        <w:rPr>
          <w:rFonts w:hint="eastAsia"/>
          <w:color w:val="auto"/>
        </w:rPr>
        <w:t>《建设项目竣工环境保护验收技术规范 生态影响类》（H</w:t>
      </w:r>
      <w:r>
        <w:rPr>
          <w:color w:val="auto"/>
        </w:rPr>
        <w:t>J/T 394-2007</w:t>
      </w:r>
      <w:r>
        <w:rPr>
          <w:rFonts w:hint="eastAsia"/>
          <w:color w:val="auto"/>
        </w:rPr>
        <w:t>）；</w:t>
      </w:r>
    </w:p>
    <w:p w14:paraId="02C1C1F9">
      <w:pPr>
        <w:pStyle w:val="95"/>
        <w:widowControl/>
        <w:numPr>
          <w:ilvl w:val="0"/>
          <w:numId w:val="16"/>
        </w:numPr>
        <w:rPr>
          <w:color w:val="auto"/>
        </w:rPr>
      </w:pPr>
      <w:r>
        <w:rPr>
          <w:rFonts w:hint="eastAsia"/>
          <w:color w:val="auto"/>
        </w:rPr>
        <w:t>《建设项目竣工环境保护验收技术规范 石油天然气开采》（HJ</w:t>
      </w:r>
      <w:r>
        <w:rPr>
          <w:color w:val="auto"/>
        </w:rPr>
        <w:t xml:space="preserve"> </w:t>
      </w:r>
      <w:r>
        <w:rPr>
          <w:rFonts w:hint="eastAsia"/>
          <w:color w:val="auto"/>
        </w:rPr>
        <w:t>612-2011）；</w:t>
      </w:r>
    </w:p>
    <w:p w14:paraId="565011E1">
      <w:pPr>
        <w:pStyle w:val="95"/>
        <w:widowControl/>
        <w:numPr>
          <w:ilvl w:val="0"/>
          <w:numId w:val="16"/>
        </w:numPr>
        <w:ind w:firstLine="480"/>
        <w:rPr>
          <w:color w:val="auto"/>
        </w:rPr>
      </w:pPr>
      <w:r>
        <w:rPr>
          <w:color w:val="auto"/>
        </w:rPr>
        <w:t>《</w:t>
      </w:r>
      <w:r>
        <w:rPr>
          <w:rFonts w:hint="eastAsia"/>
          <w:color w:val="auto"/>
        </w:rPr>
        <w:t>建设项目竣工环境保护验收技术指南 污染影响类》（2018年</w:t>
      </w:r>
      <w:r>
        <w:rPr>
          <w:color w:val="auto"/>
        </w:rPr>
        <w:t>5</w:t>
      </w:r>
      <w:r>
        <w:rPr>
          <w:rFonts w:hint="eastAsia"/>
          <w:color w:val="auto"/>
        </w:rPr>
        <w:t>月1</w:t>
      </w:r>
      <w:r>
        <w:rPr>
          <w:color w:val="auto"/>
        </w:rPr>
        <w:t>6</w:t>
      </w:r>
      <w:r>
        <w:rPr>
          <w:rFonts w:hint="eastAsia"/>
          <w:color w:val="auto"/>
        </w:rPr>
        <w:t>日）；</w:t>
      </w:r>
    </w:p>
    <w:p w14:paraId="58A9AD37">
      <w:pPr>
        <w:pStyle w:val="95"/>
        <w:widowControl/>
        <w:numPr>
          <w:ilvl w:val="0"/>
          <w:numId w:val="16"/>
        </w:numPr>
        <w:ind w:firstLine="480"/>
        <w:rPr>
          <w:color w:val="auto"/>
        </w:rPr>
      </w:pPr>
      <w:r>
        <w:rPr>
          <w:rFonts w:hint="eastAsia"/>
          <w:color w:val="auto"/>
        </w:rPr>
        <w:t>《建设项目竣工环境保护设施验收技术规范 生态影响类（征求意见稿）》（2</w:t>
      </w:r>
      <w:r>
        <w:rPr>
          <w:color w:val="auto"/>
        </w:rPr>
        <w:t>018</w:t>
      </w:r>
      <w:r>
        <w:rPr>
          <w:rFonts w:hint="eastAsia"/>
          <w:color w:val="auto"/>
        </w:rPr>
        <w:t>年9月25日）；</w:t>
      </w:r>
    </w:p>
    <w:p w14:paraId="724D95DD">
      <w:pPr>
        <w:pStyle w:val="95"/>
        <w:widowControl/>
        <w:numPr>
          <w:ilvl w:val="0"/>
          <w:numId w:val="16"/>
        </w:numPr>
        <w:ind w:firstLine="480"/>
        <w:rPr>
          <w:color w:val="auto"/>
        </w:rPr>
      </w:pPr>
      <w:r>
        <w:rPr>
          <w:rFonts w:hint="eastAsia"/>
          <w:color w:val="auto"/>
        </w:rPr>
        <w:t>《</w:t>
      </w:r>
      <w:r>
        <w:rPr>
          <w:color w:val="auto"/>
        </w:rPr>
        <w:t>石油天然气开采业固体废物污染控制技术规范（试行）</w:t>
      </w:r>
      <w:r>
        <w:rPr>
          <w:rFonts w:hint="eastAsia"/>
          <w:color w:val="auto"/>
        </w:rPr>
        <w:t>》</w:t>
      </w:r>
      <w:r>
        <w:rPr>
          <w:color w:val="auto"/>
        </w:rPr>
        <w:t>（HJ 1461-2026）</w:t>
      </w:r>
      <w:r>
        <w:rPr>
          <w:rFonts w:hint="eastAsia"/>
          <w:color w:val="auto"/>
        </w:rPr>
        <w:t>；</w:t>
      </w:r>
    </w:p>
    <w:p w14:paraId="306CD940">
      <w:pPr>
        <w:pStyle w:val="95"/>
        <w:widowControl/>
        <w:numPr>
          <w:ilvl w:val="0"/>
          <w:numId w:val="16"/>
        </w:numPr>
        <w:ind w:firstLine="480"/>
        <w:rPr>
          <w:color w:val="auto"/>
        </w:rPr>
      </w:pPr>
      <w:r>
        <w:rPr>
          <w:rFonts w:hint="eastAsia"/>
          <w:color w:val="auto"/>
        </w:rPr>
        <w:t>《</w:t>
      </w:r>
      <w:r>
        <w:rPr>
          <w:color w:val="auto"/>
        </w:rPr>
        <w:t>排污单位自行监测技术指南 陆上石油天然气开采工业</w:t>
      </w:r>
      <w:r>
        <w:rPr>
          <w:rFonts w:hint="eastAsia"/>
          <w:color w:val="auto"/>
        </w:rPr>
        <w:t>》</w:t>
      </w:r>
      <w:r>
        <w:rPr>
          <w:color w:val="auto"/>
        </w:rPr>
        <w:t>（HJ 1248—2022）</w:t>
      </w:r>
      <w:r>
        <w:rPr>
          <w:rFonts w:hint="eastAsia"/>
          <w:color w:val="auto"/>
        </w:rPr>
        <w:t>；</w:t>
      </w:r>
    </w:p>
    <w:p w14:paraId="51A2AB84">
      <w:pPr>
        <w:pStyle w:val="95"/>
        <w:widowControl/>
        <w:numPr>
          <w:ilvl w:val="0"/>
          <w:numId w:val="16"/>
        </w:numPr>
        <w:ind w:firstLine="480"/>
        <w:rPr>
          <w:color w:val="auto"/>
        </w:rPr>
      </w:pPr>
      <w:r>
        <w:rPr>
          <w:rFonts w:hint="eastAsia"/>
          <w:color w:val="auto"/>
        </w:rPr>
        <w:t>《工业企业土壤和地下水自行监测技术指南（试行）》（HJ1209-2021）；</w:t>
      </w:r>
    </w:p>
    <w:p w14:paraId="58D31EEB">
      <w:pPr>
        <w:pStyle w:val="95"/>
        <w:widowControl/>
        <w:numPr>
          <w:ilvl w:val="0"/>
          <w:numId w:val="16"/>
        </w:numPr>
        <w:ind w:firstLine="480"/>
        <w:rPr>
          <w:color w:val="auto"/>
        </w:rPr>
      </w:pPr>
      <w:r>
        <w:rPr>
          <w:color w:val="auto"/>
        </w:rPr>
        <w:t>《危险废物环境管理指南 陆上石油天然气开采》</w:t>
      </w:r>
      <w:r>
        <w:rPr>
          <w:rFonts w:hint="eastAsia"/>
          <w:color w:val="auto"/>
        </w:rPr>
        <w:t>（生态环境部办公厅</w:t>
      </w:r>
      <w:r>
        <w:rPr>
          <w:color w:val="auto"/>
        </w:rPr>
        <w:t>2021</w:t>
      </w:r>
      <w:r>
        <w:rPr>
          <w:rFonts w:hint="eastAsia"/>
          <w:color w:val="auto"/>
        </w:rPr>
        <w:t>年</w:t>
      </w:r>
      <w:r>
        <w:rPr>
          <w:color w:val="auto"/>
        </w:rPr>
        <w:t>12</w:t>
      </w:r>
      <w:r>
        <w:rPr>
          <w:rFonts w:hint="eastAsia"/>
          <w:color w:val="auto"/>
        </w:rPr>
        <w:t>月</w:t>
      </w:r>
      <w:r>
        <w:rPr>
          <w:color w:val="auto"/>
        </w:rPr>
        <w:t>22</w:t>
      </w:r>
      <w:r>
        <w:rPr>
          <w:rFonts w:hint="eastAsia"/>
          <w:color w:val="auto"/>
        </w:rPr>
        <w:t>日印发）；</w:t>
      </w:r>
    </w:p>
    <w:p w14:paraId="56C7245B">
      <w:pPr>
        <w:pStyle w:val="5"/>
        <w:rPr>
          <w:color w:val="auto"/>
        </w:rPr>
      </w:pPr>
      <w:bookmarkStart w:id="54" w:name="_Toc231283619"/>
      <w:r>
        <w:rPr>
          <w:rFonts w:hint="eastAsia"/>
          <w:color w:val="auto"/>
        </w:rPr>
        <w:t>环境</w:t>
      </w:r>
      <w:r>
        <w:rPr>
          <w:color w:val="auto"/>
        </w:rPr>
        <w:t>影响评价文件、环评审批文件及</w:t>
      </w:r>
      <w:r>
        <w:rPr>
          <w:rFonts w:hint="eastAsia"/>
          <w:color w:val="auto"/>
        </w:rPr>
        <w:t>其他相关</w:t>
      </w:r>
      <w:r>
        <w:rPr>
          <w:color w:val="auto"/>
        </w:rPr>
        <w:t>文件</w:t>
      </w:r>
      <w:bookmarkEnd w:id="54"/>
    </w:p>
    <w:p w14:paraId="64AF34BE">
      <w:pPr>
        <w:pStyle w:val="95"/>
        <w:widowControl/>
        <w:numPr>
          <w:ilvl w:val="0"/>
          <w:numId w:val="17"/>
        </w:numPr>
        <w:rPr>
          <w:color w:val="auto"/>
        </w:rPr>
      </w:pPr>
      <w:r>
        <w:rPr>
          <w:rFonts w:hint="eastAsia"/>
          <w:color w:val="auto"/>
        </w:rPr>
        <w:t>《大芦湖油田产能建设项目（2023-2025年）环境影响报告书》（20</w:t>
      </w:r>
      <w:r>
        <w:rPr>
          <w:color w:val="auto"/>
        </w:rPr>
        <w:t>24</w:t>
      </w:r>
      <w:r>
        <w:rPr>
          <w:rFonts w:hint="eastAsia"/>
          <w:color w:val="auto"/>
        </w:rPr>
        <w:t>年</w:t>
      </w:r>
      <w:r>
        <w:rPr>
          <w:color w:val="auto"/>
        </w:rPr>
        <w:t>5</w:t>
      </w:r>
      <w:r>
        <w:rPr>
          <w:rFonts w:hint="eastAsia"/>
          <w:color w:val="auto"/>
        </w:rPr>
        <w:t>月）；</w:t>
      </w:r>
    </w:p>
    <w:p w14:paraId="2C674047">
      <w:pPr>
        <w:pStyle w:val="95"/>
        <w:widowControl/>
        <w:numPr>
          <w:ilvl w:val="0"/>
          <w:numId w:val="17"/>
        </w:numPr>
        <w:rPr>
          <w:color w:val="auto"/>
        </w:rPr>
      </w:pPr>
      <w:r>
        <w:rPr>
          <w:rFonts w:hint="eastAsia"/>
          <w:color w:val="auto"/>
        </w:rPr>
        <w:t>《大芦湖油田产能建设项目（2023-2025年）环境影响报告书</w:t>
      </w:r>
      <w:r>
        <w:rPr>
          <w:color w:val="auto"/>
        </w:rPr>
        <w:t>的</w:t>
      </w:r>
      <w:r>
        <w:rPr>
          <w:rFonts w:hint="eastAsia"/>
          <w:color w:val="auto"/>
        </w:rPr>
        <w:t>批复》（高环审[20</w:t>
      </w:r>
      <w:r>
        <w:rPr>
          <w:color w:val="auto"/>
        </w:rPr>
        <w:t>24</w:t>
      </w:r>
      <w:r>
        <w:rPr>
          <w:rFonts w:hint="eastAsia"/>
          <w:color w:val="auto"/>
        </w:rPr>
        <w:t>]</w:t>
      </w:r>
      <w:r>
        <w:rPr>
          <w:color w:val="auto"/>
        </w:rPr>
        <w:t>12</w:t>
      </w:r>
      <w:r>
        <w:rPr>
          <w:rFonts w:hint="eastAsia"/>
          <w:color w:val="auto"/>
        </w:rPr>
        <w:t>号，20</w:t>
      </w:r>
      <w:r>
        <w:rPr>
          <w:color w:val="auto"/>
        </w:rPr>
        <w:t>24</w:t>
      </w:r>
      <w:r>
        <w:rPr>
          <w:rFonts w:hint="eastAsia"/>
          <w:color w:val="auto"/>
        </w:rPr>
        <w:t>年</w:t>
      </w:r>
      <w:r>
        <w:rPr>
          <w:color w:val="auto"/>
        </w:rPr>
        <w:t>5</w:t>
      </w:r>
      <w:r>
        <w:rPr>
          <w:rFonts w:hint="eastAsia"/>
          <w:color w:val="auto"/>
        </w:rPr>
        <w:t>月</w:t>
      </w:r>
      <w:r>
        <w:rPr>
          <w:color w:val="auto"/>
        </w:rPr>
        <w:t>27</w:t>
      </w:r>
      <w:r>
        <w:rPr>
          <w:rFonts w:hint="eastAsia"/>
          <w:color w:val="auto"/>
        </w:rPr>
        <w:t>日）；</w:t>
      </w:r>
    </w:p>
    <w:p w14:paraId="6EAB2B93">
      <w:pPr>
        <w:pStyle w:val="95"/>
        <w:widowControl/>
        <w:numPr>
          <w:ilvl w:val="0"/>
          <w:numId w:val="17"/>
        </w:numPr>
        <w:rPr>
          <w:color w:val="auto"/>
        </w:rPr>
      </w:pPr>
      <w:r>
        <w:rPr>
          <w:rFonts w:hint="eastAsia"/>
          <w:color w:val="auto"/>
        </w:rPr>
        <w:t>《大芦湖油田产能建设项目（2023-2025年）（一期）竣工环境保护设施验收委托书》。</w:t>
      </w:r>
    </w:p>
    <w:p w14:paraId="7B98487F">
      <w:pPr>
        <w:pStyle w:val="95"/>
        <w:widowControl/>
        <w:numPr>
          <w:ilvl w:val="0"/>
          <w:numId w:val="17"/>
        </w:numPr>
        <w:rPr>
          <w:color w:val="auto"/>
        </w:rPr>
        <w:sectPr>
          <w:pgSz w:w="11907" w:h="16839"/>
          <w:pgMar w:top="1418" w:right="1588" w:bottom="1418" w:left="1588" w:header="1134" w:footer="850" w:gutter="0"/>
          <w:cols w:space="720" w:num="1"/>
          <w:docGrid w:linePitch="312" w:charSpace="0"/>
        </w:sectPr>
      </w:pPr>
    </w:p>
    <w:p w14:paraId="76106088">
      <w:pPr>
        <w:pStyle w:val="3"/>
        <w:rPr>
          <w:color w:val="auto"/>
        </w:rPr>
      </w:pPr>
      <w:bookmarkStart w:id="55" w:name="_Toc231283620"/>
      <w:r>
        <w:rPr>
          <w:rFonts w:hint="eastAsia"/>
          <w:color w:val="auto"/>
        </w:rPr>
        <w:t>项目建设情况调查</w:t>
      </w:r>
      <w:bookmarkEnd w:id="55"/>
    </w:p>
    <w:p w14:paraId="1F8E165F">
      <w:pPr>
        <w:pStyle w:val="5"/>
        <w:rPr>
          <w:color w:val="auto"/>
        </w:rPr>
      </w:pPr>
      <w:bookmarkStart w:id="56" w:name="_Toc231283621"/>
      <w:bookmarkStart w:id="57" w:name="_Toc167023171"/>
      <w:bookmarkStart w:id="58" w:name="_Toc151177552"/>
      <w:r>
        <w:rPr>
          <w:color w:val="auto"/>
        </w:rPr>
        <w:t>现有</w:t>
      </w:r>
      <w:r>
        <w:rPr>
          <w:rFonts w:hint="eastAsia"/>
          <w:color w:val="auto"/>
        </w:rPr>
        <w:t>工程</w:t>
      </w:r>
      <w:bookmarkEnd w:id="56"/>
      <w:bookmarkEnd w:id="57"/>
      <w:bookmarkEnd w:id="58"/>
    </w:p>
    <w:p w14:paraId="650F598F">
      <w:pPr>
        <w:pStyle w:val="6"/>
        <w:rPr>
          <w:color w:val="auto"/>
        </w:rPr>
      </w:pPr>
      <w:r>
        <w:rPr>
          <w:rFonts w:hint="eastAsia"/>
          <w:color w:val="auto"/>
        </w:rPr>
        <w:t>现有工程组成</w:t>
      </w:r>
    </w:p>
    <w:p w14:paraId="5FB8FDBC">
      <w:pPr>
        <w:pStyle w:val="4"/>
        <w:ind w:firstLine="480"/>
        <w:rPr>
          <w:color w:val="auto"/>
          <w:kern w:val="0"/>
        </w:rPr>
      </w:pPr>
      <w:r>
        <w:rPr>
          <w:rFonts w:hint="eastAsia"/>
          <w:color w:val="auto"/>
        </w:rPr>
        <w:t>胜利油田高青石油开发有限责任公司高青县</w:t>
      </w:r>
      <w:r>
        <w:rPr>
          <w:color w:val="auto"/>
        </w:rPr>
        <w:t>现有工程</w:t>
      </w:r>
      <w:r>
        <w:rPr>
          <w:rFonts w:hint="eastAsia" w:cs="宋体"/>
          <w:color w:val="auto"/>
        </w:rPr>
        <w:t>（</w:t>
      </w:r>
      <w:r>
        <w:rPr>
          <w:rFonts w:hint="eastAsia" w:ascii="Times New Roman" w:hAnsi="Times New Roman"/>
          <w:color w:val="auto"/>
        </w:rPr>
        <w:t>2025</w:t>
      </w:r>
      <w:r>
        <w:rPr>
          <w:rFonts w:hint="eastAsia" w:cs="宋体"/>
          <w:color w:val="auto"/>
        </w:rPr>
        <w:t>年）</w:t>
      </w:r>
      <w:r>
        <w:rPr>
          <w:color w:val="auto"/>
        </w:rPr>
        <w:t>包括</w:t>
      </w:r>
      <w:r>
        <w:rPr>
          <w:rFonts w:hint="eastAsia"/>
          <w:color w:val="auto"/>
        </w:rPr>
        <w:t>主体工程、</w:t>
      </w:r>
      <w:r>
        <w:rPr>
          <w:color w:val="auto"/>
        </w:rPr>
        <w:t>辅助</w:t>
      </w:r>
      <w:r>
        <w:rPr>
          <w:rFonts w:hint="eastAsia"/>
          <w:color w:val="auto"/>
        </w:rPr>
        <w:t>工程、</w:t>
      </w:r>
      <w:r>
        <w:rPr>
          <w:color w:val="auto"/>
        </w:rPr>
        <w:t>环保工程</w:t>
      </w:r>
      <w:r>
        <w:rPr>
          <w:rFonts w:hint="eastAsia"/>
          <w:snapToGrid w:val="0"/>
          <w:color w:val="auto"/>
          <w:kern w:val="0"/>
        </w:rPr>
        <w:t>，现有生产设施工程组成情况见</w:t>
      </w:r>
      <w:r>
        <w:rPr>
          <w:snapToGrid w:val="0"/>
          <w:color w:val="auto"/>
          <w:kern w:val="0"/>
        </w:rPr>
        <w:fldChar w:fldCharType="begin"/>
      </w:r>
      <w:r>
        <w:rPr>
          <w:snapToGrid w:val="0"/>
          <w:color w:val="auto"/>
          <w:kern w:val="0"/>
        </w:rPr>
        <w:instrText xml:space="preserve"> </w:instrText>
      </w:r>
      <w:r>
        <w:rPr>
          <w:rFonts w:hint="eastAsia"/>
          <w:snapToGrid w:val="0"/>
          <w:color w:val="auto"/>
          <w:kern w:val="0"/>
        </w:rPr>
        <w:instrText xml:space="preserve">REF _Ref159510690 \h</w:instrText>
      </w:r>
      <w:r>
        <w:rPr>
          <w:snapToGrid w:val="0"/>
          <w:color w:val="auto"/>
          <w:kern w:val="0"/>
        </w:rPr>
        <w:instrText xml:space="preserve">  \* MERGEFORMAT </w:instrText>
      </w:r>
      <w:r>
        <w:rPr>
          <w:snapToGrid w:val="0"/>
          <w:color w:val="auto"/>
          <w:kern w:val="0"/>
        </w:rPr>
        <w:fldChar w:fldCharType="separate"/>
      </w:r>
      <w:r>
        <w:rPr>
          <w:rFonts w:hint="eastAsia"/>
          <w:color w:val="auto"/>
        </w:rPr>
        <w:t xml:space="preserve">表 </w:t>
      </w:r>
      <w:r>
        <w:rPr>
          <w:color w:val="auto"/>
        </w:rPr>
        <w:t>3.1</w:t>
      </w:r>
      <w:r>
        <w:rPr>
          <w:color w:val="auto"/>
        </w:rPr>
        <w:noBreakHyphen/>
      </w:r>
      <w:r>
        <w:rPr>
          <w:color w:val="auto"/>
        </w:rPr>
        <w:t>1</w:t>
      </w:r>
      <w:r>
        <w:rPr>
          <w:snapToGrid w:val="0"/>
          <w:color w:val="auto"/>
          <w:kern w:val="0"/>
        </w:rPr>
        <w:fldChar w:fldCharType="end"/>
      </w:r>
      <w:r>
        <w:rPr>
          <w:rFonts w:hint="eastAsia"/>
          <w:snapToGrid w:val="0"/>
          <w:color w:val="auto"/>
          <w:kern w:val="0"/>
        </w:rPr>
        <w:t>。</w:t>
      </w:r>
    </w:p>
    <w:p w14:paraId="02EFC786">
      <w:pPr>
        <w:pStyle w:val="15"/>
        <w:spacing w:before="120"/>
        <w:rPr>
          <w:rFonts w:hAnsi="宋体"/>
          <w:color w:val="auto"/>
          <w:kern w:val="0"/>
          <w:szCs w:val="21"/>
        </w:rPr>
      </w:pPr>
      <w:bookmarkStart w:id="59" w:name="_Ref159510690"/>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3.1</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59"/>
      <w:r>
        <w:rPr>
          <w:rFonts w:hAnsi="宋体"/>
          <w:color w:val="auto"/>
          <w:kern w:val="0"/>
        </w:rPr>
        <w:t xml:space="preserve"> </w:t>
      </w:r>
      <w:r>
        <w:rPr>
          <w:rFonts w:hAnsi="宋体"/>
          <w:color w:val="auto"/>
          <w:kern w:val="0"/>
          <w:szCs w:val="21"/>
        </w:rPr>
        <w:t xml:space="preserve"> </w:t>
      </w:r>
      <w:r>
        <w:rPr>
          <w:rFonts w:hint="eastAsia" w:hAnsi="宋体"/>
          <w:color w:val="auto"/>
          <w:kern w:val="0"/>
          <w:szCs w:val="21"/>
        </w:rPr>
        <w:t>胜利油田高青石油开发有限责任公司</w:t>
      </w:r>
      <w:r>
        <w:rPr>
          <w:rFonts w:hAnsi="宋体"/>
          <w:color w:val="auto"/>
          <w:kern w:val="0"/>
          <w:szCs w:val="21"/>
        </w:rPr>
        <w:t>现有</w:t>
      </w:r>
      <w:r>
        <w:rPr>
          <w:rFonts w:hint="eastAsia" w:hAnsi="宋体"/>
          <w:color w:val="auto"/>
          <w:kern w:val="0"/>
          <w:szCs w:val="21"/>
        </w:rPr>
        <w:t>工程总组成</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991"/>
        <w:gridCol w:w="1554"/>
        <w:gridCol w:w="1563"/>
        <w:gridCol w:w="3915"/>
      </w:tblGrid>
      <w:tr w14:paraId="2B4E3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9" w:type="pct"/>
            <w:gridSpan w:val="3"/>
            <w:tcBorders>
              <w:top w:val="single" w:color="auto" w:sz="4" w:space="0"/>
              <w:left w:val="single" w:color="auto" w:sz="4" w:space="0"/>
              <w:bottom w:val="single" w:color="auto" w:sz="4" w:space="0"/>
              <w:right w:val="single" w:color="auto" w:sz="4" w:space="0"/>
            </w:tcBorders>
            <w:vAlign w:val="center"/>
          </w:tcPr>
          <w:p w14:paraId="1E17020E">
            <w:pPr>
              <w:jc w:val="center"/>
              <w:rPr>
                <w:rFonts w:ascii="宋体" w:hAnsi="宋体"/>
                <w:color w:val="auto"/>
              </w:rPr>
            </w:pPr>
            <w:r>
              <w:rPr>
                <w:rFonts w:ascii="Times New Roman" w:hAnsi="Times New Roman"/>
                <w:color w:val="auto"/>
              </w:rPr>
              <w:t>项目组成</w:t>
            </w:r>
          </w:p>
        </w:tc>
        <w:tc>
          <w:tcPr>
            <w:tcW w:w="896" w:type="pct"/>
            <w:tcBorders>
              <w:top w:val="single" w:color="auto" w:sz="4" w:space="0"/>
              <w:left w:val="single" w:color="auto" w:sz="4" w:space="0"/>
              <w:bottom w:val="single" w:color="auto" w:sz="4" w:space="0"/>
              <w:right w:val="single" w:color="auto" w:sz="4" w:space="0"/>
            </w:tcBorders>
            <w:vAlign w:val="center"/>
          </w:tcPr>
          <w:p w14:paraId="3B10AF56">
            <w:pPr>
              <w:jc w:val="center"/>
              <w:rPr>
                <w:rFonts w:ascii="宋体" w:hAnsi="宋体"/>
                <w:color w:val="auto"/>
              </w:rPr>
            </w:pPr>
            <w:r>
              <w:rPr>
                <w:rFonts w:ascii="Times New Roman" w:hAnsi="Times New Roman"/>
                <w:color w:val="auto"/>
              </w:rPr>
              <w:t>数量</w:t>
            </w:r>
          </w:p>
        </w:tc>
        <w:tc>
          <w:tcPr>
            <w:tcW w:w="2245" w:type="pct"/>
            <w:tcBorders>
              <w:top w:val="single" w:color="auto" w:sz="4" w:space="0"/>
              <w:left w:val="single" w:color="auto" w:sz="4" w:space="0"/>
              <w:bottom w:val="single" w:color="auto" w:sz="4" w:space="0"/>
              <w:right w:val="single" w:color="auto" w:sz="4" w:space="0"/>
            </w:tcBorders>
            <w:vAlign w:val="center"/>
          </w:tcPr>
          <w:p w14:paraId="2BC48E3B">
            <w:pPr>
              <w:jc w:val="center"/>
              <w:rPr>
                <w:rFonts w:ascii="宋体" w:hAnsi="宋体"/>
                <w:color w:val="auto"/>
              </w:rPr>
            </w:pPr>
            <w:r>
              <w:rPr>
                <w:rFonts w:ascii="Times New Roman" w:hAnsi="Times New Roman"/>
                <w:color w:val="auto"/>
              </w:rPr>
              <w:t>备注</w:t>
            </w:r>
          </w:p>
        </w:tc>
      </w:tr>
      <w:tr w14:paraId="0A470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05878D9D">
            <w:pPr>
              <w:jc w:val="center"/>
              <w:rPr>
                <w:rFonts w:ascii="宋体" w:hAnsi="宋体"/>
                <w:color w:val="auto"/>
              </w:rPr>
            </w:pPr>
            <w:r>
              <w:rPr>
                <w:rFonts w:ascii="Times New Roman" w:hAnsi="Times New Roman"/>
                <w:color w:val="auto"/>
              </w:rPr>
              <w:t>主体工程</w:t>
            </w:r>
          </w:p>
        </w:tc>
        <w:tc>
          <w:tcPr>
            <w:tcW w:w="568" w:type="pct"/>
            <w:vMerge w:val="restart"/>
            <w:tcBorders>
              <w:top w:val="nil"/>
              <w:left w:val="single" w:color="auto" w:sz="4" w:space="0"/>
              <w:bottom w:val="single" w:color="auto" w:sz="4" w:space="0"/>
              <w:right w:val="single" w:color="auto" w:sz="4" w:space="0"/>
            </w:tcBorders>
            <w:vAlign w:val="center"/>
          </w:tcPr>
          <w:p w14:paraId="503253A2">
            <w:pPr>
              <w:jc w:val="center"/>
              <w:rPr>
                <w:rFonts w:ascii="宋体" w:hAnsi="宋体"/>
                <w:color w:val="auto"/>
              </w:rPr>
            </w:pPr>
            <w:r>
              <w:rPr>
                <w:rFonts w:ascii="Times New Roman" w:hAnsi="Times New Roman"/>
                <w:color w:val="auto"/>
              </w:rPr>
              <w:t>油、水井</w:t>
            </w:r>
          </w:p>
        </w:tc>
        <w:tc>
          <w:tcPr>
            <w:tcW w:w="891" w:type="pct"/>
            <w:tcBorders>
              <w:top w:val="single" w:color="auto" w:sz="4" w:space="0"/>
              <w:left w:val="single" w:color="auto" w:sz="4" w:space="0"/>
              <w:bottom w:val="single" w:color="auto" w:sz="4" w:space="0"/>
              <w:right w:val="single" w:color="auto" w:sz="4" w:space="0"/>
            </w:tcBorders>
            <w:vAlign w:val="center"/>
          </w:tcPr>
          <w:p w14:paraId="0999AFFD">
            <w:pPr>
              <w:jc w:val="center"/>
              <w:rPr>
                <w:rFonts w:ascii="宋体" w:hAnsi="宋体"/>
                <w:color w:val="auto"/>
              </w:rPr>
            </w:pPr>
            <w:r>
              <w:rPr>
                <w:rFonts w:ascii="Times New Roman" w:hAnsi="Times New Roman"/>
                <w:color w:val="auto"/>
              </w:rPr>
              <w:t>油井</w:t>
            </w:r>
          </w:p>
        </w:tc>
        <w:tc>
          <w:tcPr>
            <w:tcW w:w="896" w:type="pct"/>
            <w:tcBorders>
              <w:top w:val="single" w:color="auto" w:sz="4" w:space="0"/>
              <w:left w:val="single" w:color="auto" w:sz="4" w:space="0"/>
              <w:bottom w:val="single" w:color="auto" w:sz="4" w:space="0"/>
              <w:right w:val="single" w:color="auto" w:sz="4" w:space="0"/>
            </w:tcBorders>
            <w:vAlign w:val="center"/>
          </w:tcPr>
          <w:p w14:paraId="36ADFF53">
            <w:pPr>
              <w:jc w:val="center"/>
              <w:rPr>
                <w:rFonts w:ascii="宋体" w:hAnsi="宋体"/>
                <w:color w:val="auto"/>
              </w:rPr>
            </w:pPr>
            <w:r>
              <w:rPr>
                <w:rFonts w:ascii="宋体" w:hAnsi="宋体"/>
                <w:color w:val="auto"/>
              </w:rPr>
              <w:t>171</w:t>
            </w:r>
            <w:r>
              <w:rPr>
                <w:rFonts w:ascii="Times New Roman" w:hAnsi="Times New Roman"/>
                <w:color w:val="auto"/>
              </w:rPr>
              <w:t>口</w:t>
            </w:r>
          </w:p>
        </w:tc>
        <w:tc>
          <w:tcPr>
            <w:tcW w:w="2245" w:type="pct"/>
            <w:tcBorders>
              <w:top w:val="single" w:color="auto" w:sz="4" w:space="0"/>
              <w:left w:val="single" w:color="auto" w:sz="4" w:space="0"/>
              <w:bottom w:val="single" w:color="auto" w:sz="4" w:space="0"/>
              <w:right w:val="single" w:color="auto" w:sz="4" w:space="0"/>
            </w:tcBorders>
            <w:vAlign w:val="center"/>
          </w:tcPr>
          <w:p w14:paraId="47ABFE48">
            <w:pPr>
              <w:jc w:val="center"/>
              <w:rPr>
                <w:rFonts w:ascii="宋体" w:hAnsi="宋体"/>
                <w:color w:val="auto"/>
              </w:rPr>
            </w:pPr>
            <w:r>
              <w:rPr>
                <w:rFonts w:ascii="Times New Roman" w:hAnsi="Times New Roman"/>
                <w:color w:val="auto"/>
              </w:rPr>
              <w:t>——</w:t>
            </w:r>
          </w:p>
        </w:tc>
      </w:tr>
      <w:tr w14:paraId="4CEB6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D2E58DF">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4410F0F1">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7F9316A9">
            <w:pPr>
              <w:jc w:val="center"/>
              <w:rPr>
                <w:rFonts w:ascii="宋体" w:hAnsi="宋体"/>
                <w:color w:val="auto"/>
              </w:rPr>
            </w:pPr>
            <w:r>
              <w:rPr>
                <w:rFonts w:ascii="Times New Roman" w:hAnsi="Times New Roman"/>
                <w:color w:val="auto"/>
              </w:rPr>
              <w:t>注水井</w:t>
            </w:r>
          </w:p>
        </w:tc>
        <w:tc>
          <w:tcPr>
            <w:tcW w:w="896" w:type="pct"/>
            <w:tcBorders>
              <w:top w:val="single" w:color="auto" w:sz="4" w:space="0"/>
              <w:left w:val="single" w:color="auto" w:sz="4" w:space="0"/>
              <w:bottom w:val="single" w:color="auto" w:sz="4" w:space="0"/>
              <w:right w:val="single" w:color="auto" w:sz="4" w:space="0"/>
            </w:tcBorders>
            <w:vAlign w:val="center"/>
          </w:tcPr>
          <w:p w14:paraId="29D7F8BB">
            <w:pPr>
              <w:jc w:val="center"/>
              <w:rPr>
                <w:rFonts w:ascii="宋体" w:hAnsi="宋体"/>
                <w:color w:val="auto"/>
              </w:rPr>
            </w:pPr>
            <w:r>
              <w:rPr>
                <w:rFonts w:ascii="宋体" w:hAnsi="宋体"/>
                <w:color w:val="auto"/>
              </w:rPr>
              <w:t>55</w:t>
            </w:r>
            <w:r>
              <w:rPr>
                <w:rFonts w:ascii="Times New Roman" w:hAnsi="Times New Roman"/>
                <w:color w:val="auto"/>
              </w:rPr>
              <w:t>口</w:t>
            </w:r>
          </w:p>
        </w:tc>
        <w:tc>
          <w:tcPr>
            <w:tcW w:w="2245" w:type="pct"/>
            <w:tcBorders>
              <w:top w:val="single" w:color="auto" w:sz="4" w:space="0"/>
              <w:left w:val="single" w:color="auto" w:sz="4" w:space="0"/>
              <w:bottom w:val="single" w:color="auto" w:sz="4" w:space="0"/>
              <w:right w:val="single" w:color="auto" w:sz="4" w:space="0"/>
            </w:tcBorders>
            <w:vAlign w:val="center"/>
          </w:tcPr>
          <w:p w14:paraId="16D8F024">
            <w:pPr>
              <w:jc w:val="center"/>
              <w:rPr>
                <w:rFonts w:ascii="宋体" w:hAnsi="宋体"/>
                <w:color w:val="auto"/>
              </w:rPr>
            </w:pPr>
            <w:r>
              <w:rPr>
                <w:rFonts w:ascii="Times New Roman" w:hAnsi="Times New Roman"/>
                <w:color w:val="auto"/>
              </w:rPr>
              <w:t>——</w:t>
            </w:r>
          </w:p>
        </w:tc>
      </w:tr>
      <w:tr w14:paraId="6A5F9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CA859C3">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4E3AF3B2">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17AE18F3">
            <w:pPr>
              <w:jc w:val="center"/>
              <w:rPr>
                <w:rFonts w:ascii="宋体" w:hAnsi="宋体"/>
                <w:color w:val="auto"/>
              </w:rPr>
            </w:pPr>
            <w:r>
              <w:rPr>
                <w:rFonts w:ascii="Times New Roman" w:hAnsi="Times New Roman"/>
                <w:color w:val="auto"/>
              </w:rPr>
              <w:t>停产井</w:t>
            </w:r>
          </w:p>
        </w:tc>
        <w:tc>
          <w:tcPr>
            <w:tcW w:w="896" w:type="pct"/>
            <w:tcBorders>
              <w:top w:val="single" w:color="auto" w:sz="4" w:space="0"/>
              <w:left w:val="single" w:color="auto" w:sz="4" w:space="0"/>
              <w:bottom w:val="single" w:color="auto" w:sz="4" w:space="0"/>
              <w:right w:val="single" w:color="auto" w:sz="4" w:space="0"/>
            </w:tcBorders>
            <w:vAlign w:val="center"/>
          </w:tcPr>
          <w:p w14:paraId="1D43C8FB">
            <w:pPr>
              <w:jc w:val="center"/>
              <w:rPr>
                <w:rFonts w:ascii="宋体" w:hAnsi="宋体"/>
                <w:color w:val="auto"/>
              </w:rPr>
            </w:pPr>
            <w:r>
              <w:rPr>
                <w:rFonts w:ascii="宋体" w:hAnsi="宋体"/>
                <w:color w:val="auto"/>
              </w:rPr>
              <w:t>12</w:t>
            </w:r>
            <w:r>
              <w:rPr>
                <w:rFonts w:ascii="Times New Roman" w:hAnsi="Times New Roman"/>
                <w:color w:val="auto"/>
              </w:rPr>
              <w:t>口</w:t>
            </w:r>
          </w:p>
        </w:tc>
        <w:tc>
          <w:tcPr>
            <w:tcW w:w="2245" w:type="pct"/>
            <w:tcBorders>
              <w:top w:val="single" w:color="auto" w:sz="4" w:space="0"/>
              <w:left w:val="single" w:color="auto" w:sz="4" w:space="0"/>
              <w:bottom w:val="single" w:color="auto" w:sz="4" w:space="0"/>
              <w:right w:val="single" w:color="auto" w:sz="4" w:space="0"/>
            </w:tcBorders>
            <w:vAlign w:val="center"/>
          </w:tcPr>
          <w:p w14:paraId="755E139C">
            <w:pPr>
              <w:jc w:val="center"/>
              <w:rPr>
                <w:rFonts w:ascii="宋体" w:hAnsi="宋体"/>
                <w:color w:val="auto"/>
              </w:rPr>
            </w:pPr>
            <w:r>
              <w:rPr>
                <w:rFonts w:ascii="Times New Roman" w:hAnsi="Times New Roman"/>
                <w:color w:val="auto"/>
              </w:rPr>
              <w:t>——</w:t>
            </w:r>
          </w:p>
        </w:tc>
      </w:tr>
      <w:tr w14:paraId="313A8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DA3F7CE">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2D6A97D7">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080AF0CB">
            <w:pPr>
              <w:jc w:val="center"/>
              <w:rPr>
                <w:rFonts w:ascii="宋体" w:hAnsi="宋体"/>
                <w:color w:val="auto"/>
              </w:rPr>
            </w:pPr>
            <w:r>
              <w:rPr>
                <w:rFonts w:ascii="Times New Roman" w:hAnsi="Times New Roman"/>
                <w:color w:val="auto"/>
              </w:rPr>
              <w:t>报废井</w:t>
            </w:r>
          </w:p>
        </w:tc>
        <w:tc>
          <w:tcPr>
            <w:tcW w:w="896" w:type="pct"/>
            <w:tcBorders>
              <w:top w:val="single" w:color="auto" w:sz="4" w:space="0"/>
              <w:left w:val="single" w:color="auto" w:sz="4" w:space="0"/>
              <w:bottom w:val="single" w:color="auto" w:sz="4" w:space="0"/>
              <w:right w:val="single" w:color="auto" w:sz="4" w:space="0"/>
            </w:tcBorders>
            <w:vAlign w:val="center"/>
          </w:tcPr>
          <w:p w14:paraId="1293C4F9">
            <w:pPr>
              <w:jc w:val="center"/>
              <w:rPr>
                <w:rFonts w:ascii="宋体" w:hAnsi="宋体"/>
                <w:color w:val="auto"/>
              </w:rPr>
            </w:pPr>
            <w:r>
              <w:rPr>
                <w:rFonts w:ascii="宋体" w:hAnsi="宋体"/>
                <w:color w:val="auto"/>
              </w:rPr>
              <w:t>3</w:t>
            </w:r>
            <w:r>
              <w:rPr>
                <w:rFonts w:ascii="Times New Roman" w:hAnsi="Times New Roman"/>
                <w:color w:val="auto"/>
              </w:rPr>
              <w:t>口</w:t>
            </w:r>
          </w:p>
        </w:tc>
        <w:tc>
          <w:tcPr>
            <w:tcW w:w="2245" w:type="pct"/>
            <w:tcBorders>
              <w:top w:val="single" w:color="auto" w:sz="4" w:space="0"/>
              <w:left w:val="single" w:color="auto" w:sz="4" w:space="0"/>
              <w:bottom w:val="single" w:color="auto" w:sz="4" w:space="0"/>
              <w:right w:val="single" w:color="auto" w:sz="4" w:space="0"/>
            </w:tcBorders>
            <w:vAlign w:val="center"/>
          </w:tcPr>
          <w:p w14:paraId="52556051">
            <w:pPr>
              <w:jc w:val="center"/>
              <w:rPr>
                <w:rFonts w:ascii="宋体" w:hAnsi="宋体"/>
                <w:color w:val="auto"/>
              </w:rPr>
            </w:pPr>
            <w:r>
              <w:rPr>
                <w:rFonts w:ascii="Times New Roman" w:hAnsi="Times New Roman"/>
                <w:color w:val="auto"/>
              </w:rPr>
              <w:t>——</w:t>
            </w:r>
          </w:p>
        </w:tc>
      </w:tr>
      <w:tr w14:paraId="378AF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25155CA">
            <w:pPr>
              <w:widowControl/>
              <w:jc w:val="left"/>
              <w:rPr>
                <w:rFonts w:ascii="宋体" w:hAnsi="宋体"/>
                <w:color w:val="auto"/>
              </w:rPr>
            </w:pPr>
          </w:p>
        </w:tc>
        <w:tc>
          <w:tcPr>
            <w:tcW w:w="568" w:type="pct"/>
            <w:tcBorders>
              <w:top w:val="single" w:color="auto" w:sz="4" w:space="0"/>
              <w:left w:val="single" w:color="auto" w:sz="4" w:space="0"/>
              <w:bottom w:val="single" w:color="auto" w:sz="4" w:space="0"/>
              <w:right w:val="single" w:color="auto" w:sz="4" w:space="0"/>
            </w:tcBorders>
            <w:vAlign w:val="center"/>
          </w:tcPr>
          <w:p w14:paraId="7A612520">
            <w:pPr>
              <w:jc w:val="center"/>
              <w:rPr>
                <w:rFonts w:ascii="宋体" w:hAnsi="宋体"/>
                <w:color w:val="auto"/>
              </w:rPr>
            </w:pPr>
            <w:r>
              <w:rPr>
                <w:rFonts w:ascii="Times New Roman" w:hAnsi="Times New Roman"/>
                <w:color w:val="auto"/>
              </w:rPr>
              <w:t>采油系统</w:t>
            </w:r>
          </w:p>
        </w:tc>
        <w:tc>
          <w:tcPr>
            <w:tcW w:w="891" w:type="pct"/>
            <w:tcBorders>
              <w:top w:val="single" w:color="auto" w:sz="4" w:space="0"/>
              <w:left w:val="single" w:color="auto" w:sz="4" w:space="0"/>
              <w:bottom w:val="single" w:color="auto" w:sz="4" w:space="0"/>
              <w:right w:val="single" w:color="auto" w:sz="4" w:space="0"/>
            </w:tcBorders>
            <w:vAlign w:val="center"/>
          </w:tcPr>
          <w:p w14:paraId="582D2724">
            <w:pPr>
              <w:jc w:val="center"/>
              <w:rPr>
                <w:rFonts w:ascii="宋体" w:hAnsi="宋体"/>
                <w:color w:val="auto"/>
              </w:rPr>
            </w:pPr>
            <w:r>
              <w:rPr>
                <w:rFonts w:ascii="Times New Roman" w:hAnsi="Times New Roman"/>
                <w:color w:val="auto"/>
              </w:rPr>
              <w:t>抽油机</w:t>
            </w:r>
          </w:p>
        </w:tc>
        <w:tc>
          <w:tcPr>
            <w:tcW w:w="896" w:type="pct"/>
            <w:tcBorders>
              <w:top w:val="single" w:color="auto" w:sz="4" w:space="0"/>
              <w:left w:val="single" w:color="auto" w:sz="4" w:space="0"/>
              <w:bottom w:val="single" w:color="auto" w:sz="4" w:space="0"/>
              <w:right w:val="single" w:color="auto" w:sz="4" w:space="0"/>
            </w:tcBorders>
            <w:vAlign w:val="center"/>
          </w:tcPr>
          <w:p w14:paraId="275C80A0">
            <w:pPr>
              <w:jc w:val="center"/>
              <w:rPr>
                <w:rFonts w:ascii="宋体" w:hAnsi="宋体"/>
                <w:color w:val="auto"/>
              </w:rPr>
            </w:pPr>
            <w:r>
              <w:rPr>
                <w:rFonts w:ascii="宋体" w:hAnsi="宋体"/>
                <w:color w:val="auto"/>
              </w:rPr>
              <w:t>171</w:t>
            </w:r>
            <w:r>
              <w:rPr>
                <w:rFonts w:ascii="Times New Roman" w:hAnsi="Times New Roman"/>
                <w:color w:val="auto"/>
              </w:rPr>
              <w:t>台</w:t>
            </w:r>
          </w:p>
        </w:tc>
        <w:tc>
          <w:tcPr>
            <w:tcW w:w="2245" w:type="pct"/>
            <w:tcBorders>
              <w:top w:val="single" w:color="auto" w:sz="4" w:space="0"/>
              <w:left w:val="single" w:color="auto" w:sz="4" w:space="0"/>
              <w:bottom w:val="single" w:color="auto" w:sz="4" w:space="0"/>
              <w:right w:val="single" w:color="auto" w:sz="4" w:space="0"/>
            </w:tcBorders>
            <w:vAlign w:val="center"/>
          </w:tcPr>
          <w:p w14:paraId="75C4C1A4">
            <w:pPr>
              <w:jc w:val="center"/>
              <w:rPr>
                <w:rFonts w:ascii="宋体" w:hAnsi="宋体"/>
                <w:color w:val="auto"/>
              </w:rPr>
            </w:pPr>
            <w:r>
              <w:rPr>
                <w:rFonts w:ascii="Times New Roman" w:hAnsi="Times New Roman"/>
                <w:color w:val="auto"/>
              </w:rPr>
              <w:t>其中游梁式抽油机</w:t>
            </w:r>
            <w:r>
              <w:rPr>
                <w:rFonts w:ascii="宋体" w:hAnsi="宋体"/>
                <w:color w:val="auto"/>
              </w:rPr>
              <w:t>161</w:t>
            </w:r>
            <w:r>
              <w:rPr>
                <w:rFonts w:ascii="Times New Roman" w:hAnsi="Times New Roman"/>
                <w:color w:val="auto"/>
              </w:rPr>
              <w:t>台、皮带式抽油机</w:t>
            </w:r>
            <w:r>
              <w:rPr>
                <w:rFonts w:ascii="宋体" w:hAnsi="宋体"/>
                <w:color w:val="auto"/>
              </w:rPr>
              <w:t>10</w:t>
            </w:r>
            <w:r>
              <w:rPr>
                <w:rFonts w:ascii="Times New Roman" w:hAnsi="Times New Roman"/>
                <w:color w:val="auto"/>
              </w:rPr>
              <w:t>台</w:t>
            </w:r>
          </w:p>
        </w:tc>
      </w:tr>
      <w:tr w14:paraId="740AB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E659886">
            <w:pPr>
              <w:widowControl/>
              <w:jc w:val="left"/>
              <w:rPr>
                <w:rFonts w:ascii="宋体" w:hAnsi="宋体"/>
                <w:color w:val="auto"/>
              </w:rPr>
            </w:pPr>
          </w:p>
        </w:tc>
        <w:tc>
          <w:tcPr>
            <w:tcW w:w="568" w:type="pct"/>
            <w:vMerge w:val="restart"/>
            <w:tcBorders>
              <w:top w:val="nil"/>
              <w:left w:val="single" w:color="auto" w:sz="4" w:space="0"/>
              <w:bottom w:val="single" w:color="auto" w:sz="4" w:space="0"/>
              <w:right w:val="single" w:color="auto" w:sz="4" w:space="0"/>
            </w:tcBorders>
            <w:vAlign w:val="center"/>
          </w:tcPr>
          <w:p w14:paraId="182D62B6">
            <w:pPr>
              <w:jc w:val="center"/>
              <w:rPr>
                <w:rFonts w:ascii="宋体" w:hAnsi="宋体"/>
                <w:color w:val="auto"/>
              </w:rPr>
            </w:pPr>
            <w:r>
              <w:rPr>
                <w:rFonts w:ascii="Times New Roman" w:hAnsi="Times New Roman"/>
                <w:color w:val="auto"/>
              </w:rPr>
              <w:t>油气集输系统</w:t>
            </w:r>
          </w:p>
        </w:tc>
        <w:tc>
          <w:tcPr>
            <w:tcW w:w="891" w:type="pct"/>
            <w:tcBorders>
              <w:top w:val="single" w:color="auto" w:sz="4" w:space="0"/>
              <w:left w:val="single" w:color="auto" w:sz="4" w:space="0"/>
              <w:bottom w:val="single" w:color="auto" w:sz="4" w:space="0"/>
              <w:right w:val="single" w:color="auto" w:sz="4" w:space="0"/>
            </w:tcBorders>
            <w:vAlign w:val="center"/>
          </w:tcPr>
          <w:p w14:paraId="108F4A69">
            <w:pPr>
              <w:jc w:val="center"/>
              <w:rPr>
                <w:rFonts w:ascii="宋体" w:hAnsi="宋体"/>
                <w:color w:val="auto"/>
              </w:rPr>
            </w:pPr>
            <w:r>
              <w:rPr>
                <w:rFonts w:ascii="Times New Roman" w:hAnsi="Times New Roman"/>
                <w:color w:val="auto"/>
              </w:rPr>
              <w:t>单井集油管线</w:t>
            </w:r>
          </w:p>
        </w:tc>
        <w:tc>
          <w:tcPr>
            <w:tcW w:w="896" w:type="pct"/>
            <w:tcBorders>
              <w:top w:val="single" w:color="auto" w:sz="4" w:space="0"/>
              <w:left w:val="single" w:color="auto" w:sz="4" w:space="0"/>
              <w:bottom w:val="single" w:color="auto" w:sz="4" w:space="0"/>
              <w:right w:val="single" w:color="auto" w:sz="4" w:space="0"/>
            </w:tcBorders>
            <w:vAlign w:val="center"/>
          </w:tcPr>
          <w:p w14:paraId="2D039474">
            <w:pPr>
              <w:jc w:val="center"/>
              <w:rPr>
                <w:rFonts w:ascii="宋体" w:hAnsi="宋体"/>
                <w:color w:val="auto"/>
              </w:rPr>
            </w:pPr>
            <w:r>
              <w:rPr>
                <w:rFonts w:ascii="宋体" w:hAnsi="宋体"/>
                <w:color w:val="auto"/>
              </w:rPr>
              <w:t>19.6km</w:t>
            </w:r>
          </w:p>
        </w:tc>
        <w:tc>
          <w:tcPr>
            <w:tcW w:w="2245" w:type="pct"/>
            <w:tcBorders>
              <w:top w:val="single" w:color="auto" w:sz="4" w:space="0"/>
              <w:left w:val="single" w:color="auto" w:sz="4" w:space="0"/>
              <w:bottom w:val="single" w:color="auto" w:sz="4" w:space="0"/>
              <w:right w:val="single" w:color="auto" w:sz="4" w:space="0"/>
            </w:tcBorders>
            <w:vAlign w:val="center"/>
          </w:tcPr>
          <w:p w14:paraId="15349E29">
            <w:pPr>
              <w:jc w:val="center"/>
              <w:rPr>
                <w:rFonts w:ascii="宋体" w:hAnsi="宋体"/>
                <w:color w:val="auto"/>
              </w:rPr>
            </w:pPr>
            <w:r>
              <w:rPr>
                <w:rFonts w:ascii="Times New Roman" w:hAnsi="Times New Roman"/>
                <w:color w:val="auto"/>
              </w:rPr>
              <w:t>——</w:t>
            </w:r>
          </w:p>
        </w:tc>
      </w:tr>
      <w:tr w14:paraId="7371C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F1A02D7">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08E91101">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32407193">
            <w:pPr>
              <w:jc w:val="center"/>
              <w:rPr>
                <w:rFonts w:ascii="宋体" w:hAnsi="宋体"/>
                <w:color w:val="auto"/>
              </w:rPr>
            </w:pPr>
            <w:r>
              <w:rPr>
                <w:rFonts w:ascii="Times New Roman" w:hAnsi="Times New Roman"/>
                <w:color w:val="auto"/>
              </w:rPr>
              <w:t>计量站外输管线</w:t>
            </w:r>
          </w:p>
        </w:tc>
        <w:tc>
          <w:tcPr>
            <w:tcW w:w="896" w:type="pct"/>
            <w:tcBorders>
              <w:top w:val="single" w:color="auto" w:sz="4" w:space="0"/>
              <w:left w:val="single" w:color="auto" w:sz="4" w:space="0"/>
              <w:bottom w:val="single" w:color="auto" w:sz="4" w:space="0"/>
              <w:right w:val="single" w:color="auto" w:sz="4" w:space="0"/>
            </w:tcBorders>
            <w:vAlign w:val="center"/>
          </w:tcPr>
          <w:p w14:paraId="343CE3D4">
            <w:pPr>
              <w:jc w:val="center"/>
              <w:rPr>
                <w:rFonts w:ascii="宋体" w:hAnsi="宋体"/>
                <w:color w:val="auto"/>
              </w:rPr>
            </w:pPr>
            <w:r>
              <w:rPr>
                <w:rFonts w:ascii="宋体" w:hAnsi="宋体"/>
                <w:color w:val="auto"/>
              </w:rPr>
              <w:t>3.1km</w:t>
            </w:r>
          </w:p>
        </w:tc>
        <w:tc>
          <w:tcPr>
            <w:tcW w:w="2245" w:type="pct"/>
            <w:tcBorders>
              <w:top w:val="single" w:color="auto" w:sz="4" w:space="0"/>
              <w:left w:val="single" w:color="auto" w:sz="4" w:space="0"/>
              <w:bottom w:val="single" w:color="auto" w:sz="4" w:space="0"/>
              <w:right w:val="single" w:color="auto" w:sz="4" w:space="0"/>
            </w:tcBorders>
            <w:vAlign w:val="center"/>
          </w:tcPr>
          <w:p w14:paraId="4D82EC2A">
            <w:pPr>
              <w:jc w:val="center"/>
              <w:rPr>
                <w:rFonts w:ascii="宋体" w:hAnsi="宋体"/>
                <w:color w:val="auto"/>
              </w:rPr>
            </w:pPr>
            <w:r>
              <w:rPr>
                <w:rFonts w:ascii="Times New Roman" w:hAnsi="Times New Roman"/>
                <w:color w:val="auto"/>
              </w:rPr>
              <w:t>——</w:t>
            </w:r>
          </w:p>
        </w:tc>
      </w:tr>
      <w:tr w14:paraId="6B74C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5570735">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80D0BFB">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334A0C20">
            <w:pPr>
              <w:jc w:val="center"/>
              <w:rPr>
                <w:rFonts w:ascii="宋体" w:hAnsi="宋体"/>
                <w:color w:val="auto"/>
              </w:rPr>
            </w:pPr>
            <w:r>
              <w:rPr>
                <w:rFonts w:ascii="Times New Roman" w:hAnsi="Times New Roman"/>
                <w:color w:val="auto"/>
              </w:rPr>
              <w:t>计量站</w:t>
            </w:r>
          </w:p>
        </w:tc>
        <w:tc>
          <w:tcPr>
            <w:tcW w:w="896" w:type="pct"/>
            <w:tcBorders>
              <w:top w:val="single" w:color="auto" w:sz="4" w:space="0"/>
              <w:left w:val="single" w:color="auto" w:sz="4" w:space="0"/>
              <w:bottom w:val="single" w:color="auto" w:sz="4" w:space="0"/>
              <w:right w:val="single" w:color="auto" w:sz="4" w:space="0"/>
            </w:tcBorders>
            <w:vAlign w:val="center"/>
          </w:tcPr>
          <w:p w14:paraId="6A439E6D">
            <w:pPr>
              <w:jc w:val="center"/>
              <w:rPr>
                <w:rFonts w:ascii="宋体" w:hAnsi="宋体"/>
                <w:color w:val="auto"/>
              </w:rPr>
            </w:pPr>
            <w:r>
              <w:rPr>
                <w:rFonts w:ascii="宋体" w:hAnsi="宋体"/>
                <w:color w:val="auto"/>
              </w:rPr>
              <w:t>4</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5FDEC65B">
            <w:pPr>
              <w:jc w:val="center"/>
              <w:rPr>
                <w:rFonts w:ascii="宋体" w:hAnsi="宋体"/>
                <w:color w:val="auto"/>
              </w:rPr>
            </w:pPr>
            <w:r>
              <w:rPr>
                <w:rFonts w:ascii="宋体" w:hAnsi="宋体"/>
                <w:color w:val="auto"/>
              </w:rPr>
              <w:t>1</w:t>
            </w:r>
            <w:r>
              <w:rPr>
                <w:rFonts w:ascii="Times New Roman" w:hAnsi="Times New Roman"/>
                <w:color w:val="auto"/>
              </w:rPr>
              <w:t>号计量站、</w:t>
            </w:r>
            <w:r>
              <w:rPr>
                <w:rFonts w:ascii="宋体" w:hAnsi="宋体"/>
                <w:color w:val="auto"/>
              </w:rPr>
              <w:t>2</w:t>
            </w:r>
            <w:r>
              <w:rPr>
                <w:rFonts w:ascii="Times New Roman" w:hAnsi="Times New Roman"/>
                <w:color w:val="auto"/>
              </w:rPr>
              <w:t>号计量站、</w:t>
            </w:r>
            <w:r>
              <w:rPr>
                <w:rFonts w:ascii="宋体" w:hAnsi="宋体"/>
                <w:color w:val="auto"/>
              </w:rPr>
              <w:t>3</w:t>
            </w:r>
            <w:r>
              <w:rPr>
                <w:rFonts w:ascii="Times New Roman" w:hAnsi="Times New Roman"/>
                <w:color w:val="auto"/>
              </w:rPr>
              <w:t>号计量站、</w:t>
            </w:r>
            <w:r>
              <w:rPr>
                <w:rFonts w:ascii="宋体" w:hAnsi="宋体"/>
                <w:color w:val="auto"/>
              </w:rPr>
              <w:t>4</w:t>
            </w:r>
            <w:r>
              <w:rPr>
                <w:rFonts w:ascii="Times New Roman" w:hAnsi="Times New Roman"/>
                <w:color w:val="auto"/>
              </w:rPr>
              <w:t>号计量站</w:t>
            </w:r>
          </w:p>
        </w:tc>
      </w:tr>
      <w:tr w14:paraId="6E977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6A0FD9C">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FFB4B56">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5415569C">
            <w:pPr>
              <w:jc w:val="center"/>
              <w:rPr>
                <w:rFonts w:ascii="宋体" w:hAnsi="宋体"/>
                <w:color w:val="auto"/>
              </w:rPr>
            </w:pPr>
            <w:r>
              <w:rPr>
                <w:rFonts w:ascii="Times New Roman" w:hAnsi="Times New Roman"/>
                <w:color w:val="auto"/>
              </w:rPr>
              <w:t>多功能罐</w:t>
            </w:r>
          </w:p>
        </w:tc>
        <w:tc>
          <w:tcPr>
            <w:tcW w:w="896" w:type="pct"/>
            <w:tcBorders>
              <w:top w:val="single" w:color="auto" w:sz="4" w:space="0"/>
              <w:left w:val="single" w:color="auto" w:sz="4" w:space="0"/>
              <w:bottom w:val="single" w:color="auto" w:sz="4" w:space="0"/>
              <w:right w:val="single" w:color="auto" w:sz="4" w:space="0"/>
            </w:tcBorders>
            <w:vAlign w:val="center"/>
          </w:tcPr>
          <w:p w14:paraId="47CC7F1E">
            <w:pPr>
              <w:jc w:val="center"/>
              <w:rPr>
                <w:rFonts w:ascii="宋体" w:hAnsi="宋体"/>
                <w:color w:val="auto"/>
              </w:rPr>
            </w:pPr>
            <w:r>
              <w:rPr>
                <w:rFonts w:ascii="宋体" w:hAnsi="宋体"/>
                <w:color w:val="auto"/>
              </w:rPr>
              <w:t>39</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0CEBE76B">
            <w:pPr>
              <w:jc w:val="center"/>
              <w:rPr>
                <w:rFonts w:ascii="宋体" w:hAnsi="宋体"/>
                <w:color w:val="auto"/>
              </w:rPr>
            </w:pPr>
            <w:r>
              <w:rPr>
                <w:rFonts w:ascii="Times New Roman" w:hAnsi="Times New Roman"/>
                <w:color w:val="auto"/>
              </w:rPr>
              <w:t>电加热功能罐</w:t>
            </w:r>
            <w:r>
              <w:rPr>
                <w:rFonts w:ascii="宋体" w:hAnsi="宋体"/>
                <w:color w:val="auto"/>
              </w:rPr>
              <w:t>14</w:t>
            </w:r>
            <w:r>
              <w:rPr>
                <w:rFonts w:ascii="Times New Roman" w:hAnsi="Times New Roman"/>
                <w:color w:val="auto"/>
              </w:rPr>
              <w:t>座，燃气多功能罐</w:t>
            </w:r>
            <w:r>
              <w:rPr>
                <w:rFonts w:ascii="宋体" w:hAnsi="宋体"/>
                <w:color w:val="auto"/>
              </w:rPr>
              <w:t>25</w:t>
            </w:r>
            <w:r>
              <w:rPr>
                <w:rFonts w:ascii="Times New Roman" w:hAnsi="Times New Roman"/>
                <w:color w:val="auto"/>
              </w:rPr>
              <w:t>座</w:t>
            </w:r>
          </w:p>
        </w:tc>
      </w:tr>
      <w:tr w14:paraId="2BA5C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0CD0617">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7F88FA3">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579BCC0B">
            <w:pPr>
              <w:jc w:val="center"/>
              <w:rPr>
                <w:rFonts w:ascii="宋体" w:hAnsi="宋体"/>
                <w:color w:val="auto"/>
              </w:rPr>
            </w:pPr>
            <w:r>
              <w:rPr>
                <w:rFonts w:ascii="Times New Roman" w:hAnsi="Times New Roman"/>
                <w:color w:val="auto"/>
              </w:rPr>
              <w:t>高架罐</w:t>
            </w:r>
          </w:p>
        </w:tc>
        <w:tc>
          <w:tcPr>
            <w:tcW w:w="896" w:type="pct"/>
            <w:tcBorders>
              <w:top w:val="single" w:color="auto" w:sz="4" w:space="0"/>
              <w:left w:val="single" w:color="auto" w:sz="4" w:space="0"/>
              <w:bottom w:val="single" w:color="auto" w:sz="4" w:space="0"/>
              <w:right w:val="single" w:color="auto" w:sz="4" w:space="0"/>
            </w:tcBorders>
            <w:vAlign w:val="center"/>
          </w:tcPr>
          <w:p w14:paraId="53651CC1">
            <w:pPr>
              <w:jc w:val="center"/>
              <w:rPr>
                <w:rFonts w:ascii="宋体" w:hAnsi="宋体"/>
                <w:color w:val="auto"/>
              </w:rPr>
            </w:pPr>
            <w:r>
              <w:rPr>
                <w:rFonts w:ascii="宋体" w:hAnsi="宋体"/>
                <w:color w:val="auto"/>
              </w:rPr>
              <w:t>21</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5E2B98C3">
            <w:pPr>
              <w:jc w:val="center"/>
              <w:rPr>
                <w:rFonts w:ascii="宋体" w:hAnsi="宋体"/>
                <w:color w:val="auto"/>
              </w:rPr>
            </w:pPr>
            <w:r>
              <w:rPr>
                <w:rFonts w:ascii="Times New Roman" w:hAnsi="Times New Roman"/>
                <w:color w:val="auto"/>
              </w:rPr>
              <w:t>燃气高架罐</w:t>
            </w:r>
            <w:r>
              <w:rPr>
                <w:rFonts w:ascii="宋体" w:hAnsi="宋体"/>
                <w:color w:val="auto"/>
              </w:rPr>
              <w:t>12</w:t>
            </w:r>
            <w:r>
              <w:rPr>
                <w:rFonts w:ascii="Times New Roman" w:hAnsi="Times New Roman"/>
                <w:color w:val="auto"/>
              </w:rPr>
              <w:t>座，电加热高架罐</w:t>
            </w:r>
            <w:r>
              <w:rPr>
                <w:rFonts w:ascii="宋体" w:hAnsi="宋体"/>
                <w:color w:val="auto"/>
              </w:rPr>
              <w:t>9</w:t>
            </w:r>
            <w:r>
              <w:rPr>
                <w:rFonts w:ascii="Times New Roman" w:hAnsi="Times New Roman"/>
                <w:color w:val="auto"/>
              </w:rPr>
              <w:t>座</w:t>
            </w:r>
          </w:p>
        </w:tc>
      </w:tr>
      <w:tr w14:paraId="374C4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E9CF1DF">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BD7D5A1">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3149D8F3">
            <w:pPr>
              <w:jc w:val="center"/>
              <w:rPr>
                <w:rFonts w:ascii="宋体" w:hAnsi="宋体"/>
                <w:color w:val="auto"/>
              </w:rPr>
            </w:pPr>
            <w:r>
              <w:rPr>
                <w:rFonts w:ascii="Times New Roman" w:hAnsi="Times New Roman"/>
                <w:color w:val="auto"/>
              </w:rPr>
              <w:t>加热炉</w:t>
            </w:r>
          </w:p>
        </w:tc>
        <w:tc>
          <w:tcPr>
            <w:tcW w:w="896" w:type="pct"/>
            <w:tcBorders>
              <w:top w:val="single" w:color="auto" w:sz="4" w:space="0"/>
              <w:left w:val="single" w:color="auto" w:sz="4" w:space="0"/>
              <w:bottom w:val="single" w:color="auto" w:sz="4" w:space="0"/>
              <w:right w:val="single" w:color="auto" w:sz="4" w:space="0"/>
            </w:tcBorders>
            <w:vAlign w:val="center"/>
          </w:tcPr>
          <w:p w14:paraId="580518D6">
            <w:pPr>
              <w:jc w:val="center"/>
              <w:rPr>
                <w:rFonts w:ascii="宋体" w:hAnsi="宋体"/>
                <w:color w:val="auto"/>
              </w:rPr>
            </w:pPr>
            <w:r>
              <w:rPr>
                <w:rFonts w:ascii="宋体" w:hAnsi="宋体"/>
                <w:color w:val="auto"/>
              </w:rPr>
              <w:t>50</w:t>
            </w:r>
            <w:r>
              <w:rPr>
                <w:rFonts w:ascii="Times New Roman" w:hAnsi="Times New Roman"/>
                <w:color w:val="auto"/>
              </w:rPr>
              <w:t>台</w:t>
            </w:r>
          </w:p>
        </w:tc>
        <w:tc>
          <w:tcPr>
            <w:tcW w:w="2245" w:type="pct"/>
            <w:tcBorders>
              <w:top w:val="single" w:color="auto" w:sz="4" w:space="0"/>
              <w:left w:val="single" w:color="auto" w:sz="4" w:space="0"/>
              <w:bottom w:val="single" w:color="auto" w:sz="4" w:space="0"/>
              <w:right w:val="single" w:color="auto" w:sz="4" w:space="0"/>
            </w:tcBorders>
            <w:vAlign w:val="center"/>
          </w:tcPr>
          <w:p w14:paraId="31A3C637">
            <w:pPr>
              <w:jc w:val="center"/>
              <w:rPr>
                <w:rFonts w:ascii="宋体" w:hAnsi="宋体"/>
                <w:color w:val="auto"/>
              </w:rPr>
            </w:pPr>
            <w:r>
              <w:rPr>
                <w:rFonts w:ascii="Times New Roman" w:hAnsi="Times New Roman"/>
                <w:color w:val="auto"/>
              </w:rPr>
              <w:t>包括井场水套加热炉、站场外输加热炉</w:t>
            </w:r>
          </w:p>
        </w:tc>
      </w:tr>
      <w:tr w14:paraId="5357B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5D5F8A1">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4EC15826">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07ADAB40">
            <w:pPr>
              <w:jc w:val="center"/>
              <w:rPr>
                <w:rFonts w:ascii="宋体" w:hAnsi="宋体"/>
                <w:color w:val="auto"/>
              </w:rPr>
            </w:pPr>
            <w:r>
              <w:rPr>
                <w:rFonts w:ascii="Times New Roman" w:hAnsi="Times New Roman"/>
                <w:color w:val="auto"/>
              </w:rPr>
              <w:t>樊</w:t>
            </w:r>
            <w:r>
              <w:rPr>
                <w:rFonts w:ascii="宋体" w:hAnsi="宋体"/>
                <w:color w:val="auto"/>
              </w:rPr>
              <w:t>121-33</w:t>
            </w:r>
            <w:r>
              <w:rPr>
                <w:rFonts w:ascii="Times New Roman" w:hAnsi="Times New Roman"/>
                <w:color w:val="auto"/>
              </w:rPr>
              <w:t>收气点</w:t>
            </w:r>
          </w:p>
        </w:tc>
        <w:tc>
          <w:tcPr>
            <w:tcW w:w="896" w:type="pct"/>
            <w:tcBorders>
              <w:top w:val="single" w:color="auto" w:sz="4" w:space="0"/>
              <w:left w:val="single" w:color="auto" w:sz="4" w:space="0"/>
              <w:bottom w:val="single" w:color="auto" w:sz="4" w:space="0"/>
              <w:right w:val="single" w:color="auto" w:sz="4" w:space="0"/>
            </w:tcBorders>
            <w:vAlign w:val="center"/>
          </w:tcPr>
          <w:p w14:paraId="2E1737FF">
            <w:pPr>
              <w:jc w:val="center"/>
              <w:rPr>
                <w:rFonts w:ascii="宋体" w:hAnsi="宋体"/>
                <w:color w:val="auto"/>
              </w:rPr>
            </w:pPr>
            <w:r>
              <w:rPr>
                <w:rFonts w:ascii="宋体" w:hAnsi="宋体"/>
                <w:color w:val="auto"/>
              </w:rPr>
              <w:t>1</w:t>
            </w:r>
            <w:r>
              <w:rPr>
                <w:rFonts w:ascii="Times New Roman" w:hAnsi="Times New Roman"/>
                <w:color w:val="auto"/>
              </w:rPr>
              <w:t>处</w:t>
            </w:r>
          </w:p>
        </w:tc>
        <w:tc>
          <w:tcPr>
            <w:tcW w:w="2245" w:type="pct"/>
            <w:tcBorders>
              <w:top w:val="single" w:color="auto" w:sz="4" w:space="0"/>
              <w:left w:val="single" w:color="auto" w:sz="4" w:space="0"/>
              <w:bottom w:val="single" w:color="auto" w:sz="4" w:space="0"/>
              <w:right w:val="single" w:color="auto" w:sz="4" w:space="0"/>
            </w:tcBorders>
            <w:vAlign w:val="center"/>
          </w:tcPr>
          <w:p w14:paraId="77EF9356">
            <w:pPr>
              <w:jc w:val="center"/>
              <w:rPr>
                <w:rFonts w:ascii="宋体" w:hAnsi="宋体"/>
                <w:color w:val="auto"/>
              </w:rPr>
            </w:pPr>
            <w:r>
              <w:rPr>
                <w:rFonts w:ascii="Times New Roman" w:hAnsi="Times New Roman"/>
                <w:color w:val="auto"/>
              </w:rPr>
              <w:t>负责对高青联合站分离的伴生气脱硫、除湿、增压外销</w:t>
            </w:r>
          </w:p>
        </w:tc>
      </w:tr>
      <w:tr w14:paraId="50C15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D408D7B">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282F8B6F">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5E20B5C2">
            <w:pPr>
              <w:jc w:val="center"/>
              <w:rPr>
                <w:rFonts w:ascii="宋体" w:hAnsi="宋体"/>
                <w:color w:val="auto"/>
              </w:rPr>
            </w:pPr>
            <w:r>
              <w:rPr>
                <w:rFonts w:ascii="Times New Roman" w:hAnsi="Times New Roman"/>
                <w:color w:val="auto"/>
              </w:rPr>
              <w:t>樊页</w:t>
            </w:r>
            <w:r>
              <w:rPr>
                <w:rFonts w:ascii="宋体" w:hAnsi="宋体"/>
                <w:color w:val="auto"/>
              </w:rPr>
              <w:t>1-9HF</w:t>
            </w:r>
            <w:r>
              <w:rPr>
                <w:rFonts w:ascii="Times New Roman" w:hAnsi="Times New Roman"/>
                <w:color w:val="auto"/>
              </w:rPr>
              <w:t>拉油点</w:t>
            </w:r>
          </w:p>
        </w:tc>
        <w:tc>
          <w:tcPr>
            <w:tcW w:w="896" w:type="pct"/>
            <w:tcBorders>
              <w:top w:val="single" w:color="auto" w:sz="4" w:space="0"/>
              <w:left w:val="single" w:color="auto" w:sz="4" w:space="0"/>
              <w:bottom w:val="single" w:color="auto" w:sz="4" w:space="0"/>
              <w:right w:val="single" w:color="auto" w:sz="4" w:space="0"/>
            </w:tcBorders>
            <w:vAlign w:val="center"/>
          </w:tcPr>
          <w:p w14:paraId="31C709AE">
            <w:pPr>
              <w:jc w:val="center"/>
              <w:rPr>
                <w:rFonts w:ascii="宋体" w:hAnsi="宋体"/>
                <w:color w:val="auto"/>
              </w:rPr>
            </w:pPr>
            <w:r>
              <w:rPr>
                <w:rFonts w:ascii="宋体" w:hAnsi="宋体"/>
                <w:color w:val="auto"/>
              </w:rPr>
              <w:t>1</w:t>
            </w:r>
            <w:r>
              <w:rPr>
                <w:rFonts w:ascii="Times New Roman" w:hAnsi="Times New Roman"/>
                <w:color w:val="auto"/>
              </w:rPr>
              <w:t>处</w:t>
            </w:r>
          </w:p>
        </w:tc>
        <w:tc>
          <w:tcPr>
            <w:tcW w:w="2245" w:type="pct"/>
            <w:tcBorders>
              <w:top w:val="single" w:color="auto" w:sz="4" w:space="0"/>
              <w:left w:val="single" w:color="auto" w:sz="4" w:space="0"/>
              <w:bottom w:val="single" w:color="auto" w:sz="4" w:space="0"/>
              <w:right w:val="single" w:color="auto" w:sz="4" w:space="0"/>
            </w:tcBorders>
            <w:vAlign w:val="center"/>
          </w:tcPr>
          <w:p w14:paraId="4D4C48AE">
            <w:pPr>
              <w:jc w:val="center"/>
              <w:rPr>
                <w:rFonts w:ascii="宋体" w:hAnsi="宋体"/>
                <w:color w:val="auto"/>
              </w:rPr>
            </w:pPr>
            <w:r>
              <w:rPr>
                <w:rFonts w:ascii="Times New Roman" w:hAnsi="Times New Roman"/>
                <w:color w:val="auto"/>
              </w:rPr>
              <w:t>负责樊</w:t>
            </w:r>
            <w:r>
              <w:rPr>
                <w:rFonts w:ascii="宋体" w:hAnsi="宋体"/>
                <w:color w:val="auto"/>
              </w:rPr>
              <w:t>18-5</w:t>
            </w:r>
            <w:r>
              <w:rPr>
                <w:rFonts w:ascii="Times New Roman" w:hAnsi="Times New Roman"/>
                <w:color w:val="auto"/>
              </w:rPr>
              <w:t>块集中拉油</w:t>
            </w:r>
          </w:p>
        </w:tc>
      </w:tr>
      <w:tr w14:paraId="1672C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CA8C8FD">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2503A2A8">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18759232">
            <w:pPr>
              <w:jc w:val="center"/>
              <w:rPr>
                <w:rFonts w:ascii="宋体" w:hAnsi="宋体"/>
                <w:color w:val="auto"/>
              </w:rPr>
            </w:pPr>
            <w:r>
              <w:rPr>
                <w:rFonts w:ascii="Times New Roman" w:hAnsi="Times New Roman"/>
                <w:color w:val="auto"/>
              </w:rPr>
              <w:t>樊页平</w:t>
            </w:r>
            <w:r>
              <w:rPr>
                <w:rFonts w:ascii="宋体" w:hAnsi="宋体"/>
                <w:color w:val="auto"/>
              </w:rPr>
              <w:t>1</w:t>
            </w:r>
            <w:r>
              <w:rPr>
                <w:rFonts w:ascii="Times New Roman" w:hAnsi="Times New Roman"/>
                <w:color w:val="auto"/>
              </w:rPr>
              <w:t>井组</w:t>
            </w:r>
          </w:p>
        </w:tc>
        <w:tc>
          <w:tcPr>
            <w:tcW w:w="896" w:type="pct"/>
            <w:tcBorders>
              <w:top w:val="single" w:color="auto" w:sz="4" w:space="0"/>
              <w:left w:val="single" w:color="auto" w:sz="4" w:space="0"/>
              <w:bottom w:val="single" w:color="auto" w:sz="4" w:space="0"/>
              <w:right w:val="single" w:color="auto" w:sz="4" w:space="0"/>
            </w:tcBorders>
            <w:vAlign w:val="center"/>
          </w:tcPr>
          <w:p w14:paraId="7BCC705E">
            <w:pPr>
              <w:jc w:val="center"/>
              <w:rPr>
                <w:rFonts w:ascii="宋体" w:hAnsi="宋体"/>
                <w:color w:val="auto"/>
              </w:rPr>
            </w:pPr>
            <w:r>
              <w:rPr>
                <w:rFonts w:ascii="宋体" w:hAnsi="宋体"/>
                <w:color w:val="auto"/>
              </w:rPr>
              <w:t>1</w:t>
            </w:r>
            <w:r>
              <w:rPr>
                <w:rFonts w:ascii="Times New Roman" w:hAnsi="Times New Roman"/>
                <w:color w:val="auto"/>
              </w:rPr>
              <w:t>处</w:t>
            </w:r>
          </w:p>
        </w:tc>
        <w:tc>
          <w:tcPr>
            <w:tcW w:w="2245" w:type="pct"/>
            <w:tcBorders>
              <w:top w:val="single" w:color="auto" w:sz="4" w:space="0"/>
              <w:left w:val="single" w:color="auto" w:sz="4" w:space="0"/>
              <w:bottom w:val="single" w:color="auto" w:sz="4" w:space="0"/>
              <w:right w:val="single" w:color="auto" w:sz="4" w:space="0"/>
            </w:tcBorders>
            <w:vAlign w:val="center"/>
          </w:tcPr>
          <w:p w14:paraId="6FB613C7">
            <w:pPr>
              <w:jc w:val="center"/>
              <w:rPr>
                <w:rFonts w:ascii="宋体" w:hAnsi="宋体"/>
                <w:color w:val="auto"/>
              </w:rPr>
            </w:pPr>
            <w:r>
              <w:rPr>
                <w:rFonts w:ascii="Times New Roman" w:hAnsi="Times New Roman"/>
                <w:color w:val="auto"/>
              </w:rPr>
              <w:t>对樊页平</w:t>
            </w:r>
            <w:r>
              <w:rPr>
                <w:rFonts w:ascii="宋体" w:hAnsi="宋体"/>
                <w:color w:val="auto"/>
              </w:rPr>
              <w:t>1</w:t>
            </w:r>
            <w:r>
              <w:rPr>
                <w:rFonts w:ascii="Times New Roman" w:hAnsi="Times New Roman"/>
                <w:color w:val="auto"/>
              </w:rPr>
              <w:t>井组采出液进行脱气，分离出的伴生气直接外销，分离出的采出液管输至樊</w:t>
            </w:r>
            <w:r>
              <w:rPr>
                <w:rFonts w:ascii="宋体" w:hAnsi="宋体"/>
                <w:color w:val="auto"/>
              </w:rPr>
              <w:t>163</w:t>
            </w:r>
            <w:r>
              <w:rPr>
                <w:rFonts w:ascii="Times New Roman" w:hAnsi="Times New Roman"/>
                <w:color w:val="auto"/>
              </w:rPr>
              <w:t>分水点进一步处理</w:t>
            </w:r>
          </w:p>
        </w:tc>
      </w:tr>
      <w:tr w14:paraId="5A08C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CD8B712">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F9D7C1B">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21C0C605">
            <w:pPr>
              <w:jc w:val="center"/>
              <w:rPr>
                <w:rFonts w:ascii="宋体" w:hAnsi="宋体"/>
                <w:color w:val="auto"/>
              </w:rPr>
            </w:pPr>
            <w:r>
              <w:rPr>
                <w:rFonts w:ascii="Times New Roman" w:hAnsi="Times New Roman"/>
                <w:color w:val="auto"/>
              </w:rPr>
              <w:t>联合站</w:t>
            </w:r>
          </w:p>
        </w:tc>
        <w:tc>
          <w:tcPr>
            <w:tcW w:w="896" w:type="pct"/>
            <w:tcBorders>
              <w:top w:val="single" w:color="auto" w:sz="4" w:space="0"/>
              <w:left w:val="single" w:color="auto" w:sz="4" w:space="0"/>
              <w:bottom w:val="single" w:color="auto" w:sz="4" w:space="0"/>
              <w:right w:val="single" w:color="auto" w:sz="4" w:space="0"/>
            </w:tcBorders>
            <w:vAlign w:val="center"/>
          </w:tcPr>
          <w:p w14:paraId="14D213AF">
            <w:pPr>
              <w:jc w:val="center"/>
              <w:rPr>
                <w:rFonts w:ascii="宋体" w:hAnsi="宋体"/>
                <w:color w:val="auto"/>
              </w:rPr>
            </w:pPr>
            <w:r>
              <w:rPr>
                <w:rFonts w:ascii="宋体" w:hAnsi="宋体"/>
                <w:color w:val="auto"/>
              </w:rPr>
              <w:t>1</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55CEE5AF">
            <w:pPr>
              <w:jc w:val="center"/>
              <w:rPr>
                <w:rFonts w:ascii="宋体" w:hAnsi="宋体"/>
                <w:color w:val="auto"/>
              </w:rPr>
            </w:pPr>
            <w:r>
              <w:rPr>
                <w:rFonts w:ascii="Times New Roman" w:hAnsi="Times New Roman"/>
                <w:color w:val="auto"/>
              </w:rPr>
              <w:t>高青联合站</w:t>
            </w:r>
          </w:p>
        </w:tc>
      </w:tr>
      <w:tr w14:paraId="50002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5D0F287">
            <w:pPr>
              <w:widowControl/>
              <w:jc w:val="left"/>
              <w:rPr>
                <w:rFonts w:ascii="宋体" w:hAnsi="宋体"/>
                <w:color w:val="auto"/>
              </w:rPr>
            </w:pPr>
          </w:p>
        </w:tc>
        <w:tc>
          <w:tcPr>
            <w:tcW w:w="568" w:type="pct"/>
            <w:vMerge w:val="restart"/>
            <w:tcBorders>
              <w:top w:val="nil"/>
              <w:left w:val="single" w:color="auto" w:sz="4" w:space="0"/>
              <w:bottom w:val="single" w:color="auto" w:sz="4" w:space="0"/>
              <w:right w:val="single" w:color="auto" w:sz="4" w:space="0"/>
            </w:tcBorders>
            <w:vAlign w:val="center"/>
          </w:tcPr>
          <w:p w14:paraId="70C8BC0C">
            <w:pPr>
              <w:jc w:val="center"/>
              <w:rPr>
                <w:rFonts w:ascii="宋体" w:hAnsi="宋体"/>
                <w:color w:val="auto"/>
              </w:rPr>
            </w:pPr>
            <w:r>
              <w:rPr>
                <w:rFonts w:ascii="Times New Roman" w:hAnsi="Times New Roman"/>
                <w:color w:val="auto"/>
              </w:rPr>
              <w:t>注水系统</w:t>
            </w:r>
          </w:p>
        </w:tc>
        <w:tc>
          <w:tcPr>
            <w:tcW w:w="891" w:type="pct"/>
            <w:tcBorders>
              <w:top w:val="single" w:color="auto" w:sz="4" w:space="0"/>
              <w:left w:val="single" w:color="auto" w:sz="4" w:space="0"/>
              <w:bottom w:val="single" w:color="auto" w:sz="4" w:space="0"/>
              <w:right w:val="single" w:color="auto" w:sz="4" w:space="0"/>
            </w:tcBorders>
            <w:vAlign w:val="center"/>
          </w:tcPr>
          <w:p w14:paraId="3983FCB8">
            <w:pPr>
              <w:jc w:val="center"/>
              <w:rPr>
                <w:rFonts w:ascii="宋体" w:hAnsi="宋体"/>
                <w:color w:val="auto"/>
              </w:rPr>
            </w:pPr>
            <w:r>
              <w:rPr>
                <w:rFonts w:ascii="Times New Roman" w:hAnsi="Times New Roman"/>
                <w:color w:val="auto"/>
              </w:rPr>
              <w:t>单井注水管线</w:t>
            </w:r>
          </w:p>
        </w:tc>
        <w:tc>
          <w:tcPr>
            <w:tcW w:w="896" w:type="pct"/>
            <w:tcBorders>
              <w:top w:val="single" w:color="auto" w:sz="4" w:space="0"/>
              <w:left w:val="single" w:color="auto" w:sz="4" w:space="0"/>
              <w:bottom w:val="single" w:color="auto" w:sz="4" w:space="0"/>
              <w:right w:val="single" w:color="auto" w:sz="4" w:space="0"/>
            </w:tcBorders>
            <w:vAlign w:val="center"/>
          </w:tcPr>
          <w:p w14:paraId="283B8166">
            <w:pPr>
              <w:jc w:val="center"/>
              <w:rPr>
                <w:rFonts w:ascii="宋体" w:hAnsi="宋体"/>
                <w:color w:val="auto"/>
              </w:rPr>
            </w:pPr>
            <w:r>
              <w:rPr>
                <w:rFonts w:ascii="宋体" w:hAnsi="宋体"/>
                <w:color w:val="auto"/>
              </w:rPr>
              <w:t>41.74km</w:t>
            </w:r>
          </w:p>
        </w:tc>
        <w:tc>
          <w:tcPr>
            <w:tcW w:w="2245" w:type="pct"/>
            <w:tcBorders>
              <w:top w:val="single" w:color="auto" w:sz="4" w:space="0"/>
              <w:left w:val="single" w:color="auto" w:sz="4" w:space="0"/>
              <w:bottom w:val="single" w:color="auto" w:sz="4" w:space="0"/>
              <w:right w:val="single" w:color="auto" w:sz="4" w:space="0"/>
            </w:tcBorders>
            <w:vAlign w:val="center"/>
          </w:tcPr>
          <w:p w14:paraId="5308E698">
            <w:pPr>
              <w:jc w:val="center"/>
              <w:rPr>
                <w:rFonts w:ascii="宋体" w:hAnsi="宋体"/>
                <w:color w:val="auto"/>
              </w:rPr>
            </w:pPr>
            <w:r>
              <w:rPr>
                <w:rFonts w:ascii="Times New Roman" w:hAnsi="Times New Roman"/>
                <w:color w:val="auto"/>
              </w:rPr>
              <w:t>——</w:t>
            </w:r>
          </w:p>
        </w:tc>
      </w:tr>
      <w:tr w14:paraId="02745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48A0289">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7E9A751">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0B9CFE8C">
            <w:pPr>
              <w:jc w:val="center"/>
              <w:rPr>
                <w:rFonts w:ascii="宋体" w:hAnsi="宋体"/>
                <w:color w:val="auto"/>
              </w:rPr>
            </w:pPr>
            <w:r>
              <w:rPr>
                <w:rFonts w:ascii="Times New Roman" w:hAnsi="Times New Roman"/>
                <w:color w:val="auto"/>
              </w:rPr>
              <w:t>注水干线</w:t>
            </w:r>
          </w:p>
        </w:tc>
        <w:tc>
          <w:tcPr>
            <w:tcW w:w="896" w:type="pct"/>
            <w:tcBorders>
              <w:top w:val="single" w:color="auto" w:sz="4" w:space="0"/>
              <w:left w:val="single" w:color="auto" w:sz="4" w:space="0"/>
              <w:bottom w:val="single" w:color="auto" w:sz="4" w:space="0"/>
              <w:right w:val="single" w:color="auto" w:sz="4" w:space="0"/>
            </w:tcBorders>
            <w:vAlign w:val="center"/>
          </w:tcPr>
          <w:p w14:paraId="36A30580">
            <w:pPr>
              <w:jc w:val="center"/>
              <w:rPr>
                <w:rFonts w:ascii="宋体" w:hAnsi="宋体"/>
                <w:color w:val="auto"/>
              </w:rPr>
            </w:pPr>
            <w:r>
              <w:rPr>
                <w:rFonts w:ascii="宋体" w:hAnsi="宋体"/>
                <w:color w:val="auto"/>
              </w:rPr>
              <w:t>8.20km</w:t>
            </w:r>
          </w:p>
        </w:tc>
        <w:tc>
          <w:tcPr>
            <w:tcW w:w="2245" w:type="pct"/>
            <w:tcBorders>
              <w:top w:val="single" w:color="auto" w:sz="4" w:space="0"/>
              <w:left w:val="single" w:color="auto" w:sz="4" w:space="0"/>
              <w:bottom w:val="single" w:color="auto" w:sz="4" w:space="0"/>
              <w:right w:val="single" w:color="auto" w:sz="4" w:space="0"/>
            </w:tcBorders>
            <w:vAlign w:val="center"/>
          </w:tcPr>
          <w:p w14:paraId="630E2BF0">
            <w:pPr>
              <w:jc w:val="center"/>
              <w:rPr>
                <w:rFonts w:ascii="宋体" w:hAnsi="宋体"/>
                <w:color w:val="auto"/>
              </w:rPr>
            </w:pPr>
            <w:r>
              <w:rPr>
                <w:rFonts w:ascii="Times New Roman" w:hAnsi="Times New Roman"/>
                <w:color w:val="auto"/>
              </w:rPr>
              <w:t>——</w:t>
            </w:r>
          </w:p>
        </w:tc>
      </w:tr>
      <w:tr w14:paraId="2DB03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D1D605A">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48B3283">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4230E22B">
            <w:pPr>
              <w:jc w:val="center"/>
              <w:rPr>
                <w:rFonts w:ascii="宋体" w:hAnsi="宋体"/>
                <w:color w:val="auto"/>
              </w:rPr>
            </w:pPr>
            <w:r>
              <w:rPr>
                <w:rFonts w:ascii="Times New Roman" w:hAnsi="Times New Roman"/>
                <w:color w:val="auto"/>
              </w:rPr>
              <w:t>配水间</w:t>
            </w:r>
          </w:p>
        </w:tc>
        <w:tc>
          <w:tcPr>
            <w:tcW w:w="896" w:type="pct"/>
            <w:tcBorders>
              <w:top w:val="single" w:color="auto" w:sz="4" w:space="0"/>
              <w:left w:val="single" w:color="auto" w:sz="4" w:space="0"/>
              <w:bottom w:val="single" w:color="auto" w:sz="4" w:space="0"/>
              <w:right w:val="single" w:color="auto" w:sz="4" w:space="0"/>
            </w:tcBorders>
            <w:vAlign w:val="center"/>
          </w:tcPr>
          <w:p w14:paraId="062529E4">
            <w:pPr>
              <w:jc w:val="center"/>
              <w:rPr>
                <w:rFonts w:ascii="宋体" w:hAnsi="宋体"/>
                <w:color w:val="auto"/>
              </w:rPr>
            </w:pPr>
            <w:r>
              <w:rPr>
                <w:rFonts w:ascii="宋体" w:hAnsi="宋体"/>
                <w:color w:val="auto"/>
              </w:rPr>
              <w:t>3</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54DCE09A">
            <w:pPr>
              <w:jc w:val="center"/>
              <w:rPr>
                <w:rFonts w:ascii="宋体" w:hAnsi="宋体"/>
                <w:color w:val="auto"/>
              </w:rPr>
            </w:pPr>
            <w:r>
              <w:rPr>
                <w:rFonts w:ascii="Times New Roman" w:hAnsi="Times New Roman"/>
                <w:color w:val="auto"/>
              </w:rPr>
              <w:t>——</w:t>
            </w:r>
          </w:p>
        </w:tc>
      </w:tr>
      <w:tr w14:paraId="5F4A7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1248C41">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2D04D354">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4ABC1C9B">
            <w:pPr>
              <w:jc w:val="center"/>
              <w:rPr>
                <w:rFonts w:ascii="宋体" w:hAnsi="宋体"/>
                <w:color w:val="auto"/>
              </w:rPr>
            </w:pPr>
            <w:r>
              <w:rPr>
                <w:rFonts w:ascii="Times New Roman" w:hAnsi="Times New Roman"/>
                <w:color w:val="auto"/>
              </w:rPr>
              <w:t>注水站</w:t>
            </w:r>
          </w:p>
        </w:tc>
        <w:tc>
          <w:tcPr>
            <w:tcW w:w="896" w:type="pct"/>
            <w:tcBorders>
              <w:top w:val="single" w:color="auto" w:sz="4" w:space="0"/>
              <w:left w:val="single" w:color="auto" w:sz="4" w:space="0"/>
              <w:bottom w:val="single" w:color="auto" w:sz="4" w:space="0"/>
              <w:right w:val="single" w:color="auto" w:sz="4" w:space="0"/>
            </w:tcBorders>
            <w:vAlign w:val="center"/>
          </w:tcPr>
          <w:p w14:paraId="1882E116">
            <w:pPr>
              <w:jc w:val="center"/>
              <w:rPr>
                <w:rFonts w:ascii="宋体" w:hAnsi="宋体"/>
                <w:color w:val="auto"/>
              </w:rPr>
            </w:pPr>
            <w:r>
              <w:rPr>
                <w:rFonts w:ascii="宋体" w:hAnsi="宋体"/>
                <w:color w:val="auto"/>
              </w:rPr>
              <w:t>6</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39AE9D35">
            <w:pPr>
              <w:jc w:val="center"/>
              <w:rPr>
                <w:rFonts w:ascii="宋体" w:hAnsi="宋体"/>
                <w:color w:val="auto"/>
              </w:rPr>
            </w:pPr>
            <w:r>
              <w:rPr>
                <w:rFonts w:ascii="Times New Roman" w:hAnsi="Times New Roman"/>
                <w:color w:val="auto"/>
              </w:rPr>
              <w:t>樊</w:t>
            </w:r>
            <w:r>
              <w:rPr>
                <w:rFonts w:ascii="宋体" w:hAnsi="宋体"/>
                <w:color w:val="auto"/>
              </w:rPr>
              <w:t>107</w:t>
            </w:r>
            <w:r>
              <w:rPr>
                <w:rFonts w:ascii="Times New Roman" w:hAnsi="Times New Roman"/>
                <w:color w:val="auto"/>
              </w:rPr>
              <w:t>注水站、樊</w:t>
            </w:r>
            <w:r>
              <w:rPr>
                <w:rFonts w:ascii="宋体" w:hAnsi="宋体"/>
                <w:color w:val="auto"/>
              </w:rPr>
              <w:t>11</w:t>
            </w:r>
            <w:r>
              <w:rPr>
                <w:rFonts w:ascii="Times New Roman" w:hAnsi="Times New Roman"/>
                <w:color w:val="auto"/>
              </w:rPr>
              <w:t>注水站、高</w:t>
            </w:r>
            <w:r>
              <w:rPr>
                <w:rFonts w:ascii="宋体" w:hAnsi="宋体"/>
                <w:color w:val="auto"/>
              </w:rPr>
              <w:t>21</w:t>
            </w:r>
            <w:r>
              <w:rPr>
                <w:rFonts w:ascii="Times New Roman" w:hAnsi="Times New Roman"/>
                <w:color w:val="auto"/>
              </w:rPr>
              <w:t>注水站、高</w:t>
            </w:r>
            <w:r>
              <w:rPr>
                <w:rFonts w:ascii="宋体" w:hAnsi="宋体"/>
                <w:color w:val="auto"/>
              </w:rPr>
              <w:t>35</w:t>
            </w:r>
            <w:r>
              <w:rPr>
                <w:rFonts w:ascii="Times New Roman" w:hAnsi="Times New Roman"/>
                <w:color w:val="auto"/>
              </w:rPr>
              <w:t>注水站、高</w:t>
            </w:r>
            <w:r>
              <w:rPr>
                <w:rFonts w:ascii="宋体" w:hAnsi="宋体"/>
                <w:color w:val="auto"/>
              </w:rPr>
              <w:t>54</w:t>
            </w:r>
            <w:r>
              <w:rPr>
                <w:rFonts w:ascii="Times New Roman" w:hAnsi="Times New Roman"/>
                <w:color w:val="auto"/>
              </w:rPr>
              <w:t>注水站、高</w:t>
            </w:r>
            <w:r>
              <w:rPr>
                <w:rFonts w:ascii="宋体" w:hAnsi="宋体"/>
                <w:color w:val="auto"/>
              </w:rPr>
              <w:t>54-11</w:t>
            </w:r>
            <w:r>
              <w:rPr>
                <w:rFonts w:ascii="Times New Roman" w:hAnsi="Times New Roman"/>
                <w:color w:val="auto"/>
              </w:rPr>
              <w:t>注水站（已停用）</w:t>
            </w:r>
          </w:p>
        </w:tc>
      </w:tr>
      <w:tr w14:paraId="1125F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CD56CC0">
            <w:pPr>
              <w:widowControl/>
              <w:jc w:val="left"/>
              <w:rPr>
                <w:rFonts w:ascii="宋体" w:hAnsi="宋体"/>
                <w:color w:val="auto"/>
              </w:rPr>
            </w:pPr>
          </w:p>
        </w:tc>
        <w:tc>
          <w:tcPr>
            <w:tcW w:w="568" w:type="pct"/>
            <w:tcBorders>
              <w:top w:val="single" w:color="auto" w:sz="4" w:space="0"/>
              <w:left w:val="single" w:color="auto" w:sz="4" w:space="0"/>
              <w:bottom w:val="single" w:color="auto" w:sz="4" w:space="0"/>
              <w:right w:val="single" w:color="auto" w:sz="4" w:space="0"/>
            </w:tcBorders>
            <w:vAlign w:val="center"/>
          </w:tcPr>
          <w:p w14:paraId="57BBF933">
            <w:pPr>
              <w:jc w:val="center"/>
              <w:rPr>
                <w:rFonts w:ascii="宋体" w:hAnsi="宋体"/>
                <w:color w:val="auto"/>
              </w:rPr>
            </w:pPr>
            <w:r>
              <w:rPr>
                <w:rFonts w:ascii="Times New Roman" w:hAnsi="Times New Roman"/>
                <w:color w:val="auto"/>
              </w:rPr>
              <w:t>站场系统</w:t>
            </w:r>
          </w:p>
        </w:tc>
        <w:tc>
          <w:tcPr>
            <w:tcW w:w="891" w:type="pct"/>
            <w:tcBorders>
              <w:top w:val="single" w:color="auto" w:sz="4" w:space="0"/>
              <w:left w:val="single" w:color="auto" w:sz="4" w:space="0"/>
              <w:bottom w:val="single" w:color="auto" w:sz="4" w:space="0"/>
              <w:right w:val="single" w:color="auto" w:sz="4" w:space="0"/>
            </w:tcBorders>
            <w:vAlign w:val="center"/>
          </w:tcPr>
          <w:p w14:paraId="53AC91C8">
            <w:pPr>
              <w:jc w:val="center"/>
              <w:rPr>
                <w:rFonts w:ascii="宋体" w:hAnsi="宋体"/>
                <w:color w:val="auto"/>
              </w:rPr>
            </w:pPr>
            <w:r>
              <w:rPr>
                <w:rFonts w:ascii="Times New Roman" w:hAnsi="Times New Roman"/>
                <w:color w:val="auto"/>
              </w:rPr>
              <w:t>联合站</w:t>
            </w:r>
          </w:p>
        </w:tc>
        <w:tc>
          <w:tcPr>
            <w:tcW w:w="896" w:type="pct"/>
            <w:tcBorders>
              <w:top w:val="single" w:color="auto" w:sz="4" w:space="0"/>
              <w:left w:val="single" w:color="auto" w:sz="4" w:space="0"/>
              <w:bottom w:val="single" w:color="auto" w:sz="4" w:space="0"/>
              <w:right w:val="single" w:color="auto" w:sz="4" w:space="0"/>
            </w:tcBorders>
            <w:vAlign w:val="center"/>
          </w:tcPr>
          <w:p w14:paraId="13C587BF">
            <w:pPr>
              <w:jc w:val="center"/>
              <w:rPr>
                <w:rFonts w:ascii="宋体" w:hAnsi="宋体"/>
                <w:color w:val="auto"/>
              </w:rPr>
            </w:pPr>
            <w:r>
              <w:rPr>
                <w:rFonts w:ascii="宋体" w:hAnsi="宋体"/>
                <w:color w:val="auto"/>
              </w:rPr>
              <w:t>1</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5AE14ADA">
            <w:pPr>
              <w:jc w:val="center"/>
              <w:rPr>
                <w:rFonts w:ascii="宋体" w:hAnsi="宋体"/>
                <w:color w:val="auto"/>
              </w:rPr>
            </w:pPr>
            <w:r>
              <w:rPr>
                <w:rFonts w:ascii="Times New Roman" w:hAnsi="Times New Roman"/>
                <w:color w:val="auto"/>
              </w:rPr>
              <w:t>高青联合站</w:t>
            </w:r>
          </w:p>
        </w:tc>
      </w:tr>
      <w:tr w14:paraId="52269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346C81C8">
            <w:pPr>
              <w:jc w:val="center"/>
              <w:rPr>
                <w:rFonts w:ascii="宋体" w:hAnsi="宋体"/>
                <w:color w:val="auto"/>
              </w:rPr>
            </w:pPr>
            <w:r>
              <w:rPr>
                <w:rFonts w:ascii="Times New Roman" w:hAnsi="Times New Roman"/>
                <w:color w:val="auto"/>
              </w:rPr>
              <w:t>辅助工程</w:t>
            </w:r>
          </w:p>
        </w:tc>
        <w:tc>
          <w:tcPr>
            <w:tcW w:w="568" w:type="pct"/>
            <w:vMerge w:val="restart"/>
            <w:tcBorders>
              <w:top w:val="nil"/>
              <w:left w:val="single" w:color="auto" w:sz="4" w:space="0"/>
              <w:bottom w:val="single" w:color="auto" w:sz="4" w:space="0"/>
              <w:right w:val="single" w:color="auto" w:sz="4" w:space="0"/>
            </w:tcBorders>
            <w:vAlign w:val="center"/>
          </w:tcPr>
          <w:p w14:paraId="5298279D">
            <w:pPr>
              <w:jc w:val="center"/>
              <w:rPr>
                <w:rFonts w:ascii="宋体" w:hAnsi="宋体"/>
                <w:color w:val="auto"/>
              </w:rPr>
            </w:pPr>
            <w:r>
              <w:rPr>
                <w:rFonts w:ascii="Times New Roman" w:hAnsi="Times New Roman"/>
                <w:color w:val="auto"/>
              </w:rPr>
              <w:t>道路系统</w:t>
            </w:r>
          </w:p>
        </w:tc>
        <w:tc>
          <w:tcPr>
            <w:tcW w:w="891" w:type="pct"/>
            <w:tcBorders>
              <w:top w:val="single" w:color="auto" w:sz="4" w:space="0"/>
              <w:left w:val="single" w:color="auto" w:sz="4" w:space="0"/>
              <w:bottom w:val="single" w:color="auto" w:sz="4" w:space="0"/>
              <w:right w:val="single" w:color="auto" w:sz="4" w:space="0"/>
            </w:tcBorders>
            <w:vAlign w:val="center"/>
          </w:tcPr>
          <w:p w14:paraId="270839D2">
            <w:pPr>
              <w:jc w:val="center"/>
              <w:rPr>
                <w:rFonts w:ascii="宋体" w:hAnsi="宋体"/>
                <w:color w:val="auto"/>
              </w:rPr>
            </w:pPr>
            <w:r>
              <w:rPr>
                <w:rFonts w:ascii="Times New Roman" w:hAnsi="Times New Roman"/>
                <w:color w:val="auto"/>
              </w:rPr>
              <w:t>井、站土路</w:t>
            </w:r>
          </w:p>
        </w:tc>
        <w:tc>
          <w:tcPr>
            <w:tcW w:w="896" w:type="pct"/>
            <w:tcBorders>
              <w:top w:val="single" w:color="auto" w:sz="4" w:space="0"/>
              <w:left w:val="single" w:color="auto" w:sz="4" w:space="0"/>
              <w:bottom w:val="single" w:color="auto" w:sz="4" w:space="0"/>
              <w:right w:val="single" w:color="auto" w:sz="4" w:space="0"/>
            </w:tcBorders>
            <w:vAlign w:val="center"/>
          </w:tcPr>
          <w:p w14:paraId="175A0707">
            <w:pPr>
              <w:jc w:val="center"/>
              <w:rPr>
                <w:rFonts w:ascii="宋体" w:hAnsi="宋体"/>
                <w:color w:val="auto"/>
              </w:rPr>
            </w:pPr>
            <w:r>
              <w:rPr>
                <w:rFonts w:ascii="宋体" w:hAnsi="宋体"/>
                <w:color w:val="auto"/>
              </w:rPr>
              <w:t>68.81km</w:t>
            </w:r>
          </w:p>
        </w:tc>
        <w:tc>
          <w:tcPr>
            <w:tcW w:w="2245" w:type="pct"/>
            <w:tcBorders>
              <w:top w:val="single" w:color="auto" w:sz="4" w:space="0"/>
              <w:left w:val="single" w:color="auto" w:sz="4" w:space="0"/>
              <w:bottom w:val="single" w:color="auto" w:sz="4" w:space="0"/>
              <w:right w:val="single" w:color="auto" w:sz="4" w:space="0"/>
            </w:tcBorders>
            <w:vAlign w:val="center"/>
          </w:tcPr>
          <w:p w14:paraId="17B27450">
            <w:pPr>
              <w:jc w:val="center"/>
              <w:rPr>
                <w:rFonts w:ascii="宋体" w:hAnsi="宋体"/>
                <w:color w:val="auto"/>
              </w:rPr>
            </w:pPr>
            <w:r>
              <w:rPr>
                <w:rFonts w:ascii="Times New Roman" w:hAnsi="Times New Roman"/>
                <w:color w:val="auto"/>
              </w:rPr>
              <w:t>——</w:t>
            </w:r>
          </w:p>
        </w:tc>
      </w:tr>
      <w:tr w14:paraId="51487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1EE1FEB">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2A64B8F">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6289286A">
            <w:pPr>
              <w:jc w:val="center"/>
              <w:rPr>
                <w:rFonts w:ascii="宋体" w:hAnsi="宋体"/>
                <w:color w:val="auto"/>
              </w:rPr>
            </w:pPr>
            <w:r>
              <w:rPr>
                <w:rFonts w:ascii="Times New Roman" w:hAnsi="Times New Roman"/>
                <w:color w:val="auto"/>
              </w:rPr>
              <w:t>油田专用公路</w:t>
            </w:r>
          </w:p>
        </w:tc>
        <w:tc>
          <w:tcPr>
            <w:tcW w:w="896" w:type="pct"/>
            <w:tcBorders>
              <w:top w:val="single" w:color="auto" w:sz="4" w:space="0"/>
              <w:left w:val="single" w:color="auto" w:sz="4" w:space="0"/>
              <w:bottom w:val="single" w:color="auto" w:sz="4" w:space="0"/>
              <w:right w:val="single" w:color="auto" w:sz="4" w:space="0"/>
            </w:tcBorders>
            <w:vAlign w:val="center"/>
          </w:tcPr>
          <w:p w14:paraId="1C9F9C3B">
            <w:pPr>
              <w:jc w:val="center"/>
              <w:rPr>
                <w:rFonts w:ascii="宋体" w:hAnsi="宋体"/>
                <w:color w:val="auto"/>
              </w:rPr>
            </w:pPr>
            <w:r>
              <w:rPr>
                <w:rFonts w:ascii="宋体" w:hAnsi="宋体"/>
                <w:color w:val="auto"/>
              </w:rPr>
              <w:t>4</w:t>
            </w:r>
            <w:r>
              <w:rPr>
                <w:rFonts w:ascii="Times New Roman" w:hAnsi="Times New Roman"/>
                <w:color w:val="auto"/>
              </w:rPr>
              <w:t>条</w:t>
            </w:r>
          </w:p>
        </w:tc>
        <w:tc>
          <w:tcPr>
            <w:tcW w:w="2245" w:type="pct"/>
            <w:tcBorders>
              <w:top w:val="single" w:color="auto" w:sz="4" w:space="0"/>
              <w:left w:val="single" w:color="auto" w:sz="4" w:space="0"/>
              <w:bottom w:val="single" w:color="auto" w:sz="4" w:space="0"/>
              <w:right w:val="single" w:color="auto" w:sz="4" w:space="0"/>
            </w:tcBorders>
            <w:vAlign w:val="center"/>
          </w:tcPr>
          <w:p w14:paraId="2065D015">
            <w:pPr>
              <w:jc w:val="center"/>
              <w:rPr>
                <w:rFonts w:ascii="宋体" w:hAnsi="宋体"/>
                <w:color w:val="auto"/>
              </w:rPr>
            </w:pPr>
            <w:r>
              <w:rPr>
                <w:rFonts w:ascii="Times New Roman" w:hAnsi="Times New Roman"/>
                <w:color w:val="auto"/>
              </w:rPr>
              <w:t>——</w:t>
            </w:r>
          </w:p>
        </w:tc>
      </w:tr>
      <w:tr w14:paraId="51BEC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1D77759">
            <w:pPr>
              <w:widowControl/>
              <w:jc w:val="left"/>
              <w:rPr>
                <w:rFonts w:ascii="宋体" w:hAnsi="宋体"/>
                <w:color w:val="auto"/>
              </w:rPr>
            </w:pPr>
          </w:p>
        </w:tc>
        <w:tc>
          <w:tcPr>
            <w:tcW w:w="568" w:type="pct"/>
            <w:tcBorders>
              <w:top w:val="single" w:color="auto" w:sz="4" w:space="0"/>
              <w:left w:val="single" w:color="auto" w:sz="4" w:space="0"/>
              <w:bottom w:val="single" w:color="auto" w:sz="4" w:space="0"/>
              <w:right w:val="single" w:color="auto" w:sz="4" w:space="0"/>
            </w:tcBorders>
            <w:vAlign w:val="center"/>
          </w:tcPr>
          <w:p w14:paraId="43AAE6EE">
            <w:pPr>
              <w:jc w:val="center"/>
              <w:rPr>
                <w:rFonts w:ascii="宋体" w:hAnsi="宋体"/>
                <w:color w:val="auto"/>
              </w:rPr>
            </w:pPr>
            <w:r>
              <w:rPr>
                <w:rFonts w:ascii="Times New Roman" w:hAnsi="Times New Roman"/>
                <w:color w:val="auto"/>
              </w:rPr>
              <w:t>穿跨越工程</w:t>
            </w:r>
          </w:p>
        </w:tc>
        <w:tc>
          <w:tcPr>
            <w:tcW w:w="891" w:type="pct"/>
            <w:tcBorders>
              <w:top w:val="single" w:color="auto" w:sz="4" w:space="0"/>
              <w:left w:val="single" w:color="auto" w:sz="4" w:space="0"/>
              <w:bottom w:val="single" w:color="auto" w:sz="4" w:space="0"/>
              <w:right w:val="single" w:color="auto" w:sz="4" w:space="0"/>
            </w:tcBorders>
            <w:vAlign w:val="center"/>
          </w:tcPr>
          <w:p w14:paraId="5860C607">
            <w:pPr>
              <w:jc w:val="center"/>
              <w:rPr>
                <w:rFonts w:ascii="宋体" w:hAnsi="宋体"/>
                <w:color w:val="auto"/>
              </w:rPr>
            </w:pPr>
            <w:r>
              <w:rPr>
                <w:rFonts w:ascii="Times New Roman" w:hAnsi="Times New Roman"/>
                <w:color w:val="auto"/>
              </w:rPr>
              <w:t>大中型穿跨越</w:t>
            </w:r>
          </w:p>
        </w:tc>
        <w:tc>
          <w:tcPr>
            <w:tcW w:w="896" w:type="pct"/>
            <w:tcBorders>
              <w:top w:val="single" w:color="auto" w:sz="4" w:space="0"/>
              <w:left w:val="single" w:color="auto" w:sz="4" w:space="0"/>
              <w:bottom w:val="single" w:color="auto" w:sz="4" w:space="0"/>
              <w:right w:val="single" w:color="auto" w:sz="4" w:space="0"/>
            </w:tcBorders>
            <w:vAlign w:val="center"/>
          </w:tcPr>
          <w:p w14:paraId="3922D0BE">
            <w:pPr>
              <w:jc w:val="center"/>
              <w:rPr>
                <w:rFonts w:ascii="宋体" w:hAnsi="宋体"/>
                <w:color w:val="auto"/>
              </w:rPr>
            </w:pPr>
            <w:r>
              <w:rPr>
                <w:rFonts w:ascii="宋体" w:hAnsi="宋体"/>
                <w:color w:val="auto"/>
              </w:rPr>
              <w:t>1.05km/12</w:t>
            </w:r>
            <w:r>
              <w:rPr>
                <w:rFonts w:ascii="Times New Roman" w:hAnsi="Times New Roman"/>
                <w:color w:val="auto"/>
              </w:rPr>
              <w:t>处</w:t>
            </w:r>
          </w:p>
        </w:tc>
        <w:tc>
          <w:tcPr>
            <w:tcW w:w="2245" w:type="pct"/>
            <w:tcBorders>
              <w:top w:val="single" w:color="auto" w:sz="4" w:space="0"/>
              <w:left w:val="single" w:color="auto" w:sz="4" w:space="0"/>
              <w:bottom w:val="single" w:color="auto" w:sz="4" w:space="0"/>
              <w:right w:val="single" w:color="auto" w:sz="4" w:space="0"/>
            </w:tcBorders>
            <w:vAlign w:val="center"/>
          </w:tcPr>
          <w:p w14:paraId="1FEE07EB">
            <w:pPr>
              <w:jc w:val="center"/>
              <w:rPr>
                <w:rFonts w:ascii="宋体" w:hAnsi="宋体"/>
                <w:color w:val="auto"/>
              </w:rPr>
            </w:pPr>
            <w:r>
              <w:rPr>
                <w:rFonts w:ascii="Times New Roman" w:hAnsi="Times New Roman"/>
                <w:color w:val="auto"/>
              </w:rPr>
              <w:t>跨越、深穿等</w:t>
            </w:r>
          </w:p>
        </w:tc>
      </w:tr>
      <w:tr w14:paraId="602CB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81ABB7C">
            <w:pPr>
              <w:widowControl/>
              <w:jc w:val="left"/>
              <w:rPr>
                <w:rFonts w:ascii="宋体" w:hAnsi="宋体"/>
                <w:color w:val="auto"/>
              </w:rPr>
            </w:pPr>
          </w:p>
        </w:tc>
        <w:tc>
          <w:tcPr>
            <w:tcW w:w="568" w:type="pct"/>
            <w:vMerge w:val="restart"/>
            <w:tcBorders>
              <w:top w:val="nil"/>
              <w:left w:val="single" w:color="auto" w:sz="4" w:space="0"/>
              <w:bottom w:val="single" w:color="auto" w:sz="4" w:space="0"/>
              <w:right w:val="single" w:color="auto" w:sz="4" w:space="0"/>
            </w:tcBorders>
            <w:vAlign w:val="center"/>
          </w:tcPr>
          <w:p w14:paraId="536D3C7B">
            <w:pPr>
              <w:jc w:val="center"/>
              <w:rPr>
                <w:rFonts w:ascii="宋体" w:hAnsi="宋体"/>
                <w:color w:val="auto"/>
              </w:rPr>
            </w:pPr>
            <w:r>
              <w:rPr>
                <w:rFonts w:ascii="Times New Roman" w:hAnsi="Times New Roman"/>
                <w:color w:val="auto"/>
              </w:rPr>
              <w:t>电力系统</w:t>
            </w:r>
          </w:p>
        </w:tc>
        <w:tc>
          <w:tcPr>
            <w:tcW w:w="891" w:type="pct"/>
            <w:tcBorders>
              <w:top w:val="single" w:color="auto" w:sz="4" w:space="0"/>
              <w:left w:val="single" w:color="auto" w:sz="4" w:space="0"/>
              <w:bottom w:val="single" w:color="auto" w:sz="4" w:space="0"/>
              <w:right w:val="single" w:color="auto" w:sz="4" w:space="0"/>
            </w:tcBorders>
            <w:vAlign w:val="center"/>
          </w:tcPr>
          <w:p w14:paraId="3A5698C4">
            <w:pPr>
              <w:jc w:val="center"/>
              <w:rPr>
                <w:rFonts w:ascii="宋体" w:hAnsi="宋体"/>
                <w:color w:val="auto"/>
              </w:rPr>
            </w:pPr>
            <w:r>
              <w:rPr>
                <w:rFonts w:ascii="宋体" w:hAnsi="宋体"/>
                <w:color w:val="auto"/>
              </w:rPr>
              <w:t>35kV</w:t>
            </w:r>
            <w:r>
              <w:rPr>
                <w:rFonts w:ascii="Times New Roman" w:hAnsi="Times New Roman"/>
                <w:color w:val="auto"/>
              </w:rPr>
              <w:t>变电站</w:t>
            </w:r>
          </w:p>
        </w:tc>
        <w:tc>
          <w:tcPr>
            <w:tcW w:w="896" w:type="pct"/>
            <w:tcBorders>
              <w:top w:val="single" w:color="auto" w:sz="4" w:space="0"/>
              <w:left w:val="single" w:color="auto" w:sz="4" w:space="0"/>
              <w:bottom w:val="single" w:color="auto" w:sz="4" w:space="0"/>
              <w:right w:val="single" w:color="auto" w:sz="4" w:space="0"/>
            </w:tcBorders>
            <w:vAlign w:val="center"/>
          </w:tcPr>
          <w:p w14:paraId="04C9688B">
            <w:pPr>
              <w:jc w:val="center"/>
              <w:rPr>
                <w:rFonts w:ascii="宋体" w:hAnsi="宋体"/>
                <w:color w:val="auto"/>
              </w:rPr>
            </w:pPr>
            <w:r>
              <w:rPr>
                <w:rFonts w:ascii="宋体" w:hAnsi="宋体"/>
                <w:color w:val="auto"/>
              </w:rPr>
              <w:t>1</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1CB516B3">
            <w:pPr>
              <w:jc w:val="center"/>
              <w:rPr>
                <w:rFonts w:ascii="宋体" w:hAnsi="宋体"/>
                <w:color w:val="auto"/>
              </w:rPr>
            </w:pPr>
            <w:r>
              <w:rPr>
                <w:rFonts w:ascii="Times New Roman" w:hAnsi="Times New Roman"/>
                <w:color w:val="auto"/>
              </w:rPr>
              <w:t>——</w:t>
            </w:r>
          </w:p>
        </w:tc>
      </w:tr>
      <w:tr w14:paraId="6C423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0D5BA96">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703231C">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0D07849A">
            <w:pPr>
              <w:jc w:val="center"/>
              <w:rPr>
                <w:rFonts w:ascii="宋体" w:hAnsi="宋体"/>
                <w:color w:val="auto"/>
              </w:rPr>
            </w:pPr>
            <w:r>
              <w:rPr>
                <w:rFonts w:ascii="宋体" w:hAnsi="宋体"/>
                <w:color w:val="auto"/>
              </w:rPr>
              <w:t>6kV</w:t>
            </w:r>
            <w:r>
              <w:rPr>
                <w:rFonts w:ascii="Times New Roman" w:hAnsi="Times New Roman"/>
                <w:color w:val="auto"/>
              </w:rPr>
              <w:t>高压线路</w:t>
            </w:r>
          </w:p>
        </w:tc>
        <w:tc>
          <w:tcPr>
            <w:tcW w:w="896" w:type="pct"/>
            <w:tcBorders>
              <w:top w:val="single" w:color="auto" w:sz="4" w:space="0"/>
              <w:left w:val="single" w:color="auto" w:sz="4" w:space="0"/>
              <w:bottom w:val="single" w:color="auto" w:sz="4" w:space="0"/>
              <w:right w:val="single" w:color="auto" w:sz="4" w:space="0"/>
            </w:tcBorders>
            <w:vAlign w:val="center"/>
          </w:tcPr>
          <w:p w14:paraId="6C2DF1C0">
            <w:pPr>
              <w:jc w:val="center"/>
              <w:rPr>
                <w:rFonts w:ascii="宋体" w:hAnsi="宋体"/>
                <w:color w:val="auto"/>
              </w:rPr>
            </w:pPr>
            <w:r>
              <w:rPr>
                <w:rFonts w:ascii="宋体" w:hAnsi="宋体"/>
                <w:color w:val="auto"/>
              </w:rPr>
              <w:t>3</w:t>
            </w:r>
            <w:r>
              <w:rPr>
                <w:rFonts w:ascii="Times New Roman" w:hAnsi="Times New Roman"/>
                <w:color w:val="auto"/>
              </w:rPr>
              <w:t>条</w:t>
            </w:r>
          </w:p>
        </w:tc>
        <w:tc>
          <w:tcPr>
            <w:tcW w:w="2245" w:type="pct"/>
            <w:tcBorders>
              <w:top w:val="single" w:color="auto" w:sz="4" w:space="0"/>
              <w:left w:val="single" w:color="auto" w:sz="4" w:space="0"/>
              <w:bottom w:val="single" w:color="auto" w:sz="4" w:space="0"/>
              <w:right w:val="single" w:color="auto" w:sz="4" w:space="0"/>
            </w:tcBorders>
            <w:vAlign w:val="center"/>
          </w:tcPr>
          <w:p w14:paraId="69E36D96">
            <w:pPr>
              <w:jc w:val="center"/>
              <w:rPr>
                <w:rFonts w:ascii="宋体" w:hAnsi="宋体"/>
                <w:color w:val="auto"/>
              </w:rPr>
            </w:pPr>
            <w:r>
              <w:rPr>
                <w:rFonts w:ascii="Times New Roman" w:hAnsi="Times New Roman"/>
                <w:color w:val="auto"/>
              </w:rPr>
              <w:t>胜东、胜西线、胜中线</w:t>
            </w:r>
          </w:p>
        </w:tc>
      </w:tr>
      <w:tr w14:paraId="18FAF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29CB2BF">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6C5F23B">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1683E497">
            <w:pPr>
              <w:jc w:val="center"/>
              <w:rPr>
                <w:rFonts w:ascii="宋体" w:hAnsi="宋体"/>
                <w:color w:val="auto"/>
              </w:rPr>
            </w:pPr>
            <w:r>
              <w:rPr>
                <w:rFonts w:ascii="宋体" w:hAnsi="宋体"/>
                <w:color w:val="auto"/>
              </w:rPr>
              <w:t>10kV</w:t>
            </w:r>
            <w:r>
              <w:rPr>
                <w:rFonts w:ascii="Times New Roman" w:hAnsi="Times New Roman"/>
                <w:color w:val="auto"/>
              </w:rPr>
              <w:t>高压线路</w:t>
            </w:r>
          </w:p>
        </w:tc>
        <w:tc>
          <w:tcPr>
            <w:tcW w:w="896" w:type="pct"/>
            <w:tcBorders>
              <w:top w:val="single" w:color="auto" w:sz="4" w:space="0"/>
              <w:left w:val="single" w:color="auto" w:sz="4" w:space="0"/>
              <w:bottom w:val="single" w:color="auto" w:sz="4" w:space="0"/>
              <w:right w:val="single" w:color="auto" w:sz="4" w:space="0"/>
            </w:tcBorders>
            <w:vAlign w:val="center"/>
          </w:tcPr>
          <w:p w14:paraId="33451C66">
            <w:pPr>
              <w:jc w:val="center"/>
              <w:rPr>
                <w:rFonts w:ascii="宋体" w:hAnsi="宋体"/>
                <w:color w:val="auto"/>
              </w:rPr>
            </w:pPr>
            <w:r>
              <w:rPr>
                <w:rFonts w:ascii="宋体" w:hAnsi="宋体"/>
                <w:color w:val="auto"/>
              </w:rPr>
              <w:t>3</w:t>
            </w:r>
            <w:r>
              <w:rPr>
                <w:rFonts w:ascii="Times New Roman" w:hAnsi="Times New Roman"/>
                <w:color w:val="auto"/>
              </w:rPr>
              <w:t>条</w:t>
            </w:r>
          </w:p>
        </w:tc>
        <w:tc>
          <w:tcPr>
            <w:tcW w:w="2245" w:type="pct"/>
            <w:tcBorders>
              <w:top w:val="single" w:color="auto" w:sz="4" w:space="0"/>
              <w:left w:val="single" w:color="auto" w:sz="4" w:space="0"/>
              <w:bottom w:val="single" w:color="auto" w:sz="4" w:space="0"/>
              <w:right w:val="single" w:color="auto" w:sz="4" w:space="0"/>
            </w:tcBorders>
            <w:vAlign w:val="center"/>
          </w:tcPr>
          <w:p w14:paraId="27227699">
            <w:pPr>
              <w:jc w:val="center"/>
              <w:rPr>
                <w:rFonts w:ascii="宋体" w:hAnsi="宋体"/>
                <w:color w:val="auto"/>
              </w:rPr>
            </w:pPr>
            <w:r>
              <w:rPr>
                <w:rFonts w:ascii="Times New Roman" w:hAnsi="Times New Roman"/>
                <w:color w:val="auto"/>
              </w:rPr>
              <w:t>——</w:t>
            </w:r>
          </w:p>
        </w:tc>
      </w:tr>
      <w:tr w14:paraId="3B835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2ED6E297">
            <w:pPr>
              <w:jc w:val="center"/>
              <w:rPr>
                <w:rFonts w:ascii="宋体" w:hAnsi="宋体"/>
                <w:color w:val="auto"/>
              </w:rPr>
            </w:pPr>
            <w:r>
              <w:rPr>
                <w:rFonts w:ascii="Times New Roman" w:hAnsi="Times New Roman"/>
                <w:color w:val="auto"/>
              </w:rPr>
              <w:t>公用工程</w:t>
            </w:r>
          </w:p>
        </w:tc>
        <w:tc>
          <w:tcPr>
            <w:tcW w:w="568" w:type="pct"/>
            <w:tcBorders>
              <w:top w:val="single" w:color="auto" w:sz="4" w:space="0"/>
              <w:left w:val="single" w:color="auto" w:sz="4" w:space="0"/>
              <w:bottom w:val="single" w:color="auto" w:sz="4" w:space="0"/>
              <w:right w:val="single" w:color="auto" w:sz="4" w:space="0"/>
            </w:tcBorders>
            <w:vAlign w:val="center"/>
          </w:tcPr>
          <w:p w14:paraId="7A9B0287">
            <w:pPr>
              <w:jc w:val="center"/>
              <w:rPr>
                <w:rFonts w:ascii="宋体" w:hAnsi="宋体"/>
                <w:color w:val="auto"/>
              </w:rPr>
            </w:pPr>
            <w:r>
              <w:rPr>
                <w:rFonts w:ascii="Times New Roman" w:hAnsi="Times New Roman"/>
                <w:color w:val="auto"/>
              </w:rPr>
              <w:t>消防</w:t>
            </w:r>
          </w:p>
        </w:tc>
        <w:tc>
          <w:tcPr>
            <w:tcW w:w="4032" w:type="pct"/>
            <w:gridSpan w:val="3"/>
            <w:tcBorders>
              <w:top w:val="single" w:color="auto" w:sz="4" w:space="0"/>
              <w:left w:val="single" w:color="auto" w:sz="4" w:space="0"/>
              <w:bottom w:val="single" w:color="auto" w:sz="4" w:space="0"/>
              <w:right w:val="single" w:color="auto" w:sz="4" w:space="0"/>
            </w:tcBorders>
            <w:vAlign w:val="center"/>
          </w:tcPr>
          <w:p w14:paraId="784FA715">
            <w:pPr>
              <w:jc w:val="center"/>
              <w:rPr>
                <w:rFonts w:ascii="宋体" w:hAnsi="宋体"/>
                <w:color w:val="auto"/>
              </w:rPr>
            </w:pPr>
            <w:r>
              <w:rPr>
                <w:rFonts w:ascii="Times New Roman" w:hAnsi="Times New Roman"/>
                <w:color w:val="auto"/>
              </w:rPr>
              <w:t>各站场内均配备足够的手提式灭火器，推车式灭火器等消防设备，联合站设置专门的消防泵设施，配套泡沫消防系统和烟雾灭火系统</w:t>
            </w:r>
          </w:p>
        </w:tc>
      </w:tr>
      <w:tr w14:paraId="48E75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9A2F32A">
            <w:pPr>
              <w:widowControl/>
              <w:jc w:val="left"/>
              <w:rPr>
                <w:rFonts w:ascii="宋体" w:hAnsi="宋体"/>
                <w:color w:val="auto"/>
              </w:rPr>
            </w:pPr>
          </w:p>
        </w:tc>
        <w:tc>
          <w:tcPr>
            <w:tcW w:w="568" w:type="pct"/>
            <w:tcBorders>
              <w:top w:val="single" w:color="auto" w:sz="4" w:space="0"/>
              <w:left w:val="single" w:color="auto" w:sz="4" w:space="0"/>
              <w:bottom w:val="single" w:color="auto" w:sz="4" w:space="0"/>
              <w:right w:val="single" w:color="auto" w:sz="4" w:space="0"/>
            </w:tcBorders>
            <w:vAlign w:val="center"/>
          </w:tcPr>
          <w:p w14:paraId="0D13DD43">
            <w:pPr>
              <w:jc w:val="center"/>
              <w:rPr>
                <w:rFonts w:ascii="宋体" w:hAnsi="宋体"/>
                <w:color w:val="auto"/>
              </w:rPr>
            </w:pPr>
            <w:r>
              <w:rPr>
                <w:rFonts w:ascii="Times New Roman" w:hAnsi="Times New Roman"/>
                <w:color w:val="auto"/>
              </w:rPr>
              <w:t>给水</w:t>
            </w:r>
          </w:p>
        </w:tc>
        <w:tc>
          <w:tcPr>
            <w:tcW w:w="4032" w:type="pct"/>
            <w:gridSpan w:val="3"/>
            <w:tcBorders>
              <w:top w:val="single" w:color="auto" w:sz="4" w:space="0"/>
              <w:left w:val="single" w:color="auto" w:sz="4" w:space="0"/>
              <w:bottom w:val="single" w:color="auto" w:sz="4" w:space="0"/>
              <w:right w:val="single" w:color="auto" w:sz="4" w:space="0"/>
            </w:tcBorders>
            <w:vAlign w:val="center"/>
          </w:tcPr>
          <w:p w14:paraId="38A3C9AA">
            <w:pPr>
              <w:jc w:val="center"/>
              <w:rPr>
                <w:rFonts w:ascii="宋体" w:hAnsi="宋体"/>
                <w:color w:val="auto"/>
              </w:rPr>
            </w:pPr>
            <w:r>
              <w:rPr>
                <w:rFonts w:ascii="Times New Roman" w:hAnsi="Times New Roman"/>
                <w:color w:val="auto"/>
              </w:rPr>
              <w:t>高青全域内禁采地下水，部分生产用水来自大芦湖青源水务（黄河水、自来水）</w:t>
            </w:r>
            <w:r>
              <w:rPr>
                <w:rFonts w:ascii="宋体" w:hAnsi="宋体"/>
                <w:color w:val="auto"/>
              </w:rPr>
              <w:t xml:space="preserve"> </w:t>
            </w:r>
          </w:p>
        </w:tc>
      </w:tr>
      <w:tr w14:paraId="1B86E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2EC9F1A4">
            <w:pPr>
              <w:jc w:val="center"/>
              <w:rPr>
                <w:rFonts w:ascii="宋体" w:hAnsi="宋体"/>
                <w:color w:val="auto"/>
              </w:rPr>
            </w:pPr>
            <w:r>
              <w:rPr>
                <w:rFonts w:ascii="Times New Roman" w:hAnsi="Times New Roman"/>
                <w:color w:val="auto"/>
              </w:rPr>
              <w:t>环保工程</w:t>
            </w: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099CA96A">
            <w:pPr>
              <w:jc w:val="center"/>
              <w:rPr>
                <w:rFonts w:ascii="宋体" w:hAnsi="宋体"/>
                <w:color w:val="auto"/>
              </w:rPr>
            </w:pPr>
            <w:r>
              <w:rPr>
                <w:rFonts w:ascii="Times New Roman" w:hAnsi="Times New Roman"/>
                <w:color w:val="auto"/>
              </w:rPr>
              <w:t>井下作业废水、采出水处理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72421110">
            <w:pPr>
              <w:jc w:val="center"/>
              <w:rPr>
                <w:rFonts w:ascii="宋体" w:hAnsi="宋体"/>
                <w:color w:val="auto"/>
              </w:rPr>
            </w:pPr>
            <w:r>
              <w:rPr>
                <w:rFonts w:ascii="Times New Roman" w:hAnsi="Times New Roman"/>
                <w:color w:val="auto"/>
              </w:rPr>
              <w:t>送至高青联合站处理达标后用于回注，未外排</w:t>
            </w:r>
          </w:p>
        </w:tc>
      </w:tr>
      <w:tr w14:paraId="71165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1089E17">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694C7C59">
            <w:pPr>
              <w:jc w:val="center"/>
              <w:rPr>
                <w:rFonts w:ascii="宋体" w:hAnsi="宋体"/>
                <w:color w:val="auto"/>
              </w:rPr>
            </w:pPr>
            <w:r>
              <w:rPr>
                <w:rFonts w:ascii="Times New Roman" w:hAnsi="Times New Roman"/>
                <w:color w:val="auto"/>
              </w:rPr>
              <w:t>危险废物贮存及处置</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6FA36C9F">
            <w:pPr>
              <w:jc w:val="center"/>
              <w:rPr>
                <w:rFonts w:ascii="宋体" w:hAnsi="宋体"/>
                <w:color w:val="auto"/>
              </w:rPr>
            </w:pPr>
            <w:r>
              <w:rPr>
                <w:rFonts w:ascii="Times New Roman" w:hAnsi="Times New Roman"/>
                <w:color w:val="auto"/>
              </w:rPr>
              <w:t>清罐底泥、落地油随产随清，委托滨州市瑞峰环保科技有限公司无害化处置；废机油、废弃的含油抹布、劳保用品分类暂存于高青联合站危废贮存间，最终委托</w:t>
            </w:r>
            <w:r>
              <w:rPr>
                <w:rFonts w:hint="eastAsia" w:ascii="Times New Roman" w:hAnsi="Times New Roman"/>
                <w:color w:val="auto"/>
              </w:rPr>
              <w:t>山东清博生态材料综合利用有限公司</w:t>
            </w:r>
            <w:r>
              <w:rPr>
                <w:rFonts w:ascii="Times New Roman" w:hAnsi="Times New Roman"/>
                <w:color w:val="auto"/>
              </w:rPr>
              <w:t>无害化处置</w:t>
            </w:r>
          </w:p>
        </w:tc>
      </w:tr>
      <w:tr w14:paraId="00882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5518BC8">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20141A19">
            <w:pPr>
              <w:jc w:val="center"/>
              <w:rPr>
                <w:rFonts w:ascii="宋体" w:hAnsi="宋体"/>
                <w:color w:val="auto"/>
              </w:rPr>
            </w:pPr>
            <w:r>
              <w:rPr>
                <w:rFonts w:ascii="Times New Roman" w:hAnsi="Times New Roman"/>
                <w:color w:val="auto"/>
              </w:rPr>
              <w:t>井口伴生气处理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6AB8C406">
            <w:pPr>
              <w:jc w:val="center"/>
              <w:rPr>
                <w:rFonts w:ascii="宋体" w:hAnsi="宋体"/>
                <w:color w:val="auto"/>
              </w:rPr>
            </w:pPr>
            <w:r>
              <w:rPr>
                <w:rFonts w:ascii="Times New Roman" w:hAnsi="Times New Roman"/>
                <w:color w:val="auto"/>
              </w:rPr>
              <w:t>页岩油井伴生气分离交由第三方回收、常规油井进入气管网用于单井和集输干线加热</w:t>
            </w:r>
          </w:p>
        </w:tc>
      </w:tr>
      <w:tr w14:paraId="553CB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28C64F3">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00F39D63">
            <w:pPr>
              <w:jc w:val="center"/>
              <w:rPr>
                <w:rFonts w:ascii="宋体" w:hAnsi="宋体"/>
                <w:color w:val="auto"/>
              </w:rPr>
            </w:pPr>
            <w:r>
              <w:rPr>
                <w:rFonts w:ascii="Times New Roman" w:hAnsi="Times New Roman"/>
                <w:color w:val="auto"/>
              </w:rPr>
              <w:t>无组织挥发废气</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6FFDBDE5">
            <w:pPr>
              <w:jc w:val="center"/>
              <w:rPr>
                <w:rFonts w:ascii="宋体" w:hAnsi="宋体"/>
                <w:color w:val="auto"/>
              </w:rPr>
            </w:pPr>
            <w:r>
              <w:rPr>
                <w:rFonts w:ascii="Times New Roman" w:hAnsi="Times New Roman"/>
                <w:color w:val="auto"/>
              </w:rPr>
              <w:t>高青联合站设大罐抽气装置，定期开展</w:t>
            </w:r>
            <w:r>
              <w:rPr>
                <w:rFonts w:ascii="宋体" w:hAnsi="宋体"/>
                <w:color w:val="auto"/>
              </w:rPr>
              <w:t>LDAR</w:t>
            </w:r>
            <w:r>
              <w:rPr>
                <w:rFonts w:ascii="Times New Roman" w:hAnsi="Times New Roman"/>
                <w:color w:val="auto"/>
              </w:rPr>
              <w:t>检测，并在樊</w:t>
            </w:r>
            <w:r>
              <w:rPr>
                <w:rFonts w:ascii="宋体" w:hAnsi="宋体"/>
                <w:color w:val="auto"/>
              </w:rPr>
              <w:t>121-33</w:t>
            </w:r>
            <w:r>
              <w:rPr>
                <w:rFonts w:ascii="Times New Roman" w:hAnsi="Times New Roman"/>
                <w:color w:val="auto"/>
              </w:rPr>
              <w:t>收气点对常规油井伴生气进行脱硫，油井井口安装油套连通套管气回收装置</w:t>
            </w:r>
          </w:p>
        </w:tc>
      </w:tr>
      <w:tr w14:paraId="398BE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932B355">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2FA460FB">
            <w:pPr>
              <w:jc w:val="center"/>
              <w:rPr>
                <w:rFonts w:ascii="宋体" w:hAnsi="宋体"/>
                <w:color w:val="auto"/>
              </w:rPr>
            </w:pPr>
            <w:r>
              <w:rPr>
                <w:rFonts w:ascii="Times New Roman" w:hAnsi="Times New Roman"/>
                <w:color w:val="auto"/>
              </w:rPr>
              <w:t>生活污水处理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6D248E95">
            <w:pPr>
              <w:jc w:val="center"/>
              <w:rPr>
                <w:rFonts w:ascii="宋体" w:hAnsi="宋体"/>
                <w:color w:val="auto"/>
              </w:rPr>
            </w:pPr>
            <w:r>
              <w:rPr>
                <w:rFonts w:ascii="Times New Roman" w:hAnsi="Times New Roman"/>
                <w:color w:val="auto"/>
              </w:rPr>
              <w:t>值班职工生活污水排放依托各采油队等场所内的环保厕所，定期清运，未外排</w:t>
            </w:r>
          </w:p>
        </w:tc>
      </w:tr>
      <w:tr w14:paraId="6AF18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A588D62">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3E7E76C8">
            <w:pPr>
              <w:jc w:val="center"/>
              <w:rPr>
                <w:rFonts w:ascii="宋体" w:hAnsi="宋体"/>
                <w:color w:val="auto"/>
              </w:rPr>
            </w:pPr>
            <w:r>
              <w:rPr>
                <w:rFonts w:ascii="Times New Roman" w:hAnsi="Times New Roman"/>
                <w:color w:val="auto"/>
              </w:rPr>
              <w:t>生活垃圾处置</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5417D29E">
            <w:pPr>
              <w:jc w:val="center"/>
              <w:rPr>
                <w:rFonts w:ascii="宋体" w:hAnsi="宋体"/>
                <w:color w:val="auto"/>
              </w:rPr>
            </w:pPr>
            <w:r>
              <w:rPr>
                <w:rFonts w:ascii="Times New Roman" w:hAnsi="Times New Roman"/>
                <w:color w:val="auto"/>
              </w:rPr>
              <w:t>贮存在垃圾桶内，定期拉运至生活垃圾中转站后，由当地环卫部门统一处理</w:t>
            </w:r>
          </w:p>
        </w:tc>
      </w:tr>
      <w:tr w14:paraId="22595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F7C58DB">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0D7D673C">
            <w:pPr>
              <w:jc w:val="center"/>
              <w:rPr>
                <w:rFonts w:ascii="宋体" w:hAnsi="宋体"/>
                <w:color w:val="auto"/>
              </w:rPr>
            </w:pPr>
            <w:r>
              <w:rPr>
                <w:rFonts w:ascii="Times New Roman" w:hAnsi="Times New Roman"/>
                <w:color w:val="auto"/>
              </w:rPr>
              <w:t>噪声治理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6F991AAC">
            <w:pPr>
              <w:jc w:val="center"/>
              <w:rPr>
                <w:rFonts w:ascii="宋体" w:hAnsi="宋体"/>
                <w:color w:val="auto"/>
              </w:rPr>
            </w:pPr>
            <w:r>
              <w:rPr>
                <w:rFonts w:ascii="Times New Roman" w:hAnsi="Times New Roman"/>
                <w:color w:val="auto"/>
              </w:rPr>
              <w:t>选用低噪声设备、泵房安装隔音吸声板</w:t>
            </w:r>
          </w:p>
        </w:tc>
      </w:tr>
      <w:tr w14:paraId="5641C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B778949">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7804DC55">
            <w:pPr>
              <w:jc w:val="center"/>
              <w:rPr>
                <w:rFonts w:ascii="宋体" w:hAnsi="宋体"/>
                <w:color w:val="auto"/>
              </w:rPr>
            </w:pPr>
            <w:r>
              <w:rPr>
                <w:rFonts w:ascii="Times New Roman" w:hAnsi="Times New Roman"/>
                <w:color w:val="auto"/>
              </w:rPr>
              <w:t>环境风险应急措施</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04921BF0">
            <w:pPr>
              <w:jc w:val="center"/>
              <w:rPr>
                <w:rFonts w:ascii="宋体" w:hAnsi="宋体"/>
                <w:color w:val="auto"/>
              </w:rPr>
            </w:pPr>
            <w:r>
              <w:rPr>
                <w:rFonts w:ascii="Times New Roman" w:hAnsi="Times New Roman"/>
                <w:color w:val="auto"/>
              </w:rPr>
              <w:t>配备应急物资；建立健全环境风险应急预案；应急监测等</w:t>
            </w:r>
          </w:p>
        </w:tc>
      </w:tr>
      <w:tr w14:paraId="160E3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78439F36">
            <w:pPr>
              <w:jc w:val="center"/>
              <w:rPr>
                <w:rFonts w:ascii="宋体" w:hAnsi="宋体"/>
                <w:color w:val="auto"/>
              </w:rPr>
            </w:pPr>
            <w:r>
              <w:rPr>
                <w:rFonts w:ascii="Times New Roman" w:hAnsi="Times New Roman"/>
                <w:color w:val="auto"/>
              </w:rPr>
              <w:t>依托工程</w:t>
            </w: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477D6623">
            <w:pPr>
              <w:jc w:val="center"/>
              <w:rPr>
                <w:rFonts w:ascii="宋体" w:hAnsi="宋体"/>
                <w:color w:val="auto"/>
              </w:rPr>
            </w:pPr>
            <w:r>
              <w:rPr>
                <w:rFonts w:ascii="Times New Roman" w:hAnsi="Times New Roman"/>
                <w:color w:val="auto"/>
              </w:rPr>
              <w:t>井下作业废水、采出水处理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3DBC2917">
            <w:pPr>
              <w:jc w:val="center"/>
              <w:rPr>
                <w:rFonts w:ascii="宋体" w:hAnsi="宋体"/>
                <w:color w:val="auto"/>
              </w:rPr>
            </w:pPr>
            <w:r>
              <w:rPr>
                <w:rFonts w:ascii="Times New Roman" w:hAnsi="Times New Roman"/>
                <w:color w:val="auto"/>
              </w:rPr>
              <w:t>部分油井采出液管输至东胜滨博公司樊</w:t>
            </w:r>
            <w:r>
              <w:rPr>
                <w:rFonts w:ascii="宋体" w:hAnsi="宋体"/>
                <w:color w:val="auto"/>
              </w:rPr>
              <w:t>163</w:t>
            </w:r>
            <w:r>
              <w:rPr>
                <w:rFonts w:ascii="Times New Roman" w:hAnsi="Times New Roman"/>
                <w:color w:val="auto"/>
              </w:rPr>
              <w:t>分水点进一步处理，分离出的作业废水、采出水依托站内采出水处理达标后用于油田注水开发，未外排</w:t>
            </w:r>
          </w:p>
        </w:tc>
      </w:tr>
      <w:tr w14:paraId="644C1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A9C33FE">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20EB0C74">
            <w:pPr>
              <w:jc w:val="center"/>
              <w:rPr>
                <w:rFonts w:ascii="宋体" w:hAnsi="宋体"/>
                <w:color w:val="auto"/>
              </w:rPr>
            </w:pPr>
            <w:r>
              <w:rPr>
                <w:rFonts w:ascii="Times New Roman" w:hAnsi="Times New Roman"/>
                <w:color w:val="auto"/>
              </w:rPr>
              <w:t>采出液处理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0EF0AE3E">
            <w:pPr>
              <w:jc w:val="center"/>
              <w:rPr>
                <w:rFonts w:ascii="宋体" w:hAnsi="宋体"/>
                <w:color w:val="auto"/>
              </w:rPr>
            </w:pPr>
            <w:r>
              <w:rPr>
                <w:rFonts w:ascii="Times New Roman" w:hAnsi="Times New Roman"/>
                <w:color w:val="auto"/>
              </w:rPr>
              <w:t>油井采出液分别依托高青联合站、樊</w:t>
            </w:r>
            <w:r>
              <w:rPr>
                <w:rFonts w:ascii="宋体" w:hAnsi="宋体"/>
                <w:color w:val="auto"/>
              </w:rPr>
              <w:t>163</w:t>
            </w:r>
            <w:r>
              <w:rPr>
                <w:rFonts w:ascii="Times New Roman" w:hAnsi="Times New Roman"/>
                <w:color w:val="auto"/>
              </w:rPr>
              <w:t>分水点进一步处理</w:t>
            </w:r>
          </w:p>
        </w:tc>
      </w:tr>
      <w:tr w14:paraId="20AF8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5D6716A">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11F34E09">
            <w:pPr>
              <w:jc w:val="center"/>
              <w:rPr>
                <w:rFonts w:ascii="宋体" w:hAnsi="宋体"/>
                <w:color w:val="auto"/>
              </w:rPr>
            </w:pPr>
            <w:r>
              <w:rPr>
                <w:rFonts w:ascii="Times New Roman" w:hAnsi="Times New Roman"/>
                <w:color w:val="auto"/>
              </w:rPr>
              <w:t>樊</w:t>
            </w:r>
            <w:r>
              <w:rPr>
                <w:rFonts w:ascii="宋体" w:hAnsi="宋体"/>
                <w:color w:val="auto"/>
              </w:rPr>
              <w:t>121-33</w:t>
            </w:r>
            <w:r>
              <w:rPr>
                <w:rFonts w:ascii="Times New Roman" w:hAnsi="Times New Roman"/>
                <w:color w:val="auto"/>
              </w:rPr>
              <w:t>收气点</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165C896A">
            <w:pPr>
              <w:jc w:val="center"/>
              <w:rPr>
                <w:rFonts w:ascii="宋体" w:hAnsi="宋体"/>
                <w:color w:val="auto"/>
              </w:rPr>
            </w:pPr>
            <w:r>
              <w:rPr>
                <w:rFonts w:ascii="Times New Roman" w:hAnsi="Times New Roman"/>
                <w:color w:val="auto"/>
              </w:rPr>
              <w:t>高青联合站分离出的伴生气管输至樊</w:t>
            </w:r>
            <w:r>
              <w:rPr>
                <w:rFonts w:ascii="宋体" w:hAnsi="宋体"/>
                <w:color w:val="auto"/>
              </w:rPr>
              <w:t>121-33</w:t>
            </w:r>
            <w:r>
              <w:rPr>
                <w:rFonts w:ascii="Times New Roman" w:hAnsi="Times New Roman"/>
                <w:color w:val="auto"/>
              </w:rPr>
              <w:t>收气点处理后，外销</w:t>
            </w:r>
          </w:p>
        </w:tc>
      </w:tr>
    </w:tbl>
    <w:p w14:paraId="619D657B">
      <w:pPr>
        <w:rPr>
          <w:rFonts w:ascii="宋体" w:hAnsi="宋体"/>
          <w:color w:val="auto"/>
        </w:rPr>
      </w:pPr>
    </w:p>
    <w:p w14:paraId="1C4E19B9">
      <w:pPr>
        <w:pStyle w:val="6"/>
        <w:rPr>
          <w:color w:val="auto"/>
        </w:rPr>
      </w:pPr>
      <w:r>
        <w:rPr>
          <w:rFonts w:hint="eastAsia"/>
          <w:color w:val="auto"/>
        </w:rPr>
        <w:t>现有工程污染物排放情况汇总</w:t>
      </w:r>
    </w:p>
    <w:p w14:paraId="3FBF8025">
      <w:pPr>
        <w:pStyle w:val="4"/>
        <w:ind w:firstLine="480"/>
        <w:rPr>
          <w:color w:val="auto"/>
          <w:kern w:val="0"/>
        </w:rPr>
      </w:pPr>
      <w:r>
        <w:rPr>
          <w:color w:val="auto"/>
          <w:kern w:val="0"/>
        </w:rPr>
        <w:t>现有工程</w:t>
      </w:r>
      <w:r>
        <w:rPr>
          <w:rFonts w:hint="eastAsia"/>
          <w:color w:val="auto"/>
          <w:kern w:val="0"/>
        </w:rPr>
        <w:t>污染物排放情况</w:t>
      </w:r>
      <w:r>
        <w:rPr>
          <w:rFonts w:hint="eastAsia"/>
          <w:color w:val="auto"/>
          <w:kern w:val="0"/>
        </w:rPr>
        <w:t>（2</w:t>
      </w:r>
      <w:r>
        <w:rPr>
          <w:color w:val="auto"/>
          <w:kern w:val="0"/>
        </w:rPr>
        <w:t>025</w:t>
      </w:r>
      <w:r>
        <w:rPr>
          <w:rFonts w:hint="eastAsia"/>
          <w:color w:val="auto"/>
          <w:kern w:val="0"/>
        </w:rPr>
        <w:t>年）</w:t>
      </w:r>
      <w:r>
        <w:rPr>
          <w:rFonts w:hint="eastAsia"/>
          <w:color w:val="auto"/>
          <w:kern w:val="0"/>
        </w:rPr>
        <w:t>详见</w:t>
      </w:r>
      <w:r>
        <w:rPr>
          <w:color w:val="auto"/>
          <w:kern w:val="0"/>
        </w:rPr>
        <w:fldChar w:fldCharType="begin"/>
      </w:r>
      <w:r>
        <w:rPr>
          <w:color w:val="auto"/>
          <w:kern w:val="0"/>
        </w:rPr>
        <w:instrText xml:space="preserve"> </w:instrText>
      </w:r>
      <w:r>
        <w:rPr>
          <w:rFonts w:hint="eastAsia"/>
          <w:color w:val="auto"/>
          <w:kern w:val="0"/>
        </w:rPr>
        <w:instrText xml:space="preserve">REF _Ref55291122 \h</w:instrText>
      </w:r>
      <w:r>
        <w:rPr>
          <w:color w:val="auto"/>
          <w:kern w:val="0"/>
        </w:rPr>
        <w:instrText xml:space="preserve">  \* MERGEFORMAT </w:instrText>
      </w:r>
      <w:r>
        <w:rPr>
          <w:color w:val="auto"/>
          <w:kern w:val="0"/>
        </w:rPr>
        <w:fldChar w:fldCharType="separate"/>
      </w:r>
      <w:r>
        <w:rPr>
          <w:color w:val="auto"/>
          <w:kern w:val="0"/>
        </w:rPr>
        <w:t>表 3.1</w:t>
      </w:r>
      <w:r>
        <w:rPr>
          <w:color w:val="auto"/>
          <w:kern w:val="0"/>
        </w:rPr>
        <w:noBreakHyphen/>
      </w:r>
      <w:r>
        <w:rPr>
          <w:color w:val="auto"/>
          <w:kern w:val="0"/>
        </w:rPr>
        <w:t>2</w:t>
      </w:r>
      <w:r>
        <w:rPr>
          <w:color w:val="auto"/>
          <w:kern w:val="0"/>
        </w:rPr>
        <w:fldChar w:fldCharType="end"/>
      </w:r>
      <w:r>
        <w:rPr>
          <w:rFonts w:hint="eastAsia"/>
          <w:color w:val="auto"/>
          <w:kern w:val="0"/>
        </w:rPr>
        <w:t>。</w:t>
      </w:r>
    </w:p>
    <w:p w14:paraId="27EA892F">
      <w:pPr>
        <w:pStyle w:val="15"/>
        <w:spacing w:before="120"/>
        <w:rPr>
          <w:rFonts w:hAnsi="宋体"/>
          <w:color w:val="auto"/>
          <w:kern w:val="0"/>
        </w:rPr>
      </w:pPr>
      <w:bookmarkStart w:id="60" w:name="_Ref55291122"/>
      <w:r>
        <w:rPr>
          <w:rFonts w:hAnsi="宋体"/>
          <w:color w:val="auto"/>
          <w:kern w:val="0"/>
        </w:rPr>
        <w:t xml:space="preserve">表 </w:t>
      </w:r>
      <w:r>
        <w:rPr>
          <w:rFonts w:hAnsi="宋体"/>
          <w:color w:val="auto"/>
          <w:kern w:val="0"/>
        </w:rPr>
        <w:fldChar w:fldCharType="begin"/>
      </w:r>
      <w:r>
        <w:rPr>
          <w:rFonts w:hAnsi="宋体"/>
          <w:color w:val="auto"/>
          <w:kern w:val="0"/>
        </w:rPr>
        <w:instrText xml:space="preserve"> STYLEREF 2 \s </w:instrText>
      </w:r>
      <w:r>
        <w:rPr>
          <w:rFonts w:hAnsi="宋体"/>
          <w:color w:val="auto"/>
          <w:kern w:val="0"/>
        </w:rPr>
        <w:fldChar w:fldCharType="separate"/>
      </w:r>
      <w:r>
        <w:rPr>
          <w:rFonts w:hAnsi="宋体"/>
          <w:color w:val="auto"/>
          <w:kern w:val="0"/>
        </w:rPr>
        <w:t>3.1</w:t>
      </w:r>
      <w:r>
        <w:rPr>
          <w:rFonts w:hAnsi="宋体"/>
          <w:color w:val="auto"/>
          <w:kern w:val="0"/>
        </w:rPr>
        <w:fldChar w:fldCharType="end"/>
      </w:r>
      <w:r>
        <w:rPr>
          <w:rFonts w:hAnsi="宋体"/>
          <w:color w:val="auto"/>
          <w:kern w:val="0"/>
        </w:rPr>
        <w:noBreakHyphen/>
      </w:r>
      <w:r>
        <w:rPr>
          <w:rFonts w:hAnsi="宋体"/>
          <w:color w:val="auto"/>
          <w:kern w:val="0"/>
        </w:rPr>
        <w:fldChar w:fldCharType="begin"/>
      </w:r>
      <w:r>
        <w:rPr>
          <w:rFonts w:hAnsi="宋体"/>
          <w:color w:val="auto"/>
          <w:kern w:val="0"/>
        </w:rPr>
        <w:instrText xml:space="preserve"> SEQ 表 \* ARABIC \s 2 </w:instrText>
      </w:r>
      <w:r>
        <w:rPr>
          <w:rFonts w:hAnsi="宋体"/>
          <w:color w:val="auto"/>
          <w:kern w:val="0"/>
        </w:rPr>
        <w:fldChar w:fldCharType="separate"/>
      </w:r>
      <w:r>
        <w:rPr>
          <w:rFonts w:hAnsi="宋体"/>
          <w:color w:val="auto"/>
          <w:kern w:val="0"/>
        </w:rPr>
        <w:t>2</w:t>
      </w:r>
      <w:r>
        <w:rPr>
          <w:rFonts w:hAnsi="宋体"/>
          <w:color w:val="auto"/>
          <w:kern w:val="0"/>
        </w:rPr>
        <w:fldChar w:fldCharType="end"/>
      </w:r>
      <w:bookmarkEnd w:id="60"/>
      <w:r>
        <w:rPr>
          <w:rFonts w:hAnsi="宋体"/>
          <w:color w:val="auto"/>
          <w:kern w:val="0"/>
        </w:rPr>
        <w:t xml:space="preserve">  </w:t>
      </w:r>
      <w:r>
        <w:rPr>
          <w:rFonts w:hint="eastAsia" w:hAnsi="宋体"/>
          <w:color w:val="auto"/>
          <w:kern w:val="0"/>
        </w:rPr>
        <w:t>现有</w:t>
      </w:r>
      <w:r>
        <w:rPr>
          <w:rFonts w:hAnsi="宋体"/>
          <w:color w:val="auto"/>
          <w:kern w:val="0"/>
        </w:rPr>
        <w:t>工程</w:t>
      </w:r>
      <w:r>
        <w:rPr>
          <w:rFonts w:hint="eastAsia" w:hAnsi="宋体"/>
          <w:color w:val="auto"/>
          <w:kern w:val="0"/>
        </w:rPr>
        <w:t>污染物</w:t>
      </w:r>
      <w:r>
        <w:rPr>
          <w:rFonts w:hAnsi="宋体"/>
          <w:color w:val="auto"/>
          <w:kern w:val="0"/>
        </w:rPr>
        <w:t>排放情况表</w:t>
      </w:r>
    </w:p>
    <w:tbl>
      <w:tblPr>
        <w:tblStyle w:val="4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401"/>
        <w:gridCol w:w="1408"/>
        <w:gridCol w:w="2117"/>
        <w:gridCol w:w="1410"/>
        <w:gridCol w:w="1270"/>
        <w:gridCol w:w="1118"/>
      </w:tblGrid>
      <w:tr w14:paraId="737A38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tcBorders>
              <w:top w:val="single" w:color="auto" w:sz="2" w:space="0"/>
              <w:left w:val="single" w:color="auto" w:sz="2" w:space="0"/>
              <w:bottom w:val="single" w:color="auto" w:sz="2" w:space="0"/>
              <w:right w:val="single" w:color="auto" w:sz="2" w:space="0"/>
            </w:tcBorders>
            <w:vAlign w:val="center"/>
          </w:tcPr>
          <w:p w14:paraId="2F7B2014">
            <w:pPr>
              <w:jc w:val="center"/>
              <w:rPr>
                <w:rFonts w:ascii="宋体" w:hAnsi="宋体"/>
                <w:color w:val="auto"/>
              </w:rPr>
            </w:pPr>
            <w:r>
              <w:rPr>
                <w:rFonts w:ascii="Times New Roman" w:hAnsi="Times New Roman"/>
                <w:color w:val="auto"/>
              </w:rPr>
              <w:t>污染物类型</w:t>
            </w: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5D9ABE77">
            <w:pPr>
              <w:jc w:val="center"/>
              <w:rPr>
                <w:rFonts w:ascii="宋体" w:hAnsi="宋体"/>
                <w:color w:val="auto"/>
              </w:rPr>
            </w:pPr>
            <w:r>
              <w:rPr>
                <w:rFonts w:ascii="Times New Roman" w:hAnsi="Times New Roman"/>
                <w:color w:val="auto"/>
              </w:rPr>
              <w:t>污染物名称</w:t>
            </w:r>
          </w:p>
        </w:tc>
        <w:tc>
          <w:tcPr>
            <w:tcW w:w="1445" w:type="dxa"/>
            <w:tcBorders>
              <w:top w:val="single" w:color="auto" w:sz="2" w:space="0"/>
              <w:left w:val="single" w:color="auto" w:sz="2" w:space="0"/>
              <w:bottom w:val="single" w:color="auto" w:sz="2" w:space="0"/>
              <w:right w:val="single" w:color="auto" w:sz="2" w:space="0"/>
            </w:tcBorders>
            <w:vAlign w:val="center"/>
          </w:tcPr>
          <w:p w14:paraId="07C68381">
            <w:pPr>
              <w:jc w:val="center"/>
              <w:rPr>
                <w:rFonts w:ascii="宋体" w:hAnsi="宋体"/>
                <w:color w:val="auto"/>
              </w:rPr>
            </w:pPr>
            <w:r>
              <w:rPr>
                <w:rFonts w:ascii="Times New Roman" w:hAnsi="Times New Roman"/>
                <w:color w:val="auto"/>
              </w:rPr>
              <w:t>产生量</w:t>
            </w:r>
          </w:p>
        </w:tc>
        <w:tc>
          <w:tcPr>
            <w:tcW w:w="1301" w:type="dxa"/>
            <w:tcBorders>
              <w:top w:val="single" w:color="auto" w:sz="2" w:space="0"/>
              <w:left w:val="single" w:color="auto" w:sz="2" w:space="0"/>
              <w:bottom w:val="single" w:color="auto" w:sz="2" w:space="0"/>
              <w:right w:val="single" w:color="auto" w:sz="2" w:space="0"/>
            </w:tcBorders>
            <w:vAlign w:val="center"/>
          </w:tcPr>
          <w:p w14:paraId="7C1464C0">
            <w:pPr>
              <w:jc w:val="center"/>
              <w:rPr>
                <w:rFonts w:ascii="宋体" w:hAnsi="宋体"/>
                <w:color w:val="auto"/>
              </w:rPr>
            </w:pPr>
            <w:r>
              <w:rPr>
                <w:rFonts w:ascii="Times New Roman" w:hAnsi="Times New Roman"/>
                <w:color w:val="auto"/>
              </w:rPr>
              <w:t>削减量</w:t>
            </w:r>
          </w:p>
        </w:tc>
        <w:tc>
          <w:tcPr>
            <w:tcW w:w="1145" w:type="dxa"/>
            <w:tcBorders>
              <w:top w:val="single" w:color="auto" w:sz="2" w:space="0"/>
              <w:left w:val="single" w:color="auto" w:sz="2" w:space="0"/>
              <w:bottom w:val="single" w:color="auto" w:sz="2" w:space="0"/>
              <w:right w:val="single" w:color="auto" w:sz="2" w:space="0"/>
            </w:tcBorders>
            <w:vAlign w:val="center"/>
          </w:tcPr>
          <w:p w14:paraId="5364071C">
            <w:pPr>
              <w:jc w:val="center"/>
              <w:rPr>
                <w:rFonts w:ascii="宋体" w:hAnsi="宋体"/>
                <w:color w:val="auto"/>
              </w:rPr>
            </w:pPr>
            <w:r>
              <w:rPr>
                <w:rFonts w:ascii="Times New Roman" w:hAnsi="Times New Roman"/>
                <w:color w:val="auto"/>
              </w:rPr>
              <w:t>排放量</w:t>
            </w:r>
          </w:p>
        </w:tc>
      </w:tr>
      <w:tr w14:paraId="23C14F9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restart"/>
            <w:tcBorders>
              <w:top w:val="nil"/>
              <w:left w:val="single" w:color="auto" w:sz="2" w:space="0"/>
              <w:bottom w:val="single" w:color="auto" w:sz="2" w:space="0"/>
              <w:right w:val="single" w:color="auto" w:sz="2" w:space="0"/>
            </w:tcBorders>
            <w:vAlign w:val="center"/>
          </w:tcPr>
          <w:p w14:paraId="2BEEF83F">
            <w:pPr>
              <w:jc w:val="center"/>
              <w:rPr>
                <w:rFonts w:ascii="宋体" w:hAnsi="宋体"/>
                <w:color w:val="auto"/>
              </w:rPr>
            </w:pPr>
            <w:r>
              <w:rPr>
                <w:rFonts w:ascii="Times New Roman" w:hAnsi="Times New Roman"/>
                <w:color w:val="auto"/>
              </w:rPr>
              <w:t>废气</w:t>
            </w:r>
          </w:p>
        </w:tc>
        <w:tc>
          <w:tcPr>
            <w:tcW w:w="1443" w:type="dxa"/>
            <w:vMerge w:val="restart"/>
            <w:tcBorders>
              <w:top w:val="nil"/>
              <w:left w:val="single" w:color="auto" w:sz="2" w:space="0"/>
              <w:bottom w:val="single" w:color="auto" w:sz="2" w:space="0"/>
              <w:right w:val="single" w:color="auto" w:sz="2" w:space="0"/>
            </w:tcBorders>
            <w:vAlign w:val="center"/>
          </w:tcPr>
          <w:p w14:paraId="49C02D09">
            <w:pPr>
              <w:jc w:val="center"/>
              <w:rPr>
                <w:rFonts w:ascii="宋体" w:hAnsi="宋体"/>
                <w:color w:val="auto"/>
              </w:rPr>
            </w:pPr>
            <w:r>
              <w:rPr>
                <w:rFonts w:ascii="Times New Roman" w:hAnsi="Times New Roman"/>
                <w:color w:val="auto"/>
              </w:rPr>
              <w:t>有组织</w:t>
            </w:r>
          </w:p>
        </w:tc>
        <w:tc>
          <w:tcPr>
            <w:tcW w:w="2174" w:type="dxa"/>
            <w:tcBorders>
              <w:top w:val="single" w:color="auto" w:sz="2" w:space="0"/>
              <w:left w:val="single" w:color="auto" w:sz="2" w:space="0"/>
              <w:bottom w:val="single" w:color="auto" w:sz="2" w:space="0"/>
              <w:right w:val="single" w:color="auto" w:sz="2" w:space="0"/>
            </w:tcBorders>
            <w:vAlign w:val="center"/>
          </w:tcPr>
          <w:p w14:paraId="0670A783">
            <w:pPr>
              <w:jc w:val="center"/>
              <w:rPr>
                <w:rFonts w:ascii="宋体" w:hAnsi="宋体"/>
                <w:color w:val="auto"/>
              </w:rPr>
            </w:pPr>
            <w:r>
              <w:rPr>
                <w:rFonts w:ascii="Times New Roman" w:hAnsi="Times New Roman"/>
                <w:color w:val="auto"/>
              </w:rPr>
              <w:t>废气量（</w:t>
            </w:r>
            <w:r>
              <w:rPr>
                <w:rFonts w:ascii="宋体" w:hAnsi="宋体"/>
                <w:color w:val="auto"/>
              </w:rPr>
              <w:t>10</w:t>
            </w:r>
            <w:r>
              <w:rPr>
                <w:rFonts w:ascii="宋体" w:hAnsi="宋体"/>
                <w:color w:val="auto"/>
                <w:vertAlign w:val="superscript"/>
              </w:rPr>
              <w:t>4</w:t>
            </w:r>
            <w:r>
              <w:rPr>
                <w:rFonts w:ascii="宋体" w:hAnsi="宋体"/>
                <w:color w:val="auto"/>
              </w:rPr>
              <w:t>m</w:t>
            </w:r>
            <w:r>
              <w:rPr>
                <w:rFonts w:ascii="宋体" w:hAnsi="宋体"/>
                <w:color w:val="auto"/>
                <w:vertAlign w:val="superscript"/>
              </w:rPr>
              <w:t>3</w:t>
            </w:r>
            <w:r>
              <w:rPr>
                <w:rFonts w:ascii="宋体" w:hAnsi="宋体"/>
                <w:color w:val="auto"/>
              </w:rPr>
              <w: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0E3E6586">
            <w:pPr>
              <w:jc w:val="center"/>
              <w:rPr>
                <w:rFonts w:ascii="宋体" w:hAnsi="宋体"/>
                <w:color w:val="auto"/>
              </w:rPr>
            </w:pPr>
            <w:r>
              <w:rPr>
                <w:rFonts w:ascii="宋体" w:hAnsi="宋体"/>
                <w:color w:val="auto"/>
              </w:rPr>
              <w:t>553.93</w:t>
            </w:r>
          </w:p>
        </w:tc>
        <w:tc>
          <w:tcPr>
            <w:tcW w:w="1301" w:type="dxa"/>
            <w:tcBorders>
              <w:top w:val="single" w:color="auto" w:sz="2" w:space="0"/>
              <w:left w:val="single" w:color="auto" w:sz="2" w:space="0"/>
              <w:bottom w:val="single" w:color="auto" w:sz="2" w:space="0"/>
              <w:right w:val="single" w:color="auto" w:sz="2" w:space="0"/>
            </w:tcBorders>
            <w:vAlign w:val="center"/>
          </w:tcPr>
          <w:p w14:paraId="5BBEF00B">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442B6E12">
            <w:pPr>
              <w:jc w:val="center"/>
              <w:rPr>
                <w:rFonts w:ascii="宋体" w:hAnsi="宋体"/>
                <w:color w:val="auto"/>
              </w:rPr>
            </w:pPr>
            <w:r>
              <w:rPr>
                <w:rFonts w:ascii="宋体" w:hAnsi="宋体"/>
                <w:color w:val="auto"/>
              </w:rPr>
              <w:t>553.93</w:t>
            </w:r>
          </w:p>
        </w:tc>
      </w:tr>
      <w:tr w14:paraId="64AB81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27AD71AE">
            <w:pPr>
              <w:widowControl/>
              <w:jc w:val="left"/>
              <w:rPr>
                <w:rFonts w:ascii="宋体" w:hAnsi="宋体"/>
                <w:color w:val="auto"/>
              </w:rPr>
            </w:pPr>
          </w:p>
        </w:tc>
        <w:tc>
          <w:tcPr>
            <w:tcW w:w="3617" w:type="dxa"/>
            <w:vMerge w:val="continue"/>
            <w:tcBorders>
              <w:top w:val="nil"/>
              <w:left w:val="single" w:color="auto" w:sz="2" w:space="0"/>
              <w:bottom w:val="single" w:color="auto" w:sz="2" w:space="0"/>
              <w:right w:val="single" w:color="auto" w:sz="2" w:space="0"/>
            </w:tcBorders>
            <w:vAlign w:val="center"/>
          </w:tcPr>
          <w:p w14:paraId="55C90DD5">
            <w:pPr>
              <w:widowControl/>
              <w:jc w:val="left"/>
              <w:rPr>
                <w:rFonts w:ascii="宋体" w:hAnsi="宋体"/>
                <w:color w:val="auto"/>
              </w:rPr>
            </w:pPr>
          </w:p>
        </w:tc>
        <w:tc>
          <w:tcPr>
            <w:tcW w:w="2174" w:type="dxa"/>
            <w:tcBorders>
              <w:top w:val="single" w:color="auto" w:sz="2" w:space="0"/>
              <w:left w:val="single" w:color="auto" w:sz="2" w:space="0"/>
              <w:bottom w:val="single" w:color="auto" w:sz="2" w:space="0"/>
              <w:right w:val="single" w:color="auto" w:sz="2" w:space="0"/>
            </w:tcBorders>
            <w:vAlign w:val="center"/>
          </w:tcPr>
          <w:p w14:paraId="051C4590">
            <w:pPr>
              <w:jc w:val="center"/>
              <w:rPr>
                <w:rFonts w:ascii="宋体" w:hAnsi="宋体"/>
                <w:color w:val="auto"/>
              </w:rPr>
            </w:pPr>
            <w:r>
              <w:rPr>
                <w:rFonts w:ascii="宋体" w:hAnsi="宋体"/>
                <w:color w:val="auto"/>
              </w:rPr>
              <w:t>SO</w:t>
            </w:r>
            <w:r>
              <w:rPr>
                <w:rFonts w:ascii="宋体" w:hAnsi="宋体"/>
                <w:color w:val="auto"/>
                <w:vertAlign w:val="subscript"/>
              </w:rPr>
              <w:t>2</w:t>
            </w:r>
            <w:r>
              <w:rPr>
                <w:rFonts w:ascii="Times New Roman" w:hAnsi="Times New Roman"/>
                <w:color w:val="auto"/>
              </w:rPr>
              <w:t>（</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36EF7BFD">
            <w:pPr>
              <w:jc w:val="center"/>
              <w:rPr>
                <w:rFonts w:ascii="宋体" w:hAnsi="宋体"/>
                <w:color w:val="auto"/>
              </w:rPr>
            </w:pPr>
            <w:r>
              <w:rPr>
                <w:rFonts w:ascii="宋体" w:hAnsi="宋体"/>
                <w:color w:val="auto"/>
              </w:rPr>
              <w:t>0.0250</w:t>
            </w:r>
          </w:p>
        </w:tc>
        <w:tc>
          <w:tcPr>
            <w:tcW w:w="1301" w:type="dxa"/>
            <w:tcBorders>
              <w:top w:val="single" w:color="auto" w:sz="2" w:space="0"/>
              <w:left w:val="single" w:color="auto" w:sz="2" w:space="0"/>
              <w:bottom w:val="single" w:color="auto" w:sz="2" w:space="0"/>
              <w:right w:val="single" w:color="auto" w:sz="2" w:space="0"/>
            </w:tcBorders>
            <w:vAlign w:val="center"/>
          </w:tcPr>
          <w:p w14:paraId="01A56F51">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13FE1ABF">
            <w:pPr>
              <w:jc w:val="center"/>
              <w:rPr>
                <w:rFonts w:ascii="宋体" w:hAnsi="宋体"/>
                <w:color w:val="auto"/>
              </w:rPr>
            </w:pPr>
            <w:r>
              <w:rPr>
                <w:rFonts w:ascii="宋体" w:hAnsi="宋体"/>
                <w:color w:val="auto"/>
              </w:rPr>
              <w:t>0.0250</w:t>
            </w:r>
          </w:p>
        </w:tc>
      </w:tr>
      <w:tr w14:paraId="75DD66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69B94728">
            <w:pPr>
              <w:widowControl/>
              <w:jc w:val="left"/>
              <w:rPr>
                <w:rFonts w:ascii="宋体" w:hAnsi="宋体"/>
                <w:color w:val="auto"/>
              </w:rPr>
            </w:pPr>
          </w:p>
        </w:tc>
        <w:tc>
          <w:tcPr>
            <w:tcW w:w="3617" w:type="dxa"/>
            <w:vMerge w:val="continue"/>
            <w:tcBorders>
              <w:top w:val="nil"/>
              <w:left w:val="single" w:color="auto" w:sz="2" w:space="0"/>
              <w:bottom w:val="single" w:color="auto" w:sz="2" w:space="0"/>
              <w:right w:val="single" w:color="auto" w:sz="2" w:space="0"/>
            </w:tcBorders>
            <w:vAlign w:val="center"/>
          </w:tcPr>
          <w:p w14:paraId="516279E5">
            <w:pPr>
              <w:widowControl/>
              <w:jc w:val="left"/>
              <w:rPr>
                <w:rFonts w:ascii="宋体" w:hAnsi="宋体"/>
                <w:color w:val="auto"/>
              </w:rPr>
            </w:pPr>
          </w:p>
        </w:tc>
        <w:tc>
          <w:tcPr>
            <w:tcW w:w="2174" w:type="dxa"/>
            <w:tcBorders>
              <w:top w:val="single" w:color="auto" w:sz="2" w:space="0"/>
              <w:left w:val="single" w:color="auto" w:sz="2" w:space="0"/>
              <w:bottom w:val="single" w:color="auto" w:sz="2" w:space="0"/>
              <w:right w:val="single" w:color="auto" w:sz="2" w:space="0"/>
            </w:tcBorders>
            <w:vAlign w:val="center"/>
          </w:tcPr>
          <w:p w14:paraId="1D5EE660">
            <w:pPr>
              <w:jc w:val="center"/>
              <w:rPr>
                <w:rFonts w:ascii="宋体" w:hAnsi="宋体"/>
                <w:color w:val="auto"/>
              </w:rPr>
            </w:pPr>
            <w:r>
              <w:rPr>
                <w:rFonts w:ascii="宋体" w:hAnsi="宋体"/>
                <w:color w:val="auto"/>
              </w:rPr>
              <w:t>NO</w:t>
            </w:r>
            <w:r>
              <w:rPr>
                <w:rFonts w:ascii="宋体" w:hAnsi="宋体"/>
                <w:color w:val="auto"/>
                <w:vertAlign w:val="subscript"/>
              </w:rPr>
              <w:t>X</w:t>
            </w:r>
            <w:r>
              <w:rPr>
                <w:rFonts w:ascii="Times New Roman" w:hAnsi="Times New Roman"/>
                <w:color w:val="auto"/>
              </w:rPr>
              <w:t>（</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4862563E">
            <w:pPr>
              <w:jc w:val="center"/>
              <w:rPr>
                <w:rFonts w:ascii="宋体" w:hAnsi="宋体"/>
                <w:color w:val="auto"/>
              </w:rPr>
            </w:pPr>
            <w:r>
              <w:rPr>
                <w:rFonts w:ascii="宋体" w:hAnsi="宋体"/>
                <w:color w:val="auto"/>
              </w:rPr>
              <w:t>0.2440</w:t>
            </w:r>
          </w:p>
        </w:tc>
        <w:tc>
          <w:tcPr>
            <w:tcW w:w="1301" w:type="dxa"/>
            <w:tcBorders>
              <w:top w:val="single" w:color="auto" w:sz="2" w:space="0"/>
              <w:left w:val="single" w:color="auto" w:sz="2" w:space="0"/>
              <w:bottom w:val="single" w:color="auto" w:sz="2" w:space="0"/>
              <w:right w:val="single" w:color="auto" w:sz="2" w:space="0"/>
            </w:tcBorders>
            <w:vAlign w:val="center"/>
          </w:tcPr>
          <w:p w14:paraId="77CC6DCA">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550C27A7">
            <w:pPr>
              <w:jc w:val="center"/>
              <w:rPr>
                <w:rFonts w:ascii="宋体" w:hAnsi="宋体"/>
                <w:color w:val="auto"/>
              </w:rPr>
            </w:pPr>
            <w:r>
              <w:rPr>
                <w:rFonts w:ascii="宋体" w:hAnsi="宋体"/>
                <w:color w:val="auto"/>
              </w:rPr>
              <w:t>0.2440</w:t>
            </w:r>
          </w:p>
        </w:tc>
      </w:tr>
      <w:tr w14:paraId="6D80C3D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32528627">
            <w:pPr>
              <w:widowControl/>
              <w:jc w:val="left"/>
              <w:rPr>
                <w:rFonts w:ascii="宋体" w:hAnsi="宋体"/>
                <w:color w:val="auto"/>
              </w:rPr>
            </w:pPr>
          </w:p>
        </w:tc>
        <w:tc>
          <w:tcPr>
            <w:tcW w:w="3617" w:type="dxa"/>
            <w:vMerge w:val="continue"/>
            <w:tcBorders>
              <w:top w:val="nil"/>
              <w:left w:val="single" w:color="auto" w:sz="2" w:space="0"/>
              <w:bottom w:val="single" w:color="auto" w:sz="2" w:space="0"/>
              <w:right w:val="single" w:color="auto" w:sz="2" w:space="0"/>
            </w:tcBorders>
            <w:vAlign w:val="center"/>
          </w:tcPr>
          <w:p w14:paraId="26419D7C">
            <w:pPr>
              <w:widowControl/>
              <w:jc w:val="left"/>
              <w:rPr>
                <w:rFonts w:ascii="宋体" w:hAnsi="宋体"/>
                <w:color w:val="auto"/>
              </w:rPr>
            </w:pPr>
          </w:p>
        </w:tc>
        <w:tc>
          <w:tcPr>
            <w:tcW w:w="2174" w:type="dxa"/>
            <w:tcBorders>
              <w:top w:val="single" w:color="auto" w:sz="2" w:space="0"/>
              <w:left w:val="single" w:color="auto" w:sz="2" w:space="0"/>
              <w:bottom w:val="single" w:color="auto" w:sz="2" w:space="0"/>
              <w:right w:val="single" w:color="auto" w:sz="2" w:space="0"/>
            </w:tcBorders>
            <w:vAlign w:val="center"/>
          </w:tcPr>
          <w:p w14:paraId="316331EB">
            <w:pPr>
              <w:jc w:val="center"/>
              <w:rPr>
                <w:rFonts w:ascii="宋体" w:hAnsi="宋体"/>
                <w:color w:val="auto"/>
              </w:rPr>
            </w:pPr>
            <w:r>
              <w:rPr>
                <w:rFonts w:ascii="Times New Roman" w:hAnsi="Times New Roman"/>
                <w:color w:val="auto"/>
              </w:rPr>
              <w:t>颗粒物（</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58830E91">
            <w:pPr>
              <w:jc w:val="center"/>
              <w:rPr>
                <w:rFonts w:ascii="宋体" w:hAnsi="宋体"/>
                <w:color w:val="auto"/>
              </w:rPr>
            </w:pPr>
            <w:r>
              <w:rPr>
                <w:rFonts w:ascii="宋体" w:hAnsi="宋体"/>
                <w:color w:val="auto"/>
              </w:rPr>
              <w:t>0.0325</w:t>
            </w:r>
          </w:p>
        </w:tc>
        <w:tc>
          <w:tcPr>
            <w:tcW w:w="1301" w:type="dxa"/>
            <w:tcBorders>
              <w:top w:val="single" w:color="auto" w:sz="2" w:space="0"/>
              <w:left w:val="single" w:color="auto" w:sz="2" w:space="0"/>
              <w:bottom w:val="single" w:color="auto" w:sz="2" w:space="0"/>
              <w:right w:val="single" w:color="auto" w:sz="2" w:space="0"/>
            </w:tcBorders>
            <w:vAlign w:val="center"/>
          </w:tcPr>
          <w:p w14:paraId="2DDE3887">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0F1EF22F">
            <w:pPr>
              <w:jc w:val="center"/>
              <w:rPr>
                <w:rFonts w:ascii="宋体" w:hAnsi="宋体"/>
                <w:color w:val="auto"/>
              </w:rPr>
            </w:pPr>
            <w:r>
              <w:rPr>
                <w:rFonts w:ascii="宋体" w:hAnsi="宋体"/>
                <w:color w:val="auto"/>
              </w:rPr>
              <w:t>0.0325</w:t>
            </w:r>
          </w:p>
        </w:tc>
      </w:tr>
      <w:tr w14:paraId="011CA74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0680EA57">
            <w:pPr>
              <w:widowControl/>
              <w:jc w:val="left"/>
              <w:rPr>
                <w:rFonts w:ascii="宋体" w:hAnsi="宋体"/>
                <w:color w:val="auto"/>
              </w:rPr>
            </w:pPr>
          </w:p>
        </w:tc>
        <w:tc>
          <w:tcPr>
            <w:tcW w:w="1443" w:type="dxa"/>
            <w:vMerge w:val="restart"/>
            <w:tcBorders>
              <w:top w:val="nil"/>
              <w:left w:val="single" w:color="auto" w:sz="2" w:space="0"/>
              <w:bottom w:val="single" w:color="auto" w:sz="2" w:space="0"/>
              <w:right w:val="single" w:color="auto" w:sz="2" w:space="0"/>
            </w:tcBorders>
            <w:vAlign w:val="center"/>
          </w:tcPr>
          <w:p w14:paraId="3A7E2DC1">
            <w:pPr>
              <w:jc w:val="center"/>
              <w:rPr>
                <w:rFonts w:ascii="宋体" w:hAnsi="宋体"/>
                <w:color w:val="auto"/>
              </w:rPr>
            </w:pPr>
            <w:r>
              <w:rPr>
                <w:rFonts w:ascii="Times New Roman" w:hAnsi="Times New Roman"/>
                <w:color w:val="auto"/>
              </w:rPr>
              <w:t>无组织</w:t>
            </w:r>
          </w:p>
        </w:tc>
        <w:tc>
          <w:tcPr>
            <w:tcW w:w="2174" w:type="dxa"/>
            <w:tcBorders>
              <w:top w:val="single" w:color="auto" w:sz="2" w:space="0"/>
              <w:left w:val="single" w:color="auto" w:sz="2" w:space="0"/>
              <w:bottom w:val="single" w:color="auto" w:sz="2" w:space="0"/>
              <w:right w:val="single" w:color="auto" w:sz="2" w:space="0"/>
            </w:tcBorders>
            <w:vAlign w:val="center"/>
          </w:tcPr>
          <w:p w14:paraId="4EE5B32B">
            <w:pPr>
              <w:jc w:val="center"/>
              <w:rPr>
                <w:rFonts w:ascii="宋体" w:hAnsi="宋体"/>
                <w:color w:val="auto"/>
              </w:rPr>
            </w:pPr>
            <w:r>
              <w:rPr>
                <w:rFonts w:ascii="宋体" w:hAnsi="宋体"/>
                <w:color w:val="auto"/>
              </w:rPr>
              <w:t>VOCs</w:t>
            </w:r>
            <w:r>
              <w:rPr>
                <w:rFonts w:ascii="Times New Roman" w:hAnsi="Times New Roman"/>
                <w:color w:val="auto"/>
              </w:rPr>
              <w:t>（</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1A611BFD">
            <w:pPr>
              <w:jc w:val="center"/>
              <w:rPr>
                <w:rFonts w:ascii="宋体" w:hAnsi="宋体"/>
                <w:color w:val="auto"/>
              </w:rPr>
            </w:pPr>
            <w:r>
              <w:rPr>
                <w:rFonts w:ascii="宋体" w:hAnsi="宋体"/>
                <w:color w:val="auto"/>
              </w:rPr>
              <w:t>43.954</w:t>
            </w:r>
          </w:p>
        </w:tc>
        <w:tc>
          <w:tcPr>
            <w:tcW w:w="1301" w:type="dxa"/>
            <w:tcBorders>
              <w:top w:val="single" w:color="auto" w:sz="2" w:space="0"/>
              <w:left w:val="single" w:color="auto" w:sz="2" w:space="0"/>
              <w:bottom w:val="single" w:color="auto" w:sz="2" w:space="0"/>
              <w:right w:val="single" w:color="auto" w:sz="2" w:space="0"/>
            </w:tcBorders>
            <w:vAlign w:val="center"/>
          </w:tcPr>
          <w:p w14:paraId="7944CE5E">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3A1F8DB0">
            <w:pPr>
              <w:jc w:val="center"/>
              <w:rPr>
                <w:rFonts w:ascii="宋体" w:hAnsi="宋体"/>
                <w:color w:val="auto"/>
              </w:rPr>
            </w:pPr>
            <w:r>
              <w:rPr>
                <w:rFonts w:ascii="宋体" w:hAnsi="宋体"/>
                <w:color w:val="auto"/>
              </w:rPr>
              <w:t>43.954</w:t>
            </w:r>
          </w:p>
        </w:tc>
      </w:tr>
      <w:tr w14:paraId="5D409D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0E92BC80">
            <w:pPr>
              <w:widowControl/>
              <w:jc w:val="left"/>
              <w:rPr>
                <w:rFonts w:ascii="宋体" w:hAnsi="宋体"/>
                <w:color w:val="auto"/>
              </w:rPr>
            </w:pPr>
          </w:p>
        </w:tc>
        <w:tc>
          <w:tcPr>
            <w:tcW w:w="3617" w:type="dxa"/>
            <w:vMerge w:val="continue"/>
            <w:tcBorders>
              <w:top w:val="nil"/>
              <w:left w:val="single" w:color="auto" w:sz="2" w:space="0"/>
              <w:bottom w:val="single" w:color="auto" w:sz="2" w:space="0"/>
              <w:right w:val="single" w:color="auto" w:sz="2" w:space="0"/>
            </w:tcBorders>
            <w:vAlign w:val="center"/>
          </w:tcPr>
          <w:p w14:paraId="4B5AA481">
            <w:pPr>
              <w:widowControl/>
              <w:jc w:val="left"/>
              <w:rPr>
                <w:rFonts w:ascii="宋体" w:hAnsi="宋体"/>
                <w:color w:val="auto"/>
              </w:rPr>
            </w:pPr>
          </w:p>
        </w:tc>
        <w:tc>
          <w:tcPr>
            <w:tcW w:w="2174" w:type="dxa"/>
            <w:tcBorders>
              <w:top w:val="single" w:color="auto" w:sz="2" w:space="0"/>
              <w:left w:val="single" w:color="auto" w:sz="2" w:space="0"/>
              <w:bottom w:val="single" w:color="auto" w:sz="2" w:space="0"/>
              <w:right w:val="single" w:color="auto" w:sz="2" w:space="0"/>
            </w:tcBorders>
            <w:vAlign w:val="center"/>
          </w:tcPr>
          <w:p w14:paraId="451059C1">
            <w:pPr>
              <w:jc w:val="center"/>
              <w:rPr>
                <w:rFonts w:ascii="宋体" w:hAnsi="宋体"/>
                <w:color w:val="auto"/>
              </w:rPr>
            </w:pPr>
            <w:r>
              <w:rPr>
                <w:rFonts w:ascii="Times New Roman" w:hAnsi="Times New Roman"/>
                <w:color w:val="auto"/>
              </w:rPr>
              <w:t>硫化氢（</w:t>
            </w:r>
            <w:r>
              <w:rPr>
                <w:rFonts w:ascii="宋体" w:hAnsi="宋体"/>
                <w:color w:val="auto"/>
              </w:rPr>
              <w:t>kg/a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610D3523">
            <w:pPr>
              <w:jc w:val="center"/>
              <w:rPr>
                <w:rFonts w:ascii="宋体" w:hAnsi="宋体"/>
                <w:color w:val="auto"/>
              </w:rPr>
            </w:pPr>
            <w:r>
              <w:rPr>
                <w:rFonts w:ascii="宋体" w:hAnsi="宋体"/>
                <w:color w:val="auto"/>
              </w:rPr>
              <w:t>0.121</w:t>
            </w:r>
          </w:p>
        </w:tc>
        <w:tc>
          <w:tcPr>
            <w:tcW w:w="1301" w:type="dxa"/>
            <w:tcBorders>
              <w:top w:val="single" w:color="auto" w:sz="2" w:space="0"/>
              <w:left w:val="single" w:color="auto" w:sz="2" w:space="0"/>
              <w:bottom w:val="single" w:color="auto" w:sz="2" w:space="0"/>
              <w:right w:val="single" w:color="auto" w:sz="2" w:space="0"/>
            </w:tcBorders>
            <w:vAlign w:val="center"/>
          </w:tcPr>
          <w:p w14:paraId="03F2C9D4">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528F70D1">
            <w:pPr>
              <w:jc w:val="center"/>
              <w:rPr>
                <w:rFonts w:ascii="宋体" w:hAnsi="宋体"/>
                <w:color w:val="auto"/>
              </w:rPr>
            </w:pPr>
            <w:r>
              <w:rPr>
                <w:rFonts w:ascii="宋体" w:hAnsi="宋体"/>
                <w:color w:val="auto"/>
              </w:rPr>
              <w:t>0.121</w:t>
            </w:r>
          </w:p>
        </w:tc>
      </w:tr>
      <w:tr w14:paraId="223F93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restart"/>
            <w:tcBorders>
              <w:top w:val="nil"/>
              <w:left w:val="single" w:color="auto" w:sz="2" w:space="0"/>
              <w:bottom w:val="single" w:color="auto" w:sz="2" w:space="0"/>
              <w:right w:val="single" w:color="auto" w:sz="2" w:space="0"/>
            </w:tcBorders>
            <w:vAlign w:val="center"/>
          </w:tcPr>
          <w:p w14:paraId="36CBF41B">
            <w:pPr>
              <w:jc w:val="center"/>
              <w:rPr>
                <w:rFonts w:ascii="宋体" w:hAnsi="宋体"/>
                <w:color w:val="auto"/>
              </w:rPr>
            </w:pPr>
            <w:r>
              <w:rPr>
                <w:rFonts w:ascii="Times New Roman" w:hAnsi="Times New Roman"/>
                <w:color w:val="auto"/>
              </w:rPr>
              <w:t>废水</w:t>
            </w: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78097B4B">
            <w:pPr>
              <w:jc w:val="center"/>
              <w:rPr>
                <w:rFonts w:ascii="宋体" w:hAnsi="宋体"/>
                <w:color w:val="auto"/>
              </w:rPr>
            </w:pPr>
            <w:r>
              <w:rPr>
                <w:rFonts w:ascii="Times New Roman" w:hAnsi="Times New Roman"/>
                <w:color w:val="auto"/>
              </w:rPr>
              <w:t>采出水（</w:t>
            </w:r>
            <w:r>
              <w:rPr>
                <w:rFonts w:ascii="宋体" w:hAnsi="宋体"/>
                <w:color w:val="auto"/>
              </w:rPr>
              <w:t>10</w:t>
            </w:r>
            <w:r>
              <w:rPr>
                <w:rFonts w:ascii="宋体" w:hAnsi="宋体"/>
                <w:color w:val="auto"/>
                <w:vertAlign w:val="superscript"/>
              </w:rPr>
              <w:t>4</w:t>
            </w:r>
            <w:r>
              <w:rPr>
                <w:rFonts w:ascii="宋体" w:hAnsi="宋体"/>
                <w:color w:val="auto"/>
              </w:rPr>
              <w:t>m</w:t>
            </w:r>
            <w:r>
              <w:rPr>
                <w:rFonts w:ascii="宋体" w:hAnsi="宋体"/>
                <w:color w:val="auto"/>
                <w:vertAlign w:val="superscript"/>
              </w:rPr>
              <w:t>3</w:t>
            </w:r>
            <w:r>
              <w:rPr>
                <w:rFonts w:ascii="宋体" w:hAnsi="宋体"/>
                <w:color w:val="auto"/>
              </w:rPr>
              <w: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noWrap/>
            <w:vAlign w:val="center"/>
          </w:tcPr>
          <w:p w14:paraId="21BFD351">
            <w:pPr>
              <w:jc w:val="center"/>
              <w:rPr>
                <w:rFonts w:ascii="宋体" w:hAnsi="宋体"/>
                <w:color w:val="auto"/>
              </w:rPr>
            </w:pPr>
            <w:r>
              <w:rPr>
                <w:rFonts w:ascii="宋体" w:hAnsi="宋体"/>
                <w:color w:val="auto"/>
              </w:rPr>
              <w:t>14.10</w:t>
            </w:r>
          </w:p>
        </w:tc>
        <w:tc>
          <w:tcPr>
            <w:tcW w:w="1301" w:type="dxa"/>
            <w:tcBorders>
              <w:top w:val="single" w:color="auto" w:sz="2" w:space="0"/>
              <w:left w:val="single" w:color="auto" w:sz="2" w:space="0"/>
              <w:bottom w:val="single" w:color="auto" w:sz="2" w:space="0"/>
              <w:right w:val="single" w:color="auto" w:sz="2" w:space="0"/>
            </w:tcBorders>
            <w:vAlign w:val="center"/>
          </w:tcPr>
          <w:p w14:paraId="6D6C5F24">
            <w:pPr>
              <w:jc w:val="center"/>
              <w:rPr>
                <w:rFonts w:ascii="宋体" w:hAnsi="宋体"/>
                <w:color w:val="auto"/>
              </w:rPr>
            </w:pPr>
            <w:r>
              <w:rPr>
                <w:rFonts w:ascii="宋体" w:hAnsi="宋体"/>
                <w:color w:val="auto"/>
              </w:rPr>
              <w:t>14.10</w:t>
            </w:r>
          </w:p>
        </w:tc>
        <w:tc>
          <w:tcPr>
            <w:tcW w:w="1145" w:type="dxa"/>
            <w:tcBorders>
              <w:top w:val="single" w:color="auto" w:sz="2" w:space="0"/>
              <w:left w:val="single" w:color="auto" w:sz="2" w:space="0"/>
              <w:bottom w:val="single" w:color="auto" w:sz="2" w:space="0"/>
              <w:right w:val="single" w:color="auto" w:sz="2" w:space="0"/>
            </w:tcBorders>
            <w:vAlign w:val="center"/>
          </w:tcPr>
          <w:p w14:paraId="710E4419">
            <w:pPr>
              <w:jc w:val="center"/>
              <w:rPr>
                <w:rFonts w:ascii="宋体" w:hAnsi="宋体"/>
                <w:color w:val="auto"/>
              </w:rPr>
            </w:pPr>
            <w:r>
              <w:rPr>
                <w:rFonts w:ascii="宋体" w:hAnsi="宋体"/>
                <w:color w:val="auto"/>
              </w:rPr>
              <w:t>0</w:t>
            </w:r>
          </w:p>
        </w:tc>
      </w:tr>
      <w:tr w14:paraId="1DC9DC7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17B347A5">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0330426F">
            <w:pPr>
              <w:jc w:val="center"/>
              <w:rPr>
                <w:rFonts w:ascii="宋体" w:hAnsi="宋体"/>
                <w:color w:val="auto"/>
              </w:rPr>
            </w:pPr>
            <w:r>
              <w:rPr>
                <w:rFonts w:ascii="Times New Roman" w:hAnsi="Times New Roman"/>
                <w:color w:val="auto"/>
              </w:rPr>
              <w:t>井下作业废水（</w:t>
            </w:r>
            <w:r>
              <w:rPr>
                <w:rFonts w:ascii="宋体" w:hAnsi="宋体"/>
                <w:color w:val="auto"/>
              </w:rPr>
              <w:t>m</w:t>
            </w:r>
            <w:r>
              <w:rPr>
                <w:rFonts w:ascii="宋体" w:hAnsi="宋体"/>
                <w:color w:val="auto"/>
                <w:vertAlign w:val="superscript"/>
              </w:rPr>
              <w:t>3</w:t>
            </w:r>
            <w:r>
              <w:rPr>
                <w:rFonts w:ascii="宋体" w:hAnsi="宋体"/>
                <w:color w:val="auto"/>
              </w:rPr>
              <w: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noWrap/>
            <w:vAlign w:val="center"/>
          </w:tcPr>
          <w:p w14:paraId="4A4533EF">
            <w:pPr>
              <w:jc w:val="center"/>
              <w:rPr>
                <w:rFonts w:ascii="宋体" w:hAnsi="宋体"/>
                <w:color w:val="auto"/>
              </w:rPr>
            </w:pPr>
            <w:r>
              <w:rPr>
                <w:rFonts w:ascii="宋体" w:hAnsi="宋体"/>
                <w:color w:val="auto"/>
              </w:rPr>
              <w:t>8156</w:t>
            </w:r>
          </w:p>
        </w:tc>
        <w:tc>
          <w:tcPr>
            <w:tcW w:w="1301" w:type="dxa"/>
            <w:tcBorders>
              <w:top w:val="single" w:color="auto" w:sz="2" w:space="0"/>
              <w:left w:val="single" w:color="auto" w:sz="2" w:space="0"/>
              <w:bottom w:val="single" w:color="auto" w:sz="2" w:space="0"/>
              <w:right w:val="single" w:color="auto" w:sz="2" w:space="0"/>
            </w:tcBorders>
            <w:vAlign w:val="center"/>
          </w:tcPr>
          <w:p w14:paraId="3F93B267">
            <w:pPr>
              <w:jc w:val="center"/>
              <w:rPr>
                <w:rFonts w:ascii="宋体" w:hAnsi="宋体"/>
                <w:color w:val="auto"/>
              </w:rPr>
            </w:pPr>
            <w:r>
              <w:rPr>
                <w:rFonts w:ascii="宋体" w:hAnsi="宋体"/>
                <w:color w:val="auto"/>
              </w:rPr>
              <w:t>8156</w:t>
            </w:r>
          </w:p>
        </w:tc>
        <w:tc>
          <w:tcPr>
            <w:tcW w:w="1145" w:type="dxa"/>
            <w:tcBorders>
              <w:top w:val="single" w:color="auto" w:sz="2" w:space="0"/>
              <w:left w:val="single" w:color="auto" w:sz="2" w:space="0"/>
              <w:bottom w:val="single" w:color="auto" w:sz="2" w:space="0"/>
              <w:right w:val="single" w:color="auto" w:sz="2" w:space="0"/>
            </w:tcBorders>
            <w:vAlign w:val="center"/>
          </w:tcPr>
          <w:p w14:paraId="39516063">
            <w:pPr>
              <w:jc w:val="center"/>
              <w:rPr>
                <w:rFonts w:ascii="宋体" w:hAnsi="宋体"/>
                <w:color w:val="auto"/>
              </w:rPr>
            </w:pPr>
            <w:r>
              <w:rPr>
                <w:rFonts w:ascii="宋体" w:hAnsi="宋体"/>
                <w:color w:val="auto"/>
              </w:rPr>
              <w:t>0</w:t>
            </w:r>
          </w:p>
        </w:tc>
      </w:tr>
      <w:tr w14:paraId="3CE1CE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14CA4BE7">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16349235">
            <w:pPr>
              <w:jc w:val="center"/>
              <w:rPr>
                <w:rFonts w:ascii="宋体" w:hAnsi="宋体"/>
                <w:color w:val="auto"/>
              </w:rPr>
            </w:pPr>
            <w:r>
              <w:rPr>
                <w:rFonts w:ascii="Times New Roman" w:hAnsi="Times New Roman"/>
                <w:color w:val="auto"/>
              </w:rPr>
              <w:t>生活污水（</w:t>
            </w:r>
            <w:r>
              <w:rPr>
                <w:rFonts w:ascii="宋体" w:hAnsi="宋体"/>
                <w:color w:val="auto"/>
              </w:rPr>
              <w:t>m</w:t>
            </w:r>
            <w:r>
              <w:rPr>
                <w:rFonts w:ascii="宋体" w:hAnsi="宋体"/>
                <w:color w:val="auto"/>
                <w:vertAlign w:val="superscript"/>
              </w:rPr>
              <w:t>3</w:t>
            </w:r>
            <w:r>
              <w:rPr>
                <w:rFonts w:ascii="宋体" w:hAnsi="宋体"/>
                <w:color w:val="auto"/>
              </w:rPr>
              <w: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6F226CB0">
            <w:pPr>
              <w:jc w:val="center"/>
              <w:rPr>
                <w:rFonts w:ascii="宋体" w:hAnsi="宋体"/>
                <w:color w:val="auto"/>
              </w:rPr>
            </w:pPr>
            <w:r>
              <w:rPr>
                <w:rFonts w:ascii="宋体" w:hAnsi="宋体"/>
                <w:color w:val="auto"/>
              </w:rPr>
              <w:t>4818</w:t>
            </w:r>
          </w:p>
        </w:tc>
        <w:tc>
          <w:tcPr>
            <w:tcW w:w="1301" w:type="dxa"/>
            <w:tcBorders>
              <w:top w:val="single" w:color="auto" w:sz="2" w:space="0"/>
              <w:left w:val="single" w:color="auto" w:sz="2" w:space="0"/>
              <w:bottom w:val="single" w:color="auto" w:sz="2" w:space="0"/>
              <w:right w:val="single" w:color="auto" w:sz="2" w:space="0"/>
            </w:tcBorders>
            <w:vAlign w:val="center"/>
          </w:tcPr>
          <w:p w14:paraId="73DC9C72">
            <w:pPr>
              <w:jc w:val="center"/>
              <w:rPr>
                <w:rFonts w:ascii="宋体" w:hAnsi="宋体"/>
                <w:color w:val="auto"/>
              </w:rPr>
            </w:pPr>
            <w:r>
              <w:rPr>
                <w:rFonts w:ascii="宋体" w:hAnsi="宋体"/>
                <w:color w:val="auto"/>
              </w:rPr>
              <w:t>4818</w:t>
            </w:r>
          </w:p>
        </w:tc>
        <w:tc>
          <w:tcPr>
            <w:tcW w:w="1145" w:type="dxa"/>
            <w:tcBorders>
              <w:top w:val="single" w:color="auto" w:sz="2" w:space="0"/>
              <w:left w:val="single" w:color="auto" w:sz="2" w:space="0"/>
              <w:bottom w:val="single" w:color="auto" w:sz="2" w:space="0"/>
              <w:right w:val="single" w:color="auto" w:sz="2" w:space="0"/>
            </w:tcBorders>
            <w:vAlign w:val="center"/>
          </w:tcPr>
          <w:p w14:paraId="43A11188">
            <w:pPr>
              <w:jc w:val="center"/>
              <w:rPr>
                <w:rFonts w:ascii="宋体" w:hAnsi="宋体"/>
                <w:color w:val="auto"/>
              </w:rPr>
            </w:pPr>
            <w:r>
              <w:rPr>
                <w:rFonts w:ascii="宋体" w:hAnsi="宋体"/>
                <w:color w:val="auto"/>
              </w:rPr>
              <w:t>0</w:t>
            </w:r>
          </w:p>
        </w:tc>
      </w:tr>
      <w:tr w14:paraId="6A077A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restart"/>
            <w:tcBorders>
              <w:top w:val="nil"/>
              <w:left w:val="single" w:color="auto" w:sz="2" w:space="0"/>
              <w:bottom w:val="single" w:color="auto" w:sz="2" w:space="0"/>
              <w:right w:val="single" w:color="auto" w:sz="2" w:space="0"/>
            </w:tcBorders>
            <w:vAlign w:val="center"/>
          </w:tcPr>
          <w:p w14:paraId="210E3466">
            <w:pPr>
              <w:jc w:val="center"/>
              <w:rPr>
                <w:rFonts w:ascii="宋体" w:hAnsi="宋体"/>
                <w:color w:val="auto"/>
              </w:rPr>
            </w:pPr>
            <w:r>
              <w:rPr>
                <w:rFonts w:ascii="Times New Roman" w:hAnsi="Times New Roman"/>
                <w:color w:val="auto"/>
              </w:rPr>
              <w:t>固废</w:t>
            </w: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62E3412B">
            <w:pPr>
              <w:jc w:val="center"/>
              <w:rPr>
                <w:rFonts w:ascii="宋体" w:hAnsi="宋体"/>
                <w:color w:val="auto"/>
              </w:rPr>
            </w:pPr>
            <w:r>
              <w:rPr>
                <w:rFonts w:ascii="Times New Roman" w:hAnsi="Times New Roman"/>
                <w:color w:val="auto"/>
              </w:rPr>
              <w:t>落地油（</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7A90C7F5">
            <w:pPr>
              <w:jc w:val="center"/>
              <w:rPr>
                <w:rFonts w:ascii="宋体" w:hAnsi="宋体"/>
                <w:color w:val="auto"/>
              </w:rPr>
            </w:pPr>
            <w:r>
              <w:rPr>
                <w:rFonts w:ascii="宋体" w:hAnsi="宋体"/>
                <w:color w:val="auto"/>
              </w:rPr>
              <w:t>74.25</w:t>
            </w:r>
          </w:p>
        </w:tc>
        <w:tc>
          <w:tcPr>
            <w:tcW w:w="1301" w:type="dxa"/>
            <w:tcBorders>
              <w:top w:val="single" w:color="auto" w:sz="2" w:space="0"/>
              <w:left w:val="single" w:color="auto" w:sz="2" w:space="0"/>
              <w:bottom w:val="single" w:color="auto" w:sz="2" w:space="0"/>
              <w:right w:val="single" w:color="auto" w:sz="2" w:space="0"/>
            </w:tcBorders>
            <w:vAlign w:val="center"/>
          </w:tcPr>
          <w:p w14:paraId="08524487">
            <w:pPr>
              <w:jc w:val="center"/>
              <w:rPr>
                <w:rFonts w:ascii="宋体" w:hAnsi="宋体"/>
                <w:color w:val="auto"/>
              </w:rPr>
            </w:pPr>
            <w:r>
              <w:rPr>
                <w:rFonts w:ascii="宋体" w:hAnsi="宋体"/>
                <w:color w:val="auto"/>
              </w:rPr>
              <w:t>74.25</w:t>
            </w:r>
          </w:p>
        </w:tc>
        <w:tc>
          <w:tcPr>
            <w:tcW w:w="1145" w:type="dxa"/>
            <w:tcBorders>
              <w:top w:val="single" w:color="auto" w:sz="2" w:space="0"/>
              <w:left w:val="single" w:color="auto" w:sz="2" w:space="0"/>
              <w:bottom w:val="single" w:color="auto" w:sz="2" w:space="0"/>
              <w:right w:val="single" w:color="auto" w:sz="2" w:space="0"/>
            </w:tcBorders>
            <w:vAlign w:val="center"/>
          </w:tcPr>
          <w:p w14:paraId="7D7E9A52">
            <w:pPr>
              <w:jc w:val="center"/>
              <w:rPr>
                <w:rFonts w:ascii="宋体" w:hAnsi="宋体"/>
                <w:color w:val="auto"/>
              </w:rPr>
            </w:pPr>
            <w:r>
              <w:rPr>
                <w:rFonts w:ascii="宋体" w:hAnsi="宋体"/>
                <w:color w:val="auto"/>
              </w:rPr>
              <w:t>0</w:t>
            </w:r>
          </w:p>
        </w:tc>
      </w:tr>
      <w:tr w14:paraId="035EA6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5BFD1EF7">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4A53F392">
            <w:pPr>
              <w:jc w:val="center"/>
              <w:rPr>
                <w:rFonts w:ascii="宋体" w:hAnsi="宋体"/>
                <w:color w:val="auto"/>
              </w:rPr>
            </w:pPr>
            <w:r>
              <w:rPr>
                <w:rFonts w:ascii="Times New Roman" w:hAnsi="Times New Roman"/>
                <w:color w:val="auto"/>
              </w:rPr>
              <w:t>清罐底泥（</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566B0BE6">
            <w:pPr>
              <w:jc w:val="center"/>
              <w:rPr>
                <w:rFonts w:ascii="宋体" w:hAnsi="宋体"/>
                <w:color w:val="auto"/>
              </w:rPr>
            </w:pPr>
            <w:r>
              <w:rPr>
                <w:rFonts w:ascii="宋体" w:hAnsi="宋体"/>
                <w:color w:val="auto"/>
              </w:rPr>
              <w:t>198.528</w:t>
            </w:r>
          </w:p>
        </w:tc>
        <w:tc>
          <w:tcPr>
            <w:tcW w:w="1301" w:type="dxa"/>
            <w:tcBorders>
              <w:top w:val="single" w:color="auto" w:sz="2" w:space="0"/>
              <w:left w:val="single" w:color="auto" w:sz="2" w:space="0"/>
              <w:bottom w:val="single" w:color="auto" w:sz="2" w:space="0"/>
              <w:right w:val="single" w:color="auto" w:sz="2" w:space="0"/>
            </w:tcBorders>
            <w:vAlign w:val="center"/>
          </w:tcPr>
          <w:p w14:paraId="65A5A9E1">
            <w:pPr>
              <w:jc w:val="center"/>
              <w:rPr>
                <w:rFonts w:ascii="宋体" w:hAnsi="宋体"/>
                <w:color w:val="auto"/>
              </w:rPr>
            </w:pPr>
            <w:r>
              <w:rPr>
                <w:rFonts w:ascii="宋体" w:hAnsi="宋体"/>
                <w:color w:val="auto"/>
              </w:rPr>
              <w:t>198.528</w:t>
            </w:r>
          </w:p>
        </w:tc>
        <w:tc>
          <w:tcPr>
            <w:tcW w:w="1145" w:type="dxa"/>
            <w:tcBorders>
              <w:top w:val="single" w:color="auto" w:sz="2" w:space="0"/>
              <w:left w:val="single" w:color="auto" w:sz="2" w:space="0"/>
              <w:bottom w:val="single" w:color="auto" w:sz="2" w:space="0"/>
              <w:right w:val="single" w:color="auto" w:sz="2" w:space="0"/>
            </w:tcBorders>
            <w:vAlign w:val="center"/>
          </w:tcPr>
          <w:p w14:paraId="064A4EC7">
            <w:pPr>
              <w:jc w:val="center"/>
              <w:rPr>
                <w:rFonts w:ascii="宋体" w:hAnsi="宋体"/>
                <w:color w:val="auto"/>
              </w:rPr>
            </w:pPr>
            <w:r>
              <w:rPr>
                <w:rFonts w:ascii="宋体" w:hAnsi="宋体"/>
                <w:color w:val="auto"/>
              </w:rPr>
              <w:t>0</w:t>
            </w:r>
          </w:p>
        </w:tc>
      </w:tr>
      <w:tr w14:paraId="7279ED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60D9B095">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4C197F14">
            <w:pPr>
              <w:jc w:val="center"/>
              <w:rPr>
                <w:rFonts w:ascii="宋体" w:hAnsi="宋体"/>
                <w:color w:val="auto"/>
              </w:rPr>
            </w:pPr>
            <w:r>
              <w:rPr>
                <w:rFonts w:ascii="Times New Roman" w:hAnsi="Times New Roman"/>
                <w:color w:val="auto"/>
              </w:rPr>
              <w:t>废机油（</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6E592885">
            <w:pPr>
              <w:jc w:val="center"/>
              <w:rPr>
                <w:rFonts w:ascii="宋体" w:hAnsi="宋体"/>
                <w:color w:val="auto"/>
              </w:rPr>
            </w:pPr>
            <w:r>
              <w:rPr>
                <w:rFonts w:ascii="宋体" w:hAnsi="宋体"/>
                <w:color w:val="auto"/>
              </w:rPr>
              <w:t>2.748</w:t>
            </w:r>
          </w:p>
        </w:tc>
        <w:tc>
          <w:tcPr>
            <w:tcW w:w="1301" w:type="dxa"/>
            <w:tcBorders>
              <w:top w:val="single" w:color="auto" w:sz="2" w:space="0"/>
              <w:left w:val="single" w:color="auto" w:sz="2" w:space="0"/>
              <w:bottom w:val="single" w:color="auto" w:sz="2" w:space="0"/>
              <w:right w:val="single" w:color="auto" w:sz="2" w:space="0"/>
            </w:tcBorders>
            <w:vAlign w:val="center"/>
          </w:tcPr>
          <w:p w14:paraId="562BFECD">
            <w:pPr>
              <w:jc w:val="center"/>
              <w:rPr>
                <w:rFonts w:ascii="宋体" w:hAnsi="宋体"/>
                <w:color w:val="auto"/>
              </w:rPr>
            </w:pPr>
            <w:r>
              <w:rPr>
                <w:rFonts w:ascii="宋体" w:hAnsi="宋体"/>
                <w:color w:val="auto"/>
              </w:rPr>
              <w:t>2.748</w:t>
            </w:r>
          </w:p>
        </w:tc>
        <w:tc>
          <w:tcPr>
            <w:tcW w:w="1145" w:type="dxa"/>
            <w:tcBorders>
              <w:top w:val="single" w:color="auto" w:sz="2" w:space="0"/>
              <w:left w:val="single" w:color="auto" w:sz="2" w:space="0"/>
              <w:bottom w:val="single" w:color="auto" w:sz="2" w:space="0"/>
              <w:right w:val="single" w:color="auto" w:sz="2" w:space="0"/>
            </w:tcBorders>
            <w:vAlign w:val="center"/>
          </w:tcPr>
          <w:p w14:paraId="01E44F86">
            <w:pPr>
              <w:jc w:val="center"/>
              <w:rPr>
                <w:rFonts w:ascii="宋体" w:hAnsi="宋体"/>
                <w:color w:val="auto"/>
              </w:rPr>
            </w:pPr>
            <w:r>
              <w:rPr>
                <w:rFonts w:ascii="宋体" w:hAnsi="宋体"/>
                <w:color w:val="auto"/>
              </w:rPr>
              <w:t>0</w:t>
            </w:r>
          </w:p>
        </w:tc>
      </w:tr>
      <w:tr w14:paraId="04B1AAB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14718438">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71AAF70F">
            <w:pPr>
              <w:jc w:val="center"/>
              <w:rPr>
                <w:rFonts w:ascii="宋体" w:hAnsi="宋体"/>
                <w:color w:val="auto"/>
              </w:rPr>
            </w:pPr>
            <w:r>
              <w:rPr>
                <w:rFonts w:ascii="Times New Roman" w:hAnsi="Times New Roman"/>
                <w:color w:val="auto"/>
              </w:rPr>
              <w:t>废弃的含油抹布、劳保用品（</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359595B0">
            <w:pPr>
              <w:jc w:val="center"/>
              <w:rPr>
                <w:rFonts w:ascii="宋体" w:hAnsi="宋体"/>
                <w:color w:val="auto"/>
              </w:rPr>
            </w:pPr>
            <w:r>
              <w:rPr>
                <w:rFonts w:ascii="Times New Roman" w:hAnsi="Times New Roman"/>
                <w:color w:val="auto"/>
              </w:rPr>
              <w:t>少量</w:t>
            </w:r>
          </w:p>
        </w:tc>
        <w:tc>
          <w:tcPr>
            <w:tcW w:w="1301" w:type="dxa"/>
            <w:tcBorders>
              <w:top w:val="single" w:color="auto" w:sz="2" w:space="0"/>
              <w:left w:val="single" w:color="auto" w:sz="2" w:space="0"/>
              <w:bottom w:val="single" w:color="auto" w:sz="2" w:space="0"/>
              <w:right w:val="single" w:color="auto" w:sz="2" w:space="0"/>
            </w:tcBorders>
            <w:vAlign w:val="center"/>
          </w:tcPr>
          <w:p w14:paraId="0A67D091">
            <w:pPr>
              <w:jc w:val="center"/>
              <w:rPr>
                <w:rFonts w:ascii="宋体" w:hAnsi="宋体"/>
                <w:color w:val="auto"/>
              </w:rPr>
            </w:pPr>
            <w:r>
              <w:rPr>
                <w:rFonts w:ascii="Times New Roman" w:hAnsi="Times New Roman"/>
                <w:color w:val="auto"/>
              </w:rPr>
              <w:t>少量</w:t>
            </w:r>
          </w:p>
        </w:tc>
        <w:tc>
          <w:tcPr>
            <w:tcW w:w="1145" w:type="dxa"/>
            <w:tcBorders>
              <w:top w:val="single" w:color="auto" w:sz="2" w:space="0"/>
              <w:left w:val="single" w:color="auto" w:sz="2" w:space="0"/>
              <w:bottom w:val="single" w:color="auto" w:sz="2" w:space="0"/>
              <w:right w:val="single" w:color="auto" w:sz="2" w:space="0"/>
            </w:tcBorders>
            <w:vAlign w:val="center"/>
          </w:tcPr>
          <w:p w14:paraId="629F2138">
            <w:pPr>
              <w:jc w:val="center"/>
              <w:rPr>
                <w:rFonts w:ascii="宋体" w:hAnsi="宋体"/>
                <w:color w:val="auto"/>
              </w:rPr>
            </w:pPr>
            <w:r>
              <w:rPr>
                <w:rFonts w:ascii="宋体" w:hAnsi="宋体"/>
                <w:color w:val="auto"/>
              </w:rPr>
              <w:t>0</w:t>
            </w:r>
          </w:p>
        </w:tc>
      </w:tr>
      <w:tr w14:paraId="163CE0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1AC642DD">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39559795">
            <w:pPr>
              <w:jc w:val="center"/>
              <w:rPr>
                <w:rFonts w:ascii="宋体" w:hAnsi="宋体"/>
                <w:color w:val="auto"/>
              </w:rPr>
            </w:pPr>
            <w:r>
              <w:rPr>
                <w:rFonts w:ascii="Times New Roman" w:hAnsi="Times New Roman"/>
                <w:color w:val="auto"/>
              </w:rPr>
              <w:t>生活垃圾（</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2A9B6A14">
            <w:pPr>
              <w:jc w:val="center"/>
              <w:rPr>
                <w:rFonts w:ascii="宋体" w:hAnsi="宋体"/>
                <w:color w:val="auto"/>
              </w:rPr>
            </w:pPr>
            <w:r>
              <w:rPr>
                <w:rFonts w:ascii="宋体" w:hAnsi="宋体"/>
                <w:color w:val="auto"/>
              </w:rPr>
              <w:t>29.9</w:t>
            </w:r>
          </w:p>
        </w:tc>
        <w:tc>
          <w:tcPr>
            <w:tcW w:w="1301" w:type="dxa"/>
            <w:tcBorders>
              <w:top w:val="single" w:color="auto" w:sz="2" w:space="0"/>
              <w:left w:val="single" w:color="auto" w:sz="2" w:space="0"/>
              <w:bottom w:val="single" w:color="auto" w:sz="2" w:space="0"/>
              <w:right w:val="single" w:color="auto" w:sz="2" w:space="0"/>
            </w:tcBorders>
            <w:vAlign w:val="center"/>
          </w:tcPr>
          <w:p w14:paraId="5244E21F">
            <w:pPr>
              <w:jc w:val="center"/>
              <w:rPr>
                <w:rFonts w:ascii="宋体" w:hAnsi="宋体"/>
                <w:color w:val="auto"/>
              </w:rPr>
            </w:pPr>
            <w:r>
              <w:rPr>
                <w:rFonts w:ascii="宋体" w:hAnsi="宋体"/>
                <w:color w:val="auto"/>
              </w:rPr>
              <w:t>29.9</w:t>
            </w:r>
          </w:p>
        </w:tc>
        <w:tc>
          <w:tcPr>
            <w:tcW w:w="1145" w:type="dxa"/>
            <w:tcBorders>
              <w:top w:val="single" w:color="auto" w:sz="2" w:space="0"/>
              <w:left w:val="single" w:color="auto" w:sz="2" w:space="0"/>
              <w:bottom w:val="single" w:color="auto" w:sz="2" w:space="0"/>
              <w:right w:val="single" w:color="auto" w:sz="2" w:space="0"/>
            </w:tcBorders>
            <w:vAlign w:val="center"/>
          </w:tcPr>
          <w:p w14:paraId="1F97558B">
            <w:pPr>
              <w:jc w:val="center"/>
              <w:rPr>
                <w:rFonts w:ascii="宋体" w:hAnsi="宋体"/>
                <w:color w:val="auto"/>
              </w:rPr>
            </w:pPr>
            <w:r>
              <w:rPr>
                <w:rFonts w:ascii="宋体" w:hAnsi="宋体"/>
                <w:color w:val="auto"/>
              </w:rPr>
              <w:t>0</w:t>
            </w:r>
          </w:p>
        </w:tc>
      </w:tr>
    </w:tbl>
    <w:p w14:paraId="090FD9D3">
      <w:pPr>
        <w:pStyle w:val="6"/>
        <w:rPr>
          <w:color w:val="auto"/>
        </w:rPr>
      </w:pPr>
      <w:r>
        <w:rPr>
          <w:rFonts w:hint="eastAsia"/>
          <w:color w:val="auto"/>
        </w:rPr>
        <w:t>现有</w:t>
      </w:r>
      <w:r>
        <w:rPr>
          <w:rFonts w:cs="Calibri"/>
          <w:color w:val="auto"/>
        </w:rPr>
        <w:t>工程</w:t>
      </w:r>
      <w:r>
        <w:rPr>
          <w:rFonts w:hint="eastAsia"/>
          <w:color w:val="auto"/>
        </w:rPr>
        <w:t>排污许可证基本情况</w:t>
      </w:r>
    </w:p>
    <w:p w14:paraId="14CFE48C">
      <w:pPr>
        <w:pStyle w:val="7"/>
        <w:rPr>
          <w:color w:val="auto"/>
        </w:rPr>
      </w:pPr>
      <w:r>
        <w:rPr>
          <w:rFonts w:hint="eastAsia"/>
          <w:color w:val="auto"/>
        </w:rPr>
        <w:t>申领</w:t>
      </w:r>
      <w:r>
        <w:rPr>
          <w:color w:val="auto"/>
        </w:rPr>
        <w:t>情况</w:t>
      </w:r>
    </w:p>
    <w:p w14:paraId="444EB3D0">
      <w:pPr>
        <w:pStyle w:val="4"/>
        <w:ind w:firstLine="480"/>
        <w:rPr>
          <w:color w:val="auto"/>
        </w:rPr>
      </w:pPr>
      <w:r>
        <w:rPr>
          <w:rFonts w:hint="eastAsia"/>
          <w:color w:val="auto"/>
        </w:rPr>
        <w:t>根据《固定污染源排污许可分类管理名录（</w:t>
      </w:r>
      <w:r>
        <w:rPr>
          <w:color w:val="auto"/>
        </w:rPr>
        <w:t>2019年版）</w:t>
      </w:r>
      <w:r>
        <w:rPr>
          <w:rFonts w:hint="eastAsia"/>
          <w:color w:val="auto"/>
        </w:rPr>
        <w:t>》（</w:t>
      </w:r>
      <w:r>
        <w:rPr>
          <w:color w:val="auto"/>
        </w:rPr>
        <w:t>2019年11月20日）</w:t>
      </w:r>
      <w:r>
        <w:rPr>
          <w:rFonts w:hint="eastAsia"/>
          <w:color w:val="auto"/>
        </w:rPr>
        <w:t>中第六条：“</w:t>
      </w:r>
      <w:r>
        <w:rPr>
          <w:color w:val="auto"/>
        </w:rPr>
        <w:t>属于本名录第1至107类行业的排污单位，按照本名录第109至112类规定的锅炉、工业炉窑、表面处理、水处理等通用工序实施重点管理或者简化管理的，只需对其涉及的通用工序申请取得排污许可证，不需要对其他生产设施和相应的排放口等申请取得排污许可证。</w:t>
      </w:r>
      <w:r>
        <w:rPr>
          <w:rFonts w:hint="eastAsia"/>
          <w:color w:val="auto"/>
        </w:rPr>
        <w:t>”</w:t>
      </w:r>
      <w:r>
        <w:rPr>
          <w:rFonts w:hint="eastAsia" w:cs="宋体"/>
          <w:color w:val="auto"/>
        </w:rPr>
        <w:t xml:space="preserve"> 胜利油田高青石油开发有限责任公司</w:t>
      </w:r>
      <w:r>
        <w:rPr>
          <w:rFonts w:hint="eastAsia"/>
          <w:color w:val="auto"/>
        </w:rPr>
        <w:t>经营类别为属于《固定污染源排污许可分类管理名录（</w:t>
      </w:r>
      <w:r>
        <w:rPr>
          <w:color w:val="auto"/>
        </w:rPr>
        <w:t>2019年版）</w:t>
      </w:r>
      <w:r>
        <w:rPr>
          <w:rFonts w:hint="eastAsia"/>
          <w:color w:val="auto"/>
        </w:rPr>
        <w:t>》（</w:t>
      </w:r>
      <w:r>
        <w:rPr>
          <w:color w:val="auto"/>
        </w:rPr>
        <w:t>2019年11月20日）</w:t>
      </w:r>
      <w:r>
        <w:rPr>
          <w:rFonts w:hint="eastAsia"/>
          <w:color w:val="auto"/>
        </w:rPr>
        <w:t>中的三、石油和天然气开采业</w:t>
      </w:r>
      <w:r>
        <w:rPr>
          <w:color w:val="auto"/>
        </w:rPr>
        <w:t>07</w:t>
      </w:r>
      <w:r>
        <w:rPr>
          <w:rFonts w:hint="eastAsia"/>
          <w:color w:val="auto"/>
        </w:rPr>
        <w:t>，因此，只需对其涉及的通用工序申办理排污许可手续。</w:t>
      </w:r>
    </w:p>
    <w:p w14:paraId="79E3E246">
      <w:pPr>
        <w:pStyle w:val="4"/>
        <w:ind w:firstLine="480"/>
        <w:rPr>
          <w:color w:val="auto"/>
        </w:rPr>
      </w:pPr>
      <w:r>
        <w:rPr>
          <w:rFonts w:hint="eastAsia"/>
          <w:color w:val="auto"/>
        </w:rPr>
        <w:t>经核查，当前高青公司执行排污许可登记管理。</w:t>
      </w:r>
      <w:r>
        <w:rPr>
          <w:rFonts w:hint="eastAsia" w:cs="宋体"/>
          <w:color w:val="auto"/>
          <w:spacing w:val="4"/>
        </w:rPr>
        <w:t>胜利油田高青石油开发有限责任公司已于</w:t>
      </w:r>
      <w:r>
        <w:rPr>
          <w:color w:val="auto"/>
        </w:rPr>
        <w:t>2026年3月10日</w:t>
      </w:r>
      <w:r>
        <w:rPr>
          <w:rFonts w:cs="宋体"/>
          <w:color w:val="auto"/>
          <w:spacing w:val="4"/>
        </w:rPr>
        <w:t>取得排污许可</w:t>
      </w:r>
      <w:r>
        <w:rPr>
          <w:rFonts w:hint="eastAsia" w:cs="宋体"/>
          <w:color w:val="auto"/>
          <w:spacing w:val="4"/>
        </w:rPr>
        <w:t>登记回执</w:t>
      </w:r>
      <w:r>
        <w:rPr>
          <w:rFonts w:cs="宋体"/>
          <w:color w:val="auto"/>
          <w:spacing w:val="4"/>
        </w:rPr>
        <w:t>，编号</w:t>
      </w:r>
      <w:r>
        <w:rPr>
          <w:rFonts w:hint="eastAsia" w:cs="宋体"/>
          <w:color w:val="auto"/>
          <w:spacing w:val="4"/>
        </w:rPr>
        <w:t>为</w:t>
      </w:r>
      <w:r>
        <w:rPr>
          <w:rFonts w:cs="宋体"/>
          <w:color w:val="auto"/>
          <w:spacing w:val="4"/>
        </w:rPr>
        <w:t>913703221672516964001X</w:t>
      </w:r>
      <w:r>
        <w:rPr>
          <w:rFonts w:hint="eastAsia" w:cs="宋体"/>
          <w:color w:val="auto"/>
          <w:spacing w:val="4"/>
        </w:rPr>
        <w:t>，</w:t>
      </w:r>
      <w:r>
        <w:rPr>
          <w:rFonts w:hint="eastAsia"/>
          <w:color w:val="auto"/>
        </w:rPr>
        <w:t>有效期自</w:t>
      </w:r>
      <w:r>
        <w:rPr>
          <w:color w:val="auto"/>
        </w:rPr>
        <w:t>2026年3月10日至2031年3月9日止</w:t>
      </w:r>
      <w:r>
        <w:rPr>
          <w:rFonts w:hint="eastAsia" w:cs="宋体"/>
          <w:color w:val="auto"/>
          <w:spacing w:val="4"/>
        </w:rPr>
        <w:t>，经调查，本期工程新建加热炉及拆旧燃气多功能罐已于排污许可手续中更新</w:t>
      </w:r>
      <w:r>
        <w:rPr>
          <w:rFonts w:hint="eastAsia"/>
          <w:color w:val="auto"/>
        </w:rPr>
        <w:t>。</w:t>
      </w:r>
    </w:p>
    <w:p w14:paraId="551AE40A">
      <w:pPr>
        <w:pStyle w:val="4"/>
        <w:ind w:firstLine="480"/>
        <w:rPr>
          <w:rFonts w:cs="Calibri"/>
          <w:color w:val="auto"/>
        </w:rPr>
      </w:pPr>
      <w:r>
        <w:rPr>
          <w:rFonts w:hint="eastAsia" w:cs="宋体"/>
          <w:color w:val="auto"/>
        </w:rPr>
        <w:t>胜利油田高青石油开发有限责任公司</w:t>
      </w:r>
      <w:r>
        <w:rPr>
          <w:rFonts w:hint="eastAsia" w:cs="宋体"/>
          <w:color w:val="auto"/>
          <w:kern w:val="0"/>
        </w:rPr>
        <w:t>排污许可证申请</w:t>
      </w:r>
      <w:r>
        <w:rPr>
          <w:rFonts w:cs="Calibri"/>
          <w:color w:val="auto"/>
          <w:kern w:val="0"/>
        </w:rPr>
        <w:t>情况</w:t>
      </w:r>
      <w:r>
        <w:rPr>
          <w:rFonts w:hint="eastAsia" w:cs="宋体"/>
          <w:color w:val="auto"/>
          <w:kern w:val="0"/>
        </w:rPr>
        <w:t>及</w:t>
      </w:r>
      <w:r>
        <w:rPr>
          <w:rFonts w:cs="Calibri"/>
          <w:color w:val="auto"/>
          <w:kern w:val="0"/>
        </w:rPr>
        <w:t>登记情况详见</w:t>
      </w:r>
      <w:r>
        <w:rPr>
          <w:rFonts w:hint="eastAsia" w:cs="宋体"/>
          <w:color w:val="auto"/>
        </w:rPr>
        <w:t xml:space="preserve">表 </w:t>
      </w:r>
      <w:r>
        <w:rPr>
          <w:rFonts w:cs="Calibri"/>
          <w:color w:val="auto"/>
        </w:rPr>
        <w:t>3.1</w:t>
      </w:r>
      <w:r>
        <w:rPr>
          <w:rFonts w:cs="Calibri"/>
          <w:color w:val="auto"/>
        </w:rPr>
        <w:noBreakHyphen/>
      </w:r>
      <w:r>
        <w:rPr>
          <w:rFonts w:cs="Calibri"/>
          <w:color w:val="auto"/>
        </w:rPr>
        <w:t>3</w:t>
      </w:r>
      <w:r>
        <w:rPr>
          <w:rFonts w:hint="eastAsia" w:cs="Calibri"/>
          <w:color w:val="auto"/>
        </w:rPr>
        <w:t>。</w:t>
      </w:r>
    </w:p>
    <w:p w14:paraId="602D37AA">
      <w:pPr>
        <w:pStyle w:val="15"/>
        <w:spacing w:before="120"/>
        <w:rPr>
          <w:color w:val="auto"/>
          <w:kern w:val="0"/>
          <w:szCs w:val="21"/>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3.1</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3</w:t>
      </w:r>
      <w:r>
        <w:rPr>
          <w:color w:val="auto"/>
        </w:rPr>
        <w:fldChar w:fldCharType="end"/>
      </w:r>
      <w:r>
        <w:rPr>
          <w:color w:val="auto"/>
        </w:rPr>
        <w:t xml:space="preserve"> </w:t>
      </w:r>
      <w:bookmarkStart w:id="61" w:name="OLE_LINK237"/>
      <w:bookmarkStart w:id="62" w:name="OLE_LINK236"/>
      <w:r>
        <w:rPr>
          <w:rFonts w:hint="eastAsia" w:cs="宋体"/>
          <w:color w:val="auto"/>
        </w:rPr>
        <w:t>胜利油田高青石油开发有限责任公司</w:t>
      </w:r>
      <w:bookmarkEnd w:id="61"/>
      <w:bookmarkEnd w:id="62"/>
      <w:r>
        <w:rPr>
          <w:rFonts w:hint="eastAsia" w:hAnsi="宋体"/>
          <w:color w:val="auto"/>
          <w:kern w:val="0"/>
        </w:rPr>
        <w:t>排污许可信息一览表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6"/>
        <w:gridCol w:w="6564"/>
      </w:tblGrid>
      <w:tr w14:paraId="22C03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34CF610F">
            <w:pPr>
              <w:pStyle w:val="81"/>
              <w:rPr>
                <w:rFonts w:hAnsi="宋体"/>
                <w:color w:val="auto"/>
                <w:kern w:val="0"/>
              </w:rPr>
            </w:pPr>
            <w:r>
              <w:rPr>
                <w:rFonts w:hint="eastAsia" w:hAnsi="宋体"/>
                <w:color w:val="auto"/>
                <w:kern w:val="0"/>
              </w:rPr>
              <w:t>证书编号</w:t>
            </w:r>
          </w:p>
        </w:tc>
        <w:tc>
          <w:tcPr>
            <w:tcW w:w="3764" w:type="pct"/>
            <w:vAlign w:val="center"/>
          </w:tcPr>
          <w:p w14:paraId="1688DA6E">
            <w:pPr>
              <w:pStyle w:val="81"/>
              <w:rPr>
                <w:rFonts w:hAnsi="宋体"/>
                <w:color w:val="auto"/>
                <w:kern w:val="0"/>
              </w:rPr>
            </w:pPr>
            <w:r>
              <w:rPr>
                <w:rFonts w:hint="eastAsia" w:hAnsi="宋体"/>
                <w:color w:val="auto"/>
                <w:kern w:val="0"/>
              </w:rPr>
              <w:t>9137</w:t>
            </w:r>
            <w:r>
              <w:rPr>
                <w:rFonts w:hAnsi="宋体"/>
                <w:color w:val="auto"/>
                <w:kern w:val="0"/>
              </w:rPr>
              <w:t>03221672516964001X</w:t>
            </w:r>
          </w:p>
        </w:tc>
      </w:tr>
      <w:tr w14:paraId="3EEAC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1DAB3C6A">
            <w:pPr>
              <w:pStyle w:val="81"/>
              <w:rPr>
                <w:rFonts w:hAnsi="宋体"/>
                <w:color w:val="auto"/>
                <w:kern w:val="0"/>
              </w:rPr>
            </w:pPr>
            <w:r>
              <w:rPr>
                <w:rFonts w:hint="eastAsia" w:hAnsi="宋体"/>
                <w:color w:val="auto"/>
                <w:kern w:val="0"/>
              </w:rPr>
              <w:t>排污单位名称</w:t>
            </w:r>
          </w:p>
        </w:tc>
        <w:tc>
          <w:tcPr>
            <w:tcW w:w="3764" w:type="pct"/>
            <w:vAlign w:val="center"/>
          </w:tcPr>
          <w:p w14:paraId="30D403A3">
            <w:pPr>
              <w:pStyle w:val="81"/>
              <w:rPr>
                <w:rFonts w:hAnsi="宋体"/>
                <w:color w:val="auto"/>
                <w:kern w:val="0"/>
              </w:rPr>
            </w:pPr>
            <w:r>
              <w:rPr>
                <w:rFonts w:hint="eastAsia" w:hAnsi="宋体"/>
                <w:color w:val="auto"/>
                <w:kern w:val="0"/>
              </w:rPr>
              <w:t>胜利油田高青石油开发有限责任公司</w:t>
            </w:r>
          </w:p>
        </w:tc>
      </w:tr>
      <w:tr w14:paraId="6169E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781A0B0C">
            <w:pPr>
              <w:pStyle w:val="81"/>
              <w:rPr>
                <w:rFonts w:hAnsi="宋体"/>
                <w:color w:val="auto"/>
                <w:kern w:val="0"/>
              </w:rPr>
            </w:pPr>
            <w:r>
              <w:rPr>
                <w:rFonts w:hint="eastAsia" w:hAnsi="宋体"/>
                <w:color w:val="auto"/>
                <w:kern w:val="0"/>
              </w:rPr>
              <w:t>注册地址</w:t>
            </w:r>
          </w:p>
        </w:tc>
        <w:tc>
          <w:tcPr>
            <w:tcW w:w="3764" w:type="pct"/>
            <w:vAlign w:val="center"/>
          </w:tcPr>
          <w:p w14:paraId="1A6128C9">
            <w:pPr>
              <w:pStyle w:val="81"/>
              <w:rPr>
                <w:rFonts w:hAnsi="宋体"/>
                <w:color w:val="auto"/>
                <w:kern w:val="0"/>
              </w:rPr>
            </w:pPr>
            <w:r>
              <w:rPr>
                <w:rFonts w:hint="eastAsia" w:hAnsi="宋体"/>
                <w:color w:val="auto"/>
                <w:kern w:val="0"/>
              </w:rPr>
              <w:t>高青县常家镇许管村</w:t>
            </w:r>
          </w:p>
        </w:tc>
      </w:tr>
      <w:tr w14:paraId="032D3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35A42E19">
            <w:pPr>
              <w:pStyle w:val="81"/>
              <w:rPr>
                <w:rFonts w:hAnsi="宋体"/>
                <w:color w:val="auto"/>
                <w:kern w:val="0"/>
              </w:rPr>
            </w:pPr>
            <w:r>
              <w:rPr>
                <w:rFonts w:hint="eastAsia" w:hAnsi="宋体"/>
                <w:color w:val="auto"/>
                <w:kern w:val="0"/>
              </w:rPr>
              <w:t>法定代表人</w:t>
            </w:r>
          </w:p>
        </w:tc>
        <w:tc>
          <w:tcPr>
            <w:tcW w:w="3764" w:type="pct"/>
            <w:vAlign w:val="center"/>
          </w:tcPr>
          <w:p w14:paraId="2F073FEE">
            <w:pPr>
              <w:pStyle w:val="81"/>
              <w:rPr>
                <w:rFonts w:hAnsi="宋体"/>
                <w:color w:val="auto"/>
                <w:kern w:val="0"/>
              </w:rPr>
            </w:pPr>
            <w:r>
              <w:rPr>
                <w:rFonts w:hint="eastAsia" w:hAnsi="宋体"/>
                <w:color w:val="auto"/>
                <w:kern w:val="0"/>
              </w:rPr>
              <w:t>程先民</w:t>
            </w:r>
          </w:p>
        </w:tc>
      </w:tr>
      <w:tr w14:paraId="76C07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271BFED0">
            <w:pPr>
              <w:pStyle w:val="81"/>
              <w:rPr>
                <w:rFonts w:hAnsi="宋体"/>
                <w:color w:val="auto"/>
                <w:kern w:val="0"/>
              </w:rPr>
            </w:pPr>
            <w:r>
              <w:rPr>
                <w:rFonts w:hint="eastAsia" w:hAnsi="宋体"/>
                <w:color w:val="auto"/>
                <w:kern w:val="0"/>
              </w:rPr>
              <w:t>生产经营场所地址</w:t>
            </w:r>
          </w:p>
        </w:tc>
        <w:tc>
          <w:tcPr>
            <w:tcW w:w="3764" w:type="pct"/>
            <w:vAlign w:val="center"/>
          </w:tcPr>
          <w:p w14:paraId="0542AF51">
            <w:pPr>
              <w:pStyle w:val="81"/>
              <w:rPr>
                <w:rFonts w:hAnsi="宋体"/>
                <w:color w:val="auto"/>
                <w:kern w:val="0"/>
              </w:rPr>
            </w:pPr>
            <w:r>
              <w:rPr>
                <w:rFonts w:hint="eastAsia" w:hAnsi="宋体"/>
                <w:color w:val="auto"/>
                <w:kern w:val="0"/>
              </w:rPr>
              <w:t>山东省淄博市高青县</w:t>
            </w:r>
          </w:p>
        </w:tc>
      </w:tr>
      <w:tr w14:paraId="75689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51A7ECCA">
            <w:pPr>
              <w:pStyle w:val="81"/>
              <w:rPr>
                <w:rFonts w:hAnsi="宋体"/>
                <w:color w:val="auto"/>
                <w:kern w:val="0"/>
              </w:rPr>
            </w:pPr>
            <w:r>
              <w:rPr>
                <w:rFonts w:hint="eastAsia" w:hAnsi="宋体"/>
                <w:color w:val="auto"/>
                <w:kern w:val="0"/>
              </w:rPr>
              <w:t>行业类别</w:t>
            </w:r>
          </w:p>
        </w:tc>
        <w:tc>
          <w:tcPr>
            <w:tcW w:w="3764" w:type="pct"/>
            <w:vAlign w:val="center"/>
          </w:tcPr>
          <w:p w14:paraId="4A914AAB">
            <w:pPr>
              <w:pStyle w:val="81"/>
              <w:rPr>
                <w:rFonts w:hAnsi="宋体"/>
                <w:color w:val="auto"/>
                <w:kern w:val="0"/>
              </w:rPr>
            </w:pPr>
            <w:r>
              <w:rPr>
                <w:rFonts w:hint="eastAsia" w:hAnsi="宋体"/>
                <w:color w:val="auto"/>
                <w:kern w:val="0"/>
              </w:rPr>
              <w:t>石油和天然气开采业、锅炉、水处理通用工序、工业炉窑</w:t>
            </w:r>
          </w:p>
        </w:tc>
      </w:tr>
      <w:tr w14:paraId="686C8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6E76FC4B">
            <w:pPr>
              <w:pStyle w:val="81"/>
              <w:rPr>
                <w:rFonts w:hAnsi="宋体"/>
                <w:color w:val="auto"/>
                <w:kern w:val="0"/>
              </w:rPr>
            </w:pPr>
            <w:r>
              <w:rPr>
                <w:rFonts w:hint="eastAsia" w:hAnsi="宋体"/>
                <w:color w:val="auto"/>
                <w:kern w:val="0"/>
              </w:rPr>
              <w:t>统一社会信用代码</w:t>
            </w:r>
          </w:p>
        </w:tc>
        <w:tc>
          <w:tcPr>
            <w:tcW w:w="3764" w:type="pct"/>
            <w:vAlign w:val="center"/>
          </w:tcPr>
          <w:p w14:paraId="69A34916">
            <w:pPr>
              <w:pStyle w:val="81"/>
              <w:rPr>
                <w:rFonts w:hAnsi="宋体"/>
                <w:color w:val="auto"/>
                <w:kern w:val="0"/>
              </w:rPr>
            </w:pPr>
            <w:r>
              <w:rPr>
                <w:rFonts w:hint="eastAsia" w:hAnsi="宋体"/>
                <w:color w:val="auto"/>
                <w:kern w:val="0"/>
              </w:rPr>
              <w:t>9137</w:t>
            </w:r>
            <w:r>
              <w:rPr>
                <w:rFonts w:hAnsi="宋体"/>
                <w:color w:val="auto"/>
                <w:kern w:val="0"/>
              </w:rPr>
              <w:t>03221672516964</w:t>
            </w:r>
          </w:p>
        </w:tc>
      </w:tr>
      <w:tr w14:paraId="61C2E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75B681F1">
            <w:pPr>
              <w:pStyle w:val="81"/>
              <w:rPr>
                <w:rFonts w:hAnsi="宋体"/>
                <w:color w:val="auto"/>
                <w:kern w:val="0"/>
              </w:rPr>
            </w:pPr>
            <w:r>
              <w:rPr>
                <w:rFonts w:hint="eastAsia" w:hAnsi="宋体"/>
                <w:color w:val="auto"/>
                <w:kern w:val="0"/>
              </w:rPr>
              <w:t>登记回执时间</w:t>
            </w:r>
          </w:p>
        </w:tc>
        <w:tc>
          <w:tcPr>
            <w:tcW w:w="3764" w:type="pct"/>
            <w:vAlign w:val="center"/>
          </w:tcPr>
          <w:p w14:paraId="5A44ADBA">
            <w:pPr>
              <w:pStyle w:val="81"/>
              <w:rPr>
                <w:rFonts w:hAnsi="宋体"/>
                <w:color w:val="auto"/>
                <w:kern w:val="0"/>
              </w:rPr>
            </w:pPr>
            <w:r>
              <w:rPr>
                <w:color w:val="auto"/>
              </w:rPr>
              <w:t>2026年3月10日</w:t>
            </w:r>
          </w:p>
        </w:tc>
      </w:tr>
      <w:tr w14:paraId="46C94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656459FC">
            <w:pPr>
              <w:pStyle w:val="81"/>
              <w:rPr>
                <w:rFonts w:hAnsi="宋体"/>
                <w:color w:val="auto"/>
                <w:kern w:val="0"/>
              </w:rPr>
            </w:pPr>
            <w:r>
              <w:rPr>
                <w:rFonts w:hint="eastAsia" w:hAnsi="宋体"/>
                <w:color w:val="auto"/>
                <w:kern w:val="0"/>
              </w:rPr>
              <w:t>管理类别</w:t>
            </w:r>
          </w:p>
        </w:tc>
        <w:tc>
          <w:tcPr>
            <w:tcW w:w="3764" w:type="pct"/>
            <w:vAlign w:val="center"/>
          </w:tcPr>
          <w:p w14:paraId="6A92A388">
            <w:pPr>
              <w:pStyle w:val="81"/>
              <w:rPr>
                <w:rFonts w:hAnsi="宋体"/>
                <w:color w:val="auto"/>
                <w:kern w:val="0"/>
              </w:rPr>
            </w:pPr>
            <w:r>
              <w:rPr>
                <w:rFonts w:hint="eastAsia" w:hAnsi="宋体"/>
                <w:color w:val="auto"/>
                <w:kern w:val="0"/>
              </w:rPr>
              <w:t>登记管理</w:t>
            </w:r>
          </w:p>
        </w:tc>
      </w:tr>
      <w:tr w14:paraId="12388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3B64E6AB">
            <w:pPr>
              <w:pStyle w:val="81"/>
              <w:rPr>
                <w:rFonts w:hAnsi="宋体"/>
                <w:color w:val="auto"/>
                <w:kern w:val="0"/>
              </w:rPr>
            </w:pPr>
            <w:r>
              <w:rPr>
                <w:rFonts w:hint="eastAsia" w:hAnsi="宋体"/>
                <w:color w:val="auto"/>
                <w:kern w:val="0"/>
              </w:rPr>
              <w:t>有效期限</w:t>
            </w:r>
          </w:p>
        </w:tc>
        <w:tc>
          <w:tcPr>
            <w:tcW w:w="3764" w:type="pct"/>
            <w:vAlign w:val="center"/>
          </w:tcPr>
          <w:p w14:paraId="3D63AB37">
            <w:pPr>
              <w:pStyle w:val="81"/>
              <w:rPr>
                <w:rFonts w:hAnsi="宋体"/>
                <w:color w:val="auto"/>
                <w:kern w:val="0"/>
              </w:rPr>
            </w:pPr>
            <w:r>
              <w:rPr>
                <w:rFonts w:hint="eastAsia"/>
                <w:color w:val="auto"/>
              </w:rPr>
              <w:t>自</w:t>
            </w:r>
            <w:r>
              <w:rPr>
                <w:color w:val="auto"/>
              </w:rPr>
              <w:t>2026年3月10日至2031年3月9日止</w:t>
            </w:r>
          </w:p>
        </w:tc>
      </w:tr>
    </w:tbl>
    <w:p w14:paraId="56E7FF9B">
      <w:pPr>
        <w:pStyle w:val="15"/>
        <w:spacing w:before="120"/>
        <w:rPr>
          <w:color w:val="auto"/>
        </w:rPr>
      </w:pPr>
    </w:p>
    <w:p w14:paraId="44D8E026">
      <w:pPr>
        <w:pStyle w:val="7"/>
        <w:rPr>
          <w:color w:val="auto"/>
        </w:rPr>
      </w:pPr>
      <w:r>
        <w:rPr>
          <w:rFonts w:hAnsi="宋体"/>
          <w:color w:val="auto"/>
          <w:kern w:val="0"/>
        </w:rPr>
        <w:t>执行</w:t>
      </w:r>
      <w:r>
        <w:rPr>
          <w:rFonts w:cs="宋体"/>
          <w:color w:val="auto"/>
        </w:rPr>
        <w:t>情况</w:t>
      </w:r>
    </w:p>
    <w:p w14:paraId="3C7DE12E">
      <w:pPr>
        <w:pStyle w:val="4"/>
        <w:ind w:firstLine="480"/>
        <w:rPr>
          <w:color w:val="auto"/>
        </w:rPr>
      </w:pPr>
      <w:r>
        <w:rPr>
          <w:rFonts w:hint="eastAsia"/>
          <w:color w:val="auto"/>
        </w:rPr>
        <w:t>1）许可事项合规性判定</w:t>
      </w:r>
    </w:p>
    <w:p w14:paraId="0808A295">
      <w:pPr>
        <w:pStyle w:val="4"/>
        <w:ind w:firstLine="480"/>
        <w:rPr>
          <w:color w:val="auto"/>
        </w:rPr>
      </w:pPr>
      <w:r>
        <w:rPr>
          <w:rFonts w:hint="eastAsia" w:cs="宋体"/>
          <w:color w:val="auto"/>
          <w:kern w:val="0"/>
        </w:rPr>
        <w:t>根据现场调查及企业例行监测，高青公司排污口位置和数量、排放方式、排放去向、污染物种类与排污许可证要求一致；根据监测结果，实际污染物排放浓度满足许可排放限值要求，与本企业排污许可证规定内容一致。</w:t>
      </w:r>
    </w:p>
    <w:p w14:paraId="15A59339">
      <w:pPr>
        <w:pStyle w:val="4"/>
        <w:ind w:firstLine="480"/>
        <w:rPr>
          <w:color w:val="auto"/>
          <w:kern w:val="0"/>
        </w:rPr>
      </w:pPr>
      <w:r>
        <w:rPr>
          <w:rFonts w:hint="eastAsia"/>
          <w:color w:val="auto"/>
          <w:kern w:val="0"/>
        </w:rPr>
        <w:t>2）管理要求合规判定</w:t>
      </w:r>
    </w:p>
    <w:p w14:paraId="48AB34FF">
      <w:pPr>
        <w:pStyle w:val="4"/>
        <w:ind w:firstLine="480"/>
        <w:rPr>
          <w:color w:val="auto"/>
          <w:kern w:val="0"/>
        </w:rPr>
      </w:pPr>
      <w:r>
        <w:rPr>
          <w:rFonts w:hint="eastAsia" w:cs="宋体"/>
          <w:color w:val="auto"/>
          <w:kern w:val="0"/>
        </w:rPr>
        <w:t>高青公司</w:t>
      </w:r>
      <w:r>
        <w:rPr>
          <w:rFonts w:hint="eastAsia"/>
          <w:color w:val="auto"/>
          <w:kern w:val="0"/>
        </w:rPr>
        <w:t>已按照《排污许可管理条例》（中华人民共和国国务院令 第736号）、《排污单位自行监测技术指南 陆上石油天然气开采工业》（HJ 1248-2022）等要求制定监测方案、开展了自行监测，高青公司排污许可管理类别为登记管理，不需编制季度及年度执行报告。</w:t>
      </w:r>
    </w:p>
    <w:p w14:paraId="6AD7E98A">
      <w:pPr>
        <w:pStyle w:val="4"/>
        <w:ind w:firstLine="480"/>
        <w:rPr>
          <w:color w:val="auto"/>
          <w:kern w:val="0"/>
        </w:rPr>
      </w:pPr>
      <w:r>
        <w:rPr>
          <w:rFonts w:hint="eastAsia"/>
          <w:color w:val="auto"/>
          <w:kern w:val="0"/>
        </w:rPr>
        <w:t>建设单位已按相关要求进行环境信息公开，并按要求制定环保管理台账，包括环保年度计划、主要污染物汇总、环保设施汇总、环保设施运行记录、重要环境要素清单、环保检查台账、环境事件台账等，总体管理符合相关制度及要求。</w:t>
      </w:r>
    </w:p>
    <w:p w14:paraId="6FF8E32C">
      <w:pPr>
        <w:pStyle w:val="4"/>
        <w:ind w:firstLine="480"/>
        <w:rPr>
          <w:color w:val="auto"/>
          <w:kern w:val="0"/>
        </w:rPr>
      </w:pPr>
      <w:r>
        <w:rPr>
          <w:rFonts w:hint="eastAsia"/>
          <w:color w:val="auto"/>
          <w:kern w:val="0"/>
        </w:rPr>
        <w:t>3）污染物排放情况分析</w:t>
      </w:r>
    </w:p>
    <w:p w14:paraId="1F99A318">
      <w:pPr>
        <w:pStyle w:val="4"/>
        <w:ind w:firstLine="480"/>
        <w:rPr>
          <w:rFonts w:cs="宋体"/>
          <w:color w:val="auto"/>
        </w:rPr>
      </w:pPr>
      <w:r>
        <w:rPr>
          <w:rFonts w:hint="eastAsia" w:cs="宋体"/>
          <w:color w:val="auto"/>
        </w:rPr>
        <w:t>根据企业自行监测结果，</w:t>
      </w:r>
      <w:bookmarkStart w:id="63" w:name="OLE_LINK6"/>
      <w:r>
        <w:rPr>
          <w:rFonts w:hint="eastAsia" w:cs="宋体"/>
          <w:color w:val="auto"/>
        </w:rPr>
        <w:t>高青公司</w:t>
      </w:r>
      <w:bookmarkEnd w:id="63"/>
      <w:r>
        <w:rPr>
          <w:rFonts w:hint="eastAsia" w:cs="宋体"/>
          <w:color w:val="auto"/>
        </w:rPr>
        <w:t>管辖区域内各加热炉、井场燃气多功能罐加热废气能做到达标排放；高青公司在油区布设了</w:t>
      </w:r>
      <w:r>
        <w:rPr>
          <w:rFonts w:cs="Calibri"/>
          <w:color w:val="auto"/>
        </w:rPr>
        <w:t>8个地下水跟踪监测井，每年丰水期、</w:t>
      </w:r>
      <w:r>
        <w:rPr>
          <w:rFonts w:hint="eastAsia" w:cs="宋体"/>
          <w:color w:val="auto"/>
        </w:rPr>
        <w:t>枯水期进行地下水跟踪监测，每年对联合站、油泥砂贮存池、退役井场进行土壤环境质量例行监测，符合排污许可管理要求。</w:t>
      </w:r>
    </w:p>
    <w:p w14:paraId="60B032A5">
      <w:pPr>
        <w:pStyle w:val="6"/>
        <w:rPr>
          <w:color w:val="auto"/>
        </w:rPr>
      </w:pPr>
      <w:r>
        <w:rPr>
          <w:rFonts w:hint="eastAsia"/>
          <w:color w:val="auto"/>
        </w:rPr>
        <w:t>现有工程存在的问题及整改情况</w:t>
      </w:r>
    </w:p>
    <w:p w14:paraId="3FF3ECFA">
      <w:pPr>
        <w:pStyle w:val="4"/>
        <w:ind w:firstLine="480"/>
        <w:rPr>
          <w:color w:val="auto"/>
        </w:rPr>
      </w:pPr>
      <w:r>
        <w:rPr>
          <w:rFonts w:hint="eastAsia"/>
          <w:color w:val="auto"/>
        </w:rPr>
        <w:t>根据《大芦湖油田产能建设项目（2</w:t>
      </w:r>
      <w:r>
        <w:rPr>
          <w:color w:val="auto"/>
        </w:rPr>
        <w:t>023-2025</w:t>
      </w:r>
      <w:r>
        <w:rPr>
          <w:rFonts w:hint="eastAsia"/>
          <w:color w:val="auto"/>
        </w:rPr>
        <w:t>年）环境影响报告书》所述，现有工程存在的问题及整改措施如下：</w:t>
      </w:r>
    </w:p>
    <w:p w14:paraId="58D57167">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3.1</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4</w:t>
      </w:r>
      <w:r>
        <w:rPr>
          <w:color w:val="auto"/>
        </w:rPr>
        <w:fldChar w:fldCharType="end"/>
      </w:r>
      <w:r>
        <w:rPr>
          <w:color w:val="auto"/>
        </w:rPr>
        <w:t xml:space="preserve">   </w:t>
      </w:r>
      <w:r>
        <w:rPr>
          <w:rFonts w:hint="eastAsia"/>
          <w:color w:val="auto"/>
        </w:rPr>
        <w:t>环评阶段识别的现有工程存在问题及整改措施</w:t>
      </w:r>
    </w:p>
    <w:p w14:paraId="09F2EB36">
      <w:pPr>
        <w:rPr>
          <w:color w:val="auto"/>
        </w:rPr>
      </w:pP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1"/>
        <w:gridCol w:w="427"/>
        <w:gridCol w:w="2675"/>
        <w:gridCol w:w="1725"/>
        <w:gridCol w:w="1725"/>
        <w:gridCol w:w="1727"/>
      </w:tblGrid>
      <w:tr w14:paraId="65085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gridSpan w:val="2"/>
            <w:shd w:val="clear" w:color="auto" w:fill="auto"/>
            <w:vAlign w:val="center"/>
          </w:tcPr>
          <w:p w14:paraId="751F3D1B">
            <w:pPr>
              <w:adjustRightInd w:val="0"/>
              <w:snapToGrid w:val="0"/>
              <w:jc w:val="center"/>
              <w:rPr>
                <w:rFonts w:ascii="宋体" w:hAnsi="宋体"/>
                <w:color w:val="auto"/>
              </w:rPr>
            </w:pPr>
            <w:r>
              <w:rPr>
                <w:rFonts w:hint="eastAsia" w:ascii="宋体" w:hAnsi="宋体"/>
                <w:color w:val="auto"/>
              </w:rPr>
              <w:t>类别</w:t>
            </w:r>
          </w:p>
        </w:tc>
        <w:tc>
          <w:tcPr>
            <w:tcW w:w="1534" w:type="pct"/>
            <w:shd w:val="clear" w:color="auto" w:fill="auto"/>
            <w:vAlign w:val="center"/>
          </w:tcPr>
          <w:p w14:paraId="5F472B65">
            <w:pPr>
              <w:adjustRightInd w:val="0"/>
              <w:snapToGrid w:val="0"/>
              <w:jc w:val="center"/>
              <w:rPr>
                <w:rFonts w:ascii="宋体" w:hAnsi="宋体"/>
                <w:color w:val="auto"/>
              </w:rPr>
            </w:pPr>
            <w:r>
              <w:rPr>
                <w:rFonts w:hint="eastAsia" w:ascii="宋体" w:hAnsi="宋体"/>
                <w:color w:val="auto"/>
              </w:rPr>
              <w:t>实际运行情况</w:t>
            </w:r>
          </w:p>
        </w:tc>
        <w:tc>
          <w:tcPr>
            <w:tcW w:w="989" w:type="pct"/>
            <w:shd w:val="clear" w:color="auto" w:fill="auto"/>
            <w:vAlign w:val="center"/>
          </w:tcPr>
          <w:p w14:paraId="0340B84D">
            <w:pPr>
              <w:adjustRightInd w:val="0"/>
              <w:snapToGrid w:val="0"/>
              <w:jc w:val="center"/>
              <w:rPr>
                <w:rFonts w:ascii="宋体" w:hAnsi="宋体"/>
                <w:color w:val="auto"/>
              </w:rPr>
            </w:pPr>
            <w:r>
              <w:rPr>
                <w:rFonts w:hint="eastAsia" w:ascii="宋体" w:hAnsi="宋体"/>
                <w:color w:val="auto"/>
              </w:rPr>
              <w:t>存在问题</w:t>
            </w:r>
          </w:p>
        </w:tc>
        <w:tc>
          <w:tcPr>
            <w:tcW w:w="989" w:type="pct"/>
            <w:shd w:val="clear" w:color="auto" w:fill="auto"/>
            <w:vAlign w:val="center"/>
          </w:tcPr>
          <w:p w14:paraId="671EC060">
            <w:pPr>
              <w:adjustRightInd w:val="0"/>
              <w:snapToGrid w:val="0"/>
              <w:jc w:val="center"/>
              <w:rPr>
                <w:rFonts w:ascii="宋体" w:hAnsi="宋体"/>
                <w:color w:val="auto"/>
              </w:rPr>
            </w:pPr>
            <w:r>
              <w:rPr>
                <w:rFonts w:hint="eastAsia" w:ascii="宋体" w:hAnsi="宋体"/>
                <w:color w:val="auto"/>
              </w:rPr>
              <w:t>整改措施</w:t>
            </w:r>
          </w:p>
        </w:tc>
        <w:tc>
          <w:tcPr>
            <w:tcW w:w="990" w:type="pct"/>
            <w:shd w:val="clear" w:color="auto" w:fill="auto"/>
            <w:vAlign w:val="center"/>
          </w:tcPr>
          <w:p w14:paraId="711F4748">
            <w:pPr>
              <w:adjustRightInd w:val="0"/>
              <w:snapToGrid w:val="0"/>
              <w:jc w:val="center"/>
              <w:rPr>
                <w:rFonts w:ascii="宋体" w:hAnsi="宋体"/>
                <w:color w:val="auto"/>
              </w:rPr>
            </w:pPr>
            <w:r>
              <w:rPr>
                <w:rFonts w:hint="eastAsia" w:ascii="宋体" w:hAnsi="宋体"/>
                <w:color w:val="auto"/>
              </w:rPr>
              <w:t>当前实施情况</w:t>
            </w:r>
          </w:p>
        </w:tc>
      </w:tr>
      <w:tr w14:paraId="19FF8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 w:type="pct"/>
            <w:vMerge w:val="restart"/>
            <w:shd w:val="clear" w:color="auto" w:fill="auto"/>
            <w:vAlign w:val="center"/>
          </w:tcPr>
          <w:p w14:paraId="298B3F55">
            <w:pPr>
              <w:adjustRightInd w:val="0"/>
              <w:snapToGrid w:val="0"/>
              <w:jc w:val="center"/>
              <w:rPr>
                <w:rFonts w:ascii="宋体" w:hAnsi="宋体"/>
                <w:color w:val="auto"/>
              </w:rPr>
            </w:pPr>
            <w:r>
              <w:rPr>
                <w:rFonts w:hint="eastAsia" w:ascii="宋体" w:hAnsi="宋体"/>
                <w:color w:val="auto"/>
              </w:rPr>
              <w:t>污染物处置措施方面</w:t>
            </w:r>
          </w:p>
        </w:tc>
        <w:tc>
          <w:tcPr>
            <w:tcW w:w="245" w:type="pct"/>
            <w:vMerge w:val="restart"/>
            <w:shd w:val="clear" w:color="auto" w:fill="auto"/>
            <w:vAlign w:val="center"/>
          </w:tcPr>
          <w:p w14:paraId="793D236C">
            <w:pPr>
              <w:adjustRightInd w:val="0"/>
              <w:snapToGrid w:val="0"/>
              <w:jc w:val="center"/>
              <w:rPr>
                <w:rFonts w:ascii="宋体" w:hAnsi="宋体"/>
                <w:color w:val="auto"/>
              </w:rPr>
            </w:pPr>
            <w:r>
              <w:rPr>
                <w:rFonts w:hint="eastAsia" w:ascii="宋体" w:hAnsi="宋体"/>
                <w:color w:val="auto"/>
              </w:rPr>
              <w:t>废气</w:t>
            </w:r>
          </w:p>
        </w:tc>
        <w:tc>
          <w:tcPr>
            <w:tcW w:w="1534" w:type="pct"/>
            <w:shd w:val="clear" w:color="auto" w:fill="auto"/>
            <w:vAlign w:val="center"/>
          </w:tcPr>
          <w:p w14:paraId="4886AA89">
            <w:pPr>
              <w:adjustRightInd w:val="0"/>
              <w:snapToGrid w:val="0"/>
              <w:jc w:val="center"/>
              <w:rPr>
                <w:rFonts w:ascii="宋体" w:hAnsi="宋体"/>
                <w:color w:val="auto"/>
              </w:rPr>
            </w:pPr>
            <w:r>
              <w:rPr>
                <w:rFonts w:hint="eastAsia" w:ascii="宋体" w:hAnsi="宋体"/>
                <w:color w:val="auto"/>
              </w:rPr>
              <w:t>1、井口安装油套连通套管气回收装置，厂界无组织废气达标；</w:t>
            </w:r>
          </w:p>
          <w:p w14:paraId="3E4FE021">
            <w:pPr>
              <w:adjustRightInd w:val="0"/>
              <w:snapToGrid w:val="0"/>
              <w:jc w:val="center"/>
              <w:rPr>
                <w:rFonts w:ascii="宋体" w:hAnsi="宋体"/>
                <w:color w:val="auto"/>
              </w:rPr>
            </w:pPr>
            <w:r>
              <w:rPr>
                <w:rFonts w:hint="eastAsia" w:ascii="宋体" w:hAnsi="宋体"/>
                <w:color w:val="auto"/>
              </w:rPr>
              <w:t>2、加热炉配备低氮燃烧器，排气筒高度不低于8m，有组织废气达标排放</w:t>
            </w:r>
          </w:p>
          <w:p w14:paraId="49DD6DDE">
            <w:pPr>
              <w:adjustRightInd w:val="0"/>
              <w:snapToGrid w:val="0"/>
              <w:jc w:val="center"/>
              <w:rPr>
                <w:rFonts w:ascii="宋体" w:hAnsi="宋体"/>
                <w:color w:val="auto"/>
              </w:rPr>
            </w:pPr>
            <w:r>
              <w:rPr>
                <w:rFonts w:hint="eastAsia" w:ascii="宋体" w:hAnsi="宋体"/>
                <w:color w:val="auto"/>
              </w:rPr>
              <w:t>综合以上，现有废气均实现达标排放，但废气收集方面存在装载废气未收集、处理</w:t>
            </w:r>
          </w:p>
        </w:tc>
        <w:tc>
          <w:tcPr>
            <w:tcW w:w="989" w:type="pct"/>
            <w:shd w:val="clear" w:color="auto" w:fill="auto"/>
            <w:vAlign w:val="center"/>
          </w:tcPr>
          <w:p w14:paraId="4F4D4565">
            <w:pPr>
              <w:adjustRightInd w:val="0"/>
              <w:snapToGrid w:val="0"/>
              <w:jc w:val="center"/>
              <w:rPr>
                <w:rFonts w:ascii="宋体" w:hAnsi="宋体"/>
                <w:color w:val="auto"/>
              </w:rPr>
            </w:pPr>
            <w:r>
              <w:rPr>
                <w:rFonts w:hint="eastAsia" w:ascii="宋体" w:hAnsi="宋体"/>
                <w:color w:val="auto"/>
              </w:rPr>
              <w:t>高青联合站建有2个卸油池，2009年投产，为地下铁罐，总容积60m³；池子采用水泥盖板，卸油过程存在VOCs无组织挥发</w:t>
            </w:r>
          </w:p>
        </w:tc>
        <w:tc>
          <w:tcPr>
            <w:tcW w:w="989" w:type="pct"/>
            <w:shd w:val="clear" w:color="auto" w:fill="auto"/>
            <w:vAlign w:val="center"/>
          </w:tcPr>
          <w:p w14:paraId="1711A3BB">
            <w:pPr>
              <w:adjustRightInd w:val="0"/>
              <w:snapToGrid w:val="0"/>
              <w:jc w:val="center"/>
              <w:rPr>
                <w:rFonts w:ascii="宋体" w:hAnsi="宋体"/>
                <w:color w:val="auto"/>
              </w:rPr>
            </w:pPr>
            <w:r>
              <w:rPr>
                <w:rFonts w:hint="eastAsia" w:ascii="宋体" w:hAnsi="宋体" w:cs="宋体"/>
                <w:color w:val="auto"/>
              </w:rPr>
              <w:t>拆除卸油池，改为无罐泵抽卸油</w:t>
            </w:r>
          </w:p>
        </w:tc>
        <w:tc>
          <w:tcPr>
            <w:tcW w:w="990" w:type="pct"/>
            <w:shd w:val="clear" w:color="auto" w:fill="auto"/>
            <w:vAlign w:val="center"/>
          </w:tcPr>
          <w:p w14:paraId="361B9268">
            <w:pPr>
              <w:adjustRightInd w:val="0"/>
              <w:snapToGrid w:val="0"/>
              <w:jc w:val="center"/>
              <w:rPr>
                <w:rFonts w:ascii="宋体" w:hAnsi="宋体" w:cs="宋体"/>
                <w:color w:val="auto"/>
              </w:rPr>
            </w:pPr>
            <w:r>
              <w:rPr>
                <w:rFonts w:hint="eastAsia" w:ascii="宋体" w:hAnsi="宋体" w:cs="宋体"/>
                <w:color w:val="auto"/>
              </w:rPr>
              <w:t>已纳入高青联合站改造计划，</w:t>
            </w:r>
            <w:bookmarkStart w:id="64" w:name="OLE_LINK250"/>
            <w:r>
              <w:rPr>
                <w:rFonts w:hint="eastAsia" w:ascii="宋体" w:hAnsi="宋体" w:cs="宋体"/>
                <w:color w:val="auto"/>
              </w:rPr>
              <w:t>改造方案已形成</w:t>
            </w:r>
            <w:bookmarkEnd w:id="64"/>
            <w:r>
              <w:rPr>
                <w:rFonts w:hint="eastAsia" w:ascii="宋体" w:hAnsi="宋体" w:cs="宋体"/>
                <w:color w:val="auto"/>
              </w:rPr>
              <w:t>，有序推进中</w:t>
            </w:r>
          </w:p>
        </w:tc>
      </w:tr>
      <w:tr w14:paraId="268FD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 w:type="pct"/>
            <w:vMerge w:val="continue"/>
            <w:shd w:val="clear" w:color="auto" w:fill="auto"/>
            <w:vAlign w:val="center"/>
          </w:tcPr>
          <w:p w14:paraId="464D4496">
            <w:pPr>
              <w:widowControl/>
              <w:jc w:val="center"/>
              <w:rPr>
                <w:rFonts w:ascii="宋体" w:hAnsi="宋体"/>
                <w:color w:val="auto"/>
              </w:rPr>
            </w:pPr>
          </w:p>
        </w:tc>
        <w:tc>
          <w:tcPr>
            <w:tcW w:w="245" w:type="pct"/>
            <w:vMerge w:val="continue"/>
            <w:shd w:val="clear" w:color="auto" w:fill="auto"/>
            <w:vAlign w:val="center"/>
          </w:tcPr>
          <w:p w14:paraId="5BC9BA99">
            <w:pPr>
              <w:widowControl/>
              <w:jc w:val="center"/>
              <w:rPr>
                <w:rFonts w:ascii="宋体" w:hAnsi="宋体"/>
                <w:color w:val="auto"/>
              </w:rPr>
            </w:pPr>
          </w:p>
        </w:tc>
        <w:tc>
          <w:tcPr>
            <w:tcW w:w="1534" w:type="pct"/>
            <w:shd w:val="clear" w:color="auto" w:fill="auto"/>
            <w:vAlign w:val="center"/>
          </w:tcPr>
          <w:p w14:paraId="3B4808CD">
            <w:pPr>
              <w:adjustRightInd w:val="0"/>
              <w:snapToGrid w:val="0"/>
              <w:jc w:val="center"/>
              <w:rPr>
                <w:rFonts w:ascii="宋体" w:hAnsi="宋体"/>
                <w:color w:val="auto"/>
              </w:rPr>
            </w:pPr>
            <w:r>
              <w:rPr>
                <w:rFonts w:hint="eastAsia" w:ascii="宋体" w:hAnsi="宋体"/>
                <w:color w:val="auto"/>
              </w:rPr>
              <w:t>滨博接转站、高青联合站装载废气未进行收集处理</w:t>
            </w:r>
          </w:p>
        </w:tc>
        <w:tc>
          <w:tcPr>
            <w:tcW w:w="989" w:type="pct"/>
            <w:shd w:val="clear" w:color="auto" w:fill="auto"/>
            <w:vAlign w:val="center"/>
          </w:tcPr>
          <w:p w14:paraId="7333A2AB">
            <w:pPr>
              <w:adjustRightInd w:val="0"/>
              <w:snapToGrid w:val="0"/>
              <w:jc w:val="center"/>
              <w:rPr>
                <w:rFonts w:ascii="宋体" w:hAnsi="宋体"/>
                <w:color w:val="auto"/>
              </w:rPr>
            </w:pPr>
            <w:r>
              <w:rPr>
                <w:rFonts w:hint="eastAsia" w:ascii="宋体" w:hAnsi="宋体"/>
                <w:color w:val="auto"/>
              </w:rPr>
              <w:t>滨博接转站、高青联合站真实蒸气压未进行测定，无法确定是否需对装载废气进行收集处理。</w:t>
            </w:r>
          </w:p>
        </w:tc>
        <w:tc>
          <w:tcPr>
            <w:tcW w:w="989" w:type="pct"/>
            <w:shd w:val="clear" w:color="auto" w:fill="auto"/>
            <w:vAlign w:val="center"/>
          </w:tcPr>
          <w:p w14:paraId="1CD58AC7">
            <w:pPr>
              <w:widowControl/>
              <w:ind w:left="51" w:right="51"/>
              <w:jc w:val="center"/>
              <w:rPr>
                <w:rFonts w:ascii="宋体" w:hAnsi="宋体"/>
                <w:color w:val="auto"/>
              </w:rPr>
            </w:pPr>
            <w:r>
              <w:rPr>
                <w:rFonts w:hint="eastAsia" w:ascii="宋体" w:hAnsi="宋体"/>
                <w:color w:val="auto"/>
              </w:rPr>
              <w:t>检测装载原油真实蒸气压，若真实蒸气压≥5.2kPa，应符合下列规定之一：</w:t>
            </w:r>
          </w:p>
          <w:p w14:paraId="680BB4BB">
            <w:pPr>
              <w:widowControl/>
              <w:ind w:left="51" w:right="51"/>
              <w:jc w:val="center"/>
              <w:rPr>
                <w:rFonts w:ascii="宋体" w:hAnsi="宋体"/>
                <w:color w:val="auto"/>
              </w:rPr>
            </w:pPr>
            <w:r>
              <w:rPr>
                <w:rFonts w:hint="eastAsia" w:ascii="宋体" w:hAnsi="宋体"/>
                <w:color w:val="auto"/>
              </w:rPr>
              <w:t>a）对装载排放的废气进行收集处理，非甲烷总烃去除效率不低于90%；</w:t>
            </w:r>
          </w:p>
          <w:p w14:paraId="54D35C29">
            <w:pPr>
              <w:adjustRightInd w:val="0"/>
              <w:snapToGrid w:val="0"/>
              <w:jc w:val="center"/>
              <w:rPr>
                <w:rFonts w:ascii="宋体" w:hAnsi="宋体"/>
                <w:color w:val="auto"/>
              </w:rPr>
            </w:pPr>
            <w:r>
              <w:rPr>
                <w:rFonts w:hint="eastAsia" w:ascii="宋体" w:hAnsi="宋体"/>
                <w:color w:val="auto"/>
              </w:rPr>
              <w:t>b）采用气相平衡系统。</w:t>
            </w:r>
          </w:p>
        </w:tc>
        <w:tc>
          <w:tcPr>
            <w:tcW w:w="990" w:type="pct"/>
            <w:shd w:val="clear" w:color="auto" w:fill="auto"/>
            <w:vAlign w:val="center"/>
          </w:tcPr>
          <w:p w14:paraId="171EBE29">
            <w:pPr>
              <w:adjustRightInd w:val="0"/>
              <w:snapToGrid w:val="0"/>
              <w:jc w:val="center"/>
              <w:rPr>
                <w:rFonts w:ascii="宋体" w:hAnsi="宋体"/>
                <w:color w:val="auto"/>
              </w:rPr>
            </w:pPr>
            <w:r>
              <w:rPr>
                <w:rFonts w:hint="eastAsia" w:ascii="宋体" w:hAnsi="宋体" w:cs="宋体"/>
                <w:color w:val="auto"/>
              </w:rPr>
              <w:t>已纳入高青联合站、滨博接转站改造计划，改造方案已形成，有序推进中</w:t>
            </w:r>
          </w:p>
        </w:tc>
      </w:tr>
      <w:tr w14:paraId="6A94E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 w:type="pct"/>
            <w:vMerge w:val="continue"/>
            <w:shd w:val="clear" w:color="auto" w:fill="auto"/>
            <w:vAlign w:val="center"/>
          </w:tcPr>
          <w:p w14:paraId="5F6585EA">
            <w:pPr>
              <w:widowControl/>
              <w:jc w:val="center"/>
              <w:rPr>
                <w:rFonts w:ascii="宋体" w:hAnsi="宋体"/>
                <w:color w:val="auto"/>
              </w:rPr>
            </w:pPr>
          </w:p>
        </w:tc>
        <w:tc>
          <w:tcPr>
            <w:tcW w:w="245" w:type="pct"/>
            <w:shd w:val="clear" w:color="auto" w:fill="auto"/>
            <w:vAlign w:val="center"/>
          </w:tcPr>
          <w:p w14:paraId="36ADFE6B">
            <w:pPr>
              <w:adjustRightInd w:val="0"/>
              <w:snapToGrid w:val="0"/>
              <w:jc w:val="center"/>
              <w:rPr>
                <w:rFonts w:ascii="宋体" w:hAnsi="宋体"/>
                <w:color w:val="auto"/>
              </w:rPr>
            </w:pPr>
            <w:r>
              <w:rPr>
                <w:rFonts w:hint="eastAsia" w:ascii="宋体" w:hAnsi="宋体"/>
                <w:color w:val="auto"/>
              </w:rPr>
              <w:t>废水</w:t>
            </w:r>
          </w:p>
        </w:tc>
        <w:tc>
          <w:tcPr>
            <w:tcW w:w="1534" w:type="pct"/>
            <w:shd w:val="clear" w:color="auto" w:fill="auto"/>
            <w:vAlign w:val="center"/>
          </w:tcPr>
          <w:p w14:paraId="4635036A">
            <w:pPr>
              <w:adjustRightInd w:val="0"/>
              <w:snapToGrid w:val="0"/>
              <w:jc w:val="center"/>
              <w:rPr>
                <w:rFonts w:ascii="宋体" w:hAnsi="宋体"/>
                <w:color w:val="auto"/>
              </w:rPr>
            </w:pPr>
            <w:r>
              <w:rPr>
                <w:rFonts w:hint="eastAsia" w:ascii="宋体" w:hAnsi="宋体"/>
                <w:color w:val="auto"/>
              </w:rPr>
              <w:t>1、采出水、井下作业废液经站场采出水处理系统处理达标后回注，不存在外排现象；</w:t>
            </w:r>
          </w:p>
          <w:p w14:paraId="0757663A">
            <w:pPr>
              <w:adjustRightInd w:val="0"/>
              <w:snapToGrid w:val="0"/>
              <w:jc w:val="center"/>
              <w:rPr>
                <w:rFonts w:ascii="宋体" w:hAnsi="宋体"/>
                <w:color w:val="auto"/>
              </w:rPr>
            </w:pPr>
            <w:r>
              <w:rPr>
                <w:rFonts w:hint="eastAsia" w:ascii="宋体" w:hAnsi="宋体"/>
                <w:color w:val="auto"/>
              </w:rPr>
              <w:t>2、站场罐区设围堰，开发区域设立地下水监控井，跟踪监测地下水污染状况，特征因子石油类满足相应标准要求</w:t>
            </w:r>
          </w:p>
        </w:tc>
        <w:tc>
          <w:tcPr>
            <w:tcW w:w="989" w:type="pct"/>
            <w:shd w:val="clear" w:color="auto" w:fill="auto"/>
            <w:vAlign w:val="center"/>
          </w:tcPr>
          <w:p w14:paraId="6CB7AB9E">
            <w:pPr>
              <w:adjustRightInd w:val="0"/>
              <w:snapToGrid w:val="0"/>
              <w:jc w:val="center"/>
              <w:rPr>
                <w:rFonts w:ascii="宋体" w:hAnsi="宋体"/>
                <w:color w:val="auto"/>
              </w:rPr>
            </w:pPr>
            <w:r>
              <w:rPr>
                <w:rFonts w:hint="eastAsia" w:ascii="宋体" w:hAnsi="宋体"/>
                <w:color w:val="auto"/>
              </w:rPr>
              <w:t>樊107注水站处理能力不满足规划注水需求</w:t>
            </w:r>
          </w:p>
        </w:tc>
        <w:tc>
          <w:tcPr>
            <w:tcW w:w="989" w:type="pct"/>
            <w:shd w:val="clear" w:color="auto" w:fill="auto"/>
            <w:vAlign w:val="center"/>
          </w:tcPr>
          <w:p w14:paraId="07571E68">
            <w:pPr>
              <w:adjustRightInd w:val="0"/>
              <w:snapToGrid w:val="0"/>
              <w:jc w:val="center"/>
              <w:rPr>
                <w:rFonts w:ascii="宋体" w:hAnsi="宋体"/>
                <w:color w:val="auto"/>
              </w:rPr>
            </w:pPr>
            <w:r>
              <w:rPr>
                <w:rFonts w:hint="eastAsia" w:ascii="宋体" w:hAnsi="宋体"/>
                <w:color w:val="auto"/>
              </w:rPr>
              <w:t>对樊107注水站扩建</w:t>
            </w:r>
          </w:p>
        </w:tc>
        <w:tc>
          <w:tcPr>
            <w:tcW w:w="990" w:type="pct"/>
            <w:shd w:val="clear" w:color="auto" w:fill="auto"/>
            <w:vAlign w:val="center"/>
          </w:tcPr>
          <w:p w14:paraId="139527FA">
            <w:pPr>
              <w:adjustRightInd w:val="0"/>
              <w:snapToGrid w:val="0"/>
              <w:jc w:val="center"/>
              <w:rPr>
                <w:rFonts w:ascii="宋体" w:hAnsi="宋体"/>
                <w:color w:val="auto"/>
              </w:rPr>
            </w:pPr>
            <w:r>
              <w:rPr>
                <w:rFonts w:hint="eastAsia" w:ascii="宋体" w:hAnsi="宋体"/>
                <w:color w:val="auto"/>
              </w:rPr>
              <w:t>当前实施中，该项目实施完成后将纳入大芦湖油田产能建设项目（2</w:t>
            </w:r>
            <w:r>
              <w:rPr>
                <w:rFonts w:ascii="宋体" w:hAnsi="宋体"/>
                <w:color w:val="auto"/>
              </w:rPr>
              <w:t>023-2025</w:t>
            </w:r>
            <w:r>
              <w:rPr>
                <w:rFonts w:hint="eastAsia" w:ascii="宋体" w:hAnsi="宋体"/>
                <w:color w:val="auto"/>
              </w:rPr>
              <w:t>年）后期验收中</w:t>
            </w:r>
          </w:p>
        </w:tc>
      </w:tr>
      <w:tr w14:paraId="0675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gridSpan w:val="2"/>
            <w:shd w:val="clear" w:color="auto" w:fill="auto"/>
            <w:vAlign w:val="center"/>
          </w:tcPr>
          <w:p w14:paraId="776793EC">
            <w:pPr>
              <w:adjustRightInd w:val="0"/>
              <w:snapToGrid w:val="0"/>
              <w:jc w:val="center"/>
              <w:rPr>
                <w:rFonts w:ascii="宋体" w:hAnsi="宋体"/>
                <w:color w:val="auto"/>
              </w:rPr>
            </w:pPr>
            <w:r>
              <w:rPr>
                <w:rFonts w:hint="eastAsia" w:ascii="宋体" w:hAnsi="宋体"/>
                <w:color w:val="auto"/>
              </w:rPr>
              <w:t>环境风险方面</w:t>
            </w:r>
          </w:p>
        </w:tc>
        <w:tc>
          <w:tcPr>
            <w:tcW w:w="1534" w:type="pct"/>
            <w:shd w:val="clear" w:color="auto" w:fill="auto"/>
            <w:vAlign w:val="center"/>
          </w:tcPr>
          <w:p w14:paraId="564C5A43">
            <w:pPr>
              <w:adjustRightInd w:val="0"/>
              <w:snapToGrid w:val="0"/>
              <w:jc w:val="center"/>
              <w:rPr>
                <w:rFonts w:ascii="宋体" w:hAnsi="宋体"/>
                <w:color w:val="auto"/>
              </w:rPr>
            </w:pPr>
            <w:r>
              <w:rPr>
                <w:rFonts w:hint="eastAsia" w:ascii="宋体" w:hAnsi="宋体"/>
                <w:color w:val="auto"/>
              </w:rPr>
              <w:t>编制应急预案，取得备案（在有效期内），配备应急物资，定期演练；罐区防渗</w:t>
            </w:r>
          </w:p>
        </w:tc>
        <w:tc>
          <w:tcPr>
            <w:tcW w:w="989" w:type="pct"/>
            <w:shd w:val="clear" w:color="auto" w:fill="auto"/>
            <w:vAlign w:val="center"/>
          </w:tcPr>
          <w:p w14:paraId="5D6DF324">
            <w:pPr>
              <w:adjustRightInd w:val="0"/>
              <w:snapToGrid w:val="0"/>
              <w:jc w:val="center"/>
              <w:rPr>
                <w:rFonts w:ascii="宋体" w:hAnsi="宋体"/>
                <w:color w:val="auto"/>
              </w:rPr>
            </w:pPr>
            <w:r>
              <w:rPr>
                <w:rFonts w:hint="eastAsia" w:ascii="宋体" w:hAnsi="宋体"/>
                <w:color w:val="auto"/>
              </w:rPr>
              <w:t>滨博接转站内罐区未防渗</w:t>
            </w:r>
          </w:p>
        </w:tc>
        <w:tc>
          <w:tcPr>
            <w:tcW w:w="989" w:type="pct"/>
            <w:shd w:val="clear" w:color="auto" w:fill="auto"/>
            <w:vAlign w:val="center"/>
          </w:tcPr>
          <w:p w14:paraId="669FBDC5">
            <w:pPr>
              <w:adjustRightInd w:val="0"/>
              <w:snapToGrid w:val="0"/>
              <w:jc w:val="center"/>
              <w:rPr>
                <w:rFonts w:ascii="宋体" w:hAnsi="宋体"/>
                <w:color w:val="auto"/>
              </w:rPr>
            </w:pPr>
            <w:r>
              <w:rPr>
                <w:rFonts w:hint="eastAsia" w:ascii="宋体" w:hAnsi="宋体" w:cs="宋体"/>
                <w:color w:val="auto"/>
              </w:rPr>
              <w:t>站内罐区区域铺设环保水泥地毯</w:t>
            </w:r>
          </w:p>
        </w:tc>
        <w:tc>
          <w:tcPr>
            <w:tcW w:w="990" w:type="pct"/>
            <w:shd w:val="clear" w:color="auto" w:fill="auto"/>
            <w:vAlign w:val="center"/>
          </w:tcPr>
          <w:p w14:paraId="7E975043">
            <w:pPr>
              <w:adjustRightInd w:val="0"/>
              <w:snapToGrid w:val="0"/>
              <w:jc w:val="center"/>
              <w:rPr>
                <w:rFonts w:ascii="宋体" w:hAnsi="宋体"/>
                <w:color w:val="auto"/>
              </w:rPr>
            </w:pPr>
            <w:r>
              <w:rPr>
                <w:rFonts w:hint="eastAsia" w:ascii="宋体" w:hAnsi="宋体"/>
                <w:color w:val="auto"/>
              </w:rPr>
              <w:t>罐壁采用碳纤维加强，防止罐壁腐蚀产生渗漏，已签订施工合同</w:t>
            </w:r>
          </w:p>
        </w:tc>
      </w:tr>
    </w:tbl>
    <w:p w14:paraId="0CE57BC9">
      <w:pPr>
        <w:rPr>
          <w:color w:val="auto"/>
        </w:rPr>
        <w:sectPr>
          <w:pgSz w:w="11906" w:h="16838"/>
          <w:pgMar w:top="1418" w:right="1588" w:bottom="1418" w:left="1588" w:header="1134" w:footer="851" w:gutter="0"/>
          <w:cols w:space="720" w:num="1"/>
          <w:docGrid w:linePitch="312" w:charSpace="0"/>
        </w:sectPr>
      </w:pPr>
    </w:p>
    <w:p w14:paraId="5D495CD3">
      <w:pPr>
        <w:pStyle w:val="5"/>
        <w:rPr>
          <w:color w:val="auto"/>
        </w:rPr>
      </w:pPr>
      <w:bookmarkStart w:id="65" w:name="_Toc231283622"/>
      <w:r>
        <w:rPr>
          <w:rFonts w:hint="eastAsia"/>
          <w:color w:val="auto"/>
        </w:rPr>
        <w:t>本期工程建设内容</w:t>
      </w:r>
      <w:bookmarkEnd w:id="65"/>
    </w:p>
    <w:p w14:paraId="2E2EEF19">
      <w:pPr>
        <w:pStyle w:val="6"/>
        <w:rPr>
          <w:color w:val="auto"/>
        </w:rPr>
      </w:pPr>
      <w:r>
        <w:rPr>
          <w:rFonts w:hint="eastAsia"/>
          <w:color w:val="auto"/>
        </w:rPr>
        <w:t>工程</w:t>
      </w:r>
      <w:r>
        <w:rPr>
          <w:color w:val="auto"/>
        </w:rPr>
        <w:t>组成</w:t>
      </w:r>
    </w:p>
    <w:p w14:paraId="5963302D">
      <w:pPr>
        <w:pStyle w:val="4"/>
        <w:ind w:firstLine="480"/>
        <w:rPr>
          <w:color w:val="auto"/>
        </w:rPr>
      </w:pPr>
      <w:r>
        <w:rPr>
          <w:rFonts w:hint="eastAsia"/>
          <w:color w:val="auto"/>
        </w:rPr>
        <w:t>本期工程分为两部分。</w:t>
      </w:r>
    </w:p>
    <w:p w14:paraId="4796C287">
      <w:pPr>
        <w:pStyle w:val="4"/>
        <w:ind w:firstLine="480"/>
        <w:rPr>
          <w:color w:val="auto"/>
        </w:rPr>
      </w:pPr>
      <w:r>
        <w:rPr>
          <w:rFonts w:hint="eastAsia"/>
          <w:color w:val="auto"/>
        </w:rPr>
        <w:t>1）</w:t>
      </w:r>
      <w:bookmarkStart w:id="66" w:name="OLE_LINK312"/>
      <w:bookmarkStart w:id="67" w:name="OLE_LINK311"/>
      <w:r>
        <w:rPr>
          <w:rFonts w:hint="eastAsia"/>
          <w:color w:val="auto"/>
        </w:rPr>
        <w:t>滚动开发工程</w:t>
      </w:r>
      <w:bookmarkEnd w:id="66"/>
      <w:bookmarkEnd w:id="67"/>
      <w:r>
        <w:rPr>
          <w:rFonts w:hint="eastAsia"/>
          <w:color w:val="auto"/>
        </w:rPr>
        <w:t>：共部署24口井，其中探井转开发井8口，新钻井</w:t>
      </w:r>
      <w:r>
        <w:rPr>
          <w:color w:val="auto"/>
        </w:rPr>
        <w:t>16口（油井9口、注水井7口）</w:t>
      </w:r>
      <w:r>
        <w:rPr>
          <w:rFonts w:hint="eastAsia"/>
          <w:color w:val="auto"/>
        </w:rPr>
        <w:t>，</w:t>
      </w:r>
      <w:r>
        <w:rPr>
          <w:color w:val="auto"/>
        </w:rPr>
        <w:t>分布于12座井场中</w:t>
      </w:r>
      <w:r>
        <w:rPr>
          <w:rFonts w:hint="eastAsia"/>
          <w:color w:val="auto"/>
        </w:rPr>
        <w:t>；</w:t>
      </w:r>
      <w:r>
        <w:rPr>
          <w:color w:val="auto"/>
        </w:rPr>
        <w:t>新建</w:t>
      </w:r>
      <w:r>
        <w:rPr>
          <w:rFonts w:hint="eastAsia"/>
          <w:color w:val="auto"/>
        </w:rPr>
        <w:t>了9座游梁式抽油机；</w:t>
      </w:r>
      <w:r>
        <w:rPr>
          <w:color w:val="auto"/>
        </w:rPr>
        <w:t>新建</w:t>
      </w:r>
      <w:r>
        <w:rPr>
          <w:rFonts w:hint="eastAsia"/>
          <w:color w:val="auto"/>
        </w:rPr>
        <w:t>了</w:t>
      </w:r>
      <w:r>
        <w:rPr>
          <w:color w:val="auto"/>
        </w:rPr>
        <w:t>17套</w:t>
      </w:r>
      <w:r>
        <w:rPr>
          <w:rFonts w:hint="eastAsia"/>
          <w:color w:val="auto"/>
        </w:rPr>
        <w:t>采油</w:t>
      </w:r>
      <w:r>
        <w:rPr>
          <w:color w:val="auto"/>
        </w:rPr>
        <w:t>井口装置</w:t>
      </w:r>
      <w:r>
        <w:rPr>
          <w:rFonts w:hint="eastAsia"/>
          <w:color w:val="auto"/>
        </w:rPr>
        <w:t>，7套注水井口装置；</w:t>
      </w:r>
      <w:r>
        <w:rPr>
          <w:rFonts w:hint="eastAsia"/>
          <w:snapToGrid w:val="0"/>
          <w:color w:val="auto"/>
        </w:rPr>
        <w:t>新建了</w:t>
      </w:r>
      <w:r>
        <w:rPr>
          <w:rFonts w:hint="eastAsia"/>
          <w:color w:val="auto"/>
          <w:kern w:val="0"/>
        </w:rPr>
        <w:t>φ6</w:t>
      </w:r>
      <w:r>
        <w:rPr>
          <w:color w:val="auto"/>
          <w:kern w:val="0"/>
        </w:rPr>
        <w:t>0×4mm</w:t>
      </w:r>
      <w:r>
        <w:rPr>
          <w:rFonts w:hint="eastAsia"/>
          <w:color w:val="auto"/>
          <w:kern w:val="0"/>
        </w:rPr>
        <w:t>单井集油管线共</w:t>
      </w:r>
      <w:r>
        <w:rPr>
          <w:color w:val="auto"/>
          <w:kern w:val="0"/>
        </w:rPr>
        <w:t>0.8km</w:t>
      </w:r>
      <w:r>
        <w:rPr>
          <w:rFonts w:hint="eastAsia"/>
          <w:color w:val="auto"/>
          <w:kern w:val="0"/>
        </w:rPr>
        <w:t>，新建了φ</w:t>
      </w:r>
      <w:r>
        <w:rPr>
          <w:color w:val="auto"/>
          <w:kern w:val="0"/>
        </w:rPr>
        <w:t>114×5mm</w:t>
      </w:r>
      <w:r>
        <w:rPr>
          <w:rFonts w:hint="eastAsia"/>
          <w:color w:val="auto"/>
          <w:kern w:val="0"/>
        </w:rPr>
        <w:t>集油支线共4</w:t>
      </w:r>
      <w:r>
        <w:rPr>
          <w:color w:val="auto"/>
          <w:kern w:val="0"/>
        </w:rPr>
        <w:t>.02km</w:t>
      </w:r>
      <w:r>
        <w:rPr>
          <w:rFonts w:hint="eastAsia"/>
          <w:color w:val="auto"/>
          <w:kern w:val="0"/>
        </w:rPr>
        <w:t>，</w:t>
      </w:r>
      <w:r>
        <w:rPr>
          <w:rFonts w:hint="eastAsia"/>
          <w:color w:val="auto"/>
          <w:kern w:val="0"/>
        </w:rPr>
        <w:t>新建了</w:t>
      </w:r>
      <w:r>
        <w:rPr>
          <w:rFonts w:hint="eastAsia"/>
          <w:color w:val="auto"/>
        </w:rPr>
        <w:t>φ48×4mm天然气管线0</w:t>
      </w:r>
      <w:r>
        <w:rPr>
          <w:color w:val="auto"/>
        </w:rPr>
        <w:t>.274km</w:t>
      </w:r>
      <w:r>
        <w:rPr>
          <w:rFonts w:hint="eastAsia"/>
          <w:color w:val="auto"/>
        </w:rPr>
        <w:t>；新建了φ76×11mm单井注水管线共0.05km，新建了DN150注水管线共2.2km，新建了DN110注水管线共0.5km，合计2.75km；新建了9台40m</w:t>
      </w:r>
      <w:r>
        <w:rPr>
          <w:rFonts w:hint="eastAsia"/>
          <w:color w:val="auto"/>
          <w:vertAlign w:val="superscript"/>
        </w:rPr>
        <w:t>3</w:t>
      </w:r>
      <w:r>
        <w:rPr>
          <w:rFonts w:hint="eastAsia"/>
          <w:color w:val="auto"/>
        </w:rPr>
        <w:t>多功能罐（电加热），燃气水套炉4座；</w:t>
      </w:r>
    </w:p>
    <w:p w14:paraId="0586116D">
      <w:pPr>
        <w:pStyle w:val="4"/>
        <w:ind w:firstLine="480"/>
        <w:rPr>
          <w:color w:val="auto"/>
        </w:rPr>
      </w:pPr>
      <w:r>
        <w:rPr>
          <w:rFonts w:cs="宋体"/>
          <w:color w:val="auto"/>
        </w:rPr>
        <w:t>2</w:t>
      </w:r>
      <w:r>
        <w:rPr>
          <w:rFonts w:hint="eastAsia" w:cs="宋体"/>
          <w:color w:val="auto"/>
        </w:rPr>
        <w:t>）</w:t>
      </w:r>
      <w:r>
        <w:rPr>
          <w:rFonts w:hint="eastAsia"/>
          <w:color w:val="auto"/>
        </w:rPr>
        <w:t>高青管理区地面系统优化建设工程：樊101、高21、樊18共3个区块集输系统改造；樊101块、樊121块、高21块、樊18区块、樊26区块、樊11区块等6个区块注水系统改造。</w:t>
      </w:r>
    </w:p>
    <w:p w14:paraId="03A43128">
      <w:pPr>
        <w:pStyle w:val="4"/>
        <w:ind w:firstLine="496"/>
        <w:rPr>
          <w:color w:val="auto"/>
        </w:rPr>
      </w:pPr>
      <w:r>
        <w:rPr>
          <w:rFonts w:hint="eastAsia" w:cs="宋体"/>
          <w:color w:val="auto"/>
          <w:spacing w:val="4"/>
        </w:rPr>
        <w:t>项目</w:t>
      </w:r>
      <w:r>
        <w:rPr>
          <w:rFonts w:cs="宋体"/>
          <w:color w:val="auto"/>
          <w:spacing w:val="4"/>
        </w:rPr>
        <w:t>实际总投资为</w:t>
      </w:r>
      <w:r>
        <w:rPr>
          <w:rFonts w:hint="eastAsia" w:cs="宋体"/>
          <w:color w:val="auto"/>
          <w:spacing w:val="4"/>
        </w:rPr>
        <w:t>38353万元，实际</w:t>
      </w:r>
      <w:r>
        <w:rPr>
          <w:rFonts w:cs="宋体"/>
          <w:color w:val="auto"/>
          <w:spacing w:val="4"/>
        </w:rPr>
        <w:t>环保投资</w:t>
      </w:r>
      <w:r>
        <w:rPr>
          <w:color w:val="auto"/>
          <w:spacing w:val="4"/>
        </w:rPr>
        <w:t>346万元</w:t>
      </w:r>
      <w:r>
        <w:rPr>
          <w:rFonts w:hint="eastAsia" w:cs="宋体"/>
          <w:color w:val="auto"/>
          <w:spacing w:val="4"/>
        </w:rPr>
        <w:t>。实际</w:t>
      </w:r>
      <w:r>
        <w:rPr>
          <w:rFonts w:hint="eastAsia"/>
          <w:color w:val="auto"/>
        </w:rPr>
        <w:t>工程组成</w:t>
      </w:r>
      <w:r>
        <w:rPr>
          <w:color w:val="auto"/>
        </w:rPr>
        <w:t>情况具体见</w:t>
      </w:r>
      <w:r>
        <w:rPr>
          <w:rFonts w:hint="eastAsia"/>
          <w:color w:val="auto"/>
        </w:rPr>
        <w:t>下表。</w:t>
      </w:r>
    </w:p>
    <w:p w14:paraId="5753ABBD">
      <w:pPr>
        <w:pStyle w:val="4"/>
        <w:ind w:firstLine="480"/>
        <w:rPr>
          <w:color w:val="auto"/>
        </w:rPr>
        <w:sectPr>
          <w:pgSz w:w="11906" w:h="16838"/>
          <w:pgMar w:top="1418" w:right="1588" w:bottom="1418" w:left="1588" w:header="1134" w:footer="851" w:gutter="0"/>
          <w:cols w:space="720" w:num="1"/>
          <w:docGrid w:linePitch="312" w:charSpace="0"/>
        </w:sectPr>
      </w:pPr>
    </w:p>
    <w:p w14:paraId="49C91504">
      <w:pPr>
        <w:tabs>
          <w:tab w:val="left" w:pos="377"/>
        </w:tabs>
        <w:adjustRightInd w:val="0"/>
        <w:snapToGrid w:val="0"/>
        <w:spacing w:before="120" w:beforeLines="50" w:line="360" w:lineRule="auto"/>
        <w:jc w:val="center"/>
        <w:rPr>
          <w:rFonts w:ascii="宋体" w:hAnsi="宋体"/>
          <w:color w:val="auto"/>
        </w:rPr>
      </w:pPr>
      <w:bookmarkStart w:id="68" w:name="_Ref59202154"/>
      <w:r>
        <w:rPr>
          <w:rFonts w:hint="eastAsia" w:ascii="宋体" w:hAnsi="宋体"/>
          <w:color w:val="auto"/>
        </w:rPr>
        <w:t xml:space="preserve">表 </w:t>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STYLEREF 2 \s</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3.2</w:t>
      </w:r>
      <w:r>
        <w:rPr>
          <w:rFonts w:ascii="宋体" w:hAnsi="宋体"/>
          <w:color w:val="auto"/>
        </w:rPr>
        <w:fldChar w:fldCharType="end"/>
      </w:r>
      <w:r>
        <w:rPr>
          <w:rFonts w:ascii="宋体" w:hAnsi="宋体"/>
          <w:color w:val="auto"/>
        </w:rPr>
        <w:noBreakHyphen/>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SEQ 表 \* ARABIC \s 2</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1</w:t>
      </w:r>
      <w:r>
        <w:rPr>
          <w:rFonts w:ascii="宋体" w:hAnsi="宋体"/>
          <w:color w:val="auto"/>
        </w:rPr>
        <w:fldChar w:fldCharType="end"/>
      </w:r>
      <w:bookmarkEnd w:id="68"/>
      <w:r>
        <w:rPr>
          <w:rFonts w:hint="eastAsia" w:ascii="宋体" w:hAnsi="宋体"/>
          <w:color w:val="auto"/>
        </w:rPr>
        <w:t xml:space="preserve"> </w:t>
      </w:r>
      <w:r>
        <w:rPr>
          <w:rFonts w:ascii="宋体" w:hAnsi="宋体"/>
          <w:color w:val="auto"/>
        </w:rPr>
        <w:t xml:space="preserve"> </w:t>
      </w:r>
      <w:r>
        <w:rPr>
          <w:rFonts w:hint="eastAsia" w:ascii="宋体" w:hAnsi="宋体"/>
          <w:color w:val="auto"/>
        </w:rPr>
        <w:t>本期工程组成一览表</w:t>
      </w:r>
    </w:p>
    <w:tbl>
      <w:tblPr>
        <w:tblStyle w:val="8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6"/>
        <w:gridCol w:w="1033"/>
        <w:gridCol w:w="2054"/>
        <w:gridCol w:w="4226"/>
        <w:gridCol w:w="3403"/>
        <w:gridCol w:w="2230"/>
      </w:tblGrid>
      <w:tr w14:paraId="6FEFC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Align w:val="center"/>
          </w:tcPr>
          <w:p w14:paraId="254D13CA">
            <w:pPr>
              <w:pStyle w:val="81"/>
              <w:rPr>
                <w:rFonts w:hAnsi="宋体"/>
                <w:color w:val="auto"/>
              </w:rPr>
            </w:pPr>
            <w:r>
              <w:rPr>
                <w:rFonts w:hint="eastAsia" w:hAnsi="宋体"/>
                <w:color w:val="auto"/>
              </w:rPr>
              <w:t>项目组成</w:t>
            </w:r>
          </w:p>
        </w:tc>
        <w:tc>
          <w:tcPr>
            <w:tcW w:w="369" w:type="pct"/>
            <w:vAlign w:val="center"/>
          </w:tcPr>
          <w:p w14:paraId="2C6FA5C2">
            <w:pPr>
              <w:pStyle w:val="81"/>
              <w:rPr>
                <w:rFonts w:hAnsi="宋体"/>
                <w:color w:val="auto"/>
              </w:rPr>
            </w:pPr>
            <w:r>
              <w:rPr>
                <w:rFonts w:hint="eastAsia" w:hAnsi="宋体"/>
                <w:color w:val="auto"/>
              </w:rPr>
              <w:t>工程分类</w:t>
            </w:r>
          </w:p>
        </w:tc>
        <w:tc>
          <w:tcPr>
            <w:tcW w:w="734" w:type="pct"/>
            <w:vAlign w:val="center"/>
          </w:tcPr>
          <w:p w14:paraId="09F89558">
            <w:pPr>
              <w:pStyle w:val="81"/>
              <w:rPr>
                <w:rFonts w:hAnsi="宋体"/>
                <w:color w:val="auto"/>
              </w:rPr>
            </w:pPr>
            <w:r>
              <w:rPr>
                <w:rFonts w:hint="eastAsia" w:hAnsi="宋体"/>
                <w:color w:val="auto"/>
              </w:rPr>
              <w:t>工程名称</w:t>
            </w:r>
          </w:p>
        </w:tc>
        <w:tc>
          <w:tcPr>
            <w:tcW w:w="1510" w:type="pct"/>
            <w:vAlign w:val="center"/>
          </w:tcPr>
          <w:p w14:paraId="5D10A17A">
            <w:pPr>
              <w:pStyle w:val="81"/>
              <w:rPr>
                <w:rFonts w:hAnsi="宋体"/>
                <w:color w:val="auto"/>
              </w:rPr>
            </w:pPr>
            <w:r>
              <w:rPr>
                <w:rFonts w:hint="eastAsia" w:hAnsi="宋体"/>
                <w:color w:val="auto"/>
              </w:rPr>
              <w:t>环评工程内容</w:t>
            </w:r>
          </w:p>
        </w:tc>
        <w:tc>
          <w:tcPr>
            <w:tcW w:w="1216" w:type="pct"/>
            <w:vAlign w:val="center"/>
          </w:tcPr>
          <w:p w14:paraId="1595F261">
            <w:pPr>
              <w:pStyle w:val="81"/>
              <w:rPr>
                <w:rFonts w:hAnsi="宋体"/>
                <w:color w:val="auto"/>
              </w:rPr>
            </w:pPr>
            <w:r>
              <w:rPr>
                <w:rFonts w:hint="eastAsia" w:hAnsi="宋体"/>
                <w:color w:val="auto"/>
              </w:rPr>
              <w:t>本期工程内容</w:t>
            </w:r>
          </w:p>
        </w:tc>
        <w:tc>
          <w:tcPr>
            <w:tcW w:w="797" w:type="pct"/>
            <w:vAlign w:val="center"/>
          </w:tcPr>
          <w:p w14:paraId="55A10479">
            <w:pPr>
              <w:pStyle w:val="81"/>
              <w:rPr>
                <w:rFonts w:hAnsi="宋体"/>
                <w:color w:val="auto"/>
              </w:rPr>
            </w:pPr>
            <w:r>
              <w:rPr>
                <w:rFonts w:hint="eastAsia" w:hAnsi="宋体"/>
                <w:color w:val="auto"/>
              </w:rPr>
              <w:t>与环评相比变化情况</w:t>
            </w:r>
          </w:p>
        </w:tc>
      </w:tr>
      <w:tr w14:paraId="0B641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restart"/>
            <w:vAlign w:val="center"/>
          </w:tcPr>
          <w:p w14:paraId="4C8BD5ED">
            <w:pPr>
              <w:pStyle w:val="81"/>
              <w:rPr>
                <w:rFonts w:hAnsi="宋体"/>
                <w:color w:val="auto"/>
              </w:rPr>
            </w:pPr>
            <w:r>
              <w:rPr>
                <w:rFonts w:hint="eastAsia" w:hAnsi="宋体"/>
                <w:color w:val="auto"/>
              </w:rPr>
              <w:t>主体工程</w:t>
            </w:r>
          </w:p>
        </w:tc>
        <w:tc>
          <w:tcPr>
            <w:tcW w:w="369" w:type="pct"/>
            <w:vAlign w:val="center"/>
          </w:tcPr>
          <w:p w14:paraId="3FA6D5B5">
            <w:pPr>
              <w:pStyle w:val="81"/>
              <w:rPr>
                <w:rFonts w:hAnsi="宋体"/>
                <w:color w:val="auto"/>
              </w:rPr>
            </w:pPr>
            <w:r>
              <w:rPr>
                <w:rFonts w:hint="eastAsia" w:hAnsi="宋体"/>
                <w:color w:val="auto"/>
              </w:rPr>
              <w:t>钻前工程</w:t>
            </w:r>
          </w:p>
        </w:tc>
        <w:tc>
          <w:tcPr>
            <w:tcW w:w="734" w:type="pct"/>
            <w:vAlign w:val="center"/>
          </w:tcPr>
          <w:p w14:paraId="6BEAE244">
            <w:pPr>
              <w:pStyle w:val="81"/>
              <w:rPr>
                <w:rFonts w:hAnsi="宋体"/>
                <w:color w:val="auto"/>
              </w:rPr>
            </w:pPr>
            <w:r>
              <w:rPr>
                <w:rFonts w:hint="eastAsia" w:hAnsi="宋体"/>
                <w:color w:val="auto"/>
              </w:rPr>
              <w:t>井场平整、基础建设</w:t>
            </w:r>
          </w:p>
        </w:tc>
        <w:tc>
          <w:tcPr>
            <w:tcW w:w="1510" w:type="pct"/>
            <w:vAlign w:val="center"/>
          </w:tcPr>
          <w:p w14:paraId="24C18622">
            <w:pPr>
              <w:pStyle w:val="81"/>
              <w:rPr>
                <w:rFonts w:hAnsi="宋体"/>
                <w:color w:val="auto"/>
              </w:rPr>
            </w:pPr>
            <w:r>
              <w:rPr>
                <w:rFonts w:hint="eastAsia" w:hAnsi="宋体"/>
                <w:color w:val="auto"/>
              </w:rPr>
              <w:t>本项目共分布在54座井场，临时占地181.4亩，包含井场、生活区、油、水罐、泥浆循环罐，本项目40钻机井场尺寸设为100m×90m，新建入场道路3.5km，设置耕植土堆放区以及钻井临时房屋、钻井设备基础、给排水、供配电等辅助工程</w:t>
            </w:r>
          </w:p>
        </w:tc>
        <w:tc>
          <w:tcPr>
            <w:tcW w:w="1216" w:type="pct"/>
            <w:vAlign w:val="center"/>
          </w:tcPr>
          <w:p w14:paraId="4A1E369E">
            <w:pPr>
              <w:pStyle w:val="81"/>
              <w:rPr>
                <w:rFonts w:hAnsi="宋体"/>
                <w:color w:val="auto"/>
              </w:rPr>
            </w:pPr>
            <w:r>
              <w:rPr>
                <w:rFonts w:hint="eastAsia" w:hAnsi="宋体"/>
                <w:color w:val="auto"/>
              </w:rPr>
              <w:t>本期工程共分布在1</w:t>
            </w:r>
            <w:r>
              <w:rPr>
                <w:rFonts w:hAnsi="宋体"/>
                <w:color w:val="auto"/>
              </w:rPr>
              <w:t>1</w:t>
            </w:r>
            <w:r>
              <w:rPr>
                <w:rFonts w:hint="eastAsia" w:hAnsi="宋体"/>
                <w:color w:val="auto"/>
              </w:rPr>
              <w:t>座井场，临时占地</w:t>
            </w:r>
            <w:r>
              <w:rPr>
                <w:color w:val="auto"/>
              </w:rPr>
              <w:t>98460m</w:t>
            </w:r>
            <w:r>
              <w:rPr>
                <w:color w:val="auto"/>
                <w:vertAlign w:val="superscript"/>
              </w:rPr>
              <w:t>2</w:t>
            </w:r>
            <w:r>
              <w:rPr>
                <w:rFonts w:hint="eastAsia" w:hAnsi="宋体"/>
                <w:color w:val="auto"/>
              </w:rPr>
              <w:t>，新建入场道路</w:t>
            </w:r>
            <w:r>
              <w:rPr>
                <w:rFonts w:hAnsi="宋体"/>
                <w:color w:val="auto"/>
              </w:rPr>
              <w:t>0.6</w:t>
            </w:r>
            <w:r>
              <w:rPr>
                <w:rFonts w:hint="eastAsia" w:hAnsi="宋体"/>
                <w:color w:val="auto"/>
              </w:rPr>
              <w:t>km</w:t>
            </w:r>
          </w:p>
        </w:tc>
        <w:tc>
          <w:tcPr>
            <w:tcW w:w="797" w:type="pct"/>
            <w:vAlign w:val="center"/>
          </w:tcPr>
          <w:p w14:paraId="08C42ABC">
            <w:pPr>
              <w:pStyle w:val="81"/>
              <w:rPr>
                <w:rFonts w:hAnsi="宋体"/>
                <w:color w:val="auto"/>
              </w:rPr>
            </w:pPr>
            <w:r>
              <w:rPr>
                <w:rFonts w:hint="eastAsia" w:hAnsi="宋体"/>
                <w:color w:val="auto"/>
              </w:rPr>
              <w:t>井场数量、临时占地、进井路等均有减少。</w:t>
            </w:r>
          </w:p>
        </w:tc>
      </w:tr>
      <w:tr w14:paraId="6494F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597513D5">
            <w:pPr>
              <w:widowControl/>
              <w:adjustRightInd w:val="0"/>
              <w:snapToGrid w:val="0"/>
              <w:jc w:val="center"/>
              <w:rPr>
                <w:rFonts w:ascii="宋体" w:hAnsi="宋体"/>
                <w:color w:val="auto"/>
              </w:rPr>
            </w:pPr>
          </w:p>
        </w:tc>
        <w:tc>
          <w:tcPr>
            <w:tcW w:w="369" w:type="pct"/>
            <w:vMerge w:val="restart"/>
            <w:vAlign w:val="center"/>
          </w:tcPr>
          <w:p w14:paraId="6394C30E">
            <w:pPr>
              <w:pStyle w:val="81"/>
              <w:rPr>
                <w:rFonts w:hAnsi="宋体"/>
                <w:color w:val="auto"/>
              </w:rPr>
            </w:pPr>
            <w:r>
              <w:rPr>
                <w:rFonts w:hint="eastAsia" w:hAnsi="宋体"/>
                <w:color w:val="auto"/>
              </w:rPr>
              <w:t>钻井工程</w:t>
            </w:r>
          </w:p>
        </w:tc>
        <w:tc>
          <w:tcPr>
            <w:tcW w:w="734" w:type="pct"/>
            <w:vAlign w:val="center"/>
          </w:tcPr>
          <w:p w14:paraId="2ED42566">
            <w:pPr>
              <w:pStyle w:val="81"/>
              <w:rPr>
                <w:rFonts w:hAnsi="宋体"/>
                <w:color w:val="auto"/>
              </w:rPr>
            </w:pPr>
            <w:r>
              <w:rPr>
                <w:rFonts w:hint="eastAsia" w:hAnsi="宋体"/>
                <w:color w:val="auto"/>
              </w:rPr>
              <w:t>油井</w:t>
            </w:r>
          </w:p>
        </w:tc>
        <w:tc>
          <w:tcPr>
            <w:tcW w:w="1510" w:type="pct"/>
            <w:vAlign w:val="center"/>
          </w:tcPr>
          <w:p w14:paraId="450FD5EB">
            <w:pPr>
              <w:pStyle w:val="81"/>
              <w:rPr>
                <w:rFonts w:hAnsi="宋体"/>
                <w:color w:val="auto"/>
              </w:rPr>
            </w:pPr>
            <w:r>
              <w:rPr>
                <w:rFonts w:hint="eastAsia" w:hAnsi="宋体"/>
                <w:color w:val="auto"/>
              </w:rPr>
              <w:t>新钻油井98口，探转采油井9口</w:t>
            </w:r>
          </w:p>
        </w:tc>
        <w:tc>
          <w:tcPr>
            <w:tcW w:w="1216" w:type="pct"/>
            <w:vAlign w:val="center"/>
          </w:tcPr>
          <w:p w14:paraId="2847F829">
            <w:pPr>
              <w:pStyle w:val="81"/>
              <w:rPr>
                <w:rFonts w:hAnsi="宋体"/>
                <w:color w:val="auto"/>
              </w:rPr>
            </w:pPr>
            <w:r>
              <w:rPr>
                <w:rFonts w:hint="eastAsia" w:hAnsi="宋体"/>
                <w:color w:val="auto"/>
              </w:rPr>
              <w:t>新钻油井</w:t>
            </w:r>
            <w:r>
              <w:rPr>
                <w:rFonts w:hAnsi="宋体"/>
                <w:color w:val="auto"/>
              </w:rPr>
              <w:t>9</w:t>
            </w:r>
            <w:r>
              <w:rPr>
                <w:rFonts w:hint="eastAsia" w:hAnsi="宋体"/>
                <w:color w:val="auto"/>
              </w:rPr>
              <w:t>口，探转采油井8口</w:t>
            </w:r>
          </w:p>
        </w:tc>
        <w:tc>
          <w:tcPr>
            <w:tcW w:w="797" w:type="pct"/>
            <w:vAlign w:val="center"/>
          </w:tcPr>
          <w:p w14:paraId="3B1132B1">
            <w:pPr>
              <w:pStyle w:val="81"/>
              <w:rPr>
                <w:rFonts w:hAnsi="宋体"/>
                <w:color w:val="auto"/>
              </w:rPr>
            </w:pPr>
            <w:r>
              <w:rPr>
                <w:rFonts w:hint="eastAsia" w:hAnsi="宋体"/>
                <w:color w:val="auto"/>
              </w:rPr>
              <w:t>油井8</w:t>
            </w:r>
            <w:r>
              <w:rPr>
                <w:rFonts w:hAnsi="宋体"/>
                <w:color w:val="auto"/>
              </w:rPr>
              <w:t>9</w:t>
            </w:r>
            <w:r>
              <w:rPr>
                <w:rFonts w:hint="eastAsia" w:hAnsi="宋体"/>
                <w:color w:val="auto"/>
              </w:rPr>
              <w:t>口未钻，探转采油井2口未投产，纳入后期验收</w:t>
            </w:r>
          </w:p>
        </w:tc>
      </w:tr>
      <w:tr w14:paraId="0567B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5858DE3F">
            <w:pPr>
              <w:widowControl/>
              <w:adjustRightInd w:val="0"/>
              <w:snapToGrid w:val="0"/>
              <w:jc w:val="center"/>
              <w:rPr>
                <w:rFonts w:ascii="宋体" w:hAnsi="宋体"/>
                <w:color w:val="auto"/>
              </w:rPr>
            </w:pPr>
          </w:p>
        </w:tc>
        <w:tc>
          <w:tcPr>
            <w:tcW w:w="369" w:type="pct"/>
            <w:vMerge w:val="continue"/>
            <w:vAlign w:val="center"/>
          </w:tcPr>
          <w:p w14:paraId="15131879">
            <w:pPr>
              <w:widowControl/>
              <w:adjustRightInd w:val="0"/>
              <w:snapToGrid w:val="0"/>
              <w:jc w:val="center"/>
              <w:rPr>
                <w:rFonts w:ascii="宋体" w:hAnsi="宋体"/>
                <w:color w:val="auto"/>
              </w:rPr>
            </w:pPr>
          </w:p>
        </w:tc>
        <w:tc>
          <w:tcPr>
            <w:tcW w:w="734" w:type="pct"/>
            <w:vAlign w:val="center"/>
          </w:tcPr>
          <w:p w14:paraId="106E25A4">
            <w:pPr>
              <w:pStyle w:val="81"/>
              <w:rPr>
                <w:rFonts w:hAnsi="宋体"/>
                <w:color w:val="auto"/>
              </w:rPr>
            </w:pPr>
            <w:r>
              <w:rPr>
                <w:rFonts w:hint="eastAsia" w:hAnsi="宋体"/>
                <w:color w:val="auto"/>
              </w:rPr>
              <w:t>注水井</w:t>
            </w:r>
          </w:p>
        </w:tc>
        <w:tc>
          <w:tcPr>
            <w:tcW w:w="1510" w:type="pct"/>
            <w:vAlign w:val="center"/>
          </w:tcPr>
          <w:p w14:paraId="6AD78499">
            <w:pPr>
              <w:pStyle w:val="81"/>
              <w:rPr>
                <w:rFonts w:hAnsi="宋体"/>
                <w:color w:val="auto"/>
              </w:rPr>
            </w:pPr>
            <w:r>
              <w:rPr>
                <w:rFonts w:hint="eastAsia" w:hAnsi="宋体"/>
                <w:color w:val="auto"/>
              </w:rPr>
              <w:t>新钻注水井49口，侧钻注水井2口；油井转注水井5口</w:t>
            </w:r>
          </w:p>
        </w:tc>
        <w:tc>
          <w:tcPr>
            <w:tcW w:w="1216" w:type="pct"/>
            <w:vAlign w:val="center"/>
          </w:tcPr>
          <w:p w14:paraId="71CE1622">
            <w:pPr>
              <w:pStyle w:val="81"/>
              <w:rPr>
                <w:rFonts w:hAnsi="宋体"/>
                <w:color w:val="auto"/>
              </w:rPr>
            </w:pPr>
            <w:r>
              <w:rPr>
                <w:rFonts w:hint="eastAsia" w:hAnsi="宋体"/>
                <w:color w:val="auto"/>
              </w:rPr>
              <w:t>新钻注水井7口，侧钻注水井0口；油井转注水井0口</w:t>
            </w:r>
          </w:p>
        </w:tc>
        <w:tc>
          <w:tcPr>
            <w:tcW w:w="797" w:type="pct"/>
            <w:vAlign w:val="center"/>
          </w:tcPr>
          <w:p w14:paraId="133A3603">
            <w:pPr>
              <w:pStyle w:val="81"/>
              <w:rPr>
                <w:rFonts w:hAnsi="宋体"/>
                <w:color w:val="auto"/>
              </w:rPr>
            </w:pPr>
            <w:bookmarkStart w:id="69" w:name="OLE_LINK203"/>
            <w:r>
              <w:rPr>
                <w:rFonts w:hint="eastAsia" w:hAnsi="宋体"/>
                <w:color w:val="auto"/>
              </w:rPr>
              <w:t>注水井4</w:t>
            </w:r>
            <w:r>
              <w:rPr>
                <w:rFonts w:hAnsi="宋体"/>
                <w:color w:val="auto"/>
              </w:rPr>
              <w:t>2</w:t>
            </w:r>
            <w:r>
              <w:rPr>
                <w:rFonts w:hint="eastAsia" w:hAnsi="宋体"/>
                <w:color w:val="auto"/>
              </w:rPr>
              <w:t>口未钻，侧钻注水井2口未钻，油井转注水井未实施。</w:t>
            </w:r>
            <w:bookmarkEnd w:id="69"/>
          </w:p>
        </w:tc>
      </w:tr>
      <w:tr w14:paraId="44920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77EB2FE6">
            <w:pPr>
              <w:widowControl/>
              <w:adjustRightInd w:val="0"/>
              <w:snapToGrid w:val="0"/>
              <w:jc w:val="center"/>
              <w:rPr>
                <w:rFonts w:ascii="宋体" w:hAnsi="宋体"/>
                <w:color w:val="auto"/>
              </w:rPr>
            </w:pPr>
            <w:bookmarkStart w:id="70" w:name="_Hlk225676470"/>
          </w:p>
        </w:tc>
        <w:tc>
          <w:tcPr>
            <w:tcW w:w="369" w:type="pct"/>
            <w:vAlign w:val="center"/>
          </w:tcPr>
          <w:p w14:paraId="6EB78430">
            <w:pPr>
              <w:pStyle w:val="81"/>
              <w:rPr>
                <w:rFonts w:hAnsi="宋体"/>
                <w:color w:val="auto"/>
              </w:rPr>
            </w:pPr>
            <w:r>
              <w:rPr>
                <w:rFonts w:hint="eastAsia" w:hAnsi="宋体"/>
                <w:color w:val="auto"/>
              </w:rPr>
              <w:t>采油工程</w:t>
            </w:r>
          </w:p>
        </w:tc>
        <w:tc>
          <w:tcPr>
            <w:tcW w:w="734" w:type="pct"/>
            <w:vAlign w:val="center"/>
          </w:tcPr>
          <w:p w14:paraId="4CB2281F">
            <w:pPr>
              <w:pStyle w:val="81"/>
              <w:rPr>
                <w:rFonts w:hAnsi="宋体"/>
                <w:color w:val="auto"/>
              </w:rPr>
            </w:pPr>
            <w:r>
              <w:rPr>
                <w:rFonts w:hint="eastAsia" w:hAnsi="宋体"/>
                <w:color w:val="auto"/>
              </w:rPr>
              <w:t>抽油机</w:t>
            </w:r>
          </w:p>
        </w:tc>
        <w:tc>
          <w:tcPr>
            <w:tcW w:w="1510" w:type="pct"/>
            <w:vAlign w:val="center"/>
          </w:tcPr>
          <w:p w14:paraId="5B638D71">
            <w:pPr>
              <w:pStyle w:val="81"/>
              <w:rPr>
                <w:rFonts w:hAnsi="宋体"/>
                <w:color w:val="auto"/>
              </w:rPr>
            </w:pPr>
            <w:r>
              <w:rPr>
                <w:rFonts w:hint="eastAsia" w:hAnsi="宋体"/>
                <w:color w:val="auto"/>
              </w:rPr>
              <w:t>新建抽油机107台，12型游梁式抽油机</w:t>
            </w:r>
          </w:p>
        </w:tc>
        <w:tc>
          <w:tcPr>
            <w:tcW w:w="1216" w:type="pct"/>
            <w:vAlign w:val="center"/>
          </w:tcPr>
          <w:p w14:paraId="3520B7C4">
            <w:pPr>
              <w:pStyle w:val="81"/>
              <w:rPr>
                <w:rFonts w:hAnsi="宋体"/>
                <w:color w:val="auto"/>
              </w:rPr>
            </w:pPr>
            <w:r>
              <w:rPr>
                <w:rFonts w:hint="eastAsia" w:hAnsi="宋体"/>
                <w:color w:val="auto"/>
              </w:rPr>
              <w:t>新建抽油机9座，12型游梁式抽油机</w:t>
            </w:r>
            <w:bookmarkStart w:id="71" w:name="OLE_LINK335"/>
            <w:bookmarkStart w:id="72" w:name="OLE_LINK334"/>
            <w:r>
              <w:rPr>
                <w:rFonts w:hint="eastAsia" w:hAnsi="宋体"/>
                <w:color w:val="auto"/>
              </w:rPr>
              <w:t>，自喷井8座</w:t>
            </w:r>
            <w:bookmarkEnd w:id="71"/>
            <w:bookmarkEnd w:id="72"/>
            <w:r>
              <w:rPr>
                <w:rFonts w:hint="eastAsia" w:hAnsi="宋体"/>
                <w:color w:val="auto"/>
              </w:rPr>
              <w:t>。</w:t>
            </w:r>
          </w:p>
        </w:tc>
        <w:tc>
          <w:tcPr>
            <w:tcW w:w="797" w:type="pct"/>
            <w:vAlign w:val="center"/>
          </w:tcPr>
          <w:p w14:paraId="0150D64A">
            <w:pPr>
              <w:pStyle w:val="81"/>
              <w:rPr>
                <w:rFonts w:hAnsi="宋体"/>
                <w:color w:val="auto"/>
              </w:rPr>
            </w:pPr>
            <w:r>
              <w:rPr>
                <w:rFonts w:hint="eastAsia" w:hAnsi="宋体"/>
                <w:color w:val="auto"/>
              </w:rPr>
              <w:t>抽油机数量减少9</w:t>
            </w:r>
            <w:r>
              <w:rPr>
                <w:rFonts w:hAnsi="宋体"/>
                <w:color w:val="auto"/>
              </w:rPr>
              <w:t>8</w:t>
            </w:r>
            <w:r>
              <w:rPr>
                <w:rFonts w:hint="eastAsia" w:hAnsi="宋体"/>
                <w:color w:val="auto"/>
              </w:rPr>
              <w:t>座</w:t>
            </w:r>
          </w:p>
        </w:tc>
      </w:tr>
      <w:bookmarkEnd w:id="70"/>
      <w:tr w14:paraId="19AD7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7611F982">
            <w:pPr>
              <w:widowControl/>
              <w:adjustRightInd w:val="0"/>
              <w:snapToGrid w:val="0"/>
              <w:jc w:val="center"/>
              <w:rPr>
                <w:rFonts w:ascii="宋体" w:hAnsi="宋体"/>
                <w:color w:val="auto"/>
              </w:rPr>
            </w:pPr>
            <w:bookmarkStart w:id="73" w:name="_Hlk225676991"/>
          </w:p>
        </w:tc>
        <w:tc>
          <w:tcPr>
            <w:tcW w:w="369" w:type="pct"/>
            <w:vMerge w:val="restart"/>
            <w:vAlign w:val="center"/>
          </w:tcPr>
          <w:p w14:paraId="57B9F416">
            <w:pPr>
              <w:pStyle w:val="81"/>
              <w:rPr>
                <w:rFonts w:hAnsi="宋体"/>
                <w:color w:val="auto"/>
              </w:rPr>
            </w:pPr>
            <w:r>
              <w:rPr>
                <w:rFonts w:hint="eastAsia" w:hAnsi="宋体"/>
                <w:color w:val="auto"/>
              </w:rPr>
              <w:t>油气集输系统</w:t>
            </w:r>
          </w:p>
        </w:tc>
        <w:tc>
          <w:tcPr>
            <w:tcW w:w="734" w:type="pct"/>
            <w:vAlign w:val="center"/>
          </w:tcPr>
          <w:p w14:paraId="18B2D53B">
            <w:pPr>
              <w:pStyle w:val="81"/>
              <w:rPr>
                <w:rFonts w:hAnsi="宋体"/>
                <w:color w:val="auto"/>
              </w:rPr>
            </w:pPr>
            <w:r>
              <w:rPr>
                <w:rFonts w:hint="eastAsia" w:hAnsi="宋体"/>
                <w:color w:val="auto"/>
              </w:rPr>
              <w:t>油井井口装置</w:t>
            </w:r>
          </w:p>
        </w:tc>
        <w:tc>
          <w:tcPr>
            <w:tcW w:w="1510" w:type="pct"/>
            <w:vAlign w:val="center"/>
          </w:tcPr>
          <w:p w14:paraId="760EF9A8">
            <w:pPr>
              <w:pStyle w:val="81"/>
              <w:rPr>
                <w:rFonts w:hAnsi="宋体"/>
                <w:color w:val="auto"/>
              </w:rPr>
            </w:pPr>
            <w:r>
              <w:rPr>
                <w:rFonts w:hint="eastAsia" w:hAnsi="宋体"/>
                <w:color w:val="auto"/>
              </w:rPr>
              <w:t>新建油井井口装置107套</w:t>
            </w:r>
          </w:p>
        </w:tc>
        <w:tc>
          <w:tcPr>
            <w:tcW w:w="1216" w:type="pct"/>
            <w:vAlign w:val="center"/>
          </w:tcPr>
          <w:p w14:paraId="356AE9CF">
            <w:pPr>
              <w:pStyle w:val="81"/>
              <w:rPr>
                <w:rFonts w:hAnsi="宋体"/>
                <w:color w:val="auto"/>
              </w:rPr>
            </w:pPr>
            <w:r>
              <w:rPr>
                <w:rFonts w:hint="eastAsia" w:hAnsi="宋体"/>
                <w:color w:val="auto"/>
              </w:rPr>
              <w:t>新建油井井口装置</w:t>
            </w:r>
            <w:r>
              <w:rPr>
                <w:rFonts w:hAnsi="宋体"/>
                <w:color w:val="auto"/>
              </w:rPr>
              <w:t>16</w:t>
            </w:r>
            <w:r>
              <w:rPr>
                <w:rFonts w:hint="eastAsia" w:hAnsi="宋体"/>
                <w:color w:val="auto"/>
              </w:rPr>
              <w:t>套</w:t>
            </w:r>
          </w:p>
        </w:tc>
        <w:tc>
          <w:tcPr>
            <w:tcW w:w="797" w:type="pct"/>
            <w:vAlign w:val="center"/>
          </w:tcPr>
          <w:p w14:paraId="5A2642E9">
            <w:pPr>
              <w:pStyle w:val="81"/>
              <w:rPr>
                <w:rFonts w:hAnsi="宋体"/>
                <w:color w:val="auto"/>
              </w:rPr>
            </w:pPr>
            <w:r>
              <w:rPr>
                <w:rFonts w:hint="eastAsia" w:hAnsi="宋体"/>
                <w:color w:val="auto"/>
              </w:rPr>
              <w:t>数量减少9</w:t>
            </w:r>
            <w:r>
              <w:rPr>
                <w:rFonts w:hAnsi="宋体"/>
                <w:color w:val="auto"/>
              </w:rPr>
              <w:t>1</w:t>
            </w:r>
            <w:r>
              <w:rPr>
                <w:rFonts w:hint="eastAsia" w:hAnsi="宋体"/>
                <w:color w:val="auto"/>
              </w:rPr>
              <w:t>套</w:t>
            </w:r>
          </w:p>
        </w:tc>
      </w:tr>
      <w:tr w14:paraId="13AC5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550AE023">
            <w:pPr>
              <w:widowControl/>
              <w:adjustRightInd w:val="0"/>
              <w:snapToGrid w:val="0"/>
              <w:jc w:val="center"/>
              <w:rPr>
                <w:rFonts w:ascii="宋体" w:hAnsi="宋体"/>
                <w:color w:val="auto"/>
              </w:rPr>
            </w:pPr>
          </w:p>
        </w:tc>
        <w:tc>
          <w:tcPr>
            <w:tcW w:w="369" w:type="pct"/>
            <w:vMerge w:val="continue"/>
            <w:vAlign w:val="center"/>
          </w:tcPr>
          <w:p w14:paraId="6F49D15C">
            <w:pPr>
              <w:widowControl/>
              <w:adjustRightInd w:val="0"/>
              <w:snapToGrid w:val="0"/>
              <w:jc w:val="center"/>
              <w:rPr>
                <w:rFonts w:ascii="宋体" w:hAnsi="宋体"/>
                <w:color w:val="auto"/>
              </w:rPr>
            </w:pPr>
          </w:p>
        </w:tc>
        <w:tc>
          <w:tcPr>
            <w:tcW w:w="734" w:type="pct"/>
            <w:vAlign w:val="center"/>
          </w:tcPr>
          <w:p w14:paraId="150C8AC8">
            <w:pPr>
              <w:pStyle w:val="81"/>
              <w:rPr>
                <w:rFonts w:hAnsi="宋体"/>
                <w:color w:val="auto"/>
              </w:rPr>
            </w:pPr>
            <w:r>
              <w:rPr>
                <w:rFonts w:hint="eastAsia" w:hAnsi="宋体"/>
                <w:color w:val="auto"/>
              </w:rPr>
              <w:t>加热炉</w:t>
            </w:r>
          </w:p>
        </w:tc>
        <w:tc>
          <w:tcPr>
            <w:tcW w:w="1510" w:type="pct"/>
            <w:vAlign w:val="center"/>
          </w:tcPr>
          <w:p w14:paraId="4FE4BBE8">
            <w:pPr>
              <w:pStyle w:val="81"/>
              <w:rPr>
                <w:rFonts w:hAnsi="宋体"/>
                <w:color w:val="auto"/>
              </w:rPr>
            </w:pPr>
            <w:r>
              <w:rPr>
                <w:rFonts w:hint="eastAsia" w:hAnsi="宋体"/>
                <w:color w:val="auto"/>
              </w:rPr>
              <w:t>滚动开发工程新建150kW水套加热炉7台，配备低氮燃烧器</w:t>
            </w:r>
          </w:p>
          <w:p w14:paraId="683A96CD">
            <w:pPr>
              <w:pStyle w:val="81"/>
              <w:rPr>
                <w:rFonts w:hAnsi="宋体"/>
                <w:color w:val="auto"/>
              </w:rPr>
            </w:pPr>
            <w:r>
              <w:rPr>
                <w:rFonts w:hint="eastAsia" w:hAnsi="宋体"/>
                <w:color w:val="auto"/>
              </w:rPr>
              <w:t>高青管理区地面系统优化建设工程更换800kW加热炉1台，配备低氮燃烧器</w:t>
            </w:r>
          </w:p>
          <w:p w14:paraId="25E7F35E">
            <w:pPr>
              <w:pStyle w:val="81"/>
              <w:rPr>
                <w:rFonts w:hAnsi="宋体"/>
                <w:color w:val="auto"/>
              </w:rPr>
            </w:pPr>
            <w:bookmarkStart w:id="74" w:name="OLE_LINK101"/>
            <w:bookmarkStart w:id="75" w:name="OLE_LINK100"/>
            <w:r>
              <w:rPr>
                <w:rFonts w:hint="eastAsia" w:hAnsi="宋体"/>
                <w:color w:val="auto"/>
              </w:rPr>
              <w:t>滨博北区地面系统优化建设工程</w:t>
            </w:r>
            <w:bookmarkEnd w:id="74"/>
            <w:bookmarkEnd w:id="75"/>
            <w:r>
              <w:rPr>
                <w:rFonts w:hint="eastAsia" w:hAnsi="宋体"/>
                <w:color w:val="auto"/>
              </w:rPr>
              <w:t>新建1000kW加热炉1台，配备低氮燃烧器</w:t>
            </w:r>
          </w:p>
          <w:p w14:paraId="0E93135A">
            <w:pPr>
              <w:pStyle w:val="81"/>
              <w:rPr>
                <w:rFonts w:hAnsi="宋体"/>
                <w:color w:val="auto"/>
              </w:rPr>
            </w:pPr>
            <w:r>
              <w:rPr>
                <w:rFonts w:hint="eastAsia" w:hAnsi="宋体"/>
                <w:color w:val="auto"/>
              </w:rPr>
              <w:t>共新建加热炉9台，拆除1台，</w:t>
            </w:r>
            <w:r>
              <w:rPr>
                <w:rFonts w:hint="eastAsia"/>
                <w:color w:val="auto"/>
              </w:rPr>
              <w:t>总功率新增2</w:t>
            </w:r>
            <w:r>
              <w:rPr>
                <w:color w:val="auto"/>
              </w:rPr>
              <w:t>050kW</w:t>
            </w:r>
          </w:p>
        </w:tc>
        <w:tc>
          <w:tcPr>
            <w:tcW w:w="1216" w:type="pct"/>
            <w:vAlign w:val="center"/>
          </w:tcPr>
          <w:p w14:paraId="0A5DED64">
            <w:pPr>
              <w:pStyle w:val="81"/>
              <w:rPr>
                <w:rFonts w:hAnsi="宋体"/>
                <w:color w:val="auto"/>
              </w:rPr>
            </w:pPr>
            <w:r>
              <w:rPr>
                <w:rFonts w:hAnsi="宋体"/>
                <w:color w:val="auto"/>
              </w:rPr>
              <w:fldChar w:fldCharType="begin"/>
            </w:r>
            <w:r>
              <w:rPr>
                <w:rFonts w:hAnsi="宋体"/>
                <w:color w:val="auto"/>
              </w:rPr>
              <w:instrText xml:space="preserve"> </w:instrText>
            </w:r>
            <w:r>
              <w:rPr>
                <w:rFonts w:hint="eastAsia" w:hAnsi="宋体"/>
                <w:color w:val="auto"/>
              </w:rPr>
              <w:instrText xml:space="preserve">= 1 \* GB3</w:instrText>
            </w:r>
            <w:r>
              <w:rPr>
                <w:rFonts w:hAnsi="宋体"/>
                <w:color w:val="auto"/>
              </w:rPr>
              <w:instrText xml:space="preserve"> </w:instrText>
            </w:r>
            <w:r>
              <w:rPr>
                <w:rFonts w:hAnsi="宋体"/>
                <w:color w:val="auto"/>
              </w:rPr>
              <w:fldChar w:fldCharType="separate"/>
            </w:r>
            <w:r>
              <w:rPr>
                <w:rFonts w:hint="eastAsia" w:hAnsi="宋体"/>
                <w:color w:val="auto"/>
              </w:rPr>
              <w:t>①</w:t>
            </w:r>
            <w:r>
              <w:rPr>
                <w:rFonts w:hAnsi="宋体"/>
                <w:color w:val="auto"/>
              </w:rPr>
              <w:fldChar w:fldCharType="end"/>
            </w:r>
            <w:r>
              <w:rPr>
                <w:rFonts w:hint="eastAsia" w:hAnsi="宋体"/>
                <w:color w:val="auto"/>
              </w:rPr>
              <w:t>滚动开发工程新建150kW水套加热炉</w:t>
            </w:r>
            <w:r>
              <w:rPr>
                <w:rFonts w:hAnsi="宋体"/>
                <w:color w:val="auto"/>
              </w:rPr>
              <w:t>2</w:t>
            </w:r>
            <w:r>
              <w:rPr>
                <w:rFonts w:hint="eastAsia" w:hAnsi="宋体"/>
                <w:color w:val="auto"/>
              </w:rPr>
              <w:t>台，1</w:t>
            </w:r>
            <w:r>
              <w:rPr>
                <w:rFonts w:hAnsi="宋体"/>
                <w:color w:val="auto"/>
              </w:rPr>
              <w:t>00</w:t>
            </w:r>
            <w:r>
              <w:rPr>
                <w:rFonts w:hint="eastAsia" w:hAnsi="宋体"/>
                <w:color w:val="auto"/>
              </w:rPr>
              <w:t>kW加热炉</w:t>
            </w:r>
            <w:r>
              <w:rPr>
                <w:rFonts w:hAnsi="宋体"/>
                <w:color w:val="auto"/>
              </w:rPr>
              <w:t>1</w:t>
            </w:r>
            <w:r>
              <w:rPr>
                <w:rFonts w:hint="eastAsia" w:hAnsi="宋体"/>
                <w:color w:val="auto"/>
              </w:rPr>
              <w:t>台，配备低氮燃烧器；8</w:t>
            </w:r>
            <w:r>
              <w:rPr>
                <w:rFonts w:hAnsi="宋体"/>
                <w:color w:val="auto"/>
              </w:rPr>
              <w:t>0</w:t>
            </w:r>
            <w:r>
              <w:rPr>
                <w:rFonts w:hint="eastAsia" w:hAnsi="宋体"/>
                <w:color w:val="auto"/>
              </w:rPr>
              <w:t>kW</w:t>
            </w:r>
            <w:r>
              <w:rPr>
                <w:rFonts w:hAnsi="宋体"/>
                <w:color w:val="auto"/>
              </w:rPr>
              <w:t>1</w:t>
            </w:r>
            <w:r>
              <w:rPr>
                <w:rFonts w:hint="eastAsia" w:hAnsi="宋体"/>
                <w:color w:val="auto"/>
              </w:rPr>
              <w:t>台，配备低氮燃烧器</w:t>
            </w:r>
          </w:p>
          <w:p w14:paraId="707990CF">
            <w:pPr>
              <w:pStyle w:val="81"/>
              <w:rPr>
                <w:rFonts w:hAnsi="宋体"/>
                <w:color w:val="auto"/>
              </w:rPr>
            </w:pPr>
            <w:bookmarkStart w:id="76" w:name="OLE_LINK96"/>
            <w:bookmarkStart w:id="77" w:name="OLE_LINK99"/>
            <w:r>
              <w:rPr>
                <w:rFonts w:hAnsi="宋体"/>
                <w:color w:val="auto"/>
              </w:rPr>
              <w:fldChar w:fldCharType="begin"/>
            </w:r>
            <w:r>
              <w:rPr>
                <w:rFonts w:hAnsi="宋体"/>
                <w:color w:val="auto"/>
              </w:rPr>
              <w:instrText xml:space="preserve"> </w:instrText>
            </w:r>
            <w:r>
              <w:rPr>
                <w:rFonts w:hint="eastAsia" w:hAnsi="宋体"/>
                <w:color w:val="auto"/>
              </w:rPr>
              <w:instrText xml:space="preserve">= 2 \* GB3</w:instrText>
            </w:r>
            <w:r>
              <w:rPr>
                <w:rFonts w:hAnsi="宋体"/>
                <w:color w:val="auto"/>
              </w:rPr>
              <w:instrText xml:space="preserve"> </w:instrText>
            </w:r>
            <w:r>
              <w:rPr>
                <w:rFonts w:hAnsi="宋体"/>
                <w:color w:val="auto"/>
              </w:rPr>
              <w:fldChar w:fldCharType="separate"/>
            </w:r>
            <w:r>
              <w:rPr>
                <w:rFonts w:hint="eastAsia" w:hAnsi="宋体"/>
                <w:color w:val="auto"/>
              </w:rPr>
              <w:t>②</w:t>
            </w:r>
            <w:r>
              <w:rPr>
                <w:rFonts w:hAnsi="宋体"/>
                <w:color w:val="auto"/>
              </w:rPr>
              <w:fldChar w:fldCharType="end"/>
            </w:r>
            <w:r>
              <w:rPr>
                <w:rFonts w:hint="eastAsia" w:hAnsi="宋体"/>
                <w:color w:val="auto"/>
              </w:rPr>
              <w:t>高青管理区地面系统优化建设工程拆除800kW加热炉</w:t>
            </w:r>
            <w:r>
              <w:rPr>
                <w:rFonts w:hAnsi="宋体"/>
                <w:color w:val="auto"/>
              </w:rPr>
              <w:t>2</w:t>
            </w:r>
            <w:r>
              <w:rPr>
                <w:rFonts w:hint="eastAsia" w:hAnsi="宋体"/>
                <w:color w:val="auto"/>
              </w:rPr>
              <w:t>台，替换为</w:t>
            </w:r>
            <w:r>
              <w:rPr>
                <w:rFonts w:hAnsi="宋体"/>
                <w:color w:val="auto"/>
              </w:rPr>
              <w:t>2500kW</w:t>
            </w:r>
            <w:r>
              <w:rPr>
                <w:rFonts w:hint="eastAsia" w:hAnsi="宋体"/>
                <w:color w:val="auto"/>
              </w:rPr>
              <w:t>加热炉1台；配备低氮燃烧器</w:t>
            </w:r>
            <w:bookmarkEnd w:id="76"/>
            <w:bookmarkEnd w:id="77"/>
            <w:r>
              <w:rPr>
                <w:rFonts w:hint="eastAsia" w:hAnsi="宋体"/>
                <w:color w:val="auto"/>
              </w:rPr>
              <w:t>。</w:t>
            </w:r>
          </w:p>
          <w:p w14:paraId="6ED9D7D4">
            <w:pPr>
              <w:pStyle w:val="81"/>
              <w:rPr>
                <w:rFonts w:hAnsi="宋体"/>
                <w:color w:val="auto"/>
              </w:rPr>
            </w:pPr>
            <w:r>
              <w:rPr>
                <w:rFonts w:hint="eastAsia" w:hAnsi="宋体"/>
                <w:color w:val="auto"/>
              </w:rPr>
              <w:t>共新建加热炉5台，拆除2台，</w:t>
            </w:r>
            <w:r>
              <w:rPr>
                <w:rFonts w:hint="eastAsia"/>
                <w:color w:val="auto"/>
              </w:rPr>
              <w:t>总功率新增1</w:t>
            </w:r>
            <w:r>
              <w:rPr>
                <w:color w:val="auto"/>
              </w:rPr>
              <w:t>380kW</w:t>
            </w:r>
          </w:p>
        </w:tc>
        <w:tc>
          <w:tcPr>
            <w:tcW w:w="797" w:type="pct"/>
            <w:vAlign w:val="center"/>
          </w:tcPr>
          <w:p w14:paraId="7E2710D4">
            <w:pPr>
              <w:pStyle w:val="81"/>
              <w:rPr>
                <w:rFonts w:hAnsi="宋体"/>
                <w:color w:val="auto"/>
              </w:rPr>
            </w:pPr>
            <w:r>
              <w:rPr>
                <w:rFonts w:hint="eastAsia"/>
                <w:color w:val="auto"/>
              </w:rPr>
              <w:t>燃气加热炉台数减少3台，功率减少6</w:t>
            </w:r>
            <w:r>
              <w:rPr>
                <w:color w:val="auto"/>
              </w:rPr>
              <w:t>70kW</w:t>
            </w:r>
            <w:r>
              <w:rPr>
                <w:rFonts w:hint="eastAsia" w:hAnsi="宋体"/>
                <w:color w:val="auto"/>
              </w:rPr>
              <w:t>；滨博北区地面系统优化建设工程未投产，纳入后期验收</w:t>
            </w:r>
          </w:p>
        </w:tc>
      </w:tr>
      <w:tr w14:paraId="1133E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47320E93">
            <w:pPr>
              <w:widowControl/>
              <w:adjustRightInd w:val="0"/>
              <w:snapToGrid w:val="0"/>
              <w:jc w:val="center"/>
              <w:rPr>
                <w:rFonts w:ascii="宋体" w:hAnsi="宋体"/>
                <w:color w:val="auto"/>
              </w:rPr>
            </w:pPr>
          </w:p>
        </w:tc>
        <w:tc>
          <w:tcPr>
            <w:tcW w:w="369" w:type="pct"/>
            <w:vMerge w:val="continue"/>
            <w:vAlign w:val="center"/>
          </w:tcPr>
          <w:p w14:paraId="19BCD228">
            <w:pPr>
              <w:widowControl/>
              <w:adjustRightInd w:val="0"/>
              <w:snapToGrid w:val="0"/>
              <w:jc w:val="center"/>
              <w:rPr>
                <w:rFonts w:ascii="宋体" w:hAnsi="宋体"/>
                <w:color w:val="auto"/>
              </w:rPr>
            </w:pPr>
          </w:p>
        </w:tc>
        <w:tc>
          <w:tcPr>
            <w:tcW w:w="734" w:type="pct"/>
            <w:vAlign w:val="center"/>
          </w:tcPr>
          <w:p w14:paraId="2990F7D8">
            <w:pPr>
              <w:pStyle w:val="81"/>
              <w:rPr>
                <w:rFonts w:hAnsi="宋体"/>
                <w:color w:val="auto"/>
              </w:rPr>
            </w:pPr>
            <w:r>
              <w:rPr>
                <w:rFonts w:hint="eastAsia" w:hAnsi="宋体"/>
                <w:color w:val="auto"/>
              </w:rPr>
              <w:t>井场加药装置</w:t>
            </w:r>
          </w:p>
        </w:tc>
        <w:tc>
          <w:tcPr>
            <w:tcW w:w="1510" w:type="pct"/>
            <w:vAlign w:val="center"/>
          </w:tcPr>
          <w:p w14:paraId="3A2095C3">
            <w:pPr>
              <w:widowControl/>
              <w:adjustRightInd w:val="0"/>
              <w:snapToGrid w:val="0"/>
              <w:jc w:val="center"/>
              <w:rPr>
                <w:rFonts w:ascii="宋体" w:hAnsi="宋体"/>
                <w:color w:val="auto"/>
                <w:kern w:val="0"/>
              </w:rPr>
            </w:pPr>
            <w:r>
              <w:rPr>
                <w:rFonts w:hint="eastAsia" w:ascii="宋体" w:hAnsi="宋体"/>
                <w:color w:val="auto"/>
                <w:kern w:val="0"/>
              </w:rPr>
              <w:t>井场加药装置4套</w:t>
            </w:r>
          </w:p>
        </w:tc>
        <w:tc>
          <w:tcPr>
            <w:tcW w:w="1216" w:type="pct"/>
            <w:vAlign w:val="center"/>
          </w:tcPr>
          <w:p w14:paraId="6E8EAAE3">
            <w:pPr>
              <w:pStyle w:val="81"/>
              <w:rPr>
                <w:rFonts w:hAnsi="宋体"/>
                <w:color w:val="auto"/>
              </w:rPr>
            </w:pPr>
            <w:r>
              <w:rPr>
                <w:rFonts w:hint="eastAsia" w:hAnsi="宋体"/>
                <w:color w:val="auto"/>
                <w:kern w:val="0"/>
              </w:rPr>
              <w:t>井场加药装置</w:t>
            </w:r>
            <w:r>
              <w:rPr>
                <w:rFonts w:hAnsi="宋体"/>
                <w:color w:val="auto"/>
                <w:kern w:val="0"/>
              </w:rPr>
              <w:t>2</w:t>
            </w:r>
            <w:r>
              <w:rPr>
                <w:rFonts w:hint="eastAsia" w:hAnsi="宋体"/>
                <w:color w:val="auto"/>
                <w:kern w:val="0"/>
              </w:rPr>
              <w:t>套</w:t>
            </w:r>
          </w:p>
        </w:tc>
        <w:tc>
          <w:tcPr>
            <w:tcW w:w="797" w:type="pct"/>
            <w:vAlign w:val="center"/>
          </w:tcPr>
          <w:p w14:paraId="7808F3B5">
            <w:pPr>
              <w:pStyle w:val="81"/>
              <w:rPr>
                <w:rFonts w:hAnsi="宋体"/>
                <w:color w:val="auto"/>
              </w:rPr>
            </w:pPr>
            <w:r>
              <w:rPr>
                <w:rFonts w:hint="eastAsia" w:hAnsi="宋体"/>
                <w:color w:val="auto"/>
                <w:kern w:val="0"/>
              </w:rPr>
              <w:t>井场加药装置减少</w:t>
            </w:r>
            <w:r>
              <w:rPr>
                <w:rFonts w:hAnsi="宋体"/>
                <w:color w:val="auto"/>
                <w:kern w:val="0"/>
              </w:rPr>
              <w:t>2</w:t>
            </w:r>
            <w:r>
              <w:rPr>
                <w:rFonts w:hint="eastAsia" w:hAnsi="宋体"/>
                <w:color w:val="auto"/>
                <w:kern w:val="0"/>
              </w:rPr>
              <w:t>套</w:t>
            </w:r>
          </w:p>
        </w:tc>
      </w:tr>
      <w:tr w14:paraId="2C3C8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2AC08468">
            <w:pPr>
              <w:widowControl/>
              <w:adjustRightInd w:val="0"/>
              <w:snapToGrid w:val="0"/>
              <w:jc w:val="center"/>
              <w:rPr>
                <w:rFonts w:ascii="宋体" w:hAnsi="宋体"/>
                <w:color w:val="auto"/>
              </w:rPr>
            </w:pPr>
          </w:p>
        </w:tc>
        <w:tc>
          <w:tcPr>
            <w:tcW w:w="369" w:type="pct"/>
            <w:vMerge w:val="continue"/>
            <w:vAlign w:val="center"/>
          </w:tcPr>
          <w:p w14:paraId="6F379A60">
            <w:pPr>
              <w:widowControl/>
              <w:adjustRightInd w:val="0"/>
              <w:snapToGrid w:val="0"/>
              <w:jc w:val="center"/>
              <w:rPr>
                <w:rFonts w:ascii="宋体" w:hAnsi="宋体"/>
                <w:color w:val="auto"/>
              </w:rPr>
            </w:pPr>
          </w:p>
        </w:tc>
        <w:tc>
          <w:tcPr>
            <w:tcW w:w="734" w:type="pct"/>
            <w:vAlign w:val="center"/>
          </w:tcPr>
          <w:p w14:paraId="7A939F15">
            <w:pPr>
              <w:pStyle w:val="81"/>
              <w:rPr>
                <w:rFonts w:hAnsi="宋体"/>
                <w:color w:val="auto"/>
              </w:rPr>
            </w:pPr>
            <w:r>
              <w:rPr>
                <w:rFonts w:hint="eastAsia" w:hAnsi="宋体"/>
                <w:color w:val="auto"/>
              </w:rPr>
              <w:t>天然气分气包</w:t>
            </w:r>
          </w:p>
        </w:tc>
        <w:tc>
          <w:tcPr>
            <w:tcW w:w="1510" w:type="pct"/>
            <w:vAlign w:val="center"/>
          </w:tcPr>
          <w:p w14:paraId="768B6061">
            <w:pPr>
              <w:widowControl/>
              <w:adjustRightInd w:val="0"/>
              <w:snapToGrid w:val="0"/>
              <w:jc w:val="center"/>
              <w:rPr>
                <w:rFonts w:ascii="宋体" w:hAnsi="宋体"/>
                <w:color w:val="auto"/>
                <w:kern w:val="0"/>
              </w:rPr>
            </w:pPr>
            <w:r>
              <w:rPr>
                <w:rFonts w:hint="eastAsia" w:ascii="宋体" w:hAnsi="宋体"/>
                <w:color w:val="auto"/>
                <w:kern w:val="0"/>
              </w:rPr>
              <w:t>4套，550Nm</w:t>
            </w:r>
            <w:r>
              <w:rPr>
                <w:rFonts w:hint="eastAsia" w:ascii="宋体" w:hAnsi="宋体"/>
                <w:color w:val="auto"/>
                <w:kern w:val="0"/>
                <w:vertAlign w:val="superscript"/>
              </w:rPr>
              <w:t>3</w:t>
            </w:r>
            <w:r>
              <w:rPr>
                <w:rFonts w:hint="eastAsia" w:ascii="宋体" w:hAnsi="宋体"/>
                <w:color w:val="auto"/>
                <w:kern w:val="0"/>
              </w:rPr>
              <w:t>/h</w:t>
            </w:r>
          </w:p>
        </w:tc>
        <w:tc>
          <w:tcPr>
            <w:tcW w:w="1216" w:type="pct"/>
            <w:vAlign w:val="center"/>
          </w:tcPr>
          <w:p w14:paraId="70E40BDC">
            <w:pPr>
              <w:pStyle w:val="81"/>
              <w:rPr>
                <w:rFonts w:hAnsi="宋体"/>
                <w:color w:val="auto"/>
              </w:rPr>
            </w:pPr>
            <w:r>
              <w:rPr>
                <w:rFonts w:hint="eastAsia" w:hAnsi="宋体"/>
                <w:color w:val="auto"/>
              </w:rPr>
              <w:t>0套</w:t>
            </w:r>
          </w:p>
        </w:tc>
        <w:tc>
          <w:tcPr>
            <w:tcW w:w="797" w:type="pct"/>
            <w:vAlign w:val="center"/>
          </w:tcPr>
          <w:p w14:paraId="01F6F44A">
            <w:pPr>
              <w:pStyle w:val="81"/>
              <w:rPr>
                <w:rFonts w:hAnsi="宋体"/>
                <w:color w:val="auto"/>
              </w:rPr>
            </w:pPr>
            <w:bookmarkStart w:id="78" w:name="OLE_LINK131"/>
            <w:r>
              <w:rPr>
                <w:rFonts w:hint="eastAsia" w:hAnsi="宋体"/>
                <w:color w:val="auto"/>
              </w:rPr>
              <w:t>减少4套，分期建设，纳入后期验收</w:t>
            </w:r>
            <w:bookmarkEnd w:id="78"/>
          </w:p>
        </w:tc>
      </w:tr>
      <w:tr w14:paraId="7ABBF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3EFF5F31">
            <w:pPr>
              <w:widowControl/>
              <w:adjustRightInd w:val="0"/>
              <w:snapToGrid w:val="0"/>
              <w:jc w:val="center"/>
              <w:rPr>
                <w:rFonts w:ascii="宋体" w:hAnsi="宋体"/>
                <w:color w:val="auto"/>
              </w:rPr>
            </w:pPr>
          </w:p>
        </w:tc>
        <w:tc>
          <w:tcPr>
            <w:tcW w:w="369" w:type="pct"/>
            <w:vMerge w:val="continue"/>
            <w:vAlign w:val="center"/>
          </w:tcPr>
          <w:p w14:paraId="6589B10E">
            <w:pPr>
              <w:widowControl/>
              <w:adjustRightInd w:val="0"/>
              <w:snapToGrid w:val="0"/>
              <w:jc w:val="center"/>
              <w:rPr>
                <w:rFonts w:ascii="宋体" w:hAnsi="宋体"/>
                <w:color w:val="auto"/>
              </w:rPr>
            </w:pPr>
          </w:p>
        </w:tc>
        <w:tc>
          <w:tcPr>
            <w:tcW w:w="734" w:type="pct"/>
            <w:vAlign w:val="center"/>
          </w:tcPr>
          <w:p w14:paraId="6DE18ED8">
            <w:pPr>
              <w:pStyle w:val="81"/>
              <w:rPr>
                <w:rFonts w:hAnsi="宋体"/>
                <w:color w:val="auto"/>
              </w:rPr>
            </w:pPr>
            <w:r>
              <w:rPr>
                <w:rFonts w:hint="eastAsia" w:hAnsi="宋体"/>
                <w:color w:val="auto"/>
              </w:rPr>
              <w:t>天然气干燥器</w:t>
            </w:r>
          </w:p>
        </w:tc>
        <w:tc>
          <w:tcPr>
            <w:tcW w:w="1510" w:type="pct"/>
            <w:vAlign w:val="center"/>
          </w:tcPr>
          <w:p w14:paraId="60DBA186">
            <w:pPr>
              <w:widowControl/>
              <w:adjustRightInd w:val="0"/>
              <w:snapToGrid w:val="0"/>
              <w:jc w:val="center"/>
              <w:rPr>
                <w:rFonts w:ascii="宋体" w:hAnsi="宋体"/>
                <w:color w:val="auto"/>
                <w:kern w:val="0"/>
              </w:rPr>
            </w:pPr>
            <w:r>
              <w:rPr>
                <w:rFonts w:hint="eastAsia" w:ascii="宋体" w:hAnsi="宋体"/>
                <w:color w:val="auto"/>
                <w:kern w:val="0"/>
              </w:rPr>
              <w:t>4套，Φ600×2290mm</w:t>
            </w:r>
          </w:p>
        </w:tc>
        <w:tc>
          <w:tcPr>
            <w:tcW w:w="1216" w:type="pct"/>
            <w:vAlign w:val="center"/>
          </w:tcPr>
          <w:p w14:paraId="3602FC42">
            <w:pPr>
              <w:pStyle w:val="81"/>
              <w:rPr>
                <w:rFonts w:hAnsi="宋体"/>
                <w:color w:val="auto"/>
              </w:rPr>
            </w:pPr>
            <w:r>
              <w:rPr>
                <w:rFonts w:hAnsi="宋体"/>
                <w:color w:val="auto"/>
              </w:rPr>
              <w:t>2</w:t>
            </w:r>
            <w:r>
              <w:rPr>
                <w:rFonts w:hint="eastAsia" w:hAnsi="宋体"/>
                <w:color w:val="auto"/>
              </w:rPr>
              <w:t>套</w:t>
            </w:r>
          </w:p>
        </w:tc>
        <w:tc>
          <w:tcPr>
            <w:tcW w:w="797" w:type="pct"/>
            <w:vAlign w:val="center"/>
          </w:tcPr>
          <w:p w14:paraId="5B43A4AC">
            <w:pPr>
              <w:pStyle w:val="81"/>
              <w:rPr>
                <w:rFonts w:hAnsi="宋体"/>
                <w:color w:val="auto"/>
              </w:rPr>
            </w:pPr>
            <w:r>
              <w:rPr>
                <w:rFonts w:hint="eastAsia" w:hAnsi="宋体"/>
                <w:color w:val="auto"/>
              </w:rPr>
              <w:t>减少</w:t>
            </w:r>
            <w:r>
              <w:rPr>
                <w:rFonts w:hAnsi="宋体"/>
                <w:color w:val="auto"/>
              </w:rPr>
              <w:t>2</w:t>
            </w:r>
            <w:r>
              <w:rPr>
                <w:rFonts w:hint="eastAsia" w:hAnsi="宋体"/>
                <w:color w:val="auto"/>
              </w:rPr>
              <w:t>套，分期建设，纳入后期验收</w:t>
            </w:r>
          </w:p>
        </w:tc>
      </w:tr>
      <w:tr w14:paraId="407E2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35195A95">
            <w:pPr>
              <w:widowControl/>
              <w:adjustRightInd w:val="0"/>
              <w:snapToGrid w:val="0"/>
              <w:jc w:val="center"/>
              <w:rPr>
                <w:rFonts w:ascii="宋体" w:hAnsi="宋体"/>
                <w:color w:val="auto"/>
              </w:rPr>
            </w:pPr>
          </w:p>
        </w:tc>
        <w:tc>
          <w:tcPr>
            <w:tcW w:w="369" w:type="pct"/>
            <w:vMerge w:val="continue"/>
            <w:vAlign w:val="center"/>
          </w:tcPr>
          <w:p w14:paraId="409775D9">
            <w:pPr>
              <w:widowControl/>
              <w:adjustRightInd w:val="0"/>
              <w:snapToGrid w:val="0"/>
              <w:jc w:val="center"/>
              <w:rPr>
                <w:rFonts w:ascii="宋体" w:hAnsi="宋体"/>
                <w:color w:val="auto"/>
              </w:rPr>
            </w:pPr>
          </w:p>
        </w:tc>
        <w:tc>
          <w:tcPr>
            <w:tcW w:w="734" w:type="pct"/>
            <w:vAlign w:val="center"/>
          </w:tcPr>
          <w:p w14:paraId="7CC4A4A5">
            <w:pPr>
              <w:pStyle w:val="81"/>
              <w:rPr>
                <w:rFonts w:hAnsi="宋体"/>
                <w:color w:val="auto"/>
              </w:rPr>
            </w:pPr>
            <w:r>
              <w:rPr>
                <w:rFonts w:hint="eastAsia" w:hAnsi="宋体"/>
                <w:color w:val="auto"/>
              </w:rPr>
              <w:t>计量装置橇</w:t>
            </w:r>
          </w:p>
        </w:tc>
        <w:tc>
          <w:tcPr>
            <w:tcW w:w="1510" w:type="pct"/>
            <w:vAlign w:val="center"/>
          </w:tcPr>
          <w:p w14:paraId="64051610">
            <w:pPr>
              <w:widowControl/>
              <w:adjustRightInd w:val="0"/>
              <w:snapToGrid w:val="0"/>
              <w:jc w:val="center"/>
              <w:rPr>
                <w:rFonts w:ascii="宋体" w:hAnsi="宋体"/>
                <w:color w:val="auto"/>
                <w:kern w:val="0"/>
              </w:rPr>
            </w:pPr>
            <w:r>
              <w:rPr>
                <w:rFonts w:hint="eastAsia" w:ascii="宋体" w:hAnsi="宋体"/>
                <w:color w:val="auto"/>
                <w:kern w:val="0"/>
              </w:rPr>
              <w:t>2套，2.65×2.00m</w:t>
            </w:r>
          </w:p>
        </w:tc>
        <w:tc>
          <w:tcPr>
            <w:tcW w:w="1216" w:type="pct"/>
            <w:vAlign w:val="center"/>
          </w:tcPr>
          <w:p w14:paraId="3C28CCE2">
            <w:pPr>
              <w:pStyle w:val="81"/>
              <w:rPr>
                <w:rFonts w:hAnsi="宋体"/>
                <w:color w:val="auto"/>
              </w:rPr>
            </w:pPr>
            <w:r>
              <w:rPr>
                <w:rFonts w:hint="eastAsia" w:hAnsi="宋体"/>
                <w:color w:val="auto"/>
              </w:rPr>
              <w:t>1</w:t>
            </w:r>
            <w:bookmarkStart w:id="79" w:name="OLE_LINK105"/>
            <w:r>
              <w:rPr>
                <w:rFonts w:hint="eastAsia" w:hAnsi="宋体"/>
                <w:color w:val="auto"/>
              </w:rPr>
              <w:t>套</w:t>
            </w:r>
            <w:bookmarkEnd w:id="79"/>
          </w:p>
        </w:tc>
        <w:tc>
          <w:tcPr>
            <w:tcW w:w="797" w:type="pct"/>
            <w:vAlign w:val="center"/>
          </w:tcPr>
          <w:p w14:paraId="33695763">
            <w:pPr>
              <w:pStyle w:val="81"/>
              <w:rPr>
                <w:rFonts w:hAnsi="宋体"/>
                <w:color w:val="auto"/>
              </w:rPr>
            </w:pPr>
            <w:r>
              <w:rPr>
                <w:rFonts w:hint="eastAsia" w:hAnsi="宋体"/>
                <w:color w:val="auto"/>
              </w:rPr>
              <w:t>减少1套，分期建设，纳入后期验收</w:t>
            </w:r>
          </w:p>
        </w:tc>
      </w:tr>
      <w:tr w14:paraId="7937C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234ABD00">
            <w:pPr>
              <w:widowControl/>
              <w:adjustRightInd w:val="0"/>
              <w:snapToGrid w:val="0"/>
              <w:jc w:val="center"/>
              <w:rPr>
                <w:rFonts w:ascii="宋体" w:hAnsi="宋体"/>
                <w:color w:val="auto"/>
              </w:rPr>
            </w:pPr>
          </w:p>
        </w:tc>
        <w:tc>
          <w:tcPr>
            <w:tcW w:w="369" w:type="pct"/>
            <w:vMerge w:val="continue"/>
            <w:vAlign w:val="center"/>
          </w:tcPr>
          <w:p w14:paraId="4A39BEA9">
            <w:pPr>
              <w:widowControl/>
              <w:adjustRightInd w:val="0"/>
              <w:snapToGrid w:val="0"/>
              <w:jc w:val="center"/>
              <w:rPr>
                <w:rFonts w:ascii="宋体" w:hAnsi="宋体"/>
                <w:color w:val="auto"/>
              </w:rPr>
            </w:pPr>
          </w:p>
        </w:tc>
        <w:tc>
          <w:tcPr>
            <w:tcW w:w="734" w:type="pct"/>
            <w:vAlign w:val="center"/>
          </w:tcPr>
          <w:p w14:paraId="73FC9B28">
            <w:pPr>
              <w:pStyle w:val="81"/>
              <w:rPr>
                <w:rFonts w:hAnsi="宋体"/>
                <w:color w:val="auto"/>
              </w:rPr>
            </w:pPr>
            <w:r>
              <w:rPr>
                <w:rFonts w:hint="eastAsia" w:hAnsi="宋体"/>
                <w:color w:val="auto"/>
              </w:rPr>
              <w:t>集油阀组</w:t>
            </w:r>
          </w:p>
        </w:tc>
        <w:tc>
          <w:tcPr>
            <w:tcW w:w="1510" w:type="pct"/>
            <w:vAlign w:val="center"/>
          </w:tcPr>
          <w:p w14:paraId="11C33B9E">
            <w:pPr>
              <w:widowControl/>
              <w:adjustRightInd w:val="0"/>
              <w:snapToGrid w:val="0"/>
              <w:jc w:val="center"/>
              <w:rPr>
                <w:rFonts w:ascii="宋体" w:hAnsi="宋体"/>
                <w:color w:val="auto"/>
                <w:kern w:val="0"/>
              </w:rPr>
            </w:pPr>
            <w:r>
              <w:rPr>
                <w:rFonts w:hint="eastAsia" w:ascii="宋体" w:hAnsi="宋体"/>
                <w:color w:val="auto"/>
                <w:kern w:val="0"/>
              </w:rPr>
              <w:t>6套</w:t>
            </w:r>
          </w:p>
        </w:tc>
        <w:tc>
          <w:tcPr>
            <w:tcW w:w="1216" w:type="pct"/>
            <w:vAlign w:val="center"/>
          </w:tcPr>
          <w:p w14:paraId="1CAC614B">
            <w:pPr>
              <w:pStyle w:val="81"/>
              <w:rPr>
                <w:rFonts w:hAnsi="宋体"/>
                <w:color w:val="auto"/>
              </w:rPr>
            </w:pPr>
            <w:r>
              <w:rPr>
                <w:rFonts w:hint="eastAsia" w:hAnsi="宋体"/>
                <w:color w:val="auto"/>
              </w:rPr>
              <w:t>2套</w:t>
            </w:r>
          </w:p>
        </w:tc>
        <w:tc>
          <w:tcPr>
            <w:tcW w:w="797" w:type="pct"/>
            <w:vAlign w:val="center"/>
          </w:tcPr>
          <w:p w14:paraId="17A2AAB0">
            <w:pPr>
              <w:pStyle w:val="81"/>
              <w:rPr>
                <w:rFonts w:hAnsi="宋体"/>
                <w:color w:val="auto"/>
              </w:rPr>
            </w:pPr>
            <w:r>
              <w:rPr>
                <w:rFonts w:hint="eastAsia" w:hAnsi="宋体"/>
                <w:color w:val="auto"/>
              </w:rPr>
              <w:t>减少</w:t>
            </w:r>
            <w:r>
              <w:rPr>
                <w:rFonts w:hAnsi="宋体"/>
                <w:color w:val="auto"/>
              </w:rPr>
              <w:t>4</w:t>
            </w:r>
            <w:r>
              <w:rPr>
                <w:rFonts w:hint="eastAsia" w:hAnsi="宋体"/>
                <w:color w:val="auto"/>
              </w:rPr>
              <w:t>套，分期建设，纳入后期验收</w:t>
            </w:r>
          </w:p>
        </w:tc>
      </w:tr>
      <w:tr w14:paraId="68CDA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643900EF">
            <w:pPr>
              <w:widowControl/>
              <w:adjustRightInd w:val="0"/>
              <w:snapToGrid w:val="0"/>
              <w:jc w:val="center"/>
              <w:rPr>
                <w:rFonts w:ascii="宋体" w:hAnsi="宋体"/>
                <w:color w:val="auto"/>
              </w:rPr>
            </w:pPr>
          </w:p>
        </w:tc>
        <w:tc>
          <w:tcPr>
            <w:tcW w:w="369" w:type="pct"/>
            <w:vMerge w:val="continue"/>
            <w:vAlign w:val="center"/>
          </w:tcPr>
          <w:p w14:paraId="3AE996B6">
            <w:pPr>
              <w:widowControl/>
              <w:adjustRightInd w:val="0"/>
              <w:snapToGrid w:val="0"/>
              <w:jc w:val="center"/>
              <w:rPr>
                <w:rFonts w:ascii="宋体" w:hAnsi="宋体"/>
                <w:color w:val="auto"/>
              </w:rPr>
            </w:pPr>
          </w:p>
        </w:tc>
        <w:tc>
          <w:tcPr>
            <w:tcW w:w="734" w:type="pct"/>
            <w:vAlign w:val="center"/>
          </w:tcPr>
          <w:p w14:paraId="5035A39B">
            <w:pPr>
              <w:pStyle w:val="81"/>
              <w:rPr>
                <w:rFonts w:hAnsi="宋体"/>
                <w:color w:val="auto"/>
              </w:rPr>
            </w:pPr>
            <w:r>
              <w:rPr>
                <w:rFonts w:hint="eastAsia" w:hAnsi="宋体"/>
                <w:color w:val="auto"/>
              </w:rPr>
              <w:t>三相分离器橇</w:t>
            </w:r>
          </w:p>
        </w:tc>
        <w:tc>
          <w:tcPr>
            <w:tcW w:w="1510" w:type="pct"/>
            <w:vAlign w:val="center"/>
          </w:tcPr>
          <w:p w14:paraId="24B1F821">
            <w:pPr>
              <w:widowControl/>
              <w:adjustRightInd w:val="0"/>
              <w:snapToGrid w:val="0"/>
              <w:jc w:val="center"/>
              <w:rPr>
                <w:rFonts w:ascii="宋体" w:hAnsi="宋体"/>
                <w:color w:val="auto"/>
                <w:kern w:val="0"/>
              </w:rPr>
            </w:pPr>
            <w:r>
              <w:rPr>
                <w:rFonts w:hint="eastAsia" w:ascii="宋体" w:hAnsi="宋体"/>
                <w:color w:val="auto"/>
                <w:kern w:val="0"/>
              </w:rPr>
              <w:t>3套，Φ2.4×10.7m  Pw2.5MPa</w:t>
            </w:r>
          </w:p>
        </w:tc>
        <w:tc>
          <w:tcPr>
            <w:tcW w:w="1216" w:type="pct"/>
            <w:vAlign w:val="center"/>
          </w:tcPr>
          <w:p w14:paraId="2082BE1F">
            <w:pPr>
              <w:pStyle w:val="81"/>
              <w:rPr>
                <w:rFonts w:hAnsi="宋体"/>
                <w:color w:val="auto"/>
              </w:rPr>
            </w:pPr>
            <w:r>
              <w:rPr>
                <w:rFonts w:hAnsi="宋体"/>
                <w:color w:val="auto"/>
              </w:rPr>
              <w:t>2</w:t>
            </w:r>
            <w:r>
              <w:rPr>
                <w:rFonts w:hint="eastAsia" w:hAnsi="宋体"/>
                <w:color w:val="auto"/>
              </w:rPr>
              <w:t>套</w:t>
            </w:r>
          </w:p>
        </w:tc>
        <w:tc>
          <w:tcPr>
            <w:tcW w:w="797" w:type="pct"/>
            <w:vAlign w:val="center"/>
          </w:tcPr>
          <w:p w14:paraId="4F89034E">
            <w:pPr>
              <w:pStyle w:val="81"/>
              <w:rPr>
                <w:rFonts w:hAnsi="宋体"/>
                <w:color w:val="auto"/>
              </w:rPr>
            </w:pPr>
            <w:r>
              <w:rPr>
                <w:rFonts w:hint="eastAsia" w:hAnsi="宋体"/>
                <w:color w:val="auto"/>
              </w:rPr>
              <w:t>减少</w:t>
            </w:r>
            <w:r>
              <w:rPr>
                <w:rFonts w:hAnsi="宋体"/>
                <w:color w:val="auto"/>
              </w:rPr>
              <w:t>2</w:t>
            </w:r>
            <w:r>
              <w:rPr>
                <w:rFonts w:hint="eastAsia" w:hAnsi="宋体"/>
                <w:color w:val="auto"/>
              </w:rPr>
              <w:t>套，分期建设，纳入后期验收</w:t>
            </w:r>
          </w:p>
        </w:tc>
      </w:tr>
      <w:tr w14:paraId="21A59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439CD662">
            <w:pPr>
              <w:widowControl/>
              <w:adjustRightInd w:val="0"/>
              <w:snapToGrid w:val="0"/>
              <w:jc w:val="center"/>
              <w:rPr>
                <w:rFonts w:ascii="宋体" w:hAnsi="宋体"/>
                <w:color w:val="auto"/>
              </w:rPr>
            </w:pPr>
          </w:p>
        </w:tc>
        <w:tc>
          <w:tcPr>
            <w:tcW w:w="369" w:type="pct"/>
            <w:vMerge w:val="continue"/>
            <w:vAlign w:val="center"/>
          </w:tcPr>
          <w:p w14:paraId="357DF5E2">
            <w:pPr>
              <w:widowControl/>
              <w:adjustRightInd w:val="0"/>
              <w:snapToGrid w:val="0"/>
              <w:jc w:val="center"/>
              <w:rPr>
                <w:rFonts w:ascii="宋体" w:hAnsi="宋体"/>
                <w:color w:val="auto"/>
              </w:rPr>
            </w:pPr>
          </w:p>
        </w:tc>
        <w:tc>
          <w:tcPr>
            <w:tcW w:w="734" w:type="pct"/>
            <w:vAlign w:val="center"/>
          </w:tcPr>
          <w:p w14:paraId="2FA10F81">
            <w:pPr>
              <w:pStyle w:val="81"/>
              <w:rPr>
                <w:rFonts w:hAnsi="宋体"/>
                <w:color w:val="auto"/>
              </w:rPr>
            </w:pPr>
            <w:r>
              <w:rPr>
                <w:rFonts w:hint="eastAsia" w:hAnsi="宋体"/>
                <w:color w:val="auto"/>
              </w:rPr>
              <w:t>多功能罐</w:t>
            </w:r>
          </w:p>
        </w:tc>
        <w:tc>
          <w:tcPr>
            <w:tcW w:w="1510" w:type="pct"/>
            <w:vAlign w:val="center"/>
          </w:tcPr>
          <w:p w14:paraId="2968C826">
            <w:pPr>
              <w:pStyle w:val="81"/>
              <w:rPr>
                <w:rFonts w:hAnsi="宋体"/>
                <w:color w:val="auto"/>
              </w:rPr>
            </w:pPr>
            <w:r>
              <w:rPr>
                <w:rFonts w:hint="eastAsia" w:hAnsi="宋体"/>
                <w:color w:val="auto"/>
              </w:rPr>
              <w:t>新建多功能罐23座燃气多功能罐，配备低氮燃烧器</w:t>
            </w:r>
          </w:p>
        </w:tc>
        <w:tc>
          <w:tcPr>
            <w:tcW w:w="1216" w:type="pct"/>
            <w:vAlign w:val="center"/>
          </w:tcPr>
          <w:p w14:paraId="39B9E7BD">
            <w:pPr>
              <w:pStyle w:val="81"/>
              <w:rPr>
                <w:rFonts w:hAnsi="宋体"/>
                <w:color w:val="auto"/>
              </w:rPr>
            </w:pPr>
            <w:r>
              <w:rPr>
                <w:rFonts w:hint="eastAsia" w:hAnsi="宋体"/>
                <w:color w:val="auto"/>
              </w:rPr>
              <w:t>新建多功能罐</w:t>
            </w:r>
            <w:r>
              <w:rPr>
                <w:rFonts w:hAnsi="宋体"/>
                <w:color w:val="auto"/>
              </w:rPr>
              <w:t>9</w:t>
            </w:r>
            <w:r>
              <w:rPr>
                <w:rFonts w:hint="eastAsia" w:hAnsi="宋体"/>
                <w:color w:val="auto"/>
              </w:rPr>
              <w:t>座，电加热</w:t>
            </w:r>
          </w:p>
        </w:tc>
        <w:tc>
          <w:tcPr>
            <w:tcW w:w="797" w:type="pct"/>
            <w:vAlign w:val="center"/>
          </w:tcPr>
          <w:p w14:paraId="41B31805">
            <w:pPr>
              <w:pStyle w:val="81"/>
              <w:rPr>
                <w:rFonts w:hAnsi="宋体"/>
                <w:color w:val="auto"/>
              </w:rPr>
            </w:pPr>
            <w:r>
              <w:rPr>
                <w:rFonts w:hint="eastAsia" w:hAnsi="宋体"/>
                <w:color w:val="auto"/>
              </w:rPr>
              <w:t>减少14座，分期建设，纳入后期验收</w:t>
            </w:r>
          </w:p>
        </w:tc>
      </w:tr>
      <w:tr w14:paraId="1A186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2B171CA6">
            <w:pPr>
              <w:widowControl/>
              <w:adjustRightInd w:val="0"/>
              <w:snapToGrid w:val="0"/>
              <w:jc w:val="center"/>
              <w:rPr>
                <w:rFonts w:ascii="宋体" w:hAnsi="宋体"/>
                <w:color w:val="auto"/>
              </w:rPr>
            </w:pPr>
          </w:p>
        </w:tc>
        <w:tc>
          <w:tcPr>
            <w:tcW w:w="369" w:type="pct"/>
            <w:vMerge w:val="continue"/>
            <w:vAlign w:val="center"/>
          </w:tcPr>
          <w:p w14:paraId="0F64A84A">
            <w:pPr>
              <w:widowControl/>
              <w:adjustRightInd w:val="0"/>
              <w:snapToGrid w:val="0"/>
              <w:jc w:val="center"/>
              <w:rPr>
                <w:rFonts w:ascii="宋体" w:hAnsi="宋体"/>
                <w:color w:val="auto"/>
              </w:rPr>
            </w:pPr>
          </w:p>
        </w:tc>
        <w:tc>
          <w:tcPr>
            <w:tcW w:w="734" w:type="pct"/>
            <w:vAlign w:val="center"/>
          </w:tcPr>
          <w:p w14:paraId="5D144CBB">
            <w:pPr>
              <w:pStyle w:val="81"/>
              <w:rPr>
                <w:rFonts w:hAnsi="宋体"/>
                <w:color w:val="auto"/>
              </w:rPr>
            </w:pPr>
            <w:r>
              <w:rPr>
                <w:rFonts w:hint="eastAsia" w:hAnsi="宋体"/>
                <w:color w:val="auto"/>
              </w:rPr>
              <w:t>缓冲水罐</w:t>
            </w:r>
          </w:p>
        </w:tc>
        <w:tc>
          <w:tcPr>
            <w:tcW w:w="1510" w:type="pct"/>
            <w:vAlign w:val="center"/>
          </w:tcPr>
          <w:p w14:paraId="167E0E3C">
            <w:pPr>
              <w:pStyle w:val="81"/>
              <w:rPr>
                <w:rFonts w:hAnsi="宋体"/>
                <w:color w:val="auto"/>
              </w:rPr>
            </w:pPr>
            <w:r>
              <w:rPr>
                <w:rFonts w:hint="eastAsia" w:hAnsi="宋体"/>
                <w:color w:val="auto"/>
              </w:rPr>
              <w:t>新建2台缓冲水罐</w:t>
            </w:r>
          </w:p>
        </w:tc>
        <w:tc>
          <w:tcPr>
            <w:tcW w:w="1216" w:type="pct"/>
            <w:vAlign w:val="center"/>
          </w:tcPr>
          <w:p w14:paraId="72DF6CBB">
            <w:pPr>
              <w:pStyle w:val="81"/>
              <w:rPr>
                <w:rFonts w:hAnsi="宋体"/>
                <w:color w:val="auto"/>
              </w:rPr>
            </w:pPr>
            <w:r>
              <w:rPr>
                <w:rFonts w:hint="eastAsia" w:hAnsi="宋体"/>
                <w:color w:val="auto"/>
              </w:rPr>
              <w:t>0套</w:t>
            </w:r>
          </w:p>
        </w:tc>
        <w:tc>
          <w:tcPr>
            <w:tcW w:w="797" w:type="pct"/>
            <w:vAlign w:val="center"/>
          </w:tcPr>
          <w:p w14:paraId="5F0841A6">
            <w:pPr>
              <w:pStyle w:val="81"/>
              <w:rPr>
                <w:rFonts w:hAnsi="宋体"/>
                <w:color w:val="auto"/>
              </w:rPr>
            </w:pPr>
            <w:r>
              <w:rPr>
                <w:rFonts w:hint="eastAsia" w:hAnsi="宋体"/>
                <w:color w:val="auto"/>
              </w:rPr>
              <w:t>减少2台，分期建设，纳入后期验收</w:t>
            </w:r>
          </w:p>
        </w:tc>
      </w:tr>
      <w:tr w14:paraId="0A28E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17A266B6">
            <w:pPr>
              <w:widowControl/>
              <w:adjustRightInd w:val="0"/>
              <w:snapToGrid w:val="0"/>
              <w:jc w:val="center"/>
              <w:rPr>
                <w:rFonts w:ascii="宋体" w:hAnsi="宋体"/>
                <w:color w:val="auto"/>
              </w:rPr>
            </w:pPr>
          </w:p>
        </w:tc>
        <w:tc>
          <w:tcPr>
            <w:tcW w:w="369" w:type="pct"/>
            <w:vMerge w:val="continue"/>
            <w:vAlign w:val="center"/>
          </w:tcPr>
          <w:p w14:paraId="625CF3F1">
            <w:pPr>
              <w:widowControl/>
              <w:adjustRightInd w:val="0"/>
              <w:snapToGrid w:val="0"/>
              <w:jc w:val="center"/>
              <w:rPr>
                <w:rFonts w:ascii="宋体" w:hAnsi="宋体"/>
                <w:color w:val="auto"/>
              </w:rPr>
            </w:pPr>
          </w:p>
        </w:tc>
        <w:tc>
          <w:tcPr>
            <w:tcW w:w="734" w:type="pct"/>
            <w:vAlign w:val="center"/>
          </w:tcPr>
          <w:p w14:paraId="08AB2D6C">
            <w:pPr>
              <w:pStyle w:val="81"/>
              <w:rPr>
                <w:rFonts w:hAnsi="宋体"/>
                <w:color w:val="auto"/>
              </w:rPr>
            </w:pPr>
            <w:r>
              <w:rPr>
                <w:rFonts w:hint="eastAsia" w:hAnsi="宋体"/>
                <w:color w:val="auto"/>
              </w:rPr>
              <w:t>空气源热泵加热系统</w:t>
            </w:r>
          </w:p>
        </w:tc>
        <w:tc>
          <w:tcPr>
            <w:tcW w:w="1510" w:type="pct"/>
            <w:vAlign w:val="center"/>
          </w:tcPr>
          <w:p w14:paraId="4B26736E">
            <w:pPr>
              <w:pStyle w:val="81"/>
              <w:rPr>
                <w:rFonts w:hAnsi="宋体"/>
                <w:color w:val="auto"/>
              </w:rPr>
            </w:pPr>
            <w:r>
              <w:rPr>
                <w:rFonts w:hint="eastAsia" w:hAnsi="宋体"/>
                <w:color w:val="auto"/>
              </w:rPr>
              <w:t>滚动开发工程新建空气源热泵加热系统18座</w:t>
            </w:r>
          </w:p>
          <w:p w14:paraId="7F8127EE">
            <w:pPr>
              <w:pStyle w:val="81"/>
              <w:rPr>
                <w:rFonts w:hAnsi="宋体"/>
                <w:color w:val="auto"/>
              </w:rPr>
            </w:pPr>
            <w:r>
              <w:rPr>
                <w:rFonts w:hint="eastAsia" w:hAnsi="宋体"/>
                <w:color w:val="auto"/>
              </w:rPr>
              <w:t>滨博北区地面系统优化建设工程新建空气源热泵加热系统9座</w:t>
            </w:r>
          </w:p>
        </w:tc>
        <w:tc>
          <w:tcPr>
            <w:tcW w:w="1216" w:type="pct"/>
            <w:vAlign w:val="center"/>
          </w:tcPr>
          <w:p w14:paraId="62B88D6A">
            <w:pPr>
              <w:pStyle w:val="81"/>
              <w:rPr>
                <w:rFonts w:hAnsi="宋体"/>
                <w:color w:val="auto"/>
              </w:rPr>
            </w:pPr>
            <w:r>
              <w:rPr>
                <w:rFonts w:hint="eastAsia" w:hAnsi="宋体"/>
                <w:color w:val="auto"/>
              </w:rPr>
              <w:t>本期工程未建设</w:t>
            </w:r>
          </w:p>
        </w:tc>
        <w:tc>
          <w:tcPr>
            <w:tcW w:w="797" w:type="pct"/>
            <w:vAlign w:val="center"/>
          </w:tcPr>
          <w:p w14:paraId="16ABD568">
            <w:pPr>
              <w:pStyle w:val="81"/>
              <w:rPr>
                <w:rFonts w:hAnsi="宋体"/>
                <w:color w:val="auto"/>
              </w:rPr>
            </w:pPr>
            <w:r>
              <w:rPr>
                <w:rFonts w:hint="eastAsia" w:hAnsi="宋体"/>
                <w:color w:val="auto"/>
              </w:rPr>
              <w:t>本期工程未建设，纳入后期验收</w:t>
            </w:r>
          </w:p>
        </w:tc>
      </w:tr>
      <w:tr w14:paraId="215F1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04444537">
            <w:pPr>
              <w:widowControl/>
              <w:adjustRightInd w:val="0"/>
              <w:snapToGrid w:val="0"/>
              <w:jc w:val="center"/>
              <w:rPr>
                <w:rFonts w:ascii="宋体" w:hAnsi="宋体"/>
                <w:color w:val="auto"/>
              </w:rPr>
            </w:pPr>
          </w:p>
        </w:tc>
        <w:tc>
          <w:tcPr>
            <w:tcW w:w="369" w:type="pct"/>
            <w:vMerge w:val="continue"/>
            <w:vAlign w:val="center"/>
          </w:tcPr>
          <w:p w14:paraId="42A6B5BB">
            <w:pPr>
              <w:widowControl/>
              <w:adjustRightInd w:val="0"/>
              <w:snapToGrid w:val="0"/>
              <w:jc w:val="center"/>
              <w:rPr>
                <w:rFonts w:ascii="宋体" w:hAnsi="宋体"/>
                <w:color w:val="auto"/>
              </w:rPr>
            </w:pPr>
          </w:p>
        </w:tc>
        <w:tc>
          <w:tcPr>
            <w:tcW w:w="734" w:type="pct"/>
            <w:vAlign w:val="center"/>
          </w:tcPr>
          <w:p w14:paraId="051F8D7F">
            <w:pPr>
              <w:pStyle w:val="81"/>
              <w:rPr>
                <w:rFonts w:hAnsi="宋体"/>
                <w:color w:val="auto"/>
              </w:rPr>
            </w:pPr>
            <w:r>
              <w:rPr>
                <w:rFonts w:hint="eastAsia" w:hAnsi="宋体"/>
                <w:color w:val="auto"/>
              </w:rPr>
              <w:t>双腔油气混输装置</w:t>
            </w:r>
          </w:p>
        </w:tc>
        <w:tc>
          <w:tcPr>
            <w:tcW w:w="1510" w:type="pct"/>
            <w:vAlign w:val="center"/>
          </w:tcPr>
          <w:p w14:paraId="0BE71FFE">
            <w:pPr>
              <w:pStyle w:val="81"/>
              <w:rPr>
                <w:rFonts w:hAnsi="宋体"/>
                <w:color w:val="auto"/>
              </w:rPr>
            </w:pPr>
            <w:r>
              <w:rPr>
                <w:rFonts w:hint="eastAsia" w:hAnsi="宋体"/>
                <w:color w:val="auto"/>
              </w:rPr>
              <w:t>高青管理区地面系统优化建设工程新建双腔油气混输装置1座</w:t>
            </w:r>
          </w:p>
          <w:p w14:paraId="3113CA8C">
            <w:pPr>
              <w:pStyle w:val="81"/>
              <w:rPr>
                <w:rFonts w:hAnsi="宋体"/>
                <w:color w:val="auto"/>
              </w:rPr>
            </w:pPr>
            <w:r>
              <w:rPr>
                <w:rFonts w:hint="eastAsia" w:hAnsi="宋体"/>
                <w:color w:val="auto"/>
              </w:rPr>
              <w:t>滨博北区地面系统优化建设工程新建双腔油气混输装置1座</w:t>
            </w:r>
          </w:p>
        </w:tc>
        <w:tc>
          <w:tcPr>
            <w:tcW w:w="1216" w:type="pct"/>
            <w:vAlign w:val="center"/>
          </w:tcPr>
          <w:p w14:paraId="71AADAC5">
            <w:pPr>
              <w:pStyle w:val="81"/>
              <w:rPr>
                <w:rFonts w:hAnsi="宋体"/>
                <w:color w:val="auto"/>
              </w:rPr>
            </w:pPr>
            <w:r>
              <w:rPr>
                <w:rFonts w:hint="eastAsia" w:hAnsi="宋体"/>
                <w:color w:val="auto"/>
              </w:rPr>
              <w:t>高青管理区地面系统优化建设工程新建双腔油气混输装置1座，位于3</w:t>
            </w:r>
            <w:r>
              <w:rPr>
                <w:rFonts w:hAnsi="宋体"/>
                <w:color w:val="auto"/>
              </w:rPr>
              <w:t>#</w:t>
            </w:r>
            <w:r>
              <w:rPr>
                <w:rFonts w:hint="eastAsia" w:hAnsi="宋体"/>
                <w:color w:val="auto"/>
              </w:rPr>
              <w:t>计量站内</w:t>
            </w:r>
          </w:p>
        </w:tc>
        <w:tc>
          <w:tcPr>
            <w:tcW w:w="797" w:type="pct"/>
            <w:vAlign w:val="center"/>
          </w:tcPr>
          <w:p w14:paraId="4069C02C">
            <w:pPr>
              <w:pStyle w:val="81"/>
              <w:rPr>
                <w:rFonts w:hAnsi="宋体"/>
                <w:color w:val="auto"/>
              </w:rPr>
            </w:pPr>
            <w:r>
              <w:rPr>
                <w:rFonts w:hint="eastAsia" w:hAnsi="宋体"/>
                <w:color w:val="auto"/>
              </w:rPr>
              <w:t>滨博北区地面系统优化建设工程未投产，纳入后期验收</w:t>
            </w:r>
          </w:p>
        </w:tc>
      </w:tr>
      <w:tr w14:paraId="75A47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139EB20C">
            <w:pPr>
              <w:widowControl/>
              <w:adjustRightInd w:val="0"/>
              <w:snapToGrid w:val="0"/>
              <w:jc w:val="center"/>
              <w:rPr>
                <w:rFonts w:ascii="宋体" w:hAnsi="宋体"/>
                <w:color w:val="auto"/>
              </w:rPr>
            </w:pPr>
          </w:p>
        </w:tc>
        <w:tc>
          <w:tcPr>
            <w:tcW w:w="369" w:type="pct"/>
            <w:vMerge w:val="continue"/>
            <w:vAlign w:val="center"/>
          </w:tcPr>
          <w:p w14:paraId="3FB26385">
            <w:pPr>
              <w:widowControl/>
              <w:adjustRightInd w:val="0"/>
              <w:snapToGrid w:val="0"/>
              <w:jc w:val="center"/>
              <w:rPr>
                <w:rFonts w:ascii="宋体" w:hAnsi="宋体"/>
                <w:color w:val="auto"/>
              </w:rPr>
            </w:pPr>
          </w:p>
        </w:tc>
        <w:tc>
          <w:tcPr>
            <w:tcW w:w="734" w:type="pct"/>
            <w:vAlign w:val="center"/>
          </w:tcPr>
          <w:p w14:paraId="6218897D">
            <w:pPr>
              <w:pStyle w:val="81"/>
              <w:rPr>
                <w:rFonts w:hAnsi="宋体"/>
                <w:color w:val="auto"/>
              </w:rPr>
            </w:pPr>
            <w:r>
              <w:rPr>
                <w:rFonts w:hint="eastAsia" w:hAnsi="宋体"/>
                <w:color w:val="auto"/>
              </w:rPr>
              <w:t>掺水泵</w:t>
            </w:r>
          </w:p>
        </w:tc>
        <w:tc>
          <w:tcPr>
            <w:tcW w:w="1510" w:type="pct"/>
            <w:vAlign w:val="center"/>
          </w:tcPr>
          <w:p w14:paraId="0EBA140A">
            <w:pPr>
              <w:pStyle w:val="81"/>
              <w:rPr>
                <w:rFonts w:hAnsi="宋体"/>
                <w:color w:val="auto"/>
              </w:rPr>
            </w:pPr>
            <w:r>
              <w:rPr>
                <w:rFonts w:hint="eastAsia" w:hAnsi="宋体"/>
                <w:color w:val="auto"/>
              </w:rPr>
              <w:t>高青管理区地面系统优化建设工程新建掺水泵2台</w:t>
            </w:r>
          </w:p>
          <w:p w14:paraId="049A981F">
            <w:pPr>
              <w:pStyle w:val="81"/>
              <w:rPr>
                <w:rFonts w:hAnsi="宋体"/>
                <w:color w:val="auto"/>
              </w:rPr>
            </w:pPr>
            <w:r>
              <w:rPr>
                <w:rFonts w:hint="eastAsia" w:hAnsi="宋体"/>
                <w:color w:val="auto"/>
              </w:rPr>
              <w:t>滨博北区地面系统优化建设工程新建掺水泵4台</w:t>
            </w:r>
          </w:p>
        </w:tc>
        <w:tc>
          <w:tcPr>
            <w:tcW w:w="1216" w:type="pct"/>
            <w:vAlign w:val="center"/>
          </w:tcPr>
          <w:p w14:paraId="561710E6">
            <w:pPr>
              <w:pStyle w:val="81"/>
              <w:rPr>
                <w:rFonts w:hAnsi="宋体"/>
                <w:color w:val="auto"/>
              </w:rPr>
            </w:pPr>
            <w:r>
              <w:rPr>
                <w:rFonts w:hint="eastAsia" w:hAnsi="宋体"/>
                <w:color w:val="auto"/>
              </w:rPr>
              <w:t>高青管理区地面系统优化建设工程新建掺水泵</w:t>
            </w:r>
            <w:r>
              <w:rPr>
                <w:rFonts w:hAnsi="宋体"/>
                <w:color w:val="auto"/>
              </w:rPr>
              <w:t>1</w:t>
            </w:r>
            <w:r>
              <w:rPr>
                <w:rFonts w:hint="eastAsia" w:hAnsi="宋体"/>
                <w:color w:val="auto"/>
              </w:rPr>
              <w:t>台，位于高青联合站内</w:t>
            </w:r>
          </w:p>
        </w:tc>
        <w:tc>
          <w:tcPr>
            <w:tcW w:w="797" w:type="pct"/>
            <w:vAlign w:val="center"/>
          </w:tcPr>
          <w:p w14:paraId="7A2E26DF">
            <w:pPr>
              <w:pStyle w:val="81"/>
              <w:rPr>
                <w:rFonts w:hAnsi="宋体"/>
                <w:color w:val="auto"/>
              </w:rPr>
            </w:pPr>
            <w:r>
              <w:rPr>
                <w:rFonts w:hint="eastAsia" w:hAnsi="宋体"/>
                <w:color w:val="auto"/>
              </w:rPr>
              <w:t>滨博北区地面系统优化建设工程未投产，纳入后期验收</w:t>
            </w:r>
          </w:p>
        </w:tc>
      </w:tr>
      <w:tr w14:paraId="608D9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018427A4">
            <w:pPr>
              <w:widowControl/>
              <w:adjustRightInd w:val="0"/>
              <w:snapToGrid w:val="0"/>
              <w:jc w:val="center"/>
              <w:rPr>
                <w:rFonts w:ascii="宋体" w:hAnsi="宋体"/>
                <w:color w:val="auto"/>
              </w:rPr>
            </w:pPr>
          </w:p>
        </w:tc>
        <w:tc>
          <w:tcPr>
            <w:tcW w:w="369" w:type="pct"/>
            <w:vMerge w:val="continue"/>
            <w:vAlign w:val="center"/>
          </w:tcPr>
          <w:p w14:paraId="1D71EF50">
            <w:pPr>
              <w:widowControl/>
              <w:adjustRightInd w:val="0"/>
              <w:snapToGrid w:val="0"/>
              <w:jc w:val="center"/>
              <w:rPr>
                <w:rFonts w:ascii="宋体" w:hAnsi="宋体"/>
                <w:color w:val="auto"/>
              </w:rPr>
            </w:pPr>
          </w:p>
        </w:tc>
        <w:tc>
          <w:tcPr>
            <w:tcW w:w="734" w:type="pct"/>
            <w:vAlign w:val="center"/>
          </w:tcPr>
          <w:p w14:paraId="5F7AC0F0">
            <w:pPr>
              <w:pStyle w:val="81"/>
              <w:rPr>
                <w:rFonts w:hAnsi="宋体"/>
                <w:color w:val="auto"/>
              </w:rPr>
            </w:pPr>
            <w:r>
              <w:rPr>
                <w:rFonts w:hint="eastAsia" w:hAnsi="宋体"/>
                <w:color w:val="auto"/>
              </w:rPr>
              <w:t>集油管线</w:t>
            </w:r>
          </w:p>
        </w:tc>
        <w:tc>
          <w:tcPr>
            <w:tcW w:w="1510" w:type="pct"/>
            <w:vAlign w:val="center"/>
          </w:tcPr>
          <w:p w14:paraId="019B7C25">
            <w:pPr>
              <w:pStyle w:val="81"/>
              <w:rPr>
                <w:rFonts w:hAnsi="宋体"/>
                <w:color w:val="auto"/>
              </w:rPr>
            </w:pPr>
            <w:r>
              <w:rPr>
                <w:rFonts w:hint="eastAsia" w:hAnsi="宋体"/>
                <w:color w:val="auto"/>
              </w:rPr>
              <w:t>滚动开发工程新建集油管线21.61km；</w:t>
            </w:r>
          </w:p>
          <w:p w14:paraId="2328FBFF">
            <w:pPr>
              <w:pStyle w:val="81"/>
              <w:rPr>
                <w:rFonts w:hAnsi="宋体"/>
                <w:color w:val="auto"/>
              </w:rPr>
            </w:pPr>
            <w:r>
              <w:rPr>
                <w:rFonts w:hint="eastAsia" w:hAnsi="宋体"/>
                <w:color w:val="auto"/>
              </w:rPr>
              <w:t>高青管理区地面系统优化建设工程新建DN65mm集油管线9.47km、新建DN80mm集油管线3.57km、新建DN100mm集油管线1.7km；</w:t>
            </w:r>
          </w:p>
          <w:p w14:paraId="3C8C2346">
            <w:pPr>
              <w:pStyle w:val="81"/>
              <w:rPr>
                <w:rFonts w:hAnsi="宋体"/>
                <w:color w:val="auto"/>
              </w:rPr>
            </w:pPr>
            <w:r>
              <w:rPr>
                <w:rFonts w:hint="eastAsia" w:hAnsi="宋体"/>
                <w:color w:val="auto"/>
              </w:rPr>
              <w:t>滨博北区地面系统优化建设工程新建φ89×6mm集油管线6.1km、新建φ76×6mm集油管线1.5km、DN65mm集油管线1.6km</w:t>
            </w:r>
          </w:p>
        </w:tc>
        <w:tc>
          <w:tcPr>
            <w:tcW w:w="1216" w:type="pct"/>
            <w:vAlign w:val="center"/>
          </w:tcPr>
          <w:p w14:paraId="5D223763">
            <w:pPr>
              <w:pStyle w:val="81"/>
              <w:rPr>
                <w:rFonts w:hAnsi="宋体"/>
                <w:color w:val="auto"/>
              </w:rPr>
            </w:pPr>
            <w:r>
              <w:rPr>
                <w:rFonts w:hint="eastAsia" w:hAnsi="宋体"/>
                <w:color w:val="auto"/>
              </w:rPr>
              <w:t>滚</w:t>
            </w:r>
            <w:bookmarkStart w:id="80" w:name="OLE_LINK103"/>
            <w:bookmarkStart w:id="81" w:name="OLE_LINK102"/>
            <w:r>
              <w:rPr>
                <w:rFonts w:hint="eastAsia" w:hAnsi="宋体"/>
                <w:color w:val="auto"/>
              </w:rPr>
              <w:t>动开发工程新建集油管线</w:t>
            </w:r>
            <w:bookmarkEnd w:id="80"/>
            <w:bookmarkEnd w:id="81"/>
            <w:r>
              <w:rPr>
                <w:rFonts w:hAnsi="宋体"/>
                <w:color w:val="auto"/>
              </w:rPr>
              <w:t>4.82</w:t>
            </w:r>
            <w:r>
              <w:rPr>
                <w:rFonts w:hint="eastAsia" w:hAnsi="宋体"/>
                <w:color w:val="auto"/>
              </w:rPr>
              <w:t>km；</w:t>
            </w:r>
          </w:p>
          <w:p w14:paraId="24A58718">
            <w:pPr>
              <w:pStyle w:val="81"/>
              <w:rPr>
                <w:rFonts w:hAnsi="宋体"/>
                <w:color w:val="auto"/>
              </w:rPr>
            </w:pPr>
            <w:r>
              <w:rPr>
                <w:rFonts w:hint="eastAsia" w:hAnsi="宋体"/>
                <w:color w:val="auto"/>
              </w:rPr>
              <w:t>高青管理区地面系统优化建设工程新建DN65mm集油管线</w:t>
            </w:r>
            <w:r>
              <w:rPr>
                <w:rFonts w:hAnsi="宋体"/>
                <w:color w:val="auto"/>
              </w:rPr>
              <w:t>7.148</w:t>
            </w:r>
            <w:r>
              <w:rPr>
                <w:rFonts w:hint="eastAsia" w:hAnsi="宋体"/>
                <w:color w:val="auto"/>
              </w:rPr>
              <w:t>km、新建DN80mm集油管线</w:t>
            </w:r>
            <w:r>
              <w:rPr>
                <w:rFonts w:hAnsi="宋体"/>
                <w:color w:val="auto"/>
              </w:rPr>
              <w:t>2.925</w:t>
            </w:r>
            <w:r>
              <w:rPr>
                <w:rFonts w:hint="eastAsia" w:hAnsi="宋体"/>
                <w:color w:val="auto"/>
              </w:rPr>
              <w:t>km、新建DN100mm集油管线</w:t>
            </w:r>
            <w:r>
              <w:rPr>
                <w:rFonts w:hAnsi="宋体"/>
                <w:color w:val="auto"/>
              </w:rPr>
              <w:t>1.717</w:t>
            </w:r>
            <w:r>
              <w:rPr>
                <w:rFonts w:hint="eastAsia" w:hAnsi="宋体"/>
                <w:color w:val="auto"/>
              </w:rPr>
              <w:t>km；新建DN</w:t>
            </w:r>
            <w:r>
              <w:rPr>
                <w:rFonts w:hAnsi="宋体"/>
                <w:color w:val="auto"/>
              </w:rPr>
              <w:t>150</w:t>
            </w:r>
            <w:r>
              <w:rPr>
                <w:rFonts w:hint="eastAsia" w:hAnsi="宋体"/>
                <w:color w:val="auto"/>
              </w:rPr>
              <w:t>mm集油管线</w:t>
            </w:r>
            <w:r>
              <w:rPr>
                <w:rFonts w:hAnsi="宋体"/>
                <w:color w:val="auto"/>
              </w:rPr>
              <w:t>0.89</w:t>
            </w:r>
            <w:r>
              <w:rPr>
                <w:rFonts w:hint="eastAsia" w:hAnsi="宋体"/>
                <w:color w:val="auto"/>
              </w:rPr>
              <w:t>km</w:t>
            </w:r>
          </w:p>
        </w:tc>
        <w:tc>
          <w:tcPr>
            <w:tcW w:w="797" w:type="pct"/>
            <w:vAlign w:val="center"/>
          </w:tcPr>
          <w:p w14:paraId="460F34A9">
            <w:pPr>
              <w:pStyle w:val="81"/>
              <w:rPr>
                <w:rFonts w:hAnsi="宋体"/>
                <w:color w:val="auto"/>
              </w:rPr>
            </w:pPr>
            <w:r>
              <w:rPr>
                <w:rFonts w:hint="eastAsia" w:hAnsi="宋体"/>
                <w:color w:val="auto"/>
              </w:rPr>
              <w:t>滚动开发工程集油管线减少1</w:t>
            </w:r>
            <w:r>
              <w:rPr>
                <w:rFonts w:hAnsi="宋体"/>
                <w:color w:val="auto"/>
              </w:rPr>
              <w:t>6.79km</w:t>
            </w:r>
            <w:r>
              <w:rPr>
                <w:rFonts w:hint="eastAsia" w:hAnsi="宋体"/>
                <w:color w:val="auto"/>
              </w:rPr>
              <w:t>，与未建设油井配套，纳入后期验收；</w:t>
            </w:r>
          </w:p>
          <w:p w14:paraId="2F7CF097">
            <w:pPr>
              <w:pStyle w:val="81"/>
              <w:rPr>
                <w:rFonts w:hAnsi="宋体"/>
                <w:color w:val="auto"/>
              </w:rPr>
            </w:pPr>
            <w:r>
              <w:rPr>
                <w:rFonts w:hint="eastAsia" w:hAnsi="宋体"/>
                <w:color w:val="auto"/>
              </w:rPr>
              <w:t>高青管理区地面系统优化建设工程集油管线共减少2.138km；</w:t>
            </w:r>
          </w:p>
          <w:p w14:paraId="0018D48A">
            <w:pPr>
              <w:pStyle w:val="81"/>
              <w:rPr>
                <w:rFonts w:hAnsi="宋体"/>
                <w:color w:val="auto"/>
              </w:rPr>
            </w:pPr>
            <w:r>
              <w:rPr>
                <w:rFonts w:hint="eastAsia" w:hAnsi="宋体"/>
                <w:color w:val="auto"/>
              </w:rPr>
              <w:t>滨博北区地面系统优化建设工程未投产，纳入后期验收</w:t>
            </w:r>
          </w:p>
        </w:tc>
      </w:tr>
      <w:tr w14:paraId="125C7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7AADEEFE">
            <w:pPr>
              <w:widowControl/>
              <w:adjustRightInd w:val="0"/>
              <w:snapToGrid w:val="0"/>
              <w:jc w:val="center"/>
              <w:rPr>
                <w:rFonts w:ascii="宋体" w:hAnsi="宋体"/>
                <w:color w:val="auto"/>
              </w:rPr>
            </w:pPr>
          </w:p>
        </w:tc>
        <w:tc>
          <w:tcPr>
            <w:tcW w:w="369" w:type="pct"/>
            <w:vMerge w:val="continue"/>
            <w:vAlign w:val="center"/>
          </w:tcPr>
          <w:p w14:paraId="66FF1154">
            <w:pPr>
              <w:widowControl/>
              <w:adjustRightInd w:val="0"/>
              <w:snapToGrid w:val="0"/>
              <w:jc w:val="center"/>
              <w:rPr>
                <w:rFonts w:ascii="宋体" w:hAnsi="宋体"/>
                <w:color w:val="auto"/>
              </w:rPr>
            </w:pPr>
          </w:p>
        </w:tc>
        <w:tc>
          <w:tcPr>
            <w:tcW w:w="734" w:type="pct"/>
            <w:vAlign w:val="center"/>
          </w:tcPr>
          <w:p w14:paraId="694B989D">
            <w:pPr>
              <w:pStyle w:val="81"/>
              <w:rPr>
                <w:rFonts w:hAnsi="宋体"/>
                <w:color w:val="auto"/>
              </w:rPr>
            </w:pPr>
            <w:r>
              <w:rPr>
                <w:rFonts w:hint="eastAsia" w:hAnsi="宋体"/>
                <w:color w:val="auto"/>
              </w:rPr>
              <w:t>掺水管线</w:t>
            </w:r>
          </w:p>
        </w:tc>
        <w:tc>
          <w:tcPr>
            <w:tcW w:w="1510" w:type="pct"/>
            <w:vAlign w:val="center"/>
          </w:tcPr>
          <w:p w14:paraId="37A4F2C5">
            <w:pPr>
              <w:pStyle w:val="81"/>
              <w:rPr>
                <w:rFonts w:hAnsi="宋体"/>
                <w:color w:val="auto"/>
              </w:rPr>
            </w:pPr>
            <w:r>
              <w:rPr>
                <w:rFonts w:hint="eastAsia" w:hAnsi="宋体"/>
                <w:color w:val="auto"/>
              </w:rPr>
              <w:t>高青管理区地面系统优化建设工程新建DN40掺水管线1.7km</w:t>
            </w:r>
          </w:p>
          <w:p w14:paraId="748CDE11">
            <w:pPr>
              <w:pStyle w:val="81"/>
              <w:rPr>
                <w:rFonts w:hAnsi="宋体"/>
                <w:color w:val="auto"/>
              </w:rPr>
            </w:pPr>
            <w:r>
              <w:rPr>
                <w:rFonts w:hint="eastAsia" w:hAnsi="宋体"/>
                <w:color w:val="auto"/>
              </w:rPr>
              <w:t>滨博北区地面系统优化建设工程新建DN75掺水管线7.28km</w:t>
            </w:r>
          </w:p>
        </w:tc>
        <w:tc>
          <w:tcPr>
            <w:tcW w:w="1216" w:type="pct"/>
            <w:vAlign w:val="center"/>
          </w:tcPr>
          <w:p w14:paraId="68C2944C">
            <w:pPr>
              <w:pStyle w:val="81"/>
              <w:rPr>
                <w:rFonts w:hAnsi="宋体"/>
                <w:color w:val="auto"/>
              </w:rPr>
            </w:pPr>
            <w:r>
              <w:rPr>
                <w:rFonts w:hint="eastAsia" w:hAnsi="宋体"/>
                <w:color w:val="auto"/>
              </w:rPr>
              <w:t>高青管理区地面系统优化建设工程新建DN40掺水管线0.7km；φ48×4.0mm 钢管掺水管线0.3km，共1.0km</w:t>
            </w:r>
          </w:p>
        </w:tc>
        <w:tc>
          <w:tcPr>
            <w:tcW w:w="797" w:type="pct"/>
            <w:vAlign w:val="center"/>
          </w:tcPr>
          <w:p w14:paraId="65D5DC8C">
            <w:pPr>
              <w:pStyle w:val="81"/>
              <w:rPr>
                <w:rFonts w:hAnsi="宋体"/>
                <w:color w:val="auto"/>
              </w:rPr>
            </w:pPr>
            <w:r>
              <w:rPr>
                <w:rFonts w:hint="eastAsia" w:hAnsi="宋体"/>
                <w:color w:val="auto"/>
              </w:rPr>
              <w:t>高青管理区地面系统优化建设工程掺水管线减少0</w:t>
            </w:r>
            <w:r>
              <w:rPr>
                <w:rFonts w:hAnsi="宋体"/>
                <w:color w:val="auto"/>
              </w:rPr>
              <w:t>.7</w:t>
            </w:r>
            <w:r>
              <w:rPr>
                <w:rFonts w:hint="eastAsia" w:hAnsi="宋体"/>
                <w:color w:val="auto"/>
              </w:rPr>
              <w:t>km；滨博北区地面系统优化建设工程未投产，纳入后期验收</w:t>
            </w:r>
          </w:p>
        </w:tc>
      </w:tr>
      <w:tr w14:paraId="44B28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425240AC">
            <w:pPr>
              <w:widowControl/>
              <w:adjustRightInd w:val="0"/>
              <w:snapToGrid w:val="0"/>
              <w:jc w:val="center"/>
              <w:rPr>
                <w:rFonts w:ascii="宋体" w:hAnsi="宋体"/>
                <w:color w:val="auto"/>
              </w:rPr>
            </w:pPr>
          </w:p>
        </w:tc>
        <w:tc>
          <w:tcPr>
            <w:tcW w:w="369" w:type="pct"/>
            <w:vMerge w:val="continue"/>
            <w:vAlign w:val="center"/>
          </w:tcPr>
          <w:p w14:paraId="0907B865">
            <w:pPr>
              <w:widowControl/>
              <w:adjustRightInd w:val="0"/>
              <w:snapToGrid w:val="0"/>
              <w:jc w:val="center"/>
              <w:rPr>
                <w:rFonts w:ascii="宋体" w:hAnsi="宋体"/>
                <w:color w:val="auto"/>
              </w:rPr>
            </w:pPr>
          </w:p>
        </w:tc>
        <w:tc>
          <w:tcPr>
            <w:tcW w:w="734" w:type="pct"/>
            <w:vAlign w:val="center"/>
          </w:tcPr>
          <w:p w14:paraId="0248F04A">
            <w:pPr>
              <w:pStyle w:val="81"/>
              <w:rPr>
                <w:rFonts w:hAnsi="宋体"/>
                <w:color w:val="auto"/>
              </w:rPr>
            </w:pPr>
            <w:r>
              <w:rPr>
                <w:rFonts w:hint="eastAsia" w:hAnsi="宋体"/>
                <w:color w:val="auto"/>
              </w:rPr>
              <w:t>天然气管线</w:t>
            </w:r>
          </w:p>
        </w:tc>
        <w:tc>
          <w:tcPr>
            <w:tcW w:w="1510" w:type="pct"/>
            <w:vAlign w:val="center"/>
          </w:tcPr>
          <w:p w14:paraId="2519303F">
            <w:pPr>
              <w:pStyle w:val="81"/>
              <w:rPr>
                <w:rFonts w:hAnsi="宋体"/>
                <w:color w:val="auto"/>
              </w:rPr>
            </w:pPr>
            <w:bookmarkStart w:id="82" w:name="OLE_LINK260"/>
            <w:bookmarkStart w:id="83" w:name="OLE_LINK251"/>
            <w:r>
              <w:rPr>
                <w:rFonts w:hint="eastAsia" w:hAnsi="宋体"/>
                <w:color w:val="auto"/>
              </w:rPr>
              <w:t>滚动开发工程新建φ48×4mm供气管线1km</w:t>
            </w:r>
            <w:bookmarkEnd w:id="82"/>
            <w:bookmarkEnd w:id="83"/>
            <w:r>
              <w:rPr>
                <w:rFonts w:hint="eastAsia" w:hAnsi="宋体"/>
                <w:color w:val="auto"/>
              </w:rPr>
              <w:t>；</w:t>
            </w:r>
          </w:p>
          <w:p w14:paraId="5B50FF56">
            <w:pPr>
              <w:pStyle w:val="81"/>
              <w:rPr>
                <w:rFonts w:hAnsi="宋体"/>
                <w:color w:val="auto"/>
              </w:rPr>
            </w:pPr>
            <w:bookmarkStart w:id="84" w:name="OLE_LINK254"/>
            <w:bookmarkStart w:id="85" w:name="OLE_LINK255"/>
            <w:r>
              <w:rPr>
                <w:rFonts w:hint="eastAsia" w:hAnsi="宋体"/>
                <w:color w:val="auto"/>
              </w:rPr>
              <w:t>高青管理区地面系统优化建设工程新建φ48×4mm供气管线24m</w:t>
            </w:r>
            <w:bookmarkEnd w:id="84"/>
            <w:bookmarkEnd w:id="85"/>
          </w:p>
        </w:tc>
        <w:tc>
          <w:tcPr>
            <w:tcW w:w="1216" w:type="pct"/>
            <w:vAlign w:val="center"/>
          </w:tcPr>
          <w:p w14:paraId="729B3EC8">
            <w:pPr>
              <w:pStyle w:val="81"/>
              <w:rPr>
                <w:rFonts w:hAnsi="宋体"/>
                <w:color w:val="auto"/>
              </w:rPr>
            </w:pPr>
            <w:r>
              <w:rPr>
                <w:rFonts w:hint="eastAsia" w:hAnsi="宋体"/>
                <w:color w:val="auto"/>
              </w:rPr>
              <w:t>滚动开发工程新建φ48×4mm供气管线</w:t>
            </w:r>
            <w:r>
              <w:rPr>
                <w:rFonts w:hAnsi="宋体"/>
                <w:color w:val="auto"/>
              </w:rPr>
              <w:t>0.25</w:t>
            </w:r>
            <w:r>
              <w:rPr>
                <w:rFonts w:hint="eastAsia" w:hAnsi="宋体"/>
                <w:color w:val="auto"/>
              </w:rPr>
              <w:t>km；</w:t>
            </w:r>
          </w:p>
          <w:p w14:paraId="267D2D21">
            <w:pPr>
              <w:pStyle w:val="81"/>
              <w:rPr>
                <w:rFonts w:hAnsi="宋体"/>
                <w:color w:val="auto"/>
              </w:rPr>
            </w:pPr>
            <w:r>
              <w:rPr>
                <w:rFonts w:hint="eastAsia" w:hAnsi="宋体"/>
                <w:color w:val="auto"/>
              </w:rPr>
              <w:t>高青管理区地面系统优化建设工程新建φ48×4mm供气管线24m</w:t>
            </w:r>
          </w:p>
        </w:tc>
        <w:tc>
          <w:tcPr>
            <w:tcW w:w="797" w:type="pct"/>
            <w:vAlign w:val="center"/>
          </w:tcPr>
          <w:p w14:paraId="5376ACE8">
            <w:pPr>
              <w:pStyle w:val="81"/>
              <w:rPr>
                <w:rFonts w:hAnsi="宋体"/>
                <w:color w:val="auto"/>
              </w:rPr>
            </w:pPr>
            <w:bookmarkStart w:id="86" w:name="OLE_LINK340"/>
            <w:r>
              <w:rPr>
                <w:rFonts w:hint="eastAsia" w:hAnsi="宋体"/>
                <w:color w:val="auto"/>
              </w:rPr>
              <w:t>滚动开发工程新建供气管线减少0</w:t>
            </w:r>
            <w:r>
              <w:rPr>
                <w:rFonts w:hAnsi="宋体"/>
                <w:color w:val="auto"/>
              </w:rPr>
              <w:t>.75km,</w:t>
            </w:r>
            <w:r>
              <w:rPr>
                <w:rFonts w:hint="eastAsia" w:hAnsi="宋体"/>
                <w:color w:val="auto"/>
              </w:rPr>
              <w:t>原因为分期建设</w:t>
            </w:r>
            <w:r>
              <w:rPr>
                <w:rFonts w:hAnsi="宋体"/>
                <w:color w:val="auto"/>
              </w:rPr>
              <w:t xml:space="preserve"> </w:t>
            </w:r>
            <w:bookmarkEnd w:id="86"/>
          </w:p>
        </w:tc>
      </w:tr>
      <w:tr w14:paraId="2FCEC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68F80E10">
            <w:pPr>
              <w:widowControl/>
              <w:adjustRightInd w:val="0"/>
              <w:snapToGrid w:val="0"/>
              <w:jc w:val="center"/>
              <w:rPr>
                <w:rFonts w:ascii="宋体" w:hAnsi="宋体"/>
                <w:color w:val="auto"/>
              </w:rPr>
            </w:pPr>
          </w:p>
        </w:tc>
        <w:tc>
          <w:tcPr>
            <w:tcW w:w="369" w:type="pct"/>
            <w:vMerge w:val="continue"/>
            <w:vAlign w:val="center"/>
          </w:tcPr>
          <w:p w14:paraId="0AB9763D">
            <w:pPr>
              <w:widowControl/>
              <w:adjustRightInd w:val="0"/>
              <w:snapToGrid w:val="0"/>
              <w:jc w:val="center"/>
              <w:rPr>
                <w:rFonts w:ascii="宋体" w:hAnsi="宋体"/>
                <w:color w:val="auto"/>
              </w:rPr>
            </w:pPr>
          </w:p>
        </w:tc>
        <w:tc>
          <w:tcPr>
            <w:tcW w:w="734" w:type="pct"/>
            <w:vAlign w:val="center"/>
          </w:tcPr>
          <w:p w14:paraId="762B2F6D">
            <w:pPr>
              <w:pStyle w:val="81"/>
              <w:rPr>
                <w:rFonts w:hAnsi="宋体"/>
                <w:color w:val="auto"/>
              </w:rPr>
            </w:pPr>
            <w:r>
              <w:rPr>
                <w:rFonts w:hint="eastAsia" w:hAnsi="宋体"/>
                <w:color w:val="auto"/>
              </w:rPr>
              <w:t>计量站/集中拉油点</w:t>
            </w:r>
          </w:p>
        </w:tc>
        <w:tc>
          <w:tcPr>
            <w:tcW w:w="1510" w:type="pct"/>
            <w:vAlign w:val="center"/>
          </w:tcPr>
          <w:p w14:paraId="7CD8D72F">
            <w:pPr>
              <w:pStyle w:val="81"/>
              <w:rPr>
                <w:rFonts w:hAnsi="宋体"/>
                <w:color w:val="auto"/>
              </w:rPr>
            </w:pPr>
            <w:bookmarkStart w:id="87" w:name="OLE_LINK39"/>
            <w:r>
              <w:rPr>
                <w:rFonts w:hint="eastAsia" w:hAnsi="宋体"/>
                <w:color w:val="auto"/>
              </w:rPr>
              <w:t>依托2#计量站</w:t>
            </w:r>
            <w:bookmarkEnd w:id="87"/>
            <w:r>
              <w:rPr>
                <w:rFonts w:hint="eastAsia" w:hAnsi="宋体"/>
                <w:color w:val="auto"/>
              </w:rPr>
              <w:t>、樊162集中拉油点、樊163分水点</w:t>
            </w:r>
          </w:p>
        </w:tc>
        <w:tc>
          <w:tcPr>
            <w:tcW w:w="1216" w:type="pct"/>
            <w:vAlign w:val="center"/>
          </w:tcPr>
          <w:p w14:paraId="4C3FEE20">
            <w:pPr>
              <w:pStyle w:val="81"/>
              <w:rPr>
                <w:rFonts w:hAnsi="宋体"/>
                <w:color w:val="auto"/>
              </w:rPr>
            </w:pPr>
            <w:r>
              <w:rPr>
                <w:rFonts w:hint="eastAsia" w:hAnsi="宋体"/>
                <w:color w:val="auto"/>
              </w:rPr>
              <w:t>依托3#计量站</w:t>
            </w:r>
          </w:p>
        </w:tc>
        <w:tc>
          <w:tcPr>
            <w:tcW w:w="797" w:type="pct"/>
            <w:vAlign w:val="center"/>
          </w:tcPr>
          <w:p w14:paraId="6277E984">
            <w:pPr>
              <w:pStyle w:val="81"/>
              <w:rPr>
                <w:rFonts w:hAnsi="宋体"/>
                <w:color w:val="auto"/>
              </w:rPr>
            </w:pPr>
            <w:r>
              <w:rPr>
                <w:rFonts w:hint="eastAsia" w:hAnsi="宋体"/>
                <w:color w:val="auto"/>
              </w:rPr>
              <w:t>依托计量站变更</w:t>
            </w:r>
          </w:p>
        </w:tc>
      </w:tr>
      <w:tr w14:paraId="28438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1B91EAEF">
            <w:pPr>
              <w:widowControl/>
              <w:adjustRightInd w:val="0"/>
              <w:snapToGrid w:val="0"/>
              <w:jc w:val="center"/>
              <w:rPr>
                <w:rFonts w:ascii="宋体" w:hAnsi="宋体"/>
                <w:color w:val="auto"/>
              </w:rPr>
            </w:pPr>
          </w:p>
        </w:tc>
        <w:tc>
          <w:tcPr>
            <w:tcW w:w="369" w:type="pct"/>
            <w:vMerge w:val="continue"/>
            <w:vAlign w:val="center"/>
          </w:tcPr>
          <w:p w14:paraId="5300E904">
            <w:pPr>
              <w:widowControl/>
              <w:adjustRightInd w:val="0"/>
              <w:snapToGrid w:val="0"/>
              <w:jc w:val="center"/>
              <w:rPr>
                <w:rFonts w:ascii="宋体" w:hAnsi="宋体"/>
                <w:color w:val="auto"/>
              </w:rPr>
            </w:pPr>
          </w:p>
        </w:tc>
        <w:tc>
          <w:tcPr>
            <w:tcW w:w="734" w:type="pct"/>
            <w:vAlign w:val="center"/>
          </w:tcPr>
          <w:p w14:paraId="7807F1EC">
            <w:pPr>
              <w:pStyle w:val="81"/>
              <w:rPr>
                <w:rFonts w:hAnsi="宋体"/>
                <w:color w:val="auto"/>
              </w:rPr>
            </w:pPr>
            <w:r>
              <w:rPr>
                <w:rFonts w:hint="eastAsia" w:hAnsi="宋体"/>
                <w:color w:val="auto"/>
              </w:rPr>
              <w:t>接转站</w:t>
            </w:r>
          </w:p>
        </w:tc>
        <w:tc>
          <w:tcPr>
            <w:tcW w:w="1510" w:type="pct"/>
            <w:vAlign w:val="center"/>
          </w:tcPr>
          <w:p w14:paraId="173E386B">
            <w:pPr>
              <w:pStyle w:val="81"/>
              <w:rPr>
                <w:rFonts w:hAnsi="宋体"/>
                <w:color w:val="auto"/>
              </w:rPr>
            </w:pPr>
            <w:r>
              <w:rPr>
                <w:rFonts w:hint="eastAsia" w:hAnsi="宋体"/>
                <w:color w:val="auto"/>
              </w:rPr>
              <w:t>滨博接转站、樊家接转站</w:t>
            </w:r>
          </w:p>
        </w:tc>
        <w:tc>
          <w:tcPr>
            <w:tcW w:w="1216" w:type="pct"/>
            <w:vAlign w:val="center"/>
          </w:tcPr>
          <w:p w14:paraId="1F715177">
            <w:pPr>
              <w:pStyle w:val="81"/>
              <w:rPr>
                <w:rFonts w:hAnsi="宋体"/>
                <w:color w:val="auto"/>
              </w:rPr>
            </w:pPr>
            <w:r>
              <w:rPr>
                <w:rFonts w:hint="eastAsia" w:hAnsi="宋体"/>
                <w:color w:val="auto"/>
              </w:rPr>
              <w:t>滨博接转站</w:t>
            </w:r>
          </w:p>
        </w:tc>
        <w:tc>
          <w:tcPr>
            <w:tcW w:w="797" w:type="pct"/>
            <w:vAlign w:val="center"/>
          </w:tcPr>
          <w:p w14:paraId="264F9498">
            <w:pPr>
              <w:pStyle w:val="81"/>
              <w:rPr>
                <w:rFonts w:hAnsi="宋体"/>
                <w:color w:val="auto"/>
              </w:rPr>
            </w:pPr>
            <w:r>
              <w:rPr>
                <w:rFonts w:hint="eastAsia" w:hAnsi="宋体"/>
                <w:color w:val="auto"/>
              </w:rPr>
              <w:t>未依托樊家接转站</w:t>
            </w:r>
          </w:p>
        </w:tc>
      </w:tr>
      <w:tr w14:paraId="19E44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61554C46">
            <w:pPr>
              <w:widowControl/>
              <w:adjustRightInd w:val="0"/>
              <w:snapToGrid w:val="0"/>
              <w:jc w:val="center"/>
              <w:rPr>
                <w:rFonts w:ascii="宋体" w:hAnsi="宋体"/>
                <w:color w:val="auto"/>
              </w:rPr>
            </w:pPr>
          </w:p>
        </w:tc>
        <w:tc>
          <w:tcPr>
            <w:tcW w:w="369" w:type="pct"/>
            <w:vMerge w:val="continue"/>
            <w:vAlign w:val="center"/>
          </w:tcPr>
          <w:p w14:paraId="148E6F57">
            <w:pPr>
              <w:widowControl/>
              <w:adjustRightInd w:val="0"/>
              <w:snapToGrid w:val="0"/>
              <w:jc w:val="center"/>
              <w:rPr>
                <w:rFonts w:ascii="宋体" w:hAnsi="宋体"/>
                <w:color w:val="auto"/>
              </w:rPr>
            </w:pPr>
          </w:p>
        </w:tc>
        <w:tc>
          <w:tcPr>
            <w:tcW w:w="734" w:type="pct"/>
            <w:vAlign w:val="center"/>
          </w:tcPr>
          <w:p w14:paraId="262949A8">
            <w:pPr>
              <w:pStyle w:val="81"/>
              <w:rPr>
                <w:rFonts w:hAnsi="宋体"/>
                <w:color w:val="auto"/>
              </w:rPr>
            </w:pPr>
            <w:r>
              <w:rPr>
                <w:rFonts w:hint="eastAsia" w:hAnsi="宋体"/>
                <w:color w:val="auto"/>
              </w:rPr>
              <w:t>联合站</w:t>
            </w:r>
          </w:p>
        </w:tc>
        <w:tc>
          <w:tcPr>
            <w:tcW w:w="1510" w:type="pct"/>
            <w:vAlign w:val="center"/>
          </w:tcPr>
          <w:p w14:paraId="0D01DC43">
            <w:pPr>
              <w:pStyle w:val="81"/>
              <w:rPr>
                <w:rFonts w:hAnsi="宋体"/>
                <w:color w:val="auto"/>
              </w:rPr>
            </w:pPr>
            <w:r>
              <w:rPr>
                <w:rFonts w:hint="eastAsia" w:hAnsi="宋体"/>
                <w:color w:val="auto"/>
              </w:rPr>
              <w:t>高青联合站卸油池改造：密闭集成卸油橇 3套、新建收油管线230m、新建冲洗伴热水管线220m</w:t>
            </w:r>
          </w:p>
        </w:tc>
        <w:tc>
          <w:tcPr>
            <w:tcW w:w="1216" w:type="pct"/>
            <w:vAlign w:val="center"/>
          </w:tcPr>
          <w:p w14:paraId="7A64B342">
            <w:pPr>
              <w:pStyle w:val="81"/>
              <w:rPr>
                <w:rFonts w:hAnsi="宋体"/>
                <w:color w:val="auto"/>
              </w:rPr>
            </w:pPr>
            <w:r>
              <w:rPr>
                <w:rFonts w:hint="eastAsia" w:hAnsi="宋体"/>
                <w:color w:val="auto"/>
              </w:rPr>
              <w:t>本期工程未建设</w:t>
            </w:r>
          </w:p>
        </w:tc>
        <w:tc>
          <w:tcPr>
            <w:tcW w:w="797" w:type="pct"/>
            <w:vAlign w:val="center"/>
          </w:tcPr>
          <w:p w14:paraId="4B4E7646">
            <w:pPr>
              <w:pStyle w:val="81"/>
              <w:rPr>
                <w:rFonts w:hAnsi="宋体"/>
                <w:color w:val="auto"/>
              </w:rPr>
            </w:pPr>
            <w:r>
              <w:rPr>
                <w:rFonts w:hint="eastAsia" w:hAnsi="宋体"/>
                <w:color w:val="auto"/>
              </w:rPr>
              <w:t>未建设，纳入后期验收</w:t>
            </w:r>
          </w:p>
        </w:tc>
      </w:tr>
      <w:bookmarkEnd w:id="73"/>
      <w:tr w14:paraId="49105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5D8E7A4B">
            <w:pPr>
              <w:widowControl/>
              <w:adjustRightInd w:val="0"/>
              <w:snapToGrid w:val="0"/>
              <w:jc w:val="center"/>
              <w:rPr>
                <w:rFonts w:ascii="宋体" w:hAnsi="宋体"/>
                <w:color w:val="auto"/>
              </w:rPr>
            </w:pPr>
            <w:bookmarkStart w:id="88" w:name="_Hlk225676567"/>
          </w:p>
        </w:tc>
        <w:tc>
          <w:tcPr>
            <w:tcW w:w="369" w:type="pct"/>
            <w:vMerge w:val="restart"/>
            <w:vAlign w:val="center"/>
          </w:tcPr>
          <w:p w14:paraId="23B881A0">
            <w:pPr>
              <w:pStyle w:val="81"/>
              <w:rPr>
                <w:rFonts w:hAnsi="宋体"/>
                <w:color w:val="auto"/>
              </w:rPr>
            </w:pPr>
            <w:r>
              <w:rPr>
                <w:rFonts w:hint="eastAsia" w:hAnsi="宋体"/>
                <w:color w:val="auto"/>
              </w:rPr>
              <w:t>注水工程</w:t>
            </w:r>
          </w:p>
        </w:tc>
        <w:tc>
          <w:tcPr>
            <w:tcW w:w="734" w:type="pct"/>
            <w:vAlign w:val="center"/>
          </w:tcPr>
          <w:p w14:paraId="4429B7A3">
            <w:pPr>
              <w:pStyle w:val="81"/>
              <w:rPr>
                <w:rFonts w:hAnsi="宋体"/>
                <w:color w:val="auto"/>
              </w:rPr>
            </w:pPr>
            <w:r>
              <w:rPr>
                <w:rFonts w:hint="eastAsia" w:hAnsi="宋体"/>
                <w:color w:val="auto"/>
              </w:rPr>
              <w:t>注水井井口装置</w:t>
            </w:r>
          </w:p>
        </w:tc>
        <w:tc>
          <w:tcPr>
            <w:tcW w:w="1510" w:type="pct"/>
            <w:vAlign w:val="center"/>
          </w:tcPr>
          <w:p w14:paraId="78FB43E5">
            <w:pPr>
              <w:pStyle w:val="81"/>
              <w:rPr>
                <w:rFonts w:hAnsi="宋体"/>
                <w:color w:val="auto"/>
              </w:rPr>
            </w:pPr>
            <w:r>
              <w:rPr>
                <w:rFonts w:hint="eastAsia" w:hAnsi="宋体"/>
                <w:color w:val="auto"/>
              </w:rPr>
              <w:t>52套，其中</w:t>
            </w:r>
            <w:bookmarkStart w:id="89" w:name="OLE_LINK42"/>
            <w:r>
              <w:rPr>
                <w:rFonts w:hint="eastAsia" w:hAnsi="宋体"/>
                <w:color w:val="auto"/>
              </w:rPr>
              <w:t>600型压驱注水装置24套，350型注水井口28套</w:t>
            </w:r>
            <w:bookmarkEnd w:id="89"/>
          </w:p>
        </w:tc>
        <w:tc>
          <w:tcPr>
            <w:tcW w:w="1216" w:type="pct"/>
            <w:vAlign w:val="center"/>
          </w:tcPr>
          <w:p w14:paraId="0FDBFB64">
            <w:pPr>
              <w:pStyle w:val="81"/>
              <w:rPr>
                <w:rFonts w:hAnsi="宋体"/>
                <w:color w:val="auto"/>
              </w:rPr>
            </w:pPr>
            <w:r>
              <w:rPr>
                <w:rFonts w:hint="eastAsia" w:hAnsi="宋体"/>
                <w:color w:val="auto"/>
              </w:rPr>
              <w:t>共15套，600型压驱注水装置6套，350型注水井口9套</w:t>
            </w:r>
          </w:p>
        </w:tc>
        <w:tc>
          <w:tcPr>
            <w:tcW w:w="797" w:type="pct"/>
            <w:vAlign w:val="center"/>
          </w:tcPr>
          <w:p w14:paraId="5F57E5C2">
            <w:pPr>
              <w:pStyle w:val="81"/>
              <w:rPr>
                <w:rFonts w:hAnsi="宋体"/>
                <w:color w:val="auto"/>
              </w:rPr>
            </w:pPr>
            <w:r>
              <w:rPr>
                <w:rFonts w:hint="eastAsia" w:hAnsi="宋体"/>
                <w:color w:val="auto"/>
              </w:rPr>
              <w:t>数量减少37套，未建设，纳入后期验收</w:t>
            </w:r>
          </w:p>
        </w:tc>
      </w:tr>
      <w:tr w14:paraId="3E72A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093D7E97">
            <w:pPr>
              <w:widowControl/>
              <w:adjustRightInd w:val="0"/>
              <w:snapToGrid w:val="0"/>
              <w:jc w:val="center"/>
              <w:rPr>
                <w:rFonts w:ascii="宋体" w:hAnsi="宋体"/>
                <w:color w:val="auto"/>
              </w:rPr>
            </w:pPr>
          </w:p>
        </w:tc>
        <w:tc>
          <w:tcPr>
            <w:tcW w:w="369" w:type="pct"/>
            <w:vMerge w:val="continue"/>
            <w:vAlign w:val="center"/>
          </w:tcPr>
          <w:p w14:paraId="2C36EFEE">
            <w:pPr>
              <w:widowControl/>
              <w:adjustRightInd w:val="0"/>
              <w:snapToGrid w:val="0"/>
              <w:jc w:val="center"/>
              <w:rPr>
                <w:rFonts w:ascii="宋体" w:hAnsi="宋体"/>
                <w:color w:val="auto"/>
              </w:rPr>
            </w:pPr>
          </w:p>
        </w:tc>
        <w:tc>
          <w:tcPr>
            <w:tcW w:w="734" w:type="pct"/>
            <w:vAlign w:val="center"/>
          </w:tcPr>
          <w:p w14:paraId="18C5A6EA">
            <w:pPr>
              <w:pStyle w:val="81"/>
              <w:rPr>
                <w:rFonts w:hAnsi="宋体"/>
                <w:color w:val="auto"/>
              </w:rPr>
            </w:pPr>
            <w:r>
              <w:rPr>
                <w:rFonts w:hint="eastAsia" w:hAnsi="宋体"/>
                <w:color w:val="auto"/>
              </w:rPr>
              <w:t>注水泵</w:t>
            </w:r>
          </w:p>
        </w:tc>
        <w:tc>
          <w:tcPr>
            <w:tcW w:w="1510" w:type="pct"/>
            <w:vAlign w:val="center"/>
          </w:tcPr>
          <w:p w14:paraId="788AE5DF">
            <w:pPr>
              <w:pStyle w:val="81"/>
              <w:rPr>
                <w:rFonts w:hAnsi="宋体"/>
                <w:color w:val="auto"/>
              </w:rPr>
            </w:pPr>
            <w:r>
              <w:rPr>
                <w:rFonts w:hint="eastAsia" w:hAnsi="宋体"/>
                <w:color w:val="auto"/>
              </w:rPr>
              <w:t>滚动开发工程在滨博接转站内迁建注水泵1台</w:t>
            </w:r>
          </w:p>
        </w:tc>
        <w:tc>
          <w:tcPr>
            <w:tcW w:w="1216" w:type="pct"/>
            <w:vAlign w:val="center"/>
          </w:tcPr>
          <w:p w14:paraId="28EAFA85">
            <w:pPr>
              <w:pStyle w:val="81"/>
              <w:rPr>
                <w:rFonts w:hAnsi="宋体"/>
                <w:color w:val="auto"/>
              </w:rPr>
            </w:pPr>
            <w:r>
              <w:rPr>
                <w:rFonts w:hint="eastAsia" w:hAnsi="宋体"/>
                <w:color w:val="auto"/>
              </w:rPr>
              <w:t>未建设</w:t>
            </w:r>
          </w:p>
        </w:tc>
        <w:tc>
          <w:tcPr>
            <w:tcW w:w="797" w:type="pct"/>
            <w:vAlign w:val="center"/>
          </w:tcPr>
          <w:p w14:paraId="3319F900">
            <w:pPr>
              <w:pStyle w:val="81"/>
              <w:rPr>
                <w:rFonts w:hAnsi="宋体"/>
                <w:color w:val="auto"/>
              </w:rPr>
            </w:pPr>
            <w:r>
              <w:rPr>
                <w:rFonts w:hint="eastAsia" w:hAnsi="宋体"/>
                <w:color w:val="auto"/>
              </w:rPr>
              <w:t>未建设，纳入后期验收</w:t>
            </w:r>
          </w:p>
        </w:tc>
      </w:tr>
      <w:tr w14:paraId="1D8D5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129A0984">
            <w:pPr>
              <w:widowControl/>
              <w:adjustRightInd w:val="0"/>
              <w:snapToGrid w:val="0"/>
              <w:jc w:val="center"/>
              <w:rPr>
                <w:rFonts w:ascii="宋体" w:hAnsi="宋体"/>
                <w:color w:val="auto"/>
              </w:rPr>
            </w:pPr>
          </w:p>
        </w:tc>
        <w:tc>
          <w:tcPr>
            <w:tcW w:w="369" w:type="pct"/>
            <w:vMerge w:val="continue"/>
            <w:vAlign w:val="center"/>
          </w:tcPr>
          <w:p w14:paraId="271D2F24">
            <w:pPr>
              <w:widowControl/>
              <w:adjustRightInd w:val="0"/>
              <w:snapToGrid w:val="0"/>
              <w:jc w:val="center"/>
              <w:rPr>
                <w:rFonts w:ascii="宋体" w:hAnsi="宋体"/>
                <w:color w:val="auto"/>
              </w:rPr>
            </w:pPr>
          </w:p>
        </w:tc>
        <w:tc>
          <w:tcPr>
            <w:tcW w:w="734" w:type="pct"/>
            <w:vAlign w:val="center"/>
          </w:tcPr>
          <w:p w14:paraId="17AAA406">
            <w:pPr>
              <w:pStyle w:val="81"/>
              <w:rPr>
                <w:rFonts w:hAnsi="宋体"/>
                <w:color w:val="auto"/>
              </w:rPr>
            </w:pPr>
            <w:r>
              <w:rPr>
                <w:rFonts w:hint="eastAsia" w:hAnsi="宋体"/>
                <w:color w:val="auto"/>
              </w:rPr>
              <w:t>压驱供水泵橇</w:t>
            </w:r>
          </w:p>
        </w:tc>
        <w:tc>
          <w:tcPr>
            <w:tcW w:w="1510" w:type="pct"/>
            <w:vAlign w:val="center"/>
          </w:tcPr>
          <w:p w14:paraId="60ED741E">
            <w:pPr>
              <w:pStyle w:val="81"/>
              <w:rPr>
                <w:rFonts w:hAnsi="宋体"/>
                <w:color w:val="auto"/>
              </w:rPr>
            </w:pPr>
            <w:r>
              <w:rPr>
                <w:rFonts w:hint="eastAsia" w:hAnsi="宋体"/>
                <w:color w:val="auto"/>
              </w:rPr>
              <w:t>16套，供水泵橇Q=40m</w:t>
            </w:r>
            <w:r>
              <w:rPr>
                <w:rFonts w:hint="eastAsia" w:hAnsi="宋体"/>
                <w:color w:val="auto"/>
                <w:vertAlign w:val="superscript"/>
              </w:rPr>
              <w:t>3</w:t>
            </w:r>
            <w:r>
              <w:rPr>
                <w:rFonts w:hint="eastAsia" w:hAnsi="宋体"/>
                <w:color w:val="auto"/>
              </w:rPr>
              <w:t>/h H=60m N=11kW</w:t>
            </w:r>
          </w:p>
        </w:tc>
        <w:tc>
          <w:tcPr>
            <w:tcW w:w="1216" w:type="pct"/>
            <w:vAlign w:val="center"/>
          </w:tcPr>
          <w:p w14:paraId="3F2ABCD3">
            <w:pPr>
              <w:pStyle w:val="81"/>
              <w:rPr>
                <w:rFonts w:hAnsi="宋体"/>
                <w:color w:val="auto"/>
              </w:rPr>
            </w:pPr>
            <w:r>
              <w:rPr>
                <w:rFonts w:hint="eastAsia" w:hAnsi="宋体"/>
                <w:color w:val="auto"/>
              </w:rPr>
              <w:t>3套，水泵橇Q=40m</w:t>
            </w:r>
            <w:r>
              <w:rPr>
                <w:rFonts w:hint="eastAsia" w:hAnsi="宋体"/>
                <w:color w:val="auto"/>
                <w:vertAlign w:val="superscript"/>
              </w:rPr>
              <w:t>3</w:t>
            </w:r>
            <w:r>
              <w:rPr>
                <w:rFonts w:hint="eastAsia" w:hAnsi="宋体"/>
                <w:color w:val="auto"/>
              </w:rPr>
              <w:t>/h H=60m N=11kW</w:t>
            </w:r>
          </w:p>
        </w:tc>
        <w:tc>
          <w:tcPr>
            <w:tcW w:w="797" w:type="pct"/>
            <w:vAlign w:val="center"/>
          </w:tcPr>
          <w:p w14:paraId="0DB35045">
            <w:pPr>
              <w:pStyle w:val="81"/>
              <w:rPr>
                <w:rFonts w:hAnsi="宋体"/>
                <w:color w:val="auto"/>
              </w:rPr>
            </w:pPr>
            <w:r>
              <w:rPr>
                <w:rFonts w:hAnsi="宋体"/>
                <w:color w:val="auto"/>
              </w:rPr>
              <w:t>13</w:t>
            </w:r>
            <w:r>
              <w:rPr>
                <w:rFonts w:hint="eastAsia" w:hAnsi="宋体"/>
                <w:color w:val="auto"/>
              </w:rPr>
              <w:t>套未建设，纳入后期验收</w:t>
            </w:r>
          </w:p>
        </w:tc>
      </w:tr>
      <w:tr w14:paraId="0C8C0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639DE64C">
            <w:pPr>
              <w:widowControl/>
              <w:adjustRightInd w:val="0"/>
              <w:snapToGrid w:val="0"/>
              <w:jc w:val="center"/>
              <w:rPr>
                <w:rFonts w:ascii="宋体" w:hAnsi="宋体"/>
                <w:color w:val="auto"/>
              </w:rPr>
            </w:pPr>
          </w:p>
        </w:tc>
        <w:tc>
          <w:tcPr>
            <w:tcW w:w="369" w:type="pct"/>
            <w:vMerge w:val="continue"/>
            <w:vAlign w:val="center"/>
          </w:tcPr>
          <w:p w14:paraId="5D85508F">
            <w:pPr>
              <w:widowControl/>
              <w:adjustRightInd w:val="0"/>
              <w:snapToGrid w:val="0"/>
              <w:jc w:val="center"/>
              <w:rPr>
                <w:rFonts w:ascii="宋体" w:hAnsi="宋体"/>
                <w:color w:val="auto"/>
              </w:rPr>
            </w:pPr>
          </w:p>
        </w:tc>
        <w:tc>
          <w:tcPr>
            <w:tcW w:w="734" w:type="pct"/>
            <w:vAlign w:val="center"/>
          </w:tcPr>
          <w:p w14:paraId="684AB794">
            <w:pPr>
              <w:pStyle w:val="81"/>
              <w:rPr>
                <w:rFonts w:hAnsi="宋体"/>
                <w:color w:val="auto"/>
              </w:rPr>
            </w:pPr>
            <w:r>
              <w:rPr>
                <w:rFonts w:hint="eastAsia" w:hAnsi="宋体"/>
                <w:color w:val="auto"/>
              </w:rPr>
              <w:t>注水管线</w:t>
            </w:r>
          </w:p>
        </w:tc>
        <w:tc>
          <w:tcPr>
            <w:tcW w:w="1510" w:type="pct"/>
            <w:vAlign w:val="center"/>
          </w:tcPr>
          <w:p w14:paraId="3CA028B7">
            <w:pPr>
              <w:pStyle w:val="81"/>
              <w:rPr>
                <w:rFonts w:hAnsi="宋体"/>
                <w:color w:val="auto"/>
              </w:rPr>
            </w:pPr>
            <w:r>
              <w:rPr>
                <w:rFonts w:hint="eastAsia" w:hAnsi="宋体"/>
                <w:color w:val="auto"/>
              </w:rPr>
              <w:t>滚动开发工程新建Φ76×11mm注水管线11.53km、新建Φ114×44mm注水管线3.50km</w:t>
            </w:r>
          </w:p>
          <w:p w14:paraId="17D59F4D">
            <w:pPr>
              <w:pStyle w:val="81"/>
              <w:rPr>
                <w:rFonts w:hAnsi="宋体"/>
                <w:color w:val="auto"/>
              </w:rPr>
            </w:pPr>
            <w:r>
              <w:rPr>
                <w:rFonts w:hint="eastAsia" w:hAnsi="宋体"/>
                <w:color w:val="auto"/>
              </w:rPr>
              <w:t>高青管理区地面系统优化建设工程新建Φ68×10mm注水管线7.66km、DN75mm压驱低压供水管线2.71km</w:t>
            </w:r>
          </w:p>
          <w:p w14:paraId="61E67DB8">
            <w:pPr>
              <w:pStyle w:val="81"/>
              <w:rPr>
                <w:rFonts w:hAnsi="宋体"/>
                <w:color w:val="auto"/>
              </w:rPr>
            </w:pPr>
            <w:r>
              <w:rPr>
                <w:rFonts w:hint="eastAsia" w:hAnsi="宋体"/>
                <w:color w:val="auto"/>
              </w:rPr>
              <w:t>滨博北区地面系统优化建设工程新建Φ68×12mm注水管线4.6km</w:t>
            </w:r>
          </w:p>
        </w:tc>
        <w:tc>
          <w:tcPr>
            <w:tcW w:w="1216" w:type="pct"/>
            <w:vAlign w:val="center"/>
          </w:tcPr>
          <w:p w14:paraId="43C2615C">
            <w:pPr>
              <w:pStyle w:val="81"/>
              <w:rPr>
                <w:rFonts w:hAnsi="宋体"/>
                <w:color w:val="auto"/>
              </w:rPr>
            </w:pPr>
            <w:r>
              <w:rPr>
                <w:rFonts w:hint="eastAsia" w:hAnsi="宋体"/>
                <w:color w:val="auto"/>
              </w:rPr>
              <w:t>滚动开发工程新建Φ76×11mm注水管线0.05km、</w:t>
            </w:r>
            <w:r>
              <w:rPr>
                <w:rFonts w:hint="eastAsia" w:cs="宋体"/>
                <w:color w:val="auto"/>
              </w:rPr>
              <w:t>新建了DN150注水管线共2.2km，新建了DN110注水管线共0.5km，合计2.75km；</w:t>
            </w:r>
          </w:p>
          <w:p w14:paraId="455A860F">
            <w:pPr>
              <w:pStyle w:val="81"/>
              <w:rPr>
                <w:rFonts w:hAnsi="宋体"/>
                <w:color w:val="auto"/>
              </w:rPr>
            </w:pPr>
            <w:r>
              <w:rPr>
                <w:rFonts w:hint="eastAsia" w:hAnsi="宋体"/>
                <w:color w:val="auto"/>
              </w:rPr>
              <w:t>高青管理区地面系统优化建设工程新建Φ68×10mm注水管线5.28km、DN75mm压驱低压供水管线1.74km</w:t>
            </w:r>
          </w:p>
        </w:tc>
        <w:tc>
          <w:tcPr>
            <w:tcW w:w="797" w:type="pct"/>
            <w:vAlign w:val="center"/>
          </w:tcPr>
          <w:p w14:paraId="50F08100">
            <w:pPr>
              <w:pStyle w:val="81"/>
              <w:rPr>
                <w:rFonts w:hAnsi="宋体"/>
                <w:color w:val="auto"/>
              </w:rPr>
            </w:pPr>
            <w:r>
              <w:rPr>
                <w:rFonts w:hint="eastAsia" w:hAnsi="宋体"/>
                <w:color w:val="auto"/>
              </w:rPr>
              <w:t>注水开发工程注水管线共减少</w:t>
            </w:r>
            <w:r>
              <w:rPr>
                <w:rFonts w:hAnsi="宋体"/>
                <w:color w:val="auto"/>
              </w:rPr>
              <w:t>12.28</w:t>
            </w:r>
            <w:r>
              <w:rPr>
                <w:rFonts w:hint="eastAsia" w:hAnsi="宋体"/>
                <w:color w:val="auto"/>
              </w:rPr>
              <w:t>km；高青管理区地面系统优化建设工程注水管线减少3.35km；滨博北区地面系统优化建设工程未投产，纳入后期验收</w:t>
            </w:r>
          </w:p>
        </w:tc>
      </w:tr>
      <w:tr w14:paraId="156FF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61030262">
            <w:pPr>
              <w:widowControl/>
              <w:adjustRightInd w:val="0"/>
              <w:snapToGrid w:val="0"/>
              <w:jc w:val="center"/>
              <w:rPr>
                <w:rFonts w:ascii="宋体" w:hAnsi="宋体"/>
                <w:color w:val="auto"/>
              </w:rPr>
            </w:pPr>
          </w:p>
        </w:tc>
        <w:tc>
          <w:tcPr>
            <w:tcW w:w="369" w:type="pct"/>
            <w:vMerge w:val="continue"/>
            <w:vAlign w:val="center"/>
          </w:tcPr>
          <w:p w14:paraId="67A64753">
            <w:pPr>
              <w:widowControl/>
              <w:adjustRightInd w:val="0"/>
              <w:snapToGrid w:val="0"/>
              <w:jc w:val="center"/>
              <w:rPr>
                <w:rFonts w:ascii="宋体" w:hAnsi="宋体"/>
                <w:color w:val="auto"/>
              </w:rPr>
            </w:pPr>
          </w:p>
        </w:tc>
        <w:tc>
          <w:tcPr>
            <w:tcW w:w="734" w:type="pct"/>
            <w:vAlign w:val="center"/>
          </w:tcPr>
          <w:p w14:paraId="34B8052C">
            <w:pPr>
              <w:pStyle w:val="81"/>
              <w:rPr>
                <w:rFonts w:hAnsi="宋体"/>
                <w:color w:val="auto"/>
              </w:rPr>
            </w:pPr>
            <w:r>
              <w:rPr>
                <w:rFonts w:hint="eastAsia" w:hAnsi="宋体"/>
                <w:color w:val="auto"/>
              </w:rPr>
              <w:t>供水管线</w:t>
            </w:r>
          </w:p>
        </w:tc>
        <w:tc>
          <w:tcPr>
            <w:tcW w:w="1510" w:type="pct"/>
            <w:vAlign w:val="center"/>
          </w:tcPr>
          <w:p w14:paraId="73053E59">
            <w:pPr>
              <w:pStyle w:val="81"/>
              <w:rPr>
                <w:rFonts w:hAnsi="宋体"/>
                <w:color w:val="auto"/>
              </w:rPr>
            </w:pPr>
            <w:r>
              <w:rPr>
                <w:rFonts w:hint="eastAsia" w:hAnsi="宋体"/>
                <w:color w:val="auto"/>
              </w:rPr>
              <w:t>高青管理区地面系统优化建设工程新建DN40mm自来水供水管线2.34km；滨博北区地面系统优化建设工程新建DN100mm供水管线1.2km</w:t>
            </w:r>
          </w:p>
        </w:tc>
        <w:tc>
          <w:tcPr>
            <w:tcW w:w="1216" w:type="pct"/>
            <w:vAlign w:val="center"/>
          </w:tcPr>
          <w:p w14:paraId="519F0773">
            <w:pPr>
              <w:pStyle w:val="81"/>
              <w:rPr>
                <w:rFonts w:hAnsi="宋体"/>
                <w:color w:val="auto"/>
              </w:rPr>
            </w:pPr>
            <w:r>
              <w:rPr>
                <w:rFonts w:hint="eastAsia" w:hAnsi="宋体"/>
                <w:color w:val="auto"/>
              </w:rPr>
              <w:t>高青管理区地面系统优化建设工程新建</w:t>
            </w:r>
            <w:r>
              <w:rPr>
                <w:rFonts w:hAnsi="宋体" w:cs="Calibri"/>
                <w:color w:val="auto"/>
              </w:rPr>
              <w:t>DE90</w:t>
            </w:r>
            <w:r>
              <w:rPr>
                <w:rStyle w:val="326"/>
                <w:rFonts w:hint="default" w:cs="Calibri"/>
                <w:color w:val="auto"/>
              </w:rPr>
              <w:t>×</w:t>
            </w:r>
            <w:r>
              <w:rPr>
                <w:rStyle w:val="141"/>
                <w:rFonts w:hint="default"/>
                <w:color w:val="auto"/>
                <w:vertAlign w:val="baseline"/>
              </w:rPr>
              <w:t>8.2mm</w:t>
            </w:r>
            <w:r>
              <w:rPr>
                <w:rFonts w:hint="eastAsia" w:hAnsi="宋体"/>
                <w:color w:val="auto"/>
              </w:rPr>
              <w:t>自来水供水管线1.15km</w:t>
            </w:r>
          </w:p>
        </w:tc>
        <w:tc>
          <w:tcPr>
            <w:tcW w:w="797" w:type="pct"/>
            <w:vAlign w:val="center"/>
          </w:tcPr>
          <w:p w14:paraId="6DF7CA45">
            <w:pPr>
              <w:pStyle w:val="81"/>
              <w:rPr>
                <w:rFonts w:hAnsi="宋体"/>
                <w:color w:val="auto"/>
              </w:rPr>
            </w:pPr>
            <w:r>
              <w:rPr>
                <w:rFonts w:hint="eastAsia" w:hAnsi="宋体"/>
                <w:color w:val="auto"/>
              </w:rPr>
              <w:t>高青管理区地面系统优化建设工程自来水供水管线材质变更，长度减少1.19km；滨博北区地面系统优化建设工程未建设</w:t>
            </w:r>
          </w:p>
        </w:tc>
      </w:tr>
      <w:tr w14:paraId="3561E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5E7269D7">
            <w:pPr>
              <w:widowControl/>
              <w:adjustRightInd w:val="0"/>
              <w:snapToGrid w:val="0"/>
              <w:jc w:val="center"/>
              <w:rPr>
                <w:rFonts w:ascii="宋体" w:hAnsi="宋体"/>
                <w:color w:val="auto"/>
              </w:rPr>
            </w:pPr>
          </w:p>
        </w:tc>
        <w:tc>
          <w:tcPr>
            <w:tcW w:w="369" w:type="pct"/>
            <w:vMerge w:val="continue"/>
            <w:vAlign w:val="center"/>
          </w:tcPr>
          <w:p w14:paraId="65604B3C">
            <w:pPr>
              <w:widowControl/>
              <w:adjustRightInd w:val="0"/>
              <w:snapToGrid w:val="0"/>
              <w:jc w:val="center"/>
              <w:rPr>
                <w:rFonts w:ascii="宋体" w:hAnsi="宋体"/>
                <w:color w:val="auto"/>
              </w:rPr>
            </w:pPr>
          </w:p>
        </w:tc>
        <w:tc>
          <w:tcPr>
            <w:tcW w:w="734" w:type="pct"/>
            <w:vAlign w:val="center"/>
          </w:tcPr>
          <w:p w14:paraId="6155C5FB">
            <w:pPr>
              <w:pStyle w:val="81"/>
              <w:rPr>
                <w:rFonts w:hAnsi="宋体"/>
                <w:color w:val="auto"/>
              </w:rPr>
            </w:pPr>
            <w:r>
              <w:rPr>
                <w:rFonts w:hint="eastAsia" w:hAnsi="宋体"/>
                <w:color w:val="auto"/>
              </w:rPr>
              <w:t>注水站、供水点</w:t>
            </w:r>
          </w:p>
        </w:tc>
        <w:tc>
          <w:tcPr>
            <w:tcW w:w="1510" w:type="pct"/>
            <w:vAlign w:val="center"/>
          </w:tcPr>
          <w:p w14:paraId="0D9EE58E">
            <w:pPr>
              <w:pStyle w:val="81"/>
              <w:rPr>
                <w:rFonts w:hAnsi="宋体"/>
                <w:color w:val="auto"/>
              </w:rPr>
            </w:pPr>
            <w:r>
              <w:rPr>
                <w:rFonts w:hint="eastAsia" w:hAnsi="宋体"/>
                <w:color w:val="auto"/>
              </w:rPr>
              <w:t>依托樊2注水站、樊4注水站、樊7注水站、樊11注水站、樊107注水站、星源作业队水源井、樊163分水点、滨博接转站注水点</w:t>
            </w:r>
          </w:p>
        </w:tc>
        <w:tc>
          <w:tcPr>
            <w:tcW w:w="1216" w:type="pct"/>
            <w:vAlign w:val="center"/>
          </w:tcPr>
          <w:p w14:paraId="46FB09B2">
            <w:pPr>
              <w:pStyle w:val="81"/>
              <w:rPr>
                <w:rFonts w:hAnsi="宋体"/>
                <w:color w:val="auto"/>
              </w:rPr>
            </w:pPr>
            <w:r>
              <w:rPr>
                <w:rFonts w:hint="eastAsia" w:cs="宋体"/>
                <w:color w:val="auto"/>
              </w:rPr>
              <w:t>依托高青联合站注水点</w:t>
            </w:r>
          </w:p>
        </w:tc>
        <w:tc>
          <w:tcPr>
            <w:tcW w:w="797" w:type="pct"/>
            <w:vAlign w:val="center"/>
          </w:tcPr>
          <w:p w14:paraId="2DB6806F">
            <w:pPr>
              <w:pStyle w:val="81"/>
              <w:rPr>
                <w:rFonts w:hAnsi="宋体"/>
                <w:color w:val="auto"/>
              </w:rPr>
            </w:pPr>
            <w:r>
              <w:rPr>
                <w:rFonts w:hint="eastAsia" w:hAnsi="宋体"/>
                <w:color w:val="auto"/>
              </w:rPr>
              <w:t>依托注水站根据实际情况进行了调整</w:t>
            </w:r>
          </w:p>
        </w:tc>
      </w:tr>
      <w:tr w14:paraId="41A64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6459A1BB">
            <w:pPr>
              <w:widowControl/>
              <w:adjustRightInd w:val="0"/>
              <w:snapToGrid w:val="0"/>
              <w:jc w:val="center"/>
              <w:rPr>
                <w:rFonts w:ascii="宋体" w:hAnsi="宋体"/>
                <w:color w:val="auto"/>
              </w:rPr>
            </w:pPr>
          </w:p>
        </w:tc>
        <w:tc>
          <w:tcPr>
            <w:tcW w:w="369" w:type="pct"/>
            <w:vMerge w:val="continue"/>
            <w:vAlign w:val="center"/>
          </w:tcPr>
          <w:p w14:paraId="39B924E7">
            <w:pPr>
              <w:widowControl/>
              <w:adjustRightInd w:val="0"/>
              <w:snapToGrid w:val="0"/>
              <w:jc w:val="center"/>
              <w:rPr>
                <w:rFonts w:ascii="宋体" w:hAnsi="宋体"/>
                <w:color w:val="auto"/>
              </w:rPr>
            </w:pPr>
          </w:p>
        </w:tc>
        <w:tc>
          <w:tcPr>
            <w:tcW w:w="734" w:type="pct"/>
            <w:vAlign w:val="center"/>
          </w:tcPr>
          <w:p w14:paraId="4659A801">
            <w:pPr>
              <w:pStyle w:val="81"/>
              <w:rPr>
                <w:rFonts w:hAnsi="宋体"/>
                <w:color w:val="auto"/>
              </w:rPr>
            </w:pPr>
            <w:r>
              <w:rPr>
                <w:rFonts w:hint="eastAsia" w:hAnsi="宋体"/>
                <w:color w:val="auto"/>
              </w:rPr>
              <w:t>压驱供水水源</w:t>
            </w:r>
          </w:p>
        </w:tc>
        <w:tc>
          <w:tcPr>
            <w:tcW w:w="1510" w:type="pct"/>
            <w:vAlign w:val="center"/>
          </w:tcPr>
          <w:p w14:paraId="79B35476">
            <w:pPr>
              <w:pStyle w:val="81"/>
              <w:rPr>
                <w:rFonts w:hAnsi="宋体"/>
                <w:color w:val="auto"/>
              </w:rPr>
            </w:pPr>
            <w:r>
              <w:rPr>
                <w:rFonts w:hint="eastAsia" w:hAnsi="宋体"/>
                <w:color w:val="auto"/>
              </w:rPr>
              <w:t>周边沟渠、水塘、</w:t>
            </w:r>
            <w:bookmarkStart w:id="90" w:name="OLE_LINK46"/>
            <w:r>
              <w:rPr>
                <w:rFonts w:hint="eastAsia" w:hAnsi="宋体"/>
                <w:color w:val="auto"/>
              </w:rPr>
              <w:t>三号支沟</w:t>
            </w:r>
            <w:bookmarkEnd w:id="90"/>
            <w:r>
              <w:rPr>
                <w:rFonts w:hint="eastAsia" w:hAnsi="宋体"/>
                <w:color w:val="auto"/>
              </w:rPr>
              <w:t>、北支新河等，周边乡镇自来水作为备用补充水源</w:t>
            </w:r>
          </w:p>
        </w:tc>
        <w:tc>
          <w:tcPr>
            <w:tcW w:w="1216" w:type="pct"/>
            <w:vAlign w:val="center"/>
          </w:tcPr>
          <w:p w14:paraId="0595B95F">
            <w:pPr>
              <w:pStyle w:val="81"/>
              <w:rPr>
                <w:rFonts w:hAnsi="宋体"/>
                <w:color w:val="auto"/>
              </w:rPr>
            </w:pPr>
            <w:r>
              <w:rPr>
                <w:rFonts w:hint="eastAsia" w:hAnsi="宋体"/>
                <w:color w:val="auto"/>
              </w:rPr>
              <w:t>周边水塘、北支新河、大芦湖水源，周边乡镇自来水作为备用补充水源；</w:t>
            </w:r>
            <w:r>
              <w:rPr>
                <w:rFonts w:hint="eastAsia" w:hAnsi="宋体"/>
                <w:color w:val="auto"/>
              </w:rPr>
              <w:t>已取得取水许可证，编号D</w:t>
            </w:r>
            <w:r>
              <w:rPr>
                <w:rFonts w:hAnsi="宋体"/>
                <w:color w:val="auto"/>
              </w:rPr>
              <w:t>370322S2020-0021</w:t>
            </w:r>
            <w:r>
              <w:rPr>
                <w:rFonts w:hint="eastAsia" w:hAnsi="宋体"/>
                <w:color w:val="auto"/>
              </w:rPr>
              <w:t>，见附件1</w:t>
            </w:r>
            <w:r>
              <w:rPr>
                <w:rFonts w:hAnsi="宋体"/>
                <w:color w:val="auto"/>
              </w:rPr>
              <w:t>4</w:t>
            </w:r>
          </w:p>
        </w:tc>
        <w:tc>
          <w:tcPr>
            <w:tcW w:w="797" w:type="pct"/>
            <w:vAlign w:val="center"/>
          </w:tcPr>
          <w:p w14:paraId="6E8C9C7A">
            <w:pPr>
              <w:pStyle w:val="81"/>
              <w:rPr>
                <w:rFonts w:hAnsi="宋体"/>
                <w:color w:val="auto"/>
              </w:rPr>
            </w:pPr>
            <w:r>
              <w:rPr>
                <w:rFonts w:hint="eastAsia" w:hAnsi="宋体"/>
                <w:color w:val="auto"/>
              </w:rPr>
              <w:t>/</w:t>
            </w:r>
          </w:p>
        </w:tc>
      </w:tr>
      <w:tr w14:paraId="358ED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01479537">
            <w:pPr>
              <w:widowControl/>
              <w:adjustRightInd w:val="0"/>
              <w:snapToGrid w:val="0"/>
              <w:jc w:val="center"/>
              <w:rPr>
                <w:rFonts w:ascii="宋体" w:hAnsi="宋体"/>
                <w:color w:val="auto"/>
              </w:rPr>
            </w:pPr>
          </w:p>
        </w:tc>
        <w:tc>
          <w:tcPr>
            <w:tcW w:w="369" w:type="pct"/>
            <w:vMerge w:val="continue"/>
            <w:vAlign w:val="center"/>
          </w:tcPr>
          <w:p w14:paraId="121DE13D">
            <w:pPr>
              <w:widowControl/>
              <w:adjustRightInd w:val="0"/>
              <w:snapToGrid w:val="0"/>
              <w:jc w:val="center"/>
              <w:rPr>
                <w:rFonts w:ascii="宋体" w:hAnsi="宋体"/>
                <w:color w:val="auto"/>
              </w:rPr>
            </w:pPr>
          </w:p>
        </w:tc>
        <w:tc>
          <w:tcPr>
            <w:tcW w:w="734" w:type="pct"/>
            <w:vAlign w:val="center"/>
          </w:tcPr>
          <w:p w14:paraId="061CDDDE">
            <w:pPr>
              <w:pStyle w:val="81"/>
              <w:rPr>
                <w:rFonts w:hAnsi="宋体"/>
                <w:color w:val="auto"/>
              </w:rPr>
            </w:pPr>
            <w:bookmarkStart w:id="91" w:name="OLE_LINK244"/>
            <w:bookmarkStart w:id="92" w:name="OLE_LINK245"/>
            <w:r>
              <w:rPr>
                <w:rFonts w:hint="eastAsia" w:hAnsi="宋体"/>
                <w:color w:val="auto"/>
              </w:rPr>
              <w:t>樊107注水站</w:t>
            </w:r>
            <w:bookmarkEnd w:id="91"/>
            <w:bookmarkEnd w:id="92"/>
          </w:p>
        </w:tc>
        <w:tc>
          <w:tcPr>
            <w:tcW w:w="1510" w:type="pct"/>
            <w:vAlign w:val="center"/>
          </w:tcPr>
          <w:p w14:paraId="39842654">
            <w:pPr>
              <w:pStyle w:val="81"/>
              <w:rPr>
                <w:rFonts w:hAnsi="宋体"/>
                <w:color w:val="auto"/>
              </w:rPr>
            </w:pPr>
            <w:r>
              <w:rPr>
                <w:rFonts w:hint="eastAsia" w:hAnsi="宋体"/>
                <w:color w:val="auto"/>
              </w:rPr>
              <w:t>樊107注水站清水处理系统“粗滤+细滤+精滤三级过滤”水处理系统设计规模：由400m</w:t>
            </w:r>
            <w:r>
              <w:rPr>
                <w:rFonts w:hint="eastAsia" w:hAnsi="宋体"/>
                <w:color w:val="auto"/>
                <w:vertAlign w:val="superscript"/>
              </w:rPr>
              <w:t>3</w:t>
            </w:r>
            <w:r>
              <w:rPr>
                <w:rFonts w:hint="eastAsia" w:hAnsi="宋体"/>
                <w:color w:val="auto"/>
              </w:rPr>
              <w:t>/d扩建为1200m</w:t>
            </w:r>
            <w:r>
              <w:rPr>
                <w:rFonts w:hint="eastAsia" w:hAnsi="宋体"/>
                <w:color w:val="auto"/>
                <w:vertAlign w:val="superscript"/>
              </w:rPr>
              <w:t>3</w:t>
            </w:r>
            <w:r>
              <w:rPr>
                <w:rFonts w:hint="eastAsia" w:hAnsi="宋体"/>
                <w:color w:val="auto"/>
              </w:rPr>
              <w:t>/d；扩建2台多介质过滤器(粗滤φ1.8m 1座，精滤φ1.8m 1座)；扩建精细过滤1座（800m</w:t>
            </w:r>
            <w:r>
              <w:rPr>
                <w:rFonts w:hint="eastAsia" w:hAnsi="宋体"/>
                <w:color w:val="auto"/>
                <w:vertAlign w:val="superscript"/>
              </w:rPr>
              <w:t>3</w:t>
            </w:r>
            <w:r>
              <w:rPr>
                <w:rFonts w:hint="eastAsia" w:hAnsi="宋体"/>
                <w:color w:val="auto"/>
              </w:rPr>
              <w:t>/d）；拆除1座100m</w:t>
            </w:r>
            <w:r>
              <w:rPr>
                <w:rFonts w:hint="eastAsia" w:hAnsi="宋体"/>
                <w:color w:val="auto"/>
                <w:vertAlign w:val="superscript"/>
              </w:rPr>
              <w:t>3</w:t>
            </w:r>
            <w:r>
              <w:rPr>
                <w:rFonts w:hint="eastAsia" w:hAnsi="宋体"/>
                <w:color w:val="auto"/>
              </w:rPr>
              <w:t>缓冲罐，在原位置新建1座300m</w:t>
            </w:r>
            <w:r>
              <w:rPr>
                <w:rFonts w:hint="eastAsia" w:hAnsi="宋体"/>
                <w:color w:val="auto"/>
                <w:vertAlign w:val="superscript"/>
              </w:rPr>
              <w:t>3</w:t>
            </w:r>
            <w:r>
              <w:rPr>
                <w:rFonts w:hint="eastAsia" w:hAnsi="宋体"/>
                <w:color w:val="auto"/>
              </w:rPr>
              <w:t>注水罐；拆除已建注水泵2台，新建注水泵3台（Q=27m</w:t>
            </w:r>
            <w:r>
              <w:rPr>
                <w:rFonts w:hint="eastAsia" w:hAnsi="宋体"/>
                <w:color w:val="auto"/>
                <w:vertAlign w:val="superscript"/>
              </w:rPr>
              <w:t>3</w:t>
            </w:r>
            <w:r>
              <w:rPr>
                <w:rFonts w:hint="eastAsia" w:hAnsi="宋体"/>
                <w:color w:val="auto"/>
              </w:rPr>
              <w:t>/h P=40MPa N=355kW），配套新建2台喂水泵（Q=60m</w:t>
            </w:r>
            <w:r>
              <w:rPr>
                <w:rFonts w:hint="eastAsia" w:hAnsi="宋体"/>
                <w:color w:val="auto"/>
                <w:vertAlign w:val="superscript"/>
              </w:rPr>
              <w:t>3</w:t>
            </w:r>
            <w:r>
              <w:rPr>
                <w:rFonts w:hint="eastAsia" w:hAnsi="宋体"/>
                <w:color w:val="auto"/>
              </w:rPr>
              <w:t>/h H=32m N=11kW）；对站内腐蚀严重的2台回注喂水泵（Q=25m</w:t>
            </w:r>
            <w:r>
              <w:rPr>
                <w:rFonts w:hint="eastAsia" w:hAnsi="宋体"/>
                <w:color w:val="auto"/>
                <w:vertAlign w:val="superscript"/>
              </w:rPr>
              <w:t>3</w:t>
            </w:r>
            <w:r>
              <w:rPr>
                <w:rFonts w:hint="eastAsia" w:hAnsi="宋体"/>
                <w:color w:val="auto"/>
              </w:rPr>
              <w:t>/h H=32m N=4kW）更换；新建加药装置1座（混凝剂）；配套站内电力系统和房屋改造维修</w:t>
            </w:r>
          </w:p>
        </w:tc>
        <w:tc>
          <w:tcPr>
            <w:tcW w:w="1216" w:type="pct"/>
            <w:vAlign w:val="center"/>
          </w:tcPr>
          <w:p w14:paraId="2821F7DF">
            <w:pPr>
              <w:pStyle w:val="81"/>
              <w:rPr>
                <w:rFonts w:hAnsi="宋体"/>
                <w:color w:val="auto"/>
              </w:rPr>
            </w:pPr>
            <w:r>
              <w:rPr>
                <w:rFonts w:hint="eastAsia" w:hAnsi="宋体"/>
                <w:color w:val="auto"/>
              </w:rPr>
              <w:t>未投产</w:t>
            </w:r>
          </w:p>
        </w:tc>
        <w:tc>
          <w:tcPr>
            <w:tcW w:w="797" w:type="pct"/>
            <w:vAlign w:val="center"/>
          </w:tcPr>
          <w:p w14:paraId="10266C51">
            <w:pPr>
              <w:pStyle w:val="81"/>
              <w:rPr>
                <w:rFonts w:hAnsi="宋体"/>
                <w:color w:val="auto"/>
              </w:rPr>
            </w:pPr>
            <w:r>
              <w:rPr>
                <w:rFonts w:hint="eastAsia" w:hAnsi="宋体"/>
                <w:color w:val="auto"/>
              </w:rPr>
              <w:t>纳入后期验收</w:t>
            </w:r>
          </w:p>
        </w:tc>
      </w:tr>
      <w:bookmarkEnd w:id="88"/>
      <w:tr w14:paraId="41D0A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123925B9">
            <w:pPr>
              <w:widowControl/>
              <w:adjustRightInd w:val="0"/>
              <w:snapToGrid w:val="0"/>
              <w:jc w:val="center"/>
              <w:rPr>
                <w:rFonts w:ascii="宋体" w:hAnsi="宋体"/>
                <w:color w:val="auto"/>
              </w:rPr>
            </w:pPr>
          </w:p>
        </w:tc>
        <w:tc>
          <w:tcPr>
            <w:tcW w:w="369" w:type="pct"/>
            <w:vAlign w:val="center"/>
          </w:tcPr>
          <w:p w14:paraId="243673D2">
            <w:pPr>
              <w:pStyle w:val="81"/>
              <w:rPr>
                <w:rFonts w:hAnsi="宋体"/>
                <w:color w:val="auto"/>
              </w:rPr>
            </w:pPr>
            <w:r>
              <w:rPr>
                <w:rFonts w:hint="eastAsia" w:hAnsi="宋体"/>
                <w:color w:val="auto"/>
              </w:rPr>
              <w:t>废弃管线</w:t>
            </w:r>
          </w:p>
        </w:tc>
        <w:tc>
          <w:tcPr>
            <w:tcW w:w="734" w:type="pct"/>
            <w:vAlign w:val="center"/>
          </w:tcPr>
          <w:p w14:paraId="46108E33">
            <w:pPr>
              <w:pStyle w:val="81"/>
              <w:rPr>
                <w:rFonts w:hAnsi="宋体"/>
                <w:color w:val="auto"/>
              </w:rPr>
            </w:pPr>
            <w:r>
              <w:rPr>
                <w:rFonts w:hint="eastAsia" w:hAnsi="宋体"/>
                <w:color w:val="auto"/>
              </w:rPr>
              <w:t>废弃管线的处理</w:t>
            </w:r>
          </w:p>
        </w:tc>
        <w:tc>
          <w:tcPr>
            <w:tcW w:w="1510" w:type="pct"/>
            <w:vAlign w:val="center"/>
          </w:tcPr>
          <w:p w14:paraId="74DBD88D">
            <w:pPr>
              <w:pStyle w:val="81"/>
              <w:rPr>
                <w:rFonts w:hAnsi="宋体"/>
                <w:color w:val="auto"/>
              </w:rPr>
            </w:pPr>
            <w:r>
              <w:rPr>
                <w:rFonts w:hint="eastAsia" w:hAnsi="宋体"/>
                <w:color w:val="auto"/>
              </w:rPr>
              <w:t>废弃管线不挖出，清管后两端封堵，留存于地下</w:t>
            </w:r>
          </w:p>
        </w:tc>
        <w:tc>
          <w:tcPr>
            <w:tcW w:w="1216" w:type="pct"/>
            <w:vAlign w:val="center"/>
          </w:tcPr>
          <w:p w14:paraId="44626DB5">
            <w:pPr>
              <w:pStyle w:val="81"/>
              <w:rPr>
                <w:rFonts w:hAnsi="宋体"/>
                <w:color w:val="auto"/>
              </w:rPr>
            </w:pPr>
            <w:r>
              <w:rPr>
                <w:rFonts w:hint="eastAsia" w:hAnsi="宋体"/>
                <w:color w:val="auto"/>
              </w:rPr>
              <w:t>未产生，清管后两端封堵，留存于地下</w:t>
            </w:r>
          </w:p>
        </w:tc>
        <w:tc>
          <w:tcPr>
            <w:tcW w:w="797" w:type="pct"/>
            <w:vAlign w:val="center"/>
          </w:tcPr>
          <w:p w14:paraId="5D321C7E">
            <w:pPr>
              <w:pStyle w:val="81"/>
              <w:rPr>
                <w:rFonts w:hAnsi="宋体"/>
                <w:color w:val="auto"/>
              </w:rPr>
            </w:pPr>
            <w:r>
              <w:rPr>
                <w:rFonts w:hint="eastAsia" w:hAnsi="宋体"/>
                <w:color w:val="auto"/>
              </w:rPr>
              <w:t>/</w:t>
            </w:r>
          </w:p>
        </w:tc>
      </w:tr>
      <w:tr w14:paraId="69A41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restart"/>
            <w:vAlign w:val="center"/>
          </w:tcPr>
          <w:p w14:paraId="3D028F4F">
            <w:pPr>
              <w:pStyle w:val="81"/>
              <w:rPr>
                <w:rFonts w:hAnsi="宋体"/>
                <w:color w:val="auto"/>
              </w:rPr>
            </w:pPr>
            <w:bookmarkStart w:id="93" w:name="_Hlk225677514"/>
            <w:bookmarkStart w:id="94" w:name="_Hlk225677313"/>
            <w:r>
              <w:rPr>
                <w:rFonts w:hint="eastAsia" w:hAnsi="宋体"/>
                <w:color w:val="auto"/>
              </w:rPr>
              <w:t>辅助工程</w:t>
            </w:r>
          </w:p>
        </w:tc>
        <w:tc>
          <w:tcPr>
            <w:tcW w:w="369" w:type="pct"/>
            <w:vAlign w:val="center"/>
          </w:tcPr>
          <w:p w14:paraId="09DEA91B">
            <w:pPr>
              <w:pStyle w:val="81"/>
              <w:rPr>
                <w:rFonts w:hAnsi="宋体"/>
                <w:color w:val="auto"/>
              </w:rPr>
            </w:pPr>
            <w:r>
              <w:rPr>
                <w:rFonts w:hint="eastAsia" w:hAnsi="宋体"/>
                <w:color w:val="auto"/>
              </w:rPr>
              <w:t>道路工程</w:t>
            </w:r>
          </w:p>
        </w:tc>
        <w:tc>
          <w:tcPr>
            <w:tcW w:w="734" w:type="pct"/>
            <w:vAlign w:val="center"/>
          </w:tcPr>
          <w:p w14:paraId="674AC1CD">
            <w:pPr>
              <w:pStyle w:val="81"/>
              <w:rPr>
                <w:rFonts w:hAnsi="宋体"/>
                <w:color w:val="auto"/>
              </w:rPr>
            </w:pPr>
            <w:r>
              <w:rPr>
                <w:rFonts w:hint="eastAsia" w:hAnsi="宋体"/>
                <w:color w:val="auto"/>
              </w:rPr>
              <w:t>通井土路</w:t>
            </w:r>
          </w:p>
        </w:tc>
        <w:tc>
          <w:tcPr>
            <w:tcW w:w="1510" w:type="pct"/>
            <w:vAlign w:val="center"/>
          </w:tcPr>
          <w:p w14:paraId="175C1829">
            <w:pPr>
              <w:pStyle w:val="81"/>
              <w:rPr>
                <w:rFonts w:hAnsi="宋体"/>
                <w:color w:val="auto"/>
              </w:rPr>
            </w:pPr>
            <w:r>
              <w:rPr>
                <w:rFonts w:hint="eastAsia" w:hAnsi="宋体"/>
                <w:color w:val="auto"/>
              </w:rPr>
              <w:t>新建宽4m通井土路3.5km</w:t>
            </w:r>
          </w:p>
        </w:tc>
        <w:tc>
          <w:tcPr>
            <w:tcW w:w="1216" w:type="pct"/>
            <w:vAlign w:val="center"/>
          </w:tcPr>
          <w:p w14:paraId="56484F4A">
            <w:pPr>
              <w:pStyle w:val="81"/>
              <w:rPr>
                <w:rFonts w:hAnsi="宋体"/>
                <w:color w:val="auto"/>
              </w:rPr>
            </w:pPr>
            <w:r>
              <w:rPr>
                <w:rFonts w:hint="eastAsia" w:hAnsi="宋体"/>
                <w:color w:val="auto"/>
              </w:rPr>
              <w:t>新建宽4m通井土路0.6km</w:t>
            </w:r>
          </w:p>
        </w:tc>
        <w:tc>
          <w:tcPr>
            <w:tcW w:w="797" w:type="pct"/>
            <w:vAlign w:val="center"/>
          </w:tcPr>
          <w:p w14:paraId="1BBFE09D">
            <w:pPr>
              <w:pStyle w:val="81"/>
              <w:rPr>
                <w:rFonts w:hAnsi="宋体"/>
                <w:color w:val="auto"/>
              </w:rPr>
            </w:pPr>
            <w:r>
              <w:rPr>
                <w:rFonts w:hint="eastAsia" w:hAnsi="宋体"/>
                <w:color w:val="auto"/>
              </w:rPr>
              <w:t>通井路工程量减少</w:t>
            </w:r>
          </w:p>
        </w:tc>
      </w:tr>
      <w:bookmarkEnd w:id="93"/>
      <w:tr w14:paraId="2CE6A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521D0D4C">
            <w:pPr>
              <w:widowControl/>
              <w:adjustRightInd w:val="0"/>
              <w:snapToGrid w:val="0"/>
              <w:jc w:val="center"/>
              <w:rPr>
                <w:rFonts w:ascii="宋体" w:hAnsi="宋体"/>
                <w:color w:val="auto"/>
              </w:rPr>
            </w:pPr>
            <w:bookmarkStart w:id="95" w:name="_Hlk225677525"/>
          </w:p>
        </w:tc>
        <w:tc>
          <w:tcPr>
            <w:tcW w:w="369" w:type="pct"/>
            <w:vMerge w:val="restart"/>
            <w:vAlign w:val="center"/>
          </w:tcPr>
          <w:p w14:paraId="30D9A195">
            <w:pPr>
              <w:pStyle w:val="81"/>
              <w:rPr>
                <w:rFonts w:hAnsi="宋体"/>
                <w:color w:val="auto"/>
              </w:rPr>
            </w:pPr>
            <w:r>
              <w:rPr>
                <w:rFonts w:hint="eastAsia" w:hAnsi="宋体"/>
                <w:color w:val="auto"/>
              </w:rPr>
              <w:t>穿跨越</w:t>
            </w:r>
          </w:p>
        </w:tc>
        <w:tc>
          <w:tcPr>
            <w:tcW w:w="734" w:type="pct"/>
            <w:vAlign w:val="center"/>
          </w:tcPr>
          <w:p w14:paraId="61FB5AE7">
            <w:pPr>
              <w:pStyle w:val="81"/>
              <w:rPr>
                <w:rFonts w:hAnsi="宋体"/>
                <w:color w:val="auto"/>
              </w:rPr>
            </w:pPr>
            <w:r>
              <w:rPr>
                <w:rFonts w:hint="eastAsia" w:hAnsi="宋体"/>
                <w:color w:val="auto"/>
              </w:rPr>
              <w:t>道路</w:t>
            </w:r>
          </w:p>
        </w:tc>
        <w:tc>
          <w:tcPr>
            <w:tcW w:w="1510" w:type="pct"/>
            <w:vAlign w:val="center"/>
          </w:tcPr>
          <w:p w14:paraId="30398E3A">
            <w:pPr>
              <w:pStyle w:val="81"/>
              <w:rPr>
                <w:rFonts w:hAnsi="宋体"/>
                <w:color w:val="auto"/>
              </w:rPr>
            </w:pPr>
            <w:r>
              <w:rPr>
                <w:rFonts w:hint="eastAsia" w:hAnsi="宋体"/>
                <w:color w:val="auto"/>
              </w:rPr>
              <w:t>定向钻穿高速400m/2次，定向钻穿省道300m/3次，顶管穿越乡村路400m/17次，大开挖穿越土路600m/46次，均设保护套管</w:t>
            </w:r>
          </w:p>
        </w:tc>
        <w:tc>
          <w:tcPr>
            <w:tcW w:w="1216" w:type="pct"/>
            <w:vAlign w:val="center"/>
          </w:tcPr>
          <w:p w14:paraId="257B13AD">
            <w:pPr>
              <w:pStyle w:val="81"/>
              <w:rPr>
                <w:rFonts w:hAnsi="宋体"/>
                <w:color w:val="auto"/>
              </w:rPr>
            </w:pPr>
            <w:r>
              <w:rPr>
                <w:rFonts w:hint="eastAsia" w:hAnsi="宋体"/>
                <w:color w:val="auto"/>
              </w:rPr>
              <w:t>定向钻穿高速575m/2次，定向钻穿省道554m/1次；顶管穿越乡村路100m/3次；大开挖穿越土路200m/12次，均设保护套管</w:t>
            </w:r>
          </w:p>
        </w:tc>
        <w:tc>
          <w:tcPr>
            <w:tcW w:w="797" w:type="pct"/>
            <w:vAlign w:val="center"/>
          </w:tcPr>
          <w:p w14:paraId="56120298">
            <w:pPr>
              <w:pStyle w:val="81"/>
              <w:rPr>
                <w:rFonts w:hAnsi="宋体"/>
                <w:color w:val="auto"/>
              </w:rPr>
            </w:pPr>
            <w:r>
              <w:rPr>
                <w:rFonts w:hint="eastAsia" w:hAnsi="宋体"/>
                <w:color w:val="auto"/>
              </w:rPr>
              <w:t>定向钻穿越道路次数少于环评，因分期建设及实际施工情况进行了调整</w:t>
            </w:r>
          </w:p>
        </w:tc>
      </w:tr>
      <w:tr w14:paraId="6F6C9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4055205D">
            <w:pPr>
              <w:widowControl/>
              <w:adjustRightInd w:val="0"/>
              <w:snapToGrid w:val="0"/>
              <w:jc w:val="center"/>
              <w:rPr>
                <w:rFonts w:ascii="宋体" w:hAnsi="宋体"/>
                <w:color w:val="auto"/>
              </w:rPr>
            </w:pPr>
          </w:p>
        </w:tc>
        <w:tc>
          <w:tcPr>
            <w:tcW w:w="369" w:type="pct"/>
            <w:vMerge w:val="continue"/>
            <w:vAlign w:val="center"/>
          </w:tcPr>
          <w:p w14:paraId="7DE9676D">
            <w:pPr>
              <w:widowControl/>
              <w:adjustRightInd w:val="0"/>
              <w:snapToGrid w:val="0"/>
              <w:jc w:val="center"/>
              <w:rPr>
                <w:rFonts w:ascii="宋体" w:hAnsi="宋体"/>
                <w:color w:val="auto"/>
              </w:rPr>
            </w:pPr>
          </w:p>
        </w:tc>
        <w:tc>
          <w:tcPr>
            <w:tcW w:w="734" w:type="pct"/>
            <w:vAlign w:val="center"/>
          </w:tcPr>
          <w:p w14:paraId="0057E722">
            <w:pPr>
              <w:pStyle w:val="81"/>
              <w:rPr>
                <w:rFonts w:hAnsi="宋体"/>
                <w:color w:val="auto"/>
              </w:rPr>
            </w:pPr>
            <w:r>
              <w:rPr>
                <w:rFonts w:hint="eastAsia" w:hAnsi="宋体"/>
                <w:color w:val="auto"/>
              </w:rPr>
              <w:t>水域</w:t>
            </w:r>
          </w:p>
        </w:tc>
        <w:tc>
          <w:tcPr>
            <w:tcW w:w="1510" w:type="pct"/>
            <w:vAlign w:val="center"/>
          </w:tcPr>
          <w:p w14:paraId="039BFDA6">
            <w:pPr>
              <w:pStyle w:val="81"/>
              <w:rPr>
                <w:rFonts w:hAnsi="宋体"/>
                <w:color w:val="auto"/>
              </w:rPr>
            </w:pPr>
            <w:r>
              <w:rPr>
                <w:rFonts w:hint="eastAsia" w:hAnsi="宋体"/>
                <w:color w:val="auto"/>
              </w:rPr>
              <w:t>定向钻穿越引黄干渠500m/1次；定向钻穿越三号支沟、北支新河、杜窑沟各1次，1500m/3次；</w:t>
            </w:r>
            <w:bookmarkStart w:id="96" w:name="OLE_LINK61"/>
            <w:r>
              <w:rPr>
                <w:rFonts w:hint="eastAsia" w:hAnsi="宋体"/>
                <w:color w:val="auto"/>
              </w:rPr>
              <w:t>定向钻穿越沟渠3次，100m/1次</w:t>
            </w:r>
            <w:bookmarkEnd w:id="96"/>
            <w:r>
              <w:rPr>
                <w:rFonts w:hint="eastAsia" w:hAnsi="宋体"/>
                <w:color w:val="auto"/>
              </w:rPr>
              <w:t>；跨越沟渠4次；穿越均设保护套管</w:t>
            </w:r>
          </w:p>
        </w:tc>
        <w:tc>
          <w:tcPr>
            <w:tcW w:w="1216" w:type="pct"/>
            <w:vAlign w:val="center"/>
          </w:tcPr>
          <w:p w14:paraId="4247193B">
            <w:pPr>
              <w:pStyle w:val="81"/>
              <w:rPr>
                <w:rFonts w:hAnsi="宋体"/>
                <w:b/>
                <w:bCs/>
                <w:color w:val="auto"/>
              </w:rPr>
            </w:pPr>
            <w:r>
              <w:rPr>
                <w:rFonts w:hint="eastAsia" w:hAnsi="宋体"/>
                <w:color w:val="auto"/>
              </w:rPr>
              <w:t>定向钻穿越二斗沟325m/1次； 定向钻穿越过青干渠518m/1次</w:t>
            </w:r>
          </w:p>
        </w:tc>
        <w:tc>
          <w:tcPr>
            <w:tcW w:w="797" w:type="pct"/>
            <w:vAlign w:val="center"/>
          </w:tcPr>
          <w:p w14:paraId="46E0392A">
            <w:pPr>
              <w:pStyle w:val="81"/>
              <w:rPr>
                <w:rFonts w:hAnsi="宋体"/>
                <w:color w:val="auto"/>
              </w:rPr>
            </w:pPr>
            <w:r>
              <w:rPr>
                <w:rFonts w:hint="eastAsia" w:hAnsi="宋体"/>
                <w:color w:val="auto"/>
              </w:rPr>
              <w:t>定向钻穿越水域次数少于环评；因分期建设及实际施工情况进行了调整</w:t>
            </w:r>
          </w:p>
        </w:tc>
      </w:tr>
      <w:bookmarkEnd w:id="95"/>
      <w:tr w14:paraId="04D42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140952D4">
            <w:pPr>
              <w:widowControl/>
              <w:adjustRightInd w:val="0"/>
              <w:snapToGrid w:val="0"/>
              <w:jc w:val="center"/>
              <w:rPr>
                <w:rFonts w:ascii="宋体" w:hAnsi="宋体"/>
                <w:color w:val="auto"/>
              </w:rPr>
            </w:pPr>
            <w:bookmarkStart w:id="97" w:name="_Hlk225677656"/>
          </w:p>
        </w:tc>
        <w:tc>
          <w:tcPr>
            <w:tcW w:w="369" w:type="pct"/>
            <w:vMerge w:val="restart"/>
            <w:vAlign w:val="center"/>
          </w:tcPr>
          <w:p w14:paraId="215121EC">
            <w:pPr>
              <w:pStyle w:val="81"/>
              <w:rPr>
                <w:rFonts w:hAnsi="宋体"/>
                <w:color w:val="auto"/>
              </w:rPr>
            </w:pPr>
            <w:r>
              <w:rPr>
                <w:rFonts w:hint="eastAsia" w:hAnsi="宋体"/>
                <w:color w:val="auto"/>
              </w:rPr>
              <w:t>供电工程</w:t>
            </w:r>
          </w:p>
        </w:tc>
        <w:tc>
          <w:tcPr>
            <w:tcW w:w="734" w:type="pct"/>
            <w:vAlign w:val="center"/>
          </w:tcPr>
          <w:p w14:paraId="3A46C566">
            <w:pPr>
              <w:pStyle w:val="81"/>
              <w:rPr>
                <w:rFonts w:hAnsi="宋体"/>
                <w:color w:val="auto"/>
              </w:rPr>
            </w:pPr>
            <w:r>
              <w:rPr>
                <w:rFonts w:hint="eastAsia" w:hAnsi="宋体"/>
                <w:color w:val="auto"/>
              </w:rPr>
              <w:t>井口变压器</w:t>
            </w:r>
          </w:p>
        </w:tc>
        <w:tc>
          <w:tcPr>
            <w:tcW w:w="1510" w:type="pct"/>
            <w:vAlign w:val="center"/>
          </w:tcPr>
          <w:p w14:paraId="339915EB">
            <w:pPr>
              <w:pStyle w:val="81"/>
              <w:rPr>
                <w:rFonts w:hAnsi="宋体"/>
                <w:color w:val="auto"/>
              </w:rPr>
            </w:pPr>
            <w:r>
              <w:rPr>
                <w:rFonts w:hint="eastAsia" w:hAnsi="宋体"/>
                <w:color w:val="auto"/>
              </w:rPr>
              <w:t>50kVA  46台、100kVA 10台、160kVA 5台</w:t>
            </w:r>
          </w:p>
        </w:tc>
        <w:tc>
          <w:tcPr>
            <w:tcW w:w="1216" w:type="pct"/>
            <w:vAlign w:val="center"/>
          </w:tcPr>
          <w:p w14:paraId="1A9C2095">
            <w:pPr>
              <w:pStyle w:val="81"/>
              <w:rPr>
                <w:rFonts w:hAnsi="宋体"/>
                <w:color w:val="auto"/>
              </w:rPr>
            </w:pPr>
            <w:r>
              <w:rPr>
                <w:rFonts w:hint="eastAsia" w:hAnsi="宋体"/>
                <w:color w:val="auto"/>
              </w:rPr>
              <w:t>50kVA  16台</w:t>
            </w:r>
          </w:p>
        </w:tc>
        <w:tc>
          <w:tcPr>
            <w:tcW w:w="797" w:type="pct"/>
            <w:vAlign w:val="center"/>
          </w:tcPr>
          <w:p w14:paraId="3CBD5C1A">
            <w:pPr>
              <w:pStyle w:val="81"/>
              <w:rPr>
                <w:rFonts w:hAnsi="宋体"/>
                <w:color w:val="auto"/>
              </w:rPr>
            </w:pPr>
            <w:r>
              <w:rPr>
                <w:rFonts w:hint="eastAsia" w:hAnsi="宋体"/>
                <w:color w:val="auto"/>
              </w:rPr>
              <w:t>数量减少，分期建设，减少部分纳入后续验收</w:t>
            </w:r>
          </w:p>
        </w:tc>
      </w:tr>
      <w:tr w14:paraId="5827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4E39CC12">
            <w:pPr>
              <w:widowControl/>
              <w:adjustRightInd w:val="0"/>
              <w:snapToGrid w:val="0"/>
              <w:jc w:val="center"/>
              <w:rPr>
                <w:rFonts w:ascii="宋体" w:hAnsi="宋体"/>
                <w:color w:val="auto"/>
              </w:rPr>
            </w:pPr>
          </w:p>
        </w:tc>
        <w:tc>
          <w:tcPr>
            <w:tcW w:w="369" w:type="pct"/>
            <w:vMerge w:val="continue"/>
            <w:vAlign w:val="center"/>
          </w:tcPr>
          <w:p w14:paraId="55125929">
            <w:pPr>
              <w:widowControl/>
              <w:adjustRightInd w:val="0"/>
              <w:snapToGrid w:val="0"/>
              <w:jc w:val="center"/>
              <w:rPr>
                <w:rFonts w:ascii="宋体" w:hAnsi="宋体"/>
                <w:color w:val="auto"/>
              </w:rPr>
            </w:pPr>
          </w:p>
        </w:tc>
        <w:tc>
          <w:tcPr>
            <w:tcW w:w="734" w:type="pct"/>
            <w:vAlign w:val="center"/>
          </w:tcPr>
          <w:p w14:paraId="1FF4D9F1">
            <w:pPr>
              <w:pStyle w:val="81"/>
              <w:rPr>
                <w:rFonts w:hAnsi="宋体"/>
                <w:color w:val="auto"/>
              </w:rPr>
            </w:pPr>
            <w:r>
              <w:rPr>
                <w:rFonts w:hint="eastAsia" w:hAnsi="宋体"/>
                <w:color w:val="auto"/>
              </w:rPr>
              <w:t>供电线路</w:t>
            </w:r>
          </w:p>
        </w:tc>
        <w:tc>
          <w:tcPr>
            <w:tcW w:w="1510" w:type="pct"/>
            <w:vAlign w:val="center"/>
          </w:tcPr>
          <w:p w14:paraId="2B405E91">
            <w:pPr>
              <w:pStyle w:val="81"/>
              <w:rPr>
                <w:rFonts w:hAnsi="宋体"/>
                <w:color w:val="auto"/>
              </w:rPr>
            </w:pPr>
            <w:r>
              <w:rPr>
                <w:rFonts w:hint="eastAsia" w:hAnsi="宋体"/>
                <w:color w:val="auto"/>
              </w:rPr>
              <w:t>6kV架空线路LGJ-70 5.5km</w:t>
            </w:r>
          </w:p>
        </w:tc>
        <w:tc>
          <w:tcPr>
            <w:tcW w:w="1216" w:type="pct"/>
            <w:vAlign w:val="center"/>
          </w:tcPr>
          <w:p w14:paraId="165C5465">
            <w:pPr>
              <w:pStyle w:val="81"/>
              <w:rPr>
                <w:rFonts w:hAnsi="宋体"/>
                <w:color w:val="auto"/>
              </w:rPr>
            </w:pPr>
            <w:r>
              <w:rPr>
                <w:rFonts w:hint="eastAsia" w:hAnsi="宋体"/>
                <w:color w:val="auto"/>
              </w:rPr>
              <w:t>6kV架空线路 1.2km</w:t>
            </w:r>
          </w:p>
        </w:tc>
        <w:tc>
          <w:tcPr>
            <w:tcW w:w="797" w:type="pct"/>
            <w:vAlign w:val="center"/>
          </w:tcPr>
          <w:p w14:paraId="7B733FD6">
            <w:pPr>
              <w:pStyle w:val="81"/>
              <w:rPr>
                <w:rFonts w:hAnsi="宋体"/>
                <w:color w:val="auto"/>
              </w:rPr>
            </w:pPr>
            <w:r>
              <w:rPr>
                <w:rFonts w:hint="eastAsia" w:hAnsi="宋体"/>
                <w:color w:val="auto"/>
              </w:rPr>
              <w:t>减少</w:t>
            </w:r>
          </w:p>
        </w:tc>
      </w:tr>
      <w:bookmarkEnd w:id="94"/>
      <w:bookmarkEnd w:id="97"/>
      <w:tr w14:paraId="1CFC6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3530673C">
            <w:pPr>
              <w:widowControl/>
              <w:adjustRightInd w:val="0"/>
              <w:snapToGrid w:val="0"/>
              <w:jc w:val="center"/>
              <w:rPr>
                <w:rFonts w:ascii="宋体" w:hAnsi="宋体"/>
                <w:color w:val="auto"/>
              </w:rPr>
            </w:pPr>
            <w:bookmarkStart w:id="98" w:name="_Hlk225677718"/>
          </w:p>
        </w:tc>
        <w:tc>
          <w:tcPr>
            <w:tcW w:w="369" w:type="pct"/>
            <w:vMerge w:val="restart"/>
            <w:vAlign w:val="center"/>
          </w:tcPr>
          <w:p w14:paraId="1C50D8D0">
            <w:pPr>
              <w:pStyle w:val="81"/>
              <w:rPr>
                <w:rFonts w:hAnsi="宋体"/>
                <w:color w:val="auto"/>
              </w:rPr>
            </w:pPr>
            <w:r>
              <w:rPr>
                <w:rFonts w:hint="eastAsia" w:hAnsi="宋体"/>
                <w:color w:val="auto"/>
              </w:rPr>
              <w:t>自控</w:t>
            </w:r>
          </w:p>
        </w:tc>
        <w:tc>
          <w:tcPr>
            <w:tcW w:w="734" w:type="pct"/>
            <w:vAlign w:val="center"/>
          </w:tcPr>
          <w:p w14:paraId="7B52D4E7">
            <w:pPr>
              <w:pStyle w:val="81"/>
              <w:rPr>
                <w:rFonts w:hAnsi="宋体"/>
                <w:color w:val="auto"/>
              </w:rPr>
            </w:pPr>
            <w:r>
              <w:rPr>
                <w:rFonts w:hint="eastAsia" w:hAnsi="宋体"/>
                <w:color w:val="auto"/>
              </w:rPr>
              <w:t>监控系统</w:t>
            </w:r>
          </w:p>
        </w:tc>
        <w:tc>
          <w:tcPr>
            <w:tcW w:w="1510" w:type="pct"/>
            <w:vAlign w:val="center"/>
          </w:tcPr>
          <w:p w14:paraId="77862079">
            <w:pPr>
              <w:pStyle w:val="81"/>
              <w:rPr>
                <w:rFonts w:hAnsi="宋体"/>
                <w:color w:val="auto"/>
              </w:rPr>
            </w:pPr>
            <w:r>
              <w:rPr>
                <w:rFonts w:hint="eastAsia" w:hAnsi="宋体"/>
                <w:color w:val="auto"/>
              </w:rPr>
              <w:t>46套</w:t>
            </w:r>
          </w:p>
        </w:tc>
        <w:tc>
          <w:tcPr>
            <w:tcW w:w="1216" w:type="pct"/>
            <w:vAlign w:val="center"/>
          </w:tcPr>
          <w:p w14:paraId="6F659DE2">
            <w:pPr>
              <w:pStyle w:val="81"/>
              <w:rPr>
                <w:rFonts w:hAnsi="宋体"/>
                <w:color w:val="auto"/>
              </w:rPr>
            </w:pPr>
            <w:r>
              <w:rPr>
                <w:rFonts w:hint="eastAsia" w:hAnsi="宋体"/>
                <w:color w:val="auto"/>
              </w:rPr>
              <w:t>11套</w:t>
            </w:r>
          </w:p>
        </w:tc>
        <w:tc>
          <w:tcPr>
            <w:tcW w:w="797" w:type="pct"/>
            <w:vAlign w:val="center"/>
          </w:tcPr>
          <w:p w14:paraId="4EA75F75">
            <w:pPr>
              <w:pStyle w:val="81"/>
              <w:rPr>
                <w:rFonts w:hAnsi="宋体"/>
                <w:color w:val="auto"/>
              </w:rPr>
            </w:pPr>
            <w:r>
              <w:rPr>
                <w:rFonts w:hint="eastAsia" w:hAnsi="宋体" w:cs="宋体"/>
                <w:color w:val="auto"/>
              </w:rPr>
              <w:t>减少9</w:t>
            </w:r>
            <w:r>
              <w:rPr>
                <w:rFonts w:hAnsi="宋体" w:cs="宋体"/>
                <w:color w:val="auto"/>
              </w:rPr>
              <w:t>2</w:t>
            </w:r>
            <w:r>
              <w:rPr>
                <w:rFonts w:hint="eastAsia" w:hAnsi="宋体" w:cs="宋体"/>
                <w:color w:val="auto"/>
              </w:rPr>
              <w:t>套</w:t>
            </w:r>
          </w:p>
        </w:tc>
      </w:tr>
      <w:tr w14:paraId="2081C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31EF93CF">
            <w:pPr>
              <w:widowControl/>
              <w:adjustRightInd w:val="0"/>
              <w:snapToGrid w:val="0"/>
              <w:jc w:val="center"/>
              <w:rPr>
                <w:rFonts w:ascii="宋体" w:hAnsi="宋体"/>
                <w:color w:val="auto"/>
              </w:rPr>
            </w:pPr>
          </w:p>
        </w:tc>
        <w:tc>
          <w:tcPr>
            <w:tcW w:w="369" w:type="pct"/>
            <w:vMerge w:val="continue"/>
            <w:vAlign w:val="center"/>
          </w:tcPr>
          <w:p w14:paraId="221F6639">
            <w:pPr>
              <w:widowControl/>
              <w:adjustRightInd w:val="0"/>
              <w:snapToGrid w:val="0"/>
              <w:jc w:val="center"/>
              <w:rPr>
                <w:rFonts w:ascii="宋体" w:hAnsi="宋体"/>
                <w:color w:val="auto"/>
              </w:rPr>
            </w:pPr>
          </w:p>
        </w:tc>
        <w:tc>
          <w:tcPr>
            <w:tcW w:w="734" w:type="pct"/>
            <w:vAlign w:val="center"/>
          </w:tcPr>
          <w:p w14:paraId="450BCC98">
            <w:pPr>
              <w:pStyle w:val="81"/>
              <w:rPr>
                <w:rFonts w:hAnsi="宋体"/>
                <w:color w:val="auto"/>
              </w:rPr>
            </w:pPr>
            <w:r>
              <w:rPr>
                <w:rFonts w:hint="eastAsia" w:hAnsi="宋体"/>
                <w:color w:val="auto"/>
              </w:rPr>
              <w:t>RTU系统</w:t>
            </w:r>
          </w:p>
        </w:tc>
        <w:tc>
          <w:tcPr>
            <w:tcW w:w="1510" w:type="pct"/>
            <w:vAlign w:val="center"/>
          </w:tcPr>
          <w:p w14:paraId="6BA34E3E">
            <w:pPr>
              <w:pStyle w:val="81"/>
              <w:rPr>
                <w:rFonts w:hAnsi="宋体"/>
                <w:color w:val="auto"/>
              </w:rPr>
            </w:pPr>
            <w:r>
              <w:rPr>
                <w:rFonts w:hint="eastAsia" w:hAnsi="宋体"/>
                <w:color w:val="auto"/>
              </w:rPr>
              <w:t>108套</w:t>
            </w:r>
          </w:p>
        </w:tc>
        <w:tc>
          <w:tcPr>
            <w:tcW w:w="1216" w:type="pct"/>
            <w:vAlign w:val="center"/>
          </w:tcPr>
          <w:p w14:paraId="60C98593">
            <w:pPr>
              <w:pStyle w:val="81"/>
              <w:rPr>
                <w:rFonts w:hAnsi="宋体"/>
                <w:color w:val="auto"/>
              </w:rPr>
            </w:pPr>
            <w:r>
              <w:rPr>
                <w:rFonts w:hint="eastAsia" w:hAnsi="宋体"/>
                <w:color w:val="auto"/>
              </w:rPr>
              <w:t>16套</w:t>
            </w:r>
          </w:p>
        </w:tc>
        <w:tc>
          <w:tcPr>
            <w:tcW w:w="797" w:type="pct"/>
            <w:vAlign w:val="center"/>
          </w:tcPr>
          <w:p w14:paraId="337EAC62">
            <w:pPr>
              <w:pStyle w:val="81"/>
              <w:rPr>
                <w:rFonts w:hAnsi="宋体"/>
                <w:color w:val="auto"/>
              </w:rPr>
            </w:pPr>
            <w:r>
              <w:rPr>
                <w:rFonts w:hint="eastAsia" w:hAnsi="宋体" w:cs="宋体"/>
                <w:color w:val="auto"/>
              </w:rPr>
              <w:t>减少9口</w:t>
            </w:r>
          </w:p>
        </w:tc>
      </w:tr>
      <w:bookmarkEnd w:id="98"/>
      <w:tr w14:paraId="5FFE1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restart"/>
            <w:vAlign w:val="center"/>
          </w:tcPr>
          <w:p w14:paraId="05061C78">
            <w:pPr>
              <w:pStyle w:val="81"/>
              <w:rPr>
                <w:rFonts w:hAnsi="宋体"/>
                <w:color w:val="auto"/>
              </w:rPr>
            </w:pPr>
            <w:r>
              <w:rPr>
                <w:rFonts w:hint="eastAsia" w:hAnsi="宋体"/>
                <w:color w:val="auto"/>
              </w:rPr>
              <w:t>公用工程</w:t>
            </w:r>
          </w:p>
        </w:tc>
        <w:tc>
          <w:tcPr>
            <w:tcW w:w="369" w:type="pct"/>
            <w:vAlign w:val="center"/>
          </w:tcPr>
          <w:p w14:paraId="7BA92135">
            <w:pPr>
              <w:pStyle w:val="81"/>
              <w:rPr>
                <w:rFonts w:hAnsi="宋体"/>
                <w:color w:val="auto"/>
              </w:rPr>
            </w:pPr>
            <w:r>
              <w:rPr>
                <w:rFonts w:hint="eastAsia" w:hAnsi="宋体"/>
                <w:color w:val="auto"/>
              </w:rPr>
              <w:t>消防</w:t>
            </w:r>
          </w:p>
        </w:tc>
        <w:tc>
          <w:tcPr>
            <w:tcW w:w="734" w:type="pct"/>
            <w:vAlign w:val="center"/>
          </w:tcPr>
          <w:p w14:paraId="28C85C3A">
            <w:pPr>
              <w:pStyle w:val="81"/>
              <w:rPr>
                <w:rFonts w:hAnsi="宋体"/>
                <w:color w:val="auto"/>
              </w:rPr>
            </w:pPr>
            <w:r>
              <w:rPr>
                <w:rFonts w:hint="eastAsia" w:hAnsi="宋体"/>
                <w:color w:val="auto"/>
              </w:rPr>
              <w:t>灭火器</w:t>
            </w:r>
          </w:p>
        </w:tc>
        <w:tc>
          <w:tcPr>
            <w:tcW w:w="1510" w:type="pct"/>
            <w:vAlign w:val="center"/>
          </w:tcPr>
          <w:p w14:paraId="3AF3CA02">
            <w:pPr>
              <w:pStyle w:val="81"/>
              <w:rPr>
                <w:rFonts w:hAnsi="宋体"/>
                <w:color w:val="auto"/>
              </w:rPr>
            </w:pPr>
            <w:r>
              <w:rPr>
                <w:rFonts w:hint="eastAsia" w:hAnsi="宋体"/>
                <w:color w:val="auto"/>
              </w:rPr>
              <w:t>油井变压器区等防火区配置手提式磷酸铵盐灭火器和推车式磷酸铵盐干粉灭火器</w:t>
            </w:r>
          </w:p>
        </w:tc>
        <w:tc>
          <w:tcPr>
            <w:tcW w:w="1216" w:type="pct"/>
            <w:vAlign w:val="center"/>
          </w:tcPr>
          <w:p w14:paraId="737BC350">
            <w:pPr>
              <w:pStyle w:val="81"/>
              <w:rPr>
                <w:rFonts w:hAnsi="宋体"/>
                <w:color w:val="auto"/>
              </w:rPr>
            </w:pPr>
            <w:r>
              <w:rPr>
                <w:rFonts w:hint="eastAsia" w:hAnsi="宋体"/>
                <w:color w:val="auto"/>
              </w:rPr>
              <w:t>油井变压器区等防火区配置手提式磷酸铵盐灭火器和推车式磷酸铵盐干粉灭火器</w:t>
            </w:r>
          </w:p>
        </w:tc>
        <w:tc>
          <w:tcPr>
            <w:tcW w:w="797" w:type="pct"/>
            <w:vAlign w:val="center"/>
          </w:tcPr>
          <w:p w14:paraId="1201963E">
            <w:pPr>
              <w:pStyle w:val="81"/>
              <w:rPr>
                <w:rFonts w:hAnsi="宋体"/>
                <w:color w:val="auto"/>
              </w:rPr>
            </w:pPr>
            <w:r>
              <w:rPr>
                <w:rFonts w:hint="eastAsia" w:hAnsi="宋体"/>
                <w:color w:val="auto"/>
              </w:rPr>
              <w:t>/</w:t>
            </w:r>
          </w:p>
        </w:tc>
      </w:tr>
      <w:tr w14:paraId="4DC03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48372749">
            <w:pPr>
              <w:widowControl/>
              <w:adjustRightInd w:val="0"/>
              <w:snapToGrid w:val="0"/>
              <w:jc w:val="center"/>
              <w:rPr>
                <w:rFonts w:ascii="宋体" w:hAnsi="宋体"/>
                <w:color w:val="auto"/>
              </w:rPr>
            </w:pPr>
          </w:p>
        </w:tc>
        <w:tc>
          <w:tcPr>
            <w:tcW w:w="369" w:type="pct"/>
            <w:vAlign w:val="center"/>
          </w:tcPr>
          <w:p w14:paraId="00751A70">
            <w:pPr>
              <w:pStyle w:val="81"/>
              <w:rPr>
                <w:rFonts w:hAnsi="宋体"/>
                <w:color w:val="auto"/>
              </w:rPr>
            </w:pPr>
            <w:r>
              <w:rPr>
                <w:rFonts w:hint="eastAsia" w:hAnsi="宋体"/>
                <w:color w:val="auto"/>
              </w:rPr>
              <w:t>给水</w:t>
            </w:r>
          </w:p>
        </w:tc>
        <w:tc>
          <w:tcPr>
            <w:tcW w:w="734" w:type="pct"/>
            <w:vAlign w:val="center"/>
          </w:tcPr>
          <w:p w14:paraId="78318EE8">
            <w:pPr>
              <w:pStyle w:val="81"/>
              <w:rPr>
                <w:rFonts w:hAnsi="宋体"/>
                <w:color w:val="auto"/>
              </w:rPr>
            </w:pPr>
            <w:r>
              <w:rPr>
                <w:rFonts w:hint="eastAsia" w:hAnsi="宋体"/>
                <w:color w:val="auto"/>
              </w:rPr>
              <w:t>水源井</w:t>
            </w:r>
          </w:p>
        </w:tc>
        <w:tc>
          <w:tcPr>
            <w:tcW w:w="1510" w:type="pct"/>
            <w:vAlign w:val="center"/>
          </w:tcPr>
          <w:p w14:paraId="2C98440E">
            <w:pPr>
              <w:pStyle w:val="81"/>
              <w:rPr>
                <w:rFonts w:hAnsi="宋体"/>
                <w:color w:val="auto"/>
              </w:rPr>
            </w:pPr>
            <w:r>
              <w:rPr>
                <w:rFonts w:hint="eastAsia" w:hAnsi="宋体"/>
                <w:color w:val="auto"/>
              </w:rPr>
              <w:t>9口</w:t>
            </w:r>
          </w:p>
        </w:tc>
        <w:tc>
          <w:tcPr>
            <w:tcW w:w="1216" w:type="pct"/>
            <w:vAlign w:val="center"/>
          </w:tcPr>
          <w:p w14:paraId="0E0E4736">
            <w:pPr>
              <w:pStyle w:val="81"/>
              <w:rPr>
                <w:rFonts w:hAnsi="宋体"/>
                <w:color w:val="auto"/>
              </w:rPr>
            </w:pPr>
            <w:r>
              <w:rPr>
                <w:rFonts w:hint="eastAsia" w:hAnsi="宋体"/>
                <w:color w:val="auto"/>
              </w:rPr>
              <w:t>0口</w:t>
            </w:r>
          </w:p>
        </w:tc>
        <w:tc>
          <w:tcPr>
            <w:tcW w:w="797" w:type="pct"/>
            <w:vAlign w:val="center"/>
          </w:tcPr>
          <w:p w14:paraId="0E3882C3">
            <w:pPr>
              <w:pStyle w:val="81"/>
              <w:rPr>
                <w:rFonts w:hAnsi="宋体"/>
                <w:color w:val="auto"/>
              </w:rPr>
            </w:pPr>
            <w:r>
              <w:rPr>
                <w:rFonts w:hint="eastAsia" w:hAnsi="宋体"/>
                <w:color w:val="auto"/>
              </w:rPr>
              <w:t>减少9口</w:t>
            </w:r>
          </w:p>
        </w:tc>
      </w:tr>
      <w:tr w14:paraId="4B01C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78167375">
            <w:pPr>
              <w:widowControl/>
              <w:adjustRightInd w:val="0"/>
              <w:snapToGrid w:val="0"/>
              <w:jc w:val="center"/>
              <w:rPr>
                <w:rFonts w:ascii="宋体" w:hAnsi="宋体"/>
                <w:color w:val="auto"/>
              </w:rPr>
            </w:pPr>
          </w:p>
        </w:tc>
        <w:tc>
          <w:tcPr>
            <w:tcW w:w="369" w:type="pct"/>
            <w:vAlign w:val="center"/>
          </w:tcPr>
          <w:p w14:paraId="7920FE72">
            <w:pPr>
              <w:pStyle w:val="81"/>
              <w:rPr>
                <w:rFonts w:hAnsi="宋体"/>
                <w:color w:val="auto"/>
              </w:rPr>
            </w:pPr>
            <w:r>
              <w:rPr>
                <w:rFonts w:hint="eastAsia" w:hAnsi="宋体"/>
                <w:color w:val="auto"/>
              </w:rPr>
              <w:t>排水</w:t>
            </w:r>
          </w:p>
        </w:tc>
        <w:tc>
          <w:tcPr>
            <w:tcW w:w="734" w:type="pct"/>
            <w:vAlign w:val="center"/>
          </w:tcPr>
          <w:p w14:paraId="4803385A">
            <w:pPr>
              <w:pStyle w:val="81"/>
              <w:rPr>
                <w:rFonts w:hAnsi="宋体"/>
                <w:color w:val="auto"/>
              </w:rPr>
            </w:pPr>
            <w:r>
              <w:rPr>
                <w:rFonts w:hint="eastAsia" w:hAnsi="宋体"/>
                <w:color w:val="auto"/>
              </w:rPr>
              <w:t>井场</w:t>
            </w:r>
          </w:p>
        </w:tc>
        <w:tc>
          <w:tcPr>
            <w:tcW w:w="1510" w:type="pct"/>
            <w:vAlign w:val="center"/>
          </w:tcPr>
          <w:p w14:paraId="0A55DB12">
            <w:pPr>
              <w:pStyle w:val="81"/>
              <w:rPr>
                <w:rFonts w:hAnsi="宋体"/>
                <w:color w:val="auto"/>
              </w:rPr>
            </w:pPr>
            <w:r>
              <w:rPr>
                <w:rFonts w:hint="eastAsia" w:hAnsi="宋体"/>
                <w:color w:val="auto"/>
              </w:rPr>
              <w:t>井场内雨水自然外排</w:t>
            </w:r>
          </w:p>
        </w:tc>
        <w:tc>
          <w:tcPr>
            <w:tcW w:w="1216" w:type="pct"/>
            <w:vAlign w:val="center"/>
          </w:tcPr>
          <w:p w14:paraId="26572B8B">
            <w:pPr>
              <w:pStyle w:val="81"/>
              <w:rPr>
                <w:rFonts w:hAnsi="宋体"/>
                <w:color w:val="auto"/>
              </w:rPr>
            </w:pPr>
            <w:r>
              <w:rPr>
                <w:rFonts w:hint="eastAsia" w:hAnsi="宋体"/>
                <w:color w:val="auto"/>
              </w:rPr>
              <w:t>井场内雨水自然外排</w:t>
            </w:r>
          </w:p>
        </w:tc>
        <w:tc>
          <w:tcPr>
            <w:tcW w:w="797" w:type="pct"/>
            <w:vAlign w:val="center"/>
          </w:tcPr>
          <w:p w14:paraId="2FCB4162">
            <w:pPr>
              <w:pStyle w:val="81"/>
              <w:rPr>
                <w:rFonts w:hAnsi="宋体"/>
                <w:color w:val="auto"/>
              </w:rPr>
            </w:pPr>
            <w:r>
              <w:rPr>
                <w:rFonts w:hint="eastAsia" w:hAnsi="宋体"/>
                <w:color w:val="auto"/>
              </w:rPr>
              <w:t>/</w:t>
            </w:r>
          </w:p>
        </w:tc>
      </w:tr>
      <w:tr w14:paraId="27C90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restart"/>
            <w:vAlign w:val="center"/>
          </w:tcPr>
          <w:p w14:paraId="75290DB2">
            <w:pPr>
              <w:pStyle w:val="81"/>
              <w:rPr>
                <w:rFonts w:hAnsi="宋体"/>
                <w:color w:val="auto"/>
              </w:rPr>
            </w:pPr>
            <w:r>
              <w:rPr>
                <w:rFonts w:hint="eastAsia" w:hAnsi="宋体"/>
                <w:color w:val="auto"/>
              </w:rPr>
              <w:t>环保工程</w:t>
            </w:r>
          </w:p>
        </w:tc>
        <w:tc>
          <w:tcPr>
            <w:tcW w:w="369" w:type="pct"/>
            <w:vMerge w:val="restart"/>
            <w:vAlign w:val="center"/>
          </w:tcPr>
          <w:p w14:paraId="1414A607">
            <w:pPr>
              <w:pStyle w:val="81"/>
              <w:rPr>
                <w:rFonts w:hAnsi="宋体"/>
                <w:color w:val="auto"/>
              </w:rPr>
            </w:pPr>
            <w:r>
              <w:rPr>
                <w:rFonts w:hint="eastAsia" w:hAnsi="宋体"/>
                <w:color w:val="auto"/>
              </w:rPr>
              <w:t>废水</w:t>
            </w:r>
          </w:p>
        </w:tc>
        <w:tc>
          <w:tcPr>
            <w:tcW w:w="734" w:type="pct"/>
            <w:vAlign w:val="center"/>
          </w:tcPr>
          <w:p w14:paraId="09694DE0">
            <w:pPr>
              <w:pStyle w:val="81"/>
              <w:rPr>
                <w:rFonts w:hAnsi="宋体"/>
                <w:color w:val="auto"/>
              </w:rPr>
            </w:pPr>
            <w:r>
              <w:rPr>
                <w:rFonts w:hint="eastAsia" w:hAnsi="宋体"/>
                <w:color w:val="auto"/>
              </w:rPr>
              <w:t>施工期钻井废水、施工作业废液</w:t>
            </w:r>
          </w:p>
        </w:tc>
        <w:tc>
          <w:tcPr>
            <w:tcW w:w="1510" w:type="pct"/>
            <w:vAlign w:val="center"/>
          </w:tcPr>
          <w:p w14:paraId="6FBCC9B3">
            <w:pPr>
              <w:pStyle w:val="81"/>
              <w:rPr>
                <w:rFonts w:hAnsi="宋体"/>
                <w:color w:val="auto"/>
              </w:rPr>
            </w:pPr>
            <w:r>
              <w:rPr>
                <w:rFonts w:hint="eastAsia" w:hAnsi="宋体"/>
                <w:color w:val="auto"/>
              </w:rPr>
              <w:t>钻井废水循环利用，最后随泥浆一并拉运处置；施工作业废液拉至高青联合站处理达标后回注地层，用于油田注水开发</w:t>
            </w:r>
          </w:p>
        </w:tc>
        <w:tc>
          <w:tcPr>
            <w:tcW w:w="1216" w:type="pct"/>
            <w:vAlign w:val="center"/>
          </w:tcPr>
          <w:p w14:paraId="003CE91C">
            <w:pPr>
              <w:pStyle w:val="81"/>
              <w:rPr>
                <w:rFonts w:hAnsi="宋体"/>
                <w:color w:val="auto"/>
              </w:rPr>
            </w:pPr>
            <w:r>
              <w:rPr>
                <w:rFonts w:hint="eastAsia" w:hAnsi="宋体"/>
                <w:color w:val="auto"/>
              </w:rPr>
              <w:t>采用“泥浆不落地工艺”，随钻井泥浆一起委托泥浆不落地处置单位拉运处置，钻井废水</w:t>
            </w:r>
            <w:r>
              <w:rPr>
                <w:rFonts w:hint="eastAsia"/>
                <w:color w:val="auto"/>
              </w:rPr>
              <w:t>由泥浆不落地单位按照其环评批复处置，施工现场无外排</w:t>
            </w:r>
            <w:r>
              <w:rPr>
                <w:rFonts w:hint="eastAsia" w:hAnsi="宋体"/>
                <w:color w:val="auto"/>
              </w:rPr>
              <w:t>；施工作业废液拉至高青联合站、滨博接转站处理达标后回注地层，用于油田注水开发</w:t>
            </w:r>
          </w:p>
        </w:tc>
        <w:tc>
          <w:tcPr>
            <w:tcW w:w="797" w:type="pct"/>
            <w:vAlign w:val="center"/>
          </w:tcPr>
          <w:p w14:paraId="1B2B88ED">
            <w:pPr>
              <w:pStyle w:val="81"/>
              <w:rPr>
                <w:rFonts w:hAnsi="宋体"/>
                <w:color w:val="auto"/>
              </w:rPr>
            </w:pPr>
            <w:r>
              <w:rPr>
                <w:rFonts w:hint="eastAsia" w:hAnsi="宋体"/>
                <w:color w:val="auto"/>
              </w:rPr>
              <w:t>就近依托于高青联合站、滨博接转站</w:t>
            </w:r>
          </w:p>
        </w:tc>
      </w:tr>
      <w:tr w14:paraId="2308D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44029311">
            <w:pPr>
              <w:widowControl/>
              <w:adjustRightInd w:val="0"/>
              <w:snapToGrid w:val="0"/>
              <w:jc w:val="center"/>
              <w:rPr>
                <w:rFonts w:ascii="宋体" w:hAnsi="宋体"/>
                <w:color w:val="auto"/>
              </w:rPr>
            </w:pPr>
          </w:p>
        </w:tc>
        <w:tc>
          <w:tcPr>
            <w:tcW w:w="369" w:type="pct"/>
            <w:vMerge w:val="continue"/>
            <w:vAlign w:val="center"/>
          </w:tcPr>
          <w:p w14:paraId="41FB98BB">
            <w:pPr>
              <w:widowControl/>
              <w:adjustRightInd w:val="0"/>
              <w:snapToGrid w:val="0"/>
              <w:jc w:val="center"/>
              <w:rPr>
                <w:rFonts w:ascii="宋体" w:hAnsi="宋体"/>
                <w:color w:val="auto"/>
              </w:rPr>
            </w:pPr>
          </w:p>
        </w:tc>
        <w:tc>
          <w:tcPr>
            <w:tcW w:w="734" w:type="pct"/>
            <w:vAlign w:val="center"/>
          </w:tcPr>
          <w:p w14:paraId="69D641B7">
            <w:pPr>
              <w:pStyle w:val="81"/>
              <w:rPr>
                <w:rFonts w:hAnsi="宋体"/>
                <w:color w:val="auto"/>
              </w:rPr>
            </w:pPr>
            <w:r>
              <w:rPr>
                <w:rFonts w:hint="eastAsia" w:hAnsi="宋体"/>
                <w:color w:val="auto"/>
              </w:rPr>
              <w:t>施工期试压废水、清管废水</w:t>
            </w:r>
          </w:p>
        </w:tc>
        <w:tc>
          <w:tcPr>
            <w:tcW w:w="1510" w:type="pct"/>
            <w:vAlign w:val="center"/>
          </w:tcPr>
          <w:p w14:paraId="26C4C884">
            <w:pPr>
              <w:pStyle w:val="81"/>
              <w:rPr>
                <w:rFonts w:hAnsi="宋体"/>
                <w:color w:val="auto"/>
              </w:rPr>
            </w:pPr>
            <w:r>
              <w:rPr>
                <w:rFonts w:hint="eastAsia" w:hAnsi="宋体"/>
                <w:color w:val="auto"/>
              </w:rPr>
              <w:t>管道试压废水经沉淀处理后用于施工现场洒水抑尘；清管废水排入废液罐后，由罐车拉运至高青联合站进行沉降处理，经过处理后用于压驱注水，无外排</w:t>
            </w:r>
          </w:p>
        </w:tc>
        <w:tc>
          <w:tcPr>
            <w:tcW w:w="1216" w:type="pct"/>
            <w:vAlign w:val="center"/>
          </w:tcPr>
          <w:p w14:paraId="511B6468">
            <w:pPr>
              <w:pStyle w:val="81"/>
              <w:rPr>
                <w:rFonts w:hAnsi="宋体"/>
                <w:color w:val="auto"/>
              </w:rPr>
            </w:pPr>
            <w:r>
              <w:rPr>
                <w:rFonts w:hint="eastAsia" w:hAnsi="宋体"/>
                <w:color w:val="auto"/>
              </w:rPr>
              <w:t>管道试压废水经沉淀处理后用于施工现场洒水抑尘；清管废水排入废液罐后，由罐车拉运至高青联合站进行沉降处理，经过处理后用于压驱注水，无外排</w:t>
            </w:r>
          </w:p>
        </w:tc>
        <w:tc>
          <w:tcPr>
            <w:tcW w:w="797" w:type="pct"/>
            <w:vAlign w:val="center"/>
          </w:tcPr>
          <w:p w14:paraId="1987DC0D">
            <w:pPr>
              <w:pStyle w:val="81"/>
              <w:rPr>
                <w:rFonts w:hAnsi="宋体"/>
                <w:color w:val="auto"/>
              </w:rPr>
            </w:pPr>
            <w:r>
              <w:rPr>
                <w:rFonts w:hint="eastAsia" w:hAnsi="宋体"/>
                <w:color w:val="auto"/>
              </w:rPr>
              <w:t>/</w:t>
            </w:r>
          </w:p>
        </w:tc>
      </w:tr>
      <w:tr w14:paraId="6CED1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33B4E340">
            <w:pPr>
              <w:widowControl/>
              <w:adjustRightInd w:val="0"/>
              <w:snapToGrid w:val="0"/>
              <w:jc w:val="center"/>
              <w:rPr>
                <w:rFonts w:ascii="宋体" w:hAnsi="宋体"/>
                <w:color w:val="auto"/>
              </w:rPr>
            </w:pPr>
          </w:p>
        </w:tc>
        <w:tc>
          <w:tcPr>
            <w:tcW w:w="369" w:type="pct"/>
            <w:vMerge w:val="continue"/>
            <w:vAlign w:val="center"/>
          </w:tcPr>
          <w:p w14:paraId="27D6AEDD">
            <w:pPr>
              <w:widowControl/>
              <w:adjustRightInd w:val="0"/>
              <w:snapToGrid w:val="0"/>
              <w:jc w:val="center"/>
              <w:rPr>
                <w:rFonts w:ascii="宋体" w:hAnsi="宋体"/>
                <w:color w:val="auto"/>
              </w:rPr>
            </w:pPr>
          </w:p>
        </w:tc>
        <w:tc>
          <w:tcPr>
            <w:tcW w:w="734" w:type="pct"/>
            <w:vAlign w:val="center"/>
          </w:tcPr>
          <w:p w14:paraId="15EB5906">
            <w:pPr>
              <w:pStyle w:val="81"/>
              <w:rPr>
                <w:rFonts w:hAnsi="宋体"/>
                <w:color w:val="auto"/>
              </w:rPr>
            </w:pPr>
            <w:r>
              <w:rPr>
                <w:rFonts w:hint="eastAsia" w:hAnsi="宋体"/>
                <w:color w:val="auto"/>
              </w:rPr>
              <w:t>施工期生活污水</w:t>
            </w:r>
          </w:p>
        </w:tc>
        <w:tc>
          <w:tcPr>
            <w:tcW w:w="1510" w:type="pct"/>
            <w:vAlign w:val="center"/>
          </w:tcPr>
          <w:p w14:paraId="7A6227E0">
            <w:pPr>
              <w:pStyle w:val="81"/>
              <w:rPr>
                <w:rFonts w:hAnsi="宋体"/>
                <w:color w:val="auto"/>
              </w:rPr>
            </w:pPr>
            <w:bookmarkStart w:id="99" w:name="OLE_LINK62"/>
            <w:r>
              <w:rPr>
                <w:rFonts w:hint="eastAsia" w:hAnsi="宋体"/>
                <w:color w:val="auto"/>
              </w:rPr>
              <w:t>生活污水排入环保厕所</w:t>
            </w:r>
            <w:bookmarkEnd w:id="99"/>
          </w:p>
        </w:tc>
        <w:tc>
          <w:tcPr>
            <w:tcW w:w="1216" w:type="pct"/>
            <w:vAlign w:val="center"/>
          </w:tcPr>
          <w:p w14:paraId="15AE75A4">
            <w:pPr>
              <w:pStyle w:val="81"/>
              <w:rPr>
                <w:rFonts w:hAnsi="宋体"/>
                <w:color w:val="auto"/>
              </w:rPr>
            </w:pPr>
            <w:r>
              <w:rPr>
                <w:rFonts w:hint="eastAsia" w:hAnsi="宋体"/>
                <w:color w:val="auto"/>
              </w:rPr>
              <w:t>生活污水排入环保厕所</w:t>
            </w:r>
          </w:p>
        </w:tc>
        <w:tc>
          <w:tcPr>
            <w:tcW w:w="797" w:type="pct"/>
            <w:vAlign w:val="center"/>
          </w:tcPr>
          <w:p w14:paraId="593D2F45">
            <w:pPr>
              <w:pStyle w:val="81"/>
              <w:rPr>
                <w:rFonts w:hAnsi="宋体"/>
                <w:color w:val="auto"/>
              </w:rPr>
            </w:pPr>
            <w:r>
              <w:rPr>
                <w:rFonts w:hint="eastAsia" w:hAnsi="宋体"/>
                <w:color w:val="auto"/>
              </w:rPr>
              <w:t>/</w:t>
            </w:r>
          </w:p>
        </w:tc>
      </w:tr>
      <w:tr w14:paraId="3E928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1DA5CD1C">
            <w:pPr>
              <w:widowControl/>
              <w:adjustRightInd w:val="0"/>
              <w:snapToGrid w:val="0"/>
              <w:jc w:val="center"/>
              <w:rPr>
                <w:rFonts w:ascii="宋体" w:hAnsi="宋体"/>
                <w:color w:val="auto"/>
              </w:rPr>
            </w:pPr>
          </w:p>
        </w:tc>
        <w:tc>
          <w:tcPr>
            <w:tcW w:w="369" w:type="pct"/>
            <w:vMerge w:val="continue"/>
            <w:vAlign w:val="center"/>
          </w:tcPr>
          <w:p w14:paraId="5287CEC0">
            <w:pPr>
              <w:widowControl/>
              <w:adjustRightInd w:val="0"/>
              <w:snapToGrid w:val="0"/>
              <w:jc w:val="center"/>
              <w:rPr>
                <w:rFonts w:ascii="宋体" w:hAnsi="宋体"/>
                <w:color w:val="auto"/>
              </w:rPr>
            </w:pPr>
          </w:p>
        </w:tc>
        <w:tc>
          <w:tcPr>
            <w:tcW w:w="734" w:type="pct"/>
            <w:vAlign w:val="center"/>
          </w:tcPr>
          <w:p w14:paraId="3A3903A9">
            <w:pPr>
              <w:pStyle w:val="81"/>
              <w:rPr>
                <w:rFonts w:hAnsi="宋体"/>
                <w:color w:val="auto"/>
              </w:rPr>
            </w:pPr>
            <w:r>
              <w:rPr>
                <w:rFonts w:hint="eastAsia" w:hAnsi="宋体"/>
                <w:color w:val="auto"/>
              </w:rPr>
              <w:t>运营期井下作业废液</w:t>
            </w:r>
          </w:p>
        </w:tc>
        <w:tc>
          <w:tcPr>
            <w:tcW w:w="1510" w:type="pct"/>
            <w:vAlign w:val="center"/>
          </w:tcPr>
          <w:p w14:paraId="5E4E70A7">
            <w:pPr>
              <w:pStyle w:val="81"/>
              <w:rPr>
                <w:rFonts w:hAnsi="宋体"/>
                <w:color w:val="auto"/>
              </w:rPr>
            </w:pPr>
            <w:r>
              <w:rPr>
                <w:rFonts w:hint="eastAsia" w:hAnsi="宋体"/>
                <w:color w:val="auto"/>
              </w:rPr>
              <w:t>运营期井下作业废液依托高青联合站处理后压驱回注，不外排</w:t>
            </w:r>
          </w:p>
        </w:tc>
        <w:tc>
          <w:tcPr>
            <w:tcW w:w="1216" w:type="pct"/>
            <w:vAlign w:val="center"/>
          </w:tcPr>
          <w:p w14:paraId="24B2A8BF">
            <w:pPr>
              <w:pStyle w:val="81"/>
              <w:rPr>
                <w:rFonts w:hAnsi="宋体"/>
                <w:color w:val="auto"/>
              </w:rPr>
            </w:pPr>
            <w:r>
              <w:rPr>
                <w:rFonts w:hint="eastAsia"/>
                <w:color w:val="auto"/>
              </w:rPr>
              <w:t>验收调查期间尚未开展井下作业，经现场调查，实施井下作业过程时，废水收集后均经收集后由罐车拉运至</w:t>
            </w:r>
            <w:r>
              <w:rPr>
                <w:rFonts w:hint="eastAsia"/>
                <w:color w:val="auto"/>
                <w:kern w:val="0"/>
              </w:rPr>
              <w:t>高青联合站、滨博接转站内采出水处理系统</w:t>
            </w:r>
            <w:r>
              <w:rPr>
                <w:rFonts w:hint="eastAsia" w:hAnsi="宋体"/>
                <w:color w:val="auto"/>
              </w:rPr>
              <w:t>处理达标后</w:t>
            </w:r>
            <w:r>
              <w:rPr>
                <w:rFonts w:hint="eastAsia"/>
                <w:color w:val="auto"/>
              </w:rPr>
              <w:t>回注</w:t>
            </w:r>
            <w:r>
              <w:rPr>
                <w:color w:val="auto"/>
              </w:rPr>
              <w:t>地层，用于油田注水开发，</w:t>
            </w:r>
            <w:r>
              <w:rPr>
                <w:rFonts w:hint="eastAsia"/>
                <w:color w:val="auto"/>
              </w:rPr>
              <w:t>不</w:t>
            </w:r>
            <w:r>
              <w:rPr>
                <w:color w:val="auto"/>
              </w:rPr>
              <w:t>外排</w:t>
            </w:r>
          </w:p>
        </w:tc>
        <w:tc>
          <w:tcPr>
            <w:tcW w:w="797" w:type="pct"/>
            <w:vAlign w:val="center"/>
          </w:tcPr>
          <w:p w14:paraId="760B7D4C">
            <w:pPr>
              <w:pStyle w:val="81"/>
              <w:rPr>
                <w:rFonts w:hAnsi="宋体"/>
                <w:color w:val="auto"/>
              </w:rPr>
            </w:pPr>
            <w:r>
              <w:rPr>
                <w:rFonts w:hint="eastAsia" w:hAnsi="宋体"/>
                <w:color w:val="auto"/>
              </w:rPr>
              <w:t>/</w:t>
            </w:r>
          </w:p>
        </w:tc>
      </w:tr>
      <w:tr w14:paraId="51FFC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3B0B9FE3">
            <w:pPr>
              <w:widowControl/>
              <w:adjustRightInd w:val="0"/>
              <w:snapToGrid w:val="0"/>
              <w:jc w:val="center"/>
              <w:rPr>
                <w:rFonts w:ascii="宋体" w:hAnsi="宋体"/>
                <w:color w:val="auto"/>
              </w:rPr>
            </w:pPr>
          </w:p>
        </w:tc>
        <w:tc>
          <w:tcPr>
            <w:tcW w:w="369" w:type="pct"/>
            <w:vMerge w:val="continue"/>
            <w:vAlign w:val="center"/>
          </w:tcPr>
          <w:p w14:paraId="290BADFA">
            <w:pPr>
              <w:widowControl/>
              <w:adjustRightInd w:val="0"/>
              <w:snapToGrid w:val="0"/>
              <w:jc w:val="center"/>
              <w:rPr>
                <w:rFonts w:ascii="宋体" w:hAnsi="宋体"/>
                <w:color w:val="auto"/>
              </w:rPr>
            </w:pPr>
          </w:p>
        </w:tc>
        <w:tc>
          <w:tcPr>
            <w:tcW w:w="734" w:type="pct"/>
            <w:vAlign w:val="center"/>
          </w:tcPr>
          <w:p w14:paraId="4A99B514">
            <w:pPr>
              <w:pStyle w:val="81"/>
              <w:rPr>
                <w:rFonts w:hAnsi="宋体"/>
                <w:color w:val="auto"/>
              </w:rPr>
            </w:pPr>
            <w:r>
              <w:rPr>
                <w:rFonts w:hint="eastAsia" w:hAnsi="宋体"/>
                <w:color w:val="auto"/>
              </w:rPr>
              <w:t>运营期采出水</w:t>
            </w:r>
          </w:p>
        </w:tc>
        <w:tc>
          <w:tcPr>
            <w:tcW w:w="1510" w:type="pct"/>
            <w:vAlign w:val="center"/>
          </w:tcPr>
          <w:p w14:paraId="3B5373F1">
            <w:pPr>
              <w:pStyle w:val="81"/>
              <w:rPr>
                <w:rFonts w:hAnsi="宋体"/>
                <w:color w:val="auto"/>
              </w:rPr>
            </w:pPr>
            <w:r>
              <w:rPr>
                <w:rFonts w:hint="eastAsia" w:hAnsi="宋体"/>
                <w:color w:val="auto"/>
              </w:rPr>
              <w:t>运营期采出液分离出的采出水依托高青联合站、滨博接转站、樊163分水点处理后压驱回注，不外排</w:t>
            </w:r>
          </w:p>
        </w:tc>
        <w:tc>
          <w:tcPr>
            <w:tcW w:w="1216" w:type="pct"/>
            <w:vAlign w:val="center"/>
          </w:tcPr>
          <w:p w14:paraId="20829893">
            <w:pPr>
              <w:pStyle w:val="81"/>
              <w:rPr>
                <w:rFonts w:hAnsi="宋体"/>
                <w:b/>
                <w:bCs/>
                <w:color w:val="auto"/>
              </w:rPr>
            </w:pPr>
            <w:r>
              <w:rPr>
                <w:rFonts w:hint="eastAsia"/>
                <w:color w:val="auto"/>
              </w:rPr>
              <w:t>采出水经依托的高青联合站、滨博接转站</w:t>
            </w:r>
            <w:r>
              <w:rPr>
                <w:color w:val="auto"/>
              </w:rPr>
              <w:t>采出水处理</w:t>
            </w:r>
            <w:r>
              <w:rPr>
                <w:rFonts w:hint="eastAsia"/>
                <w:color w:val="auto"/>
              </w:rPr>
              <w:t>系统</w:t>
            </w:r>
            <w:r>
              <w:rPr>
                <w:color w:val="auto"/>
              </w:rPr>
              <w:t>处理满足</w:t>
            </w:r>
            <w:r>
              <w:rPr>
                <w:rFonts w:hint="eastAsia"/>
                <w:color w:val="auto"/>
              </w:rPr>
              <w:t>《碎屑岩油藏注水水质指标技术要求及分析方法》（</w:t>
            </w:r>
            <w:r>
              <w:rPr>
                <w:color w:val="auto"/>
              </w:rPr>
              <w:t>SY/T5329-2022）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回注</w:t>
            </w:r>
            <w:r>
              <w:rPr>
                <w:color w:val="auto"/>
              </w:rPr>
              <w:t>地层，用于油田注水开发，</w:t>
            </w:r>
            <w:r>
              <w:rPr>
                <w:rFonts w:hint="eastAsia"/>
                <w:color w:val="auto"/>
              </w:rPr>
              <w:t>未</w:t>
            </w:r>
            <w:r>
              <w:rPr>
                <w:color w:val="auto"/>
              </w:rPr>
              <w:t>外排</w:t>
            </w:r>
          </w:p>
        </w:tc>
        <w:tc>
          <w:tcPr>
            <w:tcW w:w="797" w:type="pct"/>
            <w:vAlign w:val="center"/>
          </w:tcPr>
          <w:p w14:paraId="06490410">
            <w:pPr>
              <w:pStyle w:val="81"/>
              <w:rPr>
                <w:rFonts w:hAnsi="宋体"/>
                <w:color w:val="auto"/>
              </w:rPr>
            </w:pPr>
            <w:r>
              <w:rPr>
                <w:rFonts w:hint="eastAsia" w:hAnsi="宋体"/>
                <w:color w:val="auto"/>
              </w:rPr>
              <w:t>/</w:t>
            </w:r>
          </w:p>
        </w:tc>
      </w:tr>
      <w:tr w14:paraId="38F3F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23EF028B">
            <w:pPr>
              <w:widowControl/>
              <w:adjustRightInd w:val="0"/>
              <w:snapToGrid w:val="0"/>
              <w:jc w:val="center"/>
              <w:rPr>
                <w:rFonts w:ascii="宋体" w:hAnsi="宋体"/>
                <w:color w:val="auto"/>
              </w:rPr>
            </w:pPr>
          </w:p>
        </w:tc>
        <w:tc>
          <w:tcPr>
            <w:tcW w:w="369" w:type="pct"/>
            <w:vMerge w:val="restart"/>
            <w:vAlign w:val="center"/>
          </w:tcPr>
          <w:p w14:paraId="54B14FD8">
            <w:pPr>
              <w:pStyle w:val="81"/>
              <w:rPr>
                <w:rFonts w:hAnsi="宋体"/>
                <w:color w:val="auto"/>
              </w:rPr>
            </w:pPr>
            <w:r>
              <w:rPr>
                <w:rFonts w:hint="eastAsia" w:hAnsi="宋体"/>
                <w:color w:val="auto"/>
              </w:rPr>
              <w:t>固废</w:t>
            </w:r>
          </w:p>
        </w:tc>
        <w:tc>
          <w:tcPr>
            <w:tcW w:w="734" w:type="pct"/>
            <w:vAlign w:val="center"/>
          </w:tcPr>
          <w:p w14:paraId="5EB7F613">
            <w:pPr>
              <w:pStyle w:val="81"/>
              <w:rPr>
                <w:rFonts w:hAnsi="宋体"/>
                <w:color w:val="auto"/>
              </w:rPr>
            </w:pPr>
            <w:r>
              <w:rPr>
                <w:rFonts w:hint="eastAsia" w:hAnsi="宋体"/>
                <w:color w:val="auto"/>
              </w:rPr>
              <w:t>施工期钻井固废</w:t>
            </w:r>
          </w:p>
        </w:tc>
        <w:tc>
          <w:tcPr>
            <w:tcW w:w="1510" w:type="pct"/>
            <w:vAlign w:val="center"/>
          </w:tcPr>
          <w:p w14:paraId="712E69FE">
            <w:pPr>
              <w:pStyle w:val="81"/>
              <w:rPr>
                <w:rFonts w:hAnsi="宋体"/>
                <w:color w:val="auto"/>
              </w:rPr>
            </w:pPr>
            <w:r>
              <w:rPr>
                <w:rFonts w:hint="eastAsia" w:hAnsi="宋体"/>
                <w:color w:val="auto"/>
              </w:rPr>
              <w:t>钻井过程采用“泥浆不落地”随钻随治处理工艺，钻井固废委托专业单位综合利用</w:t>
            </w:r>
          </w:p>
        </w:tc>
        <w:tc>
          <w:tcPr>
            <w:tcW w:w="1216" w:type="pct"/>
            <w:vAlign w:val="center"/>
          </w:tcPr>
          <w:p w14:paraId="720F8A91">
            <w:pPr>
              <w:pStyle w:val="81"/>
              <w:rPr>
                <w:rFonts w:hAnsi="宋体"/>
                <w:color w:val="auto"/>
              </w:rPr>
            </w:pPr>
            <w:r>
              <w:rPr>
                <w:rFonts w:hint="eastAsia" w:hAnsi="宋体"/>
                <w:color w:val="auto"/>
              </w:rPr>
              <w:t>采用泥浆不落地工艺，钻井固废委托天正浚源环保科技有限公司、东营丰实钻井工程有限公司、山东胜兴特种材料有限公司处理</w:t>
            </w:r>
          </w:p>
        </w:tc>
        <w:tc>
          <w:tcPr>
            <w:tcW w:w="797" w:type="pct"/>
            <w:vAlign w:val="center"/>
          </w:tcPr>
          <w:p w14:paraId="1ECADD74">
            <w:pPr>
              <w:pStyle w:val="81"/>
              <w:rPr>
                <w:rFonts w:hAnsi="宋体"/>
                <w:color w:val="auto"/>
              </w:rPr>
            </w:pPr>
            <w:r>
              <w:rPr>
                <w:rFonts w:hint="eastAsia" w:hAnsi="宋体"/>
                <w:color w:val="auto"/>
              </w:rPr>
              <w:t>/</w:t>
            </w:r>
          </w:p>
        </w:tc>
      </w:tr>
      <w:tr w14:paraId="44B2E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23A6FF29">
            <w:pPr>
              <w:widowControl/>
              <w:adjustRightInd w:val="0"/>
              <w:snapToGrid w:val="0"/>
              <w:jc w:val="center"/>
              <w:rPr>
                <w:rFonts w:ascii="宋体" w:hAnsi="宋体"/>
                <w:color w:val="auto"/>
              </w:rPr>
            </w:pPr>
          </w:p>
        </w:tc>
        <w:tc>
          <w:tcPr>
            <w:tcW w:w="369" w:type="pct"/>
            <w:vMerge w:val="continue"/>
            <w:vAlign w:val="center"/>
          </w:tcPr>
          <w:p w14:paraId="7A0EC44C">
            <w:pPr>
              <w:widowControl/>
              <w:adjustRightInd w:val="0"/>
              <w:snapToGrid w:val="0"/>
              <w:jc w:val="center"/>
              <w:rPr>
                <w:rFonts w:ascii="宋体" w:hAnsi="宋体"/>
                <w:color w:val="auto"/>
              </w:rPr>
            </w:pPr>
          </w:p>
        </w:tc>
        <w:tc>
          <w:tcPr>
            <w:tcW w:w="734" w:type="pct"/>
            <w:vAlign w:val="center"/>
          </w:tcPr>
          <w:p w14:paraId="6EBE90EA">
            <w:pPr>
              <w:pStyle w:val="81"/>
              <w:rPr>
                <w:rFonts w:hAnsi="宋体"/>
                <w:color w:val="auto"/>
              </w:rPr>
            </w:pPr>
            <w:r>
              <w:rPr>
                <w:rFonts w:hint="eastAsia" w:hAnsi="宋体"/>
                <w:color w:val="auto"/>
              </w:rPr>
              <w:t>施工期施工废料</w:t>
            </w:r>
          </w:p>
        </w:tc>
        <w:tc>
          <w:tcPr>
            <w:tcW w:w="1510" w:type="pct"/>
            <w:vAlign w:val="center"/>
          </w:tcPr>
          <w:p w14:paraId="39122966">
            <w:pPr>
              <w:pStyle w:val="81"/>
              <w:rPr>
                <w:rFonts w:hAnsi="宋体"/>
                <w:color w:val="auto"/>
              </w:rPr>
            </w:pPr>
            <w:r>
              <w:rPr>
                <w:rFonts w:hint="eastAsia" w:hAnsi="宋体"/>
                <w:color w:val="auto"/>
              </w:rPr>
              <w:t>施工废料尽可能回收利用，剩余少量废料依托环卫部门处理</w:t>
            </w:r>
          </w:p>
        </w:tc>
        <w:tc>
          <w:tcPr>
            <w:tcW w:w="1216" w:type="pct"/>
            <w:vAlign w:val="center"/>
          </w:tcPr>
          <w:p w14:paraId="14CEF4E6">
            <w:pPr>
              <w:pStyle w:val="81"/>
              <w:rPr>
                <w:rFonts w:hAnsi="宋体"/>
                <w:color w:val="auto"/>
              </w:rPr>
            </w:pPr>
            <w:r>
              <w:rPr>
                <w:rFonts w:hint="eastAsia"/>
                <w:color w:val="auto"/>
              </w:rPr>
              <w:t>施工废料大部分回收利用，无法利用的已拉运至环卫部门指定地点处理</w:t>
            </w:r>
          </w:p>
        </w:tc>
        <w:tc>
          <w:tcPr>
            <w:tcW w:w="797" w:type="pct"/>
            <w:vAlign w:val="center"/>
          </w:tcPr>
          <w:p w14:paraId="7101F833">
            <w:pPr>
              <w:pStyle w:val="81"/>
              <w:rPr>
                <w:rFonts w:hAnsi="宋体"/>
                <w:color w:val="auto"/>
              </w:rPr>
            </w:pPr>
            <w:r>
              <w:rPr>
                <w:rFonts w:hint="eastAsia" w:hAnsi="宋体"/>
                <w:color w:val="auto"/>
              </w:rPr>
              <w:t>/</w:t>
            </w:r>
          </w:p>
        </w:tc>
      </w:tr>
      <w:tr w14:paraId="508C1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79A9A48F">
            <w:pPr>
              <w:widowControl/>
              <w:adjustRightInd w:val="0"/>
              <w:snapToGrid w:val="0"/>
              <w:jc w:val="center"/>
              <w:rPr>
                <w:rFonts w:ascii="宋体" w:hAnsi="宋体"/>
                <w:color w:val="auto"/>
              </w:rPr>
            </w:pPr>
          </w:p>
        </w:tc>
        <w:tc>
          <w:tcPr>
            <w:tcW w:w="369" w:type="pct"/>
            <w:vMerge w:val="continue"/>
            <w:vAlign w:val="center"/>
          </w:tcPr>
          <w:p w14:paraId="51022B18">
            <w:pPr>
              <w:widowControl/>
              <w:adjustRightInd w:val="0"/>
              <w:snapToGrid w:val="0"/>
              <w:jc w:val="center"/>
              <w:rPr>
                <w:rFonts w:ascii="宋体" w:hAnsi="宋体"/>
                <w:color w:val="auto"/>
              </w:rPr>
            </w:pPr>
          </w:p>
        </w:tc>
        <w:tc>
          <w:tcPr>
            <w:tcW w:w="734" w:type="pct"/>
            <w:vAlign w:val="center"/>
          </w:tcPr>
          <w:p w14:paraId="2DBB8AFB">
            <w:pPr>
              <w:pStyle w:val="81"/>
              <w:rPr>
                <w:rFonts w:hAnsi="宋体"/>
                <w:color w:val="auto"/>
              </w:rPr>
            </w:pPr>
            <w:r>
              <w:rPr>
                <w:rFonts w:hint="eastAsia" w:hAnsi="宋体"/>
                <w:color w:val="auto"/>
              </w:rPr>
              <w:t>施工期压裂废液</w:t>
            </w:r>
          </w:p>
        </w:tc>
        <w:tc>
          <w:tcPr>
            <w:tcW w:w="1510" w:type="pct"/>
            <w:vAlign w:val="center"/>
          </w:tcPr>
          <w:p w14:paraId="286D4745">
            <w:pPr>
              <w:pStyle w:val="81"/>
              <w:rPr>
                <w:rFonts w:hAnsi="宋体"/>
                <w:color w:val="auto"/>
              </w:rPr>
            </w:pPr>
            <w:r>
              <w:rPr>
                <w:rFonts w:hint="eastAsia" w:hAnsi="宋体"/>
                <w:color w:val="auto"/>
              </w:rPr>
              <w:t>压裂废液重新调配后采用堵水调剖等方式资源化利用</w:t>
            </w:r>
          </w:p>
        </w:tc>
        <w:tc>
          <w:tcPr>
            <w:tcW w:w="1216" w:type="pct"/>
            <w:vAlign w:val="center"/>
          </w:tcPr>
          <w:p w14:paraId="22DA907D">
            <w:pPr>
              <w:pStyle w:val="81"/>
              <w:rPr>
                <w:rFonts w:hAnsi="宋体"/>
                <w:color w:val="auto"/>
              </w:rPr>
            </w:pPr>
            <w:r>
              <w:rPr>
                <w:rFonts w:hint="eastAsia" w:hAnsi="宋体"/>
                <w:color w:val="auto"/>
              </w:rPr>
              <w:t>本期工程未产生压裂废液</w:t>
            </w:r>
          </w:p>
        </w:tc>
        <w:tc>
          <w:tcPr>
            <w:tcW w:w="797" w:type="pct"/>
            <w:vAlign w:val="center"/>
          </w:tcPr>
          <w:p w14:paraId="42FDACDD">
            <w:pPr>
              <w:pStyle w:val="81"/>
              <w:rPr>
                <w:rFonts w:hAnsi="宋体"/>
                <w:color w:val="auto"/>
              </w:rPr>
            </w:pPr>
            <w:r>
              <w:rPr>
                <w:rFonts w:hint="eastAsia" w:hAnsi="宋体"/>
                <w:color w:val="auto"/>
              </w:rPr>
              <w:t>/</w:t>
            </w:r>
          </w:p>
        </w:tc>
      </w:tr>
      <w:tr w14:paraId="310F4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0C023456">
            <w:pPr>
              <w:widowControl/>
              <w:adjustRightInd w:val="0"/>
              <w:snapToGrid w:val="0"/>
              <w:jc w:val="center"/>
              <w:rPr>
                <w:rFonts w:ascii="宋体" w:hAnsi="宋体"/>
                <w:color w:val="auto"/>
              </w:rPr>
            </w:pPr>
          </w:p>
        </w:tc>
        <w:tc>
          <w:tcPr>
            <w:tcW w:w="369" w:type="pct"/>
            <w:vMerge w:val="continue"/>
            <w:vAlign w:val="center"/>
          </w:tcPr>
          <w:p w14:paraId="6E0807B3">
            <w:pPr>
              <w:widowControl/>
              <w:adjustRightInd w:val="0"/>
              <w:snapToGrid w:val="0"/>
              <w:jc w:val="center"/>
              <w:rPr>
                <w:rFonts w:ascii="宋体" w:hAnsi="宋体"/>
                <w:color w:val="auto"/>
              </w:rPr>
            </w:pPr>
          </w:p>
        </w:tc>
        <w:tc>
          <w:tcPr>
            <w:tcW w:w="734" w:type="pct"/>
            <w:vAlign w:val="center"/>
          </w:tcPr>
          <w:p w14:paraId="33FF8EB1">
            <w:pPr>
              <w:pStyle w:val="81"/>
              <w:rPr>
                <w:rFonts w:hAnsi="宋体"/>
                <w:color w:val="auto"/>
              </w:rPr>
            </w:pPr>
            <w:r>
              <w:rPr>
                <w:rFonts w:hint="eastAsia" w:hAnsi="宋体"/>
                <w:color w:val="auto"/>
              </w:rPr>
              <w:t>施工期油泥砂</w:t>
            </w:r>
          </w:p>
        </w:tc>
        <w:tc>
          <w:tcPr>
            <w:tcW w:w="1510" w:type="pct"/>
            <w:vAlign w:val="center"/>
          </w:tcPr>
          <w:p w14:paraId="0B15F855">
            <w:pPr>
              <w:pStyle w:val="81"/>
              <w:rPr>
                <w:rFonts w:hAnsi="宋体"/>
                <w:color w:val="auto"/>
              </w:rPr>
            </w:pPr>
            <w:r>
              <w:rPr>
                <w:rFonts w:hint="eastAsia" w:hAnsi="宋体"/>
                <w:color w:val="auto"/>
              </w:rPr>
              <w:t>站场改造过程拆除各类设施产生的油泥砂暂存于油泥砂贮存场，最终委托有危废处理资质的单位处置</w:t>
            </w:r>
          </w:p>
        </w:tc>
        <w:tc>
          <w:tcPr>
            <w:tcW w:w="1216" w:type="pct"/>
            <w:vAlign w:val="center"/>
          </w:tcPr>
          <w:p w14:paraId="43130A96">
            <w:pPr>
              <w:pStyle w:val="81"/>
              <w:rPr>
                <w:rFonts w:hAnsi="宋体"/>
                <w:color w:val="auto"/>
              </w:rPr>
            </w:pPr>
            <w:r>
              <w:rPr>
                <w:color w:val="auto"/>
              </w:rPr>
              <w:t>油泥砂已委托</w:t>
            </w:r>
            <w:r>
              <w:rPr>
                <w:rFonts w:hint="eastAsia" w:cs="宋体"/>
                <w:color w:val="auto"/>
                <w:kern w:val="0"/>
              </w:rPr>
              <w:t>滨州市瑞峰环保科技有限公司处置</w:t>
            </w:r>
          </w:p>
        </w:tc>
        <w:tc>
          <w:tcPr>
            <w:tcW w:w="797" w:type="pct"/>
            <w:vAlign w:val="center"/>
          </w:tcPr>
          <w:p w14:paraId="2E7D128E">
            <w:pPr>
              <w:pStyle w:val="81"/>
              <w:rPr>
                <w:rFonts w:hAnsi="宋体"/>
                <w:color w:val="auto"/>
              </w:rPr>
            </w:pPr>
            <w:r>
              <w:rPr>
                <w:rFonts w:hint="eastAsia" w:hAnsi="宋体"/>
                <w:color w:val="auto"/>
              </w:rPr>
              <w:t>/</w:t>
            </w:r>
          </w:p>
        </w:tc>
      </w:tr>
      <w:tr w14:paraId="75341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76C218D5">
            <w:pPr>
              <w:widowControl/>
              <w:adjustRightInd w:val="0"/>
              <w:snapToGrid w:val="0"/>
              <w:jc w:val="center"/>
              <w:rPr>
                <w:rFonts w:ascii="宋体" w:hAnsi="宋体"/>
                <w:color w:val="auto"/>
              </w:rPr>
            </w:pPr>
          </w:p>
        </w:tc>
        <w:tc>
          <w:tcPr>
            <w:tcW w:w="369" w:type="pct"/>
            <w:vMerge w:val="continue"/>
            <w:vAlign w:val="center"/>
          </w:tcPr>
          <w:p w14:paraId="7D59988C">
            <w:pPr>
              <w:widowControl/>
              <w:adjustRightInd w:val="0"/>
              <w:snapToGrid w:val="0"/>
              <w:jc w:val="center"/>
              <w:rPr>
                <w:rFonts w:ascii="宋体" w:hAnsi="宋体"/>
                <w:color w:val="auto"/>
              </w:rPr>
            </w:pPr>
          </w:p>
        </w:tc>
        <w:tc>
          <w:tcPr>
            <w:tcW w:w="734" w:type="pct"/>
            <w:vAlign w:val="center"/>
          </w:tcPr>
          <w:p w14:paraId="2C6E4DCD">
            <w:pPr>
              <w:pStyle w:val="81"/>
              <w:rPr>
                <w:rFonts w:hAnsi="宋体"/>
                <w:color w:val="auto"/>
              </w:rPr>
            </w:pPr>
            <w:r>
              <w:rPr>
                <w:rFonts w:hint="eastAsia" w:hAnsi="宋体"/>
                <w:color w:val="auto"/>
              </w:rPr>
              <w:t>定向钻废弃泥浆</w:t>
            </w:r>
          </w:p>
        </w:tc>
        <w:tc>
          <w:tcPr>
            <w:tcW w:w="1510" w:type="pct"/>
            <w:vAlign w:val="center"/>
          </w:tcPr>
          <w:p w14:paraId="3A236B0E">
            <w:pPr>
              <w:pStyle w:val="81"/>
              <w:rPr>
                <w:rFonts w:hAnsi="宋体"/>
                <w:color w:val="auto"/>
              </w:rPr>
            </w:pPr>
            <w:bookmarkStart w:id="100" w:name="OLE_LINK346"/>
            <w:r>
              <w:rPr>
                <w:rFonts w:hint="eastAsia" w:hAnsi="宋体"/>
                <w:color w:val="auto"/>
              </w:rPr>
              <w:t>委托专业单位拉运处置，泥浆池回填，进行地貌和植被恢复</w:t>
            </w:r>
            <w:bookmarkEnd w:id="100"/>
          </w:p>
        </w:tc>
        <w:tc>
          <w:tcPr>
            <w:tcW w:w="1216" w:type="pct"/>
            <w:vAlign w:val="center"/>
          </w:tcPr>
          <w:p w14:paraId="05FF118B">
            <w:pPr>
              <w:pStyle w:val="81"/>
              <w:rPr>
                <w:rFonts w:hAnsi="宋体"/>
                <w:color w:val="auto"/>
              </w:rPr>
            </w:pPr>
            <w:r>
              <w:rPr>
                <w:rFonts w:hint="eastAsia" w:hAnsi="宋体"/>
                <w:color w:val="auto"/>
              </w:rPr>
              <w:t>委托专业单位拉运处置，泥浆池回填，进行地貌和植被恢复</w:t>
            </w:r>
          </w:p>
        </w:tc>
        <w:tc>
          <w:tcPr>
            <w:tcW w:w="797" w:type="pct"/>
            <w:vAlign w:val="center"/>
          </w:tcPr>
          <w:p w14:paraId="0E4B5E21">
            <w:pPr>
              <w:pStyle w:val="81"/>
              <w:rPr>
                <w:rFonts w:hAnsi="宋体"/>
                <w:color w:val="auto"/>
              </w:rPr>
            </w:pPr>
            <w:r>
              <w:rPr>
                <w:rFonts w:hint="eastAsia" w:hAnsi="宋体"/>
                <w:color w:val="auto"/>
              </w:rPr>
              <w:t>/</w:t>
            </w:r>
          </w:p>
        </w:tc>
      </w:tr>
      <w:tr w14:paraId="24A7D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545DAF3A">
            <w:pPr>
              <w:widowControl/>
              <w:adjustRightInd w:val="0"/>
              <w:snapToGrid w:val="0"/>
              <w:jc w:val="center"/>
              <w:rPr>
                <w:rFonts w:ascii="宋体" w:hAnsi="宋体"/>
                <w:color w:val="auto"/>
              </w:rPr>
            </w:pPr>
          </w:p>
        </w:tc>
        <w:tc>
          <w:tcPr>
            <w:tcW w:w="369" w:type="pct"/>
            <w:vMerge w:val="continue"/>
            <w:vAlign w:val="center"/>
          </w:tcPr>
          <w:p w14:paraId="3A8D623F">
            <w:pPr>
              <w:widowControl/>
              <w:adjustRightInd w:val="0"/>
              <w:snapToGrid w:val="0"/>
              <w:jc w:val="center"/>
              <w:rPr>
                <w:rFonts w:ascii="宋体" w:hAnsi="宋体"/>
                <w:color w:val="auto"/>
              </w:rPr>
            </w:pPr>
          </w:p>
        </w:tc>
        <w:tc>
          <w:tcPr>
            <w:tcW w:w="734" w:type="pct"/>
            <w:vAlign w:val="center"/>
          </w:tcPr>
          <w:p w14:paraId="16ED2E14">
            <w:pPr>
              <w:pStyle w:val="81"/>
              <w:rPr>
                <w:rFonts w:hAnsi="宋体"/>
                <w:color w:val="auto"/>
              </w:rPr>
            </w:pPr>
            <w:r>
              <w:rPr>
                <w:rFonts w:hint="eastAsia" w:hAnsi="宋体"/>
                <w:color w:val="auto"/>
              </w:rPr>
              <w:t>废弃设备</w:t>
            </w:r>
          </w:p>
        </w:tc>
        <w:tc>
          <w:tcPr>
            <w:tcW w:w="1510" w:type="pct"/>
            <w:vAlign w:val="center"/>
          </w:tcPr>
          <w:p w14:paraId="49189607">
            <w:pPr>
              <w:pStyle w:val="81"/>
              <w:rPr>
                <w:rFonts w:hAnsi="宋体"/>
                <w:color w:val="auto"/>
              </w:rPr>
            </w:pPr>
            <w:r>
              <w:rPr>
                <w:rFonts w:hint="eastAsia" w:hAnsi="宋体"/>
                <w:color w:val="auto"/>
              </w:rPr>
              <w:t>拉运至东胜公司物资管理部门</w:t>
            </w:r>
          </w:p>
        </w:tc>
        <w:tc>
          <w:tcPr>
            <w:tcW w:w="1216" w:type="pct"/>
            <w:vAlign w:val="center"/>
          </w:tcPr>
          <w:p w14:paraId="6D55587C">
            <w:pPr>
              <w:pStyle w:val="81"/>
              <w:rPr>
                <w:rFonts w:hAnsi="宋体"/>
                <w:color w:val="auto"/>
              </w:rPr>
            </w:pPr>
            <w:r>
              <w:rPr>
                <w:rFonts w:hint="eastAsia" w:hAnsi="宋体"/>
                <w:color w:val="auto"/>
              </w:rPr>
              <w:t>拆除的旧加热炉、</w:t>
            </w:r>
            <w:r>
              <w:rPr>
                <w:rFonts w:hint="eastAsia"/>
                <w:color w:val="auto"/>
              </w:rPr>
              <w:t>拉改输压减高架罐</w:t>
            </w:r>
            <w:r>
              <w:rPr>
                <w:rFonts w:hint="eastAsia" w:hAnsi="宋体"/>
                <w:color w:val="auto"/>
              </w:rPr>
              <w:t>等设备，</w:t>
            </w:r>
            <w:r>
              <w:rPr>
                <w:rFonts w:hint="eastAsia"/>
                <w:color w:val="auto"/>
              </w:rPr>
              <w:t>按照资产报废程序由胜利油田东胜精攻石油开发集团股份有限公司物资管理部门统一处理</w:t>
            </w:r>
          </w:p>
        </w:tc>
        <w:tc>
          <w:tcPr>
            <w:tcW w:w="797" w:type="pct"/>
            <w:vAlign w:val="center"/>
          </w:tcPr>
          <w:p w14:paraId="69751924">
            <w:pPr>
              <w:pStyle w:val="81"/>
              <w:rPr>
                <w:rFonts w:hAnsi="宋体"/>
                <w:color w:val="auto"/>
              </w:rPr>
            </w:pPr>
            <w:r>
              <w:rPr>
                <w:rFonts w:hint="eastAsia" w:hAnsi="宋体"/>
                <w:color w:val="auto"/>
              </w:rPr>
              <w:t>/</w:t>
            </w:r>
          </w:p>
        </w:tc>
      </w:tr>
      <w:tr w14:paraId="1E7CE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769D5530">
            <w:pPr>
              <w:widowControl/>
              <w:adjustRightInd w:val="0"/>
              <w:snapToGrid w:val="0"/>
              <w:jc w:val="center"/>
              <w:rPr>
                <w:rFonts w:ascii="宋体" w:hAnsi="宋体"/>
                <w:color w:val="auto"/>
              </w:rPr>
            </w:pPr>
          </w:p>
        </w:tc>
        <w:tc>
          <w:tcPr>
            <w:tcW w:w="369" w:type="pct"/>
            <w:vMerge w:val="continue"/>
            <w:vAlign w:val="center"/>
          </w:tcPr>
          <w:p w14:paraId="27203214">
            <w:pPr>
              <w:widowControl/>
              <w:adjustRightInd w:val="0"/>
              <w:snapToGrid w:val="0"/>
              <w:jc w:val="center"/>
              <w:rPr>
                <w:rFonts w:ascii="宋体" w:hAnsi="宋体"/>
                <w:color w:val="auto"/>
              </w:rPr>
            </w:pPr>
          </w:p>
        </w:tc>
        <w:tc>
          <w:tcPr>
            <w:tcW w:w="734" w:type="pct"/>
            <w:vAlign w:val="center"/>
          </w:tcPr>
          <w:p w14:paraId="3298C041">
            <w:pPr>
              <w:pStyle w:val="81"/>
              <w:rPr>
                <w:rFonts w:hAnsi="宋体"/>
                <w:color w:val="auto"/>
              </w:rPr>
            </w:pPr>
            <w:r>
              <w:rPr>
                <w:rFonts w:hint="eastAsia" w:hAnsi="宋体"/>
                <w:color w:val="auto"/>
              </w:rPr>
              <w:t>施工期生活垃圾</w:t>
            </w:r>
          </w:p>
        </w:tc>
        <w:tc>
          <w:tcPr>
            <w:tcW w:w="1510" w:type="pct"/>
            <w:vAlign w:val="center"/>
          </w:tcPr>
          <w:p w14:paraId="49C067D9">
            <w:pPr>
              <w:pStyle w:val="81"/>
              <w:rPr>
                <w:rFonts w:hAnsi="宋体"/>
                <w:color w:val="auto"/>
              </w:rPr>
            </w:pPr>
            <w:r>
              <w:rPr>
                <w:rFonts w:hint="eastAsia" w:hAnsi="宋体"/>
                <w:color w:val="auto"/>
              </w:rPr>
              <w:t>生活垃圾收集后拉运至市政部门指定地点，由环卫部门统一处理</w:t>
            </w:r>
          </w:p>
        </w:tc>
        <w:tc>
          <w:tcPr>
            <w:tcW w:w="1216" w:type="pct"/>
            <w:vAlign w:val="center"/>
          </w:tcPr>
          <w:p w14:paraId="5DF21454">
            <w:pPr>
              <w:pStyle w:val="81"/>
              <w:rPr>
                <w:rFonts w:hAnsi="宋体"/>
                <w:color w:val="auto"/>
              </w:rPr>
            </w:pPr>
            <w:r>
              <w:rPr>
                <w:rFonts w:hint="eastAsia" w:hAnsi="宋体"/>
                <w:color w:val="auto"/>
              </w:rPr>
              <w:t>生活垃圾收集后拉运至市政部门指定地点，由环卫部门统一处理</w:t>
            </w:r>
          </w:p>
        </w:tc>
        <w:tc>
          <w:tcPr>
            <w:tcW w:w="797" w:type="pct"/>
            <w:vAlign w:val="center"/>
          </w:tcPr>
          <w:p w14:paraId="1A8228DD">
            <w:pPr>
              <w:pStyle w:val="81"/>
              <w:rPr>
                <w:rFonts w:hAnsi="宋体"/>
                <w:color w:val="auto"/>
              </w:rPr>
            </w:pPr>
            <w:r>
              <w:rPr>
                <w:rFonts w:hint="eastAsia" w:hAnsi="宋体"/>
                <w:color w:val="auto"/>
              </w:rPr>
              <w:t>/</w:t>
            </w:r>
          </w:p>
        </w:tc>
      </w:tr>
      <w:tr w14:paraId="6BD07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4609FDE0">
            <w:pPr>
              <w:widowControl/>
              <w:adjustRightInd w:val="0"/>
              <w:snapToGrid w:val="0"/>
              <w:jc w:val="center"/>
              <w:rPr>
                <w:rFonts w:ascii="宋体" w:hAnsi="宋体"/>
                <w:color w:val="auto"/>
              </w:rPr>
            </w:pPr>
          </w:p>
        </w:tc>
        <w:tc>
          <w:tcPr>
            <w:tcW w:w="369" w:type="pct"/>
            <w:vMerge w:val="continue"/>
            <w:vAlign w:val="center"/>
          </w:tcPr>
          <w:p w14:paraId="6B76F156">
            <w:pPr>
              <w:widowControl/>
              <w:adjustRightInd w:val="0"/>
              <w:snapToGrid w:val="0"/>
              <w:jc w:val="center"/>
              <w:rPr>
                <w:rFonts w:ascii="宋体" w:hAnsi="宋体"/>
                <w:color w:val="auto"/>
              </w:rPr>
            </w:pPr>
          </w:p>
        </w:tc>
        <w:tc>
          <w:tcPr>
            <w:tcW w:w="734" w:type="pct"/>
            <w:vAlign w:val="center"/>
          </w:tcPr>
          <w:p w14:paraId="06DEEC41">
            <w:pPr>
              <w:pStyle w:val="81"/>
              <w:rPr>
                <w:rFonts w:hAnsi="宋体"/>
                <w:color w:val="auto"/>
              </w:rPr>
            </w:pPr>
            <w:r>
              <w:rPr>
                <w:rFonts w:hint="eastAsia" w:hAnsi="宋体"/>
                <w:color w:val="auto"/>
              </w:rPr>
              <w:t>运营期油泥砂、废沾油防渗材料、废润滑油、废包装材料</w:t>
            </w:r>
          </w:p>
        </w:tc>
        <w:tc>
          <w:tcPr>
            <w:tcW w:w="1510" w:type="pct"/>
            <w:vAlign w:val="center"/>
          </w:tcPr>
          <w:p w14:paraId="5C23C813">
            <w:pPr>
              <w:pStyle w:val="81"/>
              <w:rPr>
                <w:rFonts w:hAnsi="宋体"/>
                <w:color w:val="auto"/>
              </w:rPr>
            </w:pPr>
            <w:r>
              <w:rPr>
                <w:rFonts w:hint="eastAsia" w:hAnsi="宋体"/>
                <w:color w:val="auto"/>
              </w:rPr>
              <w:t>油泥砂、废沾油防渗材料、废润滑油、废包装材料分区暂存于</w:t>
            </w:r>
            <w:r>
              <w:rPr>
                <w:rFonts w:hint="eastAsia" w:hAnsi="宋体"/>
                <w:bCs/>
                <w:color w:val="auto"/>
              </w:rPr>
              <w:t>滨博采油管理区油泥砂贮存池和高青联合站油泥砂贮存池</w:t>
            </w:r>
            <w:r>
              <w:rPr>
                <w:rFonts w:hint="eastAsia" w:hAnsi="宋体"/>
                <w:color w:val="auto"/>
              </w:rPr>
              <w:t>，最终委托有危废处理资质的单位处置</w:t>
            </w:r>
          </w:p>
        </w:tc>
        <w:tc>
          <w:tcPr>
            <w:tcW w:w="1216" w:type="pct"/>
            <w:vAlign w:val="center"/>
          </w:tcPr>
          <w:p w14:paraId="7C26989F">
            <w:pPr>
              <w:pStyle w:val="81"/>
              <w:rPr>
                <w:rFonts w:hAnsi="宋体"/>
                <w:color w:val="auto"/>
              </w:rPr>
            </w:pPr>
            <w:r>
              <w:rPr>
                <w:rFonts w:hint="eastAsia"/>
                <w:color w:val="auto"/>
              </w:rPr>
              <w:t>本期工程验收调查期间未产生危险废物。产生后将</w:t>
            </w:r>
            <w:r>
              <w:rPr>
                <w:rFonts w:hint="eastAsia" w:hAnsi="宋体"/>
                <w:color w:val="auto"/>
              </w:rPr>
              <w:t>分区暂存于</w:t>
            </w:r>
            <w:r>
              <w:rPr>
                <w:rFonts w:hint="eastAsia" w:hAnsi="宋体"/>
                <w:bCs/>
                <w:color w:val="auto"/>
              </w:rPr>
              <w:t>滨博采油管理区油泥砂贮存池和高青联合站油泥砂贮存池</w:t>
            </w:r>
            <w:r>
              <w:rPr>
                <w:rFonts w:hint="eastAsia" w:hAnsi="宋体"/>
                <w:color w:val="auto"/>
              </w:rPr>
              <w:t>，最终委托有危废处理资质的单位处置</w:t>
            </w:r>
          </w:p>
        </w:tc>
        <w:tc>
          <w:tcPr>
            <w:tcW w:w="797" w:type="pct"/>
            <w:vAlign w:val="center"/>
          </w:tcPr>
          <w:p w14:paraId="6DBDE570">
            <w:pPr>
              <w:pStyle w:val="81"/>
              <w:rPr>
                <w:rFonts w:hAnsi="宋体"/>
                <w:color w:val="auto"/>
              </w:rPr>
            </w:pPr>
            <w:r>
              <w:rPr>
                <w:rFonts w:hint="eastAsia" w:hAnsi="宋体"/>
                <w:color w:val="auto"/>
              </w:rPr>
              <w:t>/</w:t>
            </w:r>
          </w:p>
        </w:tc>
      </w:tr>
      <w:tr w14:paraId="22EF5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5AEBCE6B">
            <w:pPr>
              <w:widowControl/>
              <w:adjustRightInd w:val="0"/>
              <w:snapToGrid w:val="0"/>
              <w:jc w:val="center"/>
              <w:rPr>
                <w:rFonts w:ascii="宋体" w:hAnsi="宋体"/>
                <w:color w:val="auto"/>
              </w:rPr>
            </w:pPr>
          </w:p>
        </w:tc>
        <w:tc>
          <w:tcPr>
            <w:tcW w:w="369" w:type="pct"/>
            <w:vMerge w:val="continue"/>
            <w:vAlign w:val="center"/>
          </w:tcPr>
          <w:p w14:paraId="3E7E30B9">
            <w:pPr>
              <w:widowControl/>
              <w:adjustRightInd w:val="0"/>
              <w:snapToGrid w:val="0"/>
              <w:jc w:val="center"/>
              <w:rPr>
                <w:rFonts w:ascii="宋体" w:hAnsi="宋体"/>
                <w:color w:val="auto"/>
              </w:rPr>
            </w:pPr>
          </w:p>
        </w:tc>
        <w:tc>
          <w:tcPr>
            <w:tcW w:w="734" w:type="pct"/>
            <w:vAlign w:val="center"/>
          </w:tcPr>
          <w:p w14:paraId="579C82F0">
            <w:pPr>
              <w:pStyle w:val="81"/>
              <w:rPr>
                <w:rFonts w:hAnsi="宋体"/>
                <w:color w:val="auto"/>
              </w:rPr>
            </w:pPr>
            <w:r>
              <w:rPr>
                <w:rFonts w:hint="eastAsia" w:hAnsi="宋体"/>
                <w:color w:val="auto"/>
              </w:rPr>
              <w:t>废弃的含油抹布、劳保用品</w:t>
            </w:r>
          </w:p>
        </w:tc>
        <w:tc>
          <w:tcPr>
            <w:tcW w:w="1510" w:type="pct"/>
            <w:vAlign w:val="center"/>
          </w:tcPr>
          <w:p w14:paraId="58C0832B">
            <w:pPr>
              <w:pStyle w:val="81"/>
              <w:rPr>
                <w:rFonts w:hAnsi="宋体"/>
                <w:color w:val="auto"/>
              </w:rPr>
            </w:pPr>
            <w:r>
              <w:rPr>
                <w:rFonts w:hint="eastAsia" w:hAnsi="宋体"/>
                <w:color w:val="auto"/>
              </w:rPr>
              <w:t>废弃的含油抹布、劳保用品委托有资质单位处置</w:t>
            </w:r>
          </w:p>
        </w:tc>
        <w:tc>
          <w:tcPr>
            <w:tcW w:w="1216" w:type="pct"/>
            <w:vAlign w:val="center"/>
          </w:tcPr>
          <w:p w14:paraId="6ED20A37">
            <w:pPr>
              <w:pStyle w:val="81"/>
              <w:rPr>
                <w:rFonts w:hAnsi="宋体"/>
                <w:color w:val="auto"/>
              </w:rPr>
            </w:pPr>
            <w:r>
              <w:rPr>
                <w:rFonts w:hint="eastAsia"/>
                <w:color w:val="auto"/>
              </w:rPr>
              <w:t>本期工程验收调查期间未产生。产生后</w:t>
            </w:r>
            <w:r>
              <w:rPr>
                <w:rFonts w:hint="eastAsia" w:hAnsi="宋体"/>
                <w:color w:val="auto"/>
              </w:rPr>
              <w:t>委托有资质单位处置</w:t>
            </w:r>
          </w:p>
        </w:tc>
        <w:tc>
          <w:tcPr>
            <w:tcW w:w="797" w:type="pct"/>
            <w:vAlign w:val="center"/>
          </w:tcPr>
          <w:p w14:paraId="164F31E2">
            <w:pPr>
              <w:pStyle w:val="81"/>
              <w:rPr>
                <w:rFonts w:hAnsi="宋体"/>
                <w:color w:val="auto"/>
              </w:rPr>
            </w:pPr>
            <w:r>
              <w:rPr>
                <w:rFonts w:hint="eastAsia" w:hAnsi="宋体"/>
                <w:color w:val="auto"/>
              </w:rPr>
              <w:t>/</w:t>
            </w:r>
          </w:p>
        </w:tc>
      </w:tr>
      <w:tr w14:paraId="535F6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0B362B1D">
            <w:pPr>
              <w:widowControl/>
              <w:adjustRightInd w:val="0"/>
              <w:snapToGrid w:val="0"/>
              <w:jc w:val="center"/>
              <w:rPr>
                <w:rFonts w:ascii="宋体" w:hAnsi="宋体"/>
                <w:color w:val="auto"/>
              </w:rPr>
            </w:pPr>
          </w:p>
        </w:tc>
        <w:tc>
          <w:tcPr>
            <w:tcW w:w="369" w:type="pct"/>
            <w:vMerge w:val="restart"/>
            <w:vAlign w:val="center"/>
          </w:tcPr>
          <w:p w14:paraId="528DE073">
            <w:pPr>
              <w:pStyle w:val="81"/>
              <w:rPr>
                <w:rFonts w:hAnsi="宋体"/>
                <w:color w:val="auto"/>
              </w:rPr>
            </w:pPr>
            <w:r>
              <w:rPr>
                <w:rFonts w:hint="eastAsia" w:hAnsi="宋体"/>
                <w:color w:val="auto"/>
              </w:rPr>
              <w:t>废气</w:t>
            </w:r>
          </w:p>
        </w:tc>
        <w:tc>
          <w:tcPr>
            <w:tcW w:w="734" w:type="pct"/>
            <w:vAlign w:val="center"/>
          </w:tcPr>
          <w:p w14:paraId="17B8EA6C">
            <w:pPr>
              <w:pStyle w:val="81"/>
              <w:rPr>
                <w:rFonts w:hAnsi="宋体"/>
                <w:color w:val="auto"/>
              </w:rPr>
            </w:pPr>
            <w:r>
              <w:rPr>
                <w:rFonts w:hint="eastAsia" w:hAnsi="宋体"/>
                <w:color w:val="auto"/>
              </w:rPr>
              <w:t>施工废气</w:t>
            </w:r>
          </w:p>
        </w:tc>
        <w:tc>
          <w:tcPr>
            <w:tcW w:w="1510" w:type="pct"/>
            <w:vAlign w:val="center"/>
          </w:tcPr>
          <w:p w14:paraId="25BF9FE6">
            <w:pPr>
              <w:pStyle w:val="81"/>
              <w:rPr>
                <w:rFonts w:hAnsi="宋体"/>
                <w:color w:val="auto"/>
              </w:rPr>
            </w:pPr>
            <w:bookmarkStart w:id="101" w:name="OLE_LINK67"/>
            <w:r>
              <w:rPr>
                <w:rFonts w:hint="eastAsia" w:hAnsi="宋体"/>
                <w:color w:val="auto"/>
              </w:rPr>
              <w:t>原材料运输、堆放要求遮盖；及时清理场地上弃渣料，采取加盖防尘网、洒水抑尘；加强施工管理，尽可能缩短施工周期</w:t>
            </w:r>
            <w:bookmarkEnd w:id="101"/>
          </w:p>
        </w:tc>
        <w:tc>
          <w:tcPr>
            <w:tcW w:w="1216" w:type="pct"/>
            <w:vAlign w:val="center"/>
          </w:tcPr>
          <w:p w14:paraId="3E959753">
            <w:pPr>
              <w:pStyle w:val="81"/>
              <w:rPr>
                <w:rFonts w:hAnsi="宋体"/>
                <w:color w:val="auto"/>
              </w:rPr>
            </w:pPr>
            <w:r>
              <w:rPr>
                <w:rFonts w:hint="eastAsia" w:hAnsi="宋体"/>
                <w:color w:val="auto"/>
              </w:rPr>
              <w:t>原材料运输、堆放要求遮盖；及时清理场地上弃渣料，采取加盖防尘网、洒水抑尘；加强施工管理，尽可能缩短施工周期</w:t>
            </w:r>
          </w:p>
        </w:tc>
        <w:tc>
          <w:tcPr>
            <w:tcW w:w="797" w:type="pct"/>
            <w:vAlign w:val="center"/>
          </w:tcPr>
          <w:p w14:paraId="205BA90B">
            <w:pPr>
              <w:pStyle w:val="81"/>
              <w:rPr>
                <w:rFonts w:hAnsi="宋体"/>
                <w:color w:val="auto"/>
              </w:rPr>
            </w:pPr>
            <w:r>
              <w:rPr>
                <w:rFonts w:hint="eastAsia" w:hAnsi="宋体"/>
                <w:color w:val="auto"/>
              </w:rPr>
              <w:t>/</w:t>
            </w:r>
          </w:p>
        </w:tc>
      </w:tr>
      <w:tr w14:paraId="2D6CB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704C2F66">
            <w:pPr>
              <w:widowControl/>
              <w:adjustRightInd w:val="0"/>
              <w:snapToGrid w:val="0"/>
              <w:jc w:val="center"/>
              <w:rPr>
                <w:rFonts w:ascii="宋体" w:hAnsi="宋体"/>
                <w:color w:val="auto"/>
              </w:rPr>
            </w:pPr>
          </w:p>
        </w:tc>
        <w:tc>
          <w:tcPr>
            <w:tcW w:w="369" w:type="pct"/>
            <w:vMerge w:val="continue"/>
            <w:vAlign w:val="center"/>
          </w:tcPr>
          <w:p w14:paraId="1A3E3358">
            <w:pPr>
              <w:widowControl/>
              <w:adjustRightInd w:val="0"/>
              <w:snapToGrid w:val="0"/>
              <w:jc w:val="center"/>
              <w:rPr>
                <w:rFonts w:ascii="宋体" w:hAnsi="宋体"/>
                <w:color w:val="auto"/>
              </w:rPr>
            </w:pPr>
          </w:p>
        </w:tc>
        <w:tc>
          <w:tcPr>
            <w:tcW w:w="734" w:type="pct"/>
            <w:vAlign w:val="center"/>
          </w:tcPr>
          <w:p w14:paraId="51052A82">
            <w:pPr>
              <w:pStyle w:val="81"/>
              <w:rPr>
                <w:rFonts w:hAnsi="宋体"/>
                <w:color w:val="auto"/>
              </w:rPr>
            </w:pPr>
            <w:r>
              <w:rPr>
                <w:rFonts w:hint="eastAsia" w:hAnsi="宋体"/>
                <w:color w:val="auto"/>
              </w:rPr>
              <w:t>运营期无组织废气</w:t>
            </w:r>
          </w:p>
        </w:tc>
        <w:tc>
          <w:tcPr>
            <w:tcW w:w="1510" w:type="pct"/>
            <w:vAlign w:val="center"/>
          </w:tcPr>
          <w:p w14:paraId="491CBCF0">
            <w:pPr>
              <w:pStyle w:val="81"/>
              <w:rPr>
                <w:rFonts w:hAnsi="宋体"/>
                <w:color w:val="auto"/>
              </w:rPr>
            </w:pPr>
            <w:r>
              <w:rPr>
                <w:rFonts w:hint="eastAsia" w:hAnsi="宋体"/>
                <w:color w:val="auto"/>
              </w:rPr>
              <w:t>在油井井口安装油套连通套管气回收装置107套；多功能罐为压力罐、设有压力平衡系统。</w:t>
            </w:r>
          </w:p>
        </w:tc>
        <w:tc>
          <w:tcPr>
            <w:tcW w:w="1216" w:type="pct"/>
            <w:vAlign w:val="center"/>
          </w:tcPr>
          <w:p w14:paraId="7E938686">
            <w:pPr>
              <w:pStyle w:val="81"/>
              <w:rPr>
                <w:rFonts w:hAnsi="宋体"/>
                <w:color w:val="auto"/>
              </w:rPr>
            </w:pPr>
            <w:r>
              <w:rPr>
                <w:rFonts w:hint="eastAsia" w:hAnsi="宋体"/>
                <w:color w:val="auto"/>
              </w:rPr>
              <w:t>每口新钻油井安装1套油套连通装置或回收装置（自喷井后期安装抽油机后补充安装），当前共新装了</w:t>
            </w:r>
            <w:r>
              <w:rPr>
                <w:rFonts w:hAnsi="宋体"/>
                <w:color w:val="auto"/>
              </w:rPr>
              <w:t>9</w:t>
            </w:r>
            <w:r>
              <w:rPr>
                <w:rFonts w:hint="eastAsia" w:hAnsi="宋体"/>
                <w:color w:val="auto"/>
              </w:rPr>
              <w:t>套</w:t>
            </w:r>
            <w:r>
              <w:rPr>
                <w:rFonts w:hint="eastAsia" w:hAnsi="宋体"/>
                <w:color w:val="auto"/>
              </w:rPr>
              <w:t>；多功能罐为压力罐、设有压力平衡系统</w:t>
            </w:r>
          </w:p>
        </w:tc>
        <w:tc>
          <w:tcPr>
            <w:tcW w:w="797" w:type="pct"/>
            <w:vAlign w:val="center"/>
          </w:tcPr>
          <w:p w14:paraId="61EBEFF1">
            <w:pPr>
              <w:pStyle w:val="81"/>
              <w:rPr>
                <w:rFonts w:hAnsi="宋体"/>
                <w:color w:val="auto"/>
              </w:rPr>
            </w:pPr>
            <w:r>
              <w:rPr>
                <w:rFonts w:hint="eastAsia" w:hAnsi="宋体"/>
                <w:color w:val="auto"/>
              </w:rPr>
              <w:t>/</w:t>
            </w:r>
          </w:p>
        </w:tc>
      </w:tr>
      <w:tr w14:paraId="25F34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73E289D4">
            <w:pPr>
              <w:widowControl/>
              <w:adjustRightInd w:val="0"/>
              <w:snapToGrid w:val="0"/>
              <w:jc w:val="center"/>
              <w:rPr>
                <w:rFonts w:ascii="宋体" w:hAnsi="宋体"/>
                <w:color w:val="auto"/>
              </w:rPr>
            </w:pPr>
          </w:p>
        </w:tc>
        <w:tc>
          <w:tcPr>
            <w:tcW w:w="369" w:type="pct"/>
            <w:vMerge w:val="continue"/>
            <w:vAlign w:val="center"/>
          </w:tcPr>
          <w:p w14:paraId="68333A7F">
            <w:pPr>
              <w:widowControl/>
              <w:adjustRightInd w:val="0"/>
              <w:snapToGrid w:val="0"/>
              <w:jc w:val="center"/>
              <w:rPr>
                <w:rFonts w:ascii="宋体" w:hAnsi="宋体"/>
                <w:color w:val="auto"/>
              </w:rPr>
            </w:pPr>
          </w:p>
        </w:tc>
        <w:tc>
          <w:tcPr>
            <w:tcW w:w="734" w:type="pct"/>
            <w:vAlign w:val="center"/>
          </w:tcPr>
          <w:p w14:paraId="79DB4313">
            <w:pPr>
              <w:pStyle w:val="81"/>
              <w:rPr>
                <w:rFonts w:hAnsi="宋体"/>
                <w:color w:val="auto"/>
              </w:rPr>
            </w:pPr>
            <w:r>
              <w:rPr>
                <w:rFonts w:hint="eastAsia" w:hAnsi="宋体"/>
                <w:color w:val="auto"/>
              </w:rPr>
              <w:t>运营期有组织废气</w:t>
            </w:r>
          </w:p>
        </w:tc>
        <w:tc>
          <w:tcPr>
            <w:tcW w:w="1510" w:type="pct"/>
            <w:vAlign w:val="center"/>
          </w:tcPr>
          <w:p w14:paraId="23CA0A19">
            <w:pPr>
              <w:pStyle w:val="81"/>
              <w:rPr>
                <w:rFonts w:hAnsi="宋体"/>
                <w:color w:val="auto"/>
              </w:rPr>
            </w:pPr>
            <w:r>
              <w:rPr>
                <w:rFonts w:hint="eastAsia" w:hAnsi="宋体"/>
                <w:color w:val="auto"/>
              </w:rPr>
              <w:t>多功能罐、加热炉采用井口伴生气作为燃料，设低氮燃烧器，</w:t>
            </w:r>
            <w:bookmarkStart w:id="102" w:name="OLE_LINK74"/>
            <w:r>
              <w:rPr>
                <w:rFonts w:hint="eastAsia" w:hAnsi="宋体"/>
                <w:color w:val="auto"/>
              </w:rPr>
              <w:t>废气分别通过15m、8m高排气筒排放</w:t>
            </w:r>
            <w:bookmarkEnd w:id="102"/>
          </w:p>
        </w:tc>
        <w:tc>
          <w:tcPr>
            <w:tcW w:w="1216" w:type="pct"/>
            <w:vAlign w:val="center"/>
          </w:tcPr>
          <w:p w14:paraId="198A93E5">
            <w:pPr>
              <w:pStyle w:val="81"/>
              <w:rPr>
                <w:rFonts w:hAnsi="宋体"/>
                <w:color w:val="auto"/>
              </w:rPr>
            </w:pPr>
            <w:r>
              <w:rPr>
                <w:rFonts w:hint="eastAsia" w:hAnsi="宋体"/>
                <w:color w:val="auto"/>
              </w:rPr>
              <w:t>本期工程井场加热炉采用井口伴生气作为燃料，</w:t>
            </w:r>
            <w:bookmarkStart w:id="103" w:name="OLE_LINK262"/>
            <w:bookmarkStart w:id="104" w:name="OLE_LINK263"/>
            <w:r>
              <w:rPr>
                <w:rFonts w:hint="eastAsia" w:hAnsi="宋体"/>
                <w:color w:val="auto"/>
              </w:rPr>
              <w:t>设低氮燃烧器, 废气通过不低于8m高排气筒排放</w:t>
            </w:r>
            <w:bookmarkEnd w:id="103"/>
            <w:bookmarkEnd w:id="104"/>
            <w:r>
              <w:rPr>
                <w:rFonts w:hint="eastAsia" w:hAnsi="宋体"/>
                <w:color w:val="auto"/>
              </w:rPr>
              <w:t>；高青联合站加热炉采用净化天然气为燃料，设低氮燃烧器, 废气通过</w:t>
            </w:r>
            <w:r>
              <w:rPr>
                <w:rFonts w:hAnsi="宋体"/>
                <w:color w:val="auto"/>
              </w:rPr>
              <w:t>15</w:t>
            </w:r>
            <w:r>
              <w:rPr>
                <w:rFonts w:hint="eastAsia" w:hAnsi="宋体"/>
                <w:color w:val="auto"/>
              </w:rPr>
              <w:t>m高排气筒排放</w:t>
            </w:r>
            <w:r>
              <w:rPr>
                <w:rFonts w:hint="eastAsia" w:hAnsi="宋体"/>
                <w:color w:val="auto"/>
              </w:rPr>
              <w:t>；多功能罐为电加热</w:t>
            </w:r>
          </w:p>
        </w:tc>
        <w:tc>
          <w:tcPr>
            <w:tcW w:w="797" w:type="pct"/>
            <w:vAlign w:val="center"/>
          </w:tcPr>
          <w:p w14:paraId="57A192E9">
            <w:pPr>
              <w:pStyle w:val="81"/>
              <w:rPr>
                <w:rFonts w:hAnsi="宋体"/>
                <w:color w:val="auto"/>
              </w:rPr>
            </w:pPr>
            <w:r>
              <w:rPr>
                <w:rFonts w:hint="eastAsia" w:hAnsi="宋体"/>
                <w:color w:val="auto"/>
              </w:rPr>
              <w:t>/</w:t>
            </w:r>
          </w:p>
        </w:tc>
      </w:tr>
      <w:tr w14:paraId="395C8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6E90819A">
            <w:pPr>
              <w:widowControl/>
              <w:adjustRightInd w:val="0"/>
              <w:snapToGrid w:val="0"/>
              <w:jc w:val="center"/>
              <w:rPr>
                <w:rFonts w:ascii="宋体" w:hAnsi="宋体"/>
                <w:color w:val="auto"/>
              </w:rPr>
            </w:pPr>
          </w:p>
        </w:tc>
        <w:tc>
          <w:tcPr>
            <w:tcW w:w="369" w:type="pct"/>
            <w:vMerge w:val="restart"/>
            <w:vAlign w:val="center"/>
          </w:tcPr>
          <w:p w14:paraId="60B6F12D">
            <w:pPr>
              <w:pStyle w:val="81"/>
              <w:rPr>
                <w:rFonts w:hAnsi="宋体"/>
                <w:color w:val="auto"/>
              </w:rPr>
            </w:pPr>
            <w:r>
              <w:rPr>
                <w:rFonts w:hint="eastAsia" w:hAnsi="宋体"/>
                <w:color w:val="auto"/>
              </w:rPr>
              <w:t>噪声</w:t>
            </w:r>
          </w:p>
        </w:tc>
        <w:tc>
          <w:tcPr>
            <w:tcW w:w="734" w:type="pct"/>
            <w:vAlign w:val="center"/>
          </w:tcPr>
          <w:p w14:paraId="686E3156">
            <w:pPr>
              <w:pStyle w:val="81"/>
              <w:rPr>
                <w:rFonts w:hAnsi="宋体"/>
                <w:color w:val="auto"/>
              </w:rPr>
            </w:pPr>
            <w:r>
              <w:rPr>
                <w:rFonts w:hint="eastAsia" w:hAnsi="宋体"/>
                <w:color w:val="auto"/>
              </w:rPr>
              <w:t>施工期噪声</w:t>
            </w:r>
          </w:p>
        </w:tc>
        <w:tc>
          <w:tcPr>
            <w:tcW w:w="1510" w:type="pct"/>
            <w:vAlign w:val="center"/>
          </w:tcPr>
          <w:p w14:paraId="1C39773E">
            <w:pPr>
              <w:pStyle w:val="81"/>
              <w:rPr>
                <w:rFonts w:hAnsi="宋体"/>
                <w:color w:val="auto"/>
              </w:rPr>
            </w:pPr>
            <w:r>
              <w:rPr>
                <w:rFonts w:hint="eastAsia" w:hAnsi="宋体"/>
                <w:color w:val="auto"/>
              </w:rPr>
              <w:t>合理布置井位，尽量避开居民区等声环境敏感目标</w:t>
            </w:r>
          </w:p>
        </w:tc>
        <w:tc>
          <w:tcPr>
            <w:tcW w:w="1216" w:type="pct"/>
            <w:vAlign w:val="center"/>
          </w:tcPr>
          <w:p w14:paraId="164DA44D">
            <w:pPr>
              <w:pStyle w:val="81"/>
              <w:rPr>
                <w:rFonts w:hAnsi="宋体"/>
                <w:color w:val="auto"/>
              </w:rPr>
            </w:pPr>
            <w:r>
              <w:rPr>
                <w:rFonts w:hint="eastAsia" w:hAnsi="宋体"/>
                <w:color w:val="auto"/>
              </w:rPr>
              <w:t>已合理布置井位，尽量避开了居民区等声环境敏感目标</w:t>
            </w:r>
          </w:p>
        </w:tc>
        <w:tc>
          <w:tcPr>
            <w:tcW w:w="797" w:type="pct"/>
            <w:vAlign w:val="center"/>
          </w:tcPr>
          <w:p w14:paraId="13E52A49">
            <w:pPr>
              <w:pStyle w:val="81"/>
              <w:rPr>
                <w:rFonts w:hAnsi="宋体"/>
                <w:color w:val="auto"/>
              </w:rPr>
            </w:pPr>
            <w:r>
              <w:rPr>
                <w:rFonts w:hint="eastAsia" w:hAnsi="宋体"/>
                <w:color w:val="auto"/>
              </w:rPr>
              <w:t>/</w:t>
            </w:r>
          </w:p>
        </w:tc>
      </w:tr>
      <w:tr w14:paraId="12CBF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3D0484BB">
            <w:pPr>
              <w:widowControl/>
              <w:adjustRightInd w:val="0"/>
              <w:snapToGrid w:val="0"/>
              <w:jc w:val="center"/>
              <w:rPr>
                <w:rFonts w:ascii="宋体" w:hAnsi="宋体"/>
                <w:color w:val="auto"/>
              </w:rPr>
            </w:pPr>
          </w:p>
        </w:tc>
        <w:tc>
          <w:tcPr>
            <w:tcW w:w="369" w:type="pct"/>
            <w:vMerge w:val="continue"/>
            <w:vAlign w:val="center"/>
          </w:tcPr>
          <w:p w14:paraId="6D6064B8">
            <w:pPr>
              <w:widowControl/>
              <w:adjustRightInd w:val="0"/>
              <w:snapToGrid w:val="0"/>
              <w:jc w:val="center"/>
              <w:rPr>
                <w:rFonts w:ascii="宋体" w:hAnsi="宋体"/>
                <w:color w:val="auto"/>
              </w:rPr>
            </w:pPr>
          </w:p>
        </w:tc>
        <w:tc>
          <w:tcPr>
            <w:tcW w:w="734" w:type="pct"/>
            <w:vAlign w:val="center"/>
          </w:tcPr>
          <w:p w14:paraId="39F42EFE">
            <w:pPr>
              <w:pStyle w:val="81"/>
              <w:rPr>
                <w:rFonts w:hAnsi="宋体"/>
                <w:color w:val="auto"/>
              </w:rPr>
            </w:pPr>
            <w:r>
              <w:rPr>
                <w:rFonts w:hint="eastAsia" w:hAnsi="宋体"/>
                <w:color w:val="auto"/>
              </w:rPr>
              <w:t>运营期噪声</w:t>
            </w:r>
          </w:p>
        </w:tc>
        <w:tc>
          <w:tcPr>
            <w:tcW w:w="1510" w:type="pct"/>
            <w:vAlign w:val="center"/>
          </w:tcPr>
          <w:p w14:paraId="13DF98E5">
            <w:pPr>
              <w:pStyle w:val="81"/>
              <w:rPr>
                <w:rFonts w:hAnsi="宋体"/>
                <w:color w:val="auto"/>
              </w:rPr>
            </w:pPr>
            <w:r>
              <w:rPr>
                <w:rFonts w:hint="eastAsia" w:hAnsi="宋体"/>
                <w:color w:val="auto"/>
              </w:rPr>
              <w:t>选用低噪声设备，加强设备维修保养</w:t>
            </w:r>
          </w:p>
        </w:tc>
        <w:tc>
          <w:tcPr>
            <w:tcW w:w="1216" w:type="pct"/>
            <w:vAlign w:val="center"/>
          </w:tcPr>
          <w:p w14:paraId="469ECF4C">
            <w:pPr>
              <w:pStyle w:val="81"/>
              <w:rPr>
                <w:rFonts w:hAnsi="宋体"/>
                <w:color w:val="auto"/>
              </w:rPr>
            </w:pPr>
            <w:r>
              <w:rPr>
                <w:rFonts w:hint="eastAsia" w:hAnsi="宋体"/>
                <w:color w:val="auto"/>
              </w:rPr>
              <w:t>新增掺水泵、油气混输泵等选用了低噪声设备，加强了设备维修保养</w:t>
            </w:r>
          </w:p>
        </w:tc>
        <w:tc>
          <w:tcPr>
            <w:tcW w:w="797" w:type="pct"/>
            <w:vAlign w:val="center"/>
          </w:tcPr>
          <w:p w14:paraId="6FDA5A54">
            <w:pPr>
              <w:pStyle w:val="81"/>
              <w:rPr>
                <w:rFonts w:hAnsi="宋体"/>
                <w:color w:val="auto"/>
              </w:rPr>
            </w:pPr>
            <w:r>
              <w:rPr>
                <w:rFonts w:hint="eastAsia" w:hAnsi="宋体"/>
                <w:color w:val="auto"/>
              </w:rPr>
              <w:t>/</w:t>
            </w:r>
          </w:p>
        </w:tc>
      </w:tr>
      <w:tr w14:paraId="1BFCC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2740406B">
            <w:pPr>
              <w:widowControl/>
              <w:adjustRightInd w:val="0"/>
              <w:snapToGrid w:val="0"/>
              <w:jc w:val="center"/>
              <w:rPr>
                <w:rFonts w:ascii="宋体" w:hAnsi="宋体"/>
                <w:color w:val="auto"/>
              </w:rPr>
            </w:pPr>
          </w:p>
        </w:tc>
        <w:tc>
          <w:tcPr>
            <w:tcW w:w="369" w:type="pct"/>
            <w:vAlign w:val="center"/>
          </w:tcPr>
          <w:p w14:paraId="2330C570">
            <w:pPr>
              <w:pStyle w:val="81"/>
              <w:rPr>
                <w:rFonts w:hAnsi="宋体"/>
                <w:color w:val="auto"/>
              </w:rPr>
            </w:pPr>
            <w:r>
              <w:rPr>
                <w:rFonts w:hint="eastAsia" w:hAnsi="宋体"/>
                <w:color w:val="auto"/>
              </w:rPr>
              <w:t>生态</w:t>
            </w:r>
          </w:p>
        </w:tc>
        <w:tc>
          <w:tcPr>
            <w:tcW w:w="734" w:type="pct"/>
            <w:vAlign w:val="center"/>
          </w:tcPr>
          <w:p w14:paraId="1C77EE47">
            <w:pPr>
              <w:pStyle w:val="81"/>
              <w:rPr>
                <w:rFonts w:hAnsi="宋体"/>
                <w:color w:val="auto"/>
              </w:rPr>
            </w:pPr>
            <w:r>
              <w:rPr>
                <w:rFonts w:hint="eastAsia" w:hAnsi="宋体"/>
                <w:color w:val="auto"/>
              </w:rPr>
              <w:t>生态恢复</w:t>
            </w:r>
          </w:p>
        </w:tc>
        <w:tc>
          <w:tcPr>
            <w:tcW w:w="1510" w:type="pct"/>
            <w:vAlign w:val="center"/>
          </w:tcPr>
          <w:p w14:paraId="6D73F3CC">
            <w:pPr>
              <w:pStyle w:val="81"/>
              <w:rPr>
                <w:rFonts w:hAnsi="宋体"/>
                <w:color w:val="auto"/>
              </w:rPr>
            </w:pPr>
            <w:r>
              <w:rPr>
                <w:rFonts w:hint="eastAsia" w:hAnsi="宋体"/>
                <w:color w:val="auto"/>
              </w:rPr>
              <w:t>对临时占地进行生态恢复</w:t>
            </w:r>
          </w:p>
        </w:tc>
        <w:tc>
          <w:tcPr>
            <w:tcW w:w="1216" w:type="pct"/>
            <w:vAlign w:val="center"/>
          </w:tcPr>
          <w:p w14:paraId="3C104679">
            <w:pPr>
              <w:pStyle w:val="81"/>
              <w:rPr>
                <w:rFonts w:hAnsi="宋体"/>
                <w:color w:val="auto"/>
              </w:rPr>
            </w:pPr>
            <w:r>
              <w:rPr>
                <w:rFonts w:hint="eastAsia" w:hAnsi="宋体"/>
                <w:color w:val="auto"/>
              </w:rPr>
              <w:t>对临时占地进行了生态恢复，地貌已基本恢复</w:t>
            </w:r>
          </w:p>
        </w:tc>
        <w:tc>
          <w:tcPr>
            <w:tcW w:w="797" w:type="pct"/>
            <w:vAlign w:val="center"/>
          </w:tcPr>
          <w:p w14:paraId="4298E2AC">
            <w:pPr>
              <w:pStyle w:val="81"/>
              <w:rPr>
                <w:rFonts w:hAnsi="宋体"/>
                <w:color w:val="auto"/>
              </w:rPr>
            </w:pPr>
            <w:r>
              <w:rPr>
                <w:rFonts w:hint="eastAsia" w:hAnsi="宋体"/>
                <w:color w:val="auto"/>
              </w:rPr>
              <w:t>/</w:t>
            </w:r>
          </w:p>
        </w:tc>
      </w:tr>
      <w:tr w14:paraId="1C530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vAlign w:val="center"/>
          </w:tcPr>
          <w:p w14:paraId="36984380">
            <w:pPr>
              <w:widowControl/>
              <w:adjustRightInd w:val="0"/>
              <w:snapToGrid w:val="0"/>
              <w:jc w:val="center"/>
              <w:rPr>
                <w:rFonts w:ascii="宋体" w:hAnsi="宋体"/>
                <w:color w:val="auto"/>
              </w:rPr>
            </w:pPr>
          </w:p>
        </w:tc>
        <w:tc>
          <w:tcPr>
            <w:tcW w:w="369" w:type="pct"/>
            <w:vAlign w:val="center"/>
          </w:tcPr>
          <w:p w14:paraId="7655CB9A">
            <w:pPr>
              <w:pStyle w:val="81"/>
              <w:rPr>
                <w:rFonts w:hAnsi="宋体"/>
                <w:color w:val="auto"/>
              </w:rPr>
            </w:pPr>
            <w:r>
              <w:rPr>
                <w:rFonts w:hint="eastAsia" w:hAnsi="宋体"/>
                <w:color w:val="auto"/>
              </w:rPr>
              <w:t>风险</w:t>
            </w:r>
          </w:p>
        </w:tc>
        <w:tc>
          <w:tcPr>
            <w:tcW w:w="734" w:type="pct"/>
            <w:vAlign w:val="center"/>
          </w:tcPr>
          <w:p w14:paraId="684E5FA2">
            <w:pPr>
              <w:pStyle w:val="81"/>
              <w:rPr>
                <w:rFonts w:hAnsi="宋体"/>
                <w:color w:val="auto"/>
              </w:rPr>
            </w:pPr>
            <w:r>
              <w:rPr>
                <w:rFonts w:hint="eastAsia" w:hAnsi="宋体"/>
                <w:color w:val="auto"/>
              </w:rPr>
              <w:t>风险管控</w:t>
            </w:r>
          </w:p>
        </w:tc>
        <w:tc>
          <w:tcPr>
            <w:tcW w:w="1510" w:type="pct"/>
            <w:vAlign w:val="center"/>
          </w:tcPr>
          <w:p w14:paraId="3873EBED">
            <w:pPr>
              <w:pStyle w:val="81"/>
              <w:rPr>
                <w:rFonts w:hAnsi="宋体"/>
                <w:color w:val="auto"/>
              </w:rPr>
            </w:pPr>
            <w:bookmarkStart w:id="105" w:name="OLE_LINK104"/>
            <w:r>
              <w:rPr>
                <w:rFonts w:hint="eastAsia" w:hAnsi="宋体"/>
                <w:color w:val="auto"/>
              </w:rPr>
              <w:t>配备应急物资；建立健全环境风险应急预案；委托监测等</w:t>
            </w:r>
            <w:bookmarkEnd w:id="105"/>
          </w:p>
        </w:tc>
        <w:tc>
          <w:tcPr>
            <w:tcW w:w="1216" w:type="pct"/>
            <w:vAlign w:val="center"/>
          </w:tcPr>
          <w:p w14:paraId="46155D47">
            <w:pPr>
              <w:pStyle w:val="81"/>
              <w:rPr>
                <w:rFonts w:hAnsi="宋体"/>
                <w:color w:val="auto"/>
              </w:rPr>
            </w:pPr>
            <w:r>
              <w:rPr>
                <w:rFonts w:hint="eastAsia" w:hAnsi="宋体"/>
                <w:color w:val="auto"/>
              </w:rPr>
              <w:t>管理区配备了应急物资；建立健全了环境风险应急预案；执行例行监测计划</w:t>
            </w:r>
          </w:p>
        </w:tc>
        <w:tc>
          <w:tcPr>
            <w:tcW w:w="797" w:type="pct"/>
            <w:vAlign w:val="center"/>
          </w:tcPr>
          <w:p w14:paraId="03FA1496">
            <w:pPr>
              <w:pStyle w:val="81"/>
              <w:rPr>
                <w:rFonts w:hAnsi="宋体"/>
                <w:color w:val="auto"/>
              </w:rPr>
            </w:pPr>
            <w:r>
              <w:rPr>
                <w:rFonts w:hint="eastAsia" w:hAnsi="宋体"/>
                <w:color w:val="auto"/>
              </w:rPr>
              <w:t>/</w:t>
            </w:r>
          </w:p>
        </w:tc>
      </w:tr>
    </w:tbl>
    <w:p w14:paraId="7D125A06">
      <w:pPr>
        <w:tabs>
          <w:tab w:val="left" w:pos="377"/>
        </w:tabs>
        <w:adjustRightInd w:val="0"/>
        <w:snapToGrid w:val="0"/>
        <w:spacing w:before="120" w:beforeLines="50" w:line="360" w:lineRule="auto"/>
        <w:jc w:val="center"/>
        <w:rPr>
          <w:rFonts w:ascii="宋体" w:hAnsi="宋体"/>
          <w:color w:val="auto"/>
        </w:rPr>
      </w:pPr>
    </w:p>
    <w:p w14:paraId="04CF668B">
      <w:pPr>
        <w:pStyle w:val="232"/>
        <w:adjustRightInd w:val="0"/>
        <w:snapToGrid w:val="0"/>
        <w:spacing w:before="100" w:beforeAutospacing="1" w:line="360" w:lineRule="auto"/>
        <w:rPr>
          <w:rFonts w:cs="宋体"/>
          <w:color w:val="auto"/>
          <w:szCs w:val="21"/>
        </w:rPr>
        <w:sectPr>
          <w:pgSz w:w="16838" w:h="11906" w:orient="landscape"/>
          <w:pgMar w:top="1588" w:right="1418" w:bottom="1588" w:left="1418" w:header="1134" w:footer="851" w:gutter="0"/>
          <w:cols w:space="720" w:num="1"/>
          <w:docGrid w:linePitch="312" w:charSpace="0"/>
        </w:sectPr>
      </w:pPr>
      <w:bookmarkStart w:id="106" w:name="_Ref496171595"/>
      <w:bookmarkStart w:id="107" w:name="_Ref494379436"/>
      <w:bookmarkStart w:id="108" w:name="_Ref6216969"/>
    </w:p>
    <w:bookmarkEnd w:id="106"/>
    <w:bookmarkEnd w:id="107"/>
    <w:bookmarkEnd w:id="108"/>
    <w:p w14:paraId="361A923E">
      <w:pPr>
        <w:pStyle w:val="6"/>
        <w:rPr>
          <w:color w:val="auto"/>
        </w:rPr>
      </w:pPr>
      <w:r>
        <w:rPr>
          <w:rFonts w:hint="eastAsia"/>
          <w:color w:val="auto"/>
        </w:rPr>
        <w:t>钻井工程</w:t>
      </w:r>
    </w:p>
    <w:p w14:paraId="71474CE4">
      <w:pPr>
        <w:pStyle w:val="4"/>
        <w:ind w:firstLine="480"/>
        <w:rPr>
          <w:rFonts w:cs="宋体"/>
          <w:color w:val="auto"/>
        </w:rPr>
      </w:pPr>
      <w:r>
        <w:rPr>
          <w:rFonts w:hint="eastAsia" w:cs="宋体"/>
          <w:color w:val="auto"/>
        </w:rPr>
        <w:t>1）钻井数量、井位分布情况</w:t>
      </w:r>
    </w:p>
    <w:p w14:paraId="6B358F43">
      <w:pPr>
        <w:pStyle w:val="4"/>
        <w:ind w:firstLine="480"/>
        <w:rPr>
          <w:rFonts w:cs="宋体"/>
          <w:color w:val="auto"/>
        </w:rPr>
      </w:pPr>
      <w:r>
        <w:rPr>
          <w:rFonts w:hint="eastAsia" w:cs="宋体"/>
          <w:color w:val="auto"/>
        </w:rPr>
        <w:t>本项目环评阶段计划新钻1</w:t>
      </w:r>
      <w:r>
        <w:rPr>
          <w:rFonts w:cs="宋体"/>
          <w:color w:val="auto"/>
        </w:rPr>
        <w:t>63口井（油井 98口，注水井51 口），</w:t>
      </w:r>
      <w:r>
        <w:rPr>
          <w:rFonts w:hint="eastAsia" w:cs="宋体"/>
          <w:color w:val="auto"/>
        </w:rPr>
        <w:t>一期工程（即“本期工程”）</w:t>
      </w:r>
      <w:bookmarkStart w:id="109" w:name="OLE_LINK132"/>
      <w:r>
        <w:rPr>
          <w:rFonts w:hint="eastAsia" w:cs="宋体"/>
          <w:color w:val="auto"/>
        </w:rPr>
        <w:t>共</w:t>
      </w:r>
      <w:bookmarkStart w:id="110" w:name="OLE_LINK242"/>
      <w:r>
        <w:rPr>
          <w:rFonts w:hint="eastAsia" w:cs="宋体"/>
          <w:color w:val="auto"/>
        </w:rPr>
        <w:t>部署</w:t>
      </w:r>
      <w:r>
        <w:rPr>
          <w:rFonts w:cs="宋体"/>
          <w:color w:val="auto"/>
        </w:rPr>
        <w:t>24</w:t>
      </w:r>
      <w:r>
        <w:rPr>
          <w:rFonts w:hint="eastAsia" w:cs="宋体"/>
          <w:color w:val="auto"/>
        </w:rPr>
        <w:t>口井，其中探井转开发井</w:t>
      </w:r>
      <w:r>
        <w:rPr>
          <w:rFonts w:cs="宋体"/>
          <w:color w:val="auto"/>
        </w:rPr>
        <w:t>8</w:t>
      </w:r>
      <w:r>
        <w:rPr>
          <w:rFonts w:hint="eastAsia" w:cs="宋体"/>
          <w:color w:val="auto"/>
        </w:rPr>
        <w:t>口</w:t>
      </w:r>
      <w:r>
        <w:rPr>
          <w:rFonts w:hint="eastAsia" w:cs="宋体"/>
          <w:color w:val="auto"/>
        </w:rPr>
        <w:t>，新钻井</w:t>
      </w:r>
      <w:r>
        <w:rPr>
          <w:rFonts w:cs="宋体"/>
          <w:color w:val="auto"/>
        </w:rPr>
        <w:t>16口（油井9口、注水井7口）</w:t>
      </w:r>
      <w:bookmarkEnd w:id="109"/>
      <w:bookmarkEnd w:id="110"/>
      <w:r>
        <w:rPr>
          <w:rFonts w:cs="宋体"/>
          <w:color w:val="auto"/>
        </w:rPr>
        <w:t>。与环评设计相比，</w:t>
      </w:r>
      <w:r>
        <w:rPr>
          <w:rFonts w:hint="eastAsia" w:cs="宋体"/>
          <w:color w:val="auto"/>
        </w:rPr>
        <w:t>本期工程</w:t>
      </w:r>
      <w:r>
        <w:rPr>
          <w:rFonts w:cs="宋体"/>
          <w:color w:val="auto"/>
        </w:rPr>
        <w:t>实际较环评阶段</w:t>
      </w:r>
      <w:r>
        <w:rPr>
          <w:rFonts w:hint="eastAsia" w:cs="宋体"/>
          <w:color w:val="auto"/>
        </w:rPr>
        <w:t>减少</w:t>
      </w:r>
      <w:r>
        <w:rPr>
          <w:rFonts w:cs="宋体"/>
          <w:color w:val="auto"/>
        </w:rPr>
        <w:t>139</w:t>
      </w:r>
      <w:r>
        <w:rPr>
          <w:rFonts w:hint="eastAsia" w:cs="宋体"/>
          <w:color w:val="auto"/>
        </w:rPr>
        <w:t>口井</w:t>
      </w:r>
      <w:r>
        <w:rPr>
          <w:rFonts w:hint="eastAsia" w:cs="宋体"/>
          <w:color w:val="auto"/>
        </w:rPr>
        <w:t>。本项目采取分批开发方式，剩余井暂未实施，后续另行验收。本期工程施工时间一览表见</w:t>
      </w:r>
      <w:r>
        <w:rPr>
          <w:rFonts w:cs="宋体"/>
          <w:color w:val="auto"/>
        </w:rPr>
        <w:fldChar w:fldCharType="begin"/>
      </w:r>
      <w:r>
        <w:instrText xml:space="preserve"> REF _Ref225674203 \h  \* MERGEFORMAT</w:instrText>
      </w:r>
      <w:r>
        <w:rPr>
          <w:rFonts w:cs="宋体"/>
          <w:color w:val="auto"/>
        </w:rPr>
        <w:fldChar w:fldCharType="separate"/>
      </w:r>
      <w:r>
        <w:rPr>
          <w:rFonts w:hint="eastAsia"/>
          <w:color w:val="auto"/>
        </w:rPr>
        <w:t xml:space="preserve">表 </w:t>
      </w:r>
      <w:r>
        <w:rPr>
          <w:color w:val="auto"/>
        </w:rPr>
        <w:t>3.2</w:t>
      </w:r>
      <w:r>
        <w:rPr>
          <w:color w:val="auto"/>
        </w:rPr>
        <w:noBreakHyphen/>
      </w:r>
      <w:r>
        <w:rPr>
          <w:color w:val="auto"/>
        </w:rPr>
        <w:t>2</w:t>
      </w:r>
      <w:r>
        <w:rPr>
          <w:rFonts w:cs="宋体"/>
          <w:color w:val="auto"/>
        </w:rPr>
        <w:fldChar w:fldCharType="end"/>
      </w:r>
      <w:r>
        <w:rPr>
          <w:rFonts w:hint="eastAsia" w:cs="宋体"/>
          <w:color w:val="auto"/>
        </w:rPr>
        <w:t>。</w:t>
      </w:r>
    </w:p>
    <w:p w14:paraId="476EFF01">
      <w:pPr>
        <w:pStyle w:val="4"/>
        <w:ind w:firstLine="480"/>
        <w:rPr>
          <w:rFonts w:cs="宋体"/>
          <w:color w:val="auto"/>
        </w:rPr>
      </w:pPr>
      <w:r>
        <w:rPr>
          <w:rFonts w:hint="eastAsia" w:cs="宋体"/>
          <w:color w:val="auto"/>
        </w:rPr>
        <w:t>本期工程包含</w:t>
      </w:r>
      <w:r>
        <w:rPr>
          <w:rFonts w:cs="宋体"/>
          <w:color w:val="auto"/>
        </w:rPr>
        <w:t>8</w:t>
      </w:r>
      <w:r>
        <w:rPr>
          <w:rFonts w:hint="eastAsia" w:cs="宋体"/>
          <w:color w:val="auto"/>
        </w:rPr>
        <w:t>口探井转开发井</w:t>
      </w:r>
      <w:r>
        <w:rPr>
          <w:rFonts w:hint="eastAsia" w:cs="宋体"/>
          <w:color w:val="auto"/>
        </w:rPr>
        <w:t>，钻井工程不包含在本次验收范围内，其他井环评及实际钻井变更情况一览表见</w:t>
      </w:r>
      <w:r>
        <w:rPr>
          <w:rFonts w:cs="宋体"/>
          <w:color w:val="auto"/>
        </w:rPr>
        <w:fldChar w:fldCharType="begin"/>
      </w:r>
      <w:r>
        <w:instrText xml:space="preserve"> REF _Ref6216932 \h  \* MERGEFORMAT</w:instrText>
      </w:r>
      <w:r>
        <w:rPr>
          <w:rFonts w:cs="宋体"/>
          <w:color w:val="auto"/>
        </w:rPr>
        <w:fldChar w:fldCharType="separate"/>
      </w:r>
      <w:r>
        <w:rPr>
          <w:rFonts w:hint="eastAsia"/>
          <w:color w:val="auto"/>
        </w:rPr>
        <w:t xml:space="preserve">表 </w:t>
      </w:r>
      <w:r>
        <w:rPr>
          <w:color w:val="auto"/>
        </w:rPr>
        <w:t>3.2</w:t>
      </w:r>
      <w:r>
        <w:rPr>
          <w:color w:val="auto"/>
        </w:rPr>
        <w:noBreakHyphen/>
      </w:r>
      <w:r>
        <w:rPr>
          <w:color w:val="auto"/>
        </w:rPr>
        <w:t>3</w:t>
      </w:r>
      <w:r>
        <w:rPr>
          <w:rFonts w:cs="宋体"/>
          <w:color w:val="auto"/>
        </w:rPr>
        <w:fldChar w:fldCharType="end"/>
      </w:r>
      <w:r>
        <w:rPr>
          <w:rFonts w:hint="eastAsia"/>
          <w:color w:val="auto"/>
        </w:rPr>
        <w:t>。井位变更情况示意图见</w:t>
      </w:r>
      <w:r>
        <w:rPr>
          <w:color w:val="auto"/>
        </w:rPr>
        <w:fldChar w:fldCharType="begin"/>
      </w:r>
      <w:r>
        <w:instrText xml:space="preserve"> REF _Ref225340506 \h  \* MERGEFORMAT</w:instrText>
      </w:r>
      <w:r>
        <w:rPr>
          <w:color w:val="auto"/>
        </w:rPr>
        <w:fldChar w:fldCharType="separate"/>
      </w:r>
      <w:r>
        <w:rPr>
          <w:rFonts w:hint="eastAsia"/>
          <w:color w:val="auto"/>
        </w:rPr>
        <w:t xml:space="preserve">图 </w:t>
      </w:r>
      <w:r>
        <w:rPr>
          <w:color w:val="auto"/>
        </w:rPr>
        <w:t>3.2</w:t>
      </w:r>
      <w:r>
        <w:rPr>
          <w:color w:val="auto"/>
        </w:rPr>
        <w:noBreakHyphen/>
      </w:r>
      <w:r>
        <w:rPr>
          <w:color w:val="auto"/>
        </w:rPr>
        <w:t>1</w:t>
      </w:r>
      <w:r>
        <w:rPr>
          <w:color w:val="auto"/>
        </w:rPr>
        <w:fldChar w:fldCharType="end"/>
      </w:r>
      <w:r>
        <w:rPr>
          <w:rFonts w:hint="eastAsia"/>
          <w:color w:val="auto"/>
        </w:rPr>
        <w:t>，</w:t>
      </w:r>
      <w:r>
        <w:rPr>
          <w:rFonts w:hint="eastAsia" w:cs="宋体"/>
          <w:color w:val="auto"/>
        </w:rPr>
        <w:t>现场照片见</w:t>
      </w:r>
      <w:r>
        <w:rPr>
          <w:rFonts w:cs="宋体"/>
          <w:color w:val="auto"/>
        </w:rPr>
        <w:fldChar w:fldCharType="begin"/>
      </w:r>
      <w:r>
        <w:instrText xml:space="preserve"> REF _Ref223537359 \h  \* MERGEFORMAT</w:instrText>
      </w:r>
      <w:r>
        <w:rPr>
          <w:rFonts w:cs="宋体"/>
          <w:color w:val="auto"/>
        </w:rPr>
        <w:fldChar w:fldCharType="separate"/>
      </w:r>
      <w:r>
        <w:rPr>
          <w:rFonts w:hint="eastAsia"/>
          <w:color w:val="auto"/>
        </w:rPr>
        <w:t xml:space="preserve">图 </w:t>
      </w:r>
      <w:r>
        <w:rPr>
          <w:color w:val="auto"/>
        </w:rPr>
        <w:t>3.2</w:t>
      </w:r>
      <w:r>
        <w:rPr>
          <w:color w:val="auto"/>
        </w:rPr>
        <w:noBreakHyphen/>
      </w:r>
      <w:r>
        <w:rPr>
          <w:color w:val="auto"/>
        </w:rPr>
        <w:t>3</w:t>
      </w:r>
      <w:r>
        <w:rPr>
          <w:rFonts w:cs="宋体"/>
          <w:color w:val="auto"/>
        </w:rPr>
        <w:fldChar w:fldCharType="end"/>
      </w:r>
      <w:r>
        <w:rPr>
          <w:rFonts w:hint="eastAsia" w:cs="宋体"/>
          <w:color w:val="auto"/>
        </w:rPr>
        <w:t>。</w:t>
      </w:r>
    </w:p>
    <w:p w14:paraId="051C98BC">
      <w:pPr>
        <w:rPr>
          <w:color w:val="auto"/>
        </w:rPr>
        <w:sectPr>
          <w:pgSz w:w="11906" w:h="16838"/>
          <w:pgMar w:top="1418" w:right="1588" w:bottom="1418" w:left="1588" w:header="1134" w:footer="851" w:gutter="0"/>
          <w:cols w:space="720" w:num="1"/>
          <w:docGrid w:linePitch="312" w:charSpace="0"/>
        </w:sectPr>
      </w:pPr>
    </w:p>
    <w:p w14:paraId="19262E77">
      <w:pPr>
        <w:pStyle w:val="15"/>
        <w:spacing w:before="120"/>
        <w:rPr>
          <w:color w:val="auto"/>
        </w:rPr>
      </w:pPr>
      <w:bookmarkStart w:id="111" w:name="_Ref225674203"/>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2</w:t>
      </w:r>
      <w:r>
        <w:rPr>
          <w:color w:val="auto"/>
        </w:rPr>
        <w:fldChar w:fldCharType="end"/>
      </w:r>
      <w:bookmarkEnd w:id="111"/>
      <w:r>
        <w:rPr>
          <w:color w:val="auto"/>
        </w:rPr>
        <w:t xml:space="preserve"> </w:t>
      </w:r>
      <w:r>
        <w:rPr>
          <w:rFonts w:hint="eastAsia"/>
          <w:color w:val="auto"/>
        </w:rPr>
        <w:t>本期工程施工时间一览表</w:t>
      </w:r>
    </w:p>
    <w:tbl>
      <w:tblPr>
        <w:tblStyle w:val="46"/>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1516"/>
        <w:gridCol w:w="1541"/>
        <w:gridCol w:w="1661"/>
        <w:gridCol w:w="1728"/>
        <w:gridCol w:w="1527"/>
        <w:gridCol w:w="1518"/>
        <w:gridCol w:w="2332"/>
        <w:gridCol w:w="2159"/>
      </w:tblGrid>
      <w:tr w14:paraId="5A4D716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6DA5F157">
            <w:pPr>
              <w:widowControl/>
              <w:jc w:val="center"/>
              <w:rPr>
                <w:rFonts w:ascii="宋体" w:hAnsi="宋体" w:cs="宋体"/>
                <w:color w:val="auto"/>
                <w:kern w:val="0"/>
              </w:rPr>
            </w:pPr>
            <w:bookmarkStart w:id="112" w:name="_Hlk225347303"/>
            <w:r>
              <w:rPr>
                <w:rFonts w:hint="eastAsia" w:ascii="宋体" w:hAnsi="宋体" w:cs="宋体"/>
                <w:color w:val="auto"/>
                <w:kern w:val="0"/>
              </w:rPr>
              <w:t>序号</w:t>
            </w:r>
          </w:p>
        </w:tc>
        <w:tc>
          <w:tcPr>
            <w:tcW w:w="551" w:type="pct"/>
            <w:shd w:val="clear" w:color="auto" w:fill="FFFFFF"/>
            <w:vAlign w:val="center"/>
          </w:tcPr>
          <w:p w14:paraId="0112A154">
            <w:pPr>
              <w:widowControl/>
              <w:jc w:val="center"/>
              <w:rPr>
                <w:rFonts w:ascii="宋体" w:hAnsi="宋体" w:cs="宋体"/>
                <w:color w:val="auto"/>
                <w:kern w:val="0"/>
              </w:rPr>
            </w:pPr>
            <w:r>
              <w:rPr>
                <w:rFonts w:hint="eastAsia" w:ascii="宋体" w:hAnsi="宋体" w:cs="宋体"/>
                <w:color w:val="auto"/>
                <w:kern w:val="0"/>
              </w:rPr>
              <w:t>管理区</w:t>
            </w:r>
          </w:p>
        </w:tc>
        <w:tc>
          <w:tcPr>
            <w:tcW w:w="594" w:type="pct"/>
            <w:shd w:val="clear" w:color="auto" w:fill="FFFFFF"/>
            <w:vAlign w:val="center"/>
          </w:tcPr>
          <w:p w14:paraId="427E4DEE">
            <w:pPr>
              <w:widowControl/>
              <w:jc w:val="center"/>
              <w:rPr>
                <w:rFonts w:ascii="宋体" w:hAnsi="宋体" w:cs="宋体"/>
                <w:color w:val="auto"/>
                <w:kern w:val="0"/>
              </w:rPr>
            </w:pPr>
            <w:r>
              <w:rPr>
                <w:rFonts w:hint="eastAsia" w:ascii="宋体" w:hAnsi="宋体" w:cs="宋体"/>
                <w:color w:val="auto"/>
                <w:kern w:val="0"/>
              </w:rPr>
              <w:t>井号</w:t>
            </w:r>
          </w:p>
        </w:tc>
        <w:tc>
          <w:tcPr>
            <w:tcW w:w="618" w:type="pct"/>
            <w:shd w:val="clear" w:color="auto" w:fill="FFFFFF"/>
            <w:vAlign w:val="center"/>
          </w:tcPr>
          <w:p w14:paraId="549660EA">
            <w:pPr>
              <w:widowControl/>
              <w:jc w:val="center"/>
              <w:rPr>
                <w:rFonts w:ascii="宋体" w:hAnsi="宋体" w:cs="宋体"/>
                <w:color w:val="auto"/>
                <w:kern w:val="0"/>
              </w:rPr>
            </w:pPr>
            <w:r>
              <w:rPr>
                <w:rFonts w:hint="eastAsia" w:ascii="宋体" w:hAnsi="宋体" w:cs="宋体"/>
                <w:color w:val="auto"/>
                <w:kern w:val="0"/>
              </w:rPr>
              <w:t>井别</w:t>
            </w:r>
          </w:p>
        </w:tc>
        <w:tc>
          <w:tcPr>
            <w:tcW w:w="546" w:type="pct"/>
            <w:shd w:val="clear" w:color="auto" w:fill="FFFFFF"/>
            <w:vAlign w:val="center"/>
          </w:tcPr>
          <w:p w14:paraId="5B9EB901">
            <w:pPr>
              <w:widowControl/>
              <w:jc w:val="center"/>
              <w:rPr>
                <w:rFonts w:ascii="宋体" w:hAnsi="宋体" w:cs="宋体"/>
                <w:color w:val="auto"/>
                <w:kern w:val="0"/>
              </w:rPr>
            </w:pPr>
            <w:r>
              <w:rPr>
                <w:rFonts w:hint="eastAsia" w:ascii="宋体" w:hAnsi="宋体" w:cs="宋体"/>
                <w:color w:val="auto"/>
                <w:kern w:val="0"/>
              </w:rPr>
              <w:t>井场建设性质</w:t>
            </w:r>
          </w:p>
        </w:tc>
        <w:tc>
          <w:tcPr>
            <w:tcW w:w="543" w:type="pct"/>
            <w:shd w:val="clear" w:color="auto" w:fill="FFFFFF"/>
            <w:vAlign w:val="center"/>
          </w:tcPr>
          <w:p w14:paraId="13E0F29B">
            <w:pPr>
              <w:widowControl/>
              <w:jc w:val="center"/>
              <w:rPr>
                <w:rFonts w:ascii="宋体" w:hAnsi="宋体" w:cs="宋体"/>
                <w:color w:val="auto"/>
                <w:kern w:val="0"/>
              </w:rPr>
            </w:pPr>
            <w:r>
              <w:rPr>
                <w:rFonts w:hint="eastAsia" w:ascii="宋体" w:hAnsi="宋体" w:cs="宋体"/>
                <w:color w:val="auto"/>
                <w:kern w:val="0"/>
              </w:rPr>
              <w:t>井场编号</w:t>
            </w:r>
          </w:p>
        </w:tc>
        <w:tc>
          <w:tcPr>
            <w:tcW w:w="834" w:type="pct"/>
            <w:shd w:val="clear" w:color="auto" w:fill="FFFFFF"/>
            <w:vAlign w:val="center"/>
          </w:tcPr>
          <w:p w14:paraId="236A5874">
            <w:pPr>
              <w:widowControl/>
              <w:jc w:val="center"/>
              <w:rPr>
                <w:rFonts w:ascii="宋体" w:hAnsi="宋体" w:cs="宋体"/>
                <w:color w:val="auto"/>
                <w:kern w:val="0"/>
              </w:rPr>
            </w:pPr>
            <w:r>
              <w:rPr>
                <w:rFonts w:hint="eastAsia" w:ascii="宋体" w:hAnsi="宋体" w:cs="宋体"/>
                <w:color w:val="auto"/>
                <w:kern w:val="0"/>
              </w:rPr>
              <w:t>开钻时间</w:t>
            </w:r>
          </w:p>
        </w:tc>
        <w:tc>
          <w:tcPr>
            <w:tcW w:w="772" w:type="pct"/>
            <w:shd w:val="clear" w:color="auto" w:fill="FFFFFF"/>
            <w:vAlign w:val="center"/>
          </w:tcPr>
          <w:p w14:paraId="0D528DB5">
            <w:pPr>
              <w:widowControl/>
              <w:jc w:val="center"/>
              <w:rPr>
                <w:rFonts w:ascii="宋体" w:hAnsi="宋体" w:cs="宋体"/>
                <w:color w:val="auto"/>
                <w:kern w:val="0"/>
              </w:rPr>
            </w:pPr>
            <w:r>
              <w:rPr>
                <w:rFonts w:hint="eastAsia" w:ascii="宋体" w:hAnsi="宋体" w:cs="宋体"/>
                <w:color w:val="auto"/>
                <w:kern w:val="0"/>
              </w:rPr>
              <w:t>完钻时间</w:t>
            </w:r>
          </w:p>
        </w:tc>
      </w:tr>
      <w:tr w14:paraId="4F61CD8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7B36CF2B">
            <w:pPr>
              <w:pStyle w:val="76"/>
              <w:rPr>
                <w:rFonts w:hAnsi="宋体"/>
                <w:color w:val="auto"/>
              </w:rPr>
            </w:pPr>
            <w:bookmarkStart w:id="113" w:name="_Hlk231281465"/>
          </w:p>
        </w:tc>
        <w:tc>
          <w:tcPr>
            <w:tcW w:w="551" w:type="pct"/>
            <w:vMerge w:val="restart"/>
            <w:shd w:val="clear" w:color="auto" w:fill="FFFFFF"/>
            <w:noWrap/>
            <w:vAlign w:val="center"/>
          </w:tcPr>
          <w:p w14:paraId="36F21DED">
            <w:pPr>
              <w:widowControl/>
              <w:jc w:val="center"/>
              <w:rPr>
                <w:rFonts w:ascii="宋体" w:hAnsi="宋体" w:cs="宋体"/>
                <w:color w:val="auto"/>
                <w:kern w:val="0"/>
              </w:rPr>
            </w:pPr>
            <w:r>
              <w:rPr>
                <w:rFonts w:hint="eastAsia" w:ascii="宋体" w:hAnsi="宋体" w:cs="宋体"/>
                <w:color w:val="auto"/>
                <w:kern w:val="0"/>
              </w:rPr>
              <w:t>滨博</w:t>
            </w:r>
          </w:p>
        </w:tc>
        <w:tc>
          <w:tcPr>
            <w:tcW w:w="594" w:type="pct"/>
            <w:shd w:val="clear" w:color="auto" w:fill="FFFFFF"/>
            <w:noWrap/>
            <w:vAlign w:val="center"/>
          </w:tcPr>
          <w:p w14:paraId="2E5CA577">
            <w:pPr>
              <w:widowControl/>
              <w:jc w:val="center"/>
              <w:rPr>
                <w:rFonts w:ascii="宋体" w:hAnsi="宋体" w:cs="宋体"/>
                <w:color w:val="auto"/>
                <w:kern w:val="0"/>
              </w:rPr>
            </w:pPr>
            <w:bookmarkStart w:id="114" w:name="OLE_LINK231"/>
            <w:bookmarkStart w:id="115" w:name="OLE_LINK230"/>
            <w:r>
              <w:rPr>
                <w:rFonts w:hint="eastAsia" w:ascii="宋体" w:hAnsi="宋体" w:cs="宋体"/>
                <w:color w:val="auto"/>
                <w:kern w:val="0"/>
              </w:rPr>
              <w:t>FJFS-X2</w:t>
            </w:r>
            <w:bookmarkEnd w:id="114"/>
            <w:bookmarkEnd w:id="115"/>
          </w:p>
        </w:tc>
        <w:tc>
          <w:tcPr>
            <w:tcW w:w="618" w:type="pct"/>
            <w:shd w:val="clear" w:color="auto" w:fill="FFFFFF"/>
            <w:noWrap/>
            <w:vAlign w:val="center"/>
          </w:tcPr>
          <w:p w14:paraId="1A7039D7">
            <w:pPr>
              <w:widowControl/>
              <w:jc w:val="center"/>
              <w:rPr>
                <w:rFonts w:ascii="宋体" w:hAnsi="宋体" w:cs="宋体"/>
                <w:color w:val="auto"/>
                <w:kern w:val="0"/>
              </w:rPr>
            </w:pPr>
            <w:r>
              <w:rPr>
                <w:rFonts w:hint="eastAsia" w:ascii="宋体" w:hAnsi="宋体" w:cs="宋体"/>
                <w:color w:val="auto"/>
                <w:kern w:val="0"/>
              </w:rPr>
              <w:t>探井转开发井</w:t>
            </w:r>
          </w:p>
        </w:tc>
        <w:tc>
          <w:tcPr>
            <w:tcW w:w="546" w:type="pct"/>
            <w:shd w:val="clear" w:color="auto" w:fill="FFFFFF"/>
            <w:vAlign w:val="center"/>
          </w:tcPr>
          <w:p w14:paraId="68C141BB">
            <w:pPr>
              <w:widowControl/>
              <w:jc w:val="center"/>
              <w:rPr>
                <w:rFonts w:ascii="宋体" w:hAnsi="宋体" w:cs="宋体"/>
                <w:color w:val="auto"/>
                <w:kern w:val="0"/>
              </w:rPr>
            </w:pPr>
            <w:r>
              <w:rPr>
                <w:rFonts w:hint="eastAsia" w:ascii="宋体" w:hAnsi="宋体" w:cs="宋体"/>
                <w:color w:val="auto"/>
                <w:kern w:val="0"/>
              </w:rPr>
              <w:t>依托樊</w:t>
            </w:r>
            <w:r>
              <w:rPr>
                <w:rFonts w:ascii="宋体" w:hAnsi="宋体" w:cs="宋体"/>
                <w:color w:val="auto"/>
                <w:kern w:val="0"/>
              </w:rPr>
              <w:t>163-斜10井场</w:t>
            </w:r>
          </w:p>
        </w:tc>
        <w:tc>
          <w:tcPr>
            <w:tcW w:w="543" w:type="pct"/>
            <w:shd w:val="clear" w:color="auto" w:fill="FFFFFF"/>
            <w:vAlign w:val="center"/>
          </w:tcPr>
          <w:p w14:paraId="1D20BFBB">
            <w:pPr>
              <w:widowControl/>
              <w:jc w:val="center"/>
              <w:rPr>
                <w:rFonts w:ascii="宋体" w:hAnsi="宋体" w:cs="宋体"/>
                <w:color w:val="auto"/>
                <w:kern w:val="0"/>
              </w:rPr>
            </w:pPr>
            <w:r>
              <w:rPr>
                <w:rFonts w:hint="eastAsia" w:ascii="宋体" w:hAnsi="宋体" w:cs="宋体"/>
                <w:color w:val="auto"/>
                <w:kern w:val="0"/>
              </w:rPr>
              <w:t>1#</w:t>
            </w:r>
          </w:p>
        </w:tc>
        <w:tc>
          <w:tcPr>
            <w:tcW w:w="834" w:type="pct"/>
            <w:shd w:val="clear" w:color="auto" w:fill="FFFFFF"/>
            <w:vAlign w:val="center"/>
          </w:tcPr>
          <w:p w14:paraId="5E88E6A2">
            <w:pPr>
              <w:widowControl/>
              <w:jc w:val="center"/>
              <w:rPr>
                <w:rFonts w:ascii="宋体" w:hAnsi="宋体" w:cs="宋体"/>
                <w:color w:val="auto"/>
                <w:kern w:val="0"/>
              </w:rPr>
            </w:pPr>
            <w:r>
              <w:rPr>
                <w:rFonts w:hint="eastAsia" w:ascii="宋体" w:hAnsi="宋体" w:cs="宋体"/>
                <w:color w:val="auto"/>
                <w:kern w:val="0"/>
              </w:rPr>
              <w:t>2025/4/8</w:t>
            </w:r>
          </w:p>
        </w:tc>
        <w:tc>
          <w:tcPr>
            <w:tcW w:w="772" w:type="pct"/>
            <w:shd w:val="clear" w:color="auto" w:fill="FFFFFF"/>
            <w:vAlign w:val="center"/>
          </w:tcPr>
          <w:p w14:paraId="22B03119">
            <w:pPr>
              <w:widowControl/>
              <w:jc w:val="center"/>
              <w:rPr>
                <w:rFonts w:ascii="宋体" w:hAnsi="宋体" w:cs="宋体"/>
                <w:color w:val="auto"/>
                <w:kern w:val="0"/>
              </w:rPr>
            </w:pPr>
            <w:r>
              <w:rPr>
                <w:rFonts w:hint="eastAsia" w:ascii="宋体" w:hAnsi="宋体" w:cs="宋体"/>
                <w:color w:val="auto"/>
                <w:kern w:val="0"/>
              </w:rPr>
              <w:t>2025/5/12</w:t>
            </w:r>
          </w:p>
        </w:tc>
      </w:tr>
      <w:tr w14:paraId="3F322CC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65627157">
            <w:pPr>
              <w:pStyle w:val="76"/>
              <w:rPr>
                <w:rFonts w:hAnsi="宋体"/>
                <w:color w:val="auto"/>
              </w:rPr>
            </w:pPr>
          </w:p>
        </w:tc>
        <w:tc>
          <w:tcPr>
            <w:tcW w:w="551" w:type="pct"/>
            <w:vMerge w:val="continue"/>
            <w:vAlign w:val="center"/>
          </w:tcPr>
          <w:p w14:paraId="3D2CFE74">
            <w:pPr>
              <w:widowControl/>
              <w:jc w:val="center"/>
              <w:rPr>
                <w:rFonts w:ascii="宋体" w:hAnsi="宋体" w:cs="宋体"/>
                <w:color w:val="auto"/>
                <w:kern w:val="0"/>
              </w:rPr>
            </w:pPr>
          </w:p>
        </w:tc>
        <w:tc>
          <w:tcPr>
            <w:tcW w:w="594" w:type="pct"/>
            <w:shd w:val="clear" w:color="auto" w:fill="FFFFFF"/>
            <w:noWrap/>
            <w:vAlign w:val="center"/>
          </w:tcPr>
          <w:p w14:paraId="30A21613">
            <w:pPr>
              <w:widowControl/>
              <w:jc w:val="center"/>
              <w:rPr>
                <w:rFonts w:ascii="宋体" w:hAnsi="宋体" w:cs="宋体"/>
                <w:color w:val="auto"/>
                <w:kern w:val="0"/>
              </w:rPr>
            </w:pPr>
            <w:r>
              <w:rPr>
                <w:rFonts w:hint="eastAsia" w:ascii="宋体" w:hAnsi="宋体" w:cs="宋体"/>
                <w:color w:val="auto"/>
                <w:kern w:val="0"/>
              </w:rPr>
              <w:t>FJF163-X27</w:t>
            </w:r>
          </w:p>
        </w:tc>
        <w:tc>
          <w:tcPr>
            <w:tcW w:w="618" w:type="pct"/>
            <w:shd w:val="clear" w:color="auto" w:fill="FFFFFF"/>
            <w:noWrap/>
            <w:vAlign w:val="center"/>
          </w:tcPr>
          <w:p w14:paraId="3B57C961">
            <w:pPr>
              <w:widowControl/>
              <w:jc w:val="center"/>
              <w:rPr>
                <w:rFonts w:ascii="宋体" w:hAnsi="宋体" w:cs="宋体"/>
                <w:color w:val="auto"/>
                <w:kern w:val="0"/>
              </w:rPr>
            </w:pPr>
            <w:r>
              <w:rPr>
                <w:rFonts w:hint="eastAsia" w:ascii="宋体" w:hAnsi="宋体" w:cs="宋体"/>
                <w:color w:val="auto"/>
                <w:kern w:val="0"/>
              </w:rPr>
              <w:t>水井</w:t>
            </w:r>
          </w:p>
        </w:tc>
        <w:tc>
          <w:tcPr>
            <w:tcW w:w="546" w:type="pct"/>
            <w:vMerge w:val="restart"/>
            <w:shd w:val="clear" w:color="auto" w:fill="FFFFFF"/>
            <w:vAlign w:val="center"/>
          </w:tcPr>
          <w:p w14:paraId="4B7DB013">
            <w:pPr>
              <w:widowControl/>
              <w:jc w:val="center"/>
              <w:rPr>
                <w:rFonts w:ascii="宋体" w:hAnsi="宋体" w:cs="宋体"/>
                <w:color w:val="auto"/>
                <w:kern w:val="0"/>
              </w:rPr>
            </w:pPr>
            <w:r>
              <w:rPr>
                <w:rFonts w:hint="eastAsia" w:ascii="宋体" w:hAnsi="宋体" w:cs="宋体"/>
                <w:color w:val="auto"/>
                <w:kern w:val="0"/>
              </w:rPr>
              <w:t>依托樊</w:t>
            </w:r>
            <w:r>
              <w:rPr>
                <w:rFonts w:ascii="宋体" w:hAnsi="宋体" w:cs="宋体"/>
                <w:color w:val="auto"/>
                <w:kern w:val="0"/>
              </w:rPr>
              <w:t>163-斜22井场</w:t>
            </w:r>
          </w:p>
        </w:tc>
        <w:tc>
          <w:tcPr>
            <w:tcW w:w="543" w:type="pct"/>
            <w:vMerge w:val="restart"/>
            <w:shd w:val="clear" w:color="auto" w:fill="FFFFFF"/>
            <w:vAlign w:val="center"/>
          </w:tcPr>
          <w:p w14:paraId="68FED100">
            <w:pPr>
              <w:widowControl/>
              <w:jc w:val="center"/>
              <w:rPr>
                <w:rFonts w:ascii="宋体" w:hAnsi="宋体" w:cs="宋体"/>
                <w:color w:val="auto"/>
                <w:kern w:val="0"/>
              </w:rPr>
            </w:pPr>
            <w:bookmarkStart w:id="116" w:name="OLE_LINK209"/>
            <w:bookmarkStart w:id="117" w:name="OLE_LINK210"/>
            <w:r>
              <w:rPr>
                <w:rFonts w:hint="eastAsia" w:ascii="宋体" w:hAnsi="宋体" w:cs="宋体"/>
                <w:color w:val="auto"/>
                <w:kern w:val="0"/>
              </w:rPr>
              <w:t>2#</w:t>
            </w:r>
            <w:bookmarkEnd w:id="116"/>
            <w:bookmarkEnd w:id="117"/>
          </w:p>
        </w:tc>
        <w:tc>
          <w:tcPr>
            <w:tcW w:w="834" w:type="pct"/>
            <w:shd w:val="clear" w:color="auto" w:fill="FFFFFF"/>
            <w:vAlign w:val="center"/>
          </w:tcPr>
          <w:p w14:paraId="3B96B4A5">
            <w:pPr>
              <w:widowControl/>
              <w:jc w:val="center"/>
              <w:rPr>
                <w:rFonts w:ascii="宋体" w:hAnsi="宋体" w:cs="宋体"/>
                <w:color w:val="auto"/>
                <w:kern w:val="0"/>
              </w:rPr>
            </w:pPr>
            <w:r>
              <w:rPr>
                <w:rFonts w:hint="eastAsia" w:ascii="宋体" w:hAnsi="宋体" w:cs="宋体"/>
                <w:color w:val="auto"/>
                <w:kern w:val="0"/>
              </w:rPr>
              <w:t>2024/12/13</w:t>
            </w:r>
          </w:p>
        </w:tc>
        <w:tc>
          <w:tcPr>
            <w:tcW w:w="772" w:type="pct"/>
            <w:shd w:val="clear" w:color="auto" w:fill="FFFFFF"/>
            <w:vAlign w:val="center"/>
          </w:tcPr>
          <w:p w14:paraId="3440CF7E">
            <w:pPr>
              <w:widowControl/>
              <w:jc w:val="center"/>
              <w:rPr>
                <w:rFonts w:ascii="宋体" w:hAnsi="宋体" w:cs="宋体"/>
                <w:color w:val="auto"/>
                <w:kern w:val="0"/>
              </w:rPr>
            </w:pPr>
            <w:r>
              <w:rPr>
                <w:rFonts w:hint="eastAsia" w:ascii="宋体" w:hAnsi="宋体" w:cs="宋体"/>
                <w:color w:val="auto"/>
                <w:kern w:val="0"/>
              </w:rPr>
              <w:t>2024/12/20</w:t>
            </w:r>
          </w:p>
        </w:tc>
      </w:tr>
      <w:tr w14:paraId="72F9A2B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6AE378D4">
            <w:pPr>
              <w:pStyle w:val="76"/>
              <w:rPr>
                <w:rFonts w:hAnsi="宋体"/>
                <w:color w:val="auto"/>
              </w:rPr>
            </w:pPr>
          </w:p>
        </w:tc>
        <w:tc>
          <w:tcPr>
            <w:tcW w:w="551" w:type="pct"/>
            <w:vMerge w:val="continue"/>
            <w:vAlign w:val="center"/>
          </w:tcPr>
          <w:p w14:paraId="20EA2DD0">
            <w:pPr>
              <w:widowControl/>
              <w:jc w:val="center"/>
              <w:rPr>
                <w:rFonts w:ascii="宋体" w:hAnsi="宋体" w:cs="宋体"/>
                <w:color w:val="auto"/>
                <w:kern w:val="0"/>
              </w:rPr>
            </w:pPr>
          </w:p>
        </w:tc>
        <w:tc>
          <w:tcPr>
            <w:tcW w:w="594" w:type="pct"/>
            <w:shd w:val="clear" w:color="auto" w:fill="FFFFFF"/>
            <w:noWrap/>
            <w:vAlign w:val="center"/>
          </w:tcPr>
          <w:p w14:paraId="0E8A2BC8">
            <w:pPr>
              <w:widowControl/>
              <w:jc w:val="center"/>
              <w:rPr>
                <w:rFonts w:ascii="宋体" w:hAnsi="宋体" w:cs="宋体"/>
                <w:color w:val="auto"/>
                <w:kern w:val="0"/>
              </w:rPr>
            </w:pPr>
            <w:r>
              <w:rPr>
                <w:rFonts w:hint="eastAsia" w:ascii="宋体" w:hAnsi="宋体" w:cs="宋体"/>
                <w:color w:val="auto"/>
                <w:kern w:val="0"/>
              </w:rPr>
              <w:t>FJF163-X18</w:t>
            </w:r>
          </w:p>
        </w:tc>
        <w:tc>
          <w:tcPr>
            <w:tcW w:w="618" w:type="pct"/>
            <w:shd w:val="clear" w:color="auto" w:fill="FFFFFF"/>
            <w:noWrap/>
            <w:vAlign w:val="center"/>
          </w:tcPr>
          <w:p w14:paraId="71343CBD">
            <w:pPr>
              <w:widowControl/>
              <w:jc w:val="center"/>
              <w:rPr>
                <w:rFonts w:ascii="宋体" w:hAnsi="宋体" w:cs="宋体"/>
                <w:color w:val="auto"/>
                <w:kern w:val="0"/>
              </w:rPr>
            </w:pPr>
            <w:r>
              <w:rPr>
                <w:rFonts w:hint="eastAsia" w:ascii="宋体" w:hAnsi="宋体" w:cs="宋体"/>
                <w:color w:val="auto"/>
                <w:kern w:val="0"/>
              </w:rPr>
              <w:t>水井</w:t>
            </w:r>
          </w:p>
        </w:tc>
        <w:tc>
          <w:tcPr>
            <w:tcW w:w="546" w:type="pct"/>
            <w:vMerge w:val="continue"/>
            <w:vAlign w:val="center"/>
          </w:tcPr>
          <w:p w14:paraId="0CAAC5D5">
            <w:pPr>
              <w:widowControl/>
              <w:jc w:val="center"/>
              <w:rPr>
                <w:rFonts w:ascii="宋体" w:hAnsi="宋体" w:cs="宋体"/>
                <w:color w:val="auto"/>
                <w:kern w:val="0"/>
              </w:rPr>
            </w:pPr>
          </w:p>
        </w:tc>
        <w:tc>
          <w:tcPr>
            <w:tcW w:w="543" w:type="pct"/>
            <w:vMerge w:val="continue"/>
            <w:vAlign w:val="center"/>
          </w:tcPr>
          <w:p w14:paraId="7AB0FEEA">
            <w:pPr>
              <w:widowControl/>
              <w:jc w:val="center"/>
              <w:rPr>
                <w:rFonts w:ascii="宋体" w:hAnsi="宋体" w:cs="宋体"/>
                <w:color w:val="auto"/>
                <w:kern w:val="0"/>
              </w:rPr>
            </w:pPr>
          </w:p>
        </w:tc>
        <w:tc>
          <w:tcPr>
            <w:tcW w:w="834" w:type="pct"/>
            <w:shd w:val="clear" w:color="auto" w:fill="FFFFFF"/>
            <w:vAlign w:val="center"/>
          </w:tcPr>
          <w:p w14:paraId="75542E7D">
            <w:pPr>
              <w:widowControl/>
              <w:jc w:val="center"/>
              <w:rPr>
                <w:rFonts w:ascii="宋体" w:hAnsi="宋体" w:cs="宋体"/>
                <w:color w:val="auto"/>
                <w:kern w:val="0"/>
              </w:rPr>
            </w:pPr>
            <w:r>
              <w:rPr>
                <w:rFonts w:hint="eastAsia" w:ascii="宋体" w:hAnsi="宋体" w:cs="宋体"/>
                <w:color w:val="auto"/>
                <w:kern w:val="0"/>
              </w:rPr>
              <w:t>2025/1</w:t>
            </w:r>
            <w:r>
              <w:rPr>
                <w:rFonts w:ascii="宋体" w:hAnsi="宋体" w:cs="宋体"/>
                <w:color w:val="auto"/>
                <w:kern w:val="0"/>
              </w:rPr>
              <w:t>/</w:t>
            </w:r>
            <w:r>
              <w:rPr>
                <w:rFonts w:hint="eastAsia" w:ascii="宋体" w:hAnsi="宋体" w:cs="宋体"/>
                <w:color w:val="auto"/>
                <w:kern w:val="0"/>
              </w:rPr>
              <w:t>21</w:t>
            </w:r>
          </w:p>
        </w:tc>
        <w:tc>
          <w:tcPr>
            <w:tcW w:w="772" w:type="pct"/>
            <w:shd w:val="clear" w:color="auto" w:fill="FFFFFF"/>
            <w:vAlign w:val="center"/>
          </w:tcPr>
          <w:p w14:paraId="59B890AC">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1</w:t>
            </w:r>
            <w:r>
              <w:rPr>
                <w:rFonts w:ascii="宋体" w:hAnsi="宋体" w:cs="宋体"/>
                <w:color w:val="auto"/>
                <w:kern w:val="0"/>
              </w:rPr>
              <w:t>/</w:t>
            </w:r>
            <w:r>
              <w:rPr>
                <w:rFonts w:hint="eastAsia" w:ascii="宋体" w:hAnsi="宋体" w:cs="宋体"/>
                <w:color w:val="auto"/>
                <w:kern w:val="0"/>
              </w:rPr>
              <w:t>27</w:t>
            </w:r>
          </w:p>
        </w:tc>
      </w:tr>
      <w:tr w14:paraId="2F4B7EC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659D45EC">
            <w:pPr>
              <w:pStyle w:val="76"/>
              <w:rPr>
                <w:rFonts w:hAnsi="宋体"/>
                <w:color w:val="auto"/>
              </w:rPr>
            </w:pPr>
          </w:p>
        </w:tc>
        <w:tc>
          <w:tcPr>
            <w:tcW w:w="551" w:type="pct"/>
            <w:vMerge w:val="continue"/>
            <w:vAlign w:val="center"/>
          </w:tcPr>
          <w:p w14:paraId="54A76F72">
            <w:pPr>
              <w:widowControl/>
              <w:jc w:val="center"/>
              <w:rPr>
                <w:rFonts w:ascii="宋体" w:hAnsi="宋体" w:cs="宋体"/>
                <w:color w:val="auto"/>
                <w:kern w:val="0"/>
              </w:rPr>
            </w:pPr>
          </w:p>
        </w:tc>
        <w:tc>
          <w:tcPr>
            <w:tcW w:w="594" w:type="pct"/>
            <w:shd w:val="clear" w:color="auto" w:fill="FFFFFF"/>
            <w:noWrap/>
            <w:vAlign w:val="center"/>
          </w:tcPr>
          <w:p w14:paraId="0AC9FDD2">
            <w:pPr>
              <w:widowControl/>
              <w:jc w:val="center"/>
              <w:rPr>
                <w:rFonts w:ascii="宋体" w:hAnsi="宋体" w:cs="宋体"/>
                <w:color w:val="auto"/>
                <w:kern w:val="0"/>
              </w:rPr>
            </w:pPr>
            <w:r>
              <w:rPr>
                <w:rFonts w:hint="eastAsia" w:ascii="宋体" w:hAnsi="宋体" w:cs="宋体"/>
                <w:color w:val="auto"/>
                <w:kern w:val="0"/>
              </w:rPr>
              <w:t>FJF163-X17</w:t>
            </w:r>
          </w:p>
        </w:tc>
        <w:tc>
          <w:tcPr>
            <w:tcW w:w="618" w:type="pct"/>
            <w:shd w:val="clear" w:color="auto" w:fill="FFFFFF"/>
            <w:noWrap/>
            <w:vAlign w:val="center"/>
          </w:tcPr>
          <w:p w14:paraId="55997265">
            <w:pPr>
              <w:widowControl/>
              <w:jc w:val="center"/>
              <w:rPr>
                <w:rFonts w:ascii="宋体" w:hAnsi="宋体" w:cs="宋体"/>
                <w:color w:val="auto"/>
                <w:kern w:val="0"/>
              </w:rPr>
            </w:pPr>
            <w:r>
              <w:rPr>
                <w:rFonts w:hint="eastAsia" w:ascii="宋体" w:hAnsi="宋体" w:cs="宋体"/>
                <w:color w:val="auto"/>
                <w:kern w:val="0"/>
              </w:rPr>
              <w:t>水井</w:t>
            </w:r>
          </w:p>
        </w:tc>
        <w:tc>
          <w:tcPr>
            <w:tcW w:w="546" w:type="pct"/>
            <w:shd w:val="clear" w:color="auto" w:fill="FFFFFF"/>
            <w:vAlign w:val="center"/>
          </w:tcPr>
          <w:p w14:paraId="4283C888">
            <w:pPr>
              <w:widowControl/>
              <w:jc w:val="center"/>
              <w:rPr>
                <w:rFonts w:ascii="宋体" w:hAnsi="宋体" w:cs="宋体"/>
                <w:color w:val="auto"/>
                <w:kern w:val="0"/>
              </w:rPr>
            </w:pPr>
            <w:r>
              <w:rPr>
                <w:rFonts w:hint="eastAsia" w:ascii="宋体" w:hAnsi="宋体" w:cs="宋体"/>
                <w:color w:val="auto"/>
                <w:kern w:val="0"/>
              </w:rPr>
              <w:t>新建井场</w:t>
            </w:r>
          </w:p>
        </w:tc>
        <w:tc>
          <w:tcPr>
            <w:tcW w:w="543" w:type="pct"/>
            <w:shd w:val="clear" w:color="auto" w:fill="FFFFFF"/>
            <w:vAlign w:val="center"/>
          </w:tcPr>
          <w:p w14:paraId="11E6821D">
            <w:pPr>
              <w:widowControl/>
              <w:jc w:val="center"/>
              <w:rPr>
                <w:rFonts w:ascii="宋体" w:hAnsi="宋体" w:cs="宋体"/>
                <w:color w:val="auto"/>
                <w:kern w:val="0"/>
              </w:rPr>
            </w:pPr>
            <w:r>
              <w:rPr>
                <w:rFonts w:hint="eastAsia" w:ascii="宋体" w:hAnsi="宋体" w:cs="宋体"/>
                <w:color w:val="auto"/>
                <w:kern w:val="0"/>
              </w:rPr>
              <w:t>3#</w:t>
            </w:r>
          </w:p>
        </w:tc>
        <w:tc>
          <w:tcPr>
            <w:tcW w:w="834" w:type="pct"/>
            <w:shd w:val="clear" w:color="auto" w:fill="FFFFFF"/>
            <w:vAlign w:val="center"/>
          </w:tcPr>
          <w:p w14:paraId="77476463">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3</w:t>
            </w:r>
            <w:r>
              <w:rPr>
                <w:rFonts w:ascii="宋体" w:hAnsi="宋体" w:cs="宋体"/>
                <w:color w:val="auto"/>
                <w:kern w:val="0"/>
              </w:rPr>
              <w:t>/</w:t>
            </w:r>
            <w:r>
              <w:rPr>
                <w:rFonts w:hint="eastAsia" w:ascii="宋体" w:hAnsi="宋体" w:cs="宋体"/>
                <w:color w:val="auto"/>
                <w:kern w:val="0"/>
              </w:rPr>
              <w:t>29</w:t>
            </w:r>
          </w:p>
        </w:tc>
        <w:tc>
          <w:tcPr>
            <w:tcW w:w="772" w:type="pct"/>
            <w:shd w:val="clear" w:color="auto" w:fill="FFFFFF"/>
            <w:vAlign w:val="center"/>
          </w:tcPr>
          <w:p w14:paraId="566EC3A3">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4</w:t>
            </w:r>
            <w:r>
              <w:rPr>
                <w:rFonts w:ascii="宋体" w:hAnsi="宋体" w:cs="宋体"/>
                <w:color w:val="auto"/>
                <w:kern w:val="0"/>
              </w:rPr>
              <w:t>/</w:t>
            </w:r>
            <w:r>
              <w:rPr>
                <w:rFonts w:hint="eastAsia" w:ascii="宋体" w:hAnsi="宋体" w:cs="宋体"/>
                <w:color w:val="auto"/>
                <w:kern w:val="0"/>
              </w:rPr>
              <w:t>3</w:t>
            </w:r>
          </w:p>
        </w:tc>
      </w:tr>
      <w:tr w14:paraId="30B9244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319C805D">
            <w:pPr>
              <w:pStyle w:val="76"/>
              <w:rPr>
                <w:rFonts w:hAnsi="宋体"/>
                <w:color w:val="auto"/>
              </w:rPr>
            </w:pPr>
            <w:bookmarkStart w:id="118" w:name="_Hlk231281489"/>
          </w:p>
        </w:tc>
        <w:tc>
          <w:tcPr>
            <w:tcW w:w="551" w:type="pct"/>
            <w:vMerge w:val="restart"/>
            <w:shd w:val="clear" w:color="auto" w:fill="FFFFFF"/>
            <w:noWrap/>
            <w:vAlign w:val="center"/>
          </w:tcPr>
          <w:p w14:paraId="205FD173">
            <w:pPr>
              <w:widowControl/>
              <w:jc w:val="center"/>
              <w:rPr>
                <w:rFonts w:ascii="宋体" w:hAnsi="宋体" w:cs="宋体"/>
                <w:color w:val="auto"/>
                <w:kern w:val="0"/>
              </w:rPr>
            </w:pPr>
            <w:r>
              <w:rPr>
                <w:rFonts w:hint="eastAsia" w:ascii="宋体" w:hAnsi="宋体" w:cs="宋体"/>
                <w:color w:val="auto"/>
                <w:kern w:val="0"/>
              </w:rPr>
              <w:t>高青</w:t>
            </w:r>
          </w:p>
        </w:tc>
        <w:tc>
          <w:tcPr>
            <w:tcW w:w="594" w:type="pct"/>
            <w:shd w:val="clear" w:color="auto" w:fill="FFFFFF"/>
            <w:noWrap/>
            <w:vAlign w:val="center"/>
          </w:tcPr>
          <w:p w14:paraId="0F0A72FF">
            <w:pPr>
              <w:widowControl/>
              <w:jc w:val="center"/>
              <w:rPr>
                <w:rFonts w:ascii="宋体" w:hAnsi="宋体" w:cs="宋体"/>
                <w:color w:val="auto"/>
                <w:kern w:val="0"/>
              </w:rPr>
            </w:pPr>
            <w:r>
              <w:rPr>
                <w:rFonts w:hint="eastAsia" w:ascii="宋体" w:hAnsi="宋体" w:cs="宋体"/>
                <w:color w:val="auto"/>
                <w:kern w:val="0"/>
              </w:rPr>
              <w:t>FJF18-X16</w:t>
            </w:r>
          </w:p>
        </w:tc>
        <w:tc>
          <w:tcPr>
            <w:tcW w:w="618" w:type="pct"/>
            <w:shd w:val="clear" w:color="auto" w:fill="FFFFFF"/>
            <w:noWrap/>
            <w:vAlign w:val="center"/>
          </w:tcPr>
          <w:p w14:paraId="7E016191">
            <w:pPr>
              <w:widowControl/>
              <w:jc w:val="center"/>
              <w:rPr>
                <w:rFonts w:ascii="宋体" w:hAnsi="宋体" w:cs="宋体"/>
                <w:color w:val="auto"/>
                <w:kern w:val="0"/>
              </w:rPr>
            </w:pPr>
            <w:r>
              <w:rPr>
                <w:rFonts w:hint="eastAsia" w:ascii="宋体" w:hAnsi="宋体" w:cs="宋体"/>
                <w:color w:val="auto"/>
                <w:kern w:val="0"/>
              </w:rPr>
              <w:t>油井</w:t>
            </w:r>
          </w:p>
        </w:tc>
        <w:tc>
          <w:tcPr>
            <w:tcW w:w="546" w:type="pct"/>
            <w:shd w:val="clear" w:color="auto" w:fill="FFFFFF"/>
            <w:vAlign w:val="center"/>
          </w:tcPr>
          <w:p w14:paraId="527613B6">
            <w:pPr>
              <w:widowControl/>
              <w:jc w:val="center"/>
              <w:rPr>
                <w:rFonts w:ascii="宋体" w:hAnsi="宋体" w:cs="宋体"/>
                <w:color w:val="auto"/>
                <w:kern w:val="0"/>
              </w:rPr>
            </w:pPr>
            <w:r>
              <w:rPr>
                <w:rFonts w:hint="eastAsia" w:ascii="宋体" w:hAnsi="宋体" w:cs="宋体"/>
                <w:color w:val="auto"/>
                <w:kern w:val="0"/>
              </w:rPr>
              <w:t>依托樊</w:t>
            </w:r>
            <w:r>
              <w:rPr>
                <w:rFonts w:ascii="宋体" w:hAnsi="宋体" w:cs="宋体"/>
                <w:color w:val="auto"/>
                <w:kern w:val="0"/>
              </w:rPr>
              <w:t>11-108老井场</w:t>
            </w:r>
          </w:p>
        </w:tc>
        <w:tc>
          <w:tcPr>
            <w:tcW w:w="543" w:type="pct"/>
            <w:shd w:val="clear" w:color="auto" w:fill="FFFFFF"/>
            <w:vAlign w:val="center"/>
          </w:tcPr>
          <w:p w14:paraId="7F367EF4">
            <w:pPr>
              <w:widowControl/>
              <w:jc w:val="center"/>
              <w:rPr>
                <w:rFonts w:ascii="宋体" w:hAnsi="宋体" w:cs="宋体"/>
                <w:color w:val="auto"/>
                <w:kern w:val="0"/>
              </w:rPr>
            </w:pPr>
            <w:r>
              <w:rPr>
                <w:rFonts w:hint="eastAsia" w:ascii="宋体" w:hAnsi="宋体" w:cs="宋体"/>
                <w:color w:val="auto"/>
                <w:kern w:val="0"/>
              </w:rPr>
              <w:t>4#</w:t>
            </w:r>
          </w:p>
        </w:tc>
        <w:tc>
          <w:tcPr>
            <w:tcW w:w="834" w:type="pct"/>
            <w:shd w:val="clear" w:color="auto" w:fill="FFFFFF"/>
            <w:vAlign w:val="center"/>
          </w:tcPr>
          <w:p w14:paraId="5966BAF9">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3</w:t>
            </w:r>
            <w:r>
              <w:rPr>
                <w:rFonts w:ascii="宋体" w:hAnsi="宋体" w:cs="宋体"/>
                <w:color w:val="auto"/>
                <w:kern w:val="0"/>
              </w:rPr>
              <w:t>/</w:t>
            </w:r>
            <w:r>
              <w:rPr>
                <w:rFonts w:hint="eastAsia" w:ascii="宋体" w:hAnsi="宋体" w:cs="宋体"/>
                <w:color w:val="auto"/>
                <w:kern w:val="0"/>
              </w:rPr>
              <w:t>27</w:t>
            </w:r>
          </w:p>
        </w:tc>
        <w:tc>
          <w:tcPr>
            <w:tcW w:w="772" w:type="pct"/>
            <w:shd w:val="clear" w:color="auto" w:fill="FFFFFF"/>
            <w:vAlign w:val="center"/>
          </w:tcPr>
          <w:p w14:paraId="63E1C969">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4</w:t>
            </w:r>
            <w:r>
              <w:rPr>
                <w:rFonts w:ascii="宋体" w:hAnsi="宋体" w:cs="宋体"/>
                <w:color w:val="auto"/>
                <w:kern w:val="0"/>
              </w:rPr>
              <w:t>/</w:t>
            </w:r>
            <w:r>
              <w:rPr>
                <w:rFonts w:hint="eastAsia" w:ascii="宋体" w:hAnsi="宋体" w:cs="宋体"/>
                <w:color w:val="auto"/>
                <w:kern w:val="0"/>
              </w:rPr>
              <w:t>6</w:t>
            </w:r>
          </w:p>
        </w:tc>
      </w:tr>
      <w:tr w14:paraId="7618674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71325F49">
            <w:pPr>
              <w:pStyle w:val="76"/>
              <w:rPr>
                <w:rFonts w:hAnsi="宋体"/>
                <w:color w:val="auto"/>
              </w:rPr>
            </w:pPr>
          </w:p>
        </w:tc>
        <w:tc>
          <w:tcPr>
            <w:tcW w:w="551" w:type="pct"/>
            <w:vMerge w:val="continue"/>
            <w:vAlign w:val="center"/>
          </w:tcPr>
          <w:p w14:paraId="635041DE">
            <w:pPr>
              <w:widowControl/>
              <w:jc w:val="center"/>
              <w:rPr>
                <w:rFonts w:ascii="宋体" w:hAnsi="宋体" w:cs="宋体"/>
                <w:color w:val="auto"/>
                <w:kern w:val="0"/>
              </w:rPr>
            </w:pPr>
          </w:p>
        </w:tc>
        <w:tc>
          <w:tcPr>
            <w:tcW w:w="594" w:type="pct"/>
            <w:shd w:val="clear" w:color="auto" w:fill="FFFFFF"/>
            <w:noWrap/>
            <w:vAlign w:val="center"/>
          </w:tcPr>
          <w:p w14:paraId="7A3BAA9B">
            <w:pPr>
              <w:widowControl/>
              <w:jc w:val="center"/>
              <w:rPr>
                <w:rFonts w:ascii="宋体" w:hAnsi="宋体" w:cs="宋体"/>
                <w:color w:val="auto"/>
                <w:kern w:val="0"/>
              </w:rPr>
            </w:pPr>
            <w:r>
              <w:rPr>
                <w:rFonts w:hint="eastAsia" w:ascii="宋体" w:hAnsi="宋体" w:cs="宋体"/>
                <w:color w:val="auto"/>
                <w:kern w:val="0"/>
              </w:rPr>
              <w:t>FJF18-X27</w:t>
            </w:r>
          </w:p>
        </w:tc>
        <w:tc>
          <w:tcPr>
            <w:tcW w:w="618" w:type="pct"/>
            <w:shd w:val="clear" w:color="auto" w:fill="FFFFFF"/>
            <w:noWrap/>
            <w:vAlign w:val="center"/>
          </w:tcPr>
          <w:p w14:paraId="18E0BD54">
            <w:pPr>
              <w:widowControl/>
              <w:jc w:val="center"/>
              <w:rPr>
                <w:rFonts w:ascii="宋体" w:hAnsi="宋体" w:cs="宋体"/>
                <w:color w:val="auto"/>
                <w:kern w:val="0"/>
              </w:rPr>
            </w:pPr>
            <w:r>
              <w:rPr>
                <w:rFonts w:hint="eastAsia" w:ascii="宋体" w:hAnsi="宋体" w:cs="宋体"/>
                <w:color w:val="auto"/>
                <w:kern w:val="0"/>
              </w:rPr>
              <w:t>油井</w:t>
            </w:r>
          </w:p>
        </w:tc>
        <w:tc>
          <w:tcPr>
            <w:tcW w:w="546" w:type="pct"/>
            <w:vMerge w:val="restart"/>
            <w:shd w:val="clear" w:color="auto" w:fill="FFFFFF"/>
            <w:vAlign w:val="center"/>
          </w:tcPr>
          <w:p w14:paraId="125286E4">
            <w:pPr>
              <w:widowControl/>
              <w:jc w:val="center"/>
              <w:rPr>
                <w:rFonts w:ascii="宋体" w:hAnsi="宋体" w:cs="宋体"/>
                <w:color w:val="auto"/>
                <w:kern w:val="0"/>
              </w:rPr>
            </w:pPr>
            <w:r>
              <w:rPr>
                <w:rFonts w:hint="eastAsia" w:ascii="宋体" w:hAnsi="宋体" w:cs="宋体"/>
                <w:color w:val="auto"/>
                <w:kern w:val="0"/>
              </w:rPr>
              <w:t>新建井场</w:t>
            </w:r>
          </w:p>
        </w:tc>
        <w:tc>
          <w:tcPr>
            <w:tcW w:w="543" w:type="pct"/>
            <w:vMerge w:val="restart"/>
            <w:shd w:val="clear" w:color="auto" w:fill="FFFFFF"/>
            <w:vAlign w:val="center"/>
          </w:tcPr>
          <w:p w14:paraId="3A0B1DDC">
            <w:pPr>
              <w:widowControl/>
              <w:jc w:val="center"/>
              <w:rPr>
                <w:rFonts w:ascii="宋体" w:hAnsi="宋体" w:cs="宋体"/>
                <w:color w:val="auto"/>
                <w:kern w:val="0"/>
              </w:rPr>
            </w:pPr>
            <w:bookmarkStart w:id="119" w:name="OLE_LINK112"/>
            <w:bookmarkStart w:id="120" w:name="OLE_LINK113"/>
            <w:bookmarkStart w:id="121" w:name="OLE_LINK211"/>
            <w:r>
              <w:rPr>
                <w:rFonts w:hint="eastAsia" w:ascii="宋体" w:hAnsi="宋体" w:cs="宋体"/>
                <w:color w:val="auto"/>
                <w:kern w:val="0"/>
              </w:rPr>
              <w:t>5#</w:t>
            </w:r>
            <w:bookmarkEnd w:id="119"/>
            <w:bookmarkEnd w:id="120"/>
            <w:bookmarkEnd w:id="121"/>
          </w:p>
        </w:tc>
        <w:tc>
          <w:tcPr>
            <w:tcW w:w="834" w:type="pct"/>
            <w:shd w:val="clear" w:color="auto" w:fill="FFFFFF"/>
            <w:vAlign w:val="center"/>
          </w:tcPr>
          <w:p w14:paraId="76326096">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11</w:t>
            </w:r>
            <w:r>
              <w:rPr>
                <w:rFonts w:ascii="宋体" w:hAnsi="宋体" w:cs="宋体"/>
                <w:color w:val="auto"/>
                <w:kern w:val="0"/>
              </w:rPr>
              <w:t>/</w:t>
            </w:r>
            <w:r>
              <w:rPr>
                <w:rFonts w:hint="eastAsia" w:ascii="宋体" w:hAnsi="宋体" w:cs="宋体"/>
                <w:color w:val="auto"/>
                <w:kern w:val="0"/>
              </w:rPr>
              <w:t>14</w:t>
            </w:r>
          </w:p>
        </w:tc>
        <w:tc>
          <w:tcPr>
            <w:tcW w:w="772" w:type="pct"/>
            <w:shd w:val="clear" w:color="auto" w:fill="FFFFFF"/>
            <w:vAlign w:val="center"/>
          </w:tcPr>
          <w:p w14:paraId="03BC0C9E">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11</w:t>
            </w:r>
            <w:r>
              <w:rPr>
                <w:rFonts w:ascii="宋体" w:hAnsi="宋体" w:cs="宋体"/>
                <w:color w:val="auto"/>
                <w:kern w:val="0"/>
              </w:rPr>
              <w:t>/</w:t>
            </w:r>
            <w:r>
              <w:rPr>
                <w:rFonts w:hint="eastAsia" w:ascii="宋体" w:hAnsi="宋体" w:cs="宋体"/>
                <w:color w:val="auto"/>
                <w:kern w:val="0"/>
              </w:rPr>
              <w:t>23</w:t>
            </w:r>
          </w:p>
        </w:tc>
      </w:tr>
      <w:tr w14:paraId="36C24EE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22348F29">
            <w:pPr>
              <w:pStyle w:val="76"/>
              <w:rPr>
                <w:rFonts w:hAnsi="宋体"/>
                <w:color w:val="auto"/>
              </w:rPr>
            </w:pPr>
          </w:p>
        </w:tc>
        <w:tc>
          <w:tcPr>
            <w:tcW w:w="551" w:type="pct"/>
            <w:vMerge w:val="continue"/>
            <w:vAlign w:val="center"/>
          </w:tcPr>
          <w:p w14:paraId="460D7AC7">
            <w:pPr>
              <w:widowControl/>
              <w:jc w:val="center"/>
              <w:rPr>
                <w:rFonts w:ascii="宋体" w:hAnsi="宋体" w:cs="宋体"/>
                <w:color w:val="auto"/>
                <w:kern w:val="0"/>
              </w:rPr>
            </w:pPr>
          </w:p>
        </w:tc>
        <w:tc>
          <w:tcPr>
            <w:tcW w:w="594" w:type="pct"/>
            <w:shd w:val="clear" w:color="auto" w:fill="FFFFFF"/>
            <w:noWrap/>
            <w:vAlign w:val="center"/>
          </w:tcPr>
          <w:p w14:paraId="33BEBBD6">
            <w:pPr>
              <w:widowControl/>
              <w:jc w:val="center"/>
              <w:rPr>
                <w:rFonts w:ascii="宋体" w:hAnsi="宋体" w:cs="宋体"/>
                <w:color w:val="auto"/>
                <w:kern w:val="0"/>
              </w:rPr>
            </w:pPr>
            <w:r>
              <w:rPr>
                <w:rFonts w:hint="eastAsia" w:ascii="宋体" w:hAnsi="宋体" w:cs="宋体"/>
                <w:color w:val="auto"/>
                <w:kern w:val="0"/>
              </w:rPr>
              <w:t>FJF18-X25</w:t>
            </w:r>
          </w:p>
        </w:tc>
        <w:tc>
          <w:tcPr>
            <w:tcW w:w="618" w:type="pct"/>
            <w:shd w:val="clear" w:color="auto" w:fill="FFFFFF"/>
            <w:noWrap/>
            <w:vAlign w:val="center"/>
          </w:tcPr>
          <w:p w14:paraId="070A64D5">
            <w:pPr>
              <w:widowControl/>
              <w:jc w:val="center"/>
              <w:rPr>
                <w:rFonts w:ascii="宋体" w:hAnsi="宋体" w:cs="宋体"/>
                <w:color w:val="auto"/>
                <w:kern w:val="0"/>
              </w:rPr>
            </w:pPr>
            <w:r>
              <w:rPr>
                <w:rFonts w:hint="eastAsia" w:ascii="宋体" w:hAnsi="宋体" w:cs="宋体"/>
                <w:color w:val="auto"/>
                <w:kern w:val="0"/>
              </w:rPr>
              <w:t>油井</w:t>
            </w:r>
          </w:p>
        </w:tc>
        <w:tc>
          <w:tcPr>
            <w:tcW w:w="546" w:type="pct"/>
            <w:vMerge w:val="continue"/>
            <w:vAlign w:val="center"/>
          </w:tcPr>
          <w:p w14:paraId="34E1A9E3">
            <w:pPr>
              <w:widowControl/>
              <w:jc w:val="center"/>
              <w:rPr>
                <w:rFonts w:ascii="宋体" w:hAnsi="宋体" w:cs="宋体"/>
                <w:color w:val="auto"/>
                <w:kern w:val="0"/>
              </w:rPr>
            </w:pPr>
          </w:p>
        </w:tc>
        <w:tc>
          <w:tcPr>
            <w:tcW w:w="543" w:type="pct"/>
            <w:vMerge w:val="continue"/>
            <w:vAlign w:val="center"/>
          </w:tcPr>
          <w:p w14:paraId="6143B286">
            <w:pPr>
              <w:widowControl/>
              <w:jc w:val="center"/>
              <w:rPr>
                <w:rFonts w:ascii="宋体" w:hAnsi="宋体" w:cs="宋体"/>
                <w:color w:val="auto"/>
                <w:kern w:val="0"/>
              </w:rPr>
            </w:pPr>
          </w:p>
        </w:tc>
        <w:tc>
          <w:tcPr>
            <w:tcW w:w="834" w:type="pct"/>
            <w:shd w:val="clear" w:color="auto" w:fill="FFFFFF"/>
            <w:vAlign w:val="center"/>
          </w:tcPr>
          <w:p w14:paraId="04FAF99B">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10</w:t>
            </w:r>
            <w:r>
              <w:rPr>
                <w:rFonts w:ascii="宋体" w:hAnsi="宋体" w:cs="宋体"/>
                <w:color w:val="auto"/>
                <w:kern w:val="0"/>
              </w:rPr>
              <w:t>/</w:t>
            </w:r>
            <w:r>
              <w:rPr>
                <w:rFonts w:hint="eastAsia" w:ascii="宋体" w:hAnsi="宋体" w:cs="宋体"/>
                <w:color w:val="auto"/>
                <w:kern w:val="0"/>
              </w:rPr>
              <w:t>26</w:t>
            </w:r>
          </w:p>
        </w:tc>
        <w:tc>
          <w:tcPr>
            <w:tcW w:w="772" w:type="pct"/>
            <w:shd w:val="clear" w:color="auto" w:fill="FFFFFF"/>
            <w:vAlign w:val="center"/>
          </w:tcPr>
          <w:p w14:paraId="1556B3E8">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11</w:t>
            </w:r>
            <w:r>
              <w:rPr>
                <w:rFonts w:ascii="宋体" w:hAnsi="宋体" w:cs="宋体"/>
                <w:color w:val="auto"/>
                <w:kern w:val="0"/>
              </w:rPr>
              <w:t>/</w:t>
            </w:r>
            <w:r>
              <w:rPr>
                <w:rFonts w:hint="eastAsia" w:ascii="宋体" w:hAnsi="宋体" w:cs="宋体"/>
                <w:color w:val="auto"/>
                <w:kern w:val="0"/>
              </w:rPr>
              <w:t>09</w:t>
            </w:r>
          </w:p>
        </w:tc>
      </w:tr>
      <w:tr w14:paraId="63BA7B6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433DBF00">
            <w:pPr>
              <w:pStyle w:val="76"/>
              <w:rPr>
                <w:rFonts w:hAnsi="宋体"/>
                <w:color w:val="auto"/>
              </w:rPr>
            </w:pPr>
          </w:p>
        </w:tc>
        <w:tc>
          <w:tcPr>
            <w:tcW w:w="551" w:type="pct"/>
            <w:vMerge w:val="continue"/>
            <w:vAlign w:val="center"/>
          </w:tcPr>
          <w:p w14:paraId="20DFB59A">
            <w:pPr>
              <w:widowControl/>
              <w:jc w:val="center"/>
              <w:rPr>
                <w:rFonts w:ascii="宋体" w:hAnsi="宋体" w:cs="宋体"/>
                <w:color w:val="auto"/>
                <w:kern w:val="0"/>
              </w:rPr>
            </w:pPr>
          </w:p>
        </w:tc>
        <w:tc>
          <w:tcPr>
            <w:tcW w:w="594" w:type="pct"/>
            <w:shd w:val="clear" w:color="auto" w:fill="FFFFFF"/>
            <w:noWrap/>
            <w:vAlign w:val="center"/>
          </w:tcPr>
          <w:p w14:paraId="7B1B2EA6">
            <w:pPr>
              <w:widowControl/>
              <w:jc w:val="center"/>
              <w:rPr>
                <w:rFonts w:ascii="宋体" w:hAnsi="宋体" w:cs="宋体"/>
                <w:color w:val="auto"/>
                <w:kern w:val="0"/>
              </w:rPr>
            </w:pPr>
            <w:r>
              <w:rPr>
                <w:rFonts w:hint="eastAsia" w:ascii="宋体" w:hAnsi="宋体" w:cs="宋体"/>
                <w:color w:val="auto"/>
                <w:kern w:val="0"/>
              </w:rPr>
              <w:t>FJF18-X24</w:t>
            </w:r>
          </w:p>
        </w:tc>
        <w:tc>
          <w:tcPr>
            <w:tcW w:w="618" w:type="pct"/>
            <w:shd w:val="clear" w:color="auto" w:fill="FFFFFF"/>
            <w:noWrap/>
            <w:vAlign w:val="center"/>
          </w:tcPr>
          <w:p w14:paraId="1E22C1B5">
            <w:pPr>
              <w:widowControl/>
              <w:jc w:val="center"/>
              <w:rPr>
                <w:rFonts w:ascii="宋体" w:hAnsi="宋体" w:cs="宋体"/>
                <w:color w:val="auto"/>
                <w:kern w:val="0"/>
              </w:rPr>
            </w:pPr>
            <w:r>
              <w:rPr>
                <w:rFonts w:hint="eastAsia" w:ascii="宋体" w:hAnsi="宋体" w:cs="宋体"/>
                <w:color w:val="auto"/>
                <w:kern w:val="0"/>
              </w:rPr>
              <w:t>水井</w:t>
            </w:r>
          </w:p>
        </w:tc>
        <w:tc>
          <w:tcPr>
            <w:tcW w:w="546" w:type="pct"/>
            <w:vMerge w:val="continue"/>
            <w:vAlign w:val="center"/>
          </w:tcPr>
          <w:p w14:paraId="1AAE7675">
            <w:pPr>
              <w:widowControl/>
              <w:jc w:val="center"/>
              <w:rPr>
                <w:rFonts w:ascii="宋体" w:hAnsi="宋体" w:cs="宋体"/>
                <w:color w:val="auto"/>
                <w:kern w:val="0"/>
              </w:rPr>
            </w:pPr>
          </w:p>
        </w:tc>
        <w:tc>
          <w:tcPr>
            <w:tcW w:w="543" w:type="pct"/>
            <w:vMerge w:val="continue"/>
            <w:vAlign w:val="center"/>
          </w:tcPr>
          <w:p w14:paraId="3CF402F3">
            <w:pPr>
              <w:widowControl/>
              <w:jc w:val="center"/>
              <w:rPr>
                <w:rFonts w:ascii="宋体" w:hAnsi="宋体" w:cs="宋体"/>
                <w:color w:val="auto"/>
                <w:kern w:val="0"/>
              </w:rPr>
            </w:pPr>
          </w:p>
        </w:tc>
        <w:tc>
          <w:tcPr>
            <w:tcW w:w="834" w:type="pct"/>
            <w:shd w:val="clear" w:color="auto" w:fill="FFFFFF"/>
            <w:vAlign w:val="center"/>
          </w:tcPr>
          <w:p w14:paraId="0CB6CC28">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9</w:t>
            </w:r>
            <w:r>
              <w:rPr>
                <w:rFonts w:ascii="宋体" w:hAnsi="宋体" w:cs="宋体"/>
                <w:color w:val="auto"/>
                <w:kern w:val="0"/>
              </w:rPr>
              <w:t>/</w:t>
            </w:r>
            <w:r>
              <w:rPr>
                <w:rFonts w:hint="eastAsia" w:ascii="宋体" w:hAnsi="宋体" w:cs="宋体"/>
                <w:color w:val="auto"/>
                <w:kern w:val="0"/>
              </w:rPr>
              <w:t>21</w:t>
            </w:r>
          </w:p>
        </w:tc>
        <w:tc>
          <w:tcPr>
            <w:tcW w:w="772" w:type="pct"/>
            <w:shd w:val="clear" w:color="auto" w:fill="FFFFFF"/>
            <w:vAlign w:val="center"/>
          </w:tcPr>
          <w:p w14:paraId="2B63D35B">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10</w:t>
            </w:r>
            <w:r>
              <w:rPr>
                <w:rFonts w:ascii="宋体" w:hAnsi="宋体" w:cs="宋体"/>
                <w:color w:val="auto"/>
                <w:kern w:val="0"/>
              </w:rPr>
              <w:t>/</w:t>
            </w:r>
            <w:r>
              <w:rPr>
                <w:rFonts w:hint="eastAsia" w:ascii="宋体" w:hAnsi="宋体" w:cs="宋体"/>
                <w:color w:val="auto"/>
                <w:kern w:val="0"/>
              </w:rPr>
              <w:t>01</w:t>
            </w:r>
          </w:p>
        </w:tc>
      </w:tr>
      <w:tr w14:paraId="24FE774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397DE30D">
            <w:pPr>
              <w:pStyle w:val="76"/>
              <w:rPr>
                <w:rFonts w:hAnsi="宋体"/>
                <w:color w:val="auto"/>
              </w:rPr>
            </w:pPr>
            <w:bookmarkStart w:id="122" w:name="_Hlk225606340"/>
          </w:p>
        </w:tc>
        <w:tc>
          <w:tcPr>
            <w:tcW w:w="551" w:type="pct"/>
            <w:vMerge w:val="continue"/>
            <w:vAlign w:val="center"/>
          </w:tcPr>
          <w:p w14:paraId="5C49A43D">
            <w:pPr>
              <w:widowControl/>
              <w:jc w:val="center"/>
              <w:rPr>
                <w:rFonts w:ascii="宋体" w:hAnsi="宋体" w:cs="宋体"/>
                <w:color w:val="auto"/>
                <w:kern w:val="0"/>
              </w:rPr>
            </w:pPr>
          </w:p>
        </w:tc>
        <w:tc>
          <w:tcPr>
            <w:tcW w:w="594" w:type="pct"/>
            <w:shd w:val="clear" w:color="auto" w:fill="FFFFFF"/>
            <w:noWrap/>
            <w:vAlign w:val="center"/>
          </w:tcPr>
          <w:p w14:paraId="172F008E">
            <w:pPr>
              <w:widowControl/>
              <w:jc w:val="center"/>
              <w:rPr>
                <w:rFonts w:ascii="宋体" w:hAnsi="宋体" w:cs="宋体"/>
                <w:color w:val="auto"/>
                <w:kern w:val="0"/>
              </w:rPr>
            </w:pPr>
            <w:r>
              <w:rPr>
                <w:rFonts w:hint="eastAsia" w:ascii="宋体" w:hAnsi="宋体" w:cs="宋体"/>
                <w:color w:val="auto"/>
                <w:kern w:val="0"/>
              </w:rPr>
              <w:t>FJF18-X23</w:t>
            </w:r>
          </w:p>
        </w:tc>
        <w:tc>
          <w:tcPr>
            <w:tcW w:w="618" w:type="pct"/>
            <w:shd w:val="clear" w:color="auto" w:fill="FFFFFF"/>
            <w:noWrap/>
            <w:vAlign w:val="center"/>
          </w:tcPr>
          <w:p w14:paraId="5802BAE2">
            <w:pPr>
              <w:widowControl/>
              <w:jc w:val="center"/>
              <w:rPr>
                <w:rFonts w:ascii="宋体" w:hAnsi="宋体" w:cs="宋体"/>
                <w:color w:val="auto"/>
                <w:kern w:val="0"/>
              </w:rPr>
            </w:pPr>
            <w:r>
              <w:rPr>
                <w:rFonts w:hint="eastAsia" w:ascii="宋体" w:hAnsi="宋体" w:cs="宋体"/>
                <w:color w:val="auto"/>
                <w:kern w:val="0"/>
              </w:rPr>
              <w:t>油井</w:t>
            </w:r>
          </w:p>
        </w:tc>
        <w:tc>
          <w:tcPr>
            <w:tcW w:w="546" w:type="pct"/>
            <w:vMerge w:val="continue"/>
            <w:vAlign w:val="center"/>
          </w:tcPr>
          <w:p w14:paraId="5A4D2D89">
            <w:pPr>
              <w:widowControl/>
              <w:jc w:val="center"/>
              <w:rPr>
                <w:rFonts w:ascii="宋体" w:hAnsi="宋体" w:cs="宋体"/>
                <w:color w:val="auto"/>
                <w:kern w:val="0"/>
              </w:rPr>
            </w:pPr>
          </w:p>
        </w:tc>
        <w:tc>
          <w:tcPr>
            <w:tcW w:w="543" w:type="pct"/>
            <w:vMerge w:val="continue"/>
            <w:vAlign w:val="center"/>
          </w:tcPr>
          <w:p w14:paraId="595BA488">
            <w:pPr>
              <w:widowControl/>
              <w:jc w:val="center"/>
              <w:rPr>
                <w:rFonts w:ascii="宋体" w:hAnsi="宋体" w:cs="宋体"/>
                <w:color w:val="auto"/>
                <w:kern w:val="0"/>
              </w:rPr>
            </w:pPr>
          </w:p>
        </w:tc>
        <w:tc>
          <w:tcPr>
            <w:tcW w:w="834" w:type="pct"/>
            <w:shd w:val="clear" w:color="auto" w:fill="FFFFFF"/>
            <w:vAlign w:val="center"/>
          </w:tcPr>
          <w:p w14:paraId="06497D5D">
            <w:pPr>
              <w:widowControl/>
              <w:jc w:val="center"/>
              <w:rPr>
                <w:rFonts w:ascii="宋体" w:hAnsi="宋体" w:cs="宋体"/>
                <w:b/>
                <w:color w:val="auto"/>
                <w:kern w:val="0"/>
              </w:rPr>
            </w:pPr>
            <w:r>
              <w:rPr>
                <w:rFonts w:hint="eastAsia" w:ascii="宋体" w:hAnsi="宋体" w:cs="宋体"/>
                <w:b/>
                <w:color w:val="auto"/>
                <w:kern w:val="0"/>
              </w:rPr>
              <w:t>2024</w:t>
            </w:r>
            <w:r>
              <w:rPr>
                <w:rFonts w:ascii="宋体" w:hAnsi="宋体" w:cs="宋体"/>
                <w:b/>
                <w:color w:val="auto"/>
                <w:kern w:val="0"/>
              </w:rPr>
              <w:t>/</w:t>
            </w:r>
            <w:r>
              <w:rPr>
                <w:rFonts w:hint="eastAsia" w:ascii="宋体" w:hAnsi="宋体" w:cs="宋体"/>
                <w:b/>
                <w:color w:val="auto"/>
                <w:kern w:val="0"/>
              </w:rPr>
              <w:t>9</w:t>
            </w:r>
            <w:r>
              <w:rPr>
                <w:rFonts w:ascii="宋体" w:hAnsi="宋体" w:cs="宋体"/>
                <w:b/>
                <w:color w:val="auto"/>
                <w:kern w:val="0"/>
              </w:rPr>
              <w:t>/</w:t>
            </w:r>
            <w:r>
              <w:rPr>
                <w:rFonts w:hint="eastAsia" w:ascii="宋体" w:hAnsi="宋体" w:cs="宋体"/>
                <w:b/>
                <w:color w:val="auto"/>
                <w:kern w:val="0"/>
              </w:rPr>
              <w:t>3</w:t>
            </w:r>
          </w:p>
        </w:tc>
        <w:tc>
          <w:tcPr>
            <w:tcW w:w="772" w:type="pct"/>
            <w:shd w:val="clear" w:color="auto" w:fill="FFFFFF"/>
            <w:vAlign w:val="center"/>
          </w:tcPr>
          <w:p w14:paraId="62A96019">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9</w:t>
            </w:r>
            <w:r>
              <w:rPr>
                <w:rFonts w:ascii="宋体" w:hAnsi="宋体" w:cs="宋体"/>
                <w:color w:val="auto"/>
                <w:kern w:val="0"/>
              </w:rPr>
              <w:t>/</w:t>
            </w:r>
            <w:r>
              <w:rPr>
                <w:rFonts w:hint="eastAsia" w:ascii="宋体" w:hAnsi="宋体" w:cs="宋体"/>
                <w:color w:val="auto"/>
                <w:kern w:val="0"/>
              </w:rPr>
              <w:t>13</w:t>
            </w:r>
          </w:p>
        </w:tc>
      </w:tr>
      <w:tr w14:paraId="195F794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2CA0052C">
            <w:pPr>
              <w:pStyle w:val="76"/>
              <w:rPr>
                <w:rFonts w:hAnsi="宋体"/>
                <w:color w:val="auto"/>
              </w:rPr>
            </w:pPr>
          </w:p>
        </w:tc>
        <w:tc>
          <w:tcPr>
            <w:tcW w:w="551" w:type="pct"/>
            <w:vMerge w:val="continue"/>
            <w:vAlign w:val="center"/>
          </w:tcPr>
          <w:p w14:paraId="050DEE8B">
            <w:pPr>
              <w:widowControl/>
              <w:jc w:val="center"/>
              <w:rPr>
                <w:rFonts w:ascii="宋体" w:hAnsi="宋体" w:cs="宋体"/>
                <w:color w:val="auto"/>
                <w:kern w:val="0"/>
              </w:rPr>
            </w:pPr>
          </w:p>
        </w:tc>
        <w:tc>
          <w:tcPr>
            <w:tcW w:w="594" w:type="pct"/>
            <w:shd w:val="clear" w:color="auto" w:fill="FFFFFF"/>
            <w:noWrap/>
            <w:vAlign w:val="center"/>
          </w:tcPr>
          <w:p w14:paraId="5161CFF1">
            <w:pPr>
              <w:widowControl/>
              <w:jc w:val="center"/>
              <w:rPr>
                <w:rFonts w:ascii="宋体" w:hAnsi="宋体" w:cs="宋体"/>
                <w:color w:val="auto"/>
                <w:kern w:val="0"/>
              </w:rPr>
            </w:pPr>
            <w:r>
              <w:rPr>
                <w:rFonts w:hint="eastAsia" w:ascii="宋体" w:hAnsi="宋体" w:cs="宋体"/>
                <w:color w:val="auto"/>
                <w:kern w:val="0"/>
              </w:rPr>
              <w:t>FJF11-X123</w:t>
            </w:r>
          </w:p>
        </w:tc>
        <w:tc>
          <w:tcPr>
            <w:tcW w:w="618" w:type="pct"/>
            <w:shd w:val="clear" w:color="auto" w:fill="FFFFFF"/>
            <w:noWrap/>
            <w:vAlign w:val="center"/>
          </w:tcPr>
          <w:p w14:paraId="49077037">
            <w:pPr>
              <w:widowControl/>
              <w:jc w:val="center"/>
              <w:rPr>
                <w:rFonts w:ascii="宋体" w:hAnsi="宋体" w:cs="宋体"/>
                <w:color w:val="auto"/>
                <w:kern w:val="0"/>
              </w:rPr>
            </w:pPr>
            <w:r>
              <w:rPr>
                <w:rFonts w:hint="eastAsia" w:ascii="宋体" w:hAnsi="宋体" w:cs="宋体"/>
                <w:color w:val="auto"/>
                <w:kern w:val="0"/>
              </w:rPr>
              <w:t>油井</w:t>
            </w:r>
          </w:p>
        </w:tc>
        <w:tc>
          <w:tcPr>
            <w:tcW w:w="546" w:type="pct"/>
            <w:vMerge w:val="restart"/>
            <w:vAlign w:val="center"/>
          </w:tcPr>
          <w:p w14:paraId="0FC05188">
            <w:pPr>
              <w:widowControl/>
              <w:jc w:val="center"/>
              <w:rPr>
                <w:rFonts w:ascii="宋体" w:hAnsi="宋体" w:cs="宋体"/>
                <w:color w:val="auto"/>
                <w:kern w:val="0"/>
              </w:rPr>
            </w:pPr>
            <w:r>
              <w:rPr>
                <w:rFonts w:hint="eastAsia" w:ascii="宋体" w:hAnsi="宋体" w:cs="宋体"/>
                <w:color w:val="auto"/>
                <w:kern w:val="0"/>
              </w:rPr>
              <w:t>依托</w:t>
            </w:r>
            <w:r>
              <w:rPr>
                <w:rFonts w:ascii="宋体" w:hAnsi="宋体" w:cs="宋体"/>
                <w:color w:val="auto"/>
                <w:kern w:val="0"/>
              </w:rPr>
              <w:t>F11-111老井场</w:t>
            </w:r>
          </w:p>
        </w:tc>
        <w:tc>
          <w:tcPr>
            <w:tcW w:w="543" w:type="pct"/>
            <w:vMerge w:val="restart"/>
            <w:vAlign w:val="center"/>
          </w:tcPr>
          <w:p w14:paraId="1D98BDCF">
            <w:pPr>
              <w:widowControl/>
              <w:jc w:val="center"/>
              <w:rPr>
                <w:rFonts w:ascii="宋体" w:hAnsi="宋体" w:cs="宋体"/>
                <w:color w:val="auto"/>
                <w:kern w:val="0"/>
              </w:rPr>
            </w:pPr>
            <w:r>
              <w:rPr>
                <w:rFonts w:hint="eastAsia" w:ascii="宋体" w:hAnsi="宋体" w:cs="宋体"/>
                <w:color w:val="auto"/>
                <w:kern w:val="0"/>
              </w:rPr>
              <w:t>6#</w:t>
            </w:r>
          </w:p>
        </w:tc>
        <w:tc>
          <w:tcPr>
            <w:tcW w:w="834" w:type="pct"/>
            <w:vAlign w:val="center"/>
          </w:tcPr>
          <w:p w14:paraId="2CB97C22">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2</w:t>
            </w:r>
            <w:r>
              <w:rPr>
                <w:rFonts w:ascii="宋体" w:hAnsi="宋体" w:cs="宋体"/>
                <w:color w:val="auto"/>
                <w:kern w:val="0"/>
              </w:rPr>
              <w:t>/</w:t>
            </w:r>
            <w:r>
              <w:rPr>
                <w:rFonts w:hint="eastAsia" w:ascii="宋体" w:hAnsi="宋体" w:cs="宋体"/>
                <w:color w:val="auto"/>
                <w:kern w:val="0"/>
              </w:rPr>
              <w:t>10</w:t>
            </w:r>
          </w:p>
        </w:tc>
        <w:tc>
          <w:tcPr>
            <w:tcW w:w="772" w:type="pct"/>
            <w:vAlign w:val="center"/>
          </w:tcPr>
          <w:p w14:paraId="1AFD2FFD">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2</w:t>
            </w:r>
            <w:r>
              <w:rPr>
                <w:rFonts w:ascii="宋体" w:hAnsi="宋体" w:cs="宋体"/>
                <w:color w:val="auto"/>
                <w:kern w:val="0"/>
              </w:rPr>
              <w:t>/</w:t>
            </w:r>
            <w:r>
              <w:rPr>
                <w:rFonts w:hint="eastAsia" w:ascii="宋体" w:hAnsi="宋体" w:cs="宋体"/>
                <w:color w:val="auto"/>
                <w:kern w:val="0"/>
              </w:rPr>
              <w:t>16</w:t>
            </w:r>
          </w:p>
        </w:tc>
      </w:tr>
      <w:tr w14:paraId="1000DCA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1C0C3910">
            <w:pPr>
              <w:pStyle w:val="76"/>
              <w:rPr>
                <w:rFonts w:hAnsi="宋体"/>
                <w:color w:val="auto"/>
              </w:rPr>
            </w:pPr>
          </w:p>
        </w:tc>
        <w:tc>
          <w:tcPr>
            <w:tcW w:w="551" w:type="pct"/>
            <w:vMerge w:val="continue"/>
            <w:vAlign w:val="center"/>
          </w:tcPr>
          <w:p w14:paraId="58F8A088">
            <w:pPr>
              <w:widowControl/>
              <w:jc w:val="center"/>
              <w:rPr>
                <w:rFonts w:ascii="宋体" w:hAnsi="宋体" w:cs="宋体"/>
                <w:color w:val="auto"/>
                <w:kern w:val="0"/>
              </w:rPr>
            </w:pPr>
          </w:p>
        </w:tc>
        <w:tc>
          <w:tcPr>
            <w:tcW w:w="594" w:type="pct"/>
            <w:shd w:val="clear" w:color="auto" w:fill="FFFFFF"/>
            <w:noWrap/>
            <w:vAlign w:val="center"/>
          </w:tcPr>
          <w:p w14:paraId="13752770">
            <w:pPr>
              <w:widowControl/>
              <w:jc w:val="center"/>
              <w:rPr>
                <w:rFonts w:ascii="宋体" w:hAnsi="宋体" w:cs="宋体"/>
                <w:color w:val="auto"/>
                <w:kern w:val="0"/>
              </w:rPr>
            </w:pPr>
            <w:r>
              <w:rPr>
                <w:rFonts w:hint="eastAsia" w:ascii="宋体" w:hAnsi="宋体" w:cs="宋体"/>
                <w:color w:val="auto"/>
                <w:kern w:val="0"/>
              </w:rPr>
              <w:t>FJF11-X122</w:t>
            </w:r>
          </w:p>
        </w:tc>
        <w:tc>
          <w:tcPr>
            <w:tcW w:w="618" w:type="pct"/>
            <w:shd w:val="clear" w:color="auto" w:fill="FFFFFF"/>
            <w:noWrap/>
            <w:vAlign w:val="center"/>
          </w:tcPr>
          <w:p w14:paraId="23157199">
            <w:pPr>
              <w:widowControl/>
              <w:jc w:val="center"/>
              <w:rPr>
                <w:rFonts w:ascii="宋体" w:hAnsi="宋体" w:cs="宋体"/>
                <w:color w:val="auto"/>
                <w:kern w:val="0"/>
              </w:rPr>
            </w:pPr>
            <w:r>
              <w:rPr>
                <w:rFonts w:hint="eastAsia" w:ascii="宋体" w:hAnsi="宋体" w:cs="宋体"/>
                <w:color w:val="auto"/>
                <w:kern w:val="0"/>
              </w:rPr>
              <w:t>油井</w:t>
            </w:r>
          </w:p>
        </w:tc>
        <w:tc>
          <w:tcPr>
            <w:tcW w:w="546" w:type="pct"/>
            <w:vMerge w:val="continue"/>
            <w:vAlign w:val="center"/>
          </w:tcPr>
          <w:p w14:paraId="2DF39ED2">
            <w:pPr>
              <w:widowControl/>
              <w:jc w:val="center"/>
              <w:rPr>
                <w:rFonts w:ascii="宋体" w:hAnsi="宋体" w:cs="宋体"/>
                <w:color w:val="auto"/>
                <w:kern w:val="0"/>
              </w:rPr>
            </w:pPr>
          </w:p>
        </w:tc>
        <w:tc>
          <w:tcPr>
            <w:tcW w:w="543" w:type="pct"/>
            <w:vMerge w:val="continue"/>
            <w:vAlign w:val="center"/>
          </w:tcPr>
          <w:p w14:paraId="1A4D40A9">
            <w:pPr>
              <w:widowControl/>
              <w:jc w:val="center"/>
              <w:rPr>
                <w:rFonts w:ascii="宋体" w:hAnsi="宋体" w:cs="宋体"/>
                <w:color w:val="auto"/>
                <w:kern w:val="0"/>
              </w:rPr>
            </w:pPr>
          </w:p>
        </w:tc>
        <w:tc>
          <w:tcPr>
            <w:tcW w:w="834" w:type="pct"/>
            <w:vAlign w:val="center"/>
          </w:tcPr>
          <w:p w14:paraId="1E9C000F">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1</w:t>
            </w:r>
            <w:r>
              <w:rPr>
                <w:rFonts w:ascii="宋体" w:hAnsi="宋体" w:cs="宋体"/>
                <w:color w:val="auto"/>
                <w:kern w:val="0"/>
              </w:rPr>
              <w:t>/</w:t>
            </w:r>
            <w:r>
              <w:rPr>
                <w:rFonts w:hint="eastAsia" w:ascii="宋体" w:hAnsi="宋体" w:cs="宋体"/>
                <w:color w:val="auto"/>
                <w:kern w:val="0"/>
              </w:rPr>
              <w:t>24</w:t>
            </w:r>
          </w:p>
        </w:tc>
        <w:tc>
          <w:tcPr>
            <w:tcW w:w="772" w:type="pct"/>
            <w:vAlign w:val="center"/>
          </w:tcPr>
          <w:p w14:paraId="273B1F60">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2</w:t>
            </w:r>
            <w:r>
              <w:rPr>
                <w:rFonts w:ascii="宋体" w:hAnsi="宋体" w:cs="宋体"/>
                <w:color w:val="auto"/>
                <w:kern w:val="0"/>
              </w:rPr>
              <w:t>/</w:t>
            </w:r>
            <w:r>
              <w:rPr>
                <w:rFonts w:hint="eastAsia" w:ascii="宋体" w:hAnsi="宋体" w:cs="宋体"/>
                <w:color w:val="auto"/>
                <w:kern w:val="0"/>
              </w:rPr>
              <w:t>5</w:t>
            </w:r>
          </w:p>
        </w:tc>
      </w:tr>
      <w:bookmarkEnd w:id="122"/>
      <w:tr w14:paraId="5E3D074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17616378">
            <w:pPr>
              <w:pStyle w:val="76"/>
              <w:rPr>
                <w:rFonts w:hAnsi="宋体"/>
                <w:color w:val="auto"/>
              </w:rPr>
            </w:pPr>
            <w:bookmarkStart w:id="123" w:name="_Hlk225350010"/>
          </w:p>
        </w:tc>
        <w:tc>
          <w:tcPr>
            <w:tcW w:w="551" w:type="pct"/>
            <w:vMerge w:val="continue"/>
            <w:vAlign w:val="center"/>
          </w:tcPr>
          <w:p w14:paraId="581E8251">
            <w:pPr>
              <w:widowControl/>
              <w:jc w:val="center"/>
              <w:rPr>
                <w:rFonts w:ascii="宋体" w:hAnsi="宋体" w:cs="宋体"/>
                <w:color w:val="auto"/>
                <w:kern w:val="0"/>
              </w:rPr>
            </w:pPr>
          </w:p>
        </w:tc>
        <w:tc>
          <w:tcPr>
            <w:tcW w:w="594" w:type="pct"/>
            <w:shd w:val="clear" w:color="auto" w:fill="FFFFFF"/>
            <w:noWrap/>
            <w:vAlign w:val="center"/>
          </w:tcPr>
          <w:p w14:paraId="356B2870">
            <w:pPr>
              <w:widowControl/>
              <w:jc w:val="center"/>
              <w:rPr>
                <w:rFonts w:ascii="宋体" w:hAnsi="宋体" w:cs="宋体"/>
                <w:color w:val="auto"/>
                <w:kern w:val="0"/>
              </w:rPr>
            </w:pPr>
            <w:r>
              <w:rPr>
                <w:rFonts w:hint="eastAsia" w:ascii="宋体" w:hAnsi="宋体" w:cs="宋体"/>
                <w:color w:val="auto"/>
                <w:kern w:val="0"/>
              </w:rPr>
              <w:t>FJF11-X120</w:t>
            </w:r>
          </w:p>
        </w:tc>
        <w:tc>
          <w:tcPr>
            <w:tcW w:w="618" w:type="pct"/>
            <w:shd w:val="clear" w:color="auto" w:fill="FFFFFF"/>
            <w:noWrap/>
            <w:vAlign w:val="center"/>
          </w:tcPr>
          <w:p w14:paraId="4EDCE2CD">
            <w:pPr>
              <w:widowControl/>
              <w:jc w:val="center"/>
              <w:rPr>
                <w:rFonts w:ascii="宋体" w:hAnsi="宋体" w:cs="宋体"/>
                <w:color w:val="auto"/>
                <w:kern w:val="0"/>
              </w:rPr>
            </w:pPr>
            <w:r>
              <w:rPr>
                <w:rFonts w:hint="eastAsia" w:ascii="宋体" w:hAnsi="宋体" w:cs="宋体"/>
                <w:color w:val="auto"/>
                <w:kern w:val="0"/>
              </w:rPr>
              <w:t>水井</w:t>
            </w:r>
          </w:p>
        </w:tc>
        <w:tc>
          <w:tcPr>
            <w:tcW w:w="546" w:type="pct"/>
            <w:vMerge w:val="continue"/>
            <w:vAlign w:val="center"/>
          </w:tcPr>
          <w:p w14:paraId="1F60794F">
            <w:pPr>
              <w:widowControl/>
              <w:jc w:val="center"/>
              <w:rPr>
                <w:rFonts w:ascii="宋体" w:hAnsi="宋体" w:cs="宋体"/>
                <w:color w:val="auto"/>
                <w:kern w:val="0"/>
              </w:rPr>
            </w:pPr>
          </w:p>
        </w:tc>
        <w:tc>
          <w:tcPr>
            <w:tcW w:w="543" w:type="pct"/>
            <w:vMerge w:val="continue"/>
            <w:vAlign w:val="center"/>
          </w:tcPr>
          <w:p w14:paraId="07084FA4">
            <w:pPr>
              <w:widowControl/>
              <w:jc w:val="center"/>
              <w:rPr>
                <w:rFonts w:ascii="宋体" w:hAnsi="宋体" w:cs="宋体"/>
                <w:color w:val="auto"/>
                <w:kern w:val="0"/>
              </w:rPr>
            </w:pPr>
          </w:p>
        </w:tc>
        <w:tc>
          <w:tcPr>
            <w:tcW w:w="834" w:type="pct"/>
            <w:vAlign w:val="center"/>
          </w:tcPr>
          <w:p w14:paraId="59B74670">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1</w:t>
            </w:r>
            <w:r>
              <w:rPr>
                <w:rFonts w:ascii="宋体" w:hAnsi="宋体" w:cs="宋体"/>
                <w:color w:val="auto"/>
                <w:kern w:val="0"/>
              </w:rPr>
              <w:t>/</w:t>
            </w:r>
            <w:r>
              <w:rPr>
                <w:rFonts w:hint="eastAsia" w:ascii="宋体" w:hAnsi="宋体" w:cs="宋体"/>
                <w:color w:val="auto"/>
                <w:kern w:val="0"/>
              </w:rPr>
              <w:t>11</w:t>
            </w:r>
          </w:p>
        </w:tc>
        <w:tc>
          <w:tcPr>
            <w:tcW w:w="772" w:type="pct"/>
            <w:vAlign w:val="center"/>
          </w:tcPr>
          <w:p w14:paraId="3E19D8FC">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1</w:t>
            </w:r>
            <w:r>
              <w:rPr>
                <w:rFonts w:ascii="宋体" w:hAnsi="宋体" w:cs="宋体"/>
                <w:color w:val="auto"/>
                <w:kern w:val="0"/>
              </w:rPr>
              <w:t>/</w:t>
            </w:r>
            <w:r>
              <w:rPr>
                <w:rFonts w:hint="eastAsia" w:ascii="宋体" w:hAnsi="宋体" w:cs="宋体"/>
                <w:color w:val="auto"/>
                <w:kern w:val="0"/>
              </w:rPr>
              <w:t>18</w:t>
            </w:r>
          </w:p>
        </w:tc>
      </w:tr>
      <w:tr w14:paraId="348F800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594C83C4">
            <w:pPr>
              <w:pStyle w:val="76"/>
              <w:rPr>
                <w:rFonts w:hAnsi="宋体"/>
                <w:color w:val="auto"/>
              </w:rPr>
            </w:pPr>
          </w:p>
        </w:tc>
        <w:tc>
          <w:tcPr>
            <w:tcW w:w="551" w:type="pct"/>
            <w:vMerge w:val="continue"/>
            <w:vAlign w:val="center"/>
          </w:tcPr>
          <w:p w14:paraId="6C3FE4C8">
            <w:pPr>
              <w:widowControl/>
              <w:jc w:val="center"/>
              <w:rPr>
                <w:rFonts w:ascii="宋体" w:hAnsi="宋体" w:cs="宋体"/>
                <w:color w:val="auto"/>
                <w:kern w:val="0"/>
              </w:rPr>
            </w:pPr>
          </w:p>
        </w:tc>
        <w:tc>
          <w:tcPr>
            <w:tcW w:w="594" w:type="pct"/>
            <w:shd w:val="clear" w:color="auto" w:fill="FFFFFF"/>
            <w:noWrap/>
            <w:vAlign w:val="center"/>
          </w:tcPr>
          <w:p w14:paraId="2EEBBD4D">
            <w:pPr>
              <w:widowControl/>
              <w:jc w:val="center"/>
              <w:rPr>
                <w:rFonts w:ascii="宋体" w:hAnsi="宋体" w:cs="宋体"/>
                <w:color w:val="auto"/>
                <w:kern w:val="0"/>
              </w:rPr>
            </w:pPr>
            <w:r>
              <w:rPr>
                <w:rFonts w:hint="eastAsia" w:ascii="宋体" w:hAnsi="宋体" w:cs="宋体"/>
                <w:color w:val="auto"/>
                <w:kern w:val="0"/>
              </w:rPr>
              <w:t>FJF11-X117</w:t>
            </w:r>
          </w:p>
        </w:tc>
        <w:tc>
          <w:tcPr>
            <w:tcW w:w="618" w:type="pct"/>
            <w:shd w:val="clear" w:color="auto" w:fill="FFFFFF"/>
            <w:noWrap/>
            <w:vAlign w:val="center"/>
          </w:tcPr>
          <w:p w14:paraId="51B5A975">
            <w:pPr>
              <w:widowControl/>
              <w:jc w:val="center"/>
              <w:rPr>
                <w:rFonts w:ascii="宋体" w:hAnsi="宋体" w:cs="宋体"/>
                <w:color w:val="auto"/>
                <w:kern w:val="0"/>
              </w:rPr>
            </w:pPr>
            <w:r>
              <w:rPr>
                <w:rFonts w:hint="eastAsia" w:ascii="宋体" w:hAnsi="宋体" w:cs="宋体"/>
                <w:color w:val="auto"/>
                <w:kern w:val="0"/>
              </w:rPr>
              <w:t>水井</w:t>
            </w:r>
          </w:p>
        </w:tc>
        <w:tc>
          <w:tcPr>
            <w:tcW w:w="546" w:type="pct"/>
            <w:vMerge w:val="continue"/>
            <w:vAlign w:val="center"/>
          </w:tcPr>
          <w:p w14:paraId="1A78099C">
            <w:pPr>
              <w:widowControl/>
              <w:jc w:val="center"/>
              <w:rPr>
                <w:rFonts w:ascii="宋体" w:hAnsi="宋体" w:cs="宋体"/>
                <w:color w:val="auto"/>
                <w:kern w:val="0"/>
              </w:rPr>
            </w:pPr>
          </w:p>
        </w:tc>
        <w:tc>
          <w:tcPr>
            <w:tcW w:w="543" w:type="pct"/>
            <w:vMerge w:val="continue"/>
            <w:vAlign w:val="center"/>
          </w:tcPr>
          <w:p w14:paraId="18309259">
            <w:pPr>
              <w:widowControl/>
              <w:jc w:val="center"/>
              <w:rPr>
                <w:rFonts w:ascii="宋体" w:hAnsi="宋体" w:cs="宋体"/>
                <w:color w:val="auto"/>
                <w:kern w:val="0"/>
              </w:rPr>
            </w:pPr>
          </w:p>
        </w:tc>
        <w:tc>
          <w:tcPr>
            <w:tcW w:w="834" w:type="pct"/>
            <w:vAlign w:val="center"/>
          </w:tcPr>
          <w:p w14:paraId="1787205D">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12</w:t>
            </w:r>
            <w:r>
              <w:rPr>
                <w:rFonts w:ascii="宋体" w:hAnsi="宋体" w:cs="宋体"/>
                <w:color w:val="auto"/>
                <w:kern w:val="0"/>
              </w:rPr>
              <w:t>/</w:t>
            </w:r>
            <w:r>
              <w:rPr>
                <w:rFonts w:hint="eastAsia" w:ascii="宋体" w:hAnsi="宋体" w:cs="宋体"/>
                <w:color w:val="auto"/>
                <w:kern w:val="0"/>
              </w:rPr>
              <w:t>13</w:t>
            </w:r>
          </w:p>
        </w:tc>
        <w:tc>
          <w:tcPr>
            <w:tcW w:w="772" w:type="pct"/>
            <w:vAlign w:val="center"/>
          </w:tcPr>
          <w:p w14:paraId="3F188A72">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12</w:t>
            </w:r>
            <w:r>
              <w:rPr>
                <w:rFonts w:ascii="宋体" w:hAnsi="宋体" w:cs="宋体"/>
                <w:color w:val="auto"/>
                <w:kern w:val="0"/>
              </w:rPr>
              <w:t>/</w:t>
            </w:r>
            <w:r>
              <w:rPr>
                <w:rFonts w:hint="eastAsia" w:ascii="宋体" w:hAnsi="宋体" w:cs="宋体"/>
                <w:color w:val="auto"/>
                <w:kern w:val="0"/>
              </w:rPr>
              <w:t>21</w:t>
            </w:r>
          </w:p>
        </w:tc>
      </w:tr>
      <w:bookmarkEnd w:id="123"/>
      <w:tr w14:paraId="67B1311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00BF7F4C">
            <w:pPr>
              <w:pStyle w:val="76"/>
              <w:rPr>
                <w:rFonts w:hAnsi="宋体"/>
                <w:color w:val="auto"/>
              </w:rPr>
            </w:pPr>
            <w:bookmarkStart w:id="124" w:name="_Hlk225606367"/>
          </w:p>
        </w:tc>
        <w:tc>
          <w:tcPr>
            <w:tcW w:w="551" w:type="pct"/>
            <w:vMerge w:val="continue"/>
            <w:vAlign w:val="center"/>
          </w:tcPr>
          <w:p w14:paraId="1B4DD2ED">
            <w:pPr>
              <w:widowControl/>
              <w:jc w:val="center"/>
              <w:rPr>
                <w:rFonts w:ascii="宋体" w:hAnsi="宋体" w:cs="宋体"/>
                <w:color w:val="auto"/>
                <w:kern w:val="0"/>
              </w:rPr>
            </w:pPr>
          </w:p>
        </w:tc>
        <w:tc>
          <w:tcPr>
            <w:tcW w:w="594" w:type="pct"/>
            <w:shd w:val="clear" w:color="auto" w:fill="FFFFFF"/>
            <w:noWrap/>
            <w:vAlign w:val="center"/>
          </w:tcPr>
          <w:p w14:paraId="2D4A1D7C">
            <w:pPr>
              <w:widowControl/>
              <w:jc w:val="center"/>
              <w:rPr>
                <w:rFonts w:ascii="宋体" w:hAnsi="宋体" w:cs="宋体"/>
                <w:color w:val="auto"/>
                <w:kern w:val="0"/>
              </w:rPr>
            </w:pPr>
            <w:r>
              <w:rPr>
                <w:rFonts w:hint="eastAsia" w:ascii="宋体" w:hAnsi="宋体" w:cs="宋体"/>
                <w:color w:val="auto"/>
                <w:kern w:val="0"/>
              </w:rPr>
              <w:t>FJF11-X118</w:t>
            </w:r>
          </w:p>
        </w:tc>
        <w:tc>
          <w:tcPr>
            <w:tcW w:w="618" w:type="pct"/>
            <w:shd w:val="clear" w:color="auto" w:fill="FFFFFF"/>
            <w:noWrap/>
            <w:vAlign w:val="center"/>
          </w:tcPr>
          <w:p w14:paraId="0F1878C0">
            <w:pPr>
              <w:widowControl/>
              <w:jc w:val="center"/>
              <w:rPr>
                <w:rFonts w:ascii="宋体" w:hAnsi="宋体" w:cs="宋体"/>
                <w:color w:val="auto"/>
                <w:kern w:val="0"/>
              </w:rPr>
            </w:pPr>
            <w:r>
              <w:rPr>
                <w:rFonts w:hint="eastAsia" w:ascii="宋体" w:hAnsi="宋体" w:cs="宋体"/>
                <w:color w:val="auto"/>
                <w:kern w:val="0"/>
              </w:rPr>
              <w:t>油井</w:t>
            </w:r>
          </w:p>
        </w:tc>
        <w:tc>
          <w:tcPr>
            <w:tcW w:w="546" w:type="pct"/>
            <w:vMerge w:val="continue"/>
            <w:vAlign w:val="center"/>
          </w:tcPr>
          <w:p w14:paraId="77235C3B">
            <w:pPr>
              <w:widowControl/>
              <w:jc w:val="center"/>
              <w:rPr>
                <w:rFonts w:ascii="宋体" w:hAnsi="宋体" w:cs="宋体"/>
                <w:color w:val="auto"/>
                <w:kern w:val="0"/>
              </w:rPr>
            </w:pPr>
          </w:p>
        </w:tc>
        <w:tc>
          <w:tcPr>
            <w:tcW w:w="543" w:type="pct"/>
            <w:vMerge w:val="continue"/>
            <w:vAlign w:val="center"/>
          </w:tcPr>
          <w:p w14:paraId="08861E69">
            <w:pPr>
              <w:widowControl/>
              <w:jc w:val="center"/>
              <w:rPr>
                <w:rFonts w:ascii="宋体" w:hAnsi="宋体" w:cs="宋体"/>
                <w:color w:val="auto"/>
                <w:kern w:val="0"/>
              </w:rPr>
            </w:pPr>
          </w:p>
        </w:tc>
        <w:tc>
          <w:tcPr>
            <w:tcW w:w="834" w:type="pct"/>
            <w:vAlign w:val="center"/>
          </w:tcPr>
          <w:p w14:paraId="26FF91A6">
            <w:pPr>
              <w:widowControl/>
              <w:jc w:val="center"/>
              <w:rPr>
                <w:rFonts w:ascii="宋体" w:hAnsi="宋体" w:cs="Arial"/>
                <w:color w:val="auto"/>
                <w:kern w:val="0"/>
                <w:szCs w:val="20"/>
              </w:rPr>
            </w:pPr>
            <w:r>
              <w:rPr>
                <w:rFonts w:ascii="宋体" w:hAnsi="宋体" w:cs="Arial"/>
                <w:color w:val="auto"/>
                <w:kern w:val="0"/>
                <w:szCs w:val="20"/>
              </w:rPr>
              <w:t>2024/12/28</w:t>
            </w:r>
          </w:p>
        </w:tc>
        <w:tc>
          <w:tcPr>
            <w:tcW w:w="772" w:type="pct"/>
            <w:vAlign w:val="center"/>
          </w:tcPr>
          <w:p w14:paraId="652204D6">
            <w:pPr>
              <w:widowControl/>
              <w:jc w:val="center"/>
              <w:rPr>
                <w:rFonts w:ascii="宋体" w:hAnsi="宋体" w:cs="Arial"/>
                <w:color w:val="auto"/>
                <w:kern w:val="0"/>
                <w:szCs w:val="20"/>
              </w:rPr>
            </w:pPr>
            <w:r>
              <w:rPr>
                <w:rFonts w:ascii="宋体" w:hAnsi="宋体" w:cs="Arial"/>
                <w:color w:val="auto"/>
                <w:kern w:val="0"/>
                <w:szCs w:val="20"/>
              </w:rPr>
              <w:t>2025/1/3</w:t>
            </w:r>
          </w:p>
        </w:tc>
      </w:tr>
      <w:tr w14:paraId="2E5A41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7B3E4FD0">
            <w:pPr>
              <w:pStyle w:val="76"/>
              <w:rPr>
                <w:rFonts w:hAnsi="宋体"/>
                <w:color w:val="auto"/>
              </w:rPr>
            </w:pPr>
          </w:p>
        </w:tc>
        <w:tc>
          <w:tcPr>
            <w:tcW w:w="551" w:type="pct"/>
            <w:vMerge w:val="continue"/>
            <w:vAlign w:val="center"/>
          </w:tcPr>
          <w:p w14:paraId="2955DD39">
            <w:pPr>
              <w:widowControl/>
              <w:jc w:val="center"/>
              <w:rPr>
                <w:rFonts w:ascii="宋体" w:hAnsi="宋体" w:cs="宋体"/>
                <w:color w:val="auto"/>
                <w:kern w:val="0"/>
              </w:rPr>
            </w:pPr>
          </w:p>
        </w:tc>
        <w:tc>
          <w:tcPr>
            <w:tcW w:w="594" w:type="pct"/>
            <w:shd w:val="clear" w:color="auto" w:fill="FFFFFF"/>
            <w:noWrap/>
            <w:vAlign w:val="center"/>
          </w:tcPr>
          <w:p w14:paraId="15C6A527">
            <w:pPr>
              <w:widowControl/>
              <w:jc w:val="center"/>
              <w:rPr>
                <w:rFonts w:ascii="宋体" w:hAnsi="宋体" w:cs="宋体"/>
                <w:color w:val="auto"/>
                <w:kern w:val="0"/>
              </w:rPr>
            </w:pPr>
            <w:bookmarkStart w:id="125" w:name="OLE_LINK115"/>
            <w:bookmarkStart w:id="126" w:name="OLE_LINK114"/>
            <w:r>
              <w:rPr>
                <w:rFonts w:hint="eastAsia" w:ascii="宋体" w:hAnsi="宋体" w:cs="宋体"/>
                <w:color w:val="auto"/>
                <w:kern w:val="0"/>
              </w:rPr>
              <w:t>FJF11-X115</w:t>
            </w:r>
            <w:bookmarkEnd w:id="125"/>
            <w:bookmarkEnd w:id="126"/>
          </w:p>
        </w:tc>
        <w:tc>
          <w:tcPr>
            <w:tcW w:w="618" w:type="pct"/>
            <w:shd w:val="clear" w:color="auto" w:fill="FFFFFF"/>
            <w:noWrap/>
            <w:vAlign w:val="center"/>
          </w:tcPr>
          <w:p w14:paraId="42104B36">
            <w:pPr>
              <w:widowControl/>
              <w:jc w:val="center"/>
              <w:rPr>
                <w:rFonts w:ascii="宋体" w:hAnsi="宋体" w:cs="宋体"/>
                <w:color w:val="auto"/>
                <w:kern w:val="0"/>
              </w:rPr>
            </w:pPr>
            <w:r>
              <w:rPr>
                <w:rFonts w:hint="eastAsia" w:ascii="宋体" w:hAnsi="宋体" w:cs="宋体"/>
                <w:color w:val="auto"/>
                <w:kern w:val="0"/>
              </w:rPr>
              <w:t>油井</w:t>
            </w:r>
          </w:p>
        </w:tc>
        <w:tc>
          <w:tcPr>
            <w:tcW w:w="546" w:type="pct"/>
            <w:vMerge w:val="continue"/>
            <w:vAlign w:val="center"/>
          </w:tcPr>
          <w:p w14:paraId="12211E68">
            <w:pPr>
              <w:widowControl/>
              <w:jc w:val="center"/>
              <w:rPr>
                <w:rFonts w:ascii="宋体" w:hAnsi="宋体" w:cs="宋体"/>
                <w:color w:val="auto"/>
                <w:kern w:val="0"/>
              </w:rPr>
            </w:pPr>
          </w:p>
        </w:tc>
        <w:tc>
          <w:tcPr>
            <w:tcW w:w="543" w:type="pct"/>
            <w:vMerge w:val="continue"/>
            <w:vAlign w:val="center"/>
          </w:tcPr>
          <w:p w14:paraId="08F83F48">
            <w:pPr>
              <w:widowControl/>
              <w:jc w:val="center"/>
              <w:rPr>
                <w:rFonts w:ascii="宋体" w:hAnsi="宋体" w:cs="宋体"/>
                <w:color w:val="auto"/>
                <w:kern w:val="0"/>
              </w:rPr>
            </w:pPr>
          </w:p>
        </w:tc>
        <w:tc>
          <w:tcPr>
            <w:tcW w:w="834" w:type="pct"/>
            <w:vAlign w:val="center"/>
          </w:tcPr>
          <w:p w14:paraId="5D1E7E8B">
            <w:pPr>
              <w:widowControl/>
              <w:jc w:val="center"/>
              <w:rPr>
                <w:rFonts w:ascii="宋体" w:hAnsi="宋体" w:cs="Arial"/>
                <w:color w:val="auto"/>
                <w:kern w:val="0"/>
                <w:szCs w:val="20"/>
              </w:rPr>
            </w:pPr>
            <w:r>
              <w:rPr>
                <w:rFonts w:ascii="宋体" w:hAnsi="宋体" w:cs="Arial"/>
                <w:color w:val="auto"/>
                <w:kern w:val="0"/>
                <w:szCs w:val="20"/>
              </w:rPr>
              <w:t>2024/11/30</w:t>
            </w:r>
          </w:p>
        </w:tc>
        <w:tc>
          <w:tcPr>
            <w:tcW w:w="772" w:type="pct"/>
            <w:vAlign w:val="center"/>
          </w:tcPr>
          <w:p w14:paraId="6F4447BD">
            <w:pPr>
              <w:widowControl/>
              <w:jc w:val="center"/>
              <w:rPr>
                <w:rFonts w:ascii="宋体" w:hAnsi="宋体" w:cs="Arial"/>
                <w:color w:val="auto"/>
                <w:kern w:val="0"/>
                <w:szCs w:val="20"/>
              </w:rPr>
            </w:pPr>
            <w:r>
              <w:rPr>
                <w:rFonts w:ascii="宋体" w:hAnsi="宋体" w:cs="Arial"/>
                <w:color w:val="auto"/>
                <w:kern w:val="0"/>
                <w:szCs w:val="20"/>
              </w:rPr>
              <w:t>2024/12/8</w:t>
            </w:r>
          </w:p>
        </w:tc>
      </w:tr>
      <w:bookmarkEnd w:id="124"/>
      <w:tr w14:paraId="6564007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129DCB4A">
            <w:pPr>
              <w:pStyle w:val="76"/>
              <w:rPr>
                <w:rFonts w:hAnsi="宋体"/>
                <w:color w:val="auto"/>
              </w:rPr>
            </w:pPr>
          </w:p>
        </w:tc>
        <w:tc>
          <w:tcPr>
            <w:tcW w:w="551" w:type="pct"/>
            <w:vMerge w:val="continue"/>
            <w:vAlign w:val="center"/>
          </w:tcPr>
          <w:p w14:paraId="5091EFD7">
            <w:pPr>
              <w:widowControl/>
              <w:jc w:val="center"/>
              <w:rPr>
                <w:rFonts w:ascii="宋体" w:hAnsi="宋体" w:cs="宋体"/>
                <w:color w:val="auto"/>
                <w:kern w:val="0"/>
              </w:rPr>
            </w:pPr>
          </w:p>
        </w:tc>
        <w:tc>
          <w:tcPr>
            <w:tcW w:w="594" w:type="pct"/>
            <w:shd w:val="clear" w:color="auto" w:fill="FFFFFF"/>
            <w:noWrap/>
            <w:vAlign w:val="center"/>
          </w:tcPr>
          <w:p w14:paraId="17F8CA86">
            <w:pPr>
              <w:widowControl/>
              <w:jc w:val="center"/>
              <w:rPr>
                <w:rFonts w:ascii="宋体" w:hAnsi="宋体" w:cs="宋体"/>
                <w:color w:val="auto"/>
                <w:kern w:val="0"/>
              </w:rPr>
            </w:pPr>
            <w:bookmarkStart w:id="127" w:name="OLE_LINK121"/>
            <w:bookmarkStart w:id="128" w:name="OLE_LINK120"/>
            <w:bookmarkStart w:id="129" w:name="OLE_LINK123"/>
            <w:r>
              <w:rPr>
                <w:rFonts w:hint="eastAsia" w:ascii="宋体" w:hAnsi="宋体" w:cs="宋体"/>
                <w:color w:val="auto"/>
                <w:kern w:val="0"/>
              </w:rPr>
              <w:t>FJFY1-10HF</w:t>
            </w:r>
            <w:bookmarkEnd w:id="127"/>
            <w:bookmarkEnd w:id="128"/>
            <w:bookmarkEnd w:id="129"/>
          </w:p>
        </w:tc>
        <w:tc>
          <w:tcPr>
            <w:tcW w:w="618" w:type="pct"/>
            <w:shd w:val="clear" w:color="auto" w:fill="FFFFFF"/>
            <w:noWrap/>
            <w:vAlign w:val="center"/>
          </w:tcPr>
          <w:p w14:paraId="4C8E99C5">
            <w:pPr>
              <w:widowControl/>
              <w:jc w:val="center"/>
              <w:rPr>
                <w:rFonts w:ascii="宋体" w:hAnsi="宋体" w:cs="宋体"/>
                <w:color w:val="auto"/>
                <w:kern w:val="0"/>
              </w:rPr>
            </w:pPr>
            <w:r>
              <w:rPr>
                <w:rFonts w:hint="eastAsia" w:ascii="宋体" w:hAnsi="宋体" w:cs="宋体"/>
                <w:color w:val="auto"/>
                <w:kern w:val="0"/>
              </w:rPr>
              <w:t>探井转开发井</w:t>
            </w:r>
          </w:p>
        </w:tc>
        <w:tc>
          <w:tcPr>
            <w:tcW w:w="546" w:type="pct"/>
            <w:vMerge w:val="restart"/>
            <w:vAlign w:val="center"/>
          </w:tcPr>
          <w:p w14:paraId="2E613A64">
            <w:pPr>
              <w:widowControl/>
              <w:jc w:val="center"/>
              <w:rPr>
                <w:rFonts w:ascii="宋体" w:hAnsi="宋体" w:cs="宋体"/>
                <w:color w:val="auto"/>
                <w:kern w:val="0"/>
              </w:rPr>
            </w:pPr>
            <w:r>
              <w:rPr>
                <w:rFonts w:hint="eastAsia" w:ascii="宋体" w:hAnsi="宋体" w:cs="宋体"/>
                <w:color w:val="auto"/>
                <w:kern w:val="0"/>
              </w:rPr>
              <w:t>新建井场</w:t>
            </w:r>
          </w:p>
        </w:tc>
        <w:tc>
          <w:tcPr>
            <w:tcW w:w="543" w:type="pct"/>
            <w:vMerge w:val="restart"/>
            <w:vAlign w:val="center"/>
          </w:tcPr>
          <w:p w14:paraId="5C5CBCE6">
            <w:pPr>
              <w:widowControl/>
              <w:jc w:val="center"/>
              <w:rPr>
                <w:rFonts w:ascii="宋体" w:hAnsi="宋体" w:cs="宋体"/>
                <w:color w:val="auto"/>
                <w:kern w:val="0"/>
              </w:rPr>
            </w:pPr>
            <w:r>
              <w:rPr>
                <w:rFonts w:hint="eastAsia" w:ascii="宋体" w:hAnsi="宋体" w:cs="宋体"/>
                <w:color w:val="auto"/>
                <w:kern w:val="0"/>
              </w:rPr>
              <w:t>7#</w:t>
            </w:r>
          </w:p>
        </w:tc>
        <w:tc>
          <w:tcPr>
            <w:tcW w:w="834" w:type="pct"/>
            <w:vAlign w:val="center"/>
          </w:tcPr>
          <w:p w14:paraId="2EC64EFB">
            <w:pPr>
              <w:widowControl/>
              <w:jc w:val="center"/>
              <w:rPr>
                <w:rFonts w:ascii="宋体" w:hAnsi="宋体" w:cs="宋体"/>
                <w:color w:val="auto"/>
                <w:kern w:val="0"/>
              </w:rPr>
            </w:pPr>
            <w:r>
              <w:rPr>
                <w:rFonts w:ascii="宋体" w:hAnsi="宋体" w:cs="宋体"/>
                <w:color w:val="auto"/>
                <w:kern w:val="0"/>
              </w:rPr>
              <w:t>/</w:t>
            </w:r>
          </w:p>
        </w:tc>
        <w:tc>
          <w:tcPr>
            <w:tcW w:w="772" w:type="pct"/>
            <w:vAlign w:val="center"/>
          </w:tcPr>
          <w:p w14:paraId="344A43F9">
            <w:pPr>
              <w:widowControl/>
              <w:jc w:val="center"/>
              <w:rPr>
                <w:rFonts w:ascii="宋体" w:hAnsi="宋体" w:cs="宋体"/>
                <w:color w:val="auto"/>
                <w:kern w:val="0"/>
              </w:rPr>
            </w:pPr>
            <w:r>
              <w:rPr>
                <w:rFonts w:ascii="宋体" w:hAnsi="宋体" w:cs="宋体"/>
                <w:color w:val="auto"/>
                <w:kern w:val="0"/>
              </w:rPr>
              <w:t>/</w:t>
            </w:r>
          </w:p>
        </w:tc>
      </w:tr>
      <w:tr w14:paraId="7887A61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55D25774">
            <w:pPr>
              <w:pStyle w:val="76"/>
              <w:rPr>
                <w:rFonts w:hAnsi="宋体"/>
                <w:color w:val="auto"/>
              </w:rPr>
            </w:pPr>
            <w:bookmarkStart w:id="130" w:name="_Hlk230873335"/>
          </w:p>
        </w:tc>
        <w:tc>
          <w:tcPr>
            <w:tcW w:w="551" w:type="pct"/>
            <w:vMerge w:val="continue"/>
            <w:vAlign w:val="center"/>
          </w:tcPr>
          <w:p w14:paraId="5A0EA027">
            <w:pPr>
              <w:widowControl/>
              <w:jc w:val="center"/>
              <w:rPr>
                <w:rFonts w:ascii="宋体" w:hAnsi="宋体" w:cs="宋体"/>
                <w:color w:val="auto"/>
                <w:kern w:val="0"/>
              </w:rPr>
            </w:pPr>
          </w:p>
        </w:tc>
        <w:tc>
          <w:tcPr>
            <w:tcW w:w="594" w:type="pct"/>
            <w:shd w:val="clear" w:color="auto" w:fill="FFFFFF"/>
            <w:noWrap/>
            <w:vAlign w:val="center"/>
          </w:tcPr>
          <w:p w14:paraId="56E7CF79">
            <w:pPr>
              <w:widowControl/>
              <w:jc w:val="center"/>
              <w:rPr>
                <w:rFonts w:ascii="宋体" w:hAnsi="宋体" w:cs="宋体"/>
                <w:color w:val="auto"/>
                <w:kern w:val="0"/>
              </w:rPr>
            </w:pPr>
            <w:r>
              <w:rPr>
                <w:rFonts w:hint="eastAsia" w:ascii="宋体" w:hAnsi="宋体" w:cs="宋体"/>
                <w:color w:val="auto"/>
                <w:kern w:val="0"/>
              </w:rPr>
              <w:t>FJFY1-9HF</w:t>
            </w:r>
          </w:p>
        </w:tc>
        <w:tc>
          <w:tcPr>
            <w:tcW w:w="618" w:type="pct"/>
            <w:shd w:val="clear" w:color="auto" w:fill="FFFFFF"/>
            <w:noWrap/>
            <w:vAlign w:val="center"/>
          </w:tcPr>
          <w:p w14:paraId="2E1452F1">
            <w:pPr>
              <w:widowControl/>
              <w:jc w:val="center"/>
              <w:rPr>
                <w:rFonts w:ascii="宋体" w:hAnsi="宋体" w:cs="宋体"/>
                <w:color w:val="auto"/>
                <w:kern w:val="0"/>
              </w:rPr>
            </w:pPr>
            <w:r>
              <w:rPr>
                <w:rFonts w:hint="eastAsia" w:ascii="宋体" w:hAnsi="宋体" w:cs="宋体"/>
                <w:color w:val="auto"/>
                <w:kern w:val="0"/>
              </w:rPr>
              <w:t>探井转开发井</w:t>
            </w:r>
          </w:p>
        </w:tc>
        <w:tc>
          <w:tcPr>
            <w:tcW w:w="546" w:type="pct"/>
            <w:vMerge w:val="continue"/>
            <w:vAlign w:val="center"/>
          </w:tcPr>
          <w:p w14:paraId="7EC4E59D">
            <w:pPr>
              <w:widowControl/>
              <w:jc w:val="center"/>
              <w:rPr>
                <w:rFonts w:ascii="宋体" w:hAnsi="宋体" w:cs="宋体"/>
                <w:color w:val="auto"/>
                <w:kern w:val="0"/>
              </w:rPr>
            </w:pPr>
          </w:p>
        </w:tc>
        <w:tc>
          <w:tcPr>
            <w:tcW w:w="543" w:type="pct"/>
            <w:vMerge w:val="continue"/>
            <w:vAlign w:val="center"/>
          </w:tcPr>
          <w:p w14:paraId="6DCB57AD">
            <w:pPr>
              <w:widowControl/>
              <w:jc w:val="center"/>
              <w:rPr>
                <w:rFonts w:ascii="宋体" w:hAnsi="宋体" w:cs="宋体"/>
                <w:color w:val="auto"/>
                <w:kern w:val="0"/>
              </w:rPr>
            </w:pPr>
          </w:p>
        </w:tc>
        <w:tc>
          <w:tcPr>
            <w:tcW w:w="834" w:type="pct"/>
            <w:vAlign w:val="center"/>
          </w:tcPr>
          <w:p w14:paraId="61D6F257">
            <w:pPr>
              <w:widowControl/>
              <w:jc w:val="center"/>
              <w:rPr>
                <w:rFonts w:ascii="宋体" w:hAnsi="宋体" w:cs="宋体"/>
                <w:color w:val="auto"/>
                <w:kern w:val="0"/>
              </w:rPr>
            </w:pPr>
            <w:r>
              <w:rPr>
                <w:rFonts w:ascii="宋体" w:hAnsi="宋体" w:cs="宋体"/>
                <w:color w:val="auto"/>
                <w:kern w:val="0"/>
              </w:rPr>
              <w:t>/</w:t>
            </w:r>
          </w:p>
        </w:tc>
        <w:tc>
          <w:tcPr>
            <w:tcW w:w="772" w:type="pct"/>
            <w:vAlign w:val="center"/>
          </w:tcPr>
          <w:p w14:paraId="4194D6E3">
            <w:pPr>
              <w:widowControl/>
              <w:jc w:val="center"/>
              <w:rPr>
                <w:rFonts w:ascii="宋体" w:hAnsi="宋体" w:cs="宋体"/>
                <w:color w:val="auto"/>
                <w:kern w:val="0"/>
              </w:rPr>
            </w:pPr>
            <w:r>
              <w:rPr>
                <w:rFonts w:ascii="宋体" w:hAnsi="宋体" w:cs="宋体"/>
                <w:color w:val="auto"/>
                <w:kern w:val="0"/>
              </w:rPr>
              <w:t>/</w:t>
            </w:r>
          </w:p>
        </w:tc>
      </w:tr>
      <w:bookmarkEnd w:id="130"/>
      <w:tr w14:paraId="50BBDD2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57E6E3DE">
            <w:pPr>
              <w:pStyle w:val="76"/>
              <w:rPr>
                <w:rFonts w:hAnsi="宋体"/>
                <w:color w:val="auto"/>
              </w:rPr>
            </w:pPr>
          </w:p>
        </w:tc>
        <w:tc>
          <w:tcPr>
            <w:tcW w:w="551" w:type="pct"/>
            <w:vMerge w:val="continue"/>
            <w:vAlign w:val="center"/>
          </w:tcPr>
          <w:p w14:paraId="63546CB7">
            <w:pPr>
              <w:widowControl/>
              <w:jc w:val="center"/>
              <w:rPr>
                <w:rFonts w:ascii="宋体" w:hAnsi="宋体" w:cs="宋体"/>
                <w:color w:val="auto"/>
                <w:kern w:val="0"/>
              </w:rPr>
            </w:pPr>
          </w:p>
        </w:tc>
        <w:tc>
          <w:tcPr>
            <w:tcW w:w="594" w:type="pct"/>
            <w:shd w:val="clear" w:color="auto" w:fill="FFFFFF"/>
            <w:noWrap/>
            <w:vAlign w:val="center"/>
          </w:tcPr>
          <w:p w14:paraId="37ADB567">
            <w:pPr>
              <w:widowControl/>
              <w:jc w:val="center"/>
              <w:rPr>
                <w:rFonts w:ascii="宋体" w:hAnsi="宋体" w:cs="宋体"/>
                <w:color w:val="auto"/>
                <w:kern w:val="0"/>
              </w:rPr>
            </w:pPr>
            <w:r>
              <w:rPr>
                <w:rFonts w:hint="eastAsia" w:ascii="宋体" w:hAnsi="宋体" w:cs="宋体"/>
                <w:color w:val="auto"/>
                <w:kern w:val="0"/>
              </w:rPr>
              <w:t>FJFY301HF</w:t>
            </w:r>
          </w:p>
        </w:tc>
        <w:tc>
          <w:tcPr>
            <w:tcW w:w="618" w:type="pct"/>
            <w:shd w:val="clear" w:color="auto" w:fill="FFFFFF"/>
            <w:noWrap/>
            <w:vAlign w:val="center"/>
          </w:tcPr>
          <w:p w14:paraId="6F94B947">
            <w:pPr>
              <w:widowControl/>
              <w:jc w:val="center"/>
              <w:rPr>
                <w:rFonts w:ascii="宋体" w:hAnsi="宋体" w:cs="宋体"/>
                <w:color w:val="auto"/>
                <w:kern w:val="0"/>
              </w:rPr>
            </w:pPr>
            <w:r>
              <w:rPr>
                <w:rFonts w:hint="eastAsia" w:ascii="宋体" w:hAnsi="宋体" w:cs="宋体"/>
                <w:color w:val="auto"/>
                <w:kern w:val="0"/>
              </w:rPr>
              <w:t>探井转开发井</w:t>
            </w:r>
          </w:p>
        </w:tc>
        <w:tc>
          <w:tcPr>
            <w:tcW w:w="546" w:type="pct"/>
            <w:vAlign w:val="center"/>
          </w:tcPr>
          <w:p w14:paraId="750C7168">
            <w:pPr>
              <w:widowControl/>
              <w:jc w:val="center"/>
              <w:rPr>
                <w:rFonts w:ascii="宋体" w:hAnsi="宋体" w:cs="宋体"/>
                <w:color w:val="auto"/>
                <w:kern w:val="0"/>
              </w:rPr>
            </w:pPr>
            <w:r>
              <w:rPr>
                <w:rFonts w:hint="eastAsia" w:ascii="宋体" w:hAnsi="宋体" w:cs="宋体"/>
                <w:color w:val="auto"/>
                <w:kern w:val="0"/>
              </w:rPr>
              <w:t>新建井场</w:t>
            </w:r>
          </w:p>
        </w:tc>
        <w:tc>
          <w:tcPr>
            <w:tcW w:w="543" w:type="pct"/>
            <w:vAlign w:val="center"/>
          </w:tcPr>
          <w:p w14:paraId="00B37C07">
            <w:pPr>
              <w:widowControl/>
              <w:jc w:val="center"/>
              <w:rPr>
                <w:rFonts w:ascii="宋体" w:hAnsi="宋体" w:cs="宋体"/>
                <w:color w:val="auto"/>
                <w:kern w:val="0"/>
              </w:rPr>
            </w:pPr>
            <w:r>
              <w:rPr>
                <w:rFonts w:hint="eastAsia" w:ascii="宋体" w:hAnsi="宋体" w:cs="宋体"/>
                <w:color w:val="auto"/>
                <w:kern w:val="0"/>
              </w:rPr>
              <w:t>8#</w:t>
            </w:r>
          </w:p>
        </w:tc>
        <w:tc>
          <w:tcPr>
            <w:tcW w:w="834" w:type="pct"/>
            <w:vAlign w:val="center"/>
          </w:tcPr>
          <w:p w14:paraId="01ABD55E">
            <w:pPr>
              <w:widowControl/>
              <w:jc w:val="center"/>
              <w:rPr>
                <w:rFonts w:ascii="宋体" w:hAnsi="宋体" w:cs="宋体"/>
                <w:color w:val="auto"/>
                <w:kern w:val="0"/>
              </w:rPr>
            </w:pPr>
            <w:r>
              <w:rPr>
                <w:rFonts w:ascii="宋体" w:hAnsi="宋体" w:cs="宋体"/>
                <w:color w:val="auto"/>
                <w:kern w:val="0"/>
              </w:rPr>
              <w:t>/</w:t>
            </w:r>
          </w:p>
        </w:tc>
        <w:tc>
          <w:tcPr>
            <w:tcW w:w="772" w:type="pct"/>
            <w:vAlign w:val="center"/>
          </w:tcPr>
          <w:p w14:paraId="45426757">
            <w:pPr>
              <w:widowControl/>
              <w:jc w:val="center"/>
              <w:rPr>
                <w:rFonts w:ascii="宋体" w:hAnsi="宋体" w:cs="宋体"/>
                <w:color w:val="auto"/>
                <w:kern w:val="0"/>
              </w:rPr>
            </w:pPr>
            <w:r>
              <w:rPr>
                <w:rFonts w:ascii="宋体" w:hAnsi="宋体" w:cs="宋体"/>
                <w:color w:val="auto"/>
                <w:kern w:val="0"/>
              </w:rPr>
              <w:t>/</w:t>
            </w:r>
          </w:p>
        </w:tc>
      </w:tr>
      <w:tr w14:paraId="5840EAE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2CE856C8">
            <w:pPr>
              <w:pStyle w:val="76"/>
              <w:rPr>
                <w:rFonts w:hAnsi="宋体"/>
                <w:color w:val="auto"/>
              </w:rPr>
            </w:pPr>
          </w:p>
        </w:tc>
        <w:tc>
          <w:tcPr>
            <w:tcW w:w="551" w:type="pct"/>
            <w:vMerge w:val="continue"/>
            <w:vAlign w:val="center"/>
          </w:tcPr>
          <w:p w14:paraId="4FD19A21">
            <w:pPr>
              <w:widowControl/>
              <w:jc w:val="center"/>
              <w:rPr>
                <w:rFonts w:ascii="宋体" w:hAnsi="宋体" w:cs="宋体"/>
                <w:color w:val="auto"/>
                <w:kern w:val="0"/>
              </w:rPr>
            </w:pPr>
          </w:p>
        </w:tc>
        <w:tc>
          <w:tcPr>
            <w:tcW w:w="594" w:type="pct"/>
            <w:shd w:val="clear" w:color="auto" w:fill="FFFFFF"/>
            <w:noWrap/>
            <w:vAlign w:val="center"/>
          </w:tcPr>
          <w:p w14:paraId="49021E8B">
            <w:pPr>
              <w:widowControl/>
              <w:jc w:val="center"/>
              <w:rPr>
                <w:rFonts w:ascii="宋体" w:hAnsi="宋体" w:cs="宋体"/>
                <w:color w:val="auto"/>
                <w:kern w:val="0"/>
              </w:rPr>
            </w:pPr>
            <w:r>
              <w:rPr>
                <w:rFonts w:hint="eastAsia" w:ascii="宋体" w:hAnsi="宋体" w:cs="宋体"/>
                <w:color w:val="auto"/>
                <w:kern w:val="0"/>
              </w:rPr>
              <w:t>FJFY104-1HF</w:t>
            </w:r>
          </w:p>
        </w:tc>
        <w:tc>
          <w:tcPr>
            <w:tcW w:w="618" w:type="pct"/>
            <w:shd w:val="clear" w:color="auto" w:fill="FFFFFF"/>
            <w:noWrap/>
            <w:vAlign w:val="center"/>
          </w:tcPr>
          <w:p w14:paraId="2CA4A185">
            <w:pPr>
              <w:widowControl/>
              <w:jc w:val="center"/>
              <w:rPr>
                <w:rFonts w:ascii="宋体" w:hAnsi="宋体" w:cs="宋体"/>
                <w:color w:val="auto"/>
                <w:kern w:val="0"/>
              </w:rPr>
            </w:pPr>
            <w:r>
              <w:rPr>
                <w:rFonts w:hint="eastAsia" w:ascii="宋体" w:hAnsi="宋体" w:cs="宋体"/>
                <w:color w:val="auto"/>
                <w:kern w:val="0"/>
              </w:rPr>
              <w:t>探井转开发井</w:t>
            </w:r>
          </w:p>
        </w:tc>
        <w:tc>
          <w:tcPr>
            <w:tcW w:w="546" w:type="pct"/>
            <w:vMerge w:val="restart"/>
            <w:vAlign w:val="center"/>
          </w:tcPr>
          <w:p w14:paraId="55BE55D5">
            <w:pPr>
              <w:widowControl/>
              <w:jc w:val="center"/>
              <w:rPr>
                <w:rFonts w:ascii="宋体" w:hAnsi="宋体" w:cs="宋体"/>
                <w:color w:val="auto"/>
                <w:kern w:val="0"/>
              </w:rPr>
            </w:pPr>
            <w:r>
              <w:rPr>
                <w:rFonts w:hint="eastAsia" w:ascii="宋体" w:hAnsi="宋体" w:cs="宋体"/>
                <w:color w:val="auto"/>
                <w:kern w:val="0"/>
              </w:rPr>
              <w:t>新建井场</w:t>
            </w:r>
          </w:p>
        </w:tc>
        <w:tc>
          <w:tcPr>
            <w:tcW w:w="543" w:type="pct"/>
            <w:vMerge w:val="restart"/>
            <w:vAlign w:val="center"/>
          </w:tcPr>
          <w:p w14:paraId="3CE5BFD3">
            <w:pPr>
              <w:widowControl/>
              <w:jc w:val="center"/>
              <w:rPr>
                <w:rFonts w:ascii="宋体" w:hAnsi="宋体" w:cs="宋体"/>
                <w:color w:val="auto"/>
                <w:kern w:val="0"/>
              </w:rPr>
            </w:pPr>
            <w:r>
              <w:rPr>
                <w:rFonts w:hint="eastAsia" w:ascii="宋体" w:hAnsi="宋体" w:cs="宋体"/>
                <w:color w:val="auto"/>
                <w:kern w:val="0"/>
              </w:rPr>
              <w:t>9#</w:t>
            </w:r>
          </w:p>
        </w:tc>
        <w:tc>
          <w:tcPr>
            <w:tcW w:w="834" w:type="pct"/>
            <w:vAlign w:val="center"/>
          </w:tcPr>
          <w:p w14:paraId="5DE9347F">
            <w:pPr>
              <w:widowControl/>
              <w:jc w:val="center"/>
              <w:rPr>
                <w:rFonts w:ascii="宋体" w:hAnsi="宋体" w:cs="宋体"/>
                <w:color w:val="auto"/>
                <w:kern w:val="0"/>
              </w:rPr>
            </w:pPr>
            <w:r>
              <w:rPr>
                <w:rFonts w:ascii="宋体" w:hAnsi="宋体" w:cs="宋体"/>
                <w:color w:val="auto"/>
                <w:kern w:val="0"/>
              </w:rPr>
              <w:t>/</w:t>
            </w:r>
          </w:p>
        </w:tc>
        <w:tc>
          <w:tcPr>
            <w:tcW w:w="772" w:type="pct"/>
            <w:vAlign w:val="center"/>
          </w:tcPr>
          <w:p w14:paraId="116D351A">
            <w:pPr>
              <w:widowControl/>
              <w:jc w:val="center"/>
              <w:rPr>
                <w:rFonts w:ascii="宋体" w:hAnsi="宋体" w:cs="宋体"/>
                <w:color w:val="auto"/>
                <w:kern w:val="0"/>
              </w:rPr>
            </w:pPr>
            <w:r>
              <w:rPr>
                <w:rFonts w:ascii="宋体" w:hAnsi="宋体" w:cs="宋体"/>
                <w:color w:val="auto"/>
                <w:kern w:val="0"/>
              </w:rPr>
              <w:t>/</w:t>
            </w:r>
          </w:p>
        </w:tc>
      </w:tr>
      <w:tr w14:paraId="4773C86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70CC7457">
            <w:pPr>
              <w:pStyle w:val="76"/>
              <w:rPr>
                <w:rFonts w:hAnsi="宋体"/>
                <w:color w:val="auto"/>
              </w:rPr>
            </w:pPr>
          </w:p>
        </w:tc>
        <w:tc>
          <w:tcPr>
            <w:tcW w:w="551" w:type="pct"/>
            <w:vMerge w:val="continue"/>
            <w:vAlign w:val="center"/>
          </w:tcPr>
          <w:p w14:paraId="2CC46E9C">
            <w:pPr>
              <w:widowControl/>
              <w:jc w:val="center"/>
              <w:rPr>
                <w:rFonts w:ascii="宋体" w:hAnsi="宋体" w:cs="宋体"/>
                <w:color w:val="auto"/>
                <w:kern w:val="0"/>
              </w:rPr>
            </w:pPr>
          </w:p>
        </w:tc>
        <w:tc>
          <w:tcPr>
            <w:tcW w:w="594" w:type="pct"/>
            <w:shd w:val="clear" w:color="auto" w:fill="FFFFFF"/>
            <w:noWrap/>
            <w:vAlign w:val="center"/>
          </w:tcPr>
          <w:p w14:paraId="0C00A893">
            <w:pPr>
              <w:widowControl/>
              <w:jc w:val="center"/>
              <w:rPr>
                <w:rFonts w:ascii="宋体" w:hAnsi="宋体" w:cs="宋体"/>
                <w:color w:val="auto"/>
                <w:kern w:val="0"/>
              </w:rPr>
            </w:pPr>
            <w:bookmarkStart w:id="131" w:name="OLE_LINK167"/>
            <w:bookmarkStart w:id="132" w:name="OLE_LINK142"/>
            <w:r>
              <w:rPr>
                <w:rFonts w:hint="eastAsia" w:ascii="宋体" w:hAnsi="宋体" w:cs="宋体"/>
                <w:color w:val="auto"/>
                <w:kern w:val="0"/>
              </w:rPr>
              <w:t>FJFY104HF</w:t>
            </w:r>
            <w:bookmarkEnd w:id="131"/>
            <w:bookmarkEnd w:id="132"/>
          </w:p>
        </w:tc>
        <w:tc>
          <w:tcPr>
            <w:tcW w:w="618" w:type="pct"/>
            <w:shd w:val="clear" w:color="auto" w:fill="FFFFFF"/>
            <w:noWrap/>
            <w:vAlign w:val="center"/>
          </w:tcPr>
          <w:p w14:paraId="763C7CCA">
            <w:pPr>
              <w:widowControl/>
              <w:jc w:val="center"/>
              <w:rPr>
                <w:rFonts w:ascii="宋体" w:hAnsi="宋体" w:cs="宋体"/>
                <w:color w:val="auto"/>
                <w:kern w:val="0"/>
              </w:rPr>
            </w:pPr>
            <w:r>
              <w:rPr>
                <w:rFonts w:hint="eastAsia" w:ascii="宋体" w:hAnsi="宋体" w:cs="宋体"/>
                <w:color w:val="auto"/>
                <w:kern w:val="0"/>
              </w:rPr>
              <w:t>探井转开发井</w:t>
            </w:r>
          </w:p>
        </w:tc>
        <w:tc>
          <w:tcPr>
            <w:tcW w:w="546" w:type="pct"/>
            <w:vMerge w:val="continue"/>
            <w:vAlign w:val="center"/>
          </w:tcPr>
          <w:p w14:paraId="0B06BBC8">
            <w:pPr>
              <w:widowControl/>
              <w:jc w:val="center"/>
              <w:rPr>
                <w:rFonts w:ascii="宋体" w:hAnsi="宋体" w:cs="宋体"/>
                <w:color w:val="auto"/>
                <w:kern w:val="0"/>
              </w:rPr>
            </w:pPr>
          </w:p>
        </w:tc>
        <w:tc>
          <w:tcPr>
            <w:tcW w:w="543" w:type="pct"/>
            <w:vMerge w:val="continue"/>
            <w:vAlign w:val="center"/>
          </w:tcPr>
          <w:p w14:paraId="24686F1D">
            <w:pPr>
              <w:widowControl/>
              <w:jc w:val="center"/>
              <w:rPr>
                <w:rFonts w:ascii="宋体" w:hAnsi="宋体" w:cs="宋体"/>
                <w:color w:val="auto"/>
                <w:kern w:val="0"/>
              </w:rPr>
            </w:pPr>
          </w:p>
        </w:tc>
        <w:tc>
          <w:tcPr>
            <w:tcW w:w="834" w:type="pct"/>
            <w:vAlign w:val="center"/>
          </w:tcPr>
          <w:p w14:paraId="641D4C32">
            <w:pPr>
              <w:widowControl/>
              <w:jc w:val="center"/>
              <w:rPr>
                <w:rFonts w:ascii="宋体" w:hAnsi="宋体" w:cs="宋体"/>
                <w:color w:val="auto"/>
                <w:kern w:val="0"/>
              </w:rPr>
            </w:pPr>
            <w:r>
              <w:rPr>
                <w:rFonts w:ascii="宋体" w:hAnsi="宋体" w:cs="宋体"/>
                <w:color w:val="auto"/>
                <w:kern w:val="0"/>
              </w:rPr>
              <w:t>/</w:t>
            </w:r>
          </w:p>
        </w:tc>
        <w:tc>
          <w:tcPr>
            <w:tcW w:w="772" w:type="pct"/>
            <w:vAlign w:val="center"/>
          </w:tcPr>
          <w:p w14:paraId="20EE8AA4">
            <w:pPr>
              <w:widowControl/>
              <w:jc w:val="center"/>
              <w:rPr>
                <w:rFonts w:ascii="宋体" w:hAnsi="宋体" w:cs="宋体"/>
                <w:color w:val="auto"/>
                <w:kern w:val="0"/>
              </w:rPr>
            </w:pPr>
            <w:r>
              <w:rPr>
                <w:rFonts w:ascii="宋体" w:hAnsi="宋体" w:cs="宋体"/>
                <w:color w:val="auto"/>
                <w:kern w:val="0"/>
              </w:rPr>
              <w:t>/</w:t>
            </w:r>
          </w:p>
        </w:tc>
      </w:tr>
      <w:tr w14:paraId="5651B98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36DB3817">
            <w:pPr>
              <w:pStyle w:val="76"/>
              <w:rPr>
                <w:rFonts w:hAnsi="宋体"/>
                <w:color w:val="auto"/>
              </w:rPr>
            </w:pPr>
            <w:bookmarkStart w:id="133" w:name="_Hlk225410349"/>
          </w:p>
        </w:tc>
        <w:tc>
          <w:tcPr>
            <w:tcW w:w="551" w:type="pct"/>
            <w:vMerge w:val="continue"/>
            <w:vAlign w:val="center"/>
          </w:tcPr>
          <w:p w14:paraId="367FB545">
            <w:pPr>
              <w:widowControl/>
              <w:jc w:val="center"/>
              <w:rPr>
                <w:rFonts w:ascii="宋体" w:hAnsi="宋体" w:cs="宋体"/>
                <w:color w:val="auto"/>
                <w:kern w:val="0"/>
              </w:rPr>
            </w:pPr>
          </w:p>
        </w:tc>
        <w:tc>
          <w:tcPr>
            <w:tcW w:w="594" w:type="pct"/>
            <w:shd w:val="clear" w:color="auto" w:fill="FFFFFF"/>
            <w:noWrap/>
            <w:vAlign w:val="center"/>
          </w:tcPr>
          <w:p w14:paraId="43984C7E">
            <w:pPr>
              <w:widowControl/>
              <w:jc w:val="center"/>
              <w:rPr>
                <w:rFonts w:ascii="宋体" w:hAnsi="宋体" w:cs="宋体"/>
                <w:color w:val="auto"/>
                <w:kern w:val="0"/>
              </w:rPr>
            </w:pPr>
            <w:bookmarkStart w:id="134" w:name="OLE_LINK168"/>
            <w:bookmarkStart w:id="135" w:name="OLE_LINK204"/>
            <w:bookmarkStart w:id="136" w:name="OLE_LINK169"/>
            <w:r>
              <w:rPr>
                <w:rFonts w:hint="eastAsia" w:ascii="宋体" w:hAnsi="宋体" w:cs="宋体"/>
                <w:color w:val="auto"/>
                <w:kern w:val="0"/>
              </w:rPr>
              <w:t>FJF121-X95</w:t>
            </w:r>
            <w:bookmarkEnd w:id="134"/>
            <w:bookmarkEnd w:id="135"/>
            <w:bookmarkEnd w:id="136"/>
          </w:p>
        </w:tc>
        <w:tc>
          <w:tcPr>
            <w:tcW w:w="618" w:type="pct"/>
            <w:shd w:val="clear" w:color="auto" w:fill="FFFFFF"/>
            <w:noWrap/>
            <w:vAlign w:val="center"/>
          </w:tcPr>
          <w:p w14:paraId="27B5012F">
            <w:pPr>
              <w:widowControl/>
              <w:jc w:val="center"/>
              <w:rPr>
                <w:rFonts w:ascii="宋体" w:hAnsi="宋体" w:cs="宋体"/>
                <w:color w:val="auto"/>
                <w:kern w:val="0"/>
              </w:rPr>
            </w:pPr>
            <w:r>
              <w:rPr>
                <w:rFonts w:hint="eastAsia" w:ascii="宋体" w:hAnsi="宋体" w:cs="宋体"/>
                <w:color w:val="auto"/>
                <w:kern w:val="0"/>
              </w:rPr>
              <w:t>水井</w:t>
            </w:r>
          </w:p>
        </w:tc>
        <w:tc>
          <w:tcPr>
            <w:tcW w:w="546" w:type="pct"/>
            <w:vMerge w:val="restart"/>
            <w:vAlign w:val="center"/>
          </w:tcPr>
          <w:p w14:paraId="6B8A412B">
            <w:pPr>
              <w:widowControl/>
              <w:jc w:val="center"/>
              <w:rPr>
                <w:rFonts w:ascii="宋体" w:hAnsi="宋体" w:cs="宋体"/>
                <w:color w:val="auto"/>
                <w:kern w:val="0"/>
              </w:rPr>
            </w:pPr>
            <w:r>
              <w:rPr>
                <w:rFonts w:hint="eastAsia" w:ascii="宋体" w:hAnsi="宋体" w:cs="宋体"/>
                <w:color w:val="auto"/>
                <w:kern w:val="0"/>
              </w:rPr>
              <w:t>依托樊</w:t>
            </w:r>
            <w:r>
              <w:rPr>
                <w:rFonts w:ascii="宋体" w:hAnsi="宋体" w:cs="宋体"/>
                <w:color w:val="auto"/>
                <w:kern w:val="0"/>
              </w:rPr>
              <w:t>121-斜78老井场</w:t>
            </w:r>
          </w:p>
        </w:tc>
        <w:tc>
          <w:tcPr>
            <w:tcW w:w="543" w:type="pct"/>
            <w:vMerge w:val="restart"/>
            <w:vAlign w:val="center"/>
          </w:tcPr>
          <w:p w14:paraId="45564A57">
            <w:pPr>
              <w:widowControl/>
              <w:jc w:val="center"/>
              <w:rPr>
                <w:rFonts w:ascii="宋体" w:hAnsi="宋体" w:cs="宋体"/>
                <w:color w:val="auto"/>
                <w:kern w:val="0"/>
              </w:rPr>
            </w:pPr>
            <w:bookmarkStart w:id="137" w:name="OLE_LINK213"/>
            <w:bookmarkStart w:id="138" w:name="OLE_LINK212"/>
            <w:r>
              <w:rPr>
                <w:rFonts w:hint="eastAsia" w:ascii="宋体" w:hAnsi="宋体" w:cs="宋体"/>
                <w:color w:val="auto"/>
                <w:kern w:val="0"/>
              </w:rPr>
              <w:t>10#</w:t>
            </w:r>
            <w:bookmarkEnd w:id="137"/>
            <w:bookmarkEnd w:id="138"/>
          </w:p>
        </w:tc>
        <w:tc>
          <w:tcPr>
            <w:tcW w:w="834" w:type="pct"/>
            <w:vAlign w:val="center"/>
          </w:tcPr>
          <w:p w14:paraId="49C6436D">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12</w:t>
            </w:r>
            <w:r>
              <w:rPr>
                <w:rFonts w:ascii="宋体" w:hAnsi="宋体" w:cs="宋体"/>
                <w:color w:val="auto"/>
                <w:kern w:val="0"/>
              </w:rPr>
              <w:t>/</w:t>
            </w:r>
            <w:r>
              <w:rPr>
                <w:rFonts w:hint="eastAsia" w:ascii="宋体" w:hAnsi="宋体" w:cs="宋体"/>
                <w:color w:val="auto"/>
                <w:kern w:val="0"/>
              </w:rPr>
              <w:t>10</w:t>
            </w:r>
          </w:p>
        </w:tc>
        <w:tc>
          <w:tcPr>
            <w:tcW w:w="772" w:type="pct"/>
            <w:vAlign w:val="center"/>
          </w:tcPr>
          <w:p w14:paraId="7C060C45">
            <w:pPr>
              <w:widowControl/>
              <w:jc w:val="center"/>
              <w:rPr>
                <w:rFonts w:ascii="宋体" w:hAnsi="宋体" w:cs="宋体"/>
                <w:color w:val="auto"/>
                <w:kern w:val="0"/>
              </w:rPr>
            </w:pPr>
            <w:r>
              <w:rPr>
                <w:rFonts w:hint="eastAsia" w:ascii="宋体" w:hAnsi="宋体" w:cs="宋体"/>
                <w:color w:val="auto"/>
                <w:kern w:val="0"/>
              </w:rPr>
              <w:t>2024</w:t>
            </w:r>
            <w:r>
              <w:rPr>
                <w:rFonts w:ascii="宋体" w:hAnsi="宋体" w:cs="宋体"/>
                <w:color w:val="auto"/>
                <w:kern w:val="0"/>
              </w:rPr>
              <w:t>/</w:t>
            </w:r>
            <w:r>
              <w:rPr>
                <w:rFonts w:hint="eastAsia" w:ascii="宋体" w:hAnsi="宋体" w:cs="宋体"/>
                <w:color w:val="auto"/>
                <w:kern w:val="0"/>
              </w:rPr>
              <w:t>12</w:t>
            </w:r>
            <w:r>
              <w:rPr>
                <w:rFonts w:ascii="宋体" w:hAnsi="宋体" w:cs="宋体"/>
                <w:color w:val="auto"/>
                <w:kern w:val="0"/>
              </w:rPr>
              <w:t>/</w:t>
            </w:r>
            <w:r>
              <w:rPr>
                <w:rFonts w:hint="eastAsia" w:ascii="宋体" w:hAnsi="宋体" w:cs="宋体"/>
                <w:color w:val="auto"/>
                <w:kern w:val="0"/>
              </w:rPr>
              <w:t>29</w:t>
            </w:r>
          </w:p>
        </w:tc>
      </w:tr>
      <w:tr w14:paraId="41E1D83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077D04B6">
            <w:pPr>
              <w:pStyle w:val="76"/>
              <w:rPr>
                <w:rFonts w:hAnsi="宋体"/>
                <w:color w:val="auto"/>
              </w:rPr>
            </w:pPr>
          </w:p>
        </w:tc>
        <w:tc>
          <w:tcPr>
            <w:tcW w:w="551" w:type="pct"/>
            <w:vMerge w:val="continue"/>
            <w:vAlign w:val="center"/>
          </w:tcPr>
          <w:p w14:paraId="1F120D0D">
            <w:pPr>
              <w:widowControl/>
              <w:jc w:val="center"/>
              <w:rPr>
                <w:rFonts w:ascii="宋体" w:hAnsi="宋体" w:cs="宋体"/>
                <w:color w:val="auto"/>
                <w:kern w:val="0"/>
              </w:rPr>
            </w:pPr>
          </w:p>
        </w:tc>
        <w:tc>
          <w:tcPr>
            <w:tcW w:w="594" w:type="pct"/>
            <w:shd w:val="clear" w:color="auto" w:fill="FFFFFF"/>
            <w:noWrap/>
            <w:vAlign w:val="center"/>
          </w:tcPr>
          <w:p w14:paraId="7D13B7F7">
            <w:pPr>
              <w:widowControl/>
              <w:jc w:val="center"/>
              <w:rPr>
                <w:rFonts w:ascii="宋体" w:hAnsi="宋体" w:cs="宋体"/>
                <w:color w:val="auto"/>
                <w:kern w:val="0"/>
              </w:rPr>
            </w:pPr>
            <w:r>
              <w:rPr>
                <w:rFonts w:hint="eastAsia" w:ascii="宋体" w:hAnsi="宋体" w:cs="宋体"/>
                <w:color w:val="auto"/>
                <w:kern w:val="0"/>
              </w:rPr>
              <w:t>FJF121-X97</w:t>
            </w:r>
          </w:p>
        </w:tc>
        <w:tc>
          <w:tcPr>
            <w:tcW w:w="618" w:type="pct"/>
            <w:shd w:val="clear" w:color="auto" w:fill="FFFFFF"/>
            <w:noWrap/>
            <w:vAlign w:val="center"/>
          </w:tcPr>
          <w:p w14:paraId="2520AF87">
            <w:pPr>
              <w:widowControl/>
              <w:jc w:val="center"/>
              <w:rPr>
                <w:rFonts w:ascii="宋体" w:hAnsi="宋体" w:cs="宋体"/>
                <w:color w:val="auto"/>
                <w:kern w:val="0"/>
              </w:rPr>
            </w:pPr>
            <w:r>
              <w:rPr>
                <w:rFonts w:hint="eastAsia" w:ascii="宋体" w:hAnsi="宋体" w:cs="宋体"/>
                <w:color w:val="auto"/>
                <w:kern w:val="0"/>
              </w:rPr>
              <w:t>油井</w:t>
            </w:r>
          </w:p>
        </w:tc>
        <w:tc>
          <w:tcPr>
            <w:tcW w:w="546" w:type="pct"/>
            <w:vMerge w:val="continue"/>
            <w:vAlign w:val="center"/>
          </w:tcPr>
          <w:p w14:paraId="36599691">
            <w:pPr>
              <w:widowControl/>
              <w:jc w:val="center"/>
              <w:rPr>
                <w:rFonts w:ascii="宋体" w:hAnsi="宋体" w:cs="宋体"/>
                <w:color w:val="auto"/>
                <w:kern w:val="0"/>
              </w:rPr>
            </w:pPr>
          </w:p>
        </w:tc>
        <w:tc>
          <w:tcPr>
            <w:tcW w:w="543" w:type="pct"/>
            <w:vMerge w:val="continue"/>
            <w:vAlign w:val="center"/>
          </w:tcPr>
          <w:p w14:paraId="479DFA3B">
            <w:pPr>
              <w:widowControl/>
              <w:jc w:val="center"/>
              <w:rPr>
                <w:rFonts w:ascii="宋体" w:hAnsi="宋体" w:cs="宋体"/>
                <w:color w:val="auto"/>
                <w:kern w:val="0"/>
              </w:rPr>
            </w:pPr>
          </w:p>
        </w:tc>
        <w:tc>
          <w:tcPr>
            <w:tcW w:w="834" w:type="pct"/>
            <w:vAlign w:val="center"/>
          </w:tcPr>
          <w:p w14:paraId="35B6D36C">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1</w:t>
            </w:r>
            <w:r>
              <w:rPr>
                <w:rFonts w:ascii="宋体" w:hAnsi="宋体" w:cs="宋体"/>
                <w:color w:val="auto"/>
                <w:kern w:val="0"/>
              </w:rPr>
              <w:t>/</w:t>
            </w:r>
            <w:r>
              <w:rPr>
                <w:rFonts w:hint="eastAsia" w:ascii="宋体" w:hAnsi="宋体" w:cs="宋体"/>
                <w:color w:val="auto"/>
                <w:kern w:val="0"/>
              </w:rPr>
              <w:t>4</w:t>
            </w:r>
          </w:p>
        </w:tc>
        <w:tc>
          <w:tcPr>
            <w:tcW w:w="772" w:type="pct"/>
            <w:vAlign w:val="center"/>
          </w:tcPr>
          <w:p w14:paraId="57FA076B">
            <w:pPr>
              <w:widowControl/>
              <w:jc w:val="center"/>
              <w:rPr>
                <w:rFonts w:ascii="宋体" w:hAnsi="宋体" w:cs="宋体"/>
                <w:color w:val="auto"/>
                <w:kern w:val="0"/>
              </w:rPr>
            </w:pPr>
            <w:r>
              <w:rPr>
                <w:rFonts w:hint="eastAsia" w:ascii="宋体" w:hAnsi="宋体" w:cs="宋体"/>
                <w:color w:val="auto"/>
                <w:kern w:val="0"/>
              </w:rPr>
              <w:t>2025</w:t>
            </w:r>
            <w:r>
              <w:rPr>
                <w:rFonts w:ascii="宋体" w:hAnsi="宋体" w:cs="宋体"/>
                <w:color w:val="auto"/>
                <w:kern w:val="0"/>
              </w:rPr>
              <w:t>/</w:t>
            </w:r>
            <w:r>
              <w:rPr>
                <w:rFonts w:hint="eastAsia" w:ascii="宋体" w:hAnsi="宋体" w:cs="宋体"/>
                <w:color w:val="auto"/>
                <w:kern w:val="0"/>
              </w:rPr>
              <w:t>1</w:t>
            </w:r>
            <w:r>
              <w:rPr>
                <w:rFonts w:ascii="宋体" w:hAnsi="宋体" w:cs="宋体"/>
                <w:color w:val="auto"/>
                <w:kern w:val="0"/>
              </w:rPr>
              <w:t>/</w:t>
            </w:r>
            <w:r>
              <w:rPr>
                <w:rFonts w:hint="eastAsia" w:ascii="宋体" w:hAnsi="宋体" w:cs="宋体"/>
                <w:color w:val="auto"/>
                <w:kern w:val="0"/>
              </w:rPr>
              <w:t>17</w:t>
            </w:r>
          </w:p>
        </w:tc>
      </w:tr>
      <w:bookmarkEnd w:id="133"/>
      <w:tr w14:paraId="5D744CD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6AF7F34C">
            <w:pPr>
              <w:pStyle w:val="76"/>
              <w:rPr>
                <w:rFonts w:hAnsi="宋体"/>
                <w:color w:val="auto"/>
              </w:rPr>
            </w:pPr>
          </w:p>
        </w:tc>
        <w:tc>
          <w:tcPr>
            <w:tcW w:w="551" w:type="pct"/>
            <w:vMerge w:val="continue"/>
            <w:vAlign w:val="center"/>
          </w:tcPr>
          <w:p w14:paraId="09EF2750">
            <w:pPr>
              <w:widowControl/>
              <w:jc w:val="center"/>
              <w:rPr>
                <w:rFonts w:ascii="宋体" w:hAnsi="宋体" w:cs="宋体"/>
                <w:color w:val="auto"/>
                <w:kern w:val="0"/>
              </w:rPr>
            </w:pPr>
          </w:p>
        </w:tc>
        <w:tc>
          <w:tcPr>
            <w:tcW w:w="594" w:type="pct"/>
            <w:shd w:val="clear" w:color="auto" w:fill="FFFFFF"/>
            <w:noWrap/>
            <w:vAlign w:val="center"/>
          </w:tcPr>
          <w:p w14:paraId="6C672B46">
            <w:pPr>
              <w:widowControl/>
              <w:jc w:val="center"/>
              <w:rPr>
                <w:rFonts w:ascii="宋体" w:hAnsi="宋体" w:cs="宋体"/>
                <w:color w:val="auto"/>
                <w:kern w:val="0"/>
              </w:rPr>
            </w:pPr>
            <w:bookmarkStart w:id="139" w:name="OLE_LINK232"/>
            <w:r>
              <w:rPr>
                <w:rFonts w:hint="eastAsia" w:ascii="宋体" w:hAnsi="宋体" w:cs="宋体"/>
                <w:color w:val="auto"/>
                <w:kern w:val="0"/>
              </w:rPr>
              <w:t>FJFY3HF</w:t>
            </w:r>
            <w:bookmarkEnd w:id="139"/>
          </w:p>
        </w:tc>
        <w:tc>
          <w:tcPr>
            <w:tcW w:w="618" w:type="pct"/>
            <w:shd w:val="clear" w:color="auto" w:fill="FFFFFF"/>
            <w:noWrap/>
            <w:vAlign w:val="center"/>
          </w:tcPr>
          <w:p w14:paraId="6B04A40B">
            <w:pPr>
              <w:widowControl/>
              <w:jc w:val="center"/>
              <w:rPr>
                <w:rFonts w:ascii="宋体" w:hAnsi="宋体" w:cs="宋体"/>
                <w:color w:val="auto"/>
                <w:kern w:val="0"/>
              </w:rPr>
            </w:pPr>
            <w:r>
              <w:rPr>
                <w:rFonts w:hint="eastAsia" w:ascii="宋体" w:hAnsi="宋体" w:cs="宋体"/>
                <w:color w:val="auto"/>
                <w:kern w:val="0"/>
              </w:rPr>
              <w:t>探井转开发井</w:t>
            </w:r>
          </w:p>
        </w:tc>
        <w:tc>
          <w:tcPr>
            <w:tcW w:w="546" w:type="pct"/>
            <w:vAlign w:val="center"/>
          </w:tcPr>
          <w:p w14:paraId="060EF88F">
            <w:pPr>
              <w:widowControl/>
              <w:jc w:val="center"/>
              <w:rPr>
                <w:rFonts w:ascii="宋体" w:hAnsi="宋体" w:cs="宋体"/>
                <w:color w:val="auto"/>
                <w:kern w:val="0"/>
              </w:rPr>
            </w:pPr>
            <w:r>
              <w:rPr>
                <w:rFonts w:hint="eastAsia" w:ascii="宋体" w:hAnsi="宋体" w:cs="宋体"/>
                <w:color w:val="auto"/>
                <w:kern w:val="0"/>
              </w:rPr>
              <w:t>新建井场</w:t>
            </w:r>
          </w:p>
        </w:tc>
        <w:tc>
          <w:tcPr>
            <w:tcW w:w="543" w:type="pct"/>
            <w:vAlign w:val="center"/>
          </w:tcPr>
          <w:p w14:paraId="0C43E15D">
            <w:pPr>
              <w:widowControl/>
              <w:jc w:val="center"/>
              <w:rPr>
                <w:rFonts w:ascii="宋体" w:hAnsi="宋体" w:cs="宋体"/>
                <w:color w:val="auto"/>
                <w:kern w:val="0"/>
              </w:rPr>
            </w:pPr>
            <w:r>
              <w:rPr>
                <w:rFonts w:hint="eastAsia" w:ascii="宋体" w:hAnsi="宋体" w:cs="宋体"/>
                <w:color w:val="auto"/>
                <w:kern w:val="0"/>
              </w:rPr>
              <w:t>11#</w:t>
            </w:r>
          </w:p>
        </w:tc>
        <w:tc>
          <w:tcPr>
            <w:tcW w:w="834" w:type="pct"/>
            <w:vAlign w:val="center"/>
          </w:tcPr>
          <w:p w14:paraId="554D8722">
            <w:pPr>
              <w:widowControl/>
              <w:jc w:val="center"/>
              <w:rPr>
                <w:rFonts w:ascii="宋体" w:hAnsi="宋体" w:cs="宋体"/>
                <w:color w:val="auto"/>
                <w:kern w:val="0"/>
              </w:rPr>
            </w:pPr>
            <w:r>
              <w:rPr>
                <w:rFonts w:ascii="宋体" w:hAnsi="宋体" w:cs="宋体"/>
                <w:color w:val="auto"/>
                <w:kern w:val="0"/>
              </w:rPr>
              <w:t>/</w:t>
            </w:r>
          </w:p>
        </w:tc>
        <w:tc>
          <w:tcPr>
            <w:tcW w:w="772" w:type="pct"/>
            <w:vAlign w:val="center"/>
          </w:tcPr>
          <w:p w14:paraId="2CCB776E">
            <w:pPr>
              <w:widowControl/>
              <w:jc w:val="center"/>
              <w:rPr>
                <w:rFonts w:ascii="宋体" w:hAnsi="宋体" w:cs="宋体"/>
                <w:color w:val="auto"/>
                <w:kern w:val="0"/>
              </w:rPr>
            </w:pPr>
            <w:r>
              <w:rPr>
                <w:rFonts w:ascii="宋体" w:hAnsi="宋体" w:cs="宋体"/>
                <w:color w:val="auto"/>
                <w:kern w:val="0"/>
              </w:rPr>
              <w:t>/</w:t>
            </w:r>
          </w:p>
        </w:tc>
      </w:tr>
      <w:tr w14:paraId="01E57E1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542" w:type="pct"/>
            <w:shd w:val="clear" w:color="auto" w:fill="FFFFFF"/>
            <w:vAlign w:val="center"/>
          </w:tcPr>
          <w:p w14:paraId="65B65CC3">
            <w:pPr>
              <w:pStyle w:val="76"/>
              <w:rPr>
                <w:rFonts w:hAnsi="宋体"/>
                <w:color w:val="auto"/>
              </w:rPr>
            </w:pPr>
          </w:p>
        </w:tc>
        <w:tc>
          <w:tcPr>
            <w:tcW w:w="551" w:type="pct"/>
            <w:vAlign w:val="center"/>
          </w:tcPr>
          <w:p w14:paraId="0CD810C3">
            <w:pPr>
              <w:widowControl/>
              <w:jc w:val="center"/>
              <w:rPr>
                <w:rFonts w:ascii="宋体" w:hAnsi="宋体" w:cs="宋体"/>
                <w:color w:val="auto"/>
                <w:kern w:val="0"/>
              </w:rPr>
            </w:pPr>
            <w:r>
              <w:rPr>
                <w:rFonts w:hint="eastAsia" w:ascii="宋体" w:hAnsi="宋体" w:cs="宋体"/>
                <w:color w:val="auto"/>
                <w:kern w:val="0"/>
              </w:rPr>
              <w:t>滨博</w:t>
            </w:r>
          </w:p>
        </w:tc>
        <w:tc>
          <w:tcPr>
            <w:tcW w:w="594" w:type="pct"/>
            <w:shd w:val="clear" w:color="auto" w:fill="FFFFFF"/>
            <w:noWrap/>
            <w:vAlign w:val="center"/>
          </w:tcPr>
          <w:p w14:paraId="16B20409">
            <w:pPr>
              <w:widowControl/>
              <w:jc w:val="center"/>
              <w:rPr>
                <w:rFonts w:ascii="宋体" w:hAnsi="宋体" w:cs="宋体"/>
                <w:color w:val="auto"/>
                <w:kern w:val="0"/>
              </w:rPr>
            </w:pPr>
            <w:bookmarkStart w:id="140" w:name="OLE_LINK19"/>
            <w:bookmarkStart w:id="141" w:name="OLE_LINK21"/>
            <w:r>
              <w:rPr>
                <w:rFonts w:hint="eastAsia" w:ascii="宋体" w:hAnsi="宋体" w:cs="宋体"/>
                <w:color w:val="auto"/>
                <w:kern w:val="0"/>
              </w:rPr>
              <w:t>FJFY1-</w:t>
            </w:r>
            <w:r>
              <w:rPr>
                <w:rFonts w:ascii="宋体" w:hAnsi="宋体" w:cs="宋体"/>
                <w:color w:val="auto"/>
                <w:kern w:val="0"/>
              </w:rPr>
              <w:t>8</w:t>
            </w:r>
            <w:r>
              <w:rPr>
                <w:rFonts w:hint="eastAsia" w:ascii="宋体" w:hAnsi="宋体" w:cs="宋体"/>
                <w:color w:val="auto"/>
                <w:kern w:val="0"/>
              </w:rPr>
              <w:t>HF</w:t>
            </w:r>
            <w:bookmarkEnd w:id="140"/>
            <w:bookmarkEnd w:id="141"/>
          </w:p>
        </w:tc>
        <w:tc>
          <w:tcPr>
            <w:tcW w:w="618" w:type="pct"/>
            <w:shd w:val="clear" w:color="auto" w:fill="FFFFFF"/>
            <w:noWrap/>
            <w:vAlign w:val="center"/>
          </w:tcPr>
          <w:p w14:paraId="6C3B5624">
            <w:pPr>
              <w:widowControl/>
              <w:jc w:val="center"/>
              <w:rPr>
                <w:rFonts w:ascii="宋体" w:hAnsi="宋体" w:cs="宋体"/>
                <w:color w:val="auto"/>
                <w:kern w:val="0"/>
              </w:rPr>
            </w:pPr>
            <w:r>
              <w:rPr>
                <w:rFonts w:hint="eastAsia" w:ascii="宋体" w:hAnsi="宋体" w:cs="宋体"/>
                <w:color w:val="auto"/>
                <w:kern w:val="0"/>
              </w:rPr>
              <w:t>探井转开发井</w:t>
            </w:r>
          </w:p>
        </w:tc>
        <w:tc>
          <w:tcPr>
            <w:tcW w:w="546" w:type="pct"/>
            <w:vAlign w:val="center"/>
          </w:tcPr>
          <w:p w14:paraId="530BA7FE">
            <w:pPr>
              <w:widowControl/>
              <w:jc w:val="center"/>
              <w:rPr>
                <w:rFonts w:ascii="宋体" w:hAnsi="宋体" w:cs="宋体"/>
                <w:color w:val="auto"/>
                <w:kern w:val="0"/>
              </w:rPr>
            </w:pPr>
            <w:r>
              <w:rPr>
                <w:rFonts w:hint="eastAsia" w:ascii="宋体" w:hAnsi="宋体" w:cs="宋体"/>
                <w:color w:val="auto"/>
                <w:kern w:val="0"/>
              </w:rPr>
              <w:t>依托樊页1</w:t>
            </w:r>
            <w:r>
              <w:rPr>
                <w:rFonts w:ascii="宋体" w:hAnsi="宋体" w:cs="宋体"/>
                <w:color w:val="auto"/>
                <w:kern w:val="0"/>
              </w:rPr>
              <w:t>-</w:t>
            </w:r>
            <w:r>
              <w:rPr>
                <w:rFonts w:hint="eastAsia" w:ascii="宋体" w:hAnsi="宋体" w:cs="宋体"/>
                <w:color w:val="auto"/>
                <w:kern w:val="0"/>
              </w:rPr>
              <w:t>井组井场</w:t>
            </w:r>
          </w:p>
        </w:tc>
        <w:tc>
          <w:tcPr>
            <w:tcW w:w="543" w:type="pct"/>
            <w:vAlign w:val="center"/>
          </w:tcPr>
          <w:p w14:paraId="5B5CA171">
            <w:pPr>
              <w:widowControl/>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2#</w:t>
            </w:r>
          </w:p>
        </w:tc>
        <w:tc>
          <w:tcPr>
            <w:tcW w:w="834" w:type="pct"/>
            <w:vAlign w:val="center"/>
          </w:tcPr>
          <w:p w14:paraId="1C99DDC0">
            <w:pPr>
              <w:widowControl/>
              <w:jc w:val="center"/>
              <w:rPr>
                <w:rFonts w:ascii="宋体" w:hAnsi="宋体" w:cs="宋体"/>
                <w:color w:val="auto"/>
                <w:kern w:val="0"/>
              </w:rPr>
            </w:pPr>
            <w:r>
              <w:rPr>
                <w:rFonts w:hint="eastAsia" w:ascii="宋体" w:hAnsi="宋体" w:cs="宋体"/>
                <w:color w:val="auto"/>
                <w:kern w:val="0"/>
              </w:rPr>
              <w:t>202</w:t>
            </w:r>
            <w:r>
              <w:rPr>
                <w:rFonts w:ascii="宋体" w:hAnsi="宋体" w:cs="宋体"/>
                <w:color w:val="auto"/>
                <w:kern w:val="0"/>
              </w:rPr>
              <w:t>2/</w:t>
            </w:r>
            <w:r>
              <w:rPr>
                <w:rFonts w:hint="eastAsia" w:ascii="宋体" w:hAnsi="宋体" w:cs="宋体"/>
                <w:color w:val="auto"/>
                <w:kern w:val="0"/>
              </w:rPr>
              <w:t>1</w:t>
            </w:r>
            <w:r>
              <w:rPr>
                <w:rFonts w:ascii="宋体" w:hAnsi="宋体" w:cs="宋体"/>
                <w:color w:val="auto"/>
                <w:kern w:val="0"/>
              </w:rPr>
              <w:t>/8</w:t>
            </w:r>
          </w:p>
        </w:tc>
        <w:tc>
          <w:tcPr>
            <w:tcW w:w="772" w:type="pct"/>
            <w:vAlign w:val="center"/>
          </w:tcPr>
          <w:p w14:paraId="2A87F736">
            <w:pPr>
              <w:widowControl/>
              <w:jc w:val="center"/>
              <w:rPr>
                <w:rFonts w:ascii="宋体" w:hAnsi="宋体" w:cs="宋体"/>
                <w:color w:val="auto"/>
                <w:kern w:val="0"/>
              </w:rPr>
            </w:pPr>
            <w:r>
              <w:rPr>
                <w:rFonts w:hint="eastAsia" w:ascii="宋体" w:hAnsi="宋体" w:cs="宋体"/>
                <w:color w:val="auto"/>
                <w:kern w:val="0"/>
              </w:rPr>
              <w:t>202</w:t>
            </w:r>
            <w:r>
              <w:rPr>
                <w:rFonts w:ascii="宋体" w:hAnsi="宋体" w:cs="宋体"/>
                <w:color w:val="auto"/>
                <w:kern w:val="0"/>
              </w:rPr>
              <w:t>2/3/</w:t>
            </w:r>
            <w:r>
              <w:rPr>
                <w:rFonts w:hint="eastAsia" w:ascii="宋体" w:hAnsi="宋体" w:cs="宋体"/>
                <w:color w:val="auto"/>
                <w:kern w:val="0"/>
              </w:rPr>
              <w:t>7</w:t>
            </w:r>
          </w:p>
        </w:tc>
      </w:tr>
      <w:bookmarkEnd w:id="112"/>
      <w:bookmarkEnd w:id="113"/>
      <w:bookmarkEnd w:id="118"/>
    </w:tbl>
    <w:p w14:paraId="34589140">
      <w:pPr>
        <w:rPr>
          <w:color w:val="auto"/>
        </w:rPr>
        <w:sectPr>
          <w:pgSz w:w="16838" w:h="11906" w:orient="landscape"/>
          <w:pgMar w:top="1588" w:right="1418" w:bottom="1588" w:left="1418" w:header="1134" w:footer="851" w:gutter="0"/>
          <w:cols w:space="720" w:num="1"/>
          <w:docGrid w:linePitch="312" w:charSpace="0"/>
        </w:sectPr>
      </w:pPr>
    </w:p>
    <w:p w14:paraId="205BBB3F">
      <w:pPr>
        <w:pStyle w:val="15"/>
        <w:spacing w:before="120"/>
        <w:rPr>
          <w:rFonts w:hAnsi="宋体"/>
          <w:color w:val="auto"/>
        </w:rPr>
      </w:pPr>
      <w:bookmarkStart w:id="142" w:name="_Ref6216932"/>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3.2</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3</w:t>
      </w:r>
      <w:r>
        <w:rPr>
          <w:rFonts w:hAnsi="宋体"/>
          <w:color w:val="auto"/>
        </w:rPr>
        <w:fldChar w:fldCharType="end"/>
      </w:r>
      <w:bookmarkEnd w:id="142"/>
      <w:r>
        <w:rPr>
          <w:rFonts w:hAnsi="宋体"/>
          <w:color w:val="auto"/>
        </w:rPr>
        <w:t xml:space="preserve">  </w:t>
      </w:r>
      <w:r>
        <w:rPr>
          <w:rFonts w:hint="eastAsia" w:hAnsi="宋体"/>
          <w:color w:val="auto"/>
        </w:rPr>
        <w:t>本期工程钻井工程变更情况一览表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8"/>
        <w:gridCol w:w="1654"/>
        <w:gridCol w:w="1352"/>
        <w:gridCol w:w="1374"/>
        <w:gridCol w:w="1380"/>
        <w:gridCol w:w="1374"/>
        <w:gridCol w:w="1374"/>
        <w:gridCol w:w="1374"/>
        <w:gridCol w:w="1374"/>
        <w:gridCol w:w="1368"/>
      </w:tblGrid>
      <w:tr w14:paraId="0D6AE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vMerge w:val="restart"/>
            <w:shd w:val="clear" w:color="auto" w:fill="FFFFFF"/>
            <w:vAlign w:val="center"/>
          </w:tcPr>
          <w:p w14:paraId="0ACC56C5">
            <w:pPr>
              <w:jc w:val="center"/>
              <w:rPr>
                <w:rFonts w:ascii="宋体" w:hAnsi="宋体"/>
                <w:color w:val="auto"/>
              </w:rPr>
            </w:pPr>
            <w:r>
              <w:rPr>
                <w:rFonts w:hint="eastAsia" w:ascii="宋体" w:hAnsi="宋体"/>
                <w:color w:val="auto"/>
              </w:rPr>
              <w:t>序号</w:t>
            </w:r>
          </w:p>
        </w:tc>
        <w:tc>
          <w:tcPr>
            <w:tcW w:w="591" w:type="pct"/>
            <w:vMerge w:val="restart"/>
            <w:shd w:val="clear" w:color="auto" w:fill="FFFFFF"/>
            <w:vAlign w:val="center"/>
          </w:tcPr>
          <w:p w14:paraId="5209BFD7">
            <w:pPr>
              <w:jc w:val="center"/>
              <w:rPr>
                <w:rFonts w:ascii="宋体" w:hAnsi="宋体"/>
                <w:color w:val="auto"/>
              </w:rPr>
            </w:pPr>
            <w:r>
              <w:rPr>
                <w:rFonts w:hint="eastAsia" w:ascii="宋体" w:hAnsi="宋体"/>
                <w:color w:val="auto"/>
              </w:rPr>
              <w:t>井号</w:t>
            </w:r>
          </w:p>
        </w:tc>
        <w:tc>
          <w:tcPr>
            <w:tcW w:w="1467" w:type="pct"/>
            <w:gridSpan w:val="3"/>
            <w:shd w:val="clear" w:color="auto" w:fill="FFFFFF"/>
            <w:vAlign w:val="center"/>
          </w:tcPr>
          <w:p w14:paraId="2D6AEFC2">
            <w:pPr>
              <w:widowControl/>
              <w:jc w:val="center"/>
              <w:rPr>
                <w:rFonts w:ascii="宋体" w:hAnsi="宋体" w:cs="宋体"/>
                <w:color w:val="auto"/>
                <w:kern w:val="0"/>
              </w:rPr>
            </w:pPr>
            <w:r>
              <w:rPr>
                <w:rFonts w:hint="eastAsia" w:ascii="宋体" w:hAnsi="宋体" w:cs="宋体"/>
                <w:color w:val="auto"/>
                <w:kern w:val="0"/>
              </w:rPr>
              <w:t>环评阶段</w:t>
            </w:r>
          </w:p>
        </w:tc>
        <w:tc>
          <w:tcPr>
            <w:tcW w:w="1473" w:type="pct"/>
            <w:gridSpan w:val="3"/>
            <w:shd w:val="clear" w:color="auto" w:fill="FFFFFF"/>
            <w:vAlign w:val="center"/>
          </w:tcPr>
          <w:p w14:paraId="4BCB8C54">
            <w:pPr>
              <w:widowControl/>
              <w:jc w:val="center"/>
              <w:rPr>
                <w:rFonts w:ascii="宋体" w:hAnsi="宋体" w:cs="宋体"/>
                <w:color w:val="auto"/>
                <w:kern w:val="0"/>
              </w:rPr>
            </w:pPr>
            <w:r>
              <w:rPr>
                <w:rFonts w:hint="eastAsia" w:ascii="宋体" w:hAnsi="宋体" w:cs="宋体"/>
                <w:color w:val="auto"/>
                <w:kern w:val="0"/>
              </w:rPr>
              <w:t>实际建设</w:t>
            </w:r>
          </w:p>
        </w:tc>
        <w:tc>
          <w:tcPr>
            <w:tcW w:w="491" w:type="pct"/>
            <w:vMerge w:val="restart"/>
            <w:shd w:val="clear" w:color="auto" w:fill="FFFFFF"/>
            <w:vAlign w:val="center"/>
          </w:tcPr>
          <w:p w14:paraId="74AE0AE7">
            <w:pPr>
              <w:jc w:val="center"/>
              <w:rPr>
                <w:rFonts w:ascii="宋体" w:hAnsi="宋体" w:cs="宋体"/>
                <w:color w:val="auto"/>
                <w:kern w:val="0"/>
              </w:rPr>
            </w:pPr>
            <w:r>
              <w:rPr>
                <w:rFonts w:hint="eastAsia" w:ascii="宋体" w:hAnsi="宋体" w:cs="宋体"/>
                <w:color w:val="auto"/>
                <w:kern w:val="0"/>
              </w:rPr>
              <w:t>地理位置</w:t>
            </w:r>
          </w:p>
        </w:tc>
        <w:tc>
          <w:tcPr>
            <w:tcW w:w="489" w:type="pct"/>
            <w:vMerge w:val="restart"/>
            <w:shd w:val="clear" w:color="auto" w:fill="FFFFFF"/>
            <w:vAlign w:val="center"/>
          </w:tcPr>
          <w:p w14:paraId="56598B2A">
            <w:pPr>
              <w:jc w:val="center"/>
              <w:rPr>
                <w:rFonts w:ascii="宋体" w:hAnsi="宋体" w:cs="宋体"/>
                <w:color w:val="auto"/>
                <w:kern w:val="0"/>
              </w:rPr>
            </w:pPr>
            <w:r>
              <w:rPr>
                <w:rFonts w:hint="eastAsia" w:ascii="宋体" w:hAnsi="宋体" w:cs="宋体"/>
                <w:color w:val="auto"/>
                <w:kern w:val="0"/>
              </w:rPr>
              <w:t>实际井位变动情况</w:t>
            </w:r>
          </w:p>
        </w:tc>
      </w:tr>
      <w:tr w14:paraId="2C955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vMerge w:val="continue"/>
            <w:shd w:val="clear" w:color="auto" w:fill="FFFFFF"/>
            <w:vAlign w:val="center"/>
          </w:tcPr>
          <w:p w14:paraId="5BB8169E">
            <w:pPr>
              <w:widowControl/>
              <w:jc w:val="center"/>
              <w:rPr>
                <w:rFonts w:ascii="宋体" w:hAnsi="宋体"/>
                <w:color w:val="auto"/>
              </w:rPr>
            </w:pPr>
          </w:p>
        </w:tc>
        <w:tc>
          <w:tcPr>
            <w:tcW w:w="591" w:type="pct"/>
            <w:vMerge w:val="continue"/>
            <w:shd w:val="clear" w:color="auto" w:fill="FFFFFF"/>
            <w:vAlign w:val="center"/>
          </w:tcPr>
          <w:p w14:paraId="1E61AB78">
            <w:pPr>
              <w:widowControl/>
              <w:jc w:val="center"/>
              <w:rPr>
                <w:rFonts w:ascii="宋体" w:hAnsi="宋体"/>
                <w:color w:val="auto"/>
              </w:rPr>
            </w:pPr>
          </w:p>
        </w:tc>
        <w:tc>
          <w:tcPr>
            <w:tcW w:w="483" w:type="pct"/>
            <w:shd w:val="clear" w:color="auto" w:fill="FFFFFF"/>
            <w:vAlign w:val="center"/>
          </w:tcPr>
          <w:p w14:paraId="37085A12">
            <w:pPr>
              <w:widowControl/>
              <w:jc w:val="center"/>
              <w:rPr>
                <w:rFonts w:ascii="宋体" w:hAnsi="宋体"/>
                <w:color w:val="auto"/>
              </w:rPr>
            </w:pPr>
            <w:r>
              <w:rPr>
                <w:rFonts w:hint="eastAsia" w:ascii="宋体" w:hAnsi="宋体"/>
                <w:color w:val="auto"/>
              </w:rPr>
              <w:t>井别</w:t>
            </w:r>
          </w:p>
        </w:tc>
        <w:tc>
          <w:tcPr>
            <w:tcW w:w="491" w:type="pct"/>
            <w:shd w:val="clear" w:color="auto" w:fill="FFFFFF"/>
            <w:vAlign w:val="center"/>
          </w:tcPr>
          <w:p w14:paraId="283F8827">
            <w:pPr>
              <w:widowControl/>
              <w:jc w:val="center"/>
              <w:rPr>
                <w:rFonts w:ascii="宋体" w:hAnsi="宋体"/>
                <w:color w:val="auto"/>
              </w:rPr>
            </w:pPr>
            <w:r>
              <w:rPr>
                <w:rFonts w:hint="eastAsia" w:ascii="宋体" w:hAnsi="宋体" w:cs="宋体"/>
                <w:color w:val="auto"/>
                <w:kern w:val="0"/>
              </w:rPr>
              <w:t>井型</w:t>
            </w:r>
          </w:p>
        </w:tc>
        <w:tc>
          <w:tcPr>
            <w:tcW w:w="493" w:type="pct"/>
            <w:shd w:val="clear" w:color="auto" w:fill="FFFFFF"/>
            <w:vAlign w:val="center"/>
          </w:tcPr>
          <w:p w14:paraId="7B5E7F3B">
            <w:pPr>
              <w:widowControl/>
              <w:jc w:val="center"/>
              <w:rPr>
                <w:rFonts w:ascii="宋体" w:hAnsi="宋体"/>
                <w:color w:val="auto"/>
              </w:rPr>
            </w:pPr>
            <w:r>
              <w:rPr>
                <w:rFonts w:hint="eastAsia" w:ascii="宋体" w:hAnsi="宋体" w:cs="宋体"/>
                <w:color w:val="auto"/>
                <w:kern w:val="0"/>
              </w:rPr>
              <w:t>钻井进尺（m）</w:t>
            </w:r>
          </w:p>
        </w:tc>
        <w:tc>
          <w:tcPr>
            <w:tcW w:w="491" w:type="pct"/>
            <w:shd w:val="clear" w:color="auto" w:fill="FFFFFF"/>
            <w:vAlign w:val="center"/>
          </w:tcPr>
          <w:p w14:paraId="54ED4122">
            <w:pPr>
              <w:widowControl/>
              <w:jc w:val="center"/>
              <w:rPr>
                <w:rFonts w:ascii="宋体" w:hAnsi="宋体" w:cs="宋体"/>
                <w:color w:val="auto"/>
                <w:kern w:val="0"/>
              </w:rPr>
            </w:pPr>
            <w:r>
              <w:rPr>
                <w:rFonts w:hint="eastAsia" w:ascii="宋体" w:hAnsi="宋体"/>
                <w:color w:val="auto"/>
              </w:rPr>
              <w:t>井别</w:t>
            </w:r>
          </w:p>
        </w:tc>
        <w:tc>
          <w:tcPr>
            <w:tcW w:w="491" w:type="pct"/>
            <w:shd w:val="clear" w:color="auto" w:fill="FFFFFF"/>
            <w:vAlign w:val="center"/>
          </w:tcPr>
          <w:p w14:paraId="6B1C8F71">
            <w:pPr>
              <w:widowControl/>
              <w:jc w:val="center"/>
              <w:rPr>
                <w:rFonts w:ascii="宋体" w:hAnsi="宋体" w:cs="宋体"/>
                <w:color w:val="auto"/>
                <w:kern w:val="0"/>
              </w:rPr>
            </w:pPr>
            <w:r>
              <w:rPr>
                <w:rFonts w:hint="eastAsia" w:ascii="宋体" w:hAnsi="宋体" w:cs="宋体"/>
                <w:color w:val="auto"/>
                <w:kern w:val="0"/>
              </w:rPr>
              <w:t>井型</w:t>
            </w:r>
          </w:p>
        </w:tc>
        <w:tc>
          <w:tcPr>
            <w:tcW w:w="491" w:type="pct"/>
            <w:shd w:val="clear" w:color="auto" w:fill="FFFFFF"/>
            <w:vAlign w:val="center"/>
          </w:tcPr>
          <w:p w14:paraId="49C26F37">
            <w:pPr>
              <w:widowControl/>
              <w:jc w:val="center"/>
              <w:rPr>
                <w:rFonts w:ascii="宋体" w:hAnsi="宋体" w:cs="宋体"/>
                <w:color w:val="auto"/>
                <w:kern w:val="0"/>
              </w:rPr>
            </w:pPr>
            <w:r>
              <w:rPr>
                <w:rFonts w:hint="eastAsia" w:ascii="宋体" w:hAnsi="宋体" w:cs="宋体"/>
                <w:color w:val="auto"/>
                <w:kern w:val="0"/>
              </w:rPr>
              <w:t>钻井进尺（m）</w:t>
            </w:r>
          </w:p>
        </w:tc>
        <w:tc>
          <w:tcPr>
            <w:tcW w:w="491" w:type="pct"/>
            <w:vMerge w:val="continue"/>
            <w:shd w:val="clear" w:color="auto" w:fill="FFFFFF"/>
            <w:vAlign w:val="center"/>
          </w:tcPr>
          <w:p w14:paraId="36B456BA">
            <w:pPr>
              <w:widowControl/>
              <w:jc w:val="center"/>
              <w:rPr>
                <w:rFonts w:ascii="宋体" w:hAnsi="宋体" w:cs="宋体"/>
                <w:color w:val="auto"/>
                <w:kern w:val="0"/>
              </w:rPr>
            </w:pPr>
          </w:p>
        </w:tc>
        <w:tc>
          <w:tcPr>
            <w:tcW w:w="489" w:type="pct"/>
            <w:vMerge w:val="continue"/>
            <w:shd w:val="clear" w:color="auto" w:fill="FFFFFF"/>
            <w:vAlign w:val="center"/>
          </w:tcPr>
          <w:p w14:paraId="355FDC19">
            <w:pPr>
              <w:widowControl/>
              <w:jc w:val="center"/>
              <w:rPr>
                <w:rFonts w:ascii="宋体" w:hAnsi="宋体" w:cs="宋体"/>
                <w:color w:val="auto"/>
                <w:kern w:val="0"/>
              </w:rPr>
            </w:pPr>
          </w:p>
        </w:tc>
      </w:tr>
      <w:tr w14:paraId="189CF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6C9C2DDE">
            <w:pPr>
              <w:pStyle w:val="76"/>
              <w:numPr>
                <w:ilvl w:val="0"/>
                <w:numId w:val="18"/>
              </w:numPr>
              <w:rPr>
                <w:rFonts w:hAnsi="宋体"/>
                <w:color w:val="auto"/>
              </w:rPr>
            </w:pPr>
          </w:p>
        </w:tc>
        <w:tc>
          <w:tcPr>
            <w:tcW w:w="591" w:type="pct"/>
            <w:shd w:val="clear" w:color="auto" w:fill="FFFFFF"/>
            <w:noWrap/>
            <w:vAlign w:val="center"/>
          </w:tcPr>
          <w:p w14:paraId="283A783F">
            <w:pPr>
              <w:jc w:val="center"/>
              <w:rPr>
                <w:rFonts w:ascii="宋体" w:hAnsi="宋体"/>
                <w:color w:val="auto"/>
              </w:rPr>
            </w:pPr>
            <w:r>
              <w:rPr>
                <w:rFonts w:hint="eastAsia" w:ascii="宋体" w:hAnsi="宋体"/>
                <w:color w:val="auto"/>
              </w:rPr>
              <w:t>FJF163-X27</w:t>
            </w:r>
          </w:p>
        </w:tc>
        <w:tc>
          <w:tcPr>
            <w:tcW w:w="483" w:type="pct"/>
            <w:shd w:val="clear" w:color="auto" w:fill="FFFFFF"/>
            <w:noWrap/>
            <w:vAlign w:val="center"/>
          </w:tcPr>
          <w:p w14:paraId="62494F35">
            <w:pPr>
              <w:widowControl/>
              <w:jc w:val="center"/>
              <w:rPr>
                <w:rFonts w:ascii="宋体" w:hAnsi="宋体"/>
                <w:color w:val="auto"/>
              </w:rPr>
            </w:pPr>
            <w:r>
              <w:rPr>
                <w:rFonts w:hint="eastAsia" w:ascii="宋体" w:hAnsi="宋体"/>
                <w:color w:val="auto"/>
              </w:rPr>
              <w:t>水井</w:t>
            </w:r>
          </w:p>
        </w:tc>
        <w:tc>
          <w:tcPr>
            <w:tcW w:w="491" w:type="pct"/>
            <w:shd w:val="clear" w:color="auto" w:fill="FFFFFF"/>
            <w:vAlign w:val="center"/>
          </w:tcPr>
          <w:p w14:paraId="7E57F4D9">
            <w:pPr>
              <w:widowControl/>
              <w:jc w:val="center"/>
              <w:rPr>
                <w:rFonts w:ascii="宋体" w:hAnsi="宋体"/>
                <w:color w:val="auto"/>
              </w:rPr>
            </w:pPr>
            <w:r>
              <w:rPr>
                <w:rFonts w:hint="eastAsia" w:ascii="宋体" w:hAnsi="宋体"/>
                <w:color w:val="auto"/>
              </w:rPr>
              <w:t>定向井</w:t>
            </w:r>
          </w:p>
        </w:tc>
        <w:tc>
          <w:tcPr>
            <w:tcW w:w="493" w:type="pct"/>
            <w:shd w:val="clear" w:color="auto" w:fill="FFFFFF"/>
            <w:vAlign w:val="center"/>
          </w:tcPr>
          <w:p w14:paraId="63D09F3B">
            <w:pPr>
              <w:widowControl/>
              <w:jc w:val="center"/>
              <w:rPr>
                <w:rFonts w:ascii="宋体" w:hAnsi="宋体"/>
                <w:color w:val="auto"/>
              </w:rPr>
            </w:pPr>
            <w:r>
              <w:rPr>
                <w:rFonts w:hint="eastAsia" w:ascii="宋体" w:hAnsi="宋体"/>
                <w:color w:val="auto"/>
              </w:rPr>
              <w:t>3</w:t>
            </w:r>
            <w:r>
              <w:rPr>
                <w:rFonts w:ascii="宋体" w:hAnsi="宋体"/>
                <w:color w:val="auto"/>
              </w:rPr>
              <w:t>650</w:t>
            </w:r>
          </w:p>
        </w:tc>
        <w:tc>
          <w:tcPr>
            <w:tcW w:w="491" w:type="pct"/>
            <w:shd w:val="clear" w:color="auto" w:fill="FFFFFF"/>
            <w:vAlign w:val="center"/>
          </w:tcPr>
          <w:p w14:paraId="45CBFDD5">
            <w:pPr>
              <w:widowControl/>
              <w:jc w:val="center"/>
              <w:rPr>
                <w:rFonts w:ascii="宋体" w:hAnsi="宋体"/>
                <w:color w:val="auto"/>
              </w:rPr>
            </w:pPr>
            <w:r>
              <w:rPr>
                <w:rFonts w:hint="eastAsia" w:ascii="宋体" w:hAnsi="宋体"/>
                <w:color w:val="auto"/>
              </w:rPr>
              <w:t>水井</w:t>
            </w:r>
          </w:p>
        </w:tc>
        <w:tc>
          <w:tcPr>
            <w:tcW w:w="491" w:type="pct"/>
            <w:shd w:val="clear" w:color="auto" w:fill="FFFFFF"/>
            <w:vAlign w:val="center"/>
          </w:tcPr>
          <w:p w14:paraId="0899E384">
            <w:pPr>
              <w:widowControl/>
              <w:jc w:val="center"/>
              <w:rPr>
                <w:rFonts w:ascii="宋体" w:hAnsi="宋体"/>
                <w:color w:val="auto"/>
              </w:rPr>
            </w:pPr>
            <w:r>
              <w:rPr>
                <w:rFonts w:hint="eastAsia" w:ascii="宋体" w:hAnsi="宋体"/>
                <w:color w:val="auto"/>
              </w:rPr>
              <w:t>定向井</w:t>
            </w:r>
          </w:p>
        </w:tc>
        <w:tc>
          <w:tcPr>
            <w:tcW w:w="491" w:type="pct"/>
            <w:shd w:val="clear" w:color="auto" w:fill="FFFFFF"/>
            <w:vAlign w:val="center"/>
          </w:tcPr>
          <w:p w14:paraId="0714D027">
            <w:pPr>
              <w:widowControl/>
              <w:jc w:val="center"/>
              <w:rPr>
                <w:rFonts w:ascii="宋体" w:hAnsi="宋体"/>
                <w:color w:val="auto"/>
              </w:rPr>
            </w:pPr>
            <w:r>
              <w:rPr>
                <w:rFonts w:hint="eastAsia" w:ascii="宋体" w:hAnsi="宋体"/>
                <w:color w:val="auto"/>
                <w:szCs w:val="22"/>
              </w:rPr>
              <w:t>2804</w:t>
            </w:r>
          </w:p>
        </w:tc>
        <w:tc>
          <w:tcPr>
            <w:tcW w:w="491" w:type="pct"/>
            <w:vMerge w:val="restart"/>
            <w:shd w:val="clear" w:color="auto" w:fill="FFFFFF"/>
            <w:vAlign w:val="center"/>
          </w:tcPr>
          <w:p w14:paraId="4215FBA6">
            <w:pPr>
              <w:widowControl/>
              <w:jc w:val="center"/>
              <w:rPr>
                <w:rFonts w:ascii="宋体" w:hAnsi="宋体"/>
                <w:color w:val="auto"/>
              </w:rPr>
            </w:pPr>
            <w:r>
              <w:rPr>
                <w:rFonts w:hint="eastAsia" w:ascii="宋体" w:hAnsi="宋体"/>
                <w:color w:val="auto"/>
              </w:rPr>
              <w:t>高青县</w:t>
            </w:r>
          </w:p>
        </w:tc>
        <w:tc>
          <w:tcPr>
            <w:tcW w:w="489" w:type="pct"/>
            <w:vMerge w:val="restart"/>
            <w:shd w:val="clear" w:color="auto" w:fill="FFFFFF"/>
            <w:vAlign w:val="center"/>
          </w:tcPr>
          <w:p w14:paraId="16FD82A0">
            <w:pPr>
              <w:widowControl/>
              <w:jc w:val="center"/>
              <w:rPr>
                <w:rFonts w:ascii="宋体" w:hAnsi="宋体"/>
                <w:color w:val="auto"/>
              </w:rPr>
            </w:pPr>
            <w:r>
              <w:rPr>
                <w:rFonts w:hint="eastAsia" w:ascii="宋体" w:hAnsi="宋体"/>
                <w:color w:val="auto"/>
              </w:rPr>
              <w:t>FJF121-X97水井变更为油井，其他井别均不变；验收阶段与环评各阶段相比井位发生调整；钻井总进尺减少1</w:t>
            </w:r>
            <w:r>
              <w:rPr>
                <w:rFonts w:ascii="宋体" w:hAnsi="宋体"/>
                <w:color w:val="auto"/>
              </w:rPr>
              <w:t>202m</w:t>
            </w:r>
          </w:p>
        </w:tc>
      </w:tr>
      <w:tr w14:paraId="0A71D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1B46D622">
            <w:pPr>
              <w:pStyle w:val="76"/>
              <w:rPr>
                <w:rFonts w:hAnsi="宋体"/>
                <w:color w:val="auto"/>
              </w:rPr>
            </w:pPr>
          </w:p>
        </w:tc>
        <w:tc>
          <w:tcPr>
            <w:tcW w:w="591" w:type="pct"/>
            <w:shd w:val="clear" w:color="auto" w:fill="FFFFFF"/>
            <w:noWrap/>
            <w:vAlign w:val="center"/>
          </w:tcPr>
          <w:p w14:paraId="27A0B7CA">
            <w:pPr>
              <w:jc w:val="center"/>
              <w:rPr>
                <w:rFonts w:ascii="宋体" w:hAnsi="宋体"/>
                <w:color w:val="auto"/>
              </w:rPr>
            </w:pPr>
            <w:r>
              <w:rPr>
                <w:rFonts w:hint="eastAsia" w:ascii="宋体" w:hAnsi="宋体"/>
                <w:color w:val="auto"/>
              </w:rPr>
              <w:t>FJF163-X18</w:t>
            </w:r>
          </w:p>
        </w:tc>
        <w:tc>
          <w:tcPr>
            <w:tcW w:w="483" w:type="pct"/>
            <w:shd w:val="clear" w:color="auto" w:fill="FFFFFF"/>
            <w:noWrap/>
            <w:vAlign w:val="center"/>
          </w:tcPr>
          <w:p w14:paraId="1F730552">
            <w:pPr>
              <w:widowControl/>
              <w:jc w:val="center"/>
              <w:rPr>
                <w:rFonts w:ascii="宋体" w:hAnsi="宋体"/>
                <w:color w:val="auto"/>
              </w:rPr>
            </w:pPr>
            <w:r>
              <w:rPr>
                <w:rFonts w:hint="eastAsia" w:ascii="宋体" w:hAnsi="宋体"/>
                <w:color w:val="auto"/>
              </w:rPr>
              <w:t>水井</w:t>
            </w:r>
          </w:p>
        </w:tc>
        <w:tc>
          <w:tcPr>
            <w:tcW w:w="491" w:type="pct"/>
            <w:shd w:val="clear" w:color="auto" w:fill="FFFFFF"/>
            <w:vAlign w:val="center"/>
          </w:tcPr>
          <w:p w14:paraId="5B29FD54">
            <w:pPr>
              <w:widowControl/>
              <w:jc w:val="center"/>
              <w:rPr>
                <w:rFonts w:ascii="宋体" w:hAnsi="宋体"/>
                <w:color w:val="auto"/>
              </w:rPr>
            </w:pPr>
            <w:r>
              <w:rPr>
                <w:rFonts w:hint="eastAsia" w:ascii="宋体" w:hAnsi="宋体"/>
                <w:color w:val="auto"/>
              </w:rPr>
              <w:t>定向井</w:t>
            </w:r>
          </w:p>
        </w:tc>
        <w:tc>
          <w:tcPr>
            <w:tcW w:w="493" w:type="pct"/>
            <w:shd w:val="clear" w:color="auto" w:fill="FFFFFF"/>
            <w:vAlign w:val="center"/>
          </w:tcPr>
          <w:p w14:paraId="0B09A0E0">
            <w:pPr>
              <w:widowControl/>
              <w:jc w:val="center"/>
              <w:rPr>
                <w:rFonts w:ascii="宋体" w:hAnsi="宋体"/>
                <w:color w:val="auto"/>
              </w:rPr>
            </w:pPr>
            <w:r>
              <w:rPr>
                <w:rFonts w:hint="eastAsia" w:ascii="宋体" w:hAnsi="宋体"/>
                <w:color w:val="auto"/>
              </w:rPr>
              <w:t>2</w:t>
            </w:r>
            <w:r>
              <w:rPr>
                <w:rFonts w:ascii="宋体" w:hAnsi="宋体"/>
                <w:color w:val="auto"/>
              </w:rPr>
              <w:t>900</w:t>
            </w:r>
          </w:p>
        </w:tc>
        <w:tc>
          <w:tcPr>
            <w:tcW w:w="491" w:type="pct"/>
            <w:shd w:val="clear" w:color="auto" w:fill="FFFFFF"/>
            <w:vAlign w:val="center"/>
          </w:tcPr>
          <w:p w14:paraId="643872F1">
            <w:pPr>
              <w:widowControl/>
              <w:jc w:val="center"/>
              <w:rPr>
                <w:rFonts w:ascii="宋体" w:hAnsi="宋体"/>
                <w:color w:val="auto"/>
              </w:rPr>
            </w:pPr>
            <w:r>
              <w:rPr>
                <w:rFonts w:hint="eastAsia" w:ascii="宋体" w:hAnsi="宋体"/>
                <w:color w:val="auto"/>
              </w:rPr>
              <w:t>水井</w:t>
            </w:r>
          </w:p>
        </w:tc>
        <w:tc>
          <w:tcPr>
            <w:tcW w:w="491" w:type="pct"/>
            <w:shd w:val="clear" w:color="auto" w:fill="FFFFFF"/>
            <w:vAlign w:val="center"/>
          </w:tcPr>
          <w:p w14:paraId="4821FEC4">
            <w:pPr>
              <w:widowControl/>
              <w:jc w:val="center"/>
              <w:rPr>
                <w:rFonts w:ascii="宋体" w:hAnsi="宋体"/>
                <w:color w:val="auto"/>
              </w:rPr>
            </w:pPr>
            <w:r>
              <w:rPr>
                <w:rFonts w:hint="eastAsia" w:ascii="宋体" w:hAnsi="宋体"/>
                <w:color w:val="auto"/>
              </w:rPr>
              <w:t>定向井</w:t>
            </w:r>
          </w:p>
        </w:tc>
        <w:tc>
          <w:tcPr>
            <w:tcW w:w="491" w:type="pct"/>
            <w:shd w:val="clear" w:color="auto" w:fill="FFFFFF"/>
            <w:vAlign w:val="center"/>
          </w:tcPr>
          <w:p w14:paraId="315938EE">
            <w:pPr>
              <w:widowControl/>
              <w:jc w:val="center"/>
              <w:rPr>
                <w:rFonts w:ascii="宋体" w:hAnsi="宋体"/>
                <w:color w:val="auto"/>
              </w:rPr>
            </w:pPr>
            <w:r>
              <w:rPr>
                <w:rFonts w:hint="eastAsia" w:ascii="宋体" w:hAnsi="宋体"/>
                <w:color w:val="auto"/>
                <w:szCs w:val="22"/>
              </w:rPr>
              <w:t>2880</w:t>
            </w:r>
          </w:p>
        </w:tc>
        <w:tc>
          <w:tcPr>
            <w:tcW w:w="491" w:type="pct"/>
            <w:vMerge w:val="continue"/>
            <w:shd w:val="clear" w:color="auto" w:fill="FFFFFF"/>
            <w:vAlign w:val="center"/>
          </w:tcPr>
          <w:p w14:paraId="418DBD28">
            <w:pPr>
              <w:widowControl/>
              <w:jc w:val="center"/>
              <w:rPr>
                <w:rFonts w:ascii="宋体" w:hAnsi="宋体"/>
                <w:color w:val="auto"/>
              </w:rPr>
            </w:pPr>
          </w:p>
        </w:tc>
        <w:tc>
          <w:tcPr>
            <w:tcW w:w="489" w:type="pct"/>
            <w:vMerge w:val="continue"/>
            <w:shd w:val="clear" w:color="auto" w:fill="FFFFFF"/>
            <w:vAlign w:val="center"/>
          </w:tcPr>
          <w:p w14:paraId="48A4BD17">
            <w:pPr>
              <w:widowControl/>
              <w:jc w:val="center"/>
              <w:rPr>
                <w:rFonts w:ascii="宋体" w:hAnsi="宋体"/>
                <w:color w:val="auto"/>
              </w:rPr>
            </w:pPr>
          </w:p>
        </w:tc>
      </w:tr>
      <w:tr w14:paraId="246B1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4E5FD54D">
            <w:pPr>
              <w:pStyle w:val="76"/>
              <w:rPr>
                <w:rFonts w:hAnsi="宋体"/>
                <w:color w:val="auto"/>
              </w:rPr>
            </w:pPr>
          </w:p>
        </w:tc>
        <w:tc>
          <w:tcPr>
            <w:tcW w:w="591" w:type="pct"/>
            <w:shd w:val="clear" w:color="auto" w:fill="FFFFFF"/>
            <w:noWrap/>
            <w:vAlign w:val="center"/>
          </w:tcPr>
          <w:p w14:paraId="7A1575CC">
            <w:pPr>
              <w:jc w:val="center"/>
              <w:rPr>
                <w:rFonts w:ascii="宋体" w:hAnsi="宋体"/>
                <w:color w:val="auto"/>
              </w:rPr>
            </w:pPr>
            <w:r>
              <w:rPr>
                <w:rFonts w:hint="eastAsia" w:ascii="宋体" w:hAnsi="宋体"/>
                <w:color w:val="auto"/>
              </w:rPr>
              <w:t>FJF163-X17</w:t>
            </w:r>
          </w:p>
        </w:tc>
        <w:tc>
          <w:tcPr>
            <w:tcW w:w="483" w:type="pct"/>
            <w:shd w:val="clear" w:color="auto" w:fill="FFFFFF"/>
            <w:noWrap/>
            <w:vAlign w:val="center"/>
          </w:tcPr>
          <w:p w14:paraId="4EC1E725">
            <w:pPr>
              <w:widowControl/>
              <w:jc w:val="center"/>
              <w:rPr>
                <w:rFonts w:ascii="宋体" w:hAnsi="宋体"/>
                <w:color w:val="auto"/>
              </w:rPr>
            </w:pPr>
            <w:r>
              <w:rPr>
                <w:rFonts w:hint="eastAsia" w:ascii="宋体" w:hAnsi="宋体"/>
                <w:color w:val="auto"/>
              </w:rPr>
              <w:t>水井</w:t>
            </w:r>
          </w:p>
        </w:tc>
        <w:tc>
          <w:tcPr>
            <w:tcW w:w="491" w:type="pct"/>
            <w:shd w:val="clear" w:color="auto" w:fill="FFFFFF"/>
            <w:vAlign w:val="center"/>
          </w:tcPr>
          <w:p w14:paraId="02F6F953">
            <w:pPr>
              <w:widowControl/>
              <w:jc w:val="center"/>
              <w:rPr>
                <w:rFonts w:ascii="宋体" w:hAnsi="宋体"/>
                <w:color w:val="auto"/>
              </w:rPr>
            </w:pPr>
            <w:r>
              <w:rPr>
                <w:rFonts w:hint="eastAsia" w:ascii="宋体" w:hAnsi="宋体"/>
                <w:color w:val="auto"/>
              </w:rPr>
              <w:t>定向井</w:t>
            </w:r>
          </w:p>
        </w:tc>
        <w:tc>
          <w:tcPr>
            <w:tcW w:w="493" w:type="pct"/>
            <w:shd w:val="clear" w:color="auto" w:fill="FFFFFF"/>
            <w:vAlign w:val="center"/>
          </w:tcPr>
          <w:p w14:paraId="4CBBF228">
            <w:pPr>
              <w:widowControl/>
              <w:jc w:val="center"/>
              <w:rPr>
                <w:rFonts w:ascii="宋体" w:hAnsi="宋体"/>
                <w:color w:val="auto"/>
              </w:rPr>
            </w:pPr>
            <w:r>
              <w:rPr>
                <w:rFonts w:hint="eastAsia" w:ascii="宋体" w:hAnsi="宋体"/>
                <w:color w:val="auto"/>
              </w:rPr>
              <w:t>2</w:t>
            </w:r>
            <w:r>
              <w:rPr>
                <w:rFonts w:ascii="宋体" w:hAnsi="宋体"/>
                <w:color w:val="auto"/>
              </w:rPr>
              <w:t>900</w:t>
            </w:r>
          </w:p>
        </w:tc>
        <w:tc>
          <w:tcPr>
            <w:tcW w:w="491" w:type="pct"/>
            <w:shd w:val="clear" w:color="auto" w:fill="FFFFFF"/>
            <w:vAlign w:val="center"/>
          </w:tcPr>
          <w:p w14:paraId="77E6C3CD">
            <w:pPr>
              <w:widowControl/>
              <w:jc w:val="center"/>
              <w:rPr>
                <w:rFonts w:ascii="宋体" w:hAnsi="宋体"/>
                <w:color w:val="auto"/>
              </w:rPr>
            </w:pPr>
            <w:r>
              <w:rPr>
                <w:rFonts w:hint="eastAsia" w:ascii="宋体" w:hAnsi="宋体"/>
                <w:color w:val="auto"/>
              </w:rPr>
              <w:t>水井</w:t>
            </w:r>
          </w:p>
        </w:tc>
        <w:tc>
          <w:tcPr>
            <w:tcW w:w="491" w:type="pct"/>
            <w:shd w:val="clear" w:color="auto" w:fill="FFFFFF"/>
            <w:vAlign w:val="center"/>
          </w:tcPr>
          <w:p w14:paraId="16582BF4">
            <w:pPr>
              <w:widowControl/>
              <w:jc w:val="center"/>
              <w:rPr>
                <w:rFonts w:ascii="宋体" w:hAnsi="宋体"/>
                <w:color w:val="auto"/>
              </w:rPr>
            </w:pPr>
            <w:r>
              <w:rPr>
                <w:rFonts w:hint="eastAsia" w:ascii="宋体" w:hAnsi="宋体"/>
                <w:color w:val="auto"/>
              </w:rPr>
              <w:t>定向井</w:t>
            </w:r>
          </w:p>
        </w:tc>
        <w:tc>
          <w:tcPr>
            <w:tcW w:w="491" w:type="pct"/>
            <w:shd w:val="clear" w:color="auto" w:fill="FFFFFF"/>
            <w:vAlign w:val="center"/>
          </w:tcPr>
          <w:p w14:paraId="4961D58F">
            <w:pPr>
              <w:widowControl/>
              <w:jc w:val="center"/>
              <w:rPr>
                <w:rFonts w:ascii="宋体" w:hAnsi="宋体"/>
                <w:color w:val="auto"/>
              </w:rPr>
            </w:pPr>
            <w:r>
              <w:rPr>
                <w:rFonts w:hint="eastAsia" w:ascii="宋体" w:hAnsi="宋体"/>
                <w:color w:val="auto"/>
                <w:szCs w:val="22"/>
              </w:rPr>
              <w:t>3147</w:t>
            </w:r>
          </w:p>
        </w:tc>
        <w:tc>
          <w:tcPr>
            <w:tcW w:w="491" w:type="pct"/>
            <w:vMerge w:val="continue"/>
            <w:shd w:val="clear" w:color="auto" w:fill="FFFFFF"/>
            <w:vAlign w:val="center"/>
          </w:tcPr>
          <w:p w14:paraId="1999D029">
            <w:pPr>
              <w:widowControl/>
              <w:jc w:val="center"/>
              <w:rPr>
                <w:rFonts w:ascii="宋体" w:hAnsi="宋体"/>
                <w:color w:val="auto"/>
              </w:rPr>
            </w:pPr>
          </w:p>
        </w:tc>
        <w:tc>
          <w:tcPr>
            <w:tcW w:w="489" w:type="pct"/>
            <w:vMerge w:val="continue"/>
            <w:shd w:val="clear" w:color="auto" w:fill="FFFFFF"/>
            <w:vAlign w:val="center"/>
          </w:tcPr>
          <w:p w14:paraId="0E308F95">
            <w:pPr>
              <w:widowControl/>
              <w:jc w:val="center"/>
              <w:rPr>
                <w:rFonts w:ascii="宋体" w:hAnsi="宋体"/>
                <w:color w:val="auto"/>
              </w:rPr>
            </w:pPr>
          </w:p>
        </w:tc>
      </w:tr>
      <w:tr w14:paraId="480BB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047B64A4">
            <w:pPr>
              <w:pStyle w:val="76"/>
              <w:rPr>
                <w:rFonts w:hAnsi="宋体"/>
                <w:color w:val="auto"/>
              </w:rPr>
            </w:pPr>
            <w:bookmarkStart w:id="143" w:name="_Hlk225327924"/>
          </w:p>
        </w:tc>
        <w:tc>
          <w:tcPr>
            <w:tcW w:w="591" w:type="pct"/>
            <w:shd w:val="clear" w:color="auto" w:fill="FFFFFF"/>
            <w:noWrap/>
            <w:vAlign w:val="center"/>
          </w:tcPr>
          <w:p w14:paraId="03110848">
            <w:pPr>
              <w:widowControl/>
              <w:jc w:val="center"/>
              <w:rPr>
                <w:rFonts w:ascii="宋体" w:hAnsi="宋体"/>
                <w:color w:val="auto"/>
                <w:kern w:val="0"/>
              </w:rPr>
            </w:pPr>
            <w:r>
              <w:rPr>
                <w:rFonts w:hint="eastAsia" w:ascii="宋体" w:hAnsi="宋体"/>
                <w:color w:val="auto"/>
              </w:rPr>
              <w:t>FJF18-X16</w:t>
            </w:r>
          </w:p>
        </w:tc>
        <w:tc>
          <w:tcPr>
            <w:tcW w:w="483" w:type="pct"/>
            <w:shd w:val="clear" w:color="auto" w:fill="FFFFFF"/>
            <w:noWrap/>
            <w:vAlign w:val="center"/>
          </w:tcPr>
          <w:p w14:paraId="71409A23">
            <w:pPr>
              <w:widowControl/>
              <w:jc w:val="center"/>
              <w:rPr>
                <w:rFonts w:ascii="宋体" w:hAnsi="宋体"/>
                <w:color w:val="auto"/>
              </w:rPr>
            </w:pPr>
            <w:r>
              <w:rPr>
                <w:rFonts w:hint="eastAsia" w:ascii="宋体" w:hAnsi="宋体"/>
                <w:color w:val="auto"/>
              </w:rPr>
              <w:t>油井</w:t>
            </w:r>
          </w:p>
        </w:tc>
        <w:tc>
          <w:tcPr>
            <w:tcW w:w="491" w:type="pct"/>
            <w:shd w:val="clear" w:color="auto" w:fill="FFFFFF"/>
            <w:vAlign w:val="center"/>
          </w:tcPr>
          <w:p w14:paraId="7483BA7E">
            <w:pPr>
              <w:widowControl/>
              <w:jc w:val="center"/>
              <w:rPr>
                <w:rFonts w:ascii="宋体" w:hAnsi="宋体"/>
                <w:color w:val="auto"/>
              </w:rPr>
            </w:pPr>
            <w:bookmarkStart w:id="144" w:name="OLE_LINK109"/>
            <w:bookmarkStart w:id="145" w:name="OLE_LINK108"/>
            <w:r>
              <w:rPr>
                <w:rFonts w:hint="eastAsia" w:ascii="宋体" w:hAnsi="宋体"/>
                <w:color w:val="auto"/>
              </w:rPr>
              <w:t>定向井</w:t>
            </w:r>
            <w:bookmarkEnd w:id="144"/>
            <w:bookmarkEnd w:id="145"/>
          </w:p>
        </w:tc>
        <w:tc>
          <w:tcPr>
            <w:tcW w:w="493" w:type="pct"/>
            <w:shd w:val="clear" w:color="auto" w:fill="FFFFFF"/>
            <w:vAlign w:val="center"/>
          </w:tcPr>
          <w:p w14:paraId="5C378FA2">
            <w:pPr>
              <w:widowControl/>
              <w:jc w:val="center"/>
              <w:rPr>
                <w:rFonts w:ascii="宋体" w:hAnsi="宋体"/>
                <w:color w:val="auto"/>
              </w:rPr>
            </w:pPr>
            <w:r>
              <w:rPr>
                <w:rFonts w:hint="eastAsia" w:ascii="宋体" w:hAnsi="宋体"/>
                <w:color w:val="auto"/>
              </w:rPr>
              <w:t>3</w:t>
            </w:r>
            <w:r>
              <w:rPr>
                <w:rFonts w:ascii="宋体" w:hAnsi="宋体"/>
                <w:color w:val="auto"/>
              </w:rPr>
              <w:t>650</w:t>
            </w:r>
          </w:p>
        </w:tc>
        <w:tc>
          <w:tcPr>
            <w:tcW w:w="491" w:type="pct"/>
            <w:shd w:val="clear" w:color="auto" w:fill="FFFFFF"/>
            <w:vAlign w:val="center"/>
          </w:tcPr>
          <w:p w14:paraId="31E24057">
            <w:pPr>
              <w:widowControl/>
              <w:jc w:val="center"/>
              <w:rPr>
                <w:rFonts w:ascii="宋体" w:hAnsi="宋体"/>
                <w:color w:val="auto"/>
              </w:rPr>
            </w:pPr>
            <w:r>
              <w:rPr>
                <w:rFonts w:hint="eastAsia" w:ascii="宋体" w:hAnsi="宋体"/>
                <w:color w:val="auto"/>
              </w:rPr>
              <w:t>油井</w:t>
            </w:r>
          </w:p>
        </w:tc>
        <w:tc>
          <w:tcPr>
            <w:tcW w:w="491" w:type="pct"/>
            <w:shd w:val="clear" w:color="auto" w:fill="FFFFFF"/>
            <w:vAlign w:val="center"/>
          </w:tcPr>
          <w:p w14:paraId="7D6435ED">
            <w:pPr>
              <w:widowControl/>
              <w:jc w:val="center"/>
              <w:rPr>
                <w:rFonts w:ascii="宋体" w:hAnsi="宋体"/>
                <w:color w:val="auto"/>
              </w:rPr>
            </w:pPr>
            <w:r>
              <w:rPr>
                <w:rFonts w:hint="eastAsia" w:ascii="宋体" w:hAnsi="宋体"/>
                <w:color w:val="auto"/>
              </w:rPr>
              <w:t>定向井</w:t>
            </w:r>
          </w:p>
        </w:tc>
        <w:tc>
          <w:tcPr>
            <w:tcW w:w="491" w:type="pct"/>
            <w:shd w:val="clear" w:color="auto" w:fill="FFFFFF"/>
            <w:vAlign w:val="center"/>
          </w:tcPr>
          <w:p w14:paraId="3B1BFBAB">
            <w:pPr>
              <w:widowControl/>
              <w:jc w:val="center"/>
              <w:rPr>
                <w:rFonts w:ascii="宋体" w:hAnsi="宋体"/>
                <w:color w:val="auto"/>
              </w:rPr>
            </w:pPr>
            <w:r>
              <w:rPr>
                <w:rFonts w:hint="eastAsia" w:ascii="宋体" w:hAnsi="宋体"/>
                <w:color w:val="auto"/>
                <w:szCs w:val="22"/>
              </w:rPr>
              <w:t>3590</w:t>
            </w:r>
          </w:p>
        </w:tc>
        <w:tc>
          <w:tcPr>
            <w:tcW w:w="491" w:type="pct"/>
            <w:vMerge w:val="continue"/>
            <w:shd w:val="clear" w:color="auto" w:fill="FFFFFF"/>
            <w:vAlign w:val="center"/>
          </w:tcPr>
          <w:p w14:paraId="475ED645">
            <w:pPr>
              <w:widowControl/>
              <w:jc w:val="center"/>
              <w:rPr>
                <w:rFonts w:ascii="宋体" w:hAnsi="宋体"/>
                <w:color w:val="auto"/>
              </w:rPr>
            </w:pPr>
          </w:p>
        </w:tc>
        <w:tc>
          <w:tcPr>
            <w:tcW w:w="489" w:type="pct"/>
            <w:vMerge w:val="continue"/>
            <w:shd w:val="clear" w:color="auto" w:fill="FFFFFF"/>
            <w:vAlign w:val="center"/>
          </w:tcPr>
          <w:p w14:paraId="2DCFF5EB">
            <w:pPr>
              <w:widowControl/>
              <w:jc w:val="center"/>
              <w:rPr>
                <w:rFonts w:ascii="宋体" w:hAnsi="宋体"/>
                <w:color w:val="auto"/>
              </w:rPr>
            </w:pPr>
          </w:p>
        </w:tc>
      </w:tr>
      <w:bookmarkEnd w:id="143"/>
      <w:tr w14:paraId="30DDB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561C323C">
            <w:pPr>
              <w:pStyle w:val="76"/>
              <w:rPr>
                <w:rFonts w:hAnsi="宋体"/>
                <w:color w:val="auto"/>
              </w:rPr>
            </w:pPr>
            <w:bookmarkStart w:id="146" w:name="_Hlk225327930"/>
          </w:p>
        </w:tc>
        <w:tc>
          <w:tcPr>
            <w:tcW w:w="591" w:type="pct"/>
            <w:shd w:val="clear" w:color="auto" w:fill="FFFFFF"/>
            <w:noWrap/>
            <w:vAlign w:val="center"/>
          </w:tcPr>
          <w:p w14:paraId="332378B4">
            <w:pPr>
              <w:jc w:val="center"/>
              <w:rPr>
                <w:rFonts w:ascii="宋体" w:hAnsi="宋体"/>
                <w:color w:val="auto"/>
              </w:rPr>
            </w:pPr>
            <w:r>
              <w:rPr>
                <w:rFonts w:hint="eastAsia" w:ascii="宋体" w:hAnsi="宋体"/>
                <w:color w:val="auto"/>
              </w:rPr>
              <w:t>FJF18-X27</w:t>
            </w:r>
          </w:p>
        </w:tc>
        <w:tc>
          <w:tcPr>
            <w:tcW w:w="483" w:type="pct"/>
            <w:shd w:val="clear" w:color="auto" w:fill="FFFFFF"/>
            <w:noWrap/>
            <w:vAlign w:val="center"/>
          </w:tcPr>
          <w:p w14:paraId="4730C4F1">
            <w:pPr>
              <w:widowControl/>
              <w:jc w:val="center"/>
              <w:rPr>
                <w:rFonts w:ascii="宋体" w:hAnsi="宋体"/>
                <w:color w:val="auto"/>
              </w:rPr>
            </w:pPr>
            <w:r>
              <w:rPr>
                <w:rFonts w:hint="eastAsia" w:ascii="宋体" w:hAnsi="宋体"/>
                <w:color w:val="auto"/>
              </w:rPr>
              <w:t>油井</w:t>
            </w:r>
          </w:p>
        </w:tc>
        <w:tc>
          <w:tcPr>
            <w:tcW w:w="491" w:type="pct"/>
            <w:shd w:val="clear" w:color="auto" w:fill="FFFFFF"/>
            <w:vAlign w:val="center"/>
          </w:tcPr>
          <w:p w14:paraId="6D2C22E0">
            <w:pPr>
              <w:widowControl/>
              <w:jc w:val="center"/>
              <w:rPr>
                <w:rFonts w:ascii="宋体" w:hAnsi="宋体"/>
                <w:color w:val="auto"/>
              </w:rPr>
            </w:pPr>
            <w:r>
              <w:rPr>
                <w:rFonts w:hint="eastAsia" w:ascii="宋体" w:hAnsi="宋体"/>
                <w:color w:val="auto"/>
              </w:rPr>
              <w:t>定向井</w:t>
            </w:r>
          </w:p>
        </w:tc>
        <w:tc>
          <w:tcPr>
            <w:tcW w:w="493" w:type="pct"/>
            <w:shd w:val="clear" w:color="auto" w:fill="FFFFFF"/>
            <w:vAlign w:val="center"/>
          </w:tcPr>
          <w:p w14:paraId="74510906">
            <w:pPr>
              <w:widowControl/>
              <w:jc w:val="center"/>
              <w:rPr>
                <w:rFonts w:ascii="宋体" w:hAnsi="宋体"/>
                <w:color w:val="auto"/>
              </w:rPr>
            </w:pPr>
            <w:r>
              <w:rPr>
                <w:rFonts w:hint="eastAsia" w:ascii="宋体" w:hAnsi="宋体"/>
                <w:color w:val="auto"/>
              </w:rPr>
              <w:t>3650</w:t>
            </w:r>
          </w:p>
        </w:tc>
        <w:tc>
          <w:tcPr>
            <w:tcW w:w="491" w:type="pct"/>
            <w:shd w:val="clear" w:color="auto" w:fill="FFFFFF"/>
            <w:vAlign w:val="center"/>
          </w:tcPr>
          <w:p w14:paraId="64628AD0">
            <w:pPr>
              <w:widowControl/>
              <w:jc w:val="center"/>
              <w:rPr>
                <w:rFonts w:ascii="宋体" w:hAnsi="宋体"/>
                <w:color w:val="auto"/>
              </w:rPr>
            </w:pPr>
            <w:r>
              <w:rPr>
                <w:rFonts w:hint="eastAsia" w:ascii="宋体" w:hAnsi="宋体"/>
                <w:color w:val="auto"/>
              </w:rPr>
              <w:t>油井</w:t>
            </w:r>
          </w:p>
        </w:tc>
        <w:tc>
          <w:tcPr>
            <w:tcW w:w="491" w:type="pct"/>
            <w:shd w:val="clear" w:color="auto" w:fill="FFFFFF"/>
            <w:vAlign w:val="center"/>
          </w:tcPr>
          <w:p w14:paraId="4C5BA323">
            <w:pPr>
              <w:widowControl/>
              <w:jc w:val="center"/>
              <w:rPr>
                <w:rFonts w:ascii="宋体" w:hAnsi="宋体"/>
                <w:color w:val="auto"/>
              </w:rPr>
            </w:pPr>
            <w:r>
              <w:rPr>
                <w:rFonts w:hint="eastAsia" w:ascii="宋体" w:hAnsi="宋体"/>
                <w:color w:val="auto"/>
              </w:rPr>
              <w:t>定向井</w:t>
            </w:r>
          </w:p>
        </w:tc>
        <w:tc>
          <w:tcPr>
            <w:tcW w:w="491" w:type="pct"/>
            <w:shd w:val="clear" w:color="auto" w:fill="FFFFFF"/>
            <w:vAlign w:val="center"/>
          </w:tcPr>
          <w:p w14:paraId="3393BEB1">
            <w:pPr>
              <w:widowControl/>
              <w:jc w:val="center"/>
              <w:rPr>
                <w:rFonts w:ascii="宋体" w:hAnsi="宋体"/>
                <w:color w:val="auto"/>
              </w:rPr>
            </w:pPr>
            <w:r>
              <w:rPr>
                <w:rFonts w:hint="eastAsia" w:ascii="宋体" w:hAnsi="宋体"/>
                <w:color w:val="auto"/>
                <w:szCs w:val="22"/>
              </w:rPr>
              <w:t>3165</w:t>
            </w:r>
          </w:p>
        </w:tc>
        <w:tc>
          <w:tcPr>
            <w:tcW w:w="491" w:type="pct"/>
            <w:vMerge w:val="continue"/>
            <w:shd w:val="clear" w:color="auto" w:fill="FFFFFF"/>
            <w:vAlign w:val="center"/>
          </w:tcPr>
          <w:p w14:paraId="43A58C03">
            <w:pPr>
              <w:widowControl/>
              <w:jc w:val="center"/>
              <w:rPr>
                <w:rFonts w:ascii="宋体" w:hAnsi="宋体"/>
                <w:color w:val="auto"/>
              </w:rPr>
            </w:pPr>
          </w:p>
        </w:tc>
        <w:tc>
          <w:tcPr>
            <w:tcW w:w="489" w:type="pct"/>
            <w:vMerge w:val="continue"/>
            <w:shd w:val="clear" w:color="auto" w:fill="FFFFFF"/>
            <w:vAlign w:val="center"/>
          </w:tcPr>
          <w:p w14:paraId="42C2ACDF">
            <w:pPr>
              <w:widowControl/>
              <w:jc w:val="center"/>
              <w:rPr>
                <w:rFonts w:ascii="宋体" w:hAnsi="宋体"/>
                <w:color w:val="auto"/>
              </w:rPr>
            </w:pPr>
          </w:p>
        </w:tc>
      </w:tr>
      <w:bookmarkEnd w:id="146"/>
      <w:tr w14:paraId="60DFB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7EF46491">
            <w:pPr>
              <w:pStyle w:val="76"/>
              <w:rPr>
                <w:rFonts w:hAnsi="宋体"/>
                <w:color w:val="auto"/>
              </w:rPr>
            </w:pPr>
            <w:bookmarkStart w:id="147" w:name="_Hlk225327937"/>
          </w:p>
        </w:tc>
        <w:tc>
          <w:tcPr>
            <w:tcW w:w="591" w:type="pct"/>
            <w:shd w:val="clear" w:color="auto" w:fill="FFFFFF"/>
            <w:noWrap/>
            <w:vAlign w:val="center"/>
          </w:tcPr>
          <w:p w14:paraId="186FFF0D">
            <w:pPr>
              <w:jc w:val="center"/>
              <w:rPr>
                <w:rFonts w:ascii="宋体" w:hAnsi="宋体"/>
                <w:color w:val="auto"/>
              </w:rPr>
            </w:pPr>
            <w:r>
              <w:rPr>
                <w:rFonts w:hint="eastAsia" w:ascii="宋体" w:hAnsi="宋体"/>
                <w:color w:val="auto"/>
              </w:rPr>
              <w:t>FJF18-X25</w:t>
            </w:r>
          </w:p>
        </w:tc>
        <w:tc>
          <w:tcPr>
            <w:tcW w:w="483" w:type="pct"/>
            <w:shd w:val="clear" w:color="auto" w:fill="FFFFFF"/>
            <w:noWrap/>
            <w:vAlign w:val="center"/>
          </w:tcPr>
          <w:p w14:paraId="10A6E394">
            <w:pPr>
              <w:widowControl/>
              <w:jc w:val="center"/>
              <w:rPr>
                <w:rFonts w:ascii="宋体" w:hAnsi="宋体"/>
                <w:color w:val="auto"/>
              </w:rPr>
            </w:pPr>
            <w:r>
              <w:rPr>
                <w:rFonts w:hint="eastAsia" w:ascii="宋体" w:hAnsi="宋体"/>
                <w:color w:val="auto"/>
              </w:rPr>
              <w:t>油井</w:t>
            </w:r>
          </w:p>
        </w:tc>
        <w:tc>
          <w:tcPr>
            <w:tcW w:w="491" w:type="pct"/>
            <w:shd w:val="clear" w:color="auto" w:fill="FFFFFF"/>
            <w:vAlign w:val="center"/>
          </w:tcPr>
          <w:p w14:paraId="5998519A">
            <w:pPr>
              <w:widowControl/>
              <w:jc w:val="center"/>
              <w:rPr>
                <w:rFonts w:ascii="宋体" w:hAnsi="宋体"/>
                <w:color w:val="auto"/>
              </w:rPr>
            </w:pPr>
            <w:r>
              <w:rPr>
                <w:rFonts w:hint="eastAsia" w:ascii="宋体" w:hAnsi="宋体"/>
                <w:color w:val="auto"/>
              </w:rPr>
              <w:t>定向井</w:t>
            </w:r>
          </w:p>
        </w:tc>
        <w:tc>
          <w:tcPr>
            <w:tcW w:w="493" w:type="pct"/>
            <w:shd w:val="clear" w:color="auto" w:fill="FFFFFF"/>
            <w:vAlign w:val="center"/>
          </w:tcPr>
          <w:p w14:paraId="3CFA5CAE">
            <w:pPr>
              <w:widowControl/>
              <w:jc w:val="center"/>
              <w:rPr>
                <w:rFonts w:ascii="宋体" w:hAnsi="宋体"/>
                <w:color w:val="auto"/>
              </w:rPr>
            </w:pPr>
            <w:r>
              <w:rPr>
                <w:rFonts w:hint="eastAsia" w:ascii="宋体" w:hAnsi="宋体"/>
                <w:color w:val="auto"/>
              </w:rPr>
              <w:t>3650</w:t>
            </w:r>
          </w:p>
        </w:tc>
        <w:tc>
          <w:tcPr>
            <w:tcW w:w="491" w:type="pct"/>
            <w:shd w:val="clear" w:color="auto" w:fill="FFFFFF"/>
            <w:vAlign w:val="center"/>
          </w:tcPr>
          <w:p w14:paraId="0DA538E9">
            <w:pPr>
              <w:widowControl/>
              <w:jc w:val="center"/>
              <w:rPr>
                <w:rFonts w:ascii="宋体" w:hAnsi="宋体"/>
                <w:color w:val="auto"/>
              </w:rPr>
            </w:pPr>
            <w:r>
              <w:rPr>
                <w:rFonts w:hint="eastAsia" w:ascii="宋体" w:hAnsi="宋体"/>
                <w:color w:val="auto"/>
              </w:rPr>
              <w:t>油井</w:t>
            </w:r>
          </w:p>
        </w:tc>
        <w:tc>
          <w:tcPr>
            <w:tcW w:w="491" w:type="pct"/>
            <w:shd w:val="clear" w:color="auto" w:fill="FFFFFF"/>
            <w:vAlign w:val="center"/>
          </w:tcPr>
          <w:p w14:paraId="7E928DF1">
            <w:pPr>
              <w:widowControl/>
              <w:jc w:val="center"/>
              <w:rPr>
                <w:rFonts w:ascii="宋体" w:hAnsi="宋体"/>
                <w:color w:val="auto"/>
              </w:rPr>
            </w:pPr>
            <w:r>
              <w:rPr>
                <w:rFonts w:hint="eastAsia" w:ascii="宋体" w:hAnsi="宋体"/>
                <w:color w:val="auto"/>
              </w:rPr>
              <w:t>定向井</w:t>
            </w:r>
          </w:p>
        </w:tc>
        <w:tc>
          <w:tcPr>
            <w:tcW w:w="491" w:type="pct"/>
            <w:shd w:val="clear" w:color="auto" w:fill="FFFFFF"/>
            <w:vAlign w:val="center"/>
          </w:tcPr>
          <w:p w14:paraId="7DDBDD50">
            <w:pPr>
              <w:widowControl/>
              <w:jc w:val="center"/>
              <w:rPr>
                <w:rFonts w:ascii="宋体" w:hAnsi="宋体"/>
                <w:color w:val="auto"/>
              </w:rPr>
            </w:pPr>
            <w:r>
              <w:rPr>
                <w:rFonts w:hint="eastAsia" w:ascii="宋体" w:hAnsi="宋体"/>
                <w:color w:val="auto"/>
                <w:szCs w:val="22"/>
              </w:rPr>
              <w:t>3284</w:t>
            </w:r>
          </w:p>
        </w:tc>
        <w:tc>
          <w:tcPr>
            <w:tcW w:w="491" w:type="pct"/>
            <w:vMerge w:val="continue"/>
            <w:shd w:val="clear" w:color="auto" w:fill="FFFFFF"/>
            <w:vAlign w:val="center"/>
          </w:tcPr>
          <w:p w14:paraId="039415CA">
            <w:pPr>
              <w:widowControl/>
              <w:jc w:val="center"/>
              <w:rPr>
                <w:rFonts w:ascii="宋体" w:hAnsi="宋体"/>
                <w:color w:val="auto"/>
              </w:rPr>
            </w:pPr>
          </w:p>
        </w:tc>
        <w:tc>
          <w:tcPr>
            <w:tcW w:w="489" w:type="pct"/>
            <w:vMerge w:val="continue"/>
            <w:shd w:val="clear" w:color="auto" w:fill="FFFFFF"/>
            <w:vAlign w:val="center"/>
          </w:tcPr>
          <w:p w14:paraId="2E40B197">
            <w:pPr>
              <w:widowControl/>
              <w:jc w:val="center"/>
              <w:rPr>
                <w:rFonts w:ascii="宋体" w:hAnsi="宋体"/>
                <w:color w:val="auto"/>
              </w:rPr>
            </w:pPr>
          </w:p>
        </w:tc>
      </w:tr>
      <w:bookmarkEnd w:id="147"/>
      <w:tr w14:paraId="159B3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7C2EA292">
            <w:pPr>
              <w:pStyle w:val="76"/>
              <w:rPr>
                <w:rFonts w:hAnsi="宋体"/>
                <w:color w:val="auto"/>
              </w:rPr>
            </w:pPr>
            <w:bookmarkStart w:id="148" w:name="_Hlk225327944"/>
          </w:p>
        </w:tc>
        <w:tc>
          <w:tcPr>
            <w:tcW w:w="591" w:type="pct"/>
            <w:shd w:val="clear" w:color="auto" w:fill="FFFFFF"/>
            <w:noWrap/>
            <w:vAlign w:val="center"/>
          </w:tcPr>
          <w:p w14:paraId="1C9105FC">
            <w:pPr>
              <w:jc w:val="center"/>
              <w:rPr>
                <w:rFonts w:ascii="宋体" w:hAnsi="宋体"/>
                <w:color w:val="auto"/>
              </w:rPr>
            </w:pPr>
            <w:r>
              <w:rPr>
                <w:rFonts w:hint="eastAsia" w:ascii="宋体" w:hAnsi="宋体"/>
                <w:color w:val="auto"/>
              </w:rPr>
              <w:t>FJF18-X24</w:t>
            </w:r>
          </w:p>
        </w:tc>
        <w:tc>
          <w:tcPr>
            <w:tcW w:w="483" w:type="pct"/>
            <w:shd w:val="clear" w:color="auto" w:fill="FFFFFF"/>
            <w:noWrap/>
            <w:vAlign w:val="center"/>
          </w:tcPr>
          <w:p w14:paraId="53E12DBD">
            <w:pPr>
              <w:widowControl/>
              <w:jc w:val="center"/>
              <w:rPr>
                <w:rFonts w:ascii="宋体" w:hAnsi="宋体"/>
                <w:color w:val="auto"/>
              </w:rPr>
            </w:pPr>
            <w:r>
              <w:rPr>
                <w:rFonts w:hint="eastAsia" w:ascii="宋体" w:hAnsi="宋体"/>
                <w:color w:val="auto"/>
              </w:rPr>
              <w:t>水井</w:t>
            </w:r>
          </w:p>
        </w:tc>
        <w:tc>
          <w:tcPr>
            <w:tcW w:w="491" w:type="pct"/>
            <w:shd w:val="clear" w:color="auto" w:fill="FFFFFF"/>
            <w:vAlign w:val="center"/>
          </w:tcPr>
          <w:p w14:paraId="2870D357">
            <w:pPr>
              <w:widowControl/>
              <w:jc w:val="center"/>
              <w:rPr>
                <w:rFonts w:ascii="宋体" w:hAnsi="宋体"/>
                <w:color w:val="auto"/>
              </w:rPr>
            </w:pPr>
            <w:r>
              <w:rPr>
                <w:rFonts w:hint="eastAsia" w:ascii="宋体" w:hAnsi="宋体"/>
                <w:color w:val="auto"/>
              </w:rPr>
              <w:t>定向井</w:t>
            </w:r>
          </w:p>
        </w:tc>
        <w:tc>
          <w:tcPr>
            <w:tcW w:w="493" w:type="pct"/>
            <w:shd w:val="clear" w:color="auto" w:fill="FFFFFF"/>
            <w:vAlign w:val="center"/>
          </w:tcPr>
          <w:p w14:paraId="0ADBD2CB">
            <w:pPr>
              <w:widowControl/>
              <w:jc w:val="center"/>
              <w:rPr>
                <w:rFonts w:ascii="宋体" w:hAnsi="宋体"/>
                <w:color w:val="auto"/>
              </w:rPr>
            </w:pPr>
            <w:r>
              <w:rPr>
                <w:rFonts w:hint="eastAsia" w:ascii="宋体" w:hAnsi="宋体"/>
                <w:color w:val="auto"/>
              </w:rPr>
              <w:t>3650</w:t>
            </w:r>
          </w:p>
        </w:tc>
        <w:tc>
          <w:tcPr>
            <w:tcW w:w="491" w:type="pct"/>
            <w:shd w:val="clear" w:color="auto" w:fill="FFFFFF"/>
            <w:vAlign w:val="center"/>
          </w:tcPr>
          <w:p w14:paraId="3D37D7FD">
            <w:pPr>
              <w:widowControl/>
              <w:jc w:val="center"/>
              <w:rPr>
                <w:rFonts w:ascii="宋体" w:hAnsi="宋体"/>
                <w:color w:val="auto"/>
              </w:rPr>
            </w:pPr>
            <w:r>
              <w:rPr>
                <w:rFonts w:hint="eastAsia" w:ascii="宋体" w:hAnsi="宋体"/>
                <w:color w:val="auto"/>
              </w:rPr>
              <w:t>水井</w:t>
            </w:r>
          </w:p>
        </w:tc>
        <w:tc>
          <w:tcPr>
            <w:tcW w:w="491" w:type="pct"/>
            <w:shd w:val="clear" w:color="auto" w:fill="FFFFFF"/>
            <w:vAlign w:val="center"/>
          </w:tcPr>
          <w:p w14:paraId="63400E6F">
            <w:pPr>
              <w:widowControl/>
              <w:jc w:val="center"/>
              <w:rPr>
                <w:rFonts w:ascii="宋体" w:hAnsi="宋体"/>
                <w:color w:val="auto"/>
              </w:rPr>
            </w:pPr>
            <w:r>
              <w:rPr>
                <w:rFonts w:hint="eastAsia" w:ascii="宋体" w:hAnsi="宋体"/>
                <w:color w:val="auto"/>
              </w:rPr>
              <w:t>定向井</w:t>
            </w:r>
          </w:p>
        </w:tc>
        <w:tc>
          <w:tcPr>
            <w:tcW w:w="491" w:type="pct"/>
            <w:shd w:val="clear" w:color="auto" w:fill="FFFFFF"/>
            <w:vAlign w:val="center"/>
          </w:tcPr>
          <w:p w14:paraId="645E62DD">
            <w:pPr>
              <w:widowControl/>
              <w:jc w:val="center"/>
              <w:rPr>
                <w:rFonts w:ascii="宋体" w:hAnsi="宋体"/>
                <w:color w:val="auto"/>
              </w:rPr>
            </w:pPr>
            <w:r>
              <w:rPr>
                <w:rFonts w:hint="eastAsia" w:ascii="宋体" w:hAnsi="宋体"/>
                <w:color w:val="auto"/>
                <w:szCs w:val="22"/>
              </w:rPr>
              <w:t>3258</w:t>
            </w:r>
          </w:p>
        </w:tc>
        <w:tc>
          <w:tcPr>
            <w:tcW w:w="491" w:type="pct"/>
            <w:vMerge w:val="continue"/>
            <w:shd w:val="clear" w:color="auto" w:fill="FFFFFF"/>
            <w:vAlign w:val="center"/>
          </w:tcPr>
          <w:p w14:paraId="456B71B7">
            <w:pPr>
              <w:widowControl/>
              <w:jc w:val="center"/>
              <w:rPr>
                <w:rFonts w:ascii="宋体" w:hAnsi="宋体"/>
                <w:color w:val="auto"/>
              </w:rPr>
            </w:pPr>
          </w:p>
        </w:tc>
        <w:tc>
          <w:tcPr>
            <w:tcW w:w="489" w:type="pct"/>
            <w:vMerge w:val="continue"/>
            <w:shd w:val="clear" w:color="auto" w:fill="FFFFFF"/>
            <w:vAlign w:val="center"/>
          </w:tcPr>
          <w:p w14:paraId="2197E63E">
            <w:pPr>
              <w:widowControl/>
              <w:jc w:val="center"/>
              <w:rPr>
                <w:rFonts w:ascii="宋体" w:hAnsi="宋体"/>
                <w:color w:val="auto"/>
              </w:rPr>
            </w:pPr>
          </w:p>
        </w:tc>
      </w:tr>
      <w:bookmarkEnd w:id="148"/>
      <w:tr w14:paraId="5BC70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2BBA428C">
            <w:pPr>
              <w:pStyle w:val="76"/>
              <w:rPr>
                <w:rFonts w:hAnsi="宋体"/>
                <w:color w:val="auto"/>
              </w:rPr>
            </w:pPr>
          </w:p>
        </w:tc>
        <w:tc>
          <w:tcPr>
            <w:tcW w:w="591" w:type="pct"/>
            <w:shd w:val="clear" w:color="auto" w:fill="FFFFFF"/>
            <w:noWrap/>
            <w:vAlign w:val="center"/>
          </w:tcPr>
          <w:p w14:paraId="505FD206">
            <w:pPr>
              <w:jc w:val="center"/>
              <w:rPr>
                <w:rFonts w:ascii="宋体" w:hAnsi="宋体"/>
                <w:color w:val="auto"/>
              </w:rPr>
            </w:pPr>
            <w:r>
              <w:rPr>
                <w:rFonts w:hint="eastAsia" w:ascii="宋体" w:hAnsi="宋体"/>
                <w:color w:val="auto"/>
              </w:rPr>
              <w:t>FJF18-X23</w:t>
            </w:r>
          </w:p>
        </w:tc>
        <w:tc>
          <w:tcPr>
            <w:tcW w:w="483" w:type="pct"/>
            <w:shd w:val="clear" w:color="auto" w:fill="FFFFFF"/>
            <w:noWrap/>
            <w:vAlign w:val="center"/>
          </w:tcPr>
          <w:p w14:paraId="74EDA0EC">
            <w:pPr>
              <w:widowControl/>
              <w:jc w:val="center"/>
              <w:rPr>
                <w:rFonts w:ascii="宋体" w:hAnsi="宋体"/>
                <w:color w:val="auto"/>
              </w:rPr>
            </w:pPr>
            <w:r>
              <w:rPr>
                <w:rFonts w:hint="eastAsia" w:ascii="宋体" w:hAnsi="宋体"/>
                <w:color w:val="auto"/>
              </w:rPr>
              <w:t>油井</w:t>
            </w:r>
          </w:p>
        </w:tc>
        <w:tc>
          <w:tcPr>
            <w:tcW w:w="491" w:type="pct"/>
            <w:shd w:val="clear" w:color="auto" w:fill="FFFFFF"/>
            <w:vAlign w:val="center"/>
          </w:tcPr>
          <w:p w14:paraId="160A95F0">
            <w:pPr>
              <w:widowControl/>
              <w:jc w:val="center"/>
              <w:rPr>
                <w:rFonts w:ascii="宋体" w:hAnsi="宋体"/>
                <w:color w:val="auto"/>
              </w:rPr>
            </w:pPr>
            <w:bookmarkStart w:id="149" w:name="OLE_LINK106"/>
            <w:bookmarkStart w:id="150" w:name="OLE_LINK107"/>
            <w:r>
              <w:rPr>
                <w:rFonts w:hint="eastAsia" w:ascii="宋体" w:hAnsi="宋体"/>
                <w:color w:val="auto"/>
              </w:rPr>
              <w:t>定向井</w:t>
            </w:r>
            <w:bookmarkEnd w:id="149"/>
            <w:bookmarkEnd w:id="150"/>
          </w:p>
        </w:tc>
        <w:tc>
          <w:tcPr>
            <w:tcW w:w="493" w:type="pct"/>
            <w:shd w:val="clear" w:color="auto" w:fill="FFFFFF"/>
            <w:vAlign w:val="center"/>
          </w:tcPr>
          <w:p w14:paraId="15AEAA9A">
            <w:pPr>
              <w:widowControl/>
              <w:jc w:val="center"/>
              <w:rPr>
                <w:rFonts w:ascii="宋体" w:hAnsi="宋体"/>
                <w:color w:val="auto"/>
              </w:rPr>
            </w:pPr>
            <w:r>
              <w:rPr>
                <w:rFonts w:hint="eastAsia" w:ascii="宋体" w:hAnsi="宋体"/>
                <w:color w:val="auto"/>
              </w:rPr>
              <w:t>3650</w:t>
            </w:r>
          </w:p>
        </w:tc>
        <w:tc>
          <w:tcPr>
            <w:tcW w:w="491" w:type="pct"/>
            <w:shd w:val="clear" w:color="auto" w:fill="FFFFFF"/>
            <w:vAlign w:val="center"/>
          </w:tcPr>
          <w:p w14:paraId="2E34B826">
            <w:pPr>
              <w:widowControl/>
              <w:jc w:val="center"/>
              <w:rPr>
                <w:rFonts w:ascii="宋体" w:hAnsi="宋体"/>
                <w:color w:val="auto"/>
              </w:rPr>
            </w:pPr>
            <w:r>
              <w:rPr>
                <w:rFonts w:hint="eastAsia" w:ascii="宋体" w:hAnsi="宋体"/>
                <w:color w:val="auto"/>
              </w:rPr>
              <w:t>油井</w:t>
            </w:r>
          </w:p>
        </w:tc>
        <w:tc>
          <w:tcPr>
            <w:tcW w:w="491" w:type="pct"/>
            <w:shd w:val="clear" w:color="auto" w:fill="FFFFFF"/>
            <w:vAlign w:val="center"/>
          </w:tcPr>
          <w:p w14:paraId="7ED7DFF8">
            <w:pPr>
              <w:widowControl/>
              <w:jc w:val="center"/>
              <w:rPr>
                <w:rFonts w:ascii="宋体" w:hAnsi="宋体"/>
                <w:color w:val="auto"/>
              </w:rPr>
            </w:pPr>
            <w:r>
              <w:rPr>
                <w:rFonts w:hint="eastAsia" w:ascii="宋体" w:hAnsi="宋体"/>
                <w:color w:val="auto"/>
              </w:rPr>
              <w:t>定向井</w:t>
            </w:r>
          </w:p>
        </w:tc>
        <w:tc>
          <w:tcPr>
            <w:tcW w:w="491" w:type="pct"/>
            <w:shd w:val="clear" w:color="auto" w:fill="FFFFFF"/>
            <w:vAlign w:val="center"/>
          </w:tcPr>
          <w:p w14:paraId="322DA40D">
            <w:pPr>
              <w:widowControl/>
              <w:jc w:val="center"/>
              <w:rPr>
                <w:rFonts w:ascii="宋体" w:hAnsi="宋体"/>
                <w:color w:val="auto"/>
              </w:rPr>
            </w:pPr>
            <w:r>
              <w:rPr>
                <w:rFonts w:hint="eastAsia" w:ascii="宋体" w:hAnsi="宋体"/>
                <w:color w:val="auto"/>
                <w:szCs w:val="22"/>
              </w:rPr>
              <w:t>3383</w:t>
            </w:r>
          </w:p>
        </w:tc>
        <w:tc>
          <w:tcPr>
            <w:tcW w:w="491" w:type="pct"/>
            <w:vMerge w:val="continue"/>
            <w:shd w:val="clear" w:color="auto" w:fill="FFFFFF"/>
            <w:vAlign w:val="center"/>
          </w:tcPr>
          <w:p w14:paraId="460AEA92">
            <w:pPr>
              <w:widowControl/>
              <w:jc w:val="center"/>
              <w:rPr>
                <w:rFonts w:ascii="宋体" w:hAnsi="宋体"/>
                <w:color w:val="auto"/>
              </w:rPr>
            </w:pPr>
          </w:p>
        </w:tc>
        <w:tc>
          <w:tcPr>
            <w:tcW w:w="489" w:type="pct"/>
            <w:vMerge w:val="continue"/>
            <w:shd w:val="clear" w:color="auto" w:fill="FFFFFF"/>
            <w:vAlign w:val="center"/>
          </w:tcPr>
          <w:p w14:paraId="3E638EB9">
            <w:pPr>
              <w:widowControl/>
              <w:jc w:val="center"/>
              <w:rPr>
                <w:rFonts w:ascii="宋体" w:hAnsi="宋体"/>
                <w:color w:val="auto"/>
              </w:rPr>
            </w:pPr>
          </w:p>
        </w:tc>
      </w:tr>
      <w:tr w14:paraId="5AC1B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7A69A4E4">
            <w:pPr>
              <w:pStyle w:val="76"/>
              <w:rPr>
                <w:rFonts w:hAnsi="宋体"/>
                <w:color w:val="auto"/>
              </w:rPr>
            </w:pPr>
          </w:p>
        </w:tc>
        <w:tc>
          <w:tcPr>
            <w:tcW w:w="591" w:type="pct"/>
            <w:shd w:val="clear" w:color="auto" w:fill="FFFFFF"/>
            <w:noWrap/>
            <w:vAlign w:val="center"/>
          </w:tcPr>
          <w:p w14:paraId="2FCA3BB0">
            <w:pPr>
              <w:jc w:val="center"/>
              <w:rPr>
                <w:rFonts w:ascii="宋体" w:hAnsi="宋体"/>
                <w:color w:val="auto"/>
              </w:rPr>
            </w:pPr>
            <w:r>
              <w:rPr>
                <w:rFonts w:hint="eastAsia" w:ascii="宋体" w:hAnsi="宋体"/>
                <w:color w:val="auto"/>
              </w:rPr>
              <w:t>FJF11-X123</w:t>
            </w:r>
          </w:p>
        </w:tc>
        <w:tc>
          <w:tcPr>
            <w:tcW w:w="483" w:type="pct"/>
            <w:shd w:val="clear" w:color="auto" w:fill="FFFFFF"/>
            <w:noWrap/>
            <w:vAlign w:val="center"/>
          </w:tcPr>
          <w:p w14:paraId="56868E8B">
            <w:pPr>
              <w:jc w:val="center"/>
              <w:rPr>
                <w:rFonts w:ascii="宋体" w:hAnsi="宋体"/>
                <w:color w:val="auto"/>
              </w:rPr>
            </w:pPr>
            <w:r>
              <w:rPr>
                <w:rFonts w:hint="eastAsia" w:ascii="宋体" w:hAnsi="宋体"/>
                <w:color w:val="auto"/>
              </w:rPr>
              <w:t>油井</w:t>
            </w:r>
          </w:p>
        </w:tc>
        <w:tc>
          <w:tcPr>
            <w:tcW w:w="491" w:type="pct"/>
            <w:vAlign w:val="center"/>
          </w:tcPr>
          <w:p w14:paraId="5BB35C33">
            <w:pPr>
              <w:widowControl/>
              <w:jc w:val="center"/>
              <w:rPr>
                <w:rFonts w:ascii="宋体" w:hAnsi="宋体"/>
                <w:color w:val="auto"/>
              </w:rPr>
            </w:pPr>
            <w:r>
              <w:rPr>
                <w:rFonts w:hint="eastAsia" w:ascii="宋体" w:hAnsi="宋体"/>
                <w:color w:val="auto"/>
              </w:rPr>
              <w:t>定向井</w:t>
            </w:r>
          </w:p>
        </w:tc>
        <w:tc>
          <w:tcPr>
            <w:tcW w:w="493" w:type="pct"/>
            <w:vAlign w:val="center"/>
          </w:tcPr>
          <w:p w14:paraId="6125F488">
            <w:pPr>
              <w:widowControl/>
              <w:jc w:val="center"/>
              <w:rPr>
                <w:rFonts w:ascii="宋体" w:hAnsi="宋体"/>
                <w:color w:val="auto"/>
              </w:rPr>
            </w:pPr>
            <w:r>
              <w:rPr>
                <w:rFonts w:hint="eastAsia" w:ascii="宋体" w:hAnsi="宋体"/>
                <w:color w:val="auto"/>
              </w:rPr>
              <w:t>3</w:t>
            </w:r>
            <w:r>
              <w:rPr>
                <w:rFonts w:ascii="宋体" w:hAnsi="宋体"/>
                <w:color w:val="auto"/>
              </w:rPr>
              <w:t>000</w:t>
            </w:r>
          </w:p>
        </w:tc>
        <w:tc>
          <w:tcPr>
            <w:tcW w:w="491" w:type="pct"/>
            <w:vAlign w:val="center"/>
          </w:tcPr>
          <w:p w14:paraId="44653C94">
            <w:pPr>
              <w:widowControl/>
              <w:jc w:val="center"/>
              <w:rPr>
                <w:rFonts w:ascii="宋体" w:hAnsi="宋体"/>
                <w:color w:val="auto"/>
              </w:rPr>
            </w:pPr>
            <w:r>
              <w:rPr>
                <w:rFonts w:hint="eastAsia" w:ascii="宋体" w:hAnsi="宋体"/>
                <w:color w:val="auto"/>
              </w:rPr>
              <w:t>油井</w:t>
            </w:r>
          </w:p>
        </w:tc>
        <w:tc>
          <w:tcPr>
            <w:tcW w:w="491" w:type="pct"/>
            <w:vAlign w:val="center"/>
          </w:tcPr>
          <w:p w14:paraId="0ABC9C43">
            <w:pPr>
              <w:widowControl/>
              <w:jc w:val="center"/>
              <w:rPr>
                <w:rFonts w:ascii="宋体" w:hAnsi="宋体"/>
                <w:color w:val="auto"/>
              </w:rPr>
            </w:pPr>
            <w:r>
              <w:rPr>
                <w:rFonts w:hint="eastAsia" w:ascii="宋体" w:hAnsi="宋体"/>
                <w:color w:val="auto"/>
              </w:rPr>
              <w:t>定向井</w:t>
            </w:r>
          </w:p>
        </w:tc>
        <w:tc>
          <w:tcPr>
            <w:tcW w:w="491" w:type="pct"/>
            <w:vAlign w:val="center"/>
          </w:tcPr>
          <w:p w14:paraId="148C5F73">
            <w:pPr>
              <w:widowControl/>
              <w:jc w:val="center"/>
              <w:rPr>
                <w:rFonts w:ascii="宋体" w:hAnsi="宋体"/>
                <w:color w:val="auto"/>
              </w:rPr>
            </w:pPr>
            <w:r>
              <w:rPr>
                <w:rFonts w:hint="eastAsia" w:ascii="宋体" w:hAnsi="宋体"/>
                <w:color w:val="auto"/>
                <w:szCs w:val="22"/>
              </w:rPr>
              <w:t>3095</w:t>
            </w:r>
          </w:p>
        </w:tc>
        <w:tc>
          <w:tcPr>
            <w:tcW w:w="491" w:type="pct"/>
            <w:vMerge w:val="continue"/>
            <w:vAlign w:val="center"/>
          </w:tcPr>
          <w:p w14:paraId="29703356">
            <w:pPr>
              <w:widowControl/>
              <w:jc w:val="center"/>
              <w:rPr>
                <w:rFonts w:ascii="宋体" w:hAnsi="宋体"/>
                <w:color w:val="auto"/>
              </w:rPr>
            </w:pPr>
          </w:p>
        </w:tc>
        <w:tc>
          <w:tcPr>
            <w:tcW w:w="489" w:type="pct"/>
            <w:vMerge w:val="continue"/>
            <w:vAlign w:val="center"/>
          </w:tcPr>
          <w:p w14:paraId="55C11F25">
            <w:pPr>
              <w:widowControl/>
              <w:jc w:val="center"/>
              <w:rPr>
                <w:rFonts w:ascii="宋体" w:hAnsi="宋体"/>
                <w:color w:val="auto"/>
              </w:rPr>
            </w:pPr>
          </w:p>
        </w:tc>
      </w:tr>
      <w:tr w14:paraId="12A7A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1474093E">
            <w:pPr>
              <w:pStyle w:val="76"/>
              <w:rPr>
                <w:rFonts w:hAnsi="宋体"/>
                <w:color w:val="auto"/>
              </w:rPr>
            </w:pPr>
          </w:p>
        </w:tc>
        <w:tc>
          <w:tcPr>
            <w:tcW w:w="591" w:type="pct"/>
            <w:shd w:val="clear" w:color="auto" w:fill="FFFFFF"/>
            <w:noWrap/>
            <w:vAlign w:val="center"/>
          </w:tcPr>
          <w:p w14:paraId="4991A389">
            <w:pPr>
              <w:jc w:val="center"/>
              <w:rPr>
                <w:rFonts w:ascii="宋体" w:hAnsi="宋体"/>
                <w:color w:val="auto"/>
              </w:rPr>
            </w:pPr>
            <w:r>
              <w:rPr>
                <w:rFonts w:hint="eastAsia" w:ascii="宋体" w:hAnsi="宋体"/>
                <w:color w:val="auto"/>
              </w:rPr>
              <w:t>FJF11-X122</w:t>
            </w:r>
          </w:p>
        </w:tc>
        <w:tc>
          <w:tcPr>
            <w:tcW w:w="483" w:type="pct"/>
            <w:shd w:val="clear" w:color="auto" w:fill="FFFFFF"/>
            <w:noWrap/>
            <w:vAlign w:val="center"/>
          </w:tcPr>
          <w:p w14:paraId="3E57D04A">
            <w:pPr>
              <w:jc w:val="center"/>
              <w:rPr>
                <w:rFonts w:ascii="宋体" w:hAnsi="宋体"/>
                <w:color w:val="auto"/>
              </w:rPr>
            </w:pPr>
            <w:r>
              <w:rPr>
                <w:rFonts w:hint="eastAsia" w:ascii="宋体" w:hAnsi="宋体"/>
                <w:color w:val="auto"/>
              </w:rPr>
              <w:t>油井</w:t>
            </w:r>
          </w:p>
        </w:tc>
        <w:tc>
          <w:tcPr>
            <w:tcW w:w="491" w:type="pct"/>
            <w:vAlign w:val="center"/>
          </w:tcPr>
          <w:p w14:paraId="5A5FBE8E">
            <w:pPr>
              <w:widowControl/>
              <w:jc w:val="center"/>
              <w:rPr>
                <w:rFonts w:ascii="宋体" w:hAnsi="宋体"/>
                <w:b/>
                <w:color w:val="auto"/>
              </w:rPr>
            </w:pPr>
            <w:r>
              <w:rPr>
                <w:rFonts w:hint="eastAsia" w:ascii="宋体" w:hAnsi="宋体"/>
                <w:color w:val="auto"/>
              </w:rPr>
              <w:t>定向井</w:t>
            </w:r>
          </w:p>
        </w:tc>
        <w:tc>
          <w:tcPr>
            <w:tcW w:w="493" w:type="pct"/>
            <w:vAlign w:val="center"/>
          </w:tcPr>
          <w:p w14:paraId="581B9F98">
            <w:pPr>
              <w:widowControl/>
              <w:jc w:val="center"/>
              <w:rPr>
                <w:rFonts w:ascii="宋体" w:hAnsi="宋体"/>
                <w:color w:val="auto"/>
              </w:rPr>
            </w:pPr>
            <w:r>
              <w:rPr>
                <w:rFonts w:hint="eastAsia" w:ascii="宋体" w:hAnsi="宋体"/>
                <w:color w:val="auto"/>
              </w:rPr>
              <w:t>3</w:t>
            </w:r>
            <w:r>
              <w:rPr>
                <w:rFonts w:ascii="宋体" w:hAnsi="宋体"/>
                <w:color w:val="auto"/>
              </w:rPr>
              <w:t>000</w:t>
            </w:r>
          </w:p>
        </w:tc>
        <w:tc>
          <w:tcPr>
            <w:tcW w:w="491" w:type="pct"/>
            <w:vAlign w:val="center"/>
          </w:tcPr>
          <w:p w14:paraId="380C2BBB">
            <w:pPr>
              <w:widowControl/>
              <w:jc w:val="center"/>
              <w:rPr>
                <w:rFonts w:ascii="宋体" w:hAnsi="宋体"/>
                <w:b/>
                <w:color w:val="auto"/>
              </w:rPr>
            </w:pPr>
            <w:r>
              <w:rPr>
                <w:rFonts w:hint="eastAsia" w:ascii="宋体" w:hAnsi="宋体"/>
                <w:color w:val="auto"/>
              </w:rPr>
              <w:t>油井</w:t>
            </w:r>
          </w:p>
        </w:tc>
        <w:tc>
          <w:tcPr>
            <w:tcW w:w="491" w:type="pct"/>
            <w:vAlign w:val="center"/>
          </w:tcPr>
          <w:p w14:paraId="3500317D">
            <w:pPr>
              <w:widowControl/>
              <w:jc w:val="center"/>
              <w:rPr>
                <w:rFonts w:ascii="宋体" w:hAnsi="宋体"/>
                <w:b/>
                <w:color w:val="auto"/>
              </w:rPr>
            </w:pPr>
            <w:r>
              <w:rPr>
                <w:rFonts w:hint="eastAsia" w:ascii="宋体" w:hAnsi="宋体"/>
                <w:color w:val="auto"/>
              </w:rPr>
              <w:t>定向井</w:t>
            </w:r>
          </w:p>
        </w:tc>
        <w:tc>
          <w:tcPr>
            <w:tcW w:w="491" w:type="pct"/>
            <w:vAlign w:val="center"/>
          </w:tcPr>
          <w:p w14:paraId="79FD6DE8">
            <w:pPr>
              <w:widowControl/>
              <w:jc w:val="center"/>
              <w:rPr>
                <w:rFonts w:ascii="宋体" w:hAnsi="宋体"/>
                <w:b/>
                <w:color w:val="auto"/>
              </w:rPr>
            </w:pPr>
            <w:r>
              <w:rPr>
                <w:rFonts w:hint="eastAsia" w:ascii="宋体" w:hAnsi="宋体"/>
                <w:color w:val="auto"/>
                <w:szCs w:val="22"/>
              </w:rPr>
              <w:t>3150</w:t>
            </w:r>
          </w:p>
        </w:tc>
        <w:tc>
          <w:tcPr>
            <w:tcW w:w="491" w:type="pct"/>
            <w:vMerge w:val="continue"/>
            <w:vAlign w:val="center"/>
          </w:tcPr>
          <w:p w14:paraId="6B923443">
            <w:pPr>
              <w:widowControl/>
              <w:jc w:val="center"/>
              <w:rPr>
                <w:rFonts w:ascii="宋体" w:hAnsi="宋体"/>
                <w:b/>
                <w:color w:val="auto"/>
              </w:rPr>
            </w:pPr>
          </w:p>
        </w:tc>
        <w:tc>
          <w:tcPr>
            <w:tcW w:w="489" w:type="pct"/>
            <w:vMerge w:val="continue"/>
            <w:vAlign w:val="center"/>
          </w:tcPr>
          <w:p w14:paraId="5D32AE31">
            <w:pPr>
              <w:widowControl/>
              <w:jc w:val="center"/>
              <w:rPr>
                <w:rFonts w:ascii="宋体" w:hAnsi="宋体"/>
                <w:b/>
                <w:color w:val="auto"/>
              </w:rPr>
            </w:pPr>
          </w:p>
        </w:tc>
      </w:tr>
      <w:tr w14:paraId="1E8E1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6009CE69">
            <w:pPr>
              <w:pStyle w:val="76"/>
              <w:rPr>
                <w:rFonts w:hAnsi="宋体"/>
                <w:color w:val="auto"/>
              </w:rPr>
            </w:pPr>
          </w:p>
        </w:tc>
        <w:tc>
          <w:tcPr>
            <w:tcW w:w="591" w:type="pct"/>
            <w:shd w:val="clear" w:color="auto" w:fill="FFFFFF"/>
            <w:noWrap/>
            <w:vAlign w:val="center"/>
          </w:tcPr>
          <w:p w14:paraId="3409B02C">
            <w:pPr>
              <w:jc w:val="center"/>
              <w:rPr>
                <w:rFonts w:ascii="宋体" w:hAnsi="宋体"/>
                <w:color w:val="auto"/>
              </w:rPr>
            </w:pPr>
            <w:r>
              <w:rPr>
                <w:rFonts w:hint="eastAsia" w:ascii="宋体" w:hAnsi="宋体"/>
                <w:color w:val="auto"/>
              </w:rPr>
              <w:t>FJF11-X120</w:t>
            </w:r>
          </w:p>
        </w:tc>
        <w:tc>
          <w:tcPr>
            <w:tcW w:w="483" w:type="pct"/>
            <w:shd w:val="clear" w:color="auto" w:fill="FFFFFF"/>
            <w:noWrap/>
            <w:vAlign w:val="center"/>
          </w:tcPr>
          <w:p w14:paraId="6B0A5E16">
            <w:pPr>
              <w:jc w:val="center"/>
              <w:rPr>
                <w:rFonts w:ascii="宋体" w:hAnsi="宋体"/>
                <w:color w:val="auto"/>
              </w:rPr>
            </w:pPr>
            <w:r>
              <w:rPr>
                <w:rFonts w:hint="eastAsia" w:ascii="宋体" w:hAnsi="宋体"/>
                <w:color w:val="auto"/>
              </w:rPr>
              <w:t>水井</w:t>
            </w:r>
          </w:p>
        </w:tc>
        <w:tc>
          <w:tcPr>
            <w:tcW w:w="491" w:type="pct"/>
            <w:vAlign w:val="center"/>
          </w:tcPr>
          <w:p w14:paraId="5EA6BCBE">
            <w:pPr>
              <w:widowControl/>
              <w:jc w:val="center"/>
              <w:rPr>
                <w:rFonts w:ascii="宋体" w:hAnsi="宋体"/>
                <w:color w:val="auto"/>
              </w:rPr>
            </w:pPr>
            <w:r>
              <w:rPr>
                <w:rFonts w:hint="eastAsia" w:ascii="宋体" w:hAnsi="宋体"/>
                <w:color w:val="auto"/>
              </w:rPr>
              <w:t>定向井</w:t>
            </w:r>
          </w:p>
        </w:tc>
        <w:tc>
          <w:tcPr>
            <w:tcW w:w="493" w:type="pct"/>
            <w:vAlign w:val="center"/>
          </w:tcPr>
          <w:p w14:paraId="638B1136">
            <w:pPr>
              <w:widowControl/>
              <w:jc w:val="center"/>
              <w:rPr>
                <w:rFonts w:ascii="宋体" w:hAnsi="宋体"/>
                <w:color w:val="auto"/>
              </w:rPr>
            </w:pPr>
            <w:r>
              <w:rPr>
                <w:rFonts w:hint="eastAsia" w:ascii="宋体" w:hAnsi="宋体"/>
                <w:color w:val="auto"/>
              </w:rPr>
              <w:t>3</w:t>
            </w:r>
            <w:r>
              <w:rPr>
                <w:rFonts w:ascii="宋体" w:hAnsi="宋体"/>
                <w:color w:val="auto"/>
              </w:rPr>
              <w:t>050</w:t>
            </w:r>
          </w:p>
        </w:tc>
        <w:tc>
          <w:tcPr>
            <w:tcW w:w="491" w:type="pct"/>
            <w:vAlign w:val="center"/>
          </w:tcPr>
          <w:p w14:paraId="0B40C07B">
            <w:pPr>
              <w:widowControl/>
              <w:jc w:val="center"/>
              <w:rPr>
                <w:rFonts w:ascii="宋体" w:hAnsi="宋体"/>
                <w:color w:val="auto"/>
              </w:rPr>
            </w:pPr>
            <w:r>
              <w:rPr>
                <w:rFonts w:hint="eastAsia" w:ascii="宋体" w:hAnsi="宋体"/>
                <w:color w:val="auto"/>
              </w:rPr>
              <w:t>水井</w:t>
            </w:r>
          </w:p>
        </w:tc>
        <w:tc>
          <w:tcPr>
            <w:tcW w:w="491" w:type="pct"/>
            <w:vAlign w:val="center"/>
          </w:tcPr>
          <w:p w14:paraId="4AA50F19">
            <w:pPr>
              <w:widowControl/>
              <w:jc w:val="center"/>
              <w:rPr>
                <w:rFonts w:ascii="宋体" w:hAnsi="宋体"/>
                <w:color w:val="auto"/>
              </w:rPr>
            </w:pPr>
            <w:r>
              <w:rPr>
                <w:rFonts w:hint="eastAsia" w:ascii="宋体" w:hAnsi="宋体"/>
                <w:color w:val="auto"/>
              </w:rPr>
              <w:t>定向井</w:t>
            </w:r>
          </w:p>
        </w:tc>
        <w:tc>
          <w:tcPr>
            <w:tcW w:w="491" w:type="pct"/>
            <w:vAlign w:val="center"/>
          </w:tcPr>
          <w:p w14:paraId="776B975A">
            <w:pPr>
              <w:widowControl/>
              <w:jc w:val="center"/>
              <w:rPr>
                <w:rFonts w:ascii="宋体" w:hAnsi="宋体"/>
                <w:color w:val="auto"/>
              </w:rPr>
            </w:pPr>
            <w:r>
              <w:rPr>
                <w:rFonts w:hint="eastAsia" w:ascii="宋体" w:hAnsi="宋体"/>
                <w:color w:val="auto"/>
                <w:szCs w:val="22"/>
              </w:rPr>
              <w:t>3129</w:t>
            </w:r>
          </w:p>
        </w:tc>
        <w:tc>
          <w:tcPr>
            <w:tcW w:w="491" w:type="pct"/>
            <w:vMerge w:val="continue"/>
            <w:vAlign w:val="center"/>
          </w:tcPr>
          <w:p w14:paraId="6549C8FD">
            <w:pPr>
              <w:widowControl/>
              <w:jc w:val="center"/>
              <w:rPr>
                <w:rFonts w:ascii="宋体" w:hAnsi="宋体"/>
                <w:color w:val="auto"/>
              </w:rPr>
            </w:pPr>
          </w:p>
        </w:tc>
        <w:tc>
          <w:tcPr>
            <w:tcW w:w="489" w:type="pct"/>
            <w:vMerge w:val="continue"/>
            <w:vAlign w:val="center"/>
          </w:tcPr>
          <w:p w14:paraId="56AE3AE6">
            <w:pPr>
              <w:widowControl/>
              <w:jc w:val="center"/>
              <w:rPr>
                <w:rFonts w:ascii="宋体" w:hAnsi="宋体"/>
                <w:color w:val="auto"/>
              </w:rPr>
            </w:pPr>
          </w:p>
        </w:tc>
      </w:tr>
      <w:tr w14:paraId="4413F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432F4B9C">
            <w:pPr>
              <w:pStyle w:val="76"/>
              <w:rPr>
                <w:rFonts w:hAnsi="宋体"/>
                <w:color w:val="auto"/>
              </w:rPr>
            </w:pPr>
          </w:p>
        </w:tc>
        <w:tc>
          <w:tcPr>
            <w:tcW w:w="591" w:type="pct"/>
            <w:shd w:val="clear" w:color="auto" w:fill="FFFFFF"/>
            <w:noWrap/>
            <w:vAlign w:val="center"/>
          </w:tcPr>
          <w:p w14:paraId="19221FDB">
            <w:pPr>
              <w:jc w:val="center"/>
              <w:rPr>
                <w:rFonts w:ascii="宋体" w:hAnsi="宋体"/>
                <w:color w:val="auto"/>
              </w:rPr>
            </w:pPr>
            <w:r>
              <w:rPr>
                <w:rFonts w:hint="eastAsia" w:ascii="宋体" w:hAnsi="宋体"/>
                <w:color w:val="auto"/>
              </w:rPr>
              <w:t>FJF11-X117</w:t>
            </w:r>
          </w:p>
        </w:tc>
        <w:tc>
          <w:tcPr>
            <w:tcW w:w="483" w:type="pct"/>
            <w:shd w:val="clear" w:color="auto" w:fill="FFFFFF"/>
            <w:noWrap/>
            <w:vAlign w:val="center"/>
          </w:tcPr>
          <w:p w14:paraId="7F84EBDE">
            <w:pPr>
              <w:jc w:val="center"/>
              <w:rPr>
                <w:rFonts w:ascii="宋体" w:hAnsi="宋体"/>
                <w:color w:val="auto"/>
              </w:rPr>
            </w:pPr>
            <w:r>
              <w:rPr>
                <w:rFonts w:hint="eastAsia" w:ascii="宋体" w:hAnsi="宋体"/>
                <w:color w:val="auto"/>
              </w:rPr>
              <w:t>水井</w:t>
            </w:r>
          </w:p>
        </w:tc>
        <w:tc>
          <w:tcPr>
            <w:tcW w:w="491" w:type="pct"/>
            <w:vAlign w:val="center"/>
          </w:tcPr>
          <w:p w14:paraId="30CA83A5">
            <w:pPr>
              <w:widowControl/>
              <w:jc w:val="center"/>
              <w:rPr>
                <w:rFonts w:ascii="宋体" w:hAnsi="宋体"/>
                <w:color w:val="auto"/>
              </w:rPr>
            </w:pPr>
            <w:r>
              <w:rPr>
                <w:rFonts w:hint="eastAsia" w:ascii="宋体" w:hAnsi="宋体"/>
                <w:color w:val="auto"/>
              </w:rPr>
              <w:t>定向井</w:t>
            </w:r>
          </w:p>
        </w:tc>
        <w:tc>
          <w:tcPr>
            <w:tcW w:w="493" w:type="pct"/>
            <w:vAlign w:val="center"/>
          </w:tcPr>
          <w:p w14:paraId="0D92C8B3">
            <w:pPr>
              <w:widowControl/>
              <w:jc w:val="center"/>
              <w:rPr>
                <w:rFonts w:ascii="宋体" w:hAnsi="宋体"/>
                <w:color w:val="auto"/>
              </w:rPr>
            </w:pPr>
            <w:r>
              <w:rPr>
                <w:rFonts w:hint="eastAsia" w:ascii="宋体" w:hAnsi="宋体"/>
                <w:color w:val="auto"/>
              </w:rPr>
              <w:t>2</w:t>
            </w:r>
            <w:r>
              <w:rPr>
                <w:rFonts w:ascii="宋体" w:hAnsi="宋体"/>
                <w:color w:val="auto"/>
              </w:rPr>
              <w:t>995</w:t>
            </w:r>
          </w:p>
        </w:tc>
        <w:tc>
          <w:tcPr>
            <w:tcW w:w="491" w:type="pct"/>
            <w:vAlign w:val="center"/>
          </w:tcPr>
          <w:p w14:paraId="70143A5C">
            <w:pPr>
              <w:widowControl/>
              <w:jc w:val="center"/>
              <w:rPr>
                <w:rFonts w:ascii="宋体" w:hAnsi="宋体"/>
                <w:color w:val="auto"/>
              </w:rPr>
            </w:pPr>
            <w:r>
              <w:rPr>
                <w:rFonts w:hint="eastAsia" w:ascii="宋体" w:hAnsi="宋体"/>
                <w:color w:val="auto"/>
              </w:rPr>
              <w:t>水井</w:t>
            </w:r>
          </w:p>
        </w:tc>
        <w:tc>
          <w:tcPr>
            <w:tcW w:w="491" w:type="pct"/>
            <w:vAlign w:val="center"/>
          </w:tcPr>
          <w:p w14:paraId="297D5125">
            <w:pPr>
              <w:widowControl/>
              <w:jc w:val="center"/>
              <w:rPr>
                <w:rFonts w:ascii="宋体" w:hAnsi="宋体"/>
                <w:color w:val="auto"/>
              </w:rPr>
            </w:pPr>
            <w:r>
              <w:rPr>
                <w:rFonts w:hint="eastAsia" w:ascii="宋体" w:hAnsi="宋体"/>
                <w:color w:val="auto"/>
              </w:rPr>
              <w:t>定向井</w:t>
            </w:r>
          </w:p>
        </w:tc>
        <w:tc>
          <w:tcPr>
            <w:tcW w:w="491" w:type="pct"/>
            <w:vAlign w:val="center"/>
          </w:tcPr>
          <w:p w14:paraId="6770BE64">
            <w:pPr>
              <w:widowControl/>
              <w:jc w:val="center"/>
              <w:rPr>
                <w:rFonts w:ascii="宋体" w:hAnsi="宋体"/>
                <w:color w:val="auto"/>
                <w:kern w:val="0"/>
                <w:szCs w:val="22"/>
              </w:rPr>
            </w:pPr>
            <w:r>
              <w:rPr>
                <w:rFonts w:hint="eastAsia" w:ascii="宋体" w:hAnsi="宋体"/>
                <w:color w:val="auto"/>
                <w:szCs w:val="22"/>
              </w:rPr>
              <w:t>3113</w:t>
            </w:r>
          </w:p>
        </w:tc>
        <w:tc>
          <w:tcPr>
            <w:tcW w:w="491" w:type="pct"/>
            <w:vMerge w:val="continue"/>
            <w:vAlign w:val="center"/>
          </w:tcPr>
          <w:p w14:paraId="62CDBF87">
            <w:pPr>
              <w:widowControl/>
              <w:jc w:val="center"/>
              <w:rPr>
                <w:rFonts w:ascii="宋体" w:hAnsi="宋体"/>
                <w:color w:val="auto"/>
              </w:rPr>
            </w:pPr>
          </w:p>
        </w:tc>
        <w:tc>
          <w:tcPr>
            <w:tcW w:w="489" w:type="pct"/>
            <w:vMerge w:val="continue"/>
            <w:vAlign w:val="center"/>
          </w:tcPr>
          <w:p w14:paraId="28A94374">
            <w:pPr>
              <w:widowControl/>
              <w:jc w:val="center"/>
              <w:rPr>
                <w:rFonts w:ascii="宋体" w:hAnsi="宋体"/>
                <w:color w:val="auto"/>
              </w:rPr>
            </w:pPr>
          </w:p>
        </w:tc>
      </w:tr>
      <w:tr w14:paraId="431E6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4D02E634">
            <w:pPr>
              <w:pStyle w:val="76"/>
              <w:rPr>
                <w:rFonts w:hAnsi="宋体"/>
                <w:color w:val="auto"/>
              </w:rPr>
            </w:pPr>
          </w:p>
        </w:tc>
        <w:tc>
          <w:tcPr>
            <w:tcW w:w="591" w:type="pct"/>
            <w:shd w:val="clear" w:color="auto" w:fill="FFFFFF"/>
            <w:noWrap/>
            <w:vAlign w:val="center"/>
          </w:tcPr>
          <w:p w14:paraId="5D7D3947">
            <w:pPr>
              <w:jc w:val="center"/>
              <w:rPr>
                <w:rFonts w:ascii="宋体" w:hAnsi="宋体"/>
                <w:color w:val="auto"/>
              </w:rPr>
            </w:pPr>
            <w:r>
              <w:rPr>
                <w:rFonts w:hint="eastAsia" w:ascii="宋体" w:hAnsi="宋体"/>
                <w:color w:val="auto"/>
              </w:rPr>
              <w:t>FJF11-X118</w:t>
            </w:r>
          </w:p>
        </w:tc>
        <w:tc>
          <w:tcPr>
            <w:tcW w:w="483" w:type="pct"/>
            <w:shd w:val="clear" w:color="auto" w:fill="FFFFFF"/>
            <w:noWrap/>
            <w:vAlign w:val="center"/>
          </w:tcPr>
          <w:p w14:paraId="5D40E6B4">
            <w:pPr>
              <w:jc w:val="center"/>
              <w:rPr>
                <w:rFonts w:ascii="宋体" w:hAnsi="宋体"/>
                <w:color w:val="auto"/>
              </w:rPr>
            </w:pPr>
            <w:r>
              <w:rPr>
                <w:rFonts w:hint="eastAsia" w:ascii="宋体" w:hAnsi="宋体"/>
                <w:color w:val="auto"/>
              </w:rPr>
              <w:t>油井</w:t>
            </w:r>
          </w:p>
        </w:tc>
        <w:tc>
          <w:tcPr>
            <w:tcW w:w="491" w:type="pct"/>
            <w:vAlign w:val="center"/>
          </w:tcPr>
          <w:p w14:paraId="44B512AA">
            <w:pPr>
              <w:widowControl/>
              <w:jc w:val="center"/>
              <w:rPr>
                <w:rFonts w:ascii="宋体" w:hAnsi="宋体"/>
                <w:color w:val="auto"/>
              </w:rPr>
            </w:pPr>
            <w:r>
              <w:rPr>
                <w:rFonts w:hint="eastAsia" w:ascii="宋体" w:hAnsi="宋体"/>
                <w:color w:val="auto"/>
              </w:rPr>
              <w:t>定向井</w:t>
            </w:r>
          </w:p>
        </w:tc>
        <w:tc>
          <w:tcPr>
            <w:tcW w:w="493" w:type="pct"/>
            <w:vAlign w:val="center"/>
          </w:tcPr>
          <w:p w14:paraId="6C5C7E29">
            <w:pPr>
              <w:widowControl/>
              <w:jc w:val="center"/>
              <w:rPr>
                <w:rFonts w:ascii="宋体" w:hAnsi="宋体"/>
                <w:color w:val="auto"/>
              </w:rPr>
            </w:pPr>
            <w:r>
              <w:rPr>
                <w:rFonts w:hint="eastAsia" w:ascii="宋体" w:hAnsi="宋体"/>
                <w:color w:val="auto"/>
              </w:rPr>
              <w:t>3</w:t>
            </w:r>
            <w:r>
              <w:rPr>
                <w:rFonts w:ascii="宋体" w:hAnsi="宋体"/>
                <w:color w:val="auto"/>
              </w:rPr>
              <w:t>000</w:t>
            </w:r>
          </w:p>
        </w:tc>
        <w:tc>
          <w:tcPr>
            <w:tcW w:w="491" w:type="pct"/>
            <w:vAlign w:val="center"/>
          </w:tcPr>
          <w:p w14:paraId="69A1D542">
            <w:pPr>
              <w:widowControl/>
              <w:jc w:val="center"/>
              <w:rPr>
                <w:rFonts w:ascii="宋体" w:hAnsi="宋体"/>
                <w:color w:val="auto"/>
              </w:rPr>
            </w:pPr>
            <w:r>
              <w:rPr>
                <w:rFonts w:hint="eastAsia" w:ascii="宋体" w:hAnsi="宋体"/>
                <w:color w:val="auto"/>
              </w:rPr>
              <w:t>油井</w:t>
            </w:r>
          </w:p>
        </w:tc>
        <w:tc>
          <w:tcPr>
            <w:tcW w:w="491" w:type="pct"/>
            <w:vAlign w:val="center"/>
          </w:tcPr>
          <w:p w14:paraId="35F2FBC6">
            <w:pPr>
              <w:widowControl/>
              <w:jc w:val="center"/>
              <w:rPr>
                <w:rFonts w:ascii="宋体" w:hAnsi="宋体"/>
                <w:color w:val="auto"/>
              </w:rPr>
            </w:pPr>
            <w:r>
              <w:rPr>
                <w:rFonts w:hint="eastAsia" w:ascii="宋体" w:hAnsi="宋体"/>
                <w:color w:val="auto"/>
              </w:rPr>
              <w:t>定向井</w:t>
            </w:r>
          </w:p>
        </w:tc>
        <w:tc>
          <w:tcPr>
            <w:tcW w:w="491" w:type="pct"/>
            <w:vAlign w:val="center"/>
          </w:tcPr>
          <w:p w14:paraId="7BFD40F9">
            <w:pPr>
              <w:widowControl/>
              <w:jc w:val="center"/>
              <w:rPr>
                <w:rFonts w:ascii="宋体" w:hAnsi="宋体"/>
                <w:color w:val="auto"/>
              </w:rPr>
            </w:pPr>
            <w:r>
              <w:rPr>
                <w:rFonts w:hint="eastAsia" w:ascii="宋体" w:hAnsi="宋体"/>
                <w:color w:val="auto"/>
              </w:rPr>
              <w:t>3</w:t>
            </w:r>
            <w:r>
              <w:rPr>
                <w:rFonts w:ascii="宋体" w:hAnsi="宋体"/>
                <w:color w:val="auto"/>
              </w:rPr>
              <w:t>156</w:t>
            </w:r>
          </w:p>
        </w:tc>
        <w:tc>
          <w:tcPr>
            <w:tcW w:w="491" w:type="pct"/>
            <w:vMerge w:val="continue"/>
            <w:vAlign w:val="center"/>
          </w:tcPr>
          <w:p w14:paraId="77D51615">
            <w:pPr>
              <w:widowControl/>
              <w:jc w:val="center"/>
              <w:rPr>
                <w:rFonts w:ascii="宋体" w:hAnsi="宋体"/>
                <w:color w:val="auto"/>
              </w:rPr>
            </w:pPr>
          </w:p>
        </w:tc>
        <w:tc>
          <w:tcPr>
            <w:tcW w:w="489" w:type="pct"/>
            <w:vMerge w:val="continue"/>
            <w:vAlign w:val="center"/>
          </w:tcPr>
          <w:p w14:paraId="0EEC3BDC">
            <w:pPr>
              <w:widowControl/>
              <w:jc w:val="center"/>
              <w:rPr>
                <w:rFonts w:ascii="宋体" w:hAnsi="宋体"/>
                <w:color w:val="auto"/>
              </w:rPr>
            </w:pPr>
          </w:p>
        </w:tc>
      </w:tr>
      <w:tr w14:paraId="62749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380CBF6A">
            <w:pPr>
              <w:pStyle w:val="76"/>
              <w:rPr>
                <w:rFonts w:hAnsi="宋体"/>
                <w:color w:val="auto"/>
              </w:rPr>
            </w:pPr>
          </w:p>
        </w:tc>
        <w:tc>
          <w:tcPr>
            <w:tcW w:w="591" w:type="pct"/>
            <w:shd w:val="clear" w:color="auto" w:fill="FFFFFF"/>
            <w:noWrap/>
            <w:vAlign w:val="center"/>
          </w:tcPr>
          <w:p w14:paraId="16A63D8D">
            <w:pPr>
              <w:jc w:val="center"/>
              <w:rPr>
                <w:rFonts w:ascii="宋体" w:hAnsi="宋体"/>
                <w:color w:val="auto"/>
              </w:rPr>
            </w:pPr>
            <w:r>
              <w:rPr>
                <w:rFonts w:hint="eastAsia" w:ascii="宋体" w:hAnsi="宋体"/>
                <w:color w:val="auto"/>
              </w:rPr>
              <w:t>FJF11-X115</w:t>
            </w:r>
          </w:p>
        </w:tc>
        <w:tc>
          <w:tcPr>
            <w:tcW w:w="483" w:type="pct"/>
            <w:shd w:val="clear" w:color="auto" w:fill="FFFFFF"/>
            <w:noWrap/>
            <w:vAlign w:val="center"/>
          </w:tcPr>
          <w:p w14:paraId="6124BA3D">
            <w:pPr>
              <w:jc w:val="center"/>
              <w:rPr>
                <w:rFonts w:ascii="宋体" w:hAnsi="宋体"/>
                <w:color w:val="auto"/>
              </w:rPr>
            </w:pPr>
            <w:r>
              <w:rPr>
                <w:rFonts w:hint="eastAsia" w:ascii="宋体" w:hAnsi="宋体"/>
                <w:color w:val="auto"/>
              </w:rPr>
              <w:t>油井</w:t>
            </w:r>
          </w:p>
        </w:tc>
        <w:tc>
          <w:tcPr>
            <w:tcW w:w="491" w:type="pct"/>
            <w:vAlign w:val="center"/>
          </w:tcPr>
          <w:p w14:paraId="3105D462">
            <w:pPr>
              <w:widowControl/>
              <w:jc w:val="center"/>
              <w:rPr>
                <w:rFonts w:ascii="宋体" w:hAnsi="宋体"/>
                <w:color w:val="auto"/>
              </w:rPr>
            </w:pPr>
            <w:r>
              <w:rPr>
                <w:rFonts w:hint="eastAsia" w:ascii="宋体" w:hAnsi="宋体"/>
                <w:color w:val="auto"/>
              </w:rPr>
              <w:t>定向井</w:t>
            </w:r>
          </w:p>
        </w:tc>
        <w:tc>
          <w:tcPr>
            <w:tcW w:w="493" w:type="pct"/>
            <w:vAlign w:val="center"/>
          </w:tcPr>
          <w:p w14:paraId="31E0F62E">
            <w:pPr>
              <w:widowControl/>
              <w:jc w:val="center"/>
              <w:rPr>
                <w:rFonts w:ascii="宋体" w:hAnsi="宋体"/>
                <w:color w:val="auto"/>
              </w:rPr>
            </w:pPr>
            <w:r>
              <w:rPr>
                <w:rFonts w:hint="eastAsia" w:ascii="宋体" w:hAnsi="宋体"/>
                <w:color w:val="auto"/>
              </w:rPr>
              <w:t>2</w:t>
            </w:r>
            <w:r>
              <w:rPr>
                <w:rFonts w:ascii="宋体" w:hAnsi="宋体"/>
                <w:color w:val="auto"/>
              </w:rPr>
              <w:t>950</w:t>
            </w:r>
          </w:p>
        </w:tc>
        <w:tc>
          <w:tcPr>
            <w:tcW w:w="491" w:type="pct"/>
            <w:vAlign w:val="center"/>
          </w:tcPr>
          <w:p w14:paraId="4B927A7E">
            <w:pPr>
              <w:widowControl/>
              <w:jc w:val="center"/>
              <w:rPr>
                <w:rFonts w:ascii="宋体" w:hAnsi="宋体"/>
                <w:color w:val="auto"/>
              </w:rPr>
            </w:pPr>
            <w:r>
              <w:rPr>
                <w:rFonts w:hint="eastAsia" w:ascii="宋体" w:hAnsi="宋体"/>
                <w:color w:val="auto"/>
              </w:rPr>
              <w:t>油井</w:t>
            </w:r>
          </w:p>
        </w:tc>
        <w:tc>
          <w:tcPr>
            <w:tcW w:w="491" w:type="pct"/>
            <w:vAlign w:val="center"/>
          </w:tcPr>
          <w:p w14:paraId="7E545890">
            <w:pPr>
              <w:widowControl/>
              <w:jc w:val="center"/>
              <w:rPr>
                <w:rFonts w:ascii="宋体" w:hAnsi="宋体"/>
                <w:color w:val="auto"/>
              </w:rPr>
            </w:pPr>
            <w:r>
              <w:rPr>
                <w:rFonts w:hint="eastAsia" w:ascii="宋体" w:hAnsi="宋体"/>
                <w:color w:val="auto"/>
              </w:rPr>
              <w:t>定向井</w:t>
            </w:r>
          </w:p>
        </w:tc>
        <w:tc>
          <w:tcPr>
            <w:tcW w:w="491" w:type="pct"/>
            <w:vAlign w:val="center"/>
          </w:tcPr>
          <w:p w14:paraId="780F6D20">
            <w:pPr>
              <w:widowControl/>
              <w:jc w:val="center"/>
              <w:rPr>
                <w:rFonts w:ascii="宋体" w:hAnsi="宋体"/>
                <w:color w:val="auto"/>
              </w:rPr>
            </w:pPr>
            <w:r>
              <w:rPr>
                <w:rFonts w:hint="eastAsia" w:ascii="宋体" w:hAnsi="宋体"/>
                <w:color w:val="auto"/>
              </w:rPr>
              <w:t>3</w:t>
            </w:r>
            <w:r>
              <w:rPr>
                <w:rFonts w:ascii="宋体" w:hAnsi="宋体"/>
                <w:color w:val="auto"/>
              </w:rPr>
              <w:t>126</w:t>
            </w:r>
          </w:p>
        </w:tc>
        <w:tc>
          <w:tcPr>
            <w:tcW w:w="491" w:type="pct"/>
            <w:vMerge w:val="continue"/>
            <w:vAlign w:val="center"/>
          </w:tcPr>
          <w:p w14:paraId="60223376">
            <w:pPr>
              <w:widowControl/>
              <w:jc w:val="center"/>
              <w:rPr>
                <w:rFonts w:ascii="宋体" w:hAnsi="宋体"/>
                <w:color w:val="auto"/>
              </w:rPr>
            </w:pPr>
          </w:p>
        </w:tc>
        <w:tc>
          <w:tcPr>
            <w:tcW w:w="489" w:type="pct"/>
            <w:vMerge w:val="continue"/>
            <w:vAlign w:val="center"/>
          </w:tcPr>
          <w:p w14:paraId="5410AC82">
            <w:pPr>
              <w:widowControl/>
              <w:jc w:val="center"/>
              <w:rPr>
                <w:rFonts w:ascii="宋体" w:hAnsi="宋体"/>
                <w:color w:val="auto"/>
              </w:rPr>
            </w:pPr>
          </w:p>
        </w:tc>
      </w:tr>
      <w:tr w14:paraId="7738F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7B2DFDF3">
            <w:pPr>
              <w:pStyle w:val="76"/>
              <w:rPr>
                <w:rFonts w:hAnsi="宋体"/>
                <w:color w:val="auto"/>
              </w:rPr>
            </w:pPr>
          </w:p>
        </w:tc>
        <w:tc>
          <w:tcPr>
            <w:tcW w:w="591" w:type="pct"/>
            <w:shd w:val="clear" w:color="auto" w:fill="FFFFFF"/>
            <w:noWrap/>
            <w:vAlign w:val="center"/>
          </w:tcPr>
          <w:p w14:paraId="455CB7A6">
            <w:pPr>
              <w:jc w:val="center"/>
              <w:rPr>
                <w:rFonts w:ascii="宋体" w:hAnsi="宋体"/>
                <w:color w:val="auto"/>
              </w:rPr>
            </w:pPr>
            <w:r>
              <w:rPr>
                <w:rFonts w:hint="eastAsia" w:ascii="宋体" w:hAnsi="宋体"/>
                <w:color w:val="auto"/>
              </w:rPr>
              <w:t>FJF121-X95</w:t>
            </w:r>
          </w:p>
        </w:tc>
        <w:tc>
          <w:tcPr>
            <w:tcW w:w="483" w:type="pct"/>
            <w:shd w:val="clear" w:color="auto" w:fill="FFFFFF"/>
            <w:noWrap/>
            <w:vAlign w:val="center"/>
          </w:tcPr>
          <w:p w14:paraId="111D9005">
            <w:pPr>
              <w:jc w:val="center"/>
              <w:rPr>
                <w:rFonts w:ascii="宋体" w:hAnsi="宋体"/>
                <w:color w:val="auto"/>
              </w:rPr>
            </w:pPr>
            <w:r>
              <w:rPr>
                <w:rFonts w:hint="eastAsia" w:ascii="宋体" w:hAnsi="宋体"/>
                <w:color w:val="auto"/>
              </w:rPr>
              <w:t>水井</w:t>
            </w:r>
          </w:p>
        </w:tc>
        <w:tc>
          <w:tcPr>
            <w:tcW w:w="491" w:type="pct"/>
            <w:vAlign w:val="center"/>
          </w:tcPr>
          <w:p w14:paraId="1575DF5B">
            <w:pPr>
              <w:widowControl/>
              <w:jc w:val="center"/>
              <w:rPr>
                <w:rFonts w:ascii="宋体" w:hAnsi="宋体"/>
                <w:color w:val="auto"/>
              </w:rPr>
            </w:pPr>
            <w:r>
              <w:rPr>
                <w:rFonts w:hint="eastAsia" w:ascii="宋体" w:hAnsi="宋体"/>
                <w:color w:val="auto"/>
              </w:rPr>
              <w:t>定向井</w:t>
            </w:r>
          </w:p>
        </w:tc>
        <w:tc>
          <w:tcPr>
            <w:tcW w:w="493" w:type="pct"/>
            <w:vAlign w:val="center"/>
          </w:tcPr>
          <w:p w14:paraId="4A95921E">
            <w:pPr>
              <w:widowControl/>
              <w:jc w:val="center"/>
              <w:rPr>
                <w:rFonts w:ascii="宋体" w:hAnsi="宋体"/>
                <w:color w:val="auto"/>
              </w:rPr>
            </w:pPr>
            <w:r>
              <w:rPr>
                <w:rFonts w:hint="eastAsia" w:ascii="宋体" w:hAnsi="宋体"/>
                <w:color w:val="auto"/>
              </w:rPr>
              <w:t>3</w:t>
            </w:r>
            <w:r>
              <w:rPr>
                <w:rFonts w:ascii="宋体" w:hAnsi="宋体"/>
                <w:color w:val="auto"/>
              </w:rPr>
              <w:t>480</w:t>
            </w:r>
          </w:p>
        </w:tc>
        <w:tc>
          <w:tcPr>
            <w:tcW w:w="491" w:type="pct"/>
            <w:vAlign w:val="center"/>
          </w:tcPr>
          <w:p w14:paraId="1AEEF0FB">
            <w:pPr>
              <w:widowControl/>
              <w:jc w:val="center"/>
              <w:rPr>
                <w:rFonts w:ascii="宋体" w:hAnsi="宋体"/>
                <w:color w:val="auto"/>
              </w:rPr>
            </w:pPr>
            <w:r>
              <w:rPr>
                <w:rFonts w:hint="eastAsia" w:ascii="宋体" w:hAnsi="宋体"/>
                <w:color w:val="auto"/>
              </w:rPr>
              <w:t>水井</w:t>
            </w:r>
          </w:p>
        </w:tc>
        <w:tc>
          <w:tcPr>
            <w:tcW w:w="491" w:type="pct"/>
            <w:vAlign w:val="center"/>
          </w:tcPr>
          <w:p w14:paraId="57FD03BA">
            <w:pPr>
              <w:widowControl/>
              <w:jc w:val="center"/>
              <w:rPr>
                <w:rFonts w:ascii="宋体" w:hAnsi="宋体"/>
                <w:color w:val="auto"/>
              </w:rPr>
            </w:pPr>
            <w:r>
              <w:rPr>
                <w:rFonts w:hint="eastAsia" w:ascii="宋体" w:hAnsi="宋体"/>
                <w:color w:val="auto"/>
              </w:rPr>
              <w:t>定向井</w:t>
            </w:r>
          </w:p>
        </w:tc>
        <w:tc>
          <w:tcPr>
            <w:tcW w:w="491" w:type="pct"/>
            <w:vAlign w:val="center"/>
          </w:tcPr>
          <w:p w14:paraId="7728E832">
            <w:pPr>
              <w:widowControl/>
              <w:jc w:val="center"/>
              <w:rPr>
                <w:rFonts w:ascii="宋体" w:hAnsi="宋体"/>
                <w:color w:val="auto"/>
              </w:rPr>
            </w:pPr>
            <w:r>
              <w:rPr>
                <w:rFonts w:ascii="宋体" w:hAnsi="宋体"/>
                <w:color w:val="auto"/>
              </w:rPr>
              <w:t>3541</w:t>
            </w:r>
          </w:p>
        </w:tc>
        <w:tc>
          <w:tcPr>
            <w:tcW w:w="491" w:type="pct"/>
            <w:vMerge w:val="continue"/>
            <w:vAlign w:val="center"/>
          </w:tcPr>
          <w:p w14:paraId="05DBBE8C">
            <w:pPr>
              <w:widowControl/>
              <w:jc w:val="center"/>
              <w:rPr>
                <w:rFonts w:ascii="宋体" w:hAnsi="宋体"/>
                <w:color w:val="auto"/>
              </w:rPr>
            </w:pPr>
          </w:p>
        </w:tc>
        <w:tc>
          <w:tcPr>
            <w:tcW w:w="489" w:type="pct"/>
            <w:vMerge w:val="continue"/>
            <w:vAlign w:val="center"/>
          </w:tcPr>
          <w:p w14:paraId="5537777F">
            <w:pPr>
              <w:widowControl/>
              <w:jc w:val="center"/>
              <w:rPr>
                <w:rFonts w:ascii="宋体" w:hAnsi="宋体"/>
                <w:color w:val="auto"/>
              </w:rPr>
            </w:pPr>
          </w:p>
        </w:tc>
      </w:tr>
      <w:tr w14:paraId="0C901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55809C6B">
            <w:pPr>
              <w:pStyle w:val="76"/>
              <w:rPr>
                <w:rFonts w:hAnsi="宋体"/>
                <w:color w:val="auto"/>
              </w:rPr>
            </w:pPr>
          </w:p>
        </w:tc>
        <w:tc>
          <w:tcPr>
            <w:tcW w:w="591" w:type="pct"/>
            <w:shd w:val="clear" w:color="auto" w:fill="FFFFFF"/>
            <w:noWrap/>
            <w:vAlign w:val="center"/>
          </w:tcPr>
          <w:p w14:paraId="6D4D3F62">
            <w:pPr>
              <w:widowControl/>
              <w:jc w:val="center"/>
              <w:rPr>
                <w:rFonts w:ascii="宋体" w:hAnsi="宋体"/>
                <w:color w:val="auto"/>
                <w:kern w:val="0"/>
              </w:rPr>
            </w:pPr>
            <w:bookmarkStart w:id="151" w:name="OLE_LINK170"/>
            <w:r>
              <w:rPr>
                <w:rFonts w:hint="eastAsia" w:ascii="宋体" w:hAnsi="宋体"/>
                <w:color w:val="auto"/>
              </w:rPr>
              <w:t>FJF121-X97</w:t>
            </w:r>
            <w:bookmarkEnd w:id="151"/>
          </w:p>
        </w:tc>
        <w:tc>
          <w:tcPr>
            <w:tcW w:w="483" w:type="pct"/>
            <w:shd w:val="clear" w:color="auto" w:fill="FFFFFF"/>
            <w:noWrap/>
            <w:vAlign w:val="center"/>
          </w:tcPr>
          <w:p w14:paraId="3B1E6D7C">
            <w:pPr>
              <w:jc w:val="center"/>
              <w:rPr>
                <w:rFonts w:ascii="宋体" w:hAnsi="宋体"/>
                <w:b/>
                <w:color w:val="auto"/>
              </w:rPr>
            </w:pPr>
            <w:r>
              <w:rPr>
                <w:rFonts w:hint="eastAsia" w:ascii="宋体" w:hAnsi="宋体"/>
                <w:b/>
                <w:color w:val="auto"/>
              </w:rPr>
              <w:t>水井</w:t>
            </w:r>
          </w:p>
        </w:tc>
        <w:tc>
          <w:tcPr>
            <w:tcW w:w="491" w:type="pct"/>
            <w:vAlign w:val="center"/>
          </w:tcPr>
          <w:p w14:paraId="6558B4A6">
            <w:pPr>
              <w:widowControl/>
              <w:jc w:val="center"/>
              <w:rPr>
                <w:rFonts w:ascii="宋体" w:hAnsi="宋体"/>
                <w:color w:val="auto"/>
              </w:rPr>
            </w:pPr>
            <w:r>
              <w:rPr>
                <w:rFonts w:hint="eastAsia" w:ascii="宋体" w:hAnsi="宋体"/>
                <w:color w:val="auto"/>
              </w:rPr>
              <w:t>定向井</w:t>
            </w:r>
          </w:p>
        </w:tc>
        <w:tc>
          <w:tcPr>
            <w:tcW w:w="493" w:type="pct"/>
            <w:vAlign w:val="center"/>
          </w:tcPr>
          <w:p w14:paraId="1A413E42">
            <w:pPr>
              <w:widowControl/>
              <w:jc w:val="center"/>
              <w:rPr>
                <w:rFonts w:ascii="宋体" w:hAnsi="宋体"/>
                <w:color w:val="auto"/>
              </w:rPr>
            </w:pPr>
            <w:r>
              <w:rPr>
                <w:rFonts w:hint="eastAsia" w:ascii="宋体" w:hAnsi="宋体"/>
                <w:color w:val="auto"/>
              </w:rPr>
              <w:t>3</w:t>
            </w:r>
            <w:r>
              <w:rPr>
                <w:rFonts w:ascii="宋体" w:hAnsi="宋体"/>
                <w:color w:val="auto"/>
              </w:rPr>
              <w:t>520</w:t>
            </w:r>
          </w:p>
        </w:tc>
        <w:tc>
          <w:tcPr>
            <w:tcW w:w="491" w:type="pct"/>
            <w:vAlign w:val="center"/>
          </w:tcPr>
          <w:p w14:paraId="22AFB10F">
            <w:pPr>
              <w:widowControl/>
              <w:jc w:val="center"/>
              <w:rPr>
                <w:rFonts w:ascii="宋体" w:hAnsi="宋体"/>
                <w:b/>
                <w:color w:val="auto"/>
              </w:rPr>
            </w:pPr>
            <w:r>
              <w:rPr>
                <w:rFonts w:hint="eastAsia" w:ascii="宋体" w:hAnsi="宋体"/>
                <w:b/>
                <w:color w:val="auto"/>
              </w:rPr>
              <w:t>油井</w:t>
            </w:r>
          </w:p>
        </w:tc>
        <w:tc>
          <w:tcPr>
            <w:tcW w:w="491" w:type="pct"/>
            <w:vAlign w:val="center"/>
          </w:tcPr>
          <w:p w14:paraId="5804641B">
            <w:pPr>
              <w:widowControl/>
              <w:jc w:val="center"/>
              <w:rPr>
                <w:rFonts w:ascii="宋体" w:hAnsi="宋体"/>
                <w:color w:val="auto"/>
              </w:rPr>
            </w:pPr>
            <w:r>
              <w:rPr>
                <w:rFonts w:hint="eastAsia" w:ascii="宋体" w:hAnsi="宋体"/>
                <w:color w:val="auto"/>
              </w:rPr>
              <w:t>定向井</w:t>
            </w:r>
          </w:p>
        </w:tc>
        <w:tc>
          <w:tcPr>
            <w:tcW w:w="491" w:type="pct"/>
            <w:vAlign w:val="center"/>
          </w:tcPr>
          <w:p w14:paraId="4F3C42FC">
            <w:pPr>
              <w:widowControl/>
              <w:jc w:val="center"/>
              <w:rPr>
                <w:rFonts w:ascii="宋体" w:hAnsi="宋体"/>
                <w:color w:val="auto"/>
              </w:rPr>
            </w:pPr>
            <w:r>
              <w:rPr>
                <w:rFonts w:ascii="宋体" w:hAnsi="宋体"/>
                <w:color w:val="auto"/>
              </w:rPr>
              <w:t>3672</w:t>
            </w:r>
          </w:p>
        </w:tc>
        <w:tc>
          <w:tcPr>
            <w:tcW w:w="491" w:type="pct"/>
            <w:vMerge w:val="continue"/>
            <w:vAlign w:val="center"/>
          </w:tcPr>
          <w:p w14:paraId="570219C6">
            <w:pPr>
              <w:widowControl/>
              <w:jc w:val="center"/>
              <w:rPr>
                <w:rFonts w:ascii="宋体" w:hAnsi="宋体"/>
                <w:color w:val="auto"/>
              </w:rPr>
            </w:pPr>
          </w:p>
        </w:tc>
        <w:tc>
          <w:tcPr>
            <w:tcW w:w="489" w:type="pct"/>
            <w:vMerge w:val="continue"/>
            <w:vAlign w:val="center"/>
          </w:tcPr>
          <w:p w14:paraId="28142235">
            <w:pPr>
              <w:widowControl/>
              <w:jc w:val="center"/>
              <w:rPr>
                <w:rFonts w:ascii="宋体" w:hAnsi="宋体"/>
                <w:color w:val="auto"/>
              </w:rPr>
            </w:pPr>
          </w:p>
        </w:tc>
      </w:tr>
      <w:tr w14:paraId="06D42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9" w:type="pct"/>
            <w:shd w:val="clear" w:color="auto" w:fill="FFFFFF"/>
            <w:vAlign w:val="center"/>
          </w:tcPr>
          <w:p w14:paraId="0ADC40B9">
            <w:pPr>
              <w:pStyle w:val="76"/>
              <w:numPr>
                <w:ilvl w:val="0"/>
                <w:numId w:val="0"/>
              </w:numPr>
              <w:rPr>
                <w:rFonts w:hAnsi="宋体"/>
                <w:color w:val="auto"/>
              </w:rPr>
            </w:pPr>
          </w:p>
        </w:tc>
        <w:tc>
          <w:tcPr>
            <w:tcW w:w="591" w:type="pct"/>
            <w:shd w:val="clear" w:color="auto" w:fill="FFFFFF"/>
            <w:noWrap/>
            <w:vAlign w:val="center"/>
          </w:tcPr>
          <w:p w14:paraId="24C99056">
            <w:pPr>
              <w:widowControl/>
              <w:jc w:val="center"/>
              <w:rPr>
                <w:rFonts w:ascii="宋体" w:hAnsi="宋体"/>
                <w:color w:val="auto"/>
              </w:rPr>
            </w:pPr>
            <w:r>
              <w:rPr>
                <w:rFonts w:hint="eastAsia" w:ascii="宋体" w:hAnsi="宋体"/>
                <w:color w:val="auto"/>
              </w:rPr>
              <w:t>合计</w:t>
            </w:r>
          </w:p>
        </w:tc>
        <w:tc>
          <w:tcPr>
            <w:tcW w:w="483" w:type="pct"/>
            <w:shd w:val="clear" w:color="auto" w:fill="FFFFFF"/>
            <w:noWrap/>
            <w:vAlign w:val="center"/>
          </w:tcPr>
          <w:p w14:paraId="6EF8A950">
            <w:pPr>
              <w:jc w:val="center"/>
              <w:rPr>
                <w:rFonts w:ascii="宋体" w:hAnsi="宋体"/>
                <w:color w:val="auto"/>
              </w:rPr>
            </w:pPr>
          </w:p>
        </w:tc>
        <w:tc>
          <w:tcPr>
            <w:tcW w:w="491" w:type="pct"/>
            <w:vAlign w:val="center"/>
          </w:tcPr>
          <w:p w14:paraId="73021B40">
            <w:pPr>
              <w:widowControl/>
              <w:jc w:val="center"/>
              <w:rPr>
                <w:rFonts w:ascii="宋体" w:hAnsi="宋体"/>
                <w:color w:val="auto"/>
              </w:rPr>
            </w:pPr>
          </w:p>
        </w:tc>
        <w:tc>
          <w:tcPr>
            <w:tcW w:w="493" w:type="pct"/>
            <w:vAlign w:val="center"/>
          </w:tcPr>
          <w:p w14:paraId="0FFA35DC">
            <w:pPr>
              <w:widowControl/>
              <w:jc w:val="center"/>
              <w:rPr>
                <w:rFonts w:ascii="宋体" w:hAnsi="宋体"/>
                <w:color w:val="auto"/>
              </w:rPr>
            </w:pPr>
            <w:r>
              <w:rPr>
                <w:rFonts w:hint="eastAsia" w:ascii="宋体" w:hAnsi="宋体"/>
                <w:color w:val="auto"/>
              </w:rPr>
              <w:t>5</w:t>
            </w:r>
            <w:r>
              <w:rPr>
                <w:rFonts w:ascii="宋体" w:hAnsi="宋体"/>
                <w:color w:val="auto"/>
              </w:rPr>
              <w:t>2695</w:t>
            </w:r>
          </w:p>
        </w:tc>
        <w:tc>
          <w:tcPr>
            <w:tcW w:w="491" w:type="pct"/>
            <w:vAlign w:val="center"/>
          </w:tcPr>
          <w:p w14:paraId="76B48451">
            <w:pPr>
              <w:widowControl/>
              <w:jc w:val="center"/>
              <w:rPr>
                <w:rFonts w:ascii="宋体" w:hAnsi="宋体"/>
                <w:color w:val="auto"/>
              </w:rPr>
            </w:pPr>
          </w:p>
        </w:tc>
        <w:tc>
          <w:tcPr>
            <w:tcW w:w="491" w:type="pct"/>
            <w:vAlign w:val="center"/>
          </w:tcPr>
          <w:p w14:paraId="45E2EA1A">
            <w:pPr>
              <w:widowControl/>
              <w:jc w:val="center"/>
              <w:rPr>
                <w:rFonts w:ascii="宋体" w:hAnsi="宋体"/>
                <w:color w:val="auto"/>
              </w:rPr>
            </w:pPr>
          </w:p>
        </w:tc>
        <w:tc>
          <w:tcPr>
            <w:tcW w:w="491" w:type="pct"/>
            <w:vAlign w:val="center"/>
          </w:tcPr>
          <w:p w14:paraId="11C44230">
            <w:pPr>
              <w:widowControl/>
              <w:jc w:val="center"/>
              <w:rPr>
                <w:rFonts w:ascii="宋体" w:hAnsi="宋体"/>
                <w:color w:val="auto"/>
              </w:rPr>
            </w:pPr>
            <w:r>
              <w:rPr>
                <w:rFonts w:hint="eastAsia" w:ascii="宋体" w:hAnsi="宋体"/>
                <w:color w:val="auto"/>
              </w:rPr>
              <w:t>5</w:t>
            </w:r>
            <w:r>
              <w:rPr>
                <w:rFonts w:ascii="宋体" w:hAnsi="宋体"/>
                <w:color w:val="auto"/>
              </w:rPr>
              <w:t>1493</w:t>
            </w:r>
          </w:p>
        </w:tc>
        <w:tc>
          <w:tcPr>
            <w:tcW w:w="491" w:type="pct"/>
            <w:vAlign w:val="center"/>
          </w:tcPr>
          <w:p w14:paraId="341D5984">
            <w:pPr>
              <w:widowControl/>
              <w:jc w:val="center"/>
              <w:rPr>
                <w:rFonts w:ascii="宋体" w:hAnsi="宋体"/>
                <w:color w:val="auto"/>
              </w:rPr>
            </w:pPr>
          </w:p>
        </w:tc>
        <w:tc>
          <w:tcPr>
            <w:tcW w:w="489" w:type="pct"/>
            <w:vAlign w:val="center"/>
          </w:tcPr>
          <w:p w14:paraId="6FDEFB26">
            <w:pPr>
              <w:widowControl/>
              <w:jc w:val="center"/>
              <w:rPr>
                <w:rFonts w:ascii="宋体" w:hAnsi="宋体"/>
                <w:color w:val="auto"/>
              </w:rPr>
            </w:pPr>
          </w:p>
        </w:tc>
      </w:tr>
    </w:tbl>
    <w:p w14:paraId="26EDD6D7">
      <w:pPr>
        <w:rPr>
          <w:rFonts w:ascii="宋体" w:hAnsi="宋体"/>
          <w:color w:val="auto"/>
        </w:rPr>
      </w:pPr>
    </w:p>
    <w:p w14:paraId="26F0D5BE">
      <w:pPr>
        <w:rPr>
          <w:rFonts w:ascii="宋体" w:hAnsi="宋体"/>
          <w:color w:val="auto"/>
        </w:rPr>
        <w:sectPr>
          <w:pgSz w:w="16838" w:h="11906" w:orient="landscape"/>
          <w:pgMar w:top="1588" w:right="1418" w:bottom="1588" w:left="1418" w:header="1134" w:footer="851" w:gutter="0"/>
          <w:cols w:space="720" w:num="1"/>
          <w:docGrid w:linePitch="312" w:charSpace="0"/>
        </w:sectPr>
      </w:pPr>
    </w:p>
    <w:p w14:paraId="3D4EA84D">
      <w:pPr>
        <w:jc w:val="center"/>
        <w:rPr>
          <w:rFonts w:ascii="宋体" w:hAnsi="宋体"/>
          <w:color w:val="auto"/>
        </w:rPr>
      </w:pPr>
      <w:r>
        <w:rPr>
          <w:color w:val="auto"/>
        </w:rPr>
        <w:drawing>
          <wp:inline distT="0" distB="0" distL="0" distR="0">
            <wp:extent cx="8391525" cy="528193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5"/>
                    <a:stretch>
                      <a:fillRect/>
                    </a:stretch>
                  </pic:blipFill>
                  <pic:spPr>
                    <a:xfrm>
                      <a:off x="0" y="0"/>
                      <a:ext cx="8439498" cy="5312616"/>
                    </a:xfrm>
                    <a:prstGeom prst="rect">
                      <a:avLst/>
                    </a:prstGeom>
                  </pic:spPr>
                </pic:pic>
              </a:graphicData>
            </a:graphic>
          </wp:inline>
        </w:drawing>
      </w:r>
    </w:p>
    <w:p w14:paraId="47576C15">
      <w:pPr>
        <w:pStyle w:val="15"/>
        <w:spacing w:before="120"/>
        <w:rPr>
          <w:color w:val="auto"/>
        </w:rPr>
        <w:sectPr>
          <w:pgSz w:w="16838" w:h="11906" w:orient="landscape"/>
          <w:pgMar w:top="1588" w:right="1418" w:bottom="1588" w:left="1418" w:header="1134" w:footer="851" w:gutter="0"/>
          <w:cols w:space="720" w:num="1"/>
          <w:docGrid w:linePitch="312" w:charSpace="0"/>
        </w:sectPr>
      </w:pPr>
      <w:bookmarkStart w:id="152" w:name="_Ref225340506"/>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w:t>
      </w:r>
      <w:r>
        <w:rPr>
          <w:color w:val="auto"/>
        </w:rPr>
        <w:fldChar w:fldCharType="end"/>
      </w:r>
      <w:bookmarkEnd w:id="152"/>
      <w:r>
        <w:rPr>
          <w:rFonts w:hint="eastAsia"/>
          <w:color w:val="auto"/>
        </w:rPr>
        <w:t>环评及验收阶段井位偏移情况示意图</w:t>
      </w:r>
    </w:p>
    <w:p w14:paraId="25467BCE">
      <w:pPr>
        <w:pStyle w:val="4"/>
        <w:ind w:firstLine="480"/>
        <w:rPr>
          <w:color w:val="auto"/>
        </w:rPr>
      </w:pPr>
      <w:r>
        <w:rPr>
          <w:rFonts w:hint="eastAsia"/>
          <w:color w:val="auto"/>
        </w:rPr>
        <w:t>2）井身结构</w:t>
      </w:r>
    </w:p>
    <w:p w14:paraId="4CBEFE29">
      <w:pPr>
        <w:pStyle w:val="4"/>
        <w:ind w:firstLine="480"/>
        <w:rPr>
          <w:color w:val="auto"/>
        </w:rPr>
      </w:pPr>
      <w:r>
        <w:rPr>
          <w:rFonts w:hint="eastAsia"/>
          <w:color w:val="auto"/>
        </w:rPr>
        <w:t>本期验收井均为定向井，均采用二开制井身结构，与环评阶段设计情况一致。本次选取</w:t>
      </w:r>
      <w:bookmarkStart w:id="153" w:name="OLE_LINK4"/>
      <w:bookmarkStart w:id="154" w:name="OLE_LINK5"/>
      <w:r>
        <w:rPr>
          <w:rFonts w:hint="eastAsia"/>
          <w:color w:val="auto"/>
        </w:rPr>
        <w:t>FJF11-X115为例</w:t>
      </w:r>
      <w:bookmarkEnd w:id="153"/>
      <w:bookmarkEnd w:id="154"/>
      <w:r>
        <w:rPr>
          <w:rFonts w:hint="eastAsia"/>
          <w:color w:val="auto"/>
        </w:rPr>
        <w:t>说明其井身结构。</w:t>
      </w:r>
    </w:p>
    <w:p w14:paraId="60086B51">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4</w:t>
      </w:r>
      <w:r>
        <w:rPr>
          <w:color w:val="auto"/>
        </w:rPr>
        <w:fldChar w:fldCharType="end"/>
      </w:r>
      <w:r>
        <w:rPr>
          <w:color w:val="auto"/>
        </w:rPr>
        <w:t xml:space="preserve"> </w:t>
      </w:r>
      <w:r>
        <w:rPr>
          <w:rFonts w:hint="eastAsia"/>
          <w:color w:val="auto"/>
        </w:rPr>
        <w:t>井身结构数据表</w:t>
      </w:r>
      <w:bookmarkStart w:id="155" w:name="OLE_LINK235"/>
      <w:bookmarkStart w:id="156" w:name="OLE_LINK234"/>
      <w:r>
        <w:rPr>
          <w:rFonts w:hint="eastAsia"/>
          <w:color w:val="auto"/>
        </w:rPr>
        <w:t>（以</w:t>
      </w:r>
      <w:r>
        <w:rPr>
          <w:rFonts w:hint="eastAsia" w:hAnsi="宋体"/>
          <w:color w:val="auto"/>
        </w:rPr>
        <w:t>FJF11-X115</w:t>
      </w:r>
      <w:r>
        <w:rPr>
          <w:rFonts w:hint="eastAsia"/>
          <w:color w:val="auto"/>
        </w:rPr>
        <w:t>为例）</w:t>
      </w:r>
      <w:bookmarkEnd w:id="155"/>
      <w:bookmarkEnd w:id="156"/>
    </w:p>
    <w:tbl>
      <w:tblPr>
        <w:tblStyle w:val="46"/>
        <w:tblW w:w="500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095"/>
        <w:gridCol w:w="1095"/>
        <w:gridCol w:w="1094"/>
        <w:gridCol w:w="1094"/>
        <w:gridCol w:w="1084"/>
        <w:gridCol w:w="1084"/>
        <w:gridCol w:w="1084"/>
        <w:gridCol w:w="1080"/>
      </w:tblGrid>
      <w:tr w14:paraId="228F1D1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restart"/>
            <w:shd w:val="clear" w:color="auto" w:fill="auto"/>
            <w:vAlign w:val="center"/>
          </w:tcPr>
          <w:p w14:paraId="179D178A">
            <w:pPr>
              <w:pStyle w:val="328"/>
              <w:jc w:val="center"/>
              <w:rPr>
                <w:rStyle w:val="312"/>
                <w:rFonts w:hint="default" w:cs="Times New Roman"/>
                <w:color w:val="auto"/>
              </w:rPr>
            </w:pPr>
            <w:r>
              <w:rPr>
                <w:rStyle w:val="312"/>
                <w:rFonts w:hint="default" w:cs="Times New Roman"/>
                <w:color w:val="auto"/>
              </w:rPr>
              <w:t>井号</w:t>
            </w:r>
          </w:p>
        </w:tc>
        <w:tc>
          <w:tcPr>
            <w:tcW w:w="629" w:type="pct"/>
            <w:vMerge w:val="restart"/>
            <w:shd w:val="clear" w:color="auto" w:fill="auto"/>
            <w:tcMar>
              <w:top w:w="10" w:type="dxa"/>
              <w:left w:w="118" w:type="dxa"/>
              <w:bottom w:w="10" w:type="dxa"/>
              <w:right w:w="118" w:type="dxa"/>
            </w:tcMar>
            <w:vAlign w:val="center"/>
          </w:tcPr>
          <w:p w14:paraId="1F3F00DA">
            <w:pPr>
              <w:pStyle w:val="328"/>
              <w:jc w:val="center"/>
              <w:rPr>
                <w:rFonts w:cs="Times New Roman"/>
                <w:color w:val="auto"/>
              </w:rPr>
            </w:pPr>
            <w:r>
              <w:rPr>
                <w:rStyle w:val="312"/>
                <w:rFonts w:hint="default" w:cs="Times New Roman"/>
                <w:color w:val="auto"/>
              </w:rPr>
              <w:t>开次</w:t>
            </w:r>
          </w:p>
        </w:tc>
        <w:tc>
          <w:tcPr>
            <w:tcW w:w="628" w:type="pct"/>
            <w:shd w:val="clear" w:color="auto" w:fill="auto"/>
            <w:tcMar>
              <w:top w:w="10" w:type="dxa"/>
              <w:left w:w="108" w:type="dxa"/>
              <w:bottom w:w="10" w:type="dxa"/>
              <w:right w:w="118" w:type="dxa"/>
            </w:tcMar>
            <w:vAlign w:val="center"/>
          </w:tcPr>
          <w:p w14:paraId="38750BF1">
            <w:pPr>
              <w:pStyle w:val="328"/>
              <w:jc w:val="center"/>
              <w:rPr>
                <w:rFonts w:cs="Times New Roman"/>
                <w:color w:val="auto"/>
              </w:rPr>
            </w:pPr>
            <w:r>
              <w:rPr>
                <w:rStyle w:val="312"/>
                <w:rFonts w:hint="default" w:cs="Times New Roman"/>
                <w:color w:val="auto"/>
              </w:rPr>
              <w:t>钻头直径</w:t>
            </w:r>
          </w:p>
        </w:tc>
        <w:tc>
          <w:tcPr>
            <w:tcW w:w="628" w:type="pct"/>
            <w:shd w:val="clear" w:color="auto" w:fill="auto"/>
            <w:tcMar>
              <w:top w:w="10" w:type="dxa"/>
              <w:left w:w="108" w:type="dxa"/>
              <w:bottom w:w="10" w:type="dxa"/>
              <w:right w:w="118" w:type="dxa"/>
            </w:tcMar>
            <w:vAlign w:val="center"/>
          </w:tcPr>
          <w:p w14:paraId="2012D97A">
            <w:pPr>
              <w:pStyle w:val="328"/>
              <w:jc w:val="center"/>
              <w:rPr>
                <w:rFonts w:cs="Times New Roman"/>
                <w:color w:val="auto"/>
              </w:rPr>
            </w:pPr>
            <w:r>
              <w:rPr>
                <w:rStyle w:val="312"/>
                <w:rFonts w:hint="default" w:cs="Times New Roman"/>
                <w:color w:val="auto"/>
              </w:rPr>
              <w:t>井深</w:t>
            </w:r>
          </w:p>
        </w:tc>
        <w:tc>
          <w:tcPr>
            <w:tcW w:w="622" w:type="pct"/>
            <w:shd w:val="clear" w:color="auto" w:fill="auto"/>
            <w:tcMar>
              <w:top w:w="10" w:type="dxa"/>
              <w:left w:w="108" w:type="dxa"/>
              <w:bottom w:w="10" w:type="dxa"/>
              <w:right w:w="118" w:type="dxa"/>
            </w:tcMar>
            <w:vAlign w:val="center"/>
          </w:tcPr>
          <w:p w14:paraId="2955FE02">
            <w:pPr>
              <w:pStyle w:val="328"/>
              <w:jc w:val="center"/>
              <w:rPr>
                <w:rFonts w:cs="Times New Roman"/>
                <w:color w:val="auto"/>
              </w:rPr>
            </w:pPr>
            <w:r>
              <w:rPr>
                <w:rStyle w:val="312"/>
                <w:rFonts w:hint="default" w:cs="Times New Roman"/>
                <w:color w:val="auto"/>
              </w:rPr>
              <w:t>套管外径</w:t>
            </w:r>
          </w:p>
        </w:tc>
        <w:tc>
          <w:tcPr>
            <w:tcW w:w="622" w:type="pct"/>
            <w:shd w:val="clear" w:color="auto" w:fill="auto"/>
            <w:tcMar>
              <w:top w:w="10" w:type="dxa"/>
              <w:left w:w="108" w:type="dxa"/>
              <w:bottom w:w="10" w:type="dxa"/>
              <w:right w:w="118" w:type="dxa"/>
            </w:tcMar>
            <w:vAlign w:val="center"/>
          </w:tcPr>
          <w:p w14:paraId="7B565D87">
            <w:pPr>
              <w:pStyle w:val="328"/>
              <w:jc w:val="center"/>
              <w:rPr>
                <w:rFonts w:cs="Times New Roman"/>
                <w:color w:val="auto"/>
              </w:rPr>
            </w:pPr>
            <w:r>
              <w:rPr>
                <w:rStyle w:val="312"/>
                <w:rFonts w:hint="default" w:cs="Times New Roman"/>
                <w:color w:val="auto"/>
              </w:rPr>
              <w:t>套管顶深</w:t>
            </w:r>
          </w:p>
        </w:tc>
        <w:tc>
          <w:tcPr>
            <w:tcW w:w="622" w:type="pct"/>
            <w:shd w:val="clear" w:color="auto" w:fill="auto"/>
            <w:tcMar>
              <w:top w:w="10" w:type="dxa"/>
              <w:left w:w="108" w:type="dxa"/>
              <w:bottom w:w="10" w:type="dxa"/>
              <w:right w:w="118" w:type="dxa"/>
            </w:tcMar>
            <w:vAlign w:val="center"/>
          </w:tcPr>
          <w:p w14:paraId="27519F26">
            <w:pPr>
              <w:pStyle w:val="328"/>
              <w:jc w:val="center"/>
              <w:rPr>
                <w:rFonts w:cs="Times New Roman"/>
                <w:color w:val="auto"/>
              </w:rPr>
            </w:pPr>
            <w:r>
              <w:rPr>
                <w:rStyle w:val="312"/>
                <w:rFonts w:hint="default" w:cs="Times New Roman"/>
                <w:color w:val="auto"/>
              </w:rPr>
              <w:t>套管下深</w:t>
            </w:r>
          </w:p>
        </w:tc>
        <w:tc>
          <w:tcPr>
            <w:tcW w:w="620" w:type="pct"/>
            <w:shd w:val="clear" w:color="auto" w:fill="auto"/>
            <w:tcMar>
              <w:top w:w="10" w:type="dxa"/>
              <w:left w:w="108" w:type="dxa"/>
              <w:bottom w:w="10" w:type="dxa"/>
              <w:right w:w="118" w:type="dxa"/>
            </w:tcMar>
            <w:vAlign w:val="center"/>
          </w:tcPr>
          <w:p w14:paraId="6EBFD9EB">
            <w:pPr>
              <w:pStyle w:val="328"/>
              <w:jc w:val="center"/>
              <w:rPr>
                <w:rFonts w:cs="Times New Roman"/>
                <w:color w:val="auto"/>
              </w:rPr>
            </w:pPr>
            <w:r>
              <w:rPr>
                <w:rStyle w:val="312"/>
                <w:rFonts w:hint="default" w:cs="Times New Roman"/>
                <w:color w:val="auto"/>
              </w:rPr>
              <w:t>水泥返高</w:t>
            </w:r>
          </w:p>
        </w:tc>
      </w:tr>
      <w:tr w14:paraId="7932693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continue"/>
            <w:shd w:val="clear" w:color="auto" w:fill="auto"/>
            <w:vAlign w:val="center"/>
          </w:tcPr>
          <w:p w14:paraId="38D15443">
            <w:pPr>
              <w:jc w:val="center"/>
              <w:rPr>
                <w:rFonts w:ascii="宋体" w:hAnsi="宋体"/>
                <w:color w:val="auto"/>
              </w:rPr>
            </w:pPr>
          </w:p>
        </w:tc>
        <w:tc>
          <w:tcPr>
            <w:tcW w:w="629" w:type="pct"/>
            <w:vMerge w:val="continue"/>
            <w:shd w:val="clear" w:color="auto" w:fill="auto"/>
            <w:vAlign w:val="center"/>
          </w:tcPr>
          <w:p w14:paraId="0B3C2D60">
            <w:pPr>
              <w:jc w:val="center"/>
              <w:rPr>
                <w:rFonts w:ascii="宋体" w:hAnsi="宋体"/>
                <w:color w:val="auto"/>
              </w:rPr>
            </w:pPr>
          </w:p>
        </w:tc>
        <w:tc>
          <w:tcPr>
            <w:tcW w:w="628" w:type="pct"/>
            <w:shd w:val="clear" w:color="auto" w:fill="auto"/>
            <w:tcMar>
              <w:top w:w="0" w:type="dxa"/>
              <w:left w:w="108" w:type="dxa"/>
              <w:bottom w:w="10" w:type="dxa"/>
              <w:right w:w="118" w:type="dxa"/>
            </w:tcMar>
            <w:vAlign w:val="center"/>
          </w:tcPr>
          <w:p w14:paraId="6575C18B">
            <w:pPr>
              <w:pStyle w:val="328"/>
              <w:jc w:val="center"/>
              <w:rPr>
                <w:rFonts w:cs="Times New Roman"/>
                <w:color w:val="auto"/>
              </w:rPr>
            </w:pPr>
            <w:r>
              <w:rPr>
                <w:rStyle w:val="312"/>
                <w:rFonts w:hint="default" w:cs="Times New Roman"/>
                <w:color w:val="auto"/>
              </w:rPr>
              <w:t>（mm）</w:t>
            </w:r>
          </w:p>
        </w:tc>
        <w:tc>
          <w:tcPr>
            <w:tcW w:w="628" w:type="pct"/>
            <w:shd w:val="clear" w:color="auto" w:fill="auto"/>
            <w:tcMar>
              <w:top w:w="0" w:type="dxa"/>
              <w:left w:w="108" w:type="dxa"/>
              <w:bottom w:w="10" w:type="dxa"/>
              <w:right w:w="118" w:type="dxa"/>
            </w:tcMar>
            <w:vAlign w:val="center"/>
          </w:tcPr>
          <w:p w14:paraId="7513999D">
            <w:pPr>
              <w:pStyle w:val="328"/>
              <w:jc w:val="center"/>
              <w:rPr>
                <w:rFonts w:cs="Times New Roman"/>
                <w:color w:val="auto"/>
              </w:rPr>
            </w:pPr>
            <w:r>
              <w:rPr>
                <w:rStyle w:val="312"/>
                <w:rFonts w:hint="default" w:cs="Times New Roman"/>
                <w:color w:val="auto"/>
              </w:rPr>
              <w:t>（m）</w:t>
            </w:r>
          </w:p>
        </w:tc>
        <w:tc>
          <w:tcPr>
            <w:tcW w:w="622" w:type="pct"/>
            <w:shd w:val="clear" w:color="auto" w:fill="auto"/>
            <w:tcMar>
              <w:top w:w="0" w:type="dxa"/>
              <w:left w:w="108" w:type="dxa"/>
              <w:bottom w:w="10" w:type="dxa"/>
              <w:right w:w="118" w:type="dxa"/>
            </w:tcMar>
            <w:vAlign w:val="center"/>
          </w:tcPr>
          <w:p w14:paraId="042EEDC3">
            <w:pPr>
              <w:pStyle w:val="328"/>
              <w:jc w:val="center"/>
              <w:rPr>
                <w:rFonts w:cs="Times New Roman"/>
                <w:color w:val="auto"/>
              </w:rPr>
            </w:pPr>
            <w:r>
              <w:rPr>
                <w:rStyle w:val="312"/>
                <w:rFonts w:hint="default" w:cs="Times New Roman"/>
                <w:color w:val="auto"/>
              </w:rPr>
              <w:t>（mm）</w:t>
            </w:r>
          </w:p>
        </w:tc>
        <w:tc>
          <w:tcPr>
            <w:tcW w:w="622" w:type="pct"/>
            <w:shd w:val="clear" w:color="auto" w:fill="auto"/>
            <w:tcMar>
              <w:top w:w="0" w:type="dxa"/>
              <w:left w:w="108" w:type="dxa"/>
              <w:bottom w:w="10" w:type="dxa"/>
              <w:right w:w="118" w:type="dxa"/>
            </w:tcMar>
            <w:vAlign w:val="center"/>
          </w:tcPr>
          <w:p w14:paraId="29300EE0">
            <w:pPr>
              <w:pStyle w:val="328"/>
              <w:jc w:val="center"/>
              <w:rPr>
                <w:rFonts w:cs="Times New Roman"/>
                <w:color w:val="auto"/>
              </w:rPr>
            </w:pPr>
            <w:r>
              <w:rPr>
                <w:rStyle w:val="312"/>
                <w:rFonts w:hint="default" w:cs="Times New Roman"/>
                <w:color w:val="auto"/>
              </w:rPr>
              <w:t>（m）</w:t>
            </w:r>
          </w:p>
        </w:tc>
        <w:tc>
          <w:tcPr>
            <w:tcW w:w="622" w:type="pct"/>
            <w:shd w:val="clear" w:color="auto" w:fill="auto"/>
            <w:tcMar>
              <w:top w:w="0" w:type="dxa"/>
              <w:left w:w="108" w:type="dxa"/>
              <w:bottom w:w="10" w:type="dxa"/>
              <w:right w:w="118" w:type="dxa"/>
            </w:tcMar>
            <w:vAlign w:val="center"/>
          </w:tcPr>
          <w:p w14:paraId="44B90239">
            <w:pPr>
              <w:pStyle w:val="328"/>
              <w:jc w:val="center"/>
              <w:rPr>
                <w:rFonts w:cs="Times New Roman"/>
                <w:color w:val="auto"/>
              </w:rPr>
            </w:pPr>
            <w:r>
              <w:rPr>
                <w:rStyle w:val="312"/>
                <w:rFonts w:hint="default" w:cs="Times New Roman"/>
                <w:color w:val="auto"/>
              </w:rPr>
              <w:t>（m）</w:t>
            </w:r>
          </w:p>
        </w:tc>
        <w:tc>
          <w:tcPr>
            <w:tcW w:w="620" w:type="pct"/>
            <w:shd w:val="clear" w:color="auto" w:fill="auto"/>
            <w:tcMar>
              <w:top w:w="0" w:type="dxa"/>
              <w:left w:w="108" w:type="dxa"/>
              <w:bottom w:w="10" w:type="dxa"/>
              <w:right w:w="118" w:type="dxa"/>
            </w:tcMar>
            <w:vAlign w:val="center"/>
          </w:tcPr>
          <w:p w14:paraId="54FB9B08">
            <w:pPr>
              <w:pStyle w:val="328"/>
              <w:jc w:val="center"/>
              <w:rPr>
                <w:rFonts w:cs="Times New Roman"/>
                <w:color w:val="auto"/>
              </w:rPr>
            </w:pPr>
            <w:r>
              <w:rPr>
                <w:rStyle w:val="312"/>
                <w:rFonts w:hint="default" w:cs="Times New Roman"/>
                <w:color w:val="auto"/>
              </w:rPr>
              <w:t>（m）</w:t>
            </w:r>
          </w:p>
        </w:tc>
      </w:tr>
      <w:tr w14:paraId="6BF9253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restart"/>
            <w:shd w:val="clear" w:color="auto" w:fill="auto"/>
            <w:vAlign w:val="center"/>
          </w:tcPr>
          <w:p w14:paraId="6DAAD783">
            <w:pPr>
              <w:jc w:val="center"/>
              <w:rPr>
                <w:rFonts w:ascii="宋体" w:hAnsi="宋体" w:cs="宋体"/>
                <w:color w:val="auto"/>
              </w:rPr>
            </w:pPr>
            <w:r>
              <w:rPr>
                <w:rFonts w:ascii="宋体" w:hAnsi="宋体" w:cs="宋体"/>
                <w:color w:val="auto"/>
              </w:rPr>
              <w:t>FJF11-X115</w:t>
            </w:r>
          </w:p>
        </w:tc>
        <w:tc>
          <w:tcPr>
            <w:tcW w:w="629" w:type="pct"/>
            <w:shd w:val="clear" w:color="auto" w:fill="auto"/>
            <w:tcMar>
              <w:top w:w="10" w:type="dxa"/>
              <w:left w:w="118" w:type="dxa"/>
              <w:bottom w:w="10" w:type="dxa"/>
              <w:right w:w="118" w:type="dxa"/>
            </w:tcMar>
            <w:vAlign w:val="center"/>
          </w:tcPr>
          <w:p w14:paraId="28BD9030">
            <w:pPr>
              <w:jc w:val="center"/>
              <w:rPr>
                <w:rFonts w:ascii="宋体" w:hAnsi="宋体"/>
                <w:color w:val="auto"/>
              </w:rPr>
            </w:pPr>
            <w:r>
              <w:rPr>
                <w:rFonts w:hint="eastAsia" w:ascii="宋体" w:hAnsi="宋体"/>
                <w:color w:val="auto"/>
              </w:rPr>
              <w:t>一开</w:t>
            </w:r>
          </w:p>
        </w:tc>
        <w:tc>
          <w:tcPr>
            <w:tcW w:w="628" w:type="pct"/>
            <w:shd w:val="clear" w:color="auto" w:fill="auto"/>
            <w:tcMar>
              <w:top w:w="10" w:type="dxa"/>
              <w:left w:w="118" w:type="dxa"/>
              <w:bottom w:w="10" w:type="dxa"/>
              <w:right w:w="118" w:type="dxa"/>
            </w:tcMar>
            <w:vAlign w:val="center"/>
          </w:tcPr>
          <w:p w14:paraId="40A94838">
            <w:pPr>
              <w:jc w:val="center"/>
              <w:rPr>
                <w:rFonts w:ascii="宋体" w:hAnsi="宋体"/>
                <w:color w:val="auto"/>
              </w:rPr>
            </w:pPr>
            <w:r>
              <w:rPr>
                <w:rFonts w:hint="eastAsia" w:ascii="宋体" w:hAnsi="宋体"/>
                <w:color w:val="auto"/>
              </w:rPr>
              <w:t>311.2</w:t>
            </w:r>
          </w:p>
        </w:tc>
        <w:tc>
          <w:tcPr>
            <w:tcW w:w="628" w:type="pct"/>
            <w:shd w:val="clear" w:color="auto" w:fill="auto"/>
            <w:tcMar>
              <w:top w:w="10" w:type="dxa"/>
              <w:left w:w="118" w:type="dxa"/>
              <w:bottom w:w="10" w:type="dxa"/>
              <w:right w:w="118" w:type="dxa"/>
            </w:tcMar>
            <w:vAlign w:val="center"/>
          </w:tcPr>
          <w:p w14:paraId="200F1842">
            <w:pPr>
              <w:jc w:val="center"/>
              <w:rPr>
                <w:rFonts w:ascii="宋体" w:hAnsi="宋体"/>
                <w:color w:val="auto"/>
              </w:rPr>
            </w:pPr>
            <w:r>
              <w:rPr>
                <w:rFonts w:hint="eastAsia" w:ascii="宋体" w:hAnsi="宋体"/>
                <w:color w:val="auto"/>
              </w:rPr>
              <w:t>301</w:t>
            </w:r>
          </w:p>
        </w:tc>
        <w:tc>
          <w:tcPr>
            <w:tcW w:w="622" w:type="pct"/>
            <w:shd w:val="clear" w:color="auto" w:fill="auto"/>
            <w:tcMar>
              <w:top w:w="10" w:type="dxa"/>
              <w:left w:w="118" w:type="dxa"/>
              <w:bottom w:w="10" w:type="dxa"/>
              <w:right w:w="118" w:type="dxa"/>
            </w:tcMar>
            <w:vAlign w:val="center"/>
          </w:tcPr>
          <w:p w14:paraId="61CE7E8D">
            <w:pPr>
              <w:jc w:val="center"/>
              <w:rPr>
                <w:rFonts w:ascii="宋体" w:hAnsi="宋体"/>
                <w:color w:val="auto"/>
              </w:rPr>
            </w:pPr>
            <w:r>
              <w:rPr>
                <w:rFonts w:hint="eastAsia" w:ascii="宋体" w:hAnsi="宋体"/>
                <w:color w:val="auto"/>
              </w:rPr>
              <w:t>244.5</w:t>
            </w:r>
          </w:p>
        </w:tc>
        <w:tc>
          <w:tcPr>
            <w:tcW w:w="622" w:type="pct"/>
            <w:shd w:val="clear" w:color="auto" w:fill="auto"/>
            <w:tcMar>
              <w:top w:w="10" w:type="dxa"/>
              <w:left w:w="118" w:type="dxa"/>
              <w:bottom w:w="10" w:type="dxa"/>
              <w:right w:w="118" w:type="dxa"/>
            </w:tcMar>
            <w:vAlign w:val="center"/>
          </w:tcPr>
          <w:p w14:paraId="519FBEB9">
            <w:pPr>
              <w:jc w:val="center"/>
              <w:rPr>
                <w:rFonts w:ascii="宋体" w:hAnsi="宋体"/>
                <w:color w:val="auto"/>
              </w:rPr>
            </w:pPr>
            <w:r>
              <w:rPr>
                <w:rFonts w:hint="eastAsia" w:ascii="宋体" w:hAnsi="宋体"/>
                <w:color w:val="auto"/>
              </w:rPr>
              <w:t>0</w:t>
            </w:r>
          </w:p>
        </w:tc>
        <w:tc>
          <w:tcPr>
            <w:tcW w:w="622" w:type="pct"/>
            <w:shd w:val="clear" w:color="auto" w:fill="auto"/>
            <w:tcMar>
              <w:top w:w="10" w:type="dxa"/>
              <w:left w:w="118" w:type="dxa"/>
              <w:bottom w:w="10" w:type="dxa"/>
              <w:right w:w="118" w:type="dxa"/>
            </w:tcMar>
            <w:vAlign w:val="center"/>
          </w:tcPr>
          <w:p w14:paraId="188374AE">
            <w:pPr>
              <w:jc w:val="center"/>
              <w:rPr>
                <w:rFonts w:ascii="宋体" w:hAnsi="宋体"/>
                <w:color w:val="auto"/>
              </w:rPr>
            </w:pPr>
            <w:r>
              <w:rPr>
                <w:rFonts w:ascii="宋体" w:hAnsi="宋体"/>
                <w:color w:val="auto"/>
              </w:rPr>
              <w:t>310</w:t>
            </w:r>
          </w:p>
        </w:tc>
        <w:tc>
          <w:tcPr>
            <w:tcW w:w="620" w:type="pct"/>
            <w:shd w:val="clear" w:color="auto" w:fill="auto"/>
            <w:tcMar>
              <w:top w:w="10" w:type="dxa"/>
              <w:left w:w="118" w:type="dxa"/>
              <w:bottom w:w="10" w:type="dxa"/>
              <w:right w:w="118" w:type="dxa"/>
            </w:tcMar>
            <w:vAlign w:val="center"/>
          </w:tcPr>
          <w:p w14:paraId="25D88592">
            <w:pPr>
              <w:jc w:val="center"/>
              <w:rPr>
                <w:rFonts w:ascii="宋体" w:hAnsi="宋体"/>
                <w:color w:val="auto"/>
              </w:rPr>
            </w:pPr>
            <w:r>
              <w:rPr>
                <w:rFonts w:hint="eastAsia" w:ascii="宋体" w:hAnsi="宋体"/>
                <w:color w:val="auto"/>
              </w:rPr>
              <w:t>0</w:t>
            </w:r>
          </w:p>
        </w:tc>
      </w:tr>
      <w:tr w14:paraId="59E9DCF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continue"/>
            <w:shd w:val="clear" w:color="auto" w:fill="auto"/>
            <w:vAlign w:val="center"/>
          </w:tcPr>
          <w:p w14:paraId="6776C2DA">
            <w:pPr>
              <w:jc w:val="center"/>
              <w:rPr>
                <w:rFonts w:ascii="宋体" w:hAnsi="宋体" w:cs="宋体"/>
                <w:color w:val="auto"/>
              </w:rPr>
            </w:pPr>
          </w:p>
        </w:tc>
        <w:tc>
          <w:tcPr>
            <w:tcW w:w="629" w:type="pct"/>
            <w:shd w:val="clear" w:color="auto" w:fill="auto"/>
            <w:tcMar>
              <w:top w:w="10" w:type="dxa"/>
              <w:left w:w="118" w:type="dxa"/>
              <w:bottom w:w="10" w:type="dxa"/>
              <w:right w:w="118" w:type="dxa"/>
            </w:tcMar>
            <w:vAlign w:val="center"/>
          </w:tcPr>
          <w:p w14:paraId="6DC81013">
            <w:pPr>
              <w:jc w:val="center"/>
              <w:rPr>
                <w:rFonts w:ascii="宋体" w:hAnsi="宋体"/>
                <w:color w:val="auto"/>
              </w:rPr>
            </w:pPr>
            <w:r>
              <w:rPr>
                <w:rFonts w:hint="eastAsia" w:ascii="宋体" w:hAnsi="宋体"/>
                <w:color w:val="auto"/>
              </w:rPr>
              <w:t>二开</w:t>
            </w:r>
          </w:p>
        </w:tc>
        <w:tc>
          <w:tcPr>
            <w:tcW w:w="628" w:type="pct"/>
            <w:shd w:val="clear" w:color="auto" w:fill="auto"/>
            <w:tcMar>
              <w:top w:w="10" w:type="dxa"/>
              <w:left w:w="118" w:type="dxa"/>
              <w:bottom w:w="10" w:type="dxa"/>
              <w:right w:w="118" w:type="dxa"/>
            </w:tcMar>
            <w:vAlign w:val="center"/>
          </w:tcPr>
          <w:p w14:paraId="4FF77028">
            <w:pPr>
              <w:jc w:val="center"/>
              <w:rPr>
                <w:rFonts w:ascii="宋体" w:hAnsi="宋体"/>
                <w:color w:val="auto"/>
              </w:rPr>
            </w:pPr>
            <w:r>
              <w:rPr>
                <w:rFonts w:hint="eastAsia" w:ascii="宋体" w:hAnsi="宋体"/>
                <w:color w:val="auto"/>
              </w:rPr>
              <w:t>215.9</w:t>
            </w:r>
          </w:p>
        </w:tc>
        <w:tc>
          <w:tcPr>
            <w:tcW w:w="628" w:type="pct"/>
            <w:shd w:val="clear" w:color="auto" w:fill="auto"/>
            <w:tcMar>
              <w:top w:w="10" w:type="dxa"/>
              <w:left w:w="118" w:type="dxa"/>
              <w:bottom w:w="10" w:type="dxa"/>
              <w:right w:w="118" w:type="dxa"/>
            </w:tcMar>
            <w:vAlign w:val="center"/>
          </w:tcPr>
          <w:p w14:paraId="1AC8437F">
            <w:pPr>
              <w:jc w:val="center"/>
              <w:rPr>
                <w:rFonts w:ascii="宋体" w:hAnsi="宋体"/>
                <w:color w:val="auto"/>
              </w:rPr>
            </w:pPr>
            <w:r>
              <w:rPr>
                <w:rFonts w:hint="eastAsia" w:ascii="宋体" w:hAnsi="宋体"/>
                <w:color w:val="auto"/>
              </w:rPr>
              <w:t>3</w:t>
            </w:r>
            <w:r>
              <w:rPr>
                <w:rFonts w:ascii="宋体" w:hAnsi="宋体"/>
                <w:color w:val="auto"/>
              </w:rPr>
              <w:t>166.87</w:t>
            </w:r>
          </w:p>
        </w:tc>
        <w:tc>
          <w:tcPr>
            <w:tcW w:w="622" w:type="pct"/>
            <w:shd w:val="clear" w:color="auto" w:fill="auto"/>
            <w:tcMar>
              <w:top w:w="10" w:type="dxa"/>
              <w:left w:w="118" w:type="dxa"/>
              <w:bottom w:w="10" w:type="dxa"/>
              <w:right w:w="118" w:type="dxa"/>
            </w:tcMar>
            <w:vAlign w:val="center"/>
          </w:tcPr>
          <w:p w14:paraId="14C4F1C0">
            <w:pPr>
              <w:jc w:val="center"/>
              <w:rPr>
                <w:rFonts w:ascii="宋体" w:hAnsi="宋体"/>
                <w:color w:val="auto"/>
              </w:rPr>
            </w:pPr>
            <w:r>
              <w:rPr>
                <w:rFonts w:hint="eastAsia" w:ascii="宋体" w:hAnsi="宋体"/>
                <w:color w:val="auto"/>
              </w:rPr>
              <w:t>139.7</w:t>
            </w:r>
          </w:p>
        </w:tc>
        <w:tc>
          <w:tcPr>
            <w:tcW w:w="622" w:type="pct"/>
            <w:shd w:val="clear" w:color="auto" w:fill="auto"/>
            <w:tcMar>
              <w:top w:w="10" w:type="dxa"/>
              <w:left w:w="118" w:type="dxa"/>
              <w:bottom w:w="10" w:type="dxa"/>
              <w:right w:w="118" w:type="dxa"/>
            </w:tcMar>
            <w:vAlign w:val="center"/>
          </w:tcPr>
          <w:p w14:paraId="3F2C7085">
            <w:pPr>
              <w:jc w:val="center"/>
              <w:rPr>
                <w:rFonts w:ascii="宋体" w:hAnsi="宋体"/>
                <w:color w:val="auto"/>
              </w:rPr>
            </w:pPr>
            <w:r>
              <w:rPr>
                <w:rFonts w:hint="eastAsia" w:ascii="宋体" w:hAnsi="宋体"/>
                <w:color w:val="auto"/>
              </w:rPr>
              <w:t>0</w:t>
            </w:r>
          </w:p>
        </w:tc>
        <w:tc>
          <w:tcPr>
            <w:tcW w:w="622" w:type="pct"/>
            <w:shd w:val="clear" w:color="auto" w:fill="auto"/>
            <w:tcMar>
              <w:top w:w="10" w:type="dxa"/>
              <w:left w:w="118" w:type="dxa"/>
              <w:bottom w:w="10" w:type="dxa"/>
              <w:right w:w="118" w:type="dxa"/>
            </w:tcMar>
            <w:vAlign w:val="center"/>
          </w:tcPr>
          <w:p w14:paraId="329DA39E">
            <w:pPr>
              <w:jc w:val="center"/>
              <w:rPr>
                <w:rFonts w:ascii="宋体" w:hAnsi="宋体"/>
                <w:color w:val="auto"/>
              </w:rPr>
            </w:pPr>
            <w:r>
              <w:rPr>
                <w:rFonts w:ascii="宋体" w:hAnsi="宋体"/>
                <w:color w:val="auto"/>
              </w:rPr>
              <w:t>3163</w:t>
            </w:r>
          </w:p>
        </w:tc>
        <w:tc>
          <w:tcPr>
            <w:tcW w:w="620" w:type="pct"/>
            <w:shd w:val="clear" w:color="auto" w:fill="auto"/>
            <w:tcMar>
              <w:top w:w="10" w:type="dxa"/>
              <w:left w:w="118" w:type="dxa"/>
              <w:bottom w:w="10" w:type="dxa"/>
              <w:right w:w="118" w:type="dxa"/>
            </w:tcMar>
            <w:vAlign w:val="center"/>
          </w:tcPr>
          <w:p w14:paraId="27235158">
            <w:pPr>
              <w:jc w:val="center"/>
              <w:rPr>
                <w:rFonts w:ascii="宋体" w:hAnsi="宋体"/>
                <w:color w:val="auto"/>
              </w:rPr>
            </w:pPr>
            <w:r>
              <w:rPr>
                <w:rFonts w:hint="eastAsia" w:ascii="宋体" w:hAnsi="宋体"/>
                <w:color w:val="auto"/>
              </w:rPr>
              <w:t>0</w:t>
            </w:r>
          </w:p>
        </w:tc>
      </w:tr>
    </w:tbl>
    <w:p w14:paraId="2868D678">
      <w:pPr>
        <w:pStyle w:val="4"/>
        <w:ind w:firstLine="480"/>
        <w:rPr>
          <w:color w:val="auto"/>
        </w:rPr>
      </w:pP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0"/>
      </w:tblGrid>
      <w:tr w14:paraId="01A6E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shd w:val="clear" w:color="auto" w:fill="auto"/>
            <w:vAlign w:val="center"/>
          </w:tcPr>
          <w:p w14:paraId="7D00ED61">
            <w:pPr>
              <w:jc w:val="center"/>
              <w:rPr>
                <w:rFonts w:ascii="宋体" w:hAnsi="宋体"/>
                <w:color w:val="auto"/>
                <w:szCs w:val="24"/>
              </w:rPr>
            </w:pPr>
            <w:r>
              <w:rPr>
                <w:color w:val="auto"/>
              </w:rPr>
              <w:drawing>
                <wp:inline distT="0" distB="0" distL="0" distR="0">
                  <wp:extent cx="4579620" cy="4822190"/>
                  <wp:effectExtent l="0" t="0" r="0" b="0"/>
                  <wp:docPr id="459578561" name="图片 45957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1" name="图片 459578561"/>
                          <pic:cNvPicPr>
                            <a:picLocks noChangeAspect="1"/>
                          </pic:cNvPicPr>
                        </pic:nvPicPr>
                        <pic:blipFill>
                          <a:blip r:embed="rId16"/>
                          <a:stretch>
                            <a:fillRect/>
                          </a:stretch>
                        </pic:blipFill>
                        <pic:spPr>
                          <a:xfrm>
                            <a:off x="0" y="0"/>
                            <a:ext cx="4584457" cy="4827071"/>
                          </a:xfrm>
                          <a:prstGeom prst="rect">
                            <a:avLst/>
                          </a:prstGeom>
                        </pic:spPr>
                      </pic:pic>
                    </a:graphicData>
                  </a:graphic>
                </wp:inline>
              </w:drawing>
            </w:r>
          </w:p>
        </w:tc>
      </w:tr>
      <w:tr w14:paraId="4FABA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shd w:val="clear" w:color="auto" w:fill="auto"/>
            <w:vAlign w:val="center"/>
          </w:tcPr>
          <w:p w14:paraId="71664E5E">
            <w:pPr>
              <w:jc w:val="center"/>
              <w:rPr>
                <w:rFonts w:ascii="宋体" w:hAnsi="宋体" w:cs="宋体"/>
                <w:color w:val="auto"/>
              </w:rPr>
            </w:pPr>
            <w:r>
              <w:rPr>
                <w:rFonts w:ascii="宋体" w:hAnsi="宋体" w:cs="宋体"/>
                <w:color w:val="auto"/>
              </w:rPr>
              <w:t>FJF11-X115</w:t>
            </w:r>
          </w:p>
        </w:tc>
      </w:tr>
    </w:tbl>
    <w:p w14:paraId="54656750">
      <w:pPr>
        <w:pStyle w:val="15"/>
        <w:spacing w:before="120"/>
        <w:rPr>
          <w:color w:val="auto"/>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2</w:t>
      </w:r>
      <w:r>
        <w:rPr>
          <w:color w:val="auto"/>
        </w:rPr>
        <w:fldChar w:fldCharType="end"/>
      </w:r>
      <w:r>
        <w:rPr>
          <w:color w:val="auto"/>
        </w:rPr>
        <w:t xml:space="preserve"> </w:t>
      </w:r>
      <w:r>
        <w:rPr>
          <w:rFonts w:hint="eastAsia"/>
          <w:color w:val="auto"/>
        </w:rPr>
        <w:t>井身结构图</w:t>
      </w:r>
    </w:p>
    <w:p w14:paraId="5B2C65E1">
      <w:pPr>
        <w:pStyle w:val="4"/>
        <w:ind w:firstLine="480"/>
        <w:rPr>
          <w:color w:val="auto"/>
        </w:rPr>
        <w:sectPr>
          <w:pgSz w:w="11906" w:h="16838"/>
          <w:pgMar w:top="1418" w:right="1588" w:bottom="1418" w:left="1588" w:header="1134" w:footer="851" w:gutter="0"/>
          <w:cols w:space="720" w:num="1"/>
          <w:docGrid w:linePitch="312" w:charSpace="0"/>
        </w:sectPr>
      </w:pPr>
    </w:p>
    <w:p w14:paraId="2ABB5EB8">
      <w:pPr>
        <w:pStyle w:val="4"/>
        <w:ind w:firstLine="480"/>
        <w:rPr>
          <w:color w:val="auto"/>
        </w:rPr>
      </w:pPr>
      <w:r>
        <w:rPr>
          <w:rFonts w:hint="eastAsia"/>
          <w:color w:val="auto"/>
        </w:rPr>
        <w:t>3）钻井液体系</w:t>
      </w:r>
    </w:p>
    <w:p w14:paraId="4A1B3E91">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5</w:t>
      </w:r>
      <w:r>
        <w:rPr>
          <w:color w:val="auto"/>
        </w:rPr>
        <w:fldChar w:fldCharType="end"/>
      </w:r>
      <w:r>
        <w:rPr>
          <w:color w:val="auto"/>
        </w:rPr>
        <w:t xml:space="preserve"> </w:t>
      </w:r>
      <w:r>
        <w:rPr>
          <w:rFonts w:hint="eastAsia"/>
          <w:color w:val="auto"/>
        </w:rPr>
        <w:t>本期工程新钻井分段钻井液体系（以</w:t>
      </w:r>
      <w:r>
        <w:rPr>
          <w:rFonts w:hint="eastAsia" w:hAnsi="宋体"/>
          <w:color w:val="auto"/>
        </w:rPr>
        <w:t>FJF11-X115</w:t>
      </w:r>
      <w:r>
        <w:rPr>
          <w:rFonts w:hint="eastAsia"/>
          <w:color w:val="auto"/>
        </w:rPr>
        <w:t>为例）</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0"/>
        <w:gridCol w:w="4360"/>
      </w:tblGrid>
      <w:tr w14:paraId="3B108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shd w:val="clear" w:color="auto" w:fill="auto"/>
            <w:vAlign w:val="center"/>
          </w:tcPr>
          <w:p w14:paraId="091BED47">
            <w:pPr>
              <w:jc w:val="center"/>
              <w:rPr>
                <w:rFonts w:ascii="宋体" w:hAnsi="宋体"/>
                <w:color w:val="auto"/>
              </w:rPr>
            </w:pPr>
            <w:r>
              <w:rPr>
                <w:rFonts w:hint="eastAsia" w:ascii="宋体" w:hAnsi="宋体"/>
                <w:color w:val="auto"/>
              </w:rPr>
              <w:t>井段</w:t>
            </w:r>
          </w:p>
        </w:tc>
        <w:tc>
          <w:tcPr>
            <w:tcW w:w="2500" w:type="pct"/>
            <w:shd w:val="clear" w:color="auto" w:fill="auto"/>
            <w:vAlign w:val="center"/>
          </w:tcPr>
          <w:p w14:paraId="1AD28C46">
            <w:pPr>
              <w:jc w:val="center"/>
              <w:rPr>
                <w:rFonts w:ascii="宋体" w:hAnsi="宋体"/>
                <w:color w:val="auto"/>
              </w:rPr>
            </w:pPr>
            <w:r>
              <w:rPr>
                <w:rFonts w:hint="eastAsia" w:ascii="宋体" w:hAnsi="宋体"/>
                <w:color w:val="auto"/>
              </w:rPr>
              <w:t>钻井液体系</w:t>
            </w:r>
          </w:p>
        </w:tc>
      </w:tr>
      <w:tr w14:paraId="1FB67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shd w:val="clear" w:color="auto" w:fill="auto"/>
            <w:vAlign w:val="center"/>
          </w:tcPr>
          <w:p w14:paraId="3B9A7FDC">
            <w:pPr>
              <w:jc w:val="center"/>
              <w:rPr>
                <w:rFonts w:ascii="宋体" w:hAnsi="宋体"/>
                <w:color w:val="auto"/>
              </w:rPr>
            </w:pPr>
            <w:r>
              <w:rPr>
                <w:rFonts w:hint="eastAsia" w:ascii="宋体" w:hAnsi="宋体"/>
                <w:color w:val="auto"/>
              </w:rPr>
              <w:t>一开</w:t>
            </w:r>
          </w:p>
        </w:tc>
        <w:tc>
          <w:tcPr>
            <w:tcW w:w="2500" w:type="pct"/>
            <w:shd w:val="clear" w:color="auto" w:fill="auto"/>
            <w:vAlign w:val="center"/>
          </w:tcPr>
          <w:p w14:paraId="7EE2524B">
            <w:pPr>
              <w:jc w:val="center"/>
              <w:rPr>
                <w:rFonts w:ascii="宋体" w:hAnsi="宋体"/>
                <w:color w:val="auto"/>
              </w:rPr>
            </w:pPr>
            <w:r>
              <w:rPr>
                <w:rFonts w:hint="eastAsia" w:ascii="宋体" w:hAnsi="宋体"/>
                <w:color w:val="auto"/>
              </w:rPr>
              <w:t>土浆</w:t>
            </w:r>
          </w:p>
        </w:tc>
      </w:tr>
      <w:tr w14:paraId="2A16F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shd w:val="clear" w:color="auto" w:fill="auto"/>
            <w:vAlign w:val="center"/>
          </w:tcPr>
          <w:p w14:paraId="5B432DD8">
            <w:pPr>
              <w:jc w:val="center"/>
              <w:rPr>
                <w:rFonts w:ascii="宋体" w:hAnsi="宋体"/>
                <w:color w:val="auto"/>
              </w:rPr>
            </w:pPr>
            <w:r>
              <w:rPr>
                <w:rFonts w:hint="eastAsia" w:ascii="宋体" w:hAnsi="宋体"/>
                <w:color w:val="auto"/>
              </w:rPr>
              <w:t>二开</w:t>
            </w:r>
          </w:p>
        </w:tc>
        <w:tc>
          <w:tcPr>
            <w:tcW w:w="2500" w:type="pct"/>
            <w:shd w:val="clear" w:color="auto" w:fill="auto"/>
            <w:vAlign w:val="center"/>
          </w:tcPr>
          <w:p w14:paraId="3D0A8D1F">
            <w:pPr>
              <w:jc w:val="center"/>
              <w:rPr>
                <w:rFonts w:ascii="宋体" w:hAnsi="宋体"/>
                <w:color w:val="auto"/>
              </w:rPr>
            </w:pPr>
            <w:r>
              <w:rPr>
                <w:rFonts w:hint="eastAsia" w:ascii="宋体" w:hAnsi="宋体"/>
                <w:color w:val="auto"/>
              </w:rPr>
              <w:t>钙处理-聚合物润滑钻井液</w:t>
            </w:r>
          </w:p>
        </w:tc>
      </w:tr>
      <w:tr w14:paraId="13326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shd w:val="clear" w:color="auto" w:fill="auto"/>
            <w:vAlign w:val="center"/>
          </w:tcPr>
          <w:p w14:paraId="437B898A">
            <w:pPr>
              <w:jc w:val="center"/>
              <w:rPr>
                <w:rFonts w:ascii="宋体" w:hAnsi="宋体"/>
                <w:color w:val="auto"/>
              </w:rPr>
            </w:pPr>
            <w:r>
              <w:rPr>
                <w:rFonts w:hint="eastAsia" w:ascii="宋体" w:hAnsi="宋体"/>
                <w:color w:val="auto"/>
              </w:rPr>
              <w:t>二开</w:t>
            </w:r>
          </w:p>
        </w:tc>
        <w:tc>
          <w:tcPr>
            <w:tcW w:w="2500" w:type="pct"/>
            <w:shd w:val="clear" w:color="auto" w:fill="auto"/>
            <w:vAlign w:val="center"/>
          </w:tcPr>
          <w:p w14:paraId="1FF3E76C">
            <w:pPr>
              <w:jc w:val="center"/>
              <w:rPr>
                <w:rFonts w:ascii="宋体" w:hAnsi="宋体"/>
                <w:color w:val="auto"/>
              </w:rPr>
            </w:pPr>
            <w:r>
              <w:rPr>
                <w:rFonts w:hint="eastAsia" w:ascii="宋体" w:hAnsi="宋体"/>
                <w:color w:val="auto"/>
              </w:rPr>
              <w:t>聚合物润滑封堵防塌钻井液</w:t>
            </w:r>
          </w:p>
        </w:tc>
      </w:tr>
    </w:tbl>
    <w:p w14:paraId="5B6BC496">
      <w:pPr>
        <w:rPr>
          <w:color w:val="auto"/>
        </w:rPr>
      </w:pPr>
    </w:p>
    <w:p w14:paraId="3B759946">
      <w:pPr>
        <w:pStyle w:val="4"/>
        <w:ind w:firstLine="480"/>
        <w:rPr>
          <w:color w:val="auto"/>
        </w:rPr>
      </w:pPr>
      <w:r>
        <w:rPr>
          <w:rFonts w:hint="eastAsia"/>
          <w:color w:val="auto"/>
        </w:rPr>
        <w:t>环评阶段设计定向井一开采用土浆钻井液，二开上部井段采用钙处理钻井液，二开下部井段采用聚合物润滑防塌钻井液，本次验收新钻井与环评阶段一致。</w:t>
      </w:r>
    </w:p>
    <w:p w14:paraId="15C57876">
      <w:pPr>
        <w:pStyle w:val="4"/>
        <w:ind w:firstLine="480"/>
        <w:rPr>
          <w:color w:val="auto"/>
        </w:rPr>
        <w:sectPr>
          <w:pgSz w:w="11906" w:h="16838"/>
          <w:pgMar w:top="1418" w:right="1588" w:bottom="1418" w:left="1588" w:header="1134" w:footer="851" w:gutter="0"/>
          <w:cols w:space="720" w:num="1"/>
          <w:docGrid w:linePitch="312" w:charSpace="0"/>
        </w:sectPr>
      </w:pPr>
    </w:p>
    <w:p w14:paraId="66D99065">
      <w:pPr>
        <w:pStyle w:val="6"/>
        <w:rPr>
          <w:color w:val="auto"/>
        </w:rPr>
      </w:pPr>
      <w:r>
        <w:rPr>
          <w:rFonts w:hint="eastAsia"/>
          <w:color w:val="auto"/>
        </w:rPr>
        <w:t>采油工程</w:t>
      </w:r>
    </w:p>
    <w:p w14:paraId="318D4E19">
      <w:pPr>
        <w:pStyle w:val="4"/>
        <w:ind w:firstLine="480"/>
        <w:rPr>
          <w:rFonts w:cs="宋体"/>
          <w:color w:val="auto"/>
          <w:kern w:val="0"/>
        </w:rPr>
      </w:pPr>
      <w:r>
        <w:rPr>
          <w:rFonts w:hint="eastAsia"/>
          <w:color w:val="auto"/>
        </w:rPr>
        <w:t>本期工程新建</w:t>
      </w:r>
      <w:r>
        <w:rPr>
          <w:color w:val="auto"/>
        </w:rPr>
        <w:t>9</w:t>
      </w:r>
      <w:r>
        <w:rPr>
          <w:rFonts w:hint="eastAsia"/>
          <w:color w:val="auto"/>
        </w:rPr>
        <w:t>座游梁式抽油机，</w:t>
      </w:r>
      <w:r>
        <w:rPr>
          <w:rFonts w:hint="eastAsia" w:cs="宋体"/>
          <w:color w:val="auto"/>
        </w:rPr>
        <w:t>包含井口控制柜。新建了采油井口装置</w:t>
      </w:r>
      <w:r>
        <w:rPr>
          <w:rFonts w:cs="宋体"/>
          <w:color w:val="auto"/>
        </w:rPr>
        <w:t>16</w:t>
      </w:r>
      <w:r>
        <w:rPr>
          <w:rFonts w:hint="eastAsia" w:cs="宋体"/>
          <w:color w:val="auto"/>
        </w:rPr>
        <w:t>套。</w:t>
      </w:r>
      <w:r>
        <w:rPr>
          <w:rFonts w:hint="eastAsia" w:cs="宋体"/>
          <w:color w:val="auto"/>
        </w:rPr>
        <w:t>油井中9口均采用注水开发方式，8口处于自喷状态</w:t>
      </w:r>
      <w:r>
        <w:rPr>
          <w:rFonts w:hint="eastAsia" w:cs="宋体"/>
          <w:color w:val="auto"/>
          <w:kern w:val="0"/>
        </w:rPr>
        <w:t>。各井场建设情况见</w:t>
      </w:r>
      <w:r>
        <w:rPr>
          <w:rFonts w:cs="宋体"/>
          <w:color w:val="auto"/>
          <w:kern w:val="0"/>
        </w:rPr>
        <w:fldChar w:fldCharType="begin"/>
      </w:r>
      <w:r>
        <w:instrText xml:space="preserve"> REF _Ref223537359 \h  \* MERGEFORMAT</w:instrText>
      </w:r>
      <w:r>
        <w:rPr>
          <w:rFonts w:cs="宋体"/>
          <w:color w:val="auto"/>
          <w:kern w:val="0"/>
        </w:rPr>
        <w:fldChar w:fldCharType="separate"/>
      </w:r>
      <w:r>
        <w:rPr>
          <w:rFonts w:hint="eastAsia"/>
          <w:color w:val="auto"/>
        </w:rPr>
        <w:t xml:space="preserve">图 </w:t>
      </w:r>
      <w:r>
        <w:rPr>
          <w:color w:val="auto"/>
        </w:rPr>
        <w:t>3.2</w:t>
      </w:r>
      <w:r>
        <w:rPr>
          <w:color w:val="auto"/>
        </w:rPr>
        <w:noBreakHyphen/>
      </w:r>
      <w:r>
        <w:rPr>
          <w:color w:val="auto"/>
        </w:rPr>
        <w:t>3</w:t>
      </w:r>
      <w:r>
        <w:rPr>
          <w:rFonts w:cs="宋体"/>
          <w:color w:val="auto"/>
          <w:kern w:val="0"/>
        </w:rPr>
        <w:fldChar w:fldCharType="end"/>
      </w:r>
      <w:r>
        <w:rPr>
          <w:rFonts w:hint="eastAsia" w:cs="宋体"/>
          <w:color w:val="auto"/>
          <w:kern w:val="0"/>
        </w:rPr>
        <w:t>。</w:t>
      </w:r>
    </w:p>
    <w:tbl>
      <w:tblPr>
        <w:tblStyle w:val="46"/>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0"/>
        <w:gridCol w:w="4360"/>
      </w:tblGrid>
      <w:tr w14:paraId="5D22D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6DD28005">
            <w:pPr>
              <w:widowControl/>
              <w:adjustRightInd w:val="0"/>
              <w:snapToGrid w:val="0"/>
              <w:jc w:val="center"/>
              <w:rPr>
                <w:rFonts w:ascii="宋体" w:hAnsi="宋体" w:cs="宋体"/>
                <w:snapToGrid w:val="0"/>
                <w:color w:val="auto"/>
                <w:kern w:val="0"/>
              </w:rPr>
            </w:pPr>
            <w:r>
              <w:rPr>
                <w:color w:val="auto"/>
              </w:rPr>
              <w:drawing>
                <wp:inline distT="0" distB="0" distL="0" distR="0">
                  <wp:extent cx="2631440" cy="30892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7"/>
                          <a:stretch>
                            <a:fillRect/>
                          </a:stretch>
                        </pic:blipFill>
                        <pic:spPr>
                          <a:xfrm>
                            <a:off x="0" y="0"/>
                            <a:ext cx="2631440" cy="3089275"/>
                          </a:xfrm>
                          <a:prstGeom prst="rect">
                            <a:avLst/>
                          </a:prstGeom>
                        </pic:spPr>
                      </pic:pic>
                    </a:graphicData>
                  </a:graphic>
                </wp:inline>
              </w:drawing>
            </w:r>
          </w:p>
        </w:tc>
        <w:tc>
          <w:tcPr>
            <w:tcW w:w="4360" w:type="dxa"/>
            <w:vAlign w:val="center"/>
          </w:tcPr>
          <w:p w14:paraId="6702F772">
            <w:pPr>
              <w:adjustRightInd w:val="0"/>
              <w:snapToGrid w:val="0"/>
              <w:jc w:val="center"/>
              <w:rPr>
                <w:rFonts w:ascii="宋体" w:hAnsi="宋体" w:cs="宋体"/>
                <w:snapToGrid w:val="0"/>
                <w:color w:val="auto"/>
                <w:kern w:val="0"/>
              </w:rPr>
            </w:pPr>
            <w:r>
              <w:rPr>
                <w:color w:val="auto"/>
              </w:rPr>
              <w:drawing>
                <wp:inline distT="0" distB="0" distL="0" distR="0">
                  <wp:extent cx="2631440" cy="1953260"/>
                  <wp:effectExtent l="0" t="0" r="0" b="88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8"/>
                          <a:stretch>
                            <a:fillRect/>
                          </a:stretch>
                        </pic:blipFill>
                        <pic:spPr>
                          <a:xfrm>
                            <a:off x="0" y="0"/>
                            <a:ext cx="2631440" cy="1953260"/>
                          </a:xfrm>
                          <a:prstGeom prst="rect">
                            <a:avLst/>
                          </a:prstGeom>
                        </pic:spPr>
                      </pic:pic>
                    </a:graphicData>
                  </a:graphic>
                </wp:inline>
              </w:drawing>
            </w:r>
          </w:p>
        </w:tc>
      </w:tr>
      <w:tr w14:paraId="5D9B0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1AA7BB65">
            <w:pPr>
              <w:widowControl/>
              <w:adjustRightInd w:val="0"/>
              <w:snapToGrid w:val="0"/>
              <w:jc w:val="center"/>
              <w:rPr>
                <w:rFonts w:ascii="宋体" w:hAnsi="宋体" w:cs="宋体"/>
                <w:snapToGrid w:val="0"/>
                <w:color w:val="auto"/>
                <w:kern w:val="0"/>
              </w:rPr>
            </w:pPr>
            <w:r>
              <w:rPr>
                <w:rFonts w:hint="eastAsia" w:ascii="宋体" w:hAnsi="宋体" w:cs="宋体"/>
                <w:snapToGrid w:val="0"/>
                <w:color w:val="auto"/>
                <w:kern w:val="0"/>
              </w:rPr>
              <w:t>1#：</w:t>
            </w:r>
            <w:r>
              <w:rPr>
                <w:rFonts w:hint="eastAsia" w:ascii="宋体" w:hAnsi="宋体" w:cs="宋体"/>
                <w:color w:val="auto"/>
                <w:kern w:val="0"/>
              </w:rPr>
              <w:t>FJFS-X2</w:t>
            </w:r>
          </w:p>
        </w:tc>
        <w:tc>
          <w:tcPr>
            <w:tcW w:w="4360" w:type="dxa"/>
            <w:vAlign w:val="center"/>
          </w:tcPr>
          <w:p w14:paraId="485B013D">
            <w:pPr>
              <w:widowControl/>
              <w:adjustRightInd w:val="0"/>
              <w:snapToGrid w:val="0"/>
              <w:jc w:val="center"/>
              <w:rPr>
                <w:rFonts w:ascii="宋体" w:hAnsi="宋体" w:cs="宋体"/>
                <w:snapToGrid w:val="0"/>
                <w:color w:val="auto"/>
                <w:kern w:val="0"/>
              </w:rPr>
            </w:pPr>
            <w:r>
              <w:rPr>
                <w:rFonts w:hint="eastAsia" w:ascii="宋体" w:hAnsi="宋体" w:cs="宋体"/>
                <w:snapToGrid w:val="0"/>
                <w:color w:val="auto"/>
                <w:kern w:val="0"/>
              </w:rPr>
              <w:t>2#：</w:t>
            </w:r>
            <w:r>
              <w:rPr>
                <w:rFonts w:hint="eastAsia" w:ascii="宋体" w:hAnsi="宋体" w:cs="宋体"/>
                <w:color w:val="auto"/>
                <w:kern w:val="0"/>
              </w:rPr>
              <w:t>FJF163-X27、X</w:t>
            </w:r>
            <w:r>
              <w:rPr>
                <w:rFonts w:ascii="宋体" w:hAnsi="宋体" w:cs="宋体"/>
                <w:color w:val="auto"/>
                <w:kern w:val="0"/>
              </w:rPr>
              <w:t>18</w:t>
            </w:r>
          </w:p>
        </w:tc>
      </w:tr>
      <w:tr w14:paraId="3D27C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4C27A9A0">
            <w:pPr>
              <w:widowControl/>
              <w:adjustRightInd w:val="0"/>
              <w:snapToGrid w:val="0"/>
              <w:jc w:val="center"/>
              <w:rPr>
                <w:rFonts w:ascii="宋体" w:hAnsi="宋体" w:cs="宋体"/>
                <w:snapToGrid w:val="0"/>
                <w:color w:val="auto"/>
                <w:kern w:val="0"/>
              </w:rPr>
            </w:pPr>
            <w:r>
              <w:rPr>
                <w:color w:val="auto"/>
              </w:rPr>
              <w:drawing>
                <wp:inline distT="0" distB="0" distL="0" distR="0">
                  <wp:extent cx="2631440" cy="3218815"/>
                  <wp:effectExtent l="0" t="0" r="0" b="63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9"/>
                          <a:stretch>
                            <a:fillRect/>
                          </a:stretch>
                        </pic:blipFill>
                        <pic:spPr>
                          <a:xfrm>
                            <a:off x="0" y="0"/>
                            <a:ext cx="2631440" cy="3218815"/>
                          </a:xfrm>
                          <a:prstGeom prst="rect">
                            <a:avLst/>
                          </a:prstGeom>
                        </pic:spPr>
                      </pic:pic>
                    </a:graphicData>
                  </a:graphic>
                </wp:inline>
              </w:drawing>
            </w:r>
          </w:p>
        </w:tc>
        <w:tc>
          <w:tcPr>
            <w:tcW w:w="4360" w:type="dxa"/>
            <w:vAlign w:val="center"/>
          </w:tcPr>
          <w:p w14:paraId="1DFC1105">
            <w:pPr>
              <w:keepNext/>
              <w:widowControl/>
              <w:adjustRightInd w:val="0"/>
              <w:snapToGrid w:val="0"/>
              <w:jc w:val="center"/>
              <w:rPr>
                <w:rFonts w:ascii="宋体" w:hAnsi="宋体" w:cs="宋体"/>
                <w:snapToGrid w:val="0"/>
                <w:color w:val="auto"/>
                <w:kern w:val="0"/>
              </w:rPr>
            </w:pPr>
            <w:r>
              <w:rPr>
                <w:color w:val="auto"/>
              </w:rPr>
              <w:drawing>
                <wp:inline distT="0" distB="0" distL="0" distR="0">
                  <wp:extent cx="2631440" cy="2665730"/>
                  <wp:effectExtent l="0" t="0" r="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0"/>
                          <a:stretch>
                            <a:fillRect/>
                          </a:stretch>
                        </pic:blipFill>
                        <pic:spPr>
                          <a:xfrm>
                            <a:off x="0" y="0"/>
                            <a:ext cx="2631440" cy="2665730"/>
                          </a:xfrm>
                          <a:prstGeom prst="rect">
                            <a:avLst/>
                          </a:prstGeom>
                        </pic:spPr>
                      </pic:pic>
                    </a:graphicData>
                  </a:graphic>
                </wp:inline>
              </w:drawing>
            </w:r>
          </w:p>
        </w:tc>
      </w:tr>
      <w:tr w14:paraId="1751B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2B2C1238">
            <w:pPr>
              <w:widowControl/>
              <w:adjustRightInd w:val="0"/>
              <w:snapToGrid w:val="0"/>
              <w:jc w:val="center"/>
              <w:rPr>
                <w:rFonts w:ascii="宋体" w:hAnsi="宋体" w:cs="宋体"/>
                <w:snapToGrid w:val="0"/>
                <w:color w:val="auto"/>
                <w:kern w:val="0"/>
              </w:rPr>
            </w:pPr>
            <w:r>
              <w:rPr>
                <w:rFonts w:ascii="宋体" w:hAnsi="宋体" w:cs="宋体"/>
                <w:snapToGrid w:val="0"/>
                <w:color w:val="auto"/>
                <w:kern w:val="0"/>
              </w:rPr>
              <w:t>3</w:t>
            </w:r>
            <w:r>
              <w:rPr>
                <w:rFonts w:hint="eastAsia" w:ascii="宋体" w:hAnsi="宋体" w:cs="宋体"/>
                <w:snapToGrid w:val="0"/>
                <w:color w:val="auto"/>
                <w:kern w:val="0"/>
              </w:rPr>
              <w:t>#：</w:t>
            </w:r>
            <w:r>
              <w:rPr>
                <w:rFonts w:hint="eastAsia" w:ascii="宋体" w:hAnsi="宋体" w:cs="宋体"/>
                <w:color w:val="auto"/>
                <w:kern w:val="0"/>
              </w:rPr>
              <w:t>FJF163-X</w:t>
            </w:r>
            <w:r>
              <w:rPr>
                <w:rFonts w:ascii="宋体" w:hAnsi="宋体" w:cs="宋体"/>
                <w:color w:val="auto"/>
                <w:kern w:val="0"/>
              </w:rPr>
              <w:t>17</w:t>
            </w:r>
          </w:p>
        </w:tc>
        <w:tc>
          <w:tcPr>
            <w:tcW w:w="4360" w:type="dxa"/>
            <w:vAlign w:val="center"/>
          </w:tcPr>
          <w:p w14:paraId="21E99407">
            <w:pPr>
              <w:widowControl/>
              <w:adjustRightInd w:val="0"/>
              <w:snapToGrid w:val="0"/>
              <w:jc w:val="center"/>
              <w:rPr>
                <w:rFonts w:ascii="宋体" w:hAnsi="宋体" w:cs="宋体"/>
                <w:snapToGrid w:val="0"/>
                <w:color w:val="auto"/>
                <w:kern w:val="0"/>
              </w:rPr>
            </w:pPr>
            <w:r>
              <w:rPr>
                <w:rFonts w:ascii="宋体" w:hAnsi="宋体" w:cs="宋体"/>
                <w:snapToGrid w:val="0"/>
                <w:color w:val="auto"/>
                <w:kern w:val="0"/>
              </w:rPr>
              <w:t>4#</w:t>
            </w:r>
            <w:r>
              <w:rPr>
                <w:rFonts w:hint="eastAsia" w:ascii="宋体" w:hAnsi="宋体" w:cs="宋体"/>
                <w:color w:val="auto"/>
                <w:kern w:val="0"/>
              </w:rPr>
              <w:t xml:space="preserve"> FJF18-X16</w:t>
            </w:r>
          </w:p>
        </w:tc>
      </w:tr>
      <w:tr w14:paraId="33D49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2"/>
            <w:vAlign w:val="center"/>
          </w:tcPr>
          <w:p w14:paraId="06720CE0">
            <w:pPr>
              <w:widowControl/>
              <w:adjustRightInd w:val="0"/>
              <w:snapToGrid w:val="0"/>
              <w:jc w:val="center"/>
              <w:rPr>
                <w:rFonts w:ascii="宋体" w:hAnsi="宋体" w:cs="宋体"/>
                <w:snapToGrid w:val="0"/>
                <w:color w:val="auto"/>
                <w:kern w:val="0"/>
              </w:rPr>
            </w:pPr>
            <w:r>
              <w:rPr>
                <w:color w:val="auto"/>
              </w:rPr>
              <w:drawing>
                <wp:inline distT="0" distB="0" distL="0" distR="0">
                  <wp:extent cx="2631440" cy="2825115"/>
                  <wp:effectExtent l="0" t="0" r="0" b="0"/>
                  <wp:docPr id="459578576" name="图片 45957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6" name="图片 459578576"/>
                          <pic:cNvPicPr>
                            <a:picLocks noChangeAspect="1"/>
                          </pic:cNvPicPr>
                        </pic:nvPicPr>
                        <pic:blipFill>
                          <a:blip r:embed="rId21"/>
                          <a:stretch>
                            <a:fillRect/>
                          </a:stretch>
                        </pic:blipFill>
                        <pic:spPr>
                          <a:xfrm>
                            <a:off x="0" y="0"/>
                            <a:ext cx="2631440" cy="2825115"/>
                          </a:xfrm>
                          <a:prstGeom prst="rect">
                            <a:avLst/>
                          </a:prstGeom>
                        </pic:spPr>
                      </pic:pic>
                    </a:graphicData>
                  </a:graphic>
                </wp:inline>
              </w:drawing>
            </w:r>
          </w:p>
        </w:tc>
      </w:tr>
      <w:tr w14:paraId="57ED2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2"/>
            <w:vAlign w:val="center"/>
          </w:tcPr>
          <w:p w14:paraId="6B89C614">
            <w:pPr>
              <w:widowControl/>
              <w:adjustRightInd w:val="0"/>
              <w:snapToGrid w:val="0"/>
              <w:jc w:val="center"/>
              <w:rPr>
                <w:rFonts w:ascii="宋体" w:hAnsi="宋体" w:cs="宋体"/>
                <w:snapToGrid w:val="0"/>
                <w:color w:val="auto"/>
                <w:kern w:val="0"/>
              </w:rPr>
            </w:pPr>
            <w:r>
              <w:rPr>
                <w:rFonts w:ascii="宋体" w:hAnsi="宋体" w:cs="宋体"/>
                <w:snapToGrid w:val="0"/>
                <w:color w:val="auto"/>
                <w:kern w:val="0"/>
              </w:rPr>
              <w:t>4#</w:t>
            </w:r>
            <w:r>
              <w:rPr>
                <w:rFonts w:hint="eastAsia" w:ascii="宋体" w:hAnsi="宋体" w:cs="宋体"/>
                <w:color w:val="auto"/>
                <w:kern w:val="0"/>
              </w:rPr>
              <w:t xml:space="preserve"> FJF18-X16</w:t>
            </w:r>
            <w:r>
              <w:rPr>
                <w:rFonts w:ascii="宋体" w:hAnsi="宋体" w:cs="宋体"/>
                <w:color w:val="auto"/>
                <w:kern w:val="0"/>
              </w:rPr>
              <w:t>-</w:t>
            </w:r>
            <w:r>
              <w:rPr>
                <w:rFonts w:hint="eastAsia" w:ascii="宋体" w:hAnsi="宋体" w:cs="宋体"/>
                <w:color w:val="auto"/>
                <w:kern w:val="0"/>
              </w:rPr>
              <w:t>加热炉及高架罐（依托）</w:t>
            </w:r>
          </w:p>
        </w:tc>
      </w:tr>
      <w:tr w14:paraId="43CD8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2"/>
            <w:vAlign w:val="center"/>
          </w:tcPr>
          <w:p w14:paraId="3BB67847">
            <w:pPr>
              <w:widowControl/>
              <w:adjustRightInd w:val="0"/>
              <w:snapToGrid w:val="0"/>
              <w:jc w:val="center"/>
              <w:rPr>
                <w:rFonts w:ascii="宋体" w:hAnsi="宋体" w:cs="宋体"/>
                <w:snapToGrid w:val="0"/>
                <w:color w:val="auto"/>
                <w:kern w:val="0"/>
              </w:rPr>
            </w:pPr>
            <w:r>
              <w:rPr>
                <w:color w:val="auto"/>
              </w:rPr>
              <mc:AlternateContent>
                <mc:Choice Requires="wps">
                  <w:drawing>
                    <wp:anchor distT="0" distB="0" distL="114300" distR="114300" simplePos="0" relativeHeight="251662336" behindDoc="0" locked="0" layoutInCell="1" allowOverlap="1">
                      <wp:simplePos x="0" y="0"/>
                      <wp:positionH relativeFrom="column">
                        <wp:posOffset>1126490</wp:posOffset>
                      </wp:positionH>
                      <wp:positionV relativeFrom="paragraph">
                        <wp:posOffset>3549015</wp:posOffset>
                      </wp:positionV>
                      <wp:extent cx="819150" cy="266065"/>
                      <wp:effectExtent l="0" t="0" r="0" b="635"/>
                      <wp:wrapNone/>
                      <wp:docPr id="63" name="矩形 63"/>
                      <wp:cNvGraphicFramePr/>
                      <a:graphic xmlns:a="http://schemas.openxmlformats.org/drawingml/2006/main">
                        <a:graphicData uri="http://schemas.microsoft.com/office/word/2010/wordprocessingShape">
                          <wps:wsp>
                            <wps:cNvSpPr/>
                            <wps:spPr>
                              <a:xfrm>
                                <a:off x="0" y="0"/>
                                <a:ext cx="819150" cy="2660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0BA67">
                                  <w:pPr>
                                    <w:jc w:val="center"/>
                                    <w:rPr>
                                      <w:rFonts w:ascii="宋体" w:hAnsi="宋体"/>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w:t>
                                  </w:r>
                                  <w:r>
                                    <w:rPr>
                                      <w:rFonts w:hint="eastAsia" w:ascii="宋体" w:hAnsi="宋体"/>
                                      <w:color w:val="000000" w:themeColor="text1"/>
                                      <w14:textFill>
                                        <w14:solidFill>
                                          <w14:schemeClr w14:val="tx1"/>
                                        </w14:solidFill>
                                      </w14:textFill>
                                    </w:rPr>
                                    <w:t>F18-X2</w:t>
                                  </w:r>
                                  <w:r>
                                    <w:rPr>
                                      <w:rFonts w:ascii="宋体" w:hAnsi="宋体"/>
                                      <w:color w:val="000000" w:themeColor="text1"/>
                                      <w14:textFill>
                                        <w14:solidFill>
                                          <w14:schemeClr w14:val="tx1"/>
                                        </w14:solidFill>
                                      </w14:textFill>
                                    </w:rPr>
                                    <w:t>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7pt;margin-top:279.45pt;height:20.95pt;width:64.5pt;z-index:251662336;v-text-anchor:middle;mso-width-relative:page;mso-height-relative:page;" fillcolor="#FFFFFF [3212]" filled="t" stroked="f" coordsize="21600,21600" o:gfxdata="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vA9t42QAAAAsBAAAPAAAAAAAAAAEAIAAAACIAAABkcnMvZG93&#10;bnJldi54bWxQSwECFAAUAAAACACHTuJA5ozdeXECAADXBAAADgAAAAAAAAABACAAAAAoAQAAZHJz&#10;L2Uyb0RvYy54bWxQSwUGAAAAAAYABgBZAQAACwYAAAAA&#10;">
                      <v:fill on="t" focussize="0,0"/>
                      <v:stroke on="f" weight="1pt" miterlimit="8" joinstyle="miter"/>
                      <v:imagedata o:title=""/>
                      <o:lock v:ext="edit" aspectratio="f"/>
                      <v:textbox>
                        <w:txbxContent>
                          <w:p w14:paraId="35F0BA67">
                            <w:pPr>
                              <w:jc w:val="center"/>
                              <w:rPr>
                                <w:rFonts w:ascii="宋体" w:hAnsi="宋体"/>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w:t>
                            </w:r>
                            <w:r>
                              <w:rPr>
                                <w:rFonts w:hint="eastAsia" w:ascii="宋体" w:hAnsi="宋体"/>
                                <w:color w:val="000000" w:themeColor="text1"/>
                                <w14:textFill>
                                  <w14:solidFill>
                                    <w14:schemeClr w14:val="tx1"/>
                                  </w14:solidFill>
                                </w14:textFill>
                              </w:rPr>
                              <w:t>F18-X2</w:t>
                            </w:r>
                            <w:r>
                              <w:rPr>
                                <w:rFonts w:ascii="宋体" w:hAnsi="宋体"/>
                                <w:color w:val="000000" w:themeColor="text1"/>
                                <w14:textFill>
                                  <w14:solidFill>
                                    <w14:schemeClr w14:val="tx1"/>
                                  </w14:solidFill>
                                </w14:textFill>
                              </w:rPr>
                              <w:t>4</w:t>
                            </w:r>
                          </w:p>
                        </w:txbxContent>
                      </v:textbox>
                    </v:rect>
                  </w:pict>
                </mc:Fallback>
              </mc:AlternateContent>
            </w:r>
            <w:r>
              <w:rPr>
                <w:color w:val="auto"/>
              </w:rPr>
              <mc:AlternateContent>
                <mc:Choice Requires="wps">
                  <w:drawing>
                    <wp:anchor distT="0" distB="0" distL="114300" distR="114300" simplePos="0" relativeHeight="251659264" behindDoc="0" locked="0" layoutInCell="1" allowOverlap="1">
                      <wp:simplePos x="0" y="0"/>
                      <wp:positionH relativeFrom="column">
                        <wp:posOffset>4119880</wp:posOffset>
                      </wp:positionH>
                      <wp:positionV relativeFrom="paragraph">
                        <wp:posOffset>232410</wp:posOffset>
                      </wp:positionV>
                      <wp:extent cx="866775" cy="274955"/>
                      <wp:effectExtent l="0" t="0" r="9525" b="0"/>
                      <wp:wrapNone/>
                      <wp:docPr id="45" name="矩形 45"/>
                      <wp:cNvGraphicFramePr/>
                      <a:graphic xmlns:a="http://schemas.openxmlformats.org/drawingml/2006/main">
                        <a:graphicData uri="http://schemas.microsoft.com/office/word/2010/wordprocessingShape">
                          <wps:wsp>
                            <wps:cNvSpPr/>
                            <wps:spPr>
                              <a:xfrm>
                                <a:off x="0" y="0"/>
                                <a:ext cx="866775" cy="2749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2C59E7">
                                  <w:pPr>
                                    <w:jc w:val="center"/>
                                    <w:rPr>
                                      <w:rFonts w:ascii="宋体" w:hAnsi="宋体"/>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FJF18-X2</w:t>
                                  </w:r>
                                  <w:r>
                                    <w:rPr>
                                      <w:rFonts w:ascii="宋体" w:hAnsi="宋体" w:cs="宋体"/>
                                      <w:color w:val="000000" w:themeColor="text1"/>
                                      <w:kern w:val="0"/>
                                      <w14:textFill>
                                        <w14:solidFill>
                                          <w14:schemeClr w14:val="tx1"/>
                                        </w14:solidFill>
                                      </w14:textFill>
                                    </w:rPr>
                                    <w:t>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4.4pt;margin-top:18.3pt;height:21.65pt;width:68.25pt;z-index:251659264;v-text-anchor:middle;mso-width-relative:page;mso-height-relative:page;" fillcolor="#FFFFFF [3212]" filled="t" stroked="f" coordsize="21600,21600" o:gfxdata="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NzSlraAAAACQEAAA8AAAAAAAAAAQAgAAAAIgAAAGRycy9k&#10;b3ducmV2LnhtbFBLAQIUABQAAAAIAIdO4kBany+ZcgIAANcEAAAOAAAAAAAAAAEAIAAAACkBAABk&#10;cnMvZTJvRG9jLnhtbFBLBQYAAAAABgAGAFkBAAANBgAAAAA=&#10;">
                      <v:fill on="t" focussize="0,0"/>
                      <v:stroke on="f" weight="1pt" miterlimit="8" joinstyle="miter"/>
                      <v:imagedata o:title=""/>
                      <o:lock v:ext="edit" aspectratio="f"/>
                      <v:textbox>
                        <w:txbxContent>
                          <w:p w14:paraId="692C59E7">
                            <w:pPr>
                              <w:jc w:val="center"/>
                              <w:rPr>
                                <w:rFonts w:ascii="宋体" w:hAnsi="宋体"/>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FJF18-X2</w:t>
                            </w:r>
                            <w:r>
                              <w:rPr>
                                <w:rFonts w:ascii="宋体" w:hAnsi="宋体" w:cs="宋体"/>
                                <w:color w:val="000000" w:themeColor="text1"/>
                                <w:kern w:val="0"/>
                                <w14:textFill>
                                  <w14:solidFill>
                                    <w14:schemeClr w14:val="tx1"/>
                                  </w14:solidFill>
                                </w14:textFill>
                              </w:rPr>
                              <w:t>5</w:t>
                            </w:r>
                          </w:p>
                        </w:txbxContent>
                      </v:textbox>
                    </v:rect>
                  </w:pict>
                </mc:Fallback>
              </mc:AlternateContent>
            </w:r>
            <w:r>
              <w:rPr>
                <w:color w:val="auto"/>
              </w:rPr>
              <mc:AlternateContent>
                <mc:Choice Requires="wps">
                  <w:drawing>
                    <wp:anchor distT="0" distB="0" distL="114300" distR="114300" simplePos="0" relativeHeight="251660288" behindDoc="0" locked="0" layoutInCell="1" allowOverlap="1">
                      <wp:simplePos x="0" y="0"/>
                      <wp:positionH relativeFrom="column">
                        <wp:posOffset>2327275</wp:posOffset>
                      </wp:positionH>
                      <wp:positionV relativeFrom="paragraph">
                        <wp:posOffset>225425</wp:posOffset>
                      </wp:positionV>
                      <wp:extent cx="933450" cy="240030"/>
                      <wp:effectExtent l="0" t="0" r="0" b="7620"/>
                      <wp:wrapNone/>
                      <wp:docPr id="49" name="矩形 49"/>
                      <wp:cNvGraphicFramePr/>
                      <a:graphic xmlns:a="http://schemas.openxmlformats.org/drawingml/2006/main">
                        <a:graphicData uri="http://schemas.microsoft.com/office/word/2010/wordprocessingShape">
                          <wps:wsp>
                            <wps:cNvSpPr/>
                            <wps:spPr>
                              <a:xfrm>
                                <a:off x="0" y="0"/>
                                <a:ext cx="933450" cy="2400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3809C3">
                                  <w:pPr>
                                    <w:jc w:val="center"/>
                                    <w:rPr>
                                      <w:rFonts w:ascii="宋体" w:hAnsi="宋体"/>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w:t>
                                  </w:r>
                                  <w:r>
                                    <w:rPr>
                                      <w:rFonts w:hint="eastAsia" w:ascii="宋体" w:hAnsi="宋体"/>
                                      <w:color w:val="000000" w:themeColor="text1"/>
                                      <w14:textFill>
                                        <w14:solidFill>
                                          <w14:schemeClr w14:val="tx1"/>
                                        </w14:solidFill>
                                      </w14:textFill>
                                    </w:rPr>
                                    <w:t>F18-X2</w:t>
                                  </w:r>
                                  <w:r>
                                    <w:rPr>
                                      <w:rFonts w:ascii="宋体" w:hAnsi="宋体"/>
                                      <w:color w:val="000000" w:themeColor="text1"/>
                                      <w14:textFill>
                                        <w14:solidFill>
                                          <w14:schemeClr w14:val="tx1"/>
                                        </w14:solidFill>
                                      </w14:textFill>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25pt;margin-top:17.75pt;height:18.9pt;width:73.5pt;z-index:251660288;v-text-anchor:middle;mso-width-relative:page;mso-height-relative:page;" fillcolor="#FFFFFF [3212]" filled="t" stroked="f" coordsize="21600,21600" o:gfxdata="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oooPB2AAAAAkBAAAPAAAAAAAAAAEAIAAAACIAAABkcnMvZG93&#10;bnJldi54bWxQSwECFAAUAAAACACHTuJAly893nICAADXBAAADgAAAAAAAAABACAAAAAnAQAAZHJz&#10;L2Uyb0RvYy54bWxQSwUGAAAAAAYABgBZAQAACwYAAAAA&#10;">
                      <v:fill on="t" focussize="0,0"/>
                      <v:stroke on="f" weight="1pt" miterlimit="8" joinstyle="miter"/>
                      <v:imagedata o:title=""/>
                      <o:lock v:ext="edit" aspectratio="f"/>
                      <v:textbox>
                        <w:txbxContent>
                          <w:p w14:paraId="0A3809C3">
                            <w:pPr>
                              <w:jc w:val="center"/>
                              <w:rPr>
                                <w:rFonts w:ascii="宋体" w:hAnsi="宋体"/>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w:t>
                            </w:r>
                            <w:r>
                              <w:rPr>
                                <w:rFonts w:hint="eastAsia" w:ascii="宋体" w:hAnsi="宋体"/>
                                <w:color w:val="000000" w:themeColor="text1"/>
                                <w14:textFill>
                                  <w14:solidFill>
                                    <w14:schemeClr w14:val="tx1"/>
                                  </w14:solidFill>
                                </w14:textFill>
                              </w:rPr>
                              <w:t>F18-X2</w:t>
                            </w:r>
                            <w:r>
                              <w:rPr>
                                <w:rFonts w:ascii="宋体" w:hAnsi="宋体"/>
                                <w:color w:val="000000" w:themeColor="text1"/>
                                <w14:textFill>
                                  <w14:solidFill>
                                    <w14:schemeClr w14:val="tx1"/>
                                  </w14:solidFill>
                                </w14:textFill>
                              </w:rPr>
                              <w:t>3</w:t>
                            </w:r>
                          </w:p>
                        </w:txbxContent>
                      </v:textbox>
                    </v:rect>
                  </w:pict>
                </mc:Fallback>
              </mc:AlternateContent>
            </w:r>
            <w:r>
              <w:rPr>
                <w:color w:val="auto"/>
              </w:rPr>
              <mc:AlternateContent>
                <mc:Choice Requires="wps">
                  <w:drawing>
                    <wp:anchor distT="0" distB="0" distL="114300" distR="114300" simplePos="0" relativeHeight="251661312" behindDoc="0" locked="0" layoutInCell="1" allowOverlap="1">
                      <wp:simplePos x="0" y="0"/>
                      <wp:positionH relativeFrom="column">
                        <wp:posOffset>308610</wp:posOffset>
                      </wp:positionH>
                      <wp:positionV relativeFrom="paragraph">
                        <wp:posOffset>532765</wp:posOffset>
                      </wp:positionV>
                      <wp:extent cx="923925" cy="237490"/>
                      <wp:effectExtent l="0" t="0" r="9525" b="0"/>
                      <wp:wrapNone/>
                      <wp:docPr id="62" name="矩形 62"/>
                      <wp:cNvGraphicFramePr/>
                      <a:graphic xmlns:a="http://schemas.openxmlformats.org/drawingml/2006/main">
                        <a:graphicData uri="http://schemas.microsoft.com/office/word/2010/wordprocessingShape">
                          <wps:wsp>
                            <wps:cNvSpPr/>
                            <wps:spPr>
                              <a:xfrm>
                                <a:off x="0" y="0"/>
                                <a:ext cx="92392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0E0CEA">
                                  <w:pPr>
                                    <w:jc w:val="center"/>
                                    <w:rPr>
                                      <w:rFonts w:ascii="宋体" w:hAnsi="宋体"/>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w:t>
                                  </w:r>
                                  <w:r>
                                    <w:rPr>
                                      <w:rFonts w:hint="eastAsia" w:ascii="宋体" w:hAnsi="宋体"/>
                                      <w:color w:val="000000" w:themeColor="text1"/>
                                      <w14:textFill>
                                        <w14:solidFill>
                                          <w14:schemeClr w14:val="tx1"/>
                                        </w14:solidFill>
                                      </w14:textFill>
                                    </w:rPr>
                                    <w:t>F18-X2</w:t>
                                  </w:r>
                                  <w:r>
                                    <w:rPr>
                                      <w:rFonts w:ascii="宋体" w:hAnsi="宋体"/>
                                      <w:color w:val="000000" w:themeColor="text1"/>
                                      <w14:textFill>
                                        <w14:solidFill>
                                          <w14:schemeClr w14:val="tx1"/>
                                        </w14:solidFill>
                                      </w14:textFill>
                                    </w:rPr>
                                    <w:t>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pt;margin-top:41.95pt;height:18.7pt;width:72.75pt;z-index:251661312;v-text-anchor:middle;mso-width-relative:page;mso-height-relative:page;" fillcolor="#FFFFFF [3212]" filled="t" stroked="f" coordsize="21600,21600" o:gfxdata="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y8MGHZAAAACQEAAA8AAAAAAAAAAQAgAAAAIgAAAGRycy9k&#10;b3ducmV2LnhtbFBLAQIUABQAAAAIAIdO4kDHyo87cwIAANcEAAAOAAAAAAAAAAEAIAAAACgBAABk&#10;cnMvZTJvRG9jLnhtbFBLBQYAAAAABgAGAFkBAAANBgAAAAA=&#10;">
                      <v:fill on="t" focussize="0,0"/>
                      <v:stroke on="f" weight="1pt" miterlimit="8" joinstyle="miter"/>
                      <v:imagedata o:title=""/>
                      <o:lock v:ext="edit" aspectratio="f"/>
                      <v:textbox>
                        <w:txbxContent>
                          <w:p w14:paraId="110E0CEA">
                            <w:pPr>
                              <w:jc w:val="center"/>
                              <w:rPr>
                                <w:rFonts w:ascii="宋体" w:hAnsi="宋体"/>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w:t>
                            </w:r>
                            <w:r>
                              <w:rPr>
                                <w:rFonts w:hint="eastAsia" w:ascii="宋体" w:hAnsi="宋体"/>
                                <w:color w:val="000000" w:themeColor="text1"/>
                                <w14:textFill>
                                  <w14:solidFill>
                                    <w14:schemeClr w14:val="tx1"/>
                                  </w14:solidFill>
                                </w14:textFill>
                              </w:rPr>
                              <w:t>F18-X2</w:t>
                            </w:r>
                            <w:r>
                              <w:rPr>
                                <w:rFonts w:ascii="宋体" w:hAnsi="宋体"/>
                                <w:color w:val="000000" w:themeColor="text1"/>
                                <w14:textFill>
                                  <w14:solidFill>
                                    <w14:schemeClr w14:val="tx1"/>
                                  </w14:solidFill>
                                </w14:textFill>
                              </w:rPr>
                              <w:t>7</w:t>
                            </w:r>
                          </w:p>
                        </w:txbxContent>
                      </v:textbox>
                    </v:rect>
                  </w:pict>
                </mc:Fallback>
              </mc:AlternateContent>
            </w:r>
            <w:r>
              <w:rPr>
                <w:color w:val="auto"/>
              </w:rPr>
              <w:drawing>
                <wp:inline distT="0" distB="0" distL="0" distR="0">
                  <wp:extent cx="5400040" cy="407797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2"/>
                          <a:stretch>
                            <a:fillRect/>
                          </a:stretch>
                        </pic:blipFill>
                        <pic:spPr>
                          <a:xfrm>
                            <a:off x="0" y="0"/>
                            <a:ext cx="5400040" cy="4077970"/>
                          </a:xfrm>
                          <a:prstGeom prst="rect">
                            <a:avLst/>
                          </a:prstGeom>
                          <a:solidFill>
                            <a:schemeClr val="bg1"/>
                          </a:solidFill>
                          <a:ln>
                            <a:noFill/>
                          </a:ln>
                        </pic:spPr>
                      </pic:pic>
                    </a:graphicData>
                  </a:graphic>
                </wp:inline>
              </w:drawing>
            </w:r>
          </w:p>
        </w:tc>
      </w:tr>
      <w:tr w14:paraId="4AFB8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2"/>
            <w:vAlign w:val="center"/>
          </w:tcPr>
          <w:p w14:paraId="3CF41402">
            <w:pPr>
              <w:jc w:val="center"/>
              <w:rPr>
                <w:rFonts w:ascii="宋体" w:hAnsi="宋体"/>
                <w:color w:val="auto"/>
              </w:rPr>
            </w:pPr>
            <w:r>
              <w:rPr>
                <w:rFonts w:hint="eastAsia" w:ascii="宋体" w:hAnsi="宋体" w:cs="宋体"/>
                <w:color w:val="auto"/>
                <w:kern w:val="0"/>
              </w:rPr>
              <w:t>5#</w:t>
            </w:r>
            <w:r>
              <w:rPr>
                <w:rFonts w:ascii="宋体" w:hAnsi="宋体" w:cs="宋体"/>
                <w:color w:val="auto"/>
                <w:kern w:val="0"/>
              </w:rPr>
              <w:t>:</w:t>
            </w:r>
            <w:r>
              <w:rPr>
                <w:rFonts w:hint="eastAsia" w:ascii="宋体" w:hAnsi="宋体" w:cs="宋体"/>
                <w:color w:val="auto"/>
                <w:kern w:val="0"/>
              </w:rPr>
              <w:t xml:space="preserve"> FJ</w:t>
            </w:r>
            <w:r>
              <w:rPr>
                <w:rFonts w:hint="eastAsia" w:ascii="宋体" w:hAnsi="宋体"/>
                <w:color w:val="auto"/>
              </w:rPr>
              <w:t>F18-X2</w:t>
            </w:r>
            <w:r>
              <w:rPr>
                <w:rFonts w:ascii="宋体" w:hAnsi="宋体"/>
                <w:color w:val="auto"/>
              </w:rPr>
              <w:t>3</w:t>
            </w:r>
            <w:r>
              <w:rPr>
                <w:rFonts w:hint="eastAsia" w:ascii="宋体" w:hAnsi="宋体"/>
                <w:color w:val="auto"/>
              </w:rPr>
              <w:t>、</w:t>
            </w:r>
            <w:r>
              <w:rPr>
                <w:rFonts w:hint="eastAsia" w:ascii="宋体" w:hAnsi="宋体" w:cs="宋体"/>
                <w:color w:val="auto"/>
                <w:kern w:val="0"/>
              </w:rPr>
              <w:t>FJ</w:t>
            </w:r>
            <w:r>
              <w:rPr>
                <w:rFonts w:hint="eastAsia" w:ascii="宋体" w:hAnsi="宋体"/>
                <w:color w:val="auto"/>
              </w:rPr>
              <w:t>F18-X2</w:t>
            </w:r>
            <w:r>
              <w:rPr>
                <w:rFonts w:ascii="宋体" w:hAnsi="宋体"/>
                <w:color w:val="auto"/>
              </w:rPr>
              <w:t>4</w:t>
            </w:r>
            <w:r>
              <w:rPr>
                <w:rFonts w:hint="eastAsia" w:ascii="宋体" w:hAnsi="宋体"/>
                <w:color w:val="auto"/>
              </w:rPr>
              <w:t>、</w:t>
            </w:r>
            <w:r>
              <w:rPr>
                <w:rFonts w:hint="eastAsia" w:ascii="宋体" w:hAnsi="宋体" w:cs="宋体"/>
                <w:color w:val="auto"/>
                <w:kern w:val="0"/>
              </w:rPr>
              <w:t>FJ</w:t>
            </w:r>
            <w:r>
              <w:rPr>
                <w:rFonts w:hint="eastAsia" w:ascii="宋体" w:hAnsi="宋体"/>
                <w:color w:val="auto"/>
              </w:rPr>
              <w:t>F18-X2</w:t>
            </w:r>
            <w:r>
              <w:rPr>
                <w:rFonts w:ascii="宋体" w:hAnsi="宋体"/>
                <w:color w:val="auto"/>
              </w:rPr>
              <w:t>5</w:t>
            </w:r>
            <w:r>
              <w:rPr>
                <w:rFonts w:hint="eastAsia" w:ascii="宋体" w:hAnsi="宋体"/>
                <w:color w:val="auto"/>
              </w:rPr>
              <w:t>、</w:t>
            </w:r>
            <w:r>
              <w:rPr>
                <w:rFonts w:hint="eastAsia" w:ascii="宋体" w:hAnsi="宋体" w:cs="宋体"/>
                <w:color w:val="auto"/>
                <w:kern w:val="0"/>
              </w:rPr>
              <w:t>FJ</w:t>
            </w:r>
            <w:r>
              <w:rPr>
                <w:rFonts w:hint="eastAsia" w:ascii="宋体" w:hAnsi="宋体"/>
                <w:color w:val="auto"/>
              </w:rPr>
              <w:t>F18-X2</w:t>
            </w:r>
            <w:r>
              <w:rPr>
                <w:rFonts w:ascii="宋体" w:hAnsi="宋体"/>
                <w:color w:val="auto"/>
              </w:rPr>
              <w:t>7</w:t>
            </w:r>
          </w:p>
        </w:tc>
      </w:tr>
      <w:tr w14:paraId="7FE34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2"/>
            <w:vAlign w:val="center"/>
          </w:tcPr>
          <w:p w14:paraId="621D78BF">
            <w:pPr>
              <w:widowControl/>
              <w:adjustRightInd w:val="0"/>
              <w:snapToGrid w:val="0"/>
              <w:jc w:val="center"/>
              <w:rPr>
                <w:rFonts w:ascii="宋体" w:hAnsi="宋体" w:cs="宋体"/>
                <w:color w:val="auto"/>
                <w:kern w:val="0"/>
              </w:rPr>
            </w:pPr>
            <w:r>
              <w:rPr>
                <w:color w:val="auto"/>
              </w:rPr>
              <mc:AlternateContent>
                <mc:Choice Requires="wps">
                  <w:drawing>
                    <wp:anchor distT="0" distB="0" distL="114300" distR="114300" simplePos="0" relativeHeight="251668480" behindDoc="0" locked="0" layoutInCell="1" allowOverlap="1">
                      <wp:simplePos x="0" y="0"/>
                      <wp:positionH relativeFrom="column">
                        <wp:posOffset>3314065</wp:posOffset>
                      </wp:positionH>
                      <wp:positionV relativeFrom="paragraph">
                        <wp:posOffset>460375</wp:posOffset>
                      </wp:positionV>
                      <wp:extent cx="958215" cy="270510"/>
                      <wp:effectExtent l="0" t="0" r="0" b="0"/>
                      <wp:wrapNone/>
                      <wp:docPr id="459578598" name="文本框 459578598"/>
                      <wp:cNvGraphicFramePr/>
                      <a:graphic xmlns:a="http://schemas.openxmlformats.org/drawingml/2006/main">
                        <a:graphicData uri="http://schemas.microsoft.com/office/word/2010/wordprocessingShape">
                          <wps:wsp>
                            <wps:cNvSpPr txBox="1"/>
                            <wps:spPr>
                              <a:xfrm>
                                <a:off x="0" y="0"/>
                                <a:ext cx="958215" cy="270510"/>
                              </a:xfrm>
                              <a:prstGeom prst="rect">
                                <a:avLst/>
                              </a:prstGeom>
                              <a:solidFill>
                                <a:schemeClr val="lt1"/>
                              </a:solidFill>
                              <a:ln w="6350">
                                <a:noFill/>
                              </a:ln>
                            </wps:spPr>
                            <wps:txbx>
                              <w:txbxContent>
                                <w:p w14:paraId="00980C79">
                                  <w:r>
                                    <w:rPr>
                                      <w:rFonts w:hint="eastAsia" w:ascii="宋体" w:hAnsi="宋体" w:cs="宋体"/>
                                      <w:color w:val="000000"/>
                                      <w:kern w:val="0"/>
                                    </w:rPr>
                                    <w:t>FJF11-X1</w:t>
                                  </w:r>
                                  <w:r>
                                    <w:rPr>
                                      <w:rFonts w:ascii="宋体" w:hAnsi="宋体" w:cs="宋体"/>
                                      <w:color w:val="000000"/>
                                      <w:kern w:val="0"/>
                                    </w:rPr>
                                    <w:t>20</w:t>
                                  </w:r>
                                </w:p>
                                <w:p w14:paraId="2C1D44E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95pt;margin-top:36.25pt;height:21.3pt;width:75.45pt;z-index:251668480;mso-width-relative:page;mso-height-relative:page;" fillcolor="#FFFFFF [3201]" filled="t" stroked="f" coordsize="21600,21600" o:gfxdata="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WCU7fVAAAA&#10;CgEAAA8AAAAAAAAAAQAgAAAAIgAAAGRycy9kb3ducmV2LnhtbFBLAQIUABQAAAAIAIdO4kB6RJic&#10;WQIAAJ4EAAAOAAAAAAAAAAEAIAAAACQBAABkcnMvZTJvRG9jLnhtbFBLBQYAAAAABgAGAFkBAADv&#10;BQAAAAA=&#10;">
                      <v:fill on="t" focussize="0,0"/>
                      <v:stroke on="f" weight="0.5pt"/>
                      <v:imagedata o:title=""/>
                      <o:lock v:ext="edit" aspectratio="f"/>
                      <v:textbox>
                        <w:txbxContent>
                          <w:p w14:paraId="00980C79">
                            <w:r>
                              <w:rPr>
                                <w:rFonts w:hint="eastAsia" w:ascii="宋体" w:hAnsi="宋体" w:cs="宋体"/>
                                <w:color w:val="000000"/>
                                <w:kern w:val="0"/>
                              </w:rPr>
                              <w:t>FJF11-X1</w:t>
                            </w:r>
                            <w:r>
                              <w:rPr>
                                <w:rFonts w:ascii="宋体" w:hAnsi="宋体" w:cs="宋体"/>
                                <w:color w:val="000000"/>
                                <w:kern w:val="0"/>
                              </w:rPr>
                              <w:t>20</w:t>
                            </w:r>
                          </w:p>
                          <w:p w14:paraId="2C1D44E9"/>
                        </w:txbxContent>
                      </v:textbox>
                    </v:shape>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159385</wp:posOffset>
                      </wp:positionH>
                      <wp:positionV relativeFrom="paragraph">
                        <wp:posOffset>3181985</wp:posOffset>
                      </wp:positionV>
                      <wp:extent cx="1002030" cy="255905"/>
                      <wp:effectExtent l="0" t="0" r="7620" b="0"/>
                      <wp:wrapNone/>
                      <wp:docPr id="459578595" name="文本框 459578595"/>
                      <wp:cNvGraphicFramePr/>
                      <a:graphic xmlns:a="http://schemas.openxmlformats.org/drawingml/2006/main">
                        <a:graphicData uri="http://schemas.microsoft.com/office/word/2010/wordprocessingShape">
                          <wps:wsp>
                            <wps:cNvSpPr txBox="1"/>
                            <wps:spPr>
                              <a:xfrm>
                                <a:off x="0" y="0"/>
                                <a:ext cx="1002030" cy="255905"/>
                              </a:xfrm>
                              <a:prstGeom prst="rect">
                                <a:avLst/>
                              </a:prstGeom>
                              <a:solidFill>
                                <a:schemeClr val="lt1"/>
                              </a:solidFill>
                              <a:ln w="6350">
                                <a:noFill/>
                              </a:ln>
                            </wps:spPr>
                            <wps:txbx>
                              <w:txbxContent>
                                <w:p w14:paraId="39AF35DE">
                                  <w:r>
                                    <w:rPr>
                                      <w:rFonts w:hint="eastAsia" w:ascii="宋体" w:hAnsi="宋体" w:cs="宋体"/>
                                      <w:color w:val="000000"/>
                                      <w:kern w:val="0"/>
                                    </w:rPr>
                                    <w:t>FJF11-X11</w:t>
                                  </w:r>
                                  <w:r>
                                    <w:rPr>
                                      <w:rFonts w:ascii="宋体" w:hAnsi="宋体" w:cs="宋体"/>
                                      <w:color w:val="000000"/>
                                      <w:kern w:val="0"/>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5pt;margin-top:250.55pt;height:20.15pt;width:78.9pt;z-index:251666432;mso-width-relative:page;mso-height-relative:page;" fillcolor="#FFFFFF [3201]" filled="t" stroked="f" coordsize="21600,21600" o:gfxdata="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PMjWNQAAAAKAQAA&#10;DwAAAAAAAAABACAAAAAiAAAAZHJzL2Rvd25yZXYueG1sUEsBAhQAFAAAAAgAh07iQJ5R7XlWAgAA&#10;nwQAAA4AAAAAAAAAAQAgAAAAIwEAAGRycy9lMm9Eb2MueG1sUEsFBgAAAAAGAAYAWQEAAOsFAAAA&#10;AA==&#10;">
                      <v:fill on="t" focussize="0,0"/>
                      <v:stroke on="f" weight="0.5pt"/>
                      <v:imagedata o:title=""/>
                      <o:lock v:ext="edit" aspectratio="f"/>
                      <v:textbox>
                        <w:txbxContent>
                          <w:p w14:paraId="39AF35DE">
                            <w:r>
                              <w:rPr>
                                <w:rFonts w:hint="eastAsia" w:ascii="宋体" w:hAnsi="宋体" w:cs="宋体"/>
                                <w:color w:val="000000"/>
                                <w:kern w:val="0"/>
                              </w:rPr>
                              <w:t>FJF11-X11</w:t>
                            </w:r>
                            <w:r>
                              <w:rPr>
                                <w:rFonts w:ascii="宋体" w:hAnsi="宋体" w:cs="宋体"/>
                                <w:color w:val="000000"/>
                                <w:kern w:val="0"/>
                              </w:rPr>
                              <w:t>7</w:t>
                            </w:r>
                          </w:p>
                        </w:txbxContent>
                      </v:textbox>
                    </v:shape>
                  </w:pict>
                </mc:Fallback>
              </mc:AlternateContent>
            </w:r>
            <w:r>
              <w:rPr>
                <w:color w:val="auto"/>
              </w:rPr>
              <mc:AlternateContent>
                <mc:Choice Requires="wps">
                  <w:drawing>
                    <wp:anchor distT="0" distB="0" distL="114300" distR="114300" simplePos="0" relativeHeight="251667456" behindDoc="0" locked="0" layoutInCell="1" allowOverlap="1">
                      <wp:simplePos x="0" y="0"/>
                      <wp:positionH relativeFrom="column">
                        <wp:posOffset>1459865</wp:posOffset>
                      </wp:positionH>
                      <wp:positionV relativeFrom="paragraph">
                        <wp:posOffset>3155315</wp:posOffset>
                      </wp:positionV>
                      <wp:extent cx="935355" cy="254635"/>
                      <wp:effectExtent l="0" t="0" r="0" b="0"/>
                      <wp:wrapNone/>
                      <wp:docPr id="459578596" name="文本框 459578596"/>
                      <wp:cNvGraphicFramePr/>
                      <a:graphic xmlns:a="http://schemas.openxmlformats.org/drawingml/2006/main">
                        <a:graphicData uri="http://schemas.microsoft.com/office/word/2010/wordprocessingShape">
                          <wps:wsp>
                            <wps:cNvSpPr txBox="1"/>
                            <wps:spPr>
                              <a:xfrm>
                                <a:off x="0" y="0"/>
                                <a:ext cx="935355" cy="254635"/>
                              </a:xfrm>
                              <a:prstGeom prst="rect">
                                <a:avLst/>
                              </a:prstGeom>
                              <a:solidFill>
                                <a:schemeClr val="lt1"/>
                              </a:solidFill>
                              <a:ln w="6350">
                                <a:noFill/>
                              </a:ln>
                            </wps:spPr>
                            <wps:txbx>
                              <w:txbxContent>
                                <w:p w14:paraId="6DCC2A8A">
                                  <w:r>
                                    <w:rPr>
                                      <w:rFonts w:hint="eastAsia" w:ascii="宋体" w:hAnsi="宋体" w:cs="宋体"/>
                                      <w:color w:val="000000"/>
                                      <w:kern w:val="0"/>
                                    </w:rPr>
                                    <w:t>FJF11-X1</w:t>
                                  </w:r>
                                  <w:r>
                                    <w:rPr>
                                      <w:rFonts w:ascii="宋体" w:hAnsi="宋体" w:cs="宋体"/>
                                      <w:color w:val="000000"/>
                                      <w:kern w:val="0"/>
                                    </w:rPr>
                                    <w:t>20</w:t>
                                  </w:r>
                                </w:p>
                                <w:p w14:paraId="396B325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95pt;margin-top:248.45pt;height:20.05pt;width:73.65pt;z-index:251667456;mso-width-relative:page;mso-height-relative:page;" fillcolor="#FFFFFF [3201]" filled="t" stroked="f" coordsize="21600,21600" o:gfxdata="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A8SwaXXAAAA&#10;CwEAAA8AAAAAAAAAAQAgAAAAIgAAAGRycy9kb3ducmV2LnhtbFBLAQIUABQAAAAIAIdO4kDbgNeC&#10;VwIAAJ4EAAAOAAAAAAAAAAEAIAAAACYBAABkcnMvZTJvRG9jLnhtbFBLBQYAAAAABgAGAFkBAADv&#10;BQAAAAA=&#10;">
                      <v:fill on="t" focussize="0,0"/>
                      <v:stroke on="f" weight="0.5pt"/>
                      <v:imagedata o:title=""/>
                      <o:lock v:ext="edit" aspectratio="f"/>
                      <v:textbox>
                        <w:txbxContent>
                          <w:p w14:paraId="6DCC2A8A">
                            <w:r>
                              <w:rPr>
                                <w:rFonts w:hint="eastAsia" w:ascii="宋体" w:hAnsi="宋体" w:cs="宋体"/>
                                <w:color w:val="000000"/>
                                <w:kern w:val="0"/>
                              </w:rPr>
                              <w:t>FJF11-X1</w:t>
                            </w:r>
                            <w:r>
                              <w:rPr>
                                <w:rFonts w:ascii="宋体" w:hAnsi="宋体" w:cs="宋体"/>
                                <w:color w:val="000000"/>
                                <w:kern w:val="0"/>
                              </w:rPr>
                              <w:t>20</w:t>
                            </w:r>
                          </w:p>
                          <w:p w14:paraId="396B3256"/>
                        </w:txbxContent>
                      </v:textbox>
                    </v:shap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2319020</wp:posOffset>
                      </wp:positionH>
                      <wp:positionV relativeFrom="paragraph">
                        <wp:posOffset>569595</wp:posOffset>
                      </wp:positionV>
                      <wp:extent cx="884555" cy="299720"/>
                      <wp:effectExtent l="0" t="0" r="0" b="5080"/>
                      <wp:wrapNone/>
                      <wp:docPr id="459578592" name="文本框 459578592"/>
                      <wp:cNvGraphicFramePr/>
                      <a:graphic xmlns:a="http://schemas.openxmlformats.org/drawingml/2006/main">
                        <a:graphicData uri="http://schemas.microsoft.com/office/word/2010/wordprocessingShape">
                          <wps:wsp>
                            <wps:cNvSpPr txBox="1"/>
                            <wps:spPr>
                              <a:xfrm>
                                <a:off x="0" y="0"/>
                                <a:ext cx="884555" cy="299720"/>
                              </a:xfrm>
                              <a:prstGeom prst="rect">
                                <a:avLst/>
                              </a:prstGeom>
                              <a:solidFill>
                                <a:schemeClr val="lt1"/>
                              </a:solidFill>
                              <a:ln w="6350">
                                <a:noFill/>
                              </a:ln>
                            </wps:spPr>
                            <wps:txbx>
                              <w:txbxContent>
                                <w:p w14:paraId="7B458735">
                                  <w:bookmarkStart w:id="604" w:name="_Hlk225345578"/>
                                  <w:bookmarkStart w:id="605" w:name="OLE_LINK117"/>
                                  <w:bookmarkStart w:id="606" w:name="OLE_LINK116"/>
                                  <w:r>
                                    <w:rPr>
                                      <w:rFonts w:hint="eastAsia" w:ascii="宋体" w:hAnsi="宋体" w:cs="宋体"/>
                                      <w:color w:val="000000"/>
                                      <w:kern w:val="0"/>
                                    </w:rPr>
                                    <w:t>FJF11-X122</w:t>
                                  </w:r>
                                  <w:bookmarkEnd w:id="604"/>
                                  <w:bookmarkEnd w:id="605"/>
                                  <w:bookmarkEnd w:id="606"/>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6pt;margin-top:44.85pt;height:23.6pt;width:69.65pt;z-index:251664384;mso-width-relative:page;mso-height-relative:page;" fillcolor="#FFFFFF [3201]" filled="t" stroked="f" coordsize="21600,21600" o:gfxdata="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3FfzfXAAAA&#10;CgEAAA8AAAAAAAAAAQAgAAAAIgAAAGRycy9kb3ducmV2LnhtbFBLAQIUABQAAAAIAIdO4kC2gi30&#10;VwIAAJ4EAAAOAAAAAAAAAAEAIAAAACYBAABkcnMvZTJvRG9jLnhtbFBLBQYAAAAABgAGAFkBAADv&#10;BQAAAAA=&#10;">
                      <v:fill on="t" focussize="0,0"/>
                      <v:stroke on="f" weight="0.5pt"/>
                      <v:imagedata o:title=""/>
                      <o:lock v:ext="edit" aspectratio="f"/>
                      <v:textbox>
                        <w:txbxContent>
                          <w:p w14:paraId="7B458735">
                            <w:bookmarkStart w:id="604" w:name="_Hlk225345578"/>
                            <w:bookmarkStart w:id="605" w:name="OLE_LINK117"/>
                            <w:bookmarkStart w:id="606" w:name="OLE_LINK116"/>
                            <w:r>
                              <w:rPr>
                                <w:rFonts w:hint="eastAsia" w:ascii="宋体" w:hAnsi="宋体" w:cs="宋体"/>
                                <w:color w:val="000000"/>
                                <w:kern w:val="0"/>
                              </w:rPr>
                              <w:t>FJF11-X122</w:t>
                            </w:r>
                            <w:bookmarkEnd w:id="604"/>
                            <w:bookmarkEnd w:id="605"/>
                            <w:bookmarkEnd w:id="606"/>
                          </w:p>
                        </w:txbxContent>
                      </v:textbox>
                    </v:shape>
                  </w:pict>
                </mc:Fallback>
              </mc:AlternateContent>
            </w:r>
            <w:r>
              <w:rPr>
                <w:color w:val="auto"/>
              </w:rPr>
              <mc:AlternateContent>
                <mc:Choice Requires="wps">
                  <w:drawing>
                    <wp:anchor distT="0" distB="0" distL="114300" distR="114300" simplePos="0" relativeHeight="251665408" behindDoc="0" locked="0" layoutInCell="1" allowOverlap="1">
                      <wp:simplePos x="0" y="0"/>
                      <wp:positionH relativeFrom="column">
                        <wp:posOffset>1155700</wp:posOffset>
                      </wp:positionH>
                      <wp:positionV relativeFrom="paragraph">
                        <wp:posOffset>913765</wp:posOffset>
                      </wp:positionV>
                      <wp:extent cx="877570" cy="306705"/>
                      <wp:effectExtent l="0" t="0" r="0" b="0"/>
                      <wp:wrapNone/>
                      <wp:docPr id="459578594" name="文本框 459578594"/>
                      <wp:cNvGraphicFramePr/>
                      <a:graphic xmlns:a="http://schemas.openxmlformats.org/drawingml/2006/main">
                        <a:graphicData uri="http://schemas.microsoft.com/office/word/2010/wordprocessingShape">
                          <wps:wsp>
                            <wps:cNvSpPr txBox="1"/>
                            <wps:spPr>
                              <a:xfrm>
                                <a:off x="0" y="0"/>
                                <a:ext cx="877570" cy="306705"/>
                              </a:xfrm>
                              <a:prstGeom prst="rect">
                                <a:avLst/>
                              </a:prstGeom>
                              <a:solidFill>
                                <a:schemeClr val="lt1"/>
                              </a:solidFill>
                              <a:ln w="6350">
                                <a:noFill/>
                              </a:ln>
                            </wps:spPr>
                            <wps:txbx>
                              <w:txbxContent>
                                <w:p w14:paraId="4861B499">
                                  <w:r>
                                    <w:rPr>
                                      <w:rFonts w:hint="eastAsia" w:ascii="宋体" w:hAnsi="宋体" w:cs="宋体"/>
                                      <w:color w:val="000000"/>
                                      <w:kern w:val="0"/>
                                    </w:rPr>
                                    <w:t>FJF11-</w:t>
                                  </w:r>
                                  <w:r>
                                    <w:rPr>
                                      <w:rFonts w:ascii="宋体" w:hAnsi="宋体" w:cs="宋体"/>
                                      <w:color w:val="000000"/>
                                      <w:kern w:val="0"/>
                                    </w:rPr>
                                    <w:t>X118</w:t>
                                  </w:r>
                                </w:p>
                                <w:p w14:paraId="62E92EA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pt;margin-top:71.95pt;height:24.15pt;width:69.1pt;z-index:251665408;mso-width-relative:page;mso-height-relative:page;" fillcolor="#FFFFFF [3201]" filled="t" stroked="f" coordsize="21600,21600" o:gfxdata="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FPVMdYAAAAL&#10;AQAADwAAAAAAAAABACAAAAAiAAAAZHJzL2Rvd25yZXYueG1sUEsBAhQAFAAAAAgAh07iQPd3uY9X&#10;AgAAngQAAA4AAAAAAAAAAQAgAAAAJQEAAGRycy9lMm9Eb2MueG1sUEsFBgAAAAAGAAYAWQEAAO4F&#10;AAAAAA==&#10;">
                      <v:fill on="t" focussize="0,0"/>
                      <v:stroke on="f" weight="0.5pt"/>
                      <v:imagedata o:title=""/>
                      <o:lock v:ext="edit" aspectratio="f"/>
                      <v:textbox>
                        <w:txbxContent>
                          <w:p w14:paraId="4861B499">
                            <w:r>
                              <w:rPr>
                                <w:rFonts w:hint="eastAsia" w:ascii="宋体" w:hAnsi="宋体" w:cs="宋体"/>
                                <w:color w:val="000000"/>
                                <w:kern w:val="0"/>
                              </w:rPr>
                              <w:t>FJF11-</w:t>
                            </w:r>
                            <w:r>
                              <w:rPr>
                                <w:rFonts w:ascii="宋体" w:hAnsi="宋体" w:cs="宋体"/>
                                <w:color w:val="000000"/>
                                <w:kern w:val="0"/>
                              </w:rPr>
                              <w:t>X118</w:t>
                            </w:r>
                          </w:p>
                          <w:p w14:paraId="62E92EAF"/>
                        </w:txbxContent>
                      </v:textbox>
                    </v:shape>
                  </w:pict>
                </mc:Fallback>
              </mc:AlternateContent>
            </w:r>
            <w:r>
              <w:rPr>
                <w:color w:val="auto"/>
              </w:rPr>
              <mc:AlternateContent>
                <mc:Choice Requires="wps">
                  <w:drawing>
                    <wp:anchor distT="0" distB="0" distL="114300" distR="114300" simplePos="0" relativeHeight="251663360" behindDoc="0" locked="0" layoutInCell="1" allowOverlap="1">
                      <wp:simplePos x="0" y="0"/>
                      <wp:positionH relativeFrom="column">
                        <wp:posOffset>111760</wp:posOffset>
                      </wp:positionH>
                      <wp:positionV relativeFrom="paragraph">
                        <wp:posOffset>1490345</wp:posOffset>
                      </wp:positionV>
                      <wp:extent cx="884555" cy="255905"/>
                      <wp:effectExtent l="0" t="0" r="0" b="0"/>
                      <wp:wrapNone/>
                      <wp:docPr id="459578590" name="矩形 459578590"/>
                      <wp:cNvGraphicFramePr/>
                      <a:graphic xmlns:a="http://schemas.openxmlformats.org/drawingml/2006/main">
                        <a:graphicData uri="http://schemas.microsoft.com/office/word/2010/wordprocessingShape">
                          <wps:wsp>
                            <wps:cNvSpPr/>
                            <wps:spPr>
                              <a:xfrm>
                                <a:off x="0" y="0"/>
                                <a:ext cx="884555" cy="2559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EDE277">
                                  <w:pPr>
                                    <w:rPr>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FJF11-X115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pt;margin-top:117.35pt;height:20.15pt;width:69.65pt;z-index:251663360;v-text-anchor:middle;mso-width-relative:page;mso-height-relative:page;" fillcolor="#FFFFFF [3212]" filled="t" stroked="f" coordsize="21600,21600" o:gfxdata="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&#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qcQe92QAAAAoBAAAPAAAAAAAAAAEAIAAAACIAAABk&#10;cnMvZG93bnJldi54bWxQSwECFAAUAAAACACHTuJAulTfiXcCAADlBAAADgAAAAAAAAABACAAAAAo&#10;AQAAZHJzL2Uyb0RvYy54bWxQSwUGAAAAAAYABgBZAQAAEQYAAAAA&#10;">
                      <v:fill on="t" focussize="0,0"/>
                      <v:stroke on="f" weight="1pt" miterlimit="8" joinstyle="miter"/>
                      <v:imagedata o:title=""/>
                      <o:lock v:ext="edit" aspectratio="f"/>
                      <v:textbox>
                        <w:txbxContent>
                          <w:p w14:paraId="25EDE277">
                            <w:pPr>
                              <w:rPr>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FJF11-X115</w:t>
                            </w:r>
                          </w:p>
                        </w:txbxContent>
                      </v:textbox>
                    </v:rect>
                  </w:pict>
                </mc:Fallback>
              </mc:AlternateContent>
            </w:r>
            <w:r>
              <w:rPr>
                <w:color w:val="auto"/>
              </w:rPr>
              <w:drawing>
                <wp:inline distT="0" distB="0" distL="0" distR="0">
                  <wp:extent cx="5400040" cy="3444875"/>
                  <wp:effectExtent l="0" t="0" r="0" b="3175"/>
                  <wp:docPr id="459578573" name="图片 45957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3" name="图片 459578573"/>
                          <pic:cNvPicPr>
                            <a:picLocks noChangeAspect="1"/>
                          </pic:cNvPicPr>
                        </pic:nvPicPr>
                        <pic:blipFill>
                          <a:blip r:embed="rId23"/>
                          <a:stretch>
                            <a:fillRect/>
                          </a:stretch>
                        </pic:blipFill>
                        <pic:spPr>
                          <a:xfrm>
                            <a:off x="0" y="0"/>
                            <a:ext cx="5400040" cy="3444875"/>
                          </a:xfrm>
                          <a:prstGeom prst="rect">
                            <a:avLst/>
                          </a:prstGeom>
                        </pic:spPr>
                      </pic:pic>
                    </a:graphicData>
                  </a:graphic>
                </wp:inline>
              </w:drawing>
            </w:r>
          </w:p>
        </w:tc>
      </w:tr>
      <w:tr w14:paraId="3B210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2"/>
            <w:vAlign w:val="center"/>
          </w:tcPr>
          <w:p w14:paraId="65B226E0">
            <w:pPr>
              <w:widowControl/>
              <w:adjustRightInd w:val="0"/>
              <w:snapToGrid w:val="0"/>
              <w:jc w:val="center"/>
              <w:rPr>
                <w:rFonts w:ascii="宋体" w:hAnsi="宋体" w:cs="宋体"/>
                <w:color w:val="auto"/>
                <w:kern w:val="0"/>
              </w:rPr>
            </w:pPr>
            <w:r>
              <w:rPr>
                <w:rFonts w:hint="eastAsia" w:ascii="宋体" w:hAnsi="宋体" w:cs="宋体"/>
                <w:color w:val="auto"/>
                <w:kern w:val="0"/>
              </w:rPr>
              <w:t>6</w:t>
            </w:r>
            <w:r>
              <w:rPr>
                <w:rFonts w:ascii="宋体" w:hAnsi="宋体" w:cs="宋体"/>
                <w:color w:val="auto"/>
                <w:kern w:val="0"/>
              </w:rPr>
              <w:t>#</w:t>
            </w:r>
            <w:r>
              <w:rPr>
                <w:rFonts w:hint="eastAsia" w:ascii="宋体" w:hAnsi="宋体" w:cs="宋体"/>
                <w:color w:val="auto"/>
                <w:kern w:val="0"/>
              </w:rPr>
              <w:t>：FJF11-X115、FJF11-X11</w:t>
            </w:r>
            <w:r>
              <w:rPr>
                <w:rFonts w:ascii="宋体" w:hAnsi="宋体" w:cs="宋体"/>
                <w:color w:val="auto"/>
                <w:kern w:val="0"/>
              </w:rPr>
              <w:t>7</w:t>
            </w:r>
            <w:r>
              <w:rPr>
                <w:rFonts w:hint="eastAsia" w:ascii="宋体" w:hAnsi="宋体" w:cs="宋体"/>
                <w:color w:val="auto"/>
                <w:kern w:val="0"/>
              </w:rPr>
              <w:t>、FJF11-X11</w:t>
            </w:r>
            <w:r>
              <w:rPr>
                <w:rFonts w:ascii="宋体" w:hAnsi="宋体" w:cs="宋体"/>
                <w:color w:val="auto"/>
                <w:kern w:val="0"/>
              </w:rPr>
              <w:t>8</w:t>
            </w:r>
            <w:r>
              <w:rPr>
                <w:rFonts w:hint="eastAsia" w:ascii="宋体" w:hAnsi="宋体" w:cs="宋体"/>
                <w:color w:val="auto"/>
                <w:kern w:val="0"/>
              </w:rPr>
              <w:t>、FJF11-X1</w:t>
            </w:r>
            <w:r>
              <w:rPr>
                <w:rFonts w:ascii="宋体" w:hAnsi="宋体" w:cs="宋体"/>
                <w:color w:val="auto"/>
                <w:kern w:val="0"/>
              </w:rPr>
              <w:t>20</w:t>
            </w:r>
            <w:r>
              <w:rPr>
                <w:rFonts w:hint="eastAsia" w:ascii="宋体" w:hAnsi="宋体" w:cs="宋体"/>
                <w:color w:val="auto"/>
                <w:kern w:val="0"/>
              </w:rPr>
              <w:t>、FJF11-X1</w:t>
            </w:r>
            <w:r>
              <w:rPr>
                <w:rFonts w:ascii="宋体" w:hAnsi="宋体" w:cs="宋体"/>
                <w:color w:val="auto"/>
                <w:kern w:val="0"/>
              </w:rPr>
              <w:t>22</w:t>
            </w:r>
            <w:r>
              <w:rPr>
                <w:rFonts w:hint="eastAsia" w:ascii="宋体" w:hAnsi="宋体" w:cs="宋体"/>
                <w:color w:val="auto"/>
                <w:kern w:val="0"/>
              </w:rPr>
              <w:t>、FJF11-X1</w:t>
            </w:r>
            <w:r>
              <w:rPr>
                <w:rFonts w:ascii="宋体" w:hAnsi="宋体" w:cs="宋体"/>
                <w:color w:val="auto"/>
                <w:kern w:val="0"/>
              </w:rPr>
              <w:t>23</w:t>
            </w:r>
          </w:p>
        </w:tc>
      </w:tr>
      <w:tr w14:paraId="1DA8C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48B28F4E">
            <w:pPr>
              <w:widowControl/>
              <w:adjustRightInd w:val="0"/>
              <w:snapToGrid w:val="0"/>
              <w:jc w:val="center"/>
              <w:rPr>
                <w:rFonts w:ascii="宋体" w:hAnsi="宋体" w:cs="宋体"/>
                <w:color w:val="auto"/>
                <w:kern w:val="0"/>
              </w:rPr>
            </w:pPr>
            <w:r>
              <w:rPr>
                <w:color w:val="auto"/>
              </w:rPr>
              <w:drawing>
                <wp:inline distT="0" distB="0" distL="0" distR="0">
                  <wp:extent cx="2631440" cy="3750945"/>
                  <wp:effectExtent l="0" t="0" r="0" b="1905"/>
                  <wp:docPr id="459578577" name="图片 459578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7" name="图片 459578577"/>
                          <pic:cNvPicPr>
                            <a:picLocks noChangeAspect="1"/>
                          </pic:cNvPicPr>
                        </pic:nvPicPr>
                        <pic:blipFill>
                          <a:blip r:embed="rId24"/>
                          <a:stretch>
                            <a:fillRect/>
                          </a:stretch>
                        </pic:blipFill>
                        <pic:spPr>
                          <a:xfrm>
                            <a:off x="0" y="0"/>
                            <a:ext cx="2631440" cy="3750945"/>
                          </a:xfrm>
                          <a:prstGeom prst="rect">
                            <a:avLst/>
                          </a:prstGeom>
                        </pic:spPr>
                      </pic:pic>
                    </a:graphicData>
                  </a:graphic>
                </wp:inline>
              </w:drawing>
            </w:r>
          </w:p>
        </w:tc>
        <w:tc>
          <w:tcPr>
            <w:tcW w:w="4360" w:type="dxa"/>
            <w:vAlign w:val="center"/>
          </w:tcPr>
          <w:p w14:paraId="63DBF120">
            <w:pPr>
              <w:widowControl/>
              <w:adjustRightInd w:val="0"/>
              <w:snapToGrid w:val="0"/>
              <w:jc w:val="center"/>
              <w:rPr>
                <w:rFonts w:ascii="宋体" w:hAnsi="宋体" w:cs="宋体"/>
                <w:color w:val="auto"/>
                <w:kern w:val="0"/>
              </w:rPr>
            </w:pPr>
            <w:r>
              <w:rPr>
                <w:color w:val="auto"/>
              </w:rPr>
              <w:drawing>
                <wp:inline distT="0" distB="0" distL="0" distR="0">
                  <wp:extent cx="2631440" cy="1398270"/>
                  <wp:effectExtent l="0" t="0" r="0" b="0"/>
                  <wp:docPr id="459578578" name="图片 45957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8" name="图片 459578578"/>
                          <pic:cNvPicPr>
                            <a:picLocks noChangeAspect="1"/>
                          </pic:cNvPicPr>
                        </pic:nvPicPr>
                        <pic:blipFill>
                          <a:blip r:embed="rId25"/>
                          <a:stretch>
                            <a:fillRect/>
                          </a:stretch>
                        </pic:blipFill>
                        <pic:spPr>
                          <a:xfrm>
                            <a:off x="0" y="0"/>
                            <a:ext cx="2631440" cy="1398270"/>
                          </a:xfrm>
                          <a:prstGeom prst="rect">
                            <a:avLst/>
                          </a:prstGeom>
                        </pic:spPr>
                      </pic:pic>
                    </a:graphicData>
                  </a:graphic>
                </wp:inline>
              </w:drawing>
            </w:r>
          </w:p>
        </w:tc>
      </w:tr>
      <w:tr w14:paraId="27585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273B21FC">
            <w:pPr>
              <w:widowControl/>
              <w:adjustRightInd w:val="0"/>
              <w:snapToGrid w:val="0"/>
              <w:jc w:val="center"/>
              <w:rPr>
                <w:rFonts w:ascii="宋体" w:hAnsi="宋体" w:cs="宋体"/>
                <w:color w:val="auto"/>
                <w:kern w:val="0"/>
              </w:rPr>
            </w:pPr>
            <w:r>
              <w:rPr>
                <w:rFonts w:hint="eastAsia" w:ascii="宋体" w:hAnsi="宋体" w:cs="宋体"/>
                <w:color w:val="auto"/>
                <w:kern w:val="0"/>
              </w:rPr>
              <w:t>6</w:t>
            </w:r>
            <w:r>
              <w:rPr>
                <w:rFonts w:ascii="宋体" w:hAnsi="宋体" w:cs="宋体"/>
                <w:color w:val="auto"/>
                <w:kern w:val="0"/>
              </w:rPr>
              <w:t>#</w:t>
            </w:r>
            <w:r>
              <w:rPr>
                <w:rFonts w:hint="eastAsia" w:ascii="宋体" w:hAnsi="宋体" w:cs="宋体"/>
                <w:color w:val="auto"/>
                <w:kern w:val="0"/>
              </w:rPr>
              <w:t>井场加热炉（左侧-</w:t>
            </w:r>
            <w:r>
              <w:rPr>
                <w:rFonts w:ascii="宋体" w:hAnsi="宋体" w:cs="宋体"/>
                <w:color w:val="auto"/>
                <w:kern w:val="0"/>
              </w:rPr>
              <w:t>150kW</w:t>
            </w:r>
            <w:r>
              <w:rPr>
                <w:rFonts w:hint="eastAsia" w:ascii="宋体" w:hAnsi="宋体" w:cs="宋体"/>
                <w:color w:val="auto"/>
                <w:kern w:val="0"/>
              </w:rPr>
              <w:t>，右侧为停用）</w:t>
            </w:r>
          </w:p>
        </w:tc>
        <w:tc>
          <w:tcPr>
            <w:tcW w:w="4360" w:type="dxa"/>
            <w:vAlign w:val="center"/>
          </w:tcPr>
          <w:p w14:paraId="088FA9BF">
            <w:pPr>
              <w:widowControl/>
              <w:adjustRightInd w:val="0"/>
              <w:snapToGrid w:val="0"/>
              <w:jc w:val="center"/>
              <w:rPr>
                <w:rFonts w:ascii="宋体" w:hAnsi="宋体" w:cs="宋体"/>
                <w:color w:val="auto"/>
                <w:kern w:val="0"/>
              </w:rPr>
            </w:pPr>
            <w:r>
              <w:rPr>
                <w:rFonts w:hint="eastAsia" w:ascii="宋体" w:hAnsi="宋体" w:cs="宋体"/>
                <w:color w:val="auto"/>
                <w:kern w:val="0"/>
              </w:rPr>
              <w:t>6</w:t>
            </w:r>
            <w:r>
              <w:rPr>
                <w:rFonts w:ascii="宋体" w:hAnsi="宋体" w:cs="宋体"/>
                <w:color w:val="auto"/>
                <w:kern w:val="0"/>
              </w:rPr>
              <w:t>#</w:t>
            </w:r>
            <w:r>
              <w:rPr>
                <w:rFonts w:hint="eastAsia" w:ascii="宋体" w:hAnsi="宋体" w:cs="宋体"/>
                <w:color w:val="auto"/>
                <w:kern w:val="0"/>
              </w:rPr>
              <w:t>井场高架罐（新建，最左侧；其他罐为其他同台井配套）</w:t>
            </w:r>
          </w:p>
        </w:tc>
      </w:tr>
      <w:tr w14:paraId="78CA1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0242A5A7">
            <w:pPr>
              <w:widowControl/>
              <w:adjustRightInd w:val="0"/>
              <w:snapToGrid w:val="0"/>
              <w:jc w:val="center"/>
              <w:rPr>
                <w:rFonts w:ascii="宋体" w:hAnsi="宋体" w:cs="宋体"/>
                <w:color w:val="auto"/>
                <w:kern w:val="0"/>
              </w:rPr>
            </w:pPr>
            <w:r>
              <w:rPr>
                <w:color w:val="auto"/>
              </w:rPr>
              <mc:AlternateContent>
                <mc:Choice Requires="wps">
                  <w:drawing>
                    <wp:anchor distT="0" distB="0" distL="114300" distR="114300" simplePos="0" relativeHeight="251674624" behindDoc="0" locked="0" layoutInCell="1" allowOverlap="1">
                      <wp:simplePos x="0" y="0"/>
                      <wp:positionH relativeFrom="column">
                        <wp:posOffset>1440180</wp:posOffset>
                      </wp:positionH>
                      <wp:positionV relativeFrom="paragraph">
                        <wp:posOffset>697865</wp:posOffset>
                      </wp:positionV>
                      <wp:extent cx="943610" cy="262890"/>
                      <wp:effectExtent l="0" t="0" r="8890" b="3810"/>
                      <wp:wrapNone/>
                      <wp:docPr id="459578601" name="文本框 459578601"/>
                      <wp:cNvGraphicFramePr/>
                      <a:graphic xmlns:a="http://schemas.openxmlformats.org/drawingml/2006/main">
                        <a:graphicData uri="http://schemas.microsoft.com/office/word/2010/wordprocessingShape">
                          <wps:wsp>
                            <wps:cNvSpPr txBox="1"/>
                            <wps:spPr>
                              <a:xfrm>
                                <a:off x="0" y="0"/>
                                <a:ext cx="943610" cy="262890"/>
                              </a:xfrm>
                              <a:prstGeom prst="rect">
                                <a:avLst/>
                              </a:prstGeom>
                              <a:solidFill>
                                <a:schemeClr val="lt1"/>
                              </a:solidFill>
                              <a:ln w="6350">
                                <a:noFill/>
                              </a:ln>
                            </wps:spPr>
                            <wps:txbx>
                              <w:txbxContent>
                                <w:p w14:paraId="5C59E4AF">
                                  <w:r>
                                    <w:rPr>
                                      <w:rFonts w:hint="eastAsia" w:ascii="宋体" w:hAnsi="宋体" w:cs="宋体"/>
                                      <w:color w:val="000000"/>
                                      <w:kern w:val="0"/>
                                    </w:rPr>
                                    <w:t>FJFY1-10HF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4pt;margin-top:54.95pt;height:20.7pt;width:74.3pt;z-index:251674624;mso-width-relative:page;mso-height-relative:page;" fillcolor="#FFFFFF [3201]" filled="t" stroked="f" coordsize="21600,21600" o:gfxdata="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BTyCXWAAAA&#10;CwEAAA8AAAAAAAAAAQAgAAAAIgAAAGRycy9kb3ducmV2LnhtbFBLAQIUABQAAAAIAIdO4kC4B8Ro&#10;WAIAAJ4EAAAOAAAAAAAAAAEAIAAAACUBAABkcnMvZTJvRG9jLnhtbFBLBQYAAAAABgAGAFkBAADv&#10;BQAAAAA=&#10;">
                      <v:fill on="t" focussize="0,0"/>
                      <v:stroke on="f" weight="0.5pt"/>
                      <v:imagedata o:title=""/>
                      <o:lock v:ext="edit" aspectratio="f"/>
                      <v:textbox>
                        <w:txbxContent>
                          <w:p w14:paraId="5C59E4AF">
                            <w:r>
                              <w:rPr>
                                <w:rFonts w:hint="eastAsia" w:ascii="宋体" w:hAnsi="宋体" w:cs="宋体"/>
                                <w:color w:val="000000"/>
                                <w:kern w:val="0"/>
                              </w:rPr>
                              <w:t>FJFY1-10HF</w:t>
                            </w:r>
                          </w:p>
                        </w:txbxContent>
                      </v:textbox>
                    </v:shap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112395</wp:posOffset>
                      </wp:positionH>
                      <wp:positionV relativeFrom="paragraph">
                        <wp:posOffset>487680</wp:posOffset>
                      </wp:positionV>
                      <wp:extent cx="796925" cy="285115"/>
                      <wp:effectExtent l="0" t="0" r="3175" b="635"/>
                      <wp:wrapNone/>
                      <wp:docPr id="459578600" name="文本框 459578600"/>
                      <wp:cNvGraphicFramePr/>
                      <a:graphic xmlns:a="http://schemas.openxmlformats.org/drawingml/2006/main">
                        <a:graphicData uri="http://schemas.microsoft.com/office/word/2010/wordprocessingShape">
                          <wps:wsp>
                            <wps:cNvSpPr txBox="1"/>
                            <wps:spPr>
                              <a:xfrm>
                                <a:off x="0" y="0"/>
                                <a:ext cx="796925" cy="285115"/>
                              </a:xfrm>
                              <a:prstGeom prst="rect">
                                <a:avLst/>
                              </a:prstGeom>
                              <a:solidFill>
                                <a:schemeClr val="lt1"/>
                              </a:solidFill>
                              <a:ln w="6350">
                                <a:noFill/>
                              </a:ln>
                            </wps:spPr>
                            <wps:txbx>
                              <w:txbxContent>
                                <w:p w14:paraId="2A0C75EB">
                                  <w:r>
                                    <w:rPr>
                                      <w:rFonts w:hint="eastAsia" w:ascii="宋体" w:hAnsi="宋体" w:cs="宋体"/>
                                      <w:color w:val="000000"/>
                                      <w:kern w:val="0"/>
                                    </w:rPr>
                                    <w:t>FJFY1-9HF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5pt;margin-top:38.4pt;height:22.45pt;width:62.75pt;z-index:251673600;mso-width-relative:page;mso-height-relative:page;" fillcolor="#FFFFFF [3201]" filled="t" stroked="f" coordsize="21600,21600" o:gfxdata="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GIv/CHUAAAACQEA&#10;AA8AAAAAAAAAAQAgAAAAIgAAAGRycy9kb3ducmV2LnhtbFBLAQIUABQAAAAIAIdO4kDDcQFkVwIA&#10;AJ4EAAAOAAAAAAAAAAEAIAAAACMBAABkcnMvZTJvRG9jLnhtbFBLBQYAAAAABgAGAFkBAADsBQAA&#10;AAA=&#10;">
                      <v:fill on="t" focussize="0,0"/>
                      <v:stroke on="f" weight="0.5pt"/>
                      <v:imagedata o:title=""/>
                      <o:lock v:ext="edit" aspectratio="f"/>
                      <v:textbox>
                        <w:txbxContent>
                          <w:p w14:paraId="2A0C75EB">
                            <w:r>
                              <w:rPr>
                                <w:rFonts w:hint="eastAsia" w:ascii="宋体" w:hAnsi="宋体" w:cs="宋体"/>
                                <w:color w:val="000000"/>
                                <w:kern w:val="0"/>
                              </w:rPr>
                              <w:t>FJFY1-9HF</w:t>
                            </w:r>
                          </w:p>
                        </w:txbxContent>
                      </v:textbox>
                    </v:shape>
                  </w:pict>
                </mc:Fallback>
              </mc:AlternateContent>
            </w:r>
            <w:r>
              <w:rPr>
                <w:color w:val="auto"/>
              </w:rPr>
              <w:drawing>
                <wp:inline distT="0" distB="0" distL="0" distR="0">
                  <wp:extent cx="2608580" cy="2787015"/>
                  <wp:effectExtent l="0" t="0" r="1270" b="0"/>
                  <wp:docPr id="459578599" name="图片 459578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99" name="图片 459578599"/>
                          <pic:cNvPicPr>
                            <a:picLocks noChangeAspect="1"/>
                          </pic:cNvPicPr>
                        </pic:nvPicPr>
                        <pic:blipFill>
                          <a:blip r:embed="rId26"/>
                          <a:stretch>
                            <a:fillRect/>
                          </a:stretch>
                        </pic:blipFill>
                        <pic:spPr>
                          <a:xfrm>
                            <a:off x="0" y="0"/>
                            <a:ext cx="2627398" cy="2806904"/>
                          </a:xfrm>
                          <a:prstGeom prst="rect">
                            <a:avLst/>
                          </a:prstGeom>
                        </pic:spPr>
                      </pic:pic>
                    </a:graphicData>
                  </a:graphic>
                </wp:inline>
              </w:drawing>
            </w:r>
          </w:p>
        </w:tc>
        <w:tc>
          <w:tcPr>
            <w:tcW w:w="4360" w:type="dxa"/>
            <w:vAlign w:val="center"/>
          </w:tcPr>
          <w:p w14:paraId="10C5A775">
            <w:pPr>
              <w:widowControl/>
              <w:adjustRightInd w:val="0"/>
              <w:snapToGrid w:val="0"/>
              <w:jc w:val="center"/>
              <w:rPr>
                <w:rFonts w:ascii="宋体" w:hAnsi="宋体" w:cs="宋体"/>
                <w:color w:val="auto"/>
                <w:kern w:val="0"/>
              </w:rPr>
            </w:pPr>
            <w:r>
              <w:rPr>
                <w:color w:val="auto"/>
              </w:rPr>
              <w:drawing>
                <wp:inline distT="0" distB="0" distL="0" distR="0">
                  <wp:extent cx="2631440" cy="2112645"/>
                  <wp:effectExtent l="0" t="0" r="0" b="1905"/>
                  <wp:docPr id="459578579" name="图片 45957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9" name="图片 459578579"/>
                          <pic:cNvPicPr>
                            <a:picLocks noChangeAspect="1"/>
                          </pic:cNvPicPr>
                        </pic:nvPicPr>
                        <pic:blipFill>
                          <a:blip r:embed="rId27"/>
                          <a:stretch>
                            <a:fillRect/>
                          </a:stretch>
                        </pic:blipFill>
                        <pic:spPr>
                          <a:xfrm>
                            <a:off x="0" y="0"/>
                            <a:ext cx="2631440" cy="2112645"/>
                          </a:xfrm>
                          <a:prstGeom prst="rect">
                            <a:avLst/>
                          </a:prstGeom>
                        </pic:spPr>
                      </pic:pic>
                    </a:graphicData>
                  </a:graphic>
                </wp:inline>
              </w:drawing>
            </w:r>
          </w:p>
        </w:tc>
      </w:tr>
      <w:tr w14:paraId="2002C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4AC33FBE">
            <w:pPr>
              <w:widowControl/>
              <w:adjustRightInd w:val="0"/>
              <w:snapToGrid w:val="0"/>
              <w:jc w:val="center"/>
              <w:rPr>
                <w:rFonts w:ascii="宋体" w:hAnsi="宋体" w:cs="宋体"/>
                <w:color w:val="auto"/>
                <w:kern w:val="0"/>
              </w:rPr>
            </w:pPr>
            <w:r>
              <w:rPr>
                <w:rFonts w:hint="eastAsia" w:ascii="宋体" w:hAnsi="宋体" w:cs="宋体"/>
                <w:color w:val="auto"/>
                <w:kern w:val="0"/>
              </w:rPr>
              <w:t>7#：FJFY1-9HF、FJFY1-10HF</w:t>
            </w:r>
          </w:p>
        </w:tc>
        <w:tc>
          <w:tcPr>
            <w:tcW w:w="4360" w:type="dxa"/>
            <w:vAlign w:val="center"/>
          </w:tcPr>
          <w:p w14:paraId="20F0075D">
            <w:pPr>
              <w:widowControl/>
              <w:adjustRightInd w:val="0"/>
              <w:snapToGrid w:val="0"/>
              <w:jc w:val="center"/>
              <w:rPr>
                <w:rFonts w:ascii="宋体" w:hAnsi="宋体" w:cs="宋体"/>
                <w:color w:val="auto"/>
                <w:kern w:val="0"/>
              </w:rPr>
            </w:pPr>
            <w:bookmarkStart w:id="157" w:name="OLE_LINK275"/>
            <w:r>
              <w:rPr>
                <w:rFonts w:hint="eastAsia" w:ascii="宋体" w:hAnsi="宋体" w:cs="宋体"/>
                <w:color w:val="auto"/>
                <w:kern w:val="0"/>
              </w:rPr>
              <w:t>7</w:t>
            </w:r>
            <w:r>
              <w:rPr>
                <w:rFonts w:ascii="宋体" w:hAnsi="宋体" w:cs="宋体"/>
                <w:color w:val="auto"/>
                <w:kern w:val="0"/>
              </w:rPr>
              <w:t>#</w:t>
            </w:r>
            <w:r>
              <w:rPr>
                <w:rFonts w:hint="eastAsia" w:ascii="宋体" w:hAnsi="宋体" w:cs="宋体"/>
                <w:color w:val="auto"/>
                <w:kern w:val="0"/>
              </w:rPr>
              <w:t>井场-三相分离器</w:t>
            </w:r>
            <w:bookmarkEnd w:id="157"/>
          </w:p>
        </w:tc>
      </w:tr>
      <w:tr w14:paraId="22C9B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19E3D1DF">
            <w:pPr>
              <w:widowControl/>
              <w:adjustRightInd w:val="0"/>
              <w:snapToGrid w:val="0"/>
              <w:jc w:val="center"/>
              <w:rPr>
                <w:rFonts w:ascii="宋体" w:hAnsi="宋体" w:cs="宋体"/>
                <w:color w:val="auto"/>
                <w:kern w:val="0"/>
              </w:rPr>
            </w:pPr>
            <w:r>
              <w:rPr>
                <w:color w:val="auto"/>
              </w:rPr>
              <w:drawing>
                <wp:inline distT="0" distB="0" distL="0" distR="0">
                  <wp:extent cx="2631440" cy="1515110"/>
                  <wp:effectExtent l="0" t="0" r="0" b="8890"/>
                  <wp:docPr id="459578584" name="图片 45957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4" name="图片 459578584"/>
                          <pic:cNvPicPr>
                            <a:picLocks noChangeAspect="1"/>
                          </pic:cNvPicPr>
                        </pic:nvPicPr>
                        <pic:blipFill>
                          <a:blip r:embed="rId28"/>
                          <a:stretch>
                            <a:fillRect/>
                          </a:stretch>
                        </pic:blipFill>
                        <pic:spPr>
                          <a:xfrm>
                            <a:off x="0" y="0"/>
                            <a:ext cx="2631440" cy="1515110"/>
                          </a:xfrm>
                          <a:prstGeom prst="rect">
                            <a:avLst/>
                          </a:prstGeom>
                        </pic:spPr>
                      </pic:pic>
                    </a:graphicData>
                  </a:graphic>
                </wp:inline>
              </w:drawing>
            </w:r>
          </w:p>
        </w:tc>
        <w:tc>
          <w:tcPr>
            <w:tcW w:w="4360" w:type="dxa"/>
            <w:vAlign w:val="center"/>
          </w:tcPr>
          <w:p w14:paraId="0B237381">
            <w:pPr>
              <w:widowControl/>
              <w:adjustRightInd w:val="0"/>
              <w:snapToGrid w:val="0"/>
              <w:jc w:val="center"/>
              <w:rPr>
                <w:rFonts w:ascii="宋体" w:hAnsi="宋体" w:cs="宋体"/>
                <w:color w:val="auto"/>
                <w:kern w:val="0"/>
              </w:rPr>
            </w:pPr>
            <w:r>
              <w:rPr>
                <w:color w:val="auto"/>
              </w:rPr>
              <w:drawing>
                <wp:inline distT="0" distB="0" distL="0" distR="0">
                  <wp:extent cx="2455545" cy="2838450"/>
                  <wp:effectExtent l="0" t="0" r="1905" b="0"/>
                  <wp:docPr id="459578602" name="图片 459578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02" name="图片 459578602"/>
                          <pic:cNvPicPr>
                            <a:picLocks noChangeAspect="1"/>
                          </pic:cNvPicPr>
                        </pic:nvPicPr>
                        <pic:blipFill>
                          <a:blip r:embed="rId29"/>
                          <a:stretch>
                            <a:fillRect/>
                          </a:stretch>
                        </pic:blipFill>
                        <pic:spPr>
                          <a:xfrm>
                            <a:off x="0" y="0"/>
                            <a:ext cx="2470311" cy="2854917"/>
                          </a:xfrm>
                          <a:prstGeom prst="rect">
                            <a:avLst/>
                          </a:prstGeom>
                        </pic:spPr>
                      </pic:pic>
                    </a:graphicData>
                  </a:graphic>
                </wp:inline>
              </w:drawing>
            </w:r>
          </w:p>
        </w:tc>
      </w:tr>
      <w:tr w14:paraId="2A8B2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6F518F63">
            <w:pPr>
              <w:widowControl/>
              <w:adjustRightInd w:val="0"/>
              <w:snapToGrid w:val="0"/>
              <w:jc w:val="center"/>
              <w:rPr>
                <w:rFonts w:ascii="宋体" w:hAnsi="宋体" w:cs="宋体"/>
                <w:color w:val="auto"/>
                <w:kern w:val="0"/>
              </w:rPr>
            </w:pPr>
            <w:r>
              <w:rPr>
                <w:rFonts w:hint="eastAsia" w:ascii="宋体" w:hAnsi="宋体" w:cs="宋体"/>
                <w:color w:val="auto"/>
                <w:kern w:val="0"/>
              </w:rPr>
              <w:t>7</w:t>
            </w:r>
            <w:r>
              <w:rPr>
                <w:rFonts w:ascii="宋体" w:hAnsi="宋体" w:cs="宋体"/>
                <w:color w:val="auto"/>
                <w:kern w:val="0"/>
              </w:rPr>
              <w:t>#</w:t>
            </w:r>
            <w:r>
              <w:rPr>
                <w:rFonts w:hint="eastAsia" w:ascii="宋体" w:hAnsi="宋体" w:cs="宋体"/>
                <w:color w:val="auto"/>
                <w:kern w:val="0"/>
              </w:rPr>
              <w:t>井场-多功能罐（均为电加热；该井场同时为集中拉油点，其他高架罐为拉油点配套建设）</w:t>
            </w:r>
          </w:p>
        </w:tc>
        <w:tc>
          <w:tcPr>
            <w:tcW w:w="4360" w:type="dxa"/>
            <w:vAlign w:val="center"/>
          </w:tcPr>
          <w:p w14:paraId="06D87D1F">
            <w:pPr>
              <w:widowControl/>
              <w:adjustRightInd w:val="0"/>
              <w:snapToGrid w:val="0"/>
              <w:jc w:val="center"/>
              <w:rPr>
                <w:rFonts w:ascii="宋体" w:hAnsi="宋体" w:cs="宋体"/>
                <w:color w:val="auto"/>
                <w:kern w:val="0"/>
              </w:rPr>
            </w:pPr>
            <w:r>
              <w:rPr>
                <w:rFonts w:hint="eastAsia" w:ascii="宋体" w:hAnsi="宋体" w:cs="宋体"/>
                <w:color w:val="auto"/>
                <w:kern w:val="0"/>
              </w:rPr>
              <w:t>8</w:t>
            </w:r>
            <w:r>
              <w:rPr>
                <w:rFonts w:ascii="宋体" w:hAnsi="宋体" w:cs="宋体"/>
                <w:color w:val="auto"/>
                <w:kern w:val="0"/>
              </w:rPr>
              <w:t>#</w:t>
            </w:r>
            <w:r>
              <w:rPr>
                <w:rFonts w:hint="eastAsia" w:ascii="宋体" w:hAnsi="宋体" w:cs="宋体"/>
                <w:color w:val="auto"/>
                <w:kern w:val="0"/>
              </w:rPr>
              <w:t>：FJFY301HF</w:t>
            </w:r>
          </w:p>
        </w:tc>
      </w:tr>
      <w:tr w14:paraId="0718B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5F33AEFF">
            <w:pPr>
              <w:widowControl/>
              <w:adjustRightInd w:val="0"/>
              <w:snapToGrid w:val="0"/>
              <w:jc w:val="center"/>
              <w:rPr>
                <w:rFonts w:ascii="宋体" w:hAnsi="宋体" w:cs="宋体"/>
                <w:color w:val="auto"/>
                <w:kern w:val="0"/>
              </w:rPr>
            </w:pPr>
            <w:r>
              <w:rPr>
                <w:rFonts w:ascii="宋体" w:hAnsi="宋体" w:cs="宋体"/>
                <w:color w:val="auto"/>
                <w:kern w:val="0"/>
              </w:rPr>
              <w:drawing>
                <wp:inline distT="0" distB="0" distL="0" distR="0">
                  <wp:extent cx="2614930" cy="1962150"/>
                  <wp:effectExtent l="0" t="0" r="0" b="0"/>
                  <wp:docPr id="459578617" name="图片 459578617" descr="I:\5-2026年项目\26.东胜1月两个验收\3-现场踏勘\高青管理区\樊页301\IMG_20260113_14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7" name="图片 459578617" descr="I:\5-2026年项目\26.东胜1月两个验收\3-现场踏勘\高青管理区\樊页301\IMG_20260113_1454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620707" cy="1966011"/>
                          </a:xfrm>
                          <a:prstGeom prst="rect">
                            <a:avLst/>
                          </a:prstGeom>
                          <a:noFill/>
                          <a:ln>
                            <a:noFill/>
                          </a:ln>
                        </pic:spPr>
                      </pic:pic>
                    </a:graphicData>
                  </a:graphic>
                </wp:inline>
              </w:drawing>
            </w:r>
          </w:p>
        </w:tc>
        <w:tc>
          <w:tcPr>
            <w:tcW w:w="4360" w:type="dxa"/>
            <w:vAlign w:val="center"/>
          </w:tcPr>
          <w:p w14:paraId="595B994A">
            <w:pPr>
              <w:widowControl/>
              <w:adjustRightInd w:val="0"/>
              <w:snapToGrid w:val="0"/>
              <w:jc w:val="center"/>
              <w:rPr>
                <w:rFonts w:ascii="宋体" w:hAnsi="宋体" w:cs="宋体"/>
                <w:color w:val="auto"/>
                <w:kern w:val="0"/>
              </w:rPr>
            </w:pPr>
            <w:r>
              <w:rPr>
                <w:color w:val="auto"/>
              </w:rPr>
              <w:drawing>
                <wp:inline distT="0" distB="0" distL="0" distR="0">
                  <wp:extent cx="2631440" cy="1908810"/>
                  <wp:effectExtent l="0" t="0" r="0" b="0"/>
                  <wp:docPr id="1981612481" name="图片 198161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81" name="图片 1981612481"/>
                          <pic:cNvPicPr>
                            <a:picLocks noChangeAspect="1"/>
                          </pic:cNvPicPr>
                        </pic:nvPicPr>
                        <pic:blipFill>
                          <a:blip r:embed="rId31"/>
                          <a:stretch>
                            <a:fillRect/>
                          </a:stretch>
                        </pic:blipFill>
                        <pic:spPr>
                          <a:xfrm>
                            <a:off x="0" y="0"/>
                            <a:ext cx="2631440" cy="1908810"/>
                          </a:xfrm>
                          <a:prstGeom prst="rect">
                            <a:avLst/>
                          </a:prstGeom>
                        </pic:spPr>
                      </pic:pic>
                    </a:graphicData>
                  </a:graphic>
                </wp:inline>
              </w:drawing>
            </w:r>
          </w:p>
        </w:tc>
      </w:tr>
      <w:tr w14:paraId="2B324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3A66AF3A">
            <w:pPr>
              <w:widowControl/>
              <w:adjustRightInd w:val="0"/>
              <w:snapToGrid w:val="0"/>
              <w:jc w:val="center"/>
              <w:rPr>
                <w:rFonts w:ascii="宋体" w:hAnsi="宋体" w:cs="宋体"/>
                <w:color w:val="auto"/>
                <w:kern w:val="0"/>
              </w:rPr>
            </w:pPr>
            <w:r>
              <w:rPr>
                <w:rFonts w:hint="eastAsia" w:ascii="宋体" w:hAnsi="宋体" w:cs="宋体"/>
                <w:color w:val="auto"/>
                <w:kern w:val="0"/>
              </w:rPr>
              <w:t>8</w:t>
            </w:r>
            <w:r>
              <w:rPr>
                <w:rFonts w:ascii="宋体" w:hAnsi="宋体" w:cs="宋体"/>
                <w:color w:val="auto"/>
                <w:kern w:val="0"/>
              </w:rPr>
              <w:t>#</w:t>
            </w:r>
            <w:r>
              <w:rPr>
                <w:rFonts w:hint="eastAsia" w:ascii="宋体" w:hAnsi="宋体" w:cs="宋体"/>
                <w:color w:val="auto"/>
                <w:kern w:val="0"/>
              </w:rPr>
              <w:t>井场-三相分离器</w:t>
            </w:r>
          </w:p>
        </w:tc>
        <w:tc>
          <w:tcPr>
            <w:tcW w:w="4360" w:type="dxa"/>
            <w:vAlign w:val="center"/>
          </w:tcPr>
          <w:p w14:paraId="73FAA9BA">
            <w:pPr>
              <w:widowControl/>
              <w:adjustRightInd w:val="0"/>
              <w:snapToGrid w:val="0"/>
              <w:jc w:val="center"/>
              <w:rPr>
                <w:rFonts w:ascii="宋体" w:hAnsi="宋体" w:cs="宋体"/>
                <w:color w:val="auto"/>
                <w:kern w:val="0"/>
              </w:rPr>
            </w:pPr>
            <w:bookmarkStart w:id="158" w:name="OLE_LINK317"/>
            <w:bookmarkStart w:id="159" w:name="OLE_LINK318"/>
            <w:r>
              <w:rPr>
                <w:rFonts w:hint="eastAsia" w:ascii="宋体" w:hAnsi="宋体" w:cs="宋体"/>
                <w:color w:val="auto"/>
                <w:kern w:val="0"/>
              </w:rPr>
              <w:t>8</w:t>
            </w:r>
            <w:r>
              <w:rPr>
                <w:rFonts w:ascii="宋体" w:hAnsi="宋体" w:cs="宋体"/>
                <w:color w:val="auto"/>
                <w:kern w:val="0"/>
              </w:rPr>
              <w:t>#</w:t>
            </w:r>
            <w:r>
              <w:rPr>
                <w:rFonts w:hint="eastAsia" w:ascii="宋体" w:hAnsi="宋体" w:cs="宋体"/>
                <w:color w:val="auto"/>
                <w:kern w:val="0"/>
              </w:rPr>
              <w:t>井场-天然气干燥器</w:t>
            </w:r>
            <w:bookmarkEnd w:id="158"/>
            <w:bookmarkEnd w:id="159"/>
          </w:p>
        </w:tc>
      </w:tr>
      <w:tr w14:paraId="70E06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733F6E48">
            <w:pPr>
              <w:widowControl/>
              <w:adjustRightInd w:val="0"/>
              <w:snapToGrid w:val="0"/>
              <w:jc w:val="center"/>
              <w:rPr>
                <w:rFonts w:ascii="宋体" w:hAnsi="宋体" w:cs="宋体"/>
                <w:color w:val="auto"/>
                <w:kern w:val="0"/>
              </w:rPr>
            </w:pPr>
            <w:r>
              <w:rPr>
                <w:color w:val="auto"/>
              </w:rPr>
              <w:drawing>
                <wp:inline distT="0" distB="0" distL="0" distR="0">
                  <wp:extent cx="2631440" cy="2729865"/>
                  <wp:effectExtent l="0" t="0" r="0" b="0"/>
                  <wp:docPr id="1981612482" name="图片 198161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82" name="图片 1981612482"/>
                          <pic:cNvPicPr>
                            <a:picLocks noChangeAspect="1"/>
                          </pic:cNvPicPr>
                        </pic:nvPicPr>
                        <pic:blipFill>
                          <a:blip r:embed="rId32"/>
                          <a:stretch>
                            <a:fillRect/>
                          </a:stretch>
                        </pic:blipFill>
                        <pic:spPr>
                          <a:xfrm>
                            <a:off x="0" y="0"/>
                            <a:ext cx="2631440" cy="2729865"/>
                          </a:xfrm>
                          <a:prstGeom prst="rect">
                            <a:avLst/>
                          </a:prstGeom>
                        </pic:spPr>
                      </pic:pic>
                    </a:graphicData>
                  </a:graphic>
                </wp:inline>
              </w:drawing>
            </w:r>
          </w:p>
        </w:tc>
        <w:tc>
          <w:tcPr>
            <w:tcW w:w="4360" w:type="dxa"/>
            <w:vAlign w:val="center"/>
          </w:tcPr>
          <w:p w14:paraId="7380FB09">
            <w:pPr>
              <w:widowControl/>
              <w:adjustRightInd w:val="0"/>
              <w:snapToGrid w:val="0"/>
              <w:jc w:val="center"/>
              <w:rPr>
                <w:rFonts w:ascii="宋体" w:hAnsi="宋体" w:cs="宋体"/>
                <w:color w:val="auto"/>
                <w:kern w:val="0"/>
              </w:rPr>
            </w:pPr>
            <w:r>
              <w:rPr>
                <w:color w:val="auto"/>
              </w:rPr>
              <w:drawing>
                <wp:inline distT="0" distB="0" distL="0" distR="0">
                  <wp:extent cx="2631440" cy="2578735"/>
                  <wp:effectExtent l="0" t="0" r="0" b="0"/>
                  <wp:docPr id="1981612483" name="图片 198161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83" name="图片 1981612483"/>
                          <pic:cNvPicPr>
                            <a:picLocks noChangeAspect="1"/>
                          </pic:cNvPicPr>
                        </pic:nvPicPr>
                        <pic:blipFill>
                          <a:blip r:embed="rId33"/>
                          <a:stretch>
                            <a:fillRect/>
                          </a:stretch>
                        </pic:blipFill>
                        <pic:spPr>
                          <a:xfrm>
                            <a:off x="0" y="0"/>
                            <a:ext cx="2631440" cy="2578735"/>
                          </a:xfrm>
                          <a:prstGeom prst="rect">
                            <a:avLst/>
                          </a:prstGeom>
                        </pic:spPr>
                      </pic:pic>
                    </a:graphicData>
                  </a:graphic>
                </wp:inline>
              </w:drawing>
            </w:r>
          </w:p>
        </w:tc>
      </w:tr>
      <w:tr w14:paraId="3C633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2617A848">
            <w:pPr>
              <w:widowControl/>
              <w:adjustRightInd w:val="0"/>
              <w:snapToGrid w:val="0"/>
              <w:jc w:val="center"/>
              <w:rPr>
                <w:rFonts w:ascii="宋体" w:hAnsi="宋体" w:cs="宋体"/>
                <w:color w:val="auto"/>
                <w:kern w:val="0"/>
              </w:rPr>
            </w:pPr>
            <w:bookmarkStart w:id="160" w:name="OLE_LINK323"/>
            <w:bookmarkStart w:id="161" w:name="OLE_LINK324"/>
            <w:r>
              <w:rPr>
                <w:rFonts w:hint="eastAsia" w:ascii="宋体" w:hAnsi="宋体" w:cs="宋体"/>
                <w:color w:val="auto"/>
                <w:kern w:val="0"/>
              </w:rPr>
              <w:t>8</w:t>
            </w:r>
            <w:r>
              <w:rPr>
                <w:rFonts w:ascii="宋体" w:hAnsi="宋体" w:cs="宋体"/>
                <w:color w:val="auto"/>
                <w:kern w:val="0"/>
              </w:rPr>
              <w:t>#</w:t>
            </w:r>
            <w:r>
              <w:rPr>
                <w:rFonts w:hint="eastAsia" w:ascii="宋体" w:hAnsi="宋体" w:cs="宋体"/>
                <w:color w:val="auto"/>
                <w:kern w:val="0"/>
              </w:rPr>
              <w:t>井场-燃气水套加热炉（1</w:t>
            </w:r>
            <w:r>
              <w:rPr>
                <w:rFonts w:ascii="宋体" w:hAnsi="宋体" w:cs="宋体"/>
                <w:color w:val="auto"/>
                <w:kern w:val="0"/>
              </w:rPr>
              <w:t>00kW</w:t>
            </w:r>
            <w:r>
              <w:rPr>
                <w:rFonts w:hint="eastAsia" w:ascii="宋体" w:hAnsi="宋体" w:cs="宋体"/>
                <w:color w:val="auto"/>
                <w:kern w:val="0"/>
              </w:rPr>
              <w:t>）</w:t>
            </w:r>
            <w:bookmarkEnd w:id="160"/>
            <w:bookmarkEnd w:id="161"/>
          </w:p>
        </w:tc>
        <w:tc>
          <w:tcPr>
            <w:tcW w:w="4360" w:type="dxa"/>
            <w:vAlign w:val="center"/>
          </w:tcPr>
          <w:p w14:paraId="52E04A3E">
            <w:pPr>
              <w:widowControl/>
              <w:adjustRightInd w:val="0"/>
              <w:snapToGrid w:val="0"/>
              <w:jc w:val="center"/>
              <w:rPr>
                <w:rFonts w:ascii="宋体" w:hAnsi="宋体" w:cs="宋体"/>
                <w:color w:val="auto"/>
                <w:kern w:val="0"/>
              </w:rPr>
            </w:pPr>
            <w:r>
              <w:rPr>
                <w:rFonts w:hint="eastAsia" w:ascii="宋体" w:hAnsi="宋体" w:cs="宋体"/>
                <w:color w:val="auto"/>
                <w:kern w:val="0"/>
              </w:rPr>
              <w:t>8</w:t>
            </w:r>
            <w:r>
              <w:rPr>
                <w:rFonts w:ascii="宋体" w:hAnsi="宋体" w:cs="宋体"/>
                <w:color w:val="auto"/>
                <w:kern w:val="0"/>
              </w:rPr>
              <w:t>#</w:t>
            </w:r>
            <w:r>
              <w:rPr>
                <w:rFonts w:hint="eastAsia" w:ascii="宋体" w:hAnsi="宋体" w:cs="宋体"/>
                <w:color w:val="auto"/>
                <w:kern w:val="0"/>
              </w:rPr>
              <w:t>井场-井口加药装置</w:t>
            </w:r>
          </w:p>
        </w:tc>
      </w:tr>
      <w:tr w14:paraId="7B539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2A8FE46C">
            <w:pPr>
              <w:widowControl/>
              <w:adjustRightInd w:val="0"/>
              <w:snapToGrid w:val="0"/>
              <w:jc w:val="center"/>
              <w:rPr>
                <w:rFonts w:ascii="宋体" w:hAnsi="宋体" w:cs="宋体"/>
                <w:color w:val="auto"/>
                <w:kern w:val="0"/>
              </w:rPr>
            </w:pPr>
            <w:r>
              <w:rPr>
                <w:color w:val="auto"/>
              </w:rPr>
              <w:drawing>
                <wp:inline distT="0" distB="0" distL="0" distR="0">
                  <wp:extent cx="2631440" cy="3193415"/>
                  <wp:effectExtent l="0" t="0" r="0" b="6985"/>
                  <wp:docPr id="459578603" name="图片 459578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03" name="图片 459578603"/>
                          <pic:cNvPicPr>
                            <a:picLocks noChangeAspect="1"/>
                          </pic:cNvPicPr>
                        </pic:nvPicPr>
                        <pic:blipFill>
                          <a:blip r:embed="rId34"/>
                          <a:stretch>
                            <a:fillRect/>
                          </a:stretch>
                        </pic:blipFill>
                        <pic:spPr>
                          <a:xfrm>
                            <a:off x="0" y="0"/>
                            <a:ext cx="2631440" cy="3193415"/>
                          </a:xfrm>
                          <a:prstGeom prst="rect">
                            <a:avLst/>
                          </a:prstGeom>
                        </pic:spPr>
                      </pic:pic>
                    </a:graphicData>
                  </a:graphic>
                </wp:inline>
              </w:drawing>
            </w:r>
          </w:p>
        </w:tc>
        <w:tc>
          <w:tcPr>
            <w:tcW w:w="4360" w:type="dxa"/>
            <w:vAlign w:val="center"/>
          </w:tcPr>
          <w:p w14:paraId="751A6C68">
            <w:pPr>
              <w:widowControl/>
              <w:adjustRightInd w:val="0"/>
              <w:snapToGrid w:val="0"/>
              <w:jc w:val="center"/>
              <w:rPr>
                <w:rFonts w:ascii="宋体" w:hAnsi="宋体" w:cs="宋体"/>
                <w:color w:val="auto"/>
                <w:kern w:val="0"/>
              </w:rPr>
            </w:pPr>
            <w:r>
              <w:rPr>
                <w:color w:val="auto"/>
              </w:rPr>
              <mc:AlternateContent>
                <mc:Choice Requires="wps">
                  <w:drawing>
                    <wp:anchor distT="0" distB="0" distL="114300" distR="114300" simplePos="0" relativeHeight="251676672" behindDoc="0" locked="0" layoutInCell="1" allowOverlap="1">
                      <wp:simplePos x="0" y="0"/>
                      <wp:positionH relativeFrom="column">
                        <wp:posOffset>640080</wp:posOffset>
                      </wp:positionH>
                      <wp:positionV relativeFrom="paragraph">
                        <wp:posOffset>2557780</wp:posOffset>
                      </wp:positionV>
                      <wp:extent cx="581025" cy="152400"/>
                      <wp:effectExtent l="38100" t="19050" r="9525" b="76200"/>
                      <wp:wrapNone/>
                      <wp:docPr id="1981612487" name="直接箭头连接符 1981612487"/>
                      <wp:cNvGraphicFramePr/>
                      <a:graphic xmlns:a="http://schemas.openxmlformats.org/drawingml/2006/main">
                        <a:graphicData uri="http://schemas.microsoft.com/office/word/2010/wordprocessingShape">
                          <wps:wsp>
                            <wps:cNvCnPr/>
                            <wps:spPr>
                              <a:xfrm flipH="1">
                                <a:off x="0" y="0"/>
                                <a:ext cx="581025" cy="152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50.4pt;margin-top:201.4pt;height:12pt;width:45.75pt;z-index:251676672;mso-width-relative:page;mso-height-relative:page;" filled="f" stroked="t" coordsize="21600,21600" o:gfxdata="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RGRxza&#10;AAAACwEAAA8AAAAAAAAAAQAgAAAAIgAAAGRycy9kb3ducmV2LnhtbFBLAQIUABQAAAAIAIdO4kAA&#10;JfalHgIAAAIEAAAOAAAAAAAAAAEAIAAAACkBAABkcnMvZTJvRG9jLnhtbFBLBQYAAAAABgAGAFkB&#10;AAC5BQAAAAA=&#10;">
                      <v:fill on="f" focussize="0,0"/>
                      <v:stroke weight="2.25pt" color="#FF0000 [3204]" miterlimit="8" joinstyle="miter" endarrow="block"/>
                      <v:imagedata o:title=""/>
                      <o:lock v:ext="edit" aspectratio="f"/>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olumn">
                        <wp:posOffset>34925</wp:posOffset>
                      </wp:positionH>
                      <wp:positionV relativeFrom="paragraph">
                        <wp:posOffset>2792730</wp:posOffset>
                      </wp:positionV>
                      <wp:extent cx="943610" cy="262890"/>
                      <wp:effectExtent l="0" t="0" r="8890" b="3810"/>
                      <wp:wrapNone/>
                      <wp:docPr id="1981612486" name="文本框 1981612486"/>
                      <wp:cNvGraphicFramePr/>
                      <a:graphic xmlns:a="http://schemas.openxmlformats.org/drawingml/2006/main">
                        <a:graphicData uri="http://schemas.microsoft.com/office/word/2010/wordprocessingShape">
                          <wps:wsp>
                            <wps:cNvSpPr txBox="1"/>
                            <wps:spPr>
                              <a:xfrm>
                                <a:off x="0" y="0"/>
                                <a:ext cx="943610" cy="262890"/>
                              </a:xfrm>
                              <a:prstGeom prst="rect">
                                <a:avLst/>
                              </a:prstGeom>
                              <a:solidFill>
                                <a:schemeClr val="lt1"/>
                              </a:solidFill>
                              <a:ln w="6350">
                                <a:noFill/>
                              </a:ln>
                            </wps:spPr>
                            <wps:txbx>
                              <w:txbxContent>
                                <w:p w14:paraId="4E3622DB">
                                  <w:r>
                                    <w:rPr>
                                      <w:rFonts w:hint="eastAsia" w:ascii="宋体" w:hAnsi="宋体" w:cs="宋体"/>
                                      <w:color w:val="000000"/>
                                      <w:kern w:val="0"/>
                                    </w:rPr>
                                    <w:t>低氮燃烧器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pt;margin-top:219.9pt;height:20.7pt;width:74.3pt;z-index:251675648;mso-width-relative:page;mso-height-relative:page;" fillcolor="#FFFFFF [3201]" filled="t" stroked="f" coordsize="21600,21600" o:gfxdata="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J7zy2tQAAAAJ&#10;AQAADwAAAAAAAAABACAAAAAiAAAAZHJzL2Rvd25yZXYueG1sUEsBAhQAFAAAAAgAh07iQNrhbvRZ&#10;AgAAoAQAAA4AAAAAAAAAAQAgAAAAIwEAAGRycy9lMm9Eb2MueG1sUEsFBgAAAAAGAAYAWQEAAO4F&#10;AAAAAA==&#10;">
                      <v:fill on="t" focussize="0,0"/>
                      <v:stroke on="f" weight="0.5pt"/>
                      <v:imagedata o:title=""/>
                      <o:lock v:ext="edit" aspectratio="f"/>
                      <v:textbox>
                        <w:txbxContent>
                          <w:p w14:paraId="4E3622DB">
                            <w:r>
                              <w:rPr>
                                <w:rFonts w:hint="eastAsia" w:ascii="宋体" w:hAnsi="宋体" w:cs="宋体"/>
                                <w:color w:val="000000"/>
                                <w:kern w:val="0"/>
                              </w:rPr>
                              <w:t>低氮燃烧器</w:t>
                            </w:r>
                          </w:p>
                        </w:txbxContent>
                      </v:textbox>
                    </v:shape>
                  </w:pict>
                </mc:Fallback>
              </mc:AlternateContent>
            </w:r>
            <w:r>
              <w:rPr>
                <w:color w:val="auto"/>
              </w:rPr>
              <w:drawing>
                <wp:inline distT="0" distB="0" distL="0" distR="0">
                  <wp:extent cx="2631440" cy="3127375"/>
                  <wp:effectExtent l="0" t="0" r="0" b="0"/>
                  <wp:docPr id="1981612484" name="图片 198161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84" name="图片 1981612484"/>
                          <pic:cNvPicPr>
                            <a:picLocks noChangeAspect="1"/>
                          </pic:cNvPicPr>
                        </pic:nvPicPr>
                        <pic:blipFill>
                          <a:blip r:embed="rId35"/>
                          <a:stretch>
                            <a:fillRect/>
                          </a:stretch>
                        </pic:blipFill>
                        <pic:spPr>
                          <a:xfrm>
                            <a:off x="0" y="0"/>
                            <a:ext cx="2631440" cy="3127375"/>
                          </a:xfrm>
                          <a:prstGeom prst="rect">
                            <a:avLst/>
                          </a:prstGeom>
                        </pic:spPr>
                      </pic:pic>
                    </a:graphicData>
                  </a:graphic>
                </wp:inline>
              </w:drawing>
            </w:r>
          </w:p>
        </w:tc>
      </w:tr>
      <w:tr w14:paraId="39158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26C4E201">
            <w:pPr>
              <w:widowControl/>
              <w:adjustRightInd w:val="0"/>
              <w:snapToGrid w:val="0"/>
              <w:jc w:val="center"/>
              <w:rPr>
                <w:rFonts w:ascii="宋体" w:hAnsi="宋体" w:cs="宋体"/>
                <w:color w:val="auto"/>
                <w:kern w:val="0"/>
              </w:rPr>
            </w:pPr>
            <w:r>
              <w:rPr>
                <w:rFonts w:ascii="宋体" w:hAnsi="宋体" w:cs="宋体"/>
                <w:color w:val="auto"/>
                <w:kern w:val="0"/>
              </w:rPr>
              <w:t>9#</w:t>
            </w:r>
            <w:r>
              <w:rPr>
                <w:rFonts w:hint="eastAsia" w:ascii="宋体" w:hAnsi="宋体" w:cs="宋体"/>
                <w:color w:val="auto"/>
                <w:kern w:val="0"/>
              </w:rPr>
              <w:t>：FJFY104HF、FJFY104-1HF</w:t>
            </w:r>
          </w:p>
        </w:tc>
        <w:tc>
          <w:tcPr>
            <w:tcW w:w="4360" w:type="dxa"/>
            <w:vAlign w:val="center"/>
          </w:tcPr>
          <w:p w14:paraId="09CF9AD0">
            <w:pPr>
              <w:widowControl/>
              <w:adjustRightInd w:val="0"/>
              <w:snapToGrid w:val="0"/>
              <w:jc w:val="center"/>
              <w:rPr>
                <w:rFonts w:ascii="宋体" w:hAnsi="宋体" w:cs="宋体"/>
                <w:color w:val="auto"/>
                <w:kern w:val="0"/>
              </w:rPr>
            </w:pPr>
            <w:r>
              <w:rPr>
                <w:rFonts w:ascii="宋体" w:hAnsi="宋体" w:cs="宋体"/>
                <w:color w:val="auto"/>
                <w:kern w:val="0"/>
              </w:rPr>
              <w:t>9#</w:t>
            </w:r>
            <w:r>
              <w:rPr>
                <w:rFonts w:hint="eastAsia" w:ascii="宋体" w:hAnsi="宋体" w:cs="宋体"/>
                <w:color w:val="auto"/>
                <w:kern w:val="0"/>
              </w:rPr>
              <w:t>井场-燃气加热炉-</w:t>
            </w:r>
            <w:r>
              <w:rPr>
                <w:rFonts w:ascii="宋体" w:hAnsi="宋体" w:cs="宋体"/>
                <w:color w:val="auto"/>
                <w:kern w:val="0"/>
              </w:rPr>
              <w:t xml:space="preserve">150kW </w:t>
            </w:r>
          </w:p>
        </w:tc>
      </w:tr>
      <w:tr w14:paraId="210D4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4C280810">
            <w:pPr>
              <w:widowControl/>
              <w:adjustRightInd w:val="0"/>
              <w:snapToGrid w:val="0"/>
              <w:jc w:val="center"/>
              <w:rPr>
                <w:rFonts w:ascii="宋体" w:hAnsi="宋体" w:cs="宋体"/>
                <w:color w:val="auto"/>
                <w:kern w:val="0"/>
              </w:rPr>
            </w:pPr>
            <w:r>
              <w:rPr>
                <w:color w:val="auto"/>
              </w:rPr>
              <mc:AlternateContent>
                <mc:Choice Requires="wps">
                  <w:drawing>
                    <wp:anchor distT="0" distB="0" distL="114300" distR="114300" simplePos="0" relativeHeight="251670528" behindDoc="0" locked="0" layoutInCell="1" allowOverlap="1">
                      <wp:simplePos x="0" y="0"/>
                      <wp:positionH relativeFrom="column">
                        <wp:posOffset>87630</wp:posOffset>
                      </wp:positionH>
                      <wp:positionV relativeFrom="paragraph">
                        <wp:posOffset>698500</wp:posOffset>
                      </wp:positionV>
                      <wp:extent cx="862965" cy="270510"/>
                      <wp:effectExtent l="0" t="0" r="0" b="0"/>
                      <wp:wrapNone/>
                      <wp:docPr id="459578606" name="文本框 459578606"/>
                      <wp:cNvGraphicFramePr/>
                      <a:graphic xmlns:a="http://schemas.openxmlformats.org/drawingml/2006/main">
                        <a:graphicData uri="http://schemas.microsoft.com/office/word/2010/wordprocessingShape">
                          <wps:wsp>
                            <wps:cNvSpPr txBox="1"/>
                            <wps:spPr>
                              <a:xfrm>
                                <a:off x="0" y="0"/>
                                <a:ext cx="862965" cy="270510"/>
                              </a:xfrm>
                              <a:prstGeom prst="rect">
                                <a:avLst/>
                              </a:prstGeom>
                              <a:solidFill>
                                <a:schemeClr val="lt1"/>
                              </a:solidFill>
                              <a:ln w="6350">
                                <a:noFill/>
                              </a:ln>
                            </wps:spPr>
                            <wps:txbx>
                              <w:txbxContent>
                                <w:p w14:paraId="3F243CF8">
                                  <w:r>
                                    <w:rPr>
                                      <w:rFonts w:hint="eastAsia" w:ascii="宋体" w:hAnsi="宋体" w:cs="宋体"/>
                                      <w:color w:val="000000"/>
                                      <w:kern w:val="0"/>
                                    </w:rPr>
                                    <w:t>FJF121-X9</w:t>
                                  </w:r>
                                  <w:r>
                                    <w:rPr>
                                      <w:rFonts w:ascii="宋体" w:hAnsi="宋体" w:cs="宋体"/>
                                      <w:color w:val="000000"/>
                                      <w:kern w:val="0"/>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pt;margin-top:55pt;height:21.3pt;width:67.95pt;z-index:251670528;mso-width-relative:page;mso-height-relative:page;" fillcolor="#FFFFFF [3201]" filled="t" stroked="f" coordsize="21600,21600" o:gfxdata="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2T1cTUAAAA&#10;CgEAAA8AAAAAAAAAAQAgAAAAIgAAAGRycy9kb3ducmV2LnhtbFBLAQIUABQAAAAIAIdO4kC95NMp&#10;WgIAAJ4EAAAOAAAAAAAAAAEAIAAAACMBAABkcnMvZTJvRG9jLnhtbFBLBQYAAAAABgAGAFkBAADv&#10;BQAAAAA=&#10;">
                      <v:fill on="t" focussize="0,0"/>
                      <v:stroke on="f" weight="0.5pt"/>
                      <v:imagedata o:title=""/>
                      <o:lock v:ext="edit" aspectratio="f"/>
                      <v:textbox>
                        <w:txbxContent>
                          <w:p w14:paraId="3F243CF8">
                            <w:r>
                              <w:rPr>
                                <w:rFonts w:hint="eastAsia" w:ascii="宋体" w:hAnsi="宋体" w:cs="宋体"/>
                                <w:color w:val="000000"/>
                                <w:kern w:val="0"/>
                              </w:rPr>
                              <w:t>FJF121-X9</w:t>
                            </w:r>
                            <w:r>
                              <w:rPr>
                                <w:rFonts w:ascii="宋体" w:hAnsi="宋体" w:cs="宋体"/>
                                <w:color w:val="000000"/>
                                <w:kern w:val="0"/>
                              </w:rPr>
                              <w:t>7</w:t>
                            </w:r>
                          </w:p>
                        </w:txbxContent>
                      </v:textbox>
                    </v:shape>
                  </w:pict>
                </mc:Fallback>
              </mc:AlternateContent>
            </w:r>
            <w:r>
              <w:rPr>
                <w:color w:val="auto"/>
              </w:rPr>
              <mc:AlternateContent>
                <mc:Choice Requires="wps">
                  <w:drawing>
                    <wp:anchor distT="0" distB="0" distL="114300" distR="114300" simplePos="0" relativeHeight="251669504" behindDoc="0" locked="0" layoutInCell="1" allowOverlap="1">
                      <wp:simplePos x="0" y="0"/>
                      <wp:positionH relativeFrom="column">
                        <wp:posOffset>1654175</wp:posOffset>
                      </wp:positionH>
                      <wp:positionV relativeFrom="paragraph">
                        <wp:posOffset>1388110</wp:posOffset>
                      </wp:positionV>
                      <wp:extent cx="862965" cy="255905"/>
                      <wp:effectExtent l="0" t="0" r="0" b="0"/>
                      <wp:wrapNone/>
                      <wp:docPr id="459578605" name="文本框 459578605"/>
                      <wp:cNvGraphicFramePr/>
                      <a:graphic xmlns:a="http://schemas.openxmlformats.org/drawingml/2006/main">
                        <a:graphicData uri="http://schemas.microsoft.com/office/word/2010/wordprocessingShape">
                          <wps:wsp>
                            <wps:cNvSpPr txBox="1"/>
                            <wps:spPr>
                              <a:xfrm>
                                <a:off x="0" y="0"/>
                                <a:ext cx="862965" cy="255905"/>
                              </a:xfrm>
                              <a:prstGeom prst="rect">
                                <a:avLst/>
                              </a:prstGeom>
                              <a:solidFill>
                                <a:schemeClr val="lt1"/>
                              </a:solidFill>
                              <a:ln w="6350">
                                <a:noFill/>
                              </a:ln>
                            </wps:spPr>
                            <wps:txbx>
                              <w:txbxContent>
                                <w:p w14:paraId="2869427B">
                                  <w:r>
                                    <w:rPr>
                                      <w:rFonts w:hint="eastAsia" w:ascii="宋体" w:hAnsi="宋体" w:cs="宋体"/>
                                      <w:color w:val="000000"/>
                                      <w:kern w:val="0"/>
                                    </w:rPr>
                                    <w:t>FJF121-X95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25pt;margin-top:109.3pt;height:20.15pt;width:67.95pt;z-index:251669504;mso-width-relative:page;mso-height-relative:page;" fillcolor="#FFFFFF [3201]" filled="t" stroked="f" coordsize="21600,21600" o:gfxdata="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5BicxdYAAAAL&#10;AQAADwAAAAAAAAABACAAAAAiAAAAZHJzL2Rvd25yZXYueG1sUEsBAhQAFAAAAAgAh07iQKEa5/lX&#10;AgAAngQAAA4AAAAAAAAAAQAgAAAAJQEAAGRycy9lMm9Eb2MueG1sUEsFBgAAAAAGAAYAWQEAAO4F&#10;AAAAAA==&#10;">
                      <v:fill on="t" focussize="0,0"/>
                      <v:stroke on="f" weight="0.5pt"/>
                      <v:imagedata o:title=""/>
                      <o:lock v:ext="edit" aspectratio="f"/>
                      <v:textbox>
                        <w:txbxContent>
                          <w:p w14:paraId="2869427B">
                            <w:r>
                              <w:rPr>
                                <w:rFonts w:hint="eastAsia" w:ascii="宋体" w:hAnsi="宋体" w:cs="宋体"/>
                                <w:color w:val="000000"/>
                                <w:kern w:val="0"/>
                              </w:rPr>
                              <w:t>FJF121-X95</w:t>
                            </w:r>
                          </w:p>
                        </w:txbxContent>
                      </v:textbox>
                    </v:shape>
                  </w:pict>
                </mc:Fallback>
              </mc:AlternateContent>
            </w:r>
            <w:r>
              <w:rPr>
                <w:color w:val="auto"/>
              </w:rPr>
              <w:drawing>
                <wp:inline distT="0" distB="0" distL="0" distR="0">
                  <wp:extent cx="2631440" cy="2880995"/>
                  <wp:effectExtent l="0" t="0" r="0" b="0"/>
                  <wp:docPr id="459578604" name="图片 459578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04" name="图片 459578604"/>
                          <pic:cNvPicPr>
                            <a:picLocks noChangeAspect="1"/>
                          </pic:cNvPicPr>
                        </pic:nvPicPr>
                        <pic:blipFill>
                          <a:blip r:embed="rId36"/>
                          <a:stretch>
                            <a:fillRect/>
                          </a:stretch>
                        </pic:blipFill>
                        <pic:spPr>
                          <a:xfrm>
                            <a:off x="0" y="0"/>
                            <a:ext cx="2631440" cy="2880995"/>
                          </a:xfrm>
                          <a:prstGeom prst="rect">
                            <a:avLst/>
                          </a:prstGeom>
                        </pic:spPr>
                      </pic:pic>
                    </a:graphicData>
                  </a:graphic>
                </wp:inline>
              </w:drawing>
            </w:r>
          </w:p>
        </w:tc>
        <w:tc>
          <w:tcPr>
            <w:tcW w:w="4360" w:type="dxa"/>
            <w:vAlign w:val="center"/>
          </w:tcPr>
          <w:p w14:paraId="564B7C3F">
            <w:pPr>
              <w:widowControl/>
              <w:adjustRightInd w:val="0"/>
              <w:snapToGrid w:val="0"/>
              <w:jc w:val="center"/>
              <w:rPr>
                <w:rFonts w:ascii="宋体" w:hAnsi="宋体" w:cs="宋体"/>
                <w:color w:val="auto"/>
                <w:kern w:val="0"/>
              </w:rPr>
            </w:pPr>
            <w:r>
              <w:rPr>
                <w:color w:val="auto"/>
              </w:rPr>
              <w:drawing>
                <wp:inline distT="0" distB="0" distL="0" distR="0">
                  <wp:extent cx="2631440" cy="3150870"/>
                  <wp:effectExtent l="0" t="0" r="0" b="0"/>
                  <wp:docPr id="1981612488" name="图片 198161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88" name="图片 1981612488"/>
                          <pic:cNvPicPr>
                            <a:picLocks noChangeAspect="1"/>
                          </pic:cNvPicPr>
                        </pic:nvPicPr>
                        <pic:blipFill>
                          <a:blip r:embed="rId37"/>
                          <a:stretch>
                            <a:fillRect/>
                          </a:stretch>
                        </pic:blipFill>
                        <pic:spPr>
                          <a:xfrm>
                            <a:off x="0" y="0"/>
                            <a:ext cx="2631440" cy="3150870"/>
                          </a:xfrm>
                          <a:prstGeom prst="rect">
                            <a:avLst/>
                          </a:prstGeom>
                        </pic:spPr>
                      </pic:pic>
                    </a:graphicData>
                  </a:graphic>
                </wp:inline>
              </w:drawing>
            </w:r>
          </w:p>
        </w:tc>
      </w:tr>
      <w:tr w14:paraId="03C4E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578E4044">
            <w:pPr>
              <w:widowControl/>
              <w:adjustRightInd w:val="0"/>
              <w:snapToGrid w:val="0"/>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0#</w:t>
            </w:r>
            <w:r>
              <w:rPr>
                <w:rFonts w:hint="eastAsia" w:ascii="宋体" w:hAnsi="宋体" w:cs="宋体"/>
                <w:color w:val="auto"/>
                <w:kern w:val="0"/>
              </w:rPr>
              <w:t>：FJF121-X95、FJF121-X97</w:t>
            </w:r>
          </w:p>
        </w:tc>
        <w:tc>
          <w:tcPr>
            <w:tcW w:w="4360" w:type="dxa"/>
            <w:vAlign w:val="center"/>
          </w:tcPr>
          <w:p w14:paraId="55F22CA8">
            <w:pPr>
              <w:widowControl/>
              <w:adjustRightInd w:val="0"/>
              <w:snapToGrid w:val="0"/>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0#</w:t>
            </w:r>
            <w:r>
              <w:rPr>
                <w:rFonts w:hint="eastAsia" w:ascii="宋体" w:hAnsi="宋体" w:cs="宋体"/>
                <w:color w:val="auto"/>
                <w:kern w:val="0"/>
              </w:rPr>
              <w:t>井场-燃气水套炉（依托，非新建）</w:t>
            </w:r>
          </w:p>
        </w:tc>
      </w:tr>
      <w:tr w14:paraId="19FF4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66F1BB49">
            <w:pPr>
              <w:widowControl/>
              <w:adjustRightInd w:val="0"/>
              <w:snapToGrid w:val="0"/>
              <w:jc w:val="center"/>
              <w:rPr>
                <w:rFonts w:ascii="宋体" w:hAnsi="宋体" w:cs="宋体"/>
                <w:color w:val="auto"/>
                <w:kern w:val="0"/>
              </w:rPr>
            </w:pPr>
            <w:r>
              <w:rPr>
                <w:color w:val="auto"/>
              </w:rPr>
              <w:drawing>
                <wp:inline distT="0" distB="0" distL="0" distR="0">
                  <wp:extent cx="2631440" cy="3082290"/>
                  <wp:effectExtent l="0" t="0" r="0" b="3810"/>
                  <wp:docPr id="459578607" name="图片 45957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07" name="图片 459578607"/>
                          <pic:cNvPicPr>
                            <a:picLocks noChangeAspect="1"/>
                          </pic:cNvPicPr>
                        </pic:nvPicPr>
                        <pic:blipFill>
                          <a:blip r:embed="rId38"/>
                          <a:stretch>
                            <a:fillRect/>
                          </a:stretch>
                        </pic:blipFill>
                        <pic:spPr>
                          <a:xfrm>
                            <a:off x="0" y="0"/>
                            <a:ext cx="2631440" cy="3082290"/>
                          </a:xfrm>
                          <a:prstGeom prst="rect">
                            <a:avLst/>
                          </a:prstGeom>
                        </pic:spPr>
                      </pic:pic>
                    </a:graphicData>
                  </a:graphic>
                </wp:inline>
              </w:drawing>
            </w:r>
          </w:p>
        </w:tc>
        <w:tc>
          <w:tcPr>
            <w:tcW w:w="4360" w:type="dxa"/>
            <w:vAlign w:val="center"/>
          </w:tcPr>
          <w:p w14:paraId="606EEB35">
            <w:pPr>
              <w:widowControl/>
              <w:adjustRightInd w:val="0"/>
              <w:snapToGrid w:val="0"/>
              <w:jc w:val="center"/>
              <w:rPr>
                <w:rFonts w:ascii="宋体" w:hAnsi="宋体" w:cs="宋体"/>
                <w:color w:val="auto"/>
                <w:kern w:val="0"/>
              </w:rPr>
            </w:pPr>
            <w:r>
              <w:rPr>
                <w:color w:val="auto"/>
              </w:rPr>
              <w:drawing>
                <wp:inline distT="0" distB="0" distL="0" distR="0">
                  <wp:extent cx="2526665" cy="3090545"/>
                  <wp:effectExtent l="0" t="0" r="6985" b="0"/>
                  <wp:docPr id="1981612489" name="图片 198161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89" name="图片 1981612489"/>
                          <pic:cNvPicPr>
                            <a:picLocks noChangeAspect="1"/>
                          </pic:cNvPicPr>
                        </pic:nvPicPr>
                        <pic:blipFill>
                          <a:blip r:embed="rId39"/>
                          <a:stretch>
                            <a:fillRect/>
                          </a:stretch>
                        </pic:blipFill>
                        <pic:spPr>
                          <a:xfrm>
                            <a:off x="0" y="0"/>
                            <a:ext cx="2527816" cy="3092061"/>
                          </a:xfrm>
                          <a:prstGeom prst="rect">
                            <a:avLst/>
                          </a:prstGeom>
                        </pic:spPr>
                      </pic:pic>
                    </a:graphicData>
                  </a:graphic>
                </wp:inline>
              </w:drawing>
            </w:r>
          </w:p>
        </w:tc>
      </w:tr>
      <w:tr w14:paraId="1C3CC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0AC05212">
            <w:pPr>
              <w:widowControl/>
              <w:adjustRightInd w:val="0"/>
              <w:snapToGrid w:val="0"/>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1#</w:t>
            </w:r>
            <w:r>
              <w:rPr>
                <w:rFonts w:hint="eastAsia" w:ascii="宋体" w:hAnsi="宋体" w:cs="宋体"/>
                <w:color w:val="auto"/>
                <w:kern w:val="0"/>
              </w:rPr>
              <w:t>：FJFY3HF</w:t>
            </w:r>
          </w:p>
        </w:tc>
        <w:tc>
          <w:tcPr>
            <w:tcW w:w="4360" w:type="dxa"/>
            <w:vAlign w:val="center"/>
          </w:tcPr>
          <w:p w14:paraId="2214EA42">
            <w:pPr>
              <w:widowControl/>
              <w:adjustRightInd w:val="0"/>
              <w:snapToGrid w:val="0"/>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1#</w:t>
            </w:r>
            <w:r>
              <w:rPr>
                <w:rFonts w:hint="eastAsia" w:ascii="宋体" w:hAnsi="宋体" w:cs="宋体"/>
                <w:color w:val="auto"/>
                <w:kern w:val="0"/>
              </w:rPr>
              <w:t>井场燃气水套加热炉-</w:t>
            </w:r>
            <w:r>
              <w:rPr>
                <w:rFonts w:ascii="宋体" w:hAnsi="宋体" w:cs="宋体"/>
                <w:color w:val="auto"/>
                <w:kern w:val="0"/>
              </w:rPr>
              <w:t>80kW</w:t>
            </w:r>
          </w:p>
        </w:tc>
      </w:tr>
      <w:tr w14:paraId="14B6C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792BA6FE">
            <w:pPr>
              <w:widowControl/>
              <w:adjustRightInd w:val="0"/>
              <w:snapToGrid w:val="0"/>
              <w:jc w:val="center"/>
              <w:rPr>
                <w:rFonts w:ascii="宋体" w:hAnsi="宋体" w:cs="宋体"/>
                <w:color w:val="auto"/>
                <w:kern w:val="0"/>
              </w:rPr>
            </w:pPr>
            <w:r>
              <w:rPr>
                <w:color w:val="auto"/>
              </w:rPr>
              <w:drawing>
                <wp:inline distT="0" distB="0" distL="0" distR="0">
                  <wp:extent cx="2631440" cy="2108835"/>
                  <wp:effectExtent l="0" t="0" r="0" b="5715"/>
                  <wp:docPr id="1981612490" name="图片 198161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90" name="图片 1981612490"/>
                          <pic:cNvPicPr>
                            <a:picLocks noChangeAspect="1"/>
                          </pic:cNvPicPr>
                        </pic:nvPicPr>
                        <pic:blipFill>
                          <a:blip r:embed="rId40"/>
                          <a:stretch>
                            <a:fillRect/>
                          </a:stretch>
                        </pic:blipFill>
                        <pic:spPr>
                          <a:xfrm>
                            <a:off x="0" y="0"/>
                            <a:ext cx="2631440" cy="2108835"/>
                          </a:xfrm>
                          <a:prstGeom prst="rect">
                            <a:avLst/>
                          </a:prstGeom>
                        </pic:spPr>
                      </pic:pic>
                    </a:graphicData>
                  </a:graphic>
                </wp:inline>
              </w:drawing>
            </w:r>
          </w:p>
        </w:tc>
        <w:tc>
          <w:tcPr>
            <w:tcW w:w="4360" w:type="dxa"/>
            <w:vAlign w:val="center"/>
          </w:tcPr>
          <w:p w14:paraId="749A4B14">
            <w:pPr>
              <w:widowControl/>
              <w:adjustRightInd w:val="0"/>
              <w:snapToGrid w:val="0"/>
              <w:jc w:val="center"/>
              <w:rPr>
                <w:rFonts w:ascii="宋体" w:hAnsi="宋体" w:cs="宋体"/>
                <w:color w:val="auto"/>
                <w:kern w:val="0"/>
              </w:rPr>
            </w:pPr>
            <w:r>
              <w:rPr>
                <w:color w:val="auto"/>
              </w:rPr>
              <w:drawing>
                <wp:inline distT="0" distB="0" distL="0" distR="0">
                  <wp:extent cx="2631440" cy="172339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1"/>
                          <a:stretch>
                            <a:fillRect/>
                          </a:stretch>
                        </pic:blipFill>
                        <pic:spPr>
                          <a:xfrm>
                            <a:off x="0" y="0"/>
                            <a:ext cx="2631440" cy="1723390"/>
                          </a:xfrm>
                          <a:prstGeom prst="rect">
                            <a:avLst/>
                          </a:prstGeom>
                        </pic:spPr>
                      </pic:pic>
                    </a:graphicData>
                  </a:graphic>
                </wp:inline>
              </w:drawing>
            </w:r>
          </w:p>
        </w:tc>
      </w:tr>
      <w:tr w14:paraId="40463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2FF45D3F">
            <w:pPr>
              <w:widowControl/>
              <w:adjustRightInd w:val="0"/>
              <w:snapToGrid w:val="0"/>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1#</w:t>
            </w:r>
            <w:r>
              <w:rPr>
                <w:rFonts w:hint="eastAsia" w:ascii="宋体" w:hAnsi="宋体" w:cs="宋体"/>
                <w:color w:val="auto"/>
                <w:kern w:val="0"/>
              </w:rPr>
              <w:t>井场-天然气干燥器</w:t>
            </w:r>
          </w:p>
        </w:tc>
        <w:tc>
          <w:tcPr>
            <w:tcW w:w="4360" w:type="dxa"/>
            <w:vAlign w:val="center"/>
          </w:tcPr>
          <w:p w14:paraId="79D2A31E">
            <w:pPr>
              <w:widowControl/>
              <w:adjustRightInd w:val="0"/>
              <w:snapToGrid w:val="0"/>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2#</w:t>
            </w:r>
            <w:r>
              <w:rPr>
                <w:rFonts w:hint="eastAsia" w:ascii="宋体" w:hAnsi="宋体" w:cs="宋体"/>
                <w:color w:val="auto"/>
                <w:kern w:val="0"/>
              </w:rPr>
              <w:t xml:space="preserve"> FJFY1-</w:t>
            </w:r>
            <w:r>
              <w:rPr>
                <w:rFonts w:ascii="宋体" w:hAnsi="宋体" w:cs="宋体"/>
                <w:color w:val="auto"/>
                <w:kern w:val="0"/>
              </w:rPr>
              <w:t>8</w:t>
            </w:r>
            <w:r>
              <w:rPr>
                <w:rFonts w:hint="eastAsia" w:ascii="宋体" w:hAnsi="宋体" w:cs="宋体"/>
                <w:color w:val="auto"/>
                <w:kern w:val="0"/>
              </w:rPr>
              <w:t>HF（最右）</w:t>
            </w:r>
          </w:p>
        </w:tc>
      </w:tr>
      <w:tr w14:paraId="1FDCA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4A3569A8">
            <w:pPr>
              <w:widowControl/>
              <w:adjustRightInd w:val="0"/>
              <w:snapToGrid w:val="0"/>
              <w:jc w:val="center"/>
              <w:rPr>
                <w:rFonts w:ascii="宋体" w:hAnsi="宋体" w:cs="宋体"/>
                <w:color w:val="auto"/>
                <w:kern w:val="0"/>
              </w:rPr>
            </w:pPr>
            <w:r>
              <w:rPr>
                <w:color w:val="auto"/>
              </w:rPr>
              <w:drawing>
                <wp:inline distT="0" distB="0" distL="0" distR="0">
                  <wp:extent cx="2286000" cy="3045460"/>
                  <wp:effectExtent l="0" t="0" r="0" b="2540"/>
                  <wp:docPr id="36" name="图片 36" descr="G:\WXWork\1688858278542218\Cache\Image\2026-05\ef1ec916e3aa3a03c3b79594745e8db1_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G:\WXWork\1688858278542218\Cache\Image\2026-05\ef1ec916e3aa3a03c3b79594745e8db1_compress.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298400" cy="3062406"/>
                          </a:xfrm>
                          <a:prstGeom prst="rect">
                            <a:avLst/>
                          </a:prstGeom>
                          <a:noFill/>
                          <a:ln>
                            <a:noFill/>
                          </a:ln>
                        </pic:spPr>
                      </pic:pic>
                    </a:graphicData>
                  </a:graphic>
                </wp:inline>
              </w:drawing>
            </w:r>
          </w:p>
        </w:tc>
        <w:tc>
          <w:tcPr>
            <w:tcW w:w="4360" w:type="dxa"/>
            <w:vAlign w:val="center"/>
          </w:tcPr>
          <w:p w14:paraId="48919C00">
            <w:pPr>
              <w:widowControl/>
              <w:adjustRightInd w:val="0"/>
              <w:snapToGrid w:val="0"/>
              <w:jc w:val="center"/>
              <w:rPr>
                <w:rFonts w:ascii="宋体" w:hAnsi="宋体" w:cs="宋体"/>
                <w:color w:val="auto"/>
                <w:kern w:val="0"/>
              </w:rPr>
            </w:pPr>
            <w:r>
              <w:rPr>
                <w:color w:val="auto"/>
              </w:rPr>
              <w:drawing>
                <wp:inline distT="0" distB="0" distL="0" distR="0">
                  <wp:extent cx="2631440" cy="1812290"/>
                  <wp:effectExtent l="0" t="0" r="0" b="0"/>
                  <wp:docPr id="1981612491" name="图片 19816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91" name="图片 1981612491"/>
                          <pic:cNvPicPr>
                            <a:picLocks noChangeAspect="1"/>
                          </pic:cNvPicPr>
                        </pic:nvPicPr>
                        <pic:blipFill>
                          <a:blip r:embed="rId43"/>
                          <a:stretch>
                            <a:fillRect/>
                          </a:stretch>
                        </pic:blipFill>
                        <pic:spPr>
                          <a:xfrm>
                            <a:off x="0" y="0"/>
                            <a:ext cx="2631440" cy="1812290"/>
                          </a:xfrm>
                          <a:prstGeom prst="rect">
                            <a:avLst/>
                          </a:prstGeom>
                        </pic:spPr>
                      </pic:pic>
                    </a:graphicData>
                  </a:graphic>
                </wp:inline>
              </w:drawing>
            </w:r>
          </w:p>
        </w:tc>
      </w:tr>
      <w:tr w14:paraId="6A115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2E366D9F">
            <w:pPr>
              <w:widowControl/>
              <w:adjustRightInd w:val="0"/>
              <w:snapToGrid w:val="0"/>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2#</w:t>
            </w:r>
            <w:r>
              <w:rPr>
                <w:rFonts w:hint="eastAsia" w:ascii="宋体" w:hAnsi="宋体" w:cs="宋体"/>
                <w:color w:val="auto"/>
                <w:kern w:val="0"/>
              </w:rPr>
              <w:t xml:space="preserve"> FJFY1-</w:t>
            </w:r>
            <w:r>
              <w:rPr>
                <w:rFonts w:ascii="宋体" w:hAnsi="宋体" w:cs="宋体"/>
                <w:color w:val="auto"/>
                <w:kern w:val="0"/>
              </w:rPr>
              <w:t>8</w:t>
            </w:r>
            <w:r>
              <w:rPr>
                <w:rFonts w:hint="eastAsia" w:ascii="宋体" w:hAnsi="宋体" w:cs="宋体"/>
                <w:color w:val="auto"/>
                <w:kern w:val="0"/>
              </w:rPr>
              <w:t>HF</w:t>
            </w:r>
          </w:p>
        </w:tc>
        <w:tc>
          <w:tcPr>
            <w:tcW w:w="4360" w:type="dxa"/>
            <w:vAlign w:val="center"/>
          </w:tcPr>
          <w:p w14:paraId="37D2D800">
            <w:pPr>
              <w:widowControl/>
              <w:adjustRightInd w:val="0"/>
              <w:snapToGrid w:val="0"/>
              <w:jc w:val="center"/>
              <w:rPr>
                <w:rFonts w:ascii="宋体" w:hAnsi="宋体" w:cs="宋体"/>
                <w:color w:val="auto"/>
                <w:kern w:val="0"/>
              </w:rPr>
            </w:pPr>
            <w:r>
              <w:rPr>
                <w:rFonts w:hint="eastAsia" w:ascii="宋体" w:hAnsi="宋体" w:cs="宋体"/>
                <w:color w:val="auto"/>
                <w:kern w:val="0"/>
              </w:rPr>
              <w:t>高青联合站-新更换3</w:t>
            </w:r>
            <w:r>
              <w:rPr>
                <w:rFonts w:ascii="宋体" w:hAnsi="宋体" w:cs="宋体"/>
                <w:color w:val="auto"/>
                <w:kern w:val="0"/>
              </w:rPr>
              <w:t>#</w:t>
            </w:r>
            <w:r>
              <w:rPr>
                <w:rFonts w:hint="eastAsia" w:ascii="宋体" w:hAnsi="宋体" w:cs="宋体"/>
                <w:color w:val="auto"/>
                <w:kern w:val="0"/>
              </w:rPr>
              <w:t>加热炉</w:t>
            </w:r>
          </w:p>
        </w:tc>
      </w:tr>
      <w:tr w14:paraId="2CF07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3807AEA3">
            <w:pPr>
              <w:widowControl/>
              <w:adjustRightInd w:val="0"/>
              <w:snapToGrid w:val="0"/>
              <w:jc w:val="center"/>
              <w:rPr>
                <w:rFonts w:ascii="宋体" w:hAnsi="宋体" w:cs="宋体"/>
                <w:color w:val="auto"/>
                <w:kern w:val="0"/>
              </w:rPr>
            </w:pPr>
            <w:r>
              <w:rPr>
                <w:color w:val="auto"/>
              </w:rPr>
              <w:drawing>
                <wp:inline distT="0" distB="0" distL="0" distR="0">
                  <wp:extent cx="2631440" cy="2585720"/>
                  <wp:effectExtent l="0" t="0" r="0" b="5080"/>
                  <wp:docPr id="1981612492" name="图片 19816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92" name="图片 1981612492"/>
                          <pic:cNvPicPr>
                            <a:picLocks noChangeAspect="1"/>
                          </pic:cNvPicPr>
                        </pic:nvPicPr>
                        <pic:blipFill>
                          <a:blip r:embed="rId44"/>
                          <a:stretch>
                            <a:fillRect/>
                          </a:stretch>
                        </pic:blipFill>
                        <pic:spPr>
                          <a:xfrm>
                            <a:off x="0" y="0"/>
                            <a:ext cx="2631440" cy="2585720"/>
                          </a:xfrm>
                          <a:prstGeom prst="rect">
                            <a:avLst/>
                          </a:prstGeom>
                        </pic:spPr>
                      </pic:pic>
                    </a:graphicData>
                  </a:graphic>
                </wp:inline>
              </w:drawing>
            </w:r>
          </w:p>
        </w:tc>
        <w:tc>
          <w:tcPr>
            <w:tcW w:w="4360" w:type="dxa"/>
            <w:vAlign w:val="center"/>
          </w:tcPr>
          <w:p w14:paraId="02246E8F">
            <w:pPr>
              <w:widowControl/>
              <w:adjustRightInd w:val="0"/>
              <w:snapToGrid w:val="0"/>
              <w:jc w:val="center"/>
              <w:rPr>
                <w:rFonts w:ascii="宋体" w:hAnsi="宋体" w:cs="宋体"/>
                <w:color w:val="auto"/>
                <w:kern w:val="0"/>
              </w:rPr>
            </w:pPr>
            <w:r>
              <w:rPr>
                <w:color w:val="auto"/>
              </w:rPr>
              <w:drawing>
                <wp:inline distT="0" distB="0" distL="0" distR="0">
                  <wp:extent cx="2488565" cy="2987675"/>
                  <wp:effectExtent l="0" t="0" r="6985" b="3175"/>
                  <wp:docPr id="1981612493" name="图片 19816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93" name="图片 1981612493"/>
                          <pic:cNvPicPr>
                            <a:picLocks noChangeAspect="1"/>
                          </pic:cNvPicPr>
                        </pic:nvPicPr>
                        <pic:blipFill>
                          <a:blip r:embed="rId45"/>
                          <a:stretch>
                            <a:fillRect/>
                          </a:stretch>
                        </pic:blipFill>
                        <pic:spPr>
                          <a:xfrm>
                            <a:off x="0" y="0"/>
                            <a:ext cx="2489505" cy="2988728"/>
                          </a:xfrm>
                          <a:prstGeom prst="rect">
                            <a:avLst/>
                          </a:prstGeom>
                        </pic:spPr>
                      </pic:pic>
                    </a:graphicData>
                  </a:graphic>
                </wp:inline>
              </w:drawing>
            </w:r>
          </w:p>
        </w:tc>
      </w:tr>
      <w:tr w14:paraId="16711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21EEEA74">
            <w:pPr>
              <w:widowControl/>
              <w:adjustRightInd w:val="0"/>
              <w:snapToGrid w:val="0"/>
              <w:jc w:val="center"/>
              <w:rPr>
                <w:rFonts w:ascii="宋体" w:hAnsi="宋体" w:cs="宋体"/>
                <w:color w:val="auto"/>
                <w:kern w:val="0"/>
              </w:rPr>
            </w:pPr>
            <w:r>
              <w:rPr>
                <w:rFonts w:hint="eastAsia" w:ascii="宋体" w:hAnsi="宋体" w:cs="宋体"/>
                <w:color w:val="auto"/>
                <w:kern w:val="0"/>
              </w:rPr>
              <w:t>3</w:t>
            </w:r>
            <w:r>
              <w:rPr>
                <w:rFonts w:ascii="宋体" w:hAnsi="宋体" w:cs="宋体"/>
                <w:color w:val="auto"/>
                <w:kern w:val="0"/>
              </w:rPr>
              <w:t>#</w:t>
            </w:r>
            <w:r>
              <w:rPr>
                <w:rFonts w:hint="eastAsia" w:ascii="宋体" w:hAnsi="宋体" w:cs="宋体"/>
                <w:color w:val="auto"/>
                <w:kern w:val="0"/>
              </w:rPr>
              <w:t>加热炉铭牌</w:t>
            </w:r>
          </w:p>
        </w:tc>
        <w:tc>
          <w:tcPr>
            <w:tcW w:w="4360" w:type="dxa"/>
            <w:vAlign w:val="center"/>
          </w:tcPr>
          <w:p w14:paraId="267203ED">
            <w:pPr>
              <w:widowControl/>
              <w:adjustRightInd w:val="0"/>
              <w:snapToGrid w:val="0"/>
              <w:jc w:val="center"/>
              <w:rPr>
                <w:rFonts w:ascii="宋体" w:hAnsi="宋体" w:cs="宋体"/>
                <w:color w:val="auto"/>
                <w:kern w:val="0"/>
              </w:rPr>
            </w:pPr>
            <w:r>
              <w:rPr>
                <w:rFonts w:hint="eastAsia" w:ascii="宋体" w:hAnsi="宋体" w:cs="宋体"/>
                <w:color w:val="auto"/>
                <w:kern w:val="0"/>
              </w:rPr>
              <w:t>3</w:t>
            </w:r>
            <w:r>
              <w:rPr>
                <w:rFonts w:ascii="宋体" w:hAnsi="宋体" w:cs="宋体"/>
                <w:color w:val="auto"/>
                <w:kern w:val="0"/>
              </w:rPr>
              <w:t>#</w:t>
            </w:r>
            <w:r>
              <w:rPr>
                <w:rFonts w:hint="eastAsia" w:ascii="宋体" w:hAnsi="宋体" w:cs="宋体"/>
                <w:color w:val="auto"/>
                <w:kern w:val="0"/>
              </w:rPr>
              <w:t>加热炉低氮燃烧器</w:t>
            </w:r>
          </w:p>
        </w:tc>
      </w:tr>
    </w:tbl>
    <w:p w14:paraId="02FDD9E2">
      <w:pPr>
        <w:pStyle w:val="4"/>
        <w:ind w:firstLine="480"/>
        <w:jc w:val="center"/>
        <w:rPr>
          <w:rFonts w:cs="宋体"/>
          <w:color w:val="auto"/>
          <w:kern w:val="0"/>
        </w:rPr>
      </w:pPr>
      <w:bookmarkStart w:id="162" w:name="_Ref223537359"/>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3</w:t>
      </w:r>
      <w:r>
        <w:rPr>
          <w:color w:val="auto"/>
        </w:rPr>
        <w:fldChar w:fldCharType="end"/>
      </w:r>
      <w:bookmarkEnd w:id="162"/>
      <w:r>
        <w:rPr>
          <w:color w:val="auto"/>
        </w:rPr>
        <w:t xml:space="preserve"> </w:t>
      </w:r>
      <w:r>
        <w:rPr>
          <w:rFonts w:hint="eastAsia"/>
          <w:color w:val="auto"/>
        </w:rPr>
        <w:t>本期工程建设现状照片</w:t>
      </w:r>
    </w:p>
    <w:p w14:paraId="2CD3CF43">
      <w:pPr>
        <w:pStyle w:val="6"/>
        <w:rPr>
          <w:color w:val="auto"/>
        </w:rPr>
      </w:pPr>
      <w:r>
        <w:rPr>
          <w:rFonts w:hint="eastAsia"/>
          <w:color w:val="auto"/>
        </w:rPr>
        <w:t>集输工程</w:t>
      </w:r>
    </w:p>
    <w:p w14:paraId="6B9C206C">
      <w:pPr>
        <w:pStyle w:val="4"/>
        <w:ind w:firstLine="480"/>
        <w:outlineLvl w:val="3"/>
        <w:rPr>
          <w:color w:val="auto"/>
        </w:rPr>
      </w:pPr>
      <w:r>
        <w:rPr>
          <w:rFonts w:hint="eastAsia"/>
          <w:color w:val="auto"/>
        </w:rPr>
        <w:t>1）</w:t>
      </w:r>
      <w:r>
        <w:rPr>
          <w:color w:val="auto"/>
        </w:rPr>
        <w:t>滚动开发</w:t>
      </w:r>
      <w:r>
        <w:rPr>
          <w:rFonts w:hint="eastAsia"/>
          <w:color w:val="auto"/>
        </w:rPr>
        <w:t>工程集输流程</w:t>
      </w:r>
    </w:p>
    <w:p w14:paraId="78BBD21C">
      <w:pPr>
        <w:pStyle w:val="4"/>
        <w:ind w:firstLine="480"/>
        <w:rPr>
          <w:color w:val="auto"/>
        </w:rPr>
      </w:pPr>
      <w:r>
        <w:rPr>
          <w:rFonts w:hint="eastAsia"/>
          <w:color w:val="auto"/>
        </w:rPr>
        <w:t>本项目集输工程共涉及</w:t>
      </w:r>
      <w:r>
        <w:rPr>
          <w:color w:val="auto"/>
        </w:rPr>
        <w:t>油井17</w:t>
      </w:r>
      <w:r>
        <w:rPr>
          <w:rFonts w:hint="eastAsia"/>
          <w:color w:val="auto"/>
        </w:rPr>
        <w:t>口（新钻井9口，探井转开发井</w:t>
      </w:r>
      <w:r>
        <w:rPr>
          <w:color w:val="auto"/>
        </w:rPr>
        <w:t>8</w:t>
      </w:r>
      <w:r>
        <w:rPr>
          <w:rFonts w:hint="eastAsia"/>
          <w:color w:val="auto"/>
        </w:rPr>
        <w:t>口）</w:t>
      </w:r>
      <w:r>
        <w:rPr>
          <w:rFonts w:hint="eastAsia"/>
          <w:snapToGrid w:val="0"/>
          <w:color w:val="auto"/>
        </w:rPr>
        <w:t>。采出液采用管输或拉油的方式进一级计量站/联合站。</w:t>
      </w:r>
      <w:bookmarkStart w:id="163" w:name="OLE_LINK154"/>
      <w:r>
        <w:rPr>
          <w:rFonts w:hint="eastAsia"/>
          <w:snapToGrid w:val="0"/>
          <w:color w:val="auto"/>
        </w:rPr>
        <w:t>新建了</w:t>
      </w:r>
      <w:r>
        <w:rPr>
          <w:rFonts w:hint="eastAsia" w:cs="宋体"/>
          <w:color w:val="auto"/>
          <w:kern w:val="0"/>
        </w:rPr>
        <w:t>φ6</w:t>
      </w:r>
      <w:r>
        <w:rPr>
          <w:rFonts w:cs="宋体"/>
          <w:color w:val="auto"/>
          <w:kern w:val="0"/>
        </w:rPr>
        <w:t>0×4mm</w:t>
      </w:r>
      <w:r>
        <w:rPr>
          <w:rFonts w:hint="eastAsia" w:cs="宋体"/>
          <w:color w:val="auto"/>
          <w:kern w:val="0"/>
        </w:rPr>
        <w:t>单井集油管线共</w:t>
      </w:r>
      <w:r>
        <w:rPr>
          <w:rFonts w:cs="宋体"/>
          <w:color w:val="auto"/>
          <w:kern w:val="0"/>
        </w:rPr>
        <w:t>0.8km</w:t>
      </w:r>
      <w:r>
        <w:rPr>
          <w:rFonts w:hint="eastAsia" w:cs="宋体"/>
          <w:color w:val="auto"/>
          <w:kern w:val="0"/>
        </w:rPr>
        <w:t>，新建了φ</w:t>
      </w:r>
      <w:r>
        <w:rPr>
          <w:rFonts w:cs="宋体"/>
          <w:color w:val="auto"/>
          <w:kern w:val="0"/>
        </w:rPr>
        <w:t>114×5mm</w:t>
      </w:r>
      <w:r>
        <w:rPr>
          <w:rFonts w:hint="eastAsia" w:cs="宋体"/>
          <w:color w:val="auto"/>
          <w:kern w:val="0"/>
        </w:rPr>
        <w:t>集油支线共4</w:t>
      </w:r>
      <w:r>
        <w:rPr>
          <w:rFonts w:cs="宋体"/>
          <w:color w:val="auto"/>
          <w:kern w:val="0"/>
        </w:rPr>
        <w:t>.02km</w:t>
      </w:r>
      <w:bookmarkEnd w:id="163"/>
      <w:r>
        <w:rPr>
          <w:rFonts w:hint="eastAsia" w:cs="宋体"/>
          <w:color w:val="auto"/>
          <w:kern w:val="0"/>
        </w:rPr>
        <w:t>。集输管线</w:t>
      </w:r>
      <w:r>
        <w:rPr>
          <w:rFonts w:hint="eastAsia" w:asciiTheme="minorEastAsia" w:hAnsiTheme="minorEastAsia"/>
          <w:color w:val="auto"/>
        </w:rPr>
        <w:t>油气集输系统实际工程建设情况一览表详见</w:t>
      </w:r>
      <w:r>
        <w:rPr>
          <w:rFonts w:asciiTheme="minorEastAsia" w:hAnsiTheme="minorEastAsia"/>
          <w:color w:val="auto"/>
        </w:rPr>
        <w:fldChar w:fldCharType="begin"/>
      </w:r>
      <w:r>
        <w:instrText xml:space="preserve"> REF _Ref223614771 \h  \* MERGEFORMAT</w:instrText>
      </w:r>
      <w:r>
        <w:rPr>
          <w:rFonts w:asciiTheme="minorEastAsia" w:hAnsiTheme="minorEastAsia"/>
          <w:color w:val="auto"/>
        </w:rPr>
        <w:fldChar w:fldCharType="separate"/>
      </w:r>
      <w:r>
        <w:rPr>
          <w:color w:val="auto"/>
        </w:rPr>
        <w:t>表 3.2</w:t>
      </w:r>
      <w:r>
        <w:rPr>
          <w:color w:val="auto"/>
        </w:rPr>
        <w:noBreakHyphen/>
      </w:r>
      <w:r>
        <w:rPr>
          <w:color w:val="auto"/>
        </w:rPr>
        <w:t>6</w:t>
      </w:r>
      <w:r>
        <w:rPr>
          <w:rFonts w:asciiTheme="minorEastAsia" w:hAnsiTheme="minorEastAsia"/>
          <w:color w:val="auto"/>
        </w:rPr>
        <w:fldChar w:fldCharType="end"/>
      </w:r>
      <w:r>
        <w:rPr>
          <w:rFonts w:hint="eastAsia" w:asciiTheme="minorEastAsia" w:hAnsiTheme="minorEastAsia"/>
          <w:color w:val="auto"/>
        </w:rPr>
        <w:t>，油气</w:t>
      </w:r>
      <w:r>
        <w:rPr>
          <w:rFonts w:asciiTheme="minorEastAsia" w:hAnsiTheme="minorEastAsia"/>
          <w:color w:val="auto"/>
        </w:rPr>
        <w:t>集输流程示意图见</w:t>
      </w:r>
      <w:r>
        <w:rPr>
          <w:rFonts w:asciiTheme="minorEastAsia" w:hAnsiTheme="minorEastAsia"/>
          <w:color w:val="auto"/>
        </w:rPr>
        <w:fldChar w:fldCharType="begin"/>
      </w:r>
      <w:r>
        <w:instrText xml:space="preserve"> REF _Ref104795312 \h  \* MERGEFORMAT</w:instrText>
      </w:r>
      <w:r>
        <w:rPr>
          <w:rFonts w:asciiTheme="minorEastAsia" w:hAnsiTheme="minorEastAsia"/>
          <w:color w:val="auto"/>
        </w:rPr>
        <w:fldChar w:fldCharType="separate"/>
      </w:r>
      <w:r>
        <w:rPr>
          <w:color w:val="auto"/>
        </w:rPr>
        <w:t>图 3.2</w:t>
      </w:r>
      <w:r>
        <w:rPr>
          <w:color w:val="auto"/>
        </w:rPr>
        <w:noBreakHyphen/>
      </w:r>
      <w:r>
        <w:rPr>
          <w:color w:val="auto"/>
        </w:rPr>
        <w:t>4</w:t>
      </w:r>
      <w:r>
        <w:rPr>
          <w:rFonts w:asciiTheme="minorEastAsia" w:hAnsiTheme="minorEastAsia"/>
          <w:color w:val="auto"/>
        </w:rPr>
        <w:fldChar w:fldCharType="end"/>
      </w:r>
      <w:r>
        <w:rPr>
          <w:rFonts w:hint="eastAsia"/>
          <w:color w:val="auto"/>
        </w:rPr>
        <w:t>。</w:t>
      </w:r>
    </w:p>
    <w:p w14:paraId="4F460DE1">
      <w:pPr>
        <w:pStyle w:val="15"/>
        <w:spacing w:before="120"/>
        <w:rPr>
          <w:color w:val="auto"/>
        </w:rPr>
      </w:pPr>
      <w:bookmarkStart w:id="164" w:name="_Ref223614771"/>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6</w:t>
      </w:r>
      <w:r>
        <w:rPr>
          <w:color w:val="auto"/>
        </w:rPr>
        <w:fldChar w:fldCharType="end"/>
      </w:r>
      <w:bookmarkEnd w:id="164"/>
      <w:r>
        <w:rPr>
          <w:color w:val="auto"/>
        </w:rPr>
        <w:t xml:space="preserve">  </w:t>
      </w:r>
      <w:r>
        <w:rPr>
          <w:rFonts w:hint="eastAsia"/>
          <w:color w:val="auto"/>
        </w:rPr>
        <w:t>油气集输系统实际工程建设情况一览表</w:t>
      </w:r>
    </w:p>
    <w:tbl>
      <w:tblPr>
        <w:tblStyle w:val="46"/>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399"/>
        <w:gridCol w:w="1226"/>
        <w:gridCol w:w="1318"/>
        <w:gridCol w:w="491"/>
        <w:gridCol w:w="400"/>
        <w:gridCol w:w="767"/>
        <w:gridCol w:w="583"/>
        <w:gridCol w:w="950"/>
        <w:gridCol w:w="491"/>
        <w:gridCol w:w="859"/>
        <w:gridCol w:w="1226"/>
      </w:tblGrid>
      <w:tr w14:paraId="27DF83F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557ACEAB">
            <w:pPr>
              <w:widowControl/>
              <w:jc w:val="center"/>
              <w:rPr>
                <w:rFonts w:ascii="宋体" w:hAnsi="宋体" w:cs="宋体"/>
                <w:color w:val="auto"/>
                <w:kern w:val="0"/>
              </w:rPr>
            </w:pPr>
            <w:r>
              <w:rPr>
                <w:rFonts w:hint="eastAsia" w:ascii="宋体" w:hAnsi="宋体" w:cs="宋体"/>
                <w:color w:val="auto"/>
                <w:kern w:val="0"/>
              </w:rPr>
              <w:t>序号</w:t>
            </w:r>
          </w:p>
        </w:tc>
        <w:tc>
          <w:tcPr>
            <w:tcW w:w="730" w:type="pct"/>
            <w:shd w:val="clear" w:color="auto" w:fill="FFFFFF"/>
            <w:vAlign w:val="center"/>
          </w:tcPr>
          <w:p w14:paraId="3898839F">
            <w:pPr>
              <w:widowControl/>
              <w:jc w:val="center"/>
              <w:rPr>
                <w:rFonts w:ascii="宋体" w:hAnsi="宋体" w:cs="宋体"/>
                <w:color w:val="auto"/>
                <w:kern w:val="0"/>
              </w:rPr>
            </w:pPr>
            <w:r>
              <w:rPr>
                <w:rFonts w:hint="eastAsia" w:ascii="宋体" w:hAnsi="宋体" w:cs="宋体"/>
                <w:color w:val="auto"/>
                <w:kern w:val="0"/>
              </w:rPr>
              <w:t>井号</w:t>
            </w:r>
          </w:p>
        </w:tc>
        <w:tc>
          <w:tcPr>
            <w:tcW w:w="785" w:type="pct"/>
            <w:shd w:val="clear" w:color="auto" w:fill="FFFFFF"/>
            <w:vAlign w:val="center"/>
          </w:tcPr>
          <w:p w14:paraId="035E6758">
            <w:pPr>
              <w:widowControl/>
              <w:jc w:val="center"/>
              <w:rPr>
                <w:rFonts w:ascii="宋体" w:hAnsi="宋体" w:cs="宋体"/>
                <w:color w:val="auto"/>
                <w:kern w:val="0"/>
              </w:rPr>
            </w:pPr>
            <w:r>
              <w:rPr>
                <w:rFonts w:hint="eastAsia" w:ascii="宋体" w:hAnsi="宋体" w:cs="宋体"/>
                <w:color w:val="auto"/>
                <w:kern w:val="0"/>
              </w:rPr>
              <w:t>井别</w:t>
            </w:r>
          </w:p>
        </w:tc>
        <w:tc>
          <w:tcPr>
            <w:tcW w:w="289" w:type="pct"/>
            <w:shd w:val="clear" w:color="auto" w:fill="FFFFFF"/>
            <w:vAlign w:val="center"/>
          </w:tcPr>
          <w:p w14:paraId="61CC3BC2">
            <w:pPr>
              <w:widowControl/>
              <w:jc w:val="center"/>
              <w:rPr>
                <w:rFonts w:ascii="宋体" w:hAnsi="宋体" w:cs="宋体"/>
                <w:color w:val="auto"/>
                <w:kern w:val="0"/>
              </w:rPr>
            </w:pPr>
            <w:r>
              <w:rPr>
                <w:rFonts w:hint="eastAsia" w:ascii="宋体" w:hAnsi="宋体" w:cs="宋体"/>
                <w:color w:val="auto"/>
                <w:kern w:val="0"/>
              </w:rPr>
              <w:t>井场编号</w:t>
            </w:r>
          </w:p>
        </w:tc>
        <w:tc>
          <w:tcPr>
            <w:tcW w:w="234" w:type="pct"/>
            <w:shd w:val="clear" w:color="auto" w:fill="FFFFFF"/>
            <w:vAlign w:val="center"/>
          </w:tcPr>
          <w:p w14:paraId="169B99D4">
            <w:pPr>
              <w:widowControl/>
              <w:jc w:val="center"/>
              <w:rPr>
                <w:rFonts w:ascii="宋体" w:hAnsi="宋体" w:cs="宋体"/>
                <w:color w:val="auto"/>
                <w:kern w:val="0"/>
              </w:rPr>
            </w:pPr>
            <w:r>
              <w:rPr>
                <w:rFonts w:hint="eastAsia" w:ascii="宋体" w:hAnsi="宋体" w:cs="宋体"/>
                <w:color w:val="auto"/>
                <w:kern w:val="0"/>
              </w:rPr>
              <w:t>集输方式</w:t>
            </w:r>
          </w:p>
        </w:tc>
        <w:tc>
          <w:tcPr>
            <w:tcW w:w="455" w:type="pct"/>
            <w:shd w:val="clear" w:color="auto" w:fill="FFFFFF"/>
            <w:vAlign w:val="center"/>
          </w:tcPr>
          <w:p w14:paraId="3F0883AD">
            <w:pPr>
              <w:widowControl/>
              <w:jc w:val="center"/>
              <w:rPr>
                <w:rFonts w:ascii="宋体" w:hAnsi="宋体" w:cs="宋体"/>
                <w:color w:val="auto"/>
                <w:kern w:val="0"/>
              </w:rPr>
            </w:pPr>
            <w:r>
              <w:rPr>
                <w:rFonts w:hint="eastAsia" w:ascii="宋体" w:hAnsi="宋体" w:cs="宋体"/>
                <w:color w:val="auto"/>
                <w:kern w:val="0"/>
              </w:rPr>
              <w:t>管线规格(</w:t>
            </w:r>
            <w:r>
              <w:rPr>
                <w:rFonts w:ascii="宋体" w:hAnsi="宋体" w:cs="宋体"/>
                <w:color w:val="auto"/>
                <w:kern w:val="0"/>
              </w:rPr>
              <w:t>mm)</w:t>
            </w:r>
          </w:p>
        </w:tc>
        <w:tc>
          <w:tcPr>
            <w:tcW w:w="344" w:type="pct"/>
            <w:shd w:val="clear" w:color="auto" w:fill="FFFFFF"/>
            <w:vAlign w:val="center"/>
          </w:tcPr>
          <w:p w14:paraId="4AF545ED">
            <w:pPr>
              <w:widowControl/>
              <w:jc w:val="center"/>
              <w:rPr>
                <w:rFonts w:ascii="宋体" w:hAnsi="宋体" w:cs="宋体"/>
                <w:color w:val="auto"/>
                <w:kern w:val="0"/>
              </w:rPr>
            </w:pPr>
            <w:r>
              <w:rPr>
                <w:rFonts w:hint="eastAsia" w:ascii="宋体" w:hAnsi="宋体" w:cs="宋体"/>
                <w:color w:val="auto"/>
                <w:kern w:val="0"/>
              </w:rPr>
              <w:t>管线长度(</w:t>
            </w:r>
            <w:r>
              <w:rPr>
                <w:rFonts w:ascii="宋体" w:hAnsi="宋体" w:cs="宋体"/>
                <w:color w:val="auto"/>
                <w:kern w:val="0"/>
              </w:rPr>
              <w:t>m)</w:t>
            </w:r>
          </w:p>
        </w:tc>
        <w:tc>
          <w:tcPr>
            <w:tcW w:w="400" w:type="pct"/>
            <w:shd w:val="clear" w:color="auto" w:fill="FFFFFF"/>
            <w:vAlign w:val="center"/>
          </w:tcPr>
          <w:p w14:paraId="2553BFFD">
            <w:pPr>
              <w:widowControl/>
              <w:jc w:val="center"/>
              <w:rPr>
                <w:rFonts w:ascii="宋体" w:hAnsi="宋体" w:cs="宋体"/>
                <w:color w:val="auto"/>
                <w:kern w:val="0"/>
              </w:rPr>
            </w:pPr>
            <w:r>
              <w:rPr>
                <w:rFonts w:hint="eastAsia" w:ascii="宋体" w:hAnsi="宋体" w:cs="宋体"/>
                <w:color w:val="auto"/>
                <w:kern w:val="0"/>
              </w:rPr>
              <w:t>计量站</w:t>
            </w:r>
          </w:p>
        </w:tc>
        <w:tc>
          <w:tcPr>
            <w:tcW w:w="348" w:type="pct"/>
            <w:shd w:val="clear" w:color="auto" w:fill="FFFFFF"/>
            <w:vAlign w:val="center"/>
          </w:tcPr>
          <w:p w14:paraId="342333BA">
            <w:pPr>
              <w:widowControl/>
              <w:jc w:val="center"/>
              <w:rPr>
                <w:rFonts w:ascii="宋体" w:hAnsi="宋体" w:cs="宋体"/>
                <w:color w:val="auto"/>
                <w:kern w:val="0"/>
              </w:rPr>
            </w:pPr>
            <w:r>
              <w:rPr>
                <w:rFonts w:hint="eastAsia" w:ascii="宋体" w:hAnsi="宋体" w:cs="宋体"/>
                <w:color w:val="auto"/>
                <w:kern w:val="0"/>
              </w:rPr>
              <w:t>联合站</w:t>
            </w:r>
          </w:p>
        </w:tc>
        <w:tc>
          <w:tcPr>
            <w:tcW w:w="451" w:type="pct"/>
            <w:vAlign w:val="center"/>
          </w:tcPr>
          <w:p w14:paraId="6F95FE5E">
            <w:pPr>
              <w:widowControl/>
              <w:jc w:val="center"/>
              <w:rPr>
                <w:rFonts w:ascii="宋体" w:hAnsi="宋体" w:cs="宋体"/>
                <w:color w:val="auto"/>
                <w:kern w:val="0"/>
              </w:rPr>
            </w:pPr>
            <w:r>
              <w:rPr>
                <w:rFonts w:hint="eastAsia" w:ascii="宋体" w:hAnsi="宋体" w:cs="宋体"/>
                <w:color w:val="auto"/>
                <w:kern w:val="0"/>
              </w:rPr>
              <w:t>加热设施</w:t>
            </w:r>
          </w:p>
        </w:tc>
        <w:tc>
          <w:tcPr>
            <w:tcW w:w="730" w:type="pct"/>
            <w:vAlign w:val="center"/>
          </w:tcPr>
          <w:p w14:paraId="00DF2EE1">
            <w:pPr>
              <w:widowControl/>
              <w:jc w:val="center"/>
              <w:rPr>
                <w:rFonts w:ascii="宋体" w:hAnsi="宋体" w:cs="宋体"/>
                <w:color w:val="auto"/>
                <w:kern w:val="0"/>
              </w:rPr>
            </w:pPr>
            <w:r>
              <w:rPr>
                <w:rFonts w:hint="eastAsia" w:ascii="宋体" w:hAnsi="宋体" w:cs="宋体"/>
                <w:color w:val="auto"/>
                <w:kern w:val="0"/>
              </w:rPr>
              <w:t>集输方式与环评对比</w:t>
            </w:r>
          </w:p>
        </w:tc>
      </w:tr>
      <w:tr w14:paraId="5714503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40497DC8">
            <w:pPr>
              <w:pStyle w:val="76"/>
              <w:numPr>
                <w:ilvl w:val="0"/>
                <w:numId w:val="19"/>
              </w:numPr>
              <w:rPr>
                <w:rFonts w:hAnsi="宋体"/>
                <w:color w:val="auto"/>
              </w:rPr>
            </w:pPr>
          </w:p>
        </w:tc>
        <w:tc>
          <w:tcPr>
            <w:tcW w:w="730" w:type="pct"/>
            <w:shd w:val="clear" w:color="auto" w:fill="FFFFFF"/>
            <w:noWrap/>
            <w:vAlign w:val="center"/>
          </w:tcPr>
          <w:p w14:paraId="2DF0393D">
            <w:pPr>
              <w:widowControl/>
              <w:jc w:val="center"/>
              <w:rPr>
                <w:rFonts w:ascii="宋体" w:hAnsi="宋体" w:cs="宋体"/>
                <w:color w:val="auto"/>
                <w:kern w:val="0"/>
              </w:rPr>
            </w:pPr>
            <w:bookmarkStart w:id="165" w:name="OLE_LINK190"/>
            <w:bookmarkStart w:id="166" w:name="OLE_LINK189"/>
            <w:bookmarkStart w:id="167" w:name="OLE_LINK191"/>
            <w:r>
              <w:rPr>
                <w:rFonts w:hint="eastAsia" w:ascii="宋体" w:hAnsi="宋体" w:cs="宋体"/>
                <w:color w:val="auto"/>
                <w:kern w:val="0"/>
              </w:rPr>
              <w:t>FJFS-X2</w:t>
            </w:r>
            <w:bookmarkEnd w:id="165"/>
            <w:bookmarkEnd w:id="166"/>
            <w:bookmarkEnd w:id="167"/>
          </w:p>
        </w:tc>
        <w:tc>
          <w:tcPr>
            <w:tcW w:w="785" w:type="pct"/>
            <w:shd w:val="clear" w:color="auto" w:fill="FFFFFF"/>
            <w:noWrap/>
            <w:vAlign w:val="center"/>
          </w:tcPr>
          <w:p w14:paraId="69BB619B">
            <w:pPr>
              <w:widowControl/>
              <w:jc w:val="center"/>
              <w:rPr>
                <w:rFonts w:ascii="宋体" w:hAnsi="宋体" w:cs="宋体"/>
                <w:color w:val="auto"/>
                <w:kern w:val="0"/>
              </w:rPr>
            </w:pPr>
            <w:r>
              <w:rPr>
                <w:rFonts w:hint="eastAsia" w:ascii="宋体" w:hAnsi="宋体" w:cs="宋体"/>
                <w:color w:val="auto"/>
                <w:kern w:val="0"/>
              </w:rPr>
              <w:t>探井转开发井</w:t>
            </w:r>
          </w:p>
        </w:tc>
        <w:tc>
          <w:tcPr>
            <w:tcW w:w="289" w:type="pct"/>
            <w:shd w:val="clear" w:color="auto" w:fill="FFFFFF"/>
            <w:vAlign w:val="center"/>
          </w:tcPr>
          <w:p w14:paraId="3F757498">
            <w:pPr>
              <w:widowControl/>
              <w:jc w:val="center"/>
              <w:rPr>
                <w:rFonts w:ascii="宋体" w:hAnsi="宋体" w:cs="宋体"/>
                <w:color w:val="auto"/>
                <w:kern w:val="0"/>
              </w:rPr>
            </w:pPr>
            <w:r>
              <w:rPr>
                <w:rFonts w:hint="eastAsia" w:ascii="宋体" w:hAnsi="宋体" w:cs="宋体"/>
                <w:color w:val="auto"/>
                <w:kern w:val="0"/>
              </w:rPr>
              <w:t>1#</w:t>
            </w:r>
          </w:p>
        </w:tc>
        <w:tc>
          <w:tcPr>
            <w:tcW w:w="234" w:type="pct"/>
            <w:shd w:val="clear" w:color="auto" w:fill="FFFFFF"/>
            <w:vAlign w:val="center"/>
          </w:tcPr>
          <w:p w14:paraId="468BEC58">
            <w:pPr>
              <w:widowControl/>
              <w:jc w:val="center"/>
              <w:rPr>
                <w:rFonts w:ascii="宋体" w:hAnsi="宋体" w:cs="宋体"/>
                <w:color w:val="auto"/>
                <w:kern w:val="0"/>
              </w:rPr>
            </w:pPr>
            <w:r>
              <w:rPr>
                <w:rFonts w:hint="eastAsia" w:ascii="宋体" w:hAnsi="宋体" w:cs="宋体"/>
                <w:color w:val="auto"/>
                <w:kern w:val="0"/>
              </w:rPr>
              <w:t>管输</w:t>
            </w:r>
          </w:p>
        </w:tc>
        <w:tc>
          <w:tcPr>
            <w:tcW w:w="455" w:type="pct"/>
            <w:shd w:val="clear" w:color="auto" w:fill="FFFFFF"/>
            <w:vAlign w:val="center"/>
          </w:tcPr>
          <w:p w14:paraId="65AAB2A9">
            <w:pPr>
              <w:widowControl/>
              <w:jc w:val="center"/>
              <w:rPr>
                <w:rFonts w:ascii="宋体" w:hAnsi="宋体" w:cs="宋体"/>
                <w:color w:val="auto"/>
                <w:kern w:val="0"/>
              </w:rPr>
            </w:pPr>
            <w:bookmarkStart w:id="168" w:name="OLE_LINK201"/>
            <w:bookmarkStart w:id="169" w:name="OLE_LINK200"/>
            <w:r>
              <w:rPr>
                <w:rFonts w:hint="eastAsia" w:ascii="宋体" w:hAnsi="宋体" w:cs="宋体"/>
                <w:color w:val="auto"/>
                <w:kern w:val="0"/>
              </w:rPr>
              <w:t>φ6</w:t>
            </w:r>
            <w:r>
              <w:rPr>
                <w:rFonts w:ascii="宋体" w:hAnsi="宋体" w:cs="宋体"/>
                <w:color w:val="auto"/>
                <w:kern w:val="0"/>
              </w:rPr>
              <w:t>0×4</w:t>
            </w:r>
            <w:bookmarkEnd w:id="168"/>
            <w:bookmarkEnd w:id="169"/>
          </w:p>
        </w:tc>
        <w:tc>
          <w:tcPr>
            <w:tcW w:w="344" w:type="pct"/>
            <w:shd w:val="clear" w:color="auto" w:fill="FFFFFF"/>
            <w:vAlign w:val="center"/>
          </w:tcPr>
          <w:p w14:paraId="2AC433FC">
            <w:pPr>
              <w:widowControl/>
              <w:jc w:val="center"/>
              <w:rPr>
                <w:rFonts w:ascii="宋体" w:hAnsi="宋体" w:cs="宋体"/>
                <w:color w:val="auto"/>
                <w:kern w:val="0"/>
              </w:rPr>
            </w:pPr>
            <w:r>
              <w:rPr>
                <w:rFonts w:hint="eastAsia" w:ascii="宋体" w:hAnsi="宋体" w:cs="宋体"/>
                <w:color w:val="auto"/>
                <w:kern w:val="0"/>
              </w:rPr>
              <w:t>5</w:t>
            </w:r>
            <w:r>
              <w:rPr>
                <w:rFonts w:ascii="宋体" w:hAnsi="宋体" w:cs="宋体"/>
                <w:color w:val="auto"/>
                <w:kern w:val="0"/>
              </w:rPr>
              <w:t>0</w:t>
            </w:r>
          </w:p>
        </w:tc>
        <w:tc>
          <w:tcPr>
            <w:tcW w:w="400" w:type="pct"/>
            <w:shd w:val="clear" w:color="auto" w:fill="FFFFFF"/>
            <w:vAlign w:val="center"/>
          </w:tcPr>
          <w:p w14:paraId="0833CCA2">
            <w:pPr>
              <w:widowControl/>
              <w:jc w:val="center"/>
              <w:rPr>
                <w:rFonts w:ascii="宋体" w:hAnsi="宋体" w:cs="宋体"/>
                <w:color w:val="auto"/>
                <w:kern w:val="0"/>
              </w:rPr>
            </w:pPr>
            <w:r>
              <w:rPr>
                <w:rFonts w:hint="eastAsia" w:ascii="宋体" w:hAnsi="宋体" w:cs="宋体"/>
                <w:color w:val="auto"/>
                <w:kern w:val="0"/>
              </w:rPr>
              <w:t>/</w:t>
            </w:r>
          </w:p>
        </w:tc>
        <w:tc>
          <w:tcPr>
            <w:tcW w:w="348" w:type="pct"/>
            <w:shd w:val="clear" w:color="auto" w:fill="FFFFFF"/>
            <w:vAlign w:val="center"/>
          </w:tcPr>
          <w:p w14:paraId="5ED76BA0">
            <w:pPr>
              <w:widowControl/>
              <w:jc w:val="center"/>
              <w:rPr>
                <w:rFonts w:ascii="宋体" w:hAnsi="宋体" w:cs="宋体"/>
                <w:color w:val="auto"/>
                <w:kern w:val="0"/>
              </w:rPr>
            </w:pPr>
            <w:r>
              <w:rPr>
                <w:rFonts w:hint="eastAsia" w:ascii="宋体" w:hAnsi="宋体" w:cs="宋体"/>
                <w:color w:val="auto"/>
                <w:kern w:val="0"/>
              </w:rPr>
              <w:t>滨博接转站</w:t>
            </w:r>
          </w:p>
        </w:tc>
        <w:tc>
          <w:tcPr>
            <w:tcW w:w="451" w:type="pct"/>
            <w:vAlign w:val="center"/>
          </w:tcPr>
          <w:p w14:paraId="4A3CFC49">
            <w:pPr>
              <w:widowControl/>
              <w:jc w:val="center"/>
              <w:rPr>
                <w:rFonts w:ascii="宋体" w:hAnsi="宋体" w:cs="宋体"/>
                <w:color w:val="auto"/>
                <w:kern w:val="0"/>
              </w:rPr>
            </w:pPr>
            <w:r>
              <w:rPr>
                <w:rFonts w:hint="eastAsia" w:ascii="宋体" w:hAnsi="宋体" w:cs="宋体"/>
                <w:color w:val="auto"/>
                <w:kern w:val="0"/>
              </w:rPr>
              <w:t>/</w:t>
            </w:r>
          </w:p>
        </w:tc>
        <w:tc>
          <w:tcPr>
            <w:tcW w:w="730" w:type="pct"/>
            <w:vAlign w:val="center"/>
          </w:tcPr>
          <w:p w14:paraId="6052D9EB">
            <w:pPr>
              <w:widowControl/>
              <w:jc w:val="center"/>
              <w:rPr>
                <w:rFonts w:ascii="宋体" w:hAnsi="宋体" w:cs="宋体"/>
                <w:color w:val="auto"/>
                <w:kern w:val="0"/>
              </w:rPr>
            </w:pPr>
            <w:bookmarkStart w:id="170" w:name="OLE_LINK171"/>
            <w:bookmarkStart w:id="171" w:name="OLE_LINK162"/>
            <w:r>
              <w:rPr>
                <w:rFonts w:hint="eastAsia" w:ascii="宋体" w:hAnsi="宋体" w:cs="宋体"/>
                <w:color w:val="auto"/>
                <w:kern w:val="0"/>
              </w:rPr>
              <w:t>一致</w:t>
            </w:r>
            <w:bookmarkEnd w:id="170"/>
            <w:bookmarkEnd w:id="171"/>
          </w:p>
        </w:tc>
      </w:tr>
      <w:tr w14:paraId="4FF92B1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694811B1">
            <w:pPr>
              <w:pStyle w:val="76"/>
              <w:rPr>
                <w:rFonts w:hAnsi="宋体"/>
                <w:color w:val="auto"/>
              </w:rPr>
            </w:pPr>
          </w:p>
        </w:tc>
        <w:tc>
          <w:tcPr>
            <w:tcW w:w="730" w:type="pct"/>
            <w:shd w:val="clear" w:color="auto" w:fill="FFFFFF"/>
            <w:noWrap/>
            <w:vAlign w:val="center"/>
          </w:tcPr>
          <w:p w14:paraId="41C1544F">
            <w:pPr>
              <w:widowControl/>
              <w:jc w:val="center"/>
              <w:rPr>
                <w:rFonts w:ascii="宋体" w:hAnsi="宋体" w:cs="宋体"/>
                <w:color w:val="auto"/>
                <w:kern w:val="0"/>
              </w:rPr>
            </w:pPr>
            <w:r>
              <w:rPr>
                <w:rFonts w:hint="eastAsia" w:ascii="宋体" w:hAnsi="宋体" w:cs="宋体"/>
                <w:color w:val="auto"/>
                <w:kern w:val="0"/>
              </w:rPr>
              <w:t>FJF18-X16</w:t>
            </w:r>
          </w:p>
        </w:tc>
        <w:tc>
          <w:tcPr>
            <w:tcW w:w="785" w:type="pct"/>
            <w:shd w:val="clear" w:color="auto" w:fill="FFFFFF"/>
            <w:noWrap/>
            <w:vAlign w:val="center"/>
          </w:tcPr>
          <w:p w14:paraId="083933AD">
            <w:pPr>
              <w:widowControl/>
              <w:jc w:val="center"/>
              <w:rPr>
                <w:rFonts w:ascii="宋体" w:hAnsi="宋体" w:cs="宋体"/>
                <w:color w:val="auto"/>
                <w:kern w:val="0"/>
              </w:rPr>
            </w:pPr>
            <w:r>
              <w:rPr>
                <w:rFonts w:hint="eastAsia" w:ascii="宋体" w:hAnsi="宋体" w:cs="宋体"/>
                <w:color w:val="auto"/>
                <w:kern w:val="0"/>
              </w:rPr>
              <w:t>油井</w:t>
            </w:r>
          </w:p>
        </w:tc>
        <w:tc>
          <w:tcPr>
            <w:tcW w:w="289" w:type="pct"/>
            <w:shd w:val="clear" w:color="auto" w:fill="FFFFFF"/>
            <w:vAlign w:val="center"/>
          </w:tcPr>
          <w:p w14:paraId="321CAC8B">
            <w:pPr>
              <w:widowControl/>
              <w:jc w:val="center"/>
              <w:rPr>
                <w:rFonts w:ascii="宋体" w:hAnsi="宋体" w:cs="宋体"/>
                <w:color w:val="auto"/>
                <w:kern w:val="0"/>
              </w:rPr>
            </w:pPr>
            <w:r>
              <w:rPr>
                <w:rFonts w:hint="eastAsia" w:ascii="宋体" w:hAnsi="宋体" w:cs="宋体"/>
                <w:color w:val="auto"/>
                <w:kern w:val="0"/>
              </w:rPr>
              <w:t>4#</w:t>
            </w:r>
          </w:p>
        </w:tc>
        <w:tc>
          <w:tcPr>
            <w:tcW w:w="234" w:type="pct"/>
            <w:shd w:val="clear" w:color="auto" w:fill="FFFFFF"/>
            <w:vAlign w:val="center"/>
          </w:tcPr>
          <w:p w14:paraId="7C861A20">
            <w:pPr>
              <w:widowControl/>
              <w:jc w:val="center"/>
              <w:rPr>
                <w:rFonts w:ascii="宋体" w:hAnsi="宋体" w:cs="宋体"/>
                <w:color w:val="auto"/>
                <w:kern w:val="0"/>
              </w:rPr>
            </w:pPr>
            <w:r>
              <w:rPr>
                <w:rFonts w:hint="eastAsia" w:ascii="宋体" w:hAnsi="宋体" w:cs="宋体"/>
                <w:color w:val="auto"/>
                <w:kern w:val="0"/>
              </w:rPr>
              <w:t>拉油</w:t>
            </w:r>
          </w:p>
        </w:tc>
        <w:tc>
          <w:tcPr>
            <w:tcW w:w="455" w:type="pct"/>
            <w:shd w:val="clear" w:color="auto" w:fill="FFFFFF"/>
            <w:vAlign w:val="center"/>
          </w:tcPr>
          <w:p w14:paraId="60D57C52">
            <w:pPr>
              <w:widowControl/>
              <w:jc w:val="center"/>
              <w:rPr>
                <w:rFonts w:ascii="宋体" w:hAnsi="宋体" w:cs="宋体"/>
                <w:color w:val="auto"/>
                <w:kern w:val="0"/>
              </w:rPr>
            </w:pPr>
            <w:bookmarkStart w:id="172" w:name="OLE_LINK173"/>
            <w:bookmarkStart w:id="173" w:name="OLE_LINK174"/>
            <w:r>
              <w:rPr>
                <w:rFonts w:hint="eastAsia" w:ascii="宋体" w:hAnsi="宋体" w:cs="宋体"/>
                <w:color w:val="auto"/>
                <w:kern w:val="0"/>
              </w:rPr>
              <w:t>φ6</w:t>
            </w:r>
            <w:r>
              <w:rPr>
                <w:rFonts w:ascii="宋体" w:hAnsi="宋体" w:cs="宋体"/>
                <w:color w:val="auto"/>
                <w:kern w:val="0"/>
              </w:rPr>
              <w:t>0×4</w:t>
            </w:r>
            <w:bookmarkEnd w:id="172"/>
            <w:bookmarkEnd w:id="173"/>
          </w:p>
        </w:tc>
        <w:tc>
          <w:tcPr>
            <w:tcW w:w="344" w:type="pct"/>
            <w:shd w:val="clear" w:color="auto" w:fill="FFFFFF"/>
            <w:vAlign w:val="center"/>
          </w:tcPr>
          <w:p w14:paraId="60E2407B">
            <w:pPr>
              <w:widowControl/>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00</w:t>
            </w:r>
          </w:p>
        </w:tc>
        <w:tc>
          <w:tcPr>
            <w:tcW w:w="400" w:type="pct"/>
            <w:shd w:val="clear" w:color="auto" w:fill="FFFFFF"/>
            <w:vAlign w:val="center"/>
          </w:tcPr>
          <w:p w14:paraId="179235FC">
            <w:pPr>
              <w:widowControl/>
              <w:jc w:val="center"/>
              <w:rPr>
                <w:rFonts w:ascii="宋体" w:hAnsi="宋体" w:cs="宋体"/>
                <w:color w:val="auto"/>
                <w:kern w:val="0"/>
              </w:rPr>
            </w:pPr>
            <w:r>
              <w:rPr>
                <w:rFonts w:hint="eastAsia" w:ascii="宋体" w:hAnsi="宋体" w:cs="宋体"/>
                <w:color w:val="auto"/>
                <w:kern w:val="0"/>
              </w:rPr>
              <w:t>/</w:t>
            </w:r>
          </w:p>
        </w:tc>
        <w:tc>
          <w:tcPr>
            <w:tcW w:w="348" w:type="pct"/>
            <w:shd w:val="clear" w:color="auto" w:fill="FFFFFF"/>
            <w:vAlign w:val="center"/>
          </w:tcPr>
          <w:p w14:paraId="110CFE3E">
            <w:pPr>
              <w:widowControl/>
              <w:jc w:val="center"/>
              <w:rPr>
                <w:rFonts w:ascii="宋体" w:hAnsi="宋体" w:cs="宋体"/>
                <w:color w:val="auto"/>
                <w:kern w:val="0"/>
              </w:rPr>
            </w:pPr>
            <w:bookmarkStart w:id="174" w:name="OLE_LINK178"/>
            <w:bookmarkStart w:id="175" w:name="OLE_LINK177"/>
            <w:r>
              <w:rPr>
                <w:rFonts w:hint="eastAsia" w:ascii="宋体" w:hAnsi="宋体" w:cs="宋体"/>
                <w:color w:val="auto"/>
                <w:kern w:val="0"/>
              </w:rPr>
              <w:t>高青联合站</w:t>
            </w:r>
            <w:bookmarkEnd w:id="174"/>
            <w:bookmarkEnd w:id="175"/>
          </w:p>
        </w:tc>
        <w:tc>
          <w:tcPr>
            <w:tcW w:w="451" w:type="pct"/>
            <w:vAlign w:val="center"/>
          </w:tcPr>
          <w:p w14:paraId="21FD6EA1">
            <w:pPr>
              <w:widowControl/>
              <w:jc w:val="center"/>
              <w:rPr>
                <w:rFonts w:ascii="宋体" w:hAnsi="宋体" w:cs="宋体"/>
                <w:color w:val="auto"/>
                <w:kern w:val="0"/>
              </w:rPr>
            </w:pPr>
            <w:r>
              <w:rPr>
                <w:rFonts w:ascii="宋体" w:hAnsi="宋体" w:cs="宋体"/>
                <w:color w:val="auto"/>
                <w:kern w:val="0"/>
              </w:rPr>
              <w:t>150kW燃气加热炉</w:t>
            </w:r>
            <w:r>
              <w:rPr>
                <w:rFonts w:hint="eastAsia" w:ascii="宋体" w:hAnsi="宋体" w:cs="宋体"/>
                <w:color w:val="auto"/>
                <w:kern w:val="0"/>
              </w:rPr>
              <w:t>+高架罐，依托老井场</w:t>
            </w:r>
          </w:p>
        </w:tc>
        <w:tc>
          <w:tcPr>
            <w:tcW w:w="730" w:type="pct"/>
            <w:vAlign w:val="center"/>
          </w:tcPr>
          <w:p w14:paraId="4DEAA42D">
            <w:pPr>
              <w:widowControl/>
              <w:jc w:val="center"/>
              <w:rPr>
                <w:rFonts w:ascii="宋体" w:hAnsi="宋体" w:cs="宋体"/>
                <w:color w:val="auto"/>
                <w:kern w:val="0"/>
              </w:rPr>
            </w:pPr>
            <w:r>
              <w:rPr>
                <w:rFonts w:hint="eastAsia" w:ascii="宋体" w:hAnsi="宋体" w:cs="宋体"/>
                <w:color w:val="auto"/>
                <w:kern w:val="0"/>
              </w:rPr>
              <w:t>一致</w:t>
            </w:r>
          </w:p>
        </w:tc>
      </w:tr>
      <w:tr w14:paraId="1E6F68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0EAE2666">
            <w:pPr>
              <w:pStyle w:val="76"/>
              <w:rPr>
                <w:rFonts w:hAnsi="宋体"/>
                <w:color w:val="auto"/>
              </w:rPr>
            </w:pPr>
          </w:p>
        </w:tc>
        <w:tc>
          <w:tcPr>
            <w:tcW w:w="730" w:type="pct"/>
            <w:shd w:val="clear" w:color="auto" w:fill="FFFFFF"/>
            <w:noWrap/>
            <w:vAlign w:val="center"/>
          </w:tcPr>
          <w:p w14:paraId="05D507E6">
            <w:pPr>
              <w:widowControl/>
              <w:jc w:val="center"/>
              <w:rPr>
                <w:rFonts w:ascii="宋体" w:hAnsi="宋体" w:cs="宋体"/>
                <w:color w:val="auto"/>
                <w:kern w:val="0"/>
              </w:rPr>
            </w:pPr>
            <w:bookmarkStart w:id="176" w:name="OLE_LINK193"/>
            <w:bookmarkStart w:id="177" w:name="OLE_LINK192"/>
            <w:r>
              <w:rPr>
                <w:rFonts w:hint="eastAsia" w:ascii="宋体" w:hAnsi="宋体" w:cs="宋体"/>
                <w:color w:val="auto"/>
                <w:kern w:val="0"/>
              </w:rPr>
              <w:t>FJF18-X27</w:t>
            </w:r>
            <w:bookmarkEnd w:id="176"/>
            <w:bookmarkEnd w:id="177"/>
          </w:p>
        </w:tc>
        <w:tc>
          <w:tcPr>
            <w:tcW w:w="785" w:type="pct"/>
            <w:shd w:val="clear" w:color="auto" w:fill="FFFFFF"/>
            <w:noWrap/>
            <w:vAlign w:val="center"/>
          </w:tcPr>
          <w:p w14:paraId="10B1EFC1">
            <w:pPr>
              <w:widowControl/>
              <w:jc w:val="center"/>
              <w:rPr>
                <w:rFonts w:ascii="宋体" w:hAnsi="宋体" w:cs="宋体"/>
                <w:color w:val="auto"/>
                <w:kern w:val="0"/>
              </w:rPr>
            </w:pPr>
            <w:r>
              <w:rPr>
                <w:rFonts w:hint="eastAsia" w:ascii="宋体" w:hAnsi="宋体" w:cs="宋体"/>
                <w:color w:val="auto"/>
                <w:kern w:val="0"/>
              </w:rPr>
              <w:t>油井</w:t>
            </w:r>
          </w:p>
        </w:tc>
        <w:tc>
          <w:tcPr>
            <w:tcW w:w="289" w:type="pct"/>
            <w:vMerge w:val="restart"/>
            <w:shd w:val="clear" w:color="auto" w:fill="FFFFFF"/>
            <w:vAlign w:val="center"/>
          </w:tcPr>
          <w:p w14:paraId="1CE58D17">
            <w:pPr>
              <w:widowControl/>
              <w:jc w:val="center"/>
              <w:rPr>
                <w:rFonts w:ascii="宋体" w:hAnsi="宋体" w:cs="宋体"/>
                <w:color w:val="auto"/>
                <w:kern w:val="0"/>
              </w:rPr>
            </w:pPr>
            <w:r>
              <w:rPr>
                <w:rFonts w:hint="eastAsia" w:ascii="宋体" w:hAnsi="宋体" w:cs="宋体"/>
                <w:color w:val="auto"/>
                <w:kern w:val="0"/>
              </w:rPr>
              <w:t>5#</w:t>
            </w:r>
          </w:p>
        </w:tc>
        <w:tc>
          <w:tcPr>
            <w:tcW w:w="234" w:type="pct"/>
            <w:vMerge w:val="restart"/>
            <w:shd w:val="clear" w:color="auto" w:fill="FFFFFF"/>
            <w:vAlign w:val="center"/>
          </w:tcPr>
          <w:p w14:paraId="48212F52">
            <w:pPr>
              <w:widowControl/>
              <w:jc w:val="center"/>
              <w:rPr>
                <w:rFonts w:ascii="宋体" w:hAnsi="宋体" w:cs="宋体"/>
                <w:color w:val="auto"/>
                <w:kern w:val="0"/>
              </w:rPr>
            </w:pPr>
            <w:r>
              <w:rPr>
                <w:rFonts w:hint="eastAsia" w:ascii="宋体" w:hAnsi="宋体" w:cs="宋体"/>
                <w:color w:val="auto"/>
                <w:kern w:val="0"/>
              </w:rPr>
              <w:t>管输</w:t>
            </w:r>
          </w:p>
        </w:tc>
        <w:tc>
          <w:tcPr>
            <w:tcW w:w="455" w:type="pct"/>
            <w:vMerge w:val="restart"/>
            <w:shd w:val="clear" w:color="auto" w:fill="FFFFFF"/>
            <w:vAlign w:val="center"/>
          </w:tcPr>
          <w:p w14:paraId="1D7547F9">
            <w:pPr>
              <w:widowControl/>
              <w:jc w:val="center"/>
              <w:rPr>
                <w:rFonts w:ascii="宋体" w:hAnsi="宋体" w:cs="宋体"/>
                <w:color w:val="auto"/>
                <w:kern w:val="0"/>
              </w:rPr>
            </w:pPr>
            <w:bookmarkStart w:id="178" w:name="OLE_LINK176"/>
            <w:bookmarkStart w:id="179" w:name="OLE_LINK175"/>
            <w:r>
              <w:rPr>
                <w:rFonts w:hint="eastAsia" w:ascii="宋体" w:hAnsi="宋体" w:cs="宋体"/>
                <w:color w:val="auto"/>
                <w:kern w:val="0"/>
              </w:rPr>
              <w:t>φ6</w:t>
            </w:r>
            <w:r>
              <w:rPr>
                <w:rFonts w:ascii="宋体" w:hAnsi="宋体" w:cs="宋体"/>
                <w:color w:val="auto"/>
                <w:kern w:val="0"/>
              </w:rPr>
              <w:t>0×4</w:t>
            </w:r>
            <w:bookmarkEnd w:id="178"/>
            <w:bookmarkEnd w:id="179"/>
          </w:p>
        </w:tc>
        <w:tc>
          <w:tcPr>
            <w:tcW w:w="344" w:type="pct"/>
            <w:vMerge w:val="restart"/>
            <w:shd w:val="clear" w:color="auto" w:fill="FFFFFF"/>
            <w:vAlign w:val="center"/>
          </w:tcPr>
          <w:p w14:paraId="6DA94FE8">
            <w:pPr>
              <w:widowControl/>
              <w:jc w:val="center"/>
              <w:rPr>
                <w:rFonts w:ascii="宋体" w:hAnsi="宋体" w:cs="宋体"/>
                <w:color w:val="auto"/>
                <w:kern w:val="0"/>
              </w:rPr>
            </w:pPr>
            <w:r>
              <w:rPr>
                <w:rFonts w:hint="eastAsia" w:ascii="宋体" w:hAnsi="宋体" w:cs="宋体"/>
                <w:color w:val="auto"/>
                <w:kern w:val="0"/>
              </w:rPr>
              <w:t>4</w:t>
            </w:r>
            <w:r>
              <w:rPr>
                <w:rFonts w:ascii="宋体" w:hAnsi="宋体" w:cs="宋体"/>
                <w:color w:val="auto"/>
                <w:kern w:val="0"/>
              </w:rPr>
              <w:t>00</w:t>
            </w:r>
          </w:p>
        </w:tc>
        <w:tc>
          <w:tcPr>
            <w:tcW w:w="400" w:type="pct"/>
            <w:vMerge w:val="restart"/>
            <w:shd w:val="clear" w:color="auto" w:fill="FFFFFF"/>
            <w:vAlign w:val="center"/>
          </w:tcPr>
          <w:p w14:paraId="0368C90C">
            <w:pPr>
              <w:widowControl/>
              <w:jc w:val="center"/>
              <w:rPr>
                <w:rFonts w:ascii="宋体" w:hAnsi="宋体" w:cs="宋体"/>
                <w:color w:val="auto"/>
                <w:kern w:val="0"/>
              </w:rPr>
            </w:pPr>
            <w:r>
              <w:rPr>
                <w:rFonts w:hint="eastAsia" w:ascii="宋体" w:hAnsi="宋体" w:cs="宋体"/>
                <w:color w:val="auto"/>
                <w:kern w:val="0"/>
              </w:rPr>
              <w:t>/</w:t>
            </w:r>
          </w:p>
        </w:tc>
        <w:tc>
          <w:tcPr>
            <w:tcW w:w="348" w:type="pct"/>
            <w:vMerge w:val="restart"/>
            <w:shd w:val="clear" w:color="auto" w:fill="FFFFFF"/>
            <w:vAlign w:val="center"/>
          </w:tcPr>
          <w:p w14:paraId="1741F3B3">
            <w:pPr>
              <w:widowControl/>
              <w:jc w:val="center"/>
              <w:rPr>
                <w:rFonts w:ascii="宋体" w:hAnsi="宋体" w:cs="宋体"/>
                <w:color w:val="auto"/>
                <w:kern w:val="0"/>
              </w:rPr>
            </w:pPr>
            <w:bookmarkStart w:id="180" w:name="OLE_LINK179"/>
            <w:bookmarkStart w:id="181" w:name="OLE_LINK180"/>
            <w:r>
              <w:rPr>
                <w:rFonts w:hint="eastAsia" w:ascii="宋体" w:hAnsi="宋体" w:cs="宋体"/>
                <w:color w:val="auto"/>
                <w:kern w:val="0"/>
              </w:rPr>
              <w:t>高青联合站</w:t>
            </w:r>
            <w:bookmarkEnd w:id="180"/>
            <w:bookmarkEnd w:id="181"/>
          </w:p>
        </w:tc>
        <w:tc>
          <w:tcPr>
            <w:tcW w:w="451" w:type="pct"/>
            <w:vMerge w:val="restart"/>
            <w:vAlign w:val="center"/>
          </w:tcPr>
          <w:p w14:paraId="5B462E01">
            <w:pPr>
              <w:widowControl/>
              <w:jc w:val="center"/>
              <w:rPr>
                <w:rFonts w:ascii="宋体" w:hAnsi="宋体" w:cs="宋体"/>
                <w:color w:val="auto"/>
                <w:kern w:val="0"/>
              </w:rPr>
            </w:pPr>
            <w:r>
              <w:rPr>
                <w:rFonts w:hint="eastAsia" w:ascii="宋体" w:hAnsi="宋体" w:cs="宋体"/>
                <w:color w:val="auto"/>
                <w:kern w:val="0"/>
              </w:rPr>
              <w:t>/</w:t>
            </w:r>
          </w:p>
        </w:tc>
        <w:tc>
          <w:tcPr>
            <w:tcW w:w="730" w:type="pct"/>
            <w:vMerge w:val="restart"/>
            <w:vAlign w:val="center"/>
          </w:tcPr>
          <w:p w14:paraId="3B50B278">
            <w:pPr>
              <w:widowControl/>
              <w:jc w:val="center"/>
              <w:rPr>
                <w:rFonts w:ascii="宋体" w:hAnsi="宋体" w:cs="宋体"/>
                <w:color w:val="auto"/>
                <w:kern w:val="0"/>
              </w:rPr>
            </w:pPr>
            <w:r>
              <w:rPr>
                <w:rFonts w:hint="eastAsia" w:ascii="宋体" w:hAnsi="宋体" w:cs="宋体"/>
                <w:color w:val="auto"/>
                <w:kern w:val="0"/>
              </w:rPr>
              <w:t>环评为拉油，实际改管输</w:t>
            </w:r>
          </w:p>
        </w:tc>
      </w:tr>
      <w:tr w14:paraId="082D8C4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54AE2C5B">
            <w:pPr>
              <w:pStyle w:val="76"/>
              <w:rPr>
                <w:rFonts w:hAnsi="宋体"/>
                <w:color w:val="auto"/>
              </w:rPr>
            </w:pPr>
          </w:p>
        </w:tc>
        <w:tc>
          <w:tcPr>
            <w:tcW w:w="730" w:type="pct"/>
            <w:shd w:val="clear" w:color="auto" w:fill="FFFFFF"/>
            <w:noWrap/>
            <w:vAlign w:val="center"/>
          </w:tcPr>
          <w:p w14:paraId="463FCB84">
            <w:pPr>
              <w:widowControl/>
              <w:jc w:val="center"/>
              <w:rPr>
                <w:rFonts w:ascii="宋体" w:hAnsi="宋体" w:cs="宋体"/>
                <w:color w:val="auto"/>
                <w:kern w:val="0"/>
              </w:rPr>
            </w:pPr>
            <w:r>
              <w:rPr>
                <w:rFonts w:hint="eastAsia" w:ascii="宋体" w:hAnsi="宋体" w:cs="宋体"/>
                <w:color w:val="auto"/>
                <w:kern w:val="0"/>
              </w:rPr>
              <w:t>FJF18-X25</w:t>
            </w:r>
          </w:p>
        </w:tc>
        <w:tc>
          <w:tcPr>
            <w:tcW w:w="785" w:type="pct"/>
            <w:shd w:val="clear" w:color="auto" w:fill="FFFFFF"/>
            <w:noWrap/>
            <w:vAlign w:val="center"/>
          </w:tcPr>
          <w:p w14:paraId="60026D84">
            <w:pPr>
              <w:widowControl/>
              <w:jc w:val="center"/>
              <w:rPr>
                <w:rFonts w:ascii="宋体" w:hAnsi="宋体" w:cs="宋体"/>
                <w:color w:val="auto"/>
                <w:kern w:val="0"/>
              </w:rPr>
            </w:pPr>
            <w:r>
              <w:rPr>
                <w:rFonts w:hint="eastAsia" w:ascii="宋体" w:hAnsi="宋体" w:cs="宋体"/>
                <w:color w:val="auto"/>
                <w:kern w:val="0"/>
              </w:rPr>
              <w:t>油井</w:t>
            </w:r>
          </w:p>
        </w:tc>
        <w:tc>
          <w:tcPr>
            <w:tcW w:w="289" w:type="pct"/>
            <w:vMerge w:val="continue"/>
            <w:vAlign w:val="center"/>
          </w:tcPr>
          <w:p w14:paraId="34957B63">
            <w:pPr>
              <w:widowControl/>
              <w:jc w:val="center"/>
              <w:rPr>
                <w:rFonts w:ascii="宋体" w:hAnsi="宋体" w:cs="宋体"/>
                <w:color w:val="auto"/>
                <w:kern w:val="0"/>
              </w:rPr>
            </w:pPr>
          </w:p>
        </w:tc>
        <w:tc>
          <w:tcPr>
            <w:tcW w:w="234" w:type="pct"/>
            <w:vMerge w:val="continue"/>
            <w:shd w:val="clear" w:color="auto" w:fill="FFFFFF"/>
            <w:vAlign w:val="center"/>
          </w:tcPr>
          <w:p w14:paraId="4399947A">
            <w:pPr>
              <w:widowControl/>
              <w:jc w:val="center"/>
              <w:rPr>
                <w:rFonts w:ascii="宋体" w:hAnsi="宋体" w:cs="宋体"/>
                <w:color w:val="auto"/>
                <w:kern w:val="0"/>
              </w:rPr>
            </w:pPr>
          </w:p>
        </w:tc>
        <w:tc>
          <w:tcPr>
            <w:tcW w:w="455" w:type="pct"/>
            <w:vMerge w:val="continue"/>
            <w:shd w:val="clear" w:color="auto" w:fill="FFFFFF"/>
            <w:vAlign w:val="center"/>
          </w:tcPr>
          <w:p w14:paraId="19D66150">
            <w:pPr>
              <w:widowControl/>
              <w:jc w:val="center"/>
              <w:rPr>
                <w:rFonts w:ascii="宋体" w:hAnsi="宋体" w:cs="宋体"/>
                <w:color w:val="auto"/>
                <w:kern w:val="0"/>
              </w:rPr>
            </w:pPr>
          </w:p>
        </w:tc>
        <w:tc>
          <w:tcPr>
            <w:tcW w:w="344" w:type="pct"/>
            <w:vMerge w:val="continue"/>
            <w:shd w:val="clear" w:color="auto" w:fill="FFFFFF"/>
            <w:vAlign w:val="center"/>
          </w:tcPr>
          <w:p w14:paraId="117B8AF3">
            <w:pPr>
              <w:widowControl/>
              <w:jc w:val="center"/>
              <w:rPr>
                <w:rFonts w:ascii="宋体" w:hAnsi="宋体" w:cs="宋体"/>
                <w:color w:val="auto"/>
                <w:kern w:val="0"/>
              </w:rPr>
            </w:pPr>
          </w:p>
        </w:tc>
        <w:tc>
          <w:tcPr>
            <w:tcW w:w="400" w:type="pct"/>
            <w:vMerge w:val="continue"/>
            <w:shd w:val="clear" w:color="auto" w:fill="FFFFFF"/>
            <w:vAlign w:val="center"/>
          </w:tcPr>
          <w:p w14:paraId="6BD89AE2">
            <w:pPr>
              <w:widowControl/>
              <w:jc w:val="center"/>
              <w:rPr>
                <w:rFonts w:ascii="宋体" w:hAnsi="宋体" w:cs="宋体"/>
                <w:color w:val="auto"/>
                <w:kern w:val="0"/>
              </w:rPr>
            </w:pPr>
          </w:p>
        </w:tc>
        <w:tc>
          <w:tcPr>
            <w:tcW w:w="348" w:type="pct"/>
            <w:vMerge w:val="continue"/>
            <w:shd w:val="clear" w:color="auto" w:fill="FFFFFF"/>
            <w:vAlign w:val="center"/>
          </w:tcPr>
          <w:p w14:paraId="5E30A5D4">
            <w:pPr>
              <w:widowControl/>
              <w:jc w:val="center"/>
              <w:rPr>
                <w:rFonts w:ascii="宋体" w:hAnsi="宋体" w:cs="宋体"/>
                <w:color w:val="auto"/>
                <w:kern w:val="0"/>
              </w:rPr>
            </w:pPr>
          </w:p>
        </w:tc>
        <w:tc>
          <w:tcPr>
            <w:tcW w:w="451" w:type="pct"/>
            <w:vMerge w:val="continue"/>
            <w:vAlign w:val="center"/>
          </w:tcPr>
          <w:p w14:paraId="5B49D6D9">
            <w:pPr>
              <w:widowControl/>
              <w:jc w:val="center"/>
              <w:rPr>
                <w:rFonts w:ascii="宋体" w:hAnsi="宋体" w:cs="宋体"/>
                <w:color w:val="auto"/>
                <w:kern w:val="0"/>
              </w:rPr>
            </w:pPr>
          </w:p>
        </w:tc>
        <w:tc>
          <w:tcPr>
            <w:tcW w:w="730" w:type="pct"/>
            <w:vMerge w:val="continue"/>
            <w:vAlign w:val="center"/>
          </w:tcPr>
          <w:p w14:paraId="5FFF348F">
            <w:pPr>
              <w:widowControl/>
              <w:jc w:val="center"/>
              <w:rPr>
                <w:rFonts w:ascii="宋体" w:hAnsi="宋体" w:cs="宋体"/>
                <w:color w:val="auto"/>
                <w:kern w:val="0"/>
              </w:rPr>
            </w:pPr>
          </w:p>
        </w:tc>
      </w:tr>
      <w:tr w14:paraId="2A78B62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30301C94">
            <w:pPr>
              <w:pStyle w:val="76"/>
              <w:rPr>
                <w:rFonts w:hAnsi="宋体"/>
                <w:color w:val="auto"/>
              </w:rPr>
            </w:pPr>
          </w:p>
        </w:tc>
        <w:tc>
          <w:tcPr>
            <w:tcW w:w="730" w:type="pct"/>
            <w:shd w:val="clear" w:color="auto" w:fill="FFFFFF"/>
            <w:noWrap/>
            <w:vAlign w:val="center"/>
          </w:tcPr>
          <w:p w14:paraId="7E2AA51E">
            <w:pPr>
              <w:widowControl/>
              <w:jc w:val="center"/>
              <w:rPr>
                <w:rFonts w:ascii="宋体" w:hAnsi="宋体" w:cs="宋体"/>
                <w:color w:val="auto"/>
                <w:kern w:val="0"/>
              </w:rPr>
            </w:pPr>
            <w:r>
              <w:rPr>
                <w:rFonts w:hint="eastAsia" w:ascii="宋体" w:hAnsi="宋体" w:cs="宋体"/>
                <w:color w:val="auto"/>
                <w:kern w:val="0"/>
              </w:rPr>
              <w:t>FJF18-X23</w:t>
            </w:r>
          </w:p>
        </w:tc>
        <w:tc>
          <w:tcPr>
            <w:tcW w:w="785" w:type="pct"/>
            <w:shd w:val="clear" w:color="auto" w:fill="FFFFFF"/>
            <w:noWrap/>
            <w:vAlign w:val="center"/>
          </w:tcPr>
          <w:p w14:paraId="4BC9127C">
            <w:pPr>
              <w:widowControl/>
              <w:jc w:val="center"/>
              <w:rPr>
                <w:rFonts w:ascii="宋体" w:hAnsi="宋体" w:cs="宋体"/>
                <w:color w:val="auto"/>
                <w:kern w:val="0"/>
              </w:rPr>
            </w:pPr>
            <w:r>
              <w:rPr>
                <w:rFonts w:hint="eastAsia" w:ascii="宋体" w:hAnsi="宋体" w:cs="宋体"/>
                <w:color w:val="auto"/>
                <w:kern w:val="0"/>
              </w:rPr>
              <w:t>油井</w:t>
            </w:r>
          </w:p>
        </w:tc>
        <w:tc>
          <w:tcPr>
            <w:tcW w:w="289" w:type="pct"/>
            <w:vMerge w:val="continue"/>
            <w:vAlign w:val="center"/>
          </w:tcPr>
          <w:p w14:paraId="4AB68EB2">
            <w:pPr>
              <w:widowControl/>
              <w:jc w:val="center"/>
              <w:rPr>
                <w:rFonts w:ascii="宋体" w:hAnsi="宋体" w:cs="宋体"/>
                <w:color w:val="auto"/>
                <w:kern w:val="0"/>
              </w:rPr>
            </w:pPr>
          </w:p>
        </w:tc>
        <w:tc>
          <w:tcPr>
            <w:tcW w:w="234" w:type="pct"/>
            <w:vMerge w:val="continue"/>
            <w:shd w:val="clear" w:color="auto" w:fill="FFFFFF"/>
            <w:vAlign w:val="center"/>
          </w:tcPr>
          <w:p w14:paraId="565833F5">
            <w:pPr>
              <w:widowControl/>
              <w:jc w:val="center"/>
              <w:rPr>
                <w:rFonts w:ascii="宋体" w:hAnsi="宋体" w:cs="宋体"/>
                <w:b/>
                <w:color w:val="auto"/>
                <w:kern w:val="0"/>
              </w:rPr>
            </w:pPr>
          </w:p>
        </w:tc>
        <w:tc>
          <w:tcPr>
            <w:tcW w:w="455" w:type="pct"/>
            <w:vMerge w:val="continue"/>
            <w:shd w:val="clear" w:color="auto" w:fill="FFFFFF"/>
            <w:vAlign w:val="center"/>
          </w:tcPr>
          <w:p w14:paraId="0EF78027">
            <w:pPr>
              <w:widowControl/>
              <w:jc w:val="center"/>
              <w:rPr>
                <w:rFonts w:ascii="宋体" w:hAnsi="宋体" w:cs="宋体"/>
                <w:color w:val="auto"/>
                <w:kern w:val="0"/>
              </w:rPr>
            </w:pPr>
          </w:p>
        </w:tc>
        <w:tc>
          <w:tcPr>
            <w:tcW w:w="344" w:type="pct"/>
            <w:vMerge w:val="continue"/>
            <w:shd w:val="clear" w:color="auto" w:fill="FFFFFF"/>
            <w:vAlign w:val="center"/>
          </w:tcPr>
          <w:p w14:paraId="353C602E">
            <w:pPr>
              <w:widowControl/>
              <w:jc w:val="center"/>
              <w:rPr>
                <w:rFonts w:ascii="宋体" w:hAnsi="宋体" w:cs="宋体"/>
                <w:color w:val="auto"/>
                <w:kern w:val="0"/>
              </w:rPr>
            </w:pPr>
          </w:p>
        </w:tc>
        <w:tc>
          <w:tcPr>
            <w:tcW w:w="400" w:type="pct"/>
            <w:vMerge w:val="continue"/>
            <w:shd w:val="clear" w:color="auto" w:fill="FFFFFF"/>
            <w:vAlign w:val="center"/>
          </w:tcPr>
          <w:p w14:paraId="678768F2">
            <w:pPr>
              <w:widowControl/>
              <w:jc w:val="center"/>
              <w:rPr>
                <w:rFonts w:ascii="宋体" w:hAnsi="宋体" w:cs="宋体"/>
                <w:color w:val="auto"/>
                <w:kern w:val="0"/>
              </w:rPr>
            </w:pPr>
          </w:p>
        </w:tc>
        <w:tc>
          <w:tcPr>
            <w:tcW w:w="348" w:type="pct"/>
            <w:vMerge w:val="continue"/>
            <w:shd w:val="clear" w:color="auto" w:fill="FFFFFF"/>
            <w:vAlign w:val="center"/>
          </w:tcPr>
          <w:p w14:paraId="37F79662">
            <w:pPr>
              <w:widowControl/>
              <w:jc w:val="center"/>
              <w:rPr>
                <w:rFonts w:ascii="宋体" w:hAnsi="宋体" w:cs="宋体"/>
                <w:color w:val="auto"/>
                <w:kern w:val="0"/>
              </w:rPr>
            </w:pPr>
          </w:p>
        </w:tc>
        <w:tc>
          <w:tcPr>
            <w:tcW w:w="451" w:type="pct"/>
            <w:vMerge w:val="continue"/>
            <w:vAlign w:val="center"/>
          </w:tcPr>
          <w:p w14:paraId="2BA5B7B7">
            <w:pPr>
              <w:widowControl/>
              <w:jc w:val="center"/>
              <w:rPr>
                <w:rFonts w:ascii="宋体" w:hAnsi="宋体" w:cs="宋体"/>
                <w:color w:val="auto"/>
                <w:kern w:val="0"/>
              </w:rPr>
            </w:pPr>
          </w:p>
        </w:tc>
        <w:tc>
          <w:tcPr>
            <w:tcW w:w="730" w:type="pct"/>
            <w:vMerge w:val="continue"/>
            <w:vAlign w:val="center"/>
          </w:tcPr>
          <w:p w14:paraId="4EEDE530">
            <w:pPr>
              <w:widowControl/>
              <w:jc w:val="center"/>
              <w:rPr>
                <w:rFonts w:ascii="宋体" w:hAnsi="宋体" w:cs="宋体"/>
                <w:color w:val="auto"/>
                <w:kern w:val="0"/>
              </w:rPr>
            </w:pPr>
          </w:p>
        </w:tc>
      </w:tr>
      <w:tr w14:paraId="78D1CB8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51B954CA">
            <w:pPr>
              <w:pStyle w:val="76"/>
              <w:rPr>
                <w:rFonts w:hAnsi="宋体"/>
                <w:color w:val="auto"/>
              </w:rPr>
            </w:pPr>
          </w:p>
        </w:tc>
        <w:tc>
          <w:tcPr>
            <w:tcW w:w="730" w:type="pct"/>
            <w:shd w:val="clear" w:color="auto" w:fill="FFFFFF"/>
            <w:noWrap/>
            <w:vAlign w:val="center"/>
          </w:tcPr>
          <w:p w14:paraId="17033595">
            <w:pPr>
              <w:widowControl/>
              <w:jc w:val="center"/>
              <w:rPr>
                <w:rFonts w:ascii="宋体" w:hAnsi="宋体" w:cs="宋体"/>
                <w:color w:val="auto"/>
                <w:kern w:val="0"/>
              </w:rPr>
            </w:pPr>
            <w:r>
              <w:rPr>
                <w:rFonts w:hint="eastAsia" w:ascii="宋体" w:hAnsi="宋体" w:cs="宋体"/>
                <w:color w:val="auto"/>
                <w:kern w:val="0"/>
              </w:rPr>
              <w:t>FJF11-X123</w:t>
            </w:r>
          </w:p>
        </w:tc>
        <w:tc>
          <w:tcPr>
            <w:tcW w:w="785" w:type="pct"/>
            <w:shd w:val="clear" w:color="auto" w:fill="FFFFFF"/>
            <w:noWrap/>
            <w:vAlign w:val="center"/>
          </w:tcPr>
          <w:p w14:paraId="2CD562AA">
            <w:pPr>
              <w:widowControl/>
              <w:jc w:val="center"/>
              <w:rPr>
                <w:rFonts w:ascii="宋体" w:hAnsi="宋体" w:cs="宋体"/>
                <w:color w:val="auto"/>
                <w:kern w:val="0"/>
              </w:rPr>
            </w:pPr>
            <w:r>
              <w:rPr>
                <w:rFonts w:hint="eastAsia" w:ascii="宋体" w:hAnsi="宋体" w:cs="宋体"/>
                <w:color w:val="auto"/>
                <w:kern w:val="0"/>
              </w:rPr>
              <w:t>油井</w:t>
            </w:r>
          </w:p>
        </w:tc>
        <w:tc>
          <w:tcPr>
            <w:tcW w:w="289" w:type="pct"/>
            <w:vMerge w:val="restart"/>
            <w:vAlign w:val="center"/>
          </w:tcPr>
          <w:p w14:paraId="07EE2BCE">
            <w:pPr>
              <w:widowControl/>
              <w:jc w:val="center"/>
              <w:rPr>
                <w:rFonts w:ascii="宋体" w:hAnsi="宋体" w:cs="宋体"/>
                <w:color w:val="auto"/>
                <w:kern w:val="0"/>
              </w:rPr>
            </w:pPr>
            <w:r>
              <w:rPr>
                <w:rFonts w:hint="eastAsia" w:ascii="宋体" w:hAnsi="宋体" w:cs="宋体"/>
                <w:color w:val="auto"/>
                <w:kern w:val="0"/>
              </w:rPr>
              <w:t>6#</w:t>
            </w:r>
          </w:p>
        </w:tc>
        <w:tc>
          <w:tcPr>
            <w:tcW w:w="234" w:type="pct"/>
            <w:vMerge w:val="restart"/>
            <w:vAlign w:val="center"/>
          </w:tcPr>
          <w:p w14:paraId="29DBE84E">
            <w:pPr>
              <w:widowControl/>
              <w:jc w:val="center"/>
              <w:rPr>
                <w:rFonts w:ascii="宋体" w:hAnsi="宋体" w:cs="宋体"/>
                <w:color w:val="auto"/>
                <w:kern w:val="0"/>
              </w:rPr>
            </w:pPr>
            <w:r>
              <w:rPr>
                <w:rFonts w:hint="eastAsia" w:ascii="宋体" w:hAnsi="宋体" w:cs="宋体"/>
                <w:color w:val="auto"/>
                <w:kern w:val="0"/>
              </w:rPr>
              <w:t>拉油</w:t>
            </w:r>
          </w:p>
        </w:tc>
        <w:tc>
          <w:tcPr>
            <w:tcW w:w="455" w:type="pct"/>
            <w:vMerge w:val="restart"/>
            <w:vAlign w:val="center"/>
          </w:tcPr>
          <w:p w14:paraId="38DAB1E7">
            <w:pPr>
              <w:widowControl/>
              <w:jc w:val="center"/>
              <w:rPr>
                <w:rFonts w:ascii="宋体" w:hAnsi="宋体" w:cs="宋体"/>
                <w:color w:val="auto"/>
                <w:kern w:val="0"/>
              </w:rPr>
            </w:pPr>
            <w:bookmarkStart w:id="182" w:name="OLE_LINK181"/>
            <w:r>
              <w:rPr>
                <w:rFonts w:hint="eastAsia" w:ascii="宋体" w:hAnsi="宋体" w:cs="宋体"/>
                <w:color w:val="auto"/>
                <w:kern w:val="0"/>
              </w:rPr>
              <w:t>φ6</w:t>
            </w:r>
            <w:r>
              <w:rPr>
                <w:rFonts w:ascii="宋体" w:hAnsi="宋体" w:cs="宋体"/>
                <w:color w:val="auto"/>
                <w:kern w:val="0"/>
              </w:rPr>
              <w:t>0×4</w:t>
            </w:r>
            <w:bookmarkEnd w:id="182"/>
          </w:p>
        </w:tc>
        <w:tc>
          <w:tcPr>
            <w:tcW w:w="344" w:type="pct"/>
            <w:vMerge w:val="restart"/>
            <w:vAlign w:val="center"/>
          </w:tcPr>
          <w:p w14:paraId="718B5FD5">
            <w:pPr>
              <w:widowControl/>
              <w:jc w:val="center"/>
              <w:rPr>
                <w:rFonts w:ascii="宋体" w:hAnsi="宋体" w:cs="宋体"/>
                <w:color w:val="auto"/>
                <w:kern w:val="0"/>
              </w:rPr>
            </w:pPr>
            <w:r>
              <w:rPr>
                <w:rFonts w:hint="eastAsia" w:ascii="宋体" w:hAnsi="宋体" w:cs="宋体"/>
                <w:color w:val="auto"/>
                <w:kern w:val="0"/>
              </w:rPr>
              <w:t>2</w:t>
            </w:r>
            <w:r>
              <w:rPr>
                <w:rFonts w:ascii="宋体" w:hAnsi="宋体" w:cs="宋体"/>
                <w:color w:val="auto"/>
                <w:kern w:val="0"/>
              </w:rPr>
              <w:t>00</w:t>
            </w:r>
          </w:p>
        </w:tc>
        <w:tc>
          <w:tcPr>
            <w:tcW w:w="400" w:type="pct"/>
            <w:vMerge w:val="restart"/>
            <w:vAlign w:val="center"/>
          </w:tcPr>
          <w:p w14:paraId="1080A809">
            <w:pPr>
              <w:widowControl/>
              <w:jc w:val="center"/>
              <w:rPr>
                <w:rFonts w:ascii="宋体" w:hAnsi="宋体" w:cs="宋体"/>
                <w:color w:val="auto"/>
                <w:kern w:val="0"/>
              </w:rPr>
            </w:pPr>
            <w:r>
              <w:rPr>
                <w:rFonts w:hint="eastAsia" w:ascii="宋体" w:hAnsi="宋体" w:cs="宋体"/>
                <w:color w:val="auto"/>
                <w:kern w:val="0"/>
              </w:rPr>
              <w:t>/</w:t>
            </w:r>
          </w:p>
        </w:tc>
        <w:tc>
          <w:tcPr>
            <w:tcW w:w="348" w:type="pct"/>
            <w:vMerge w:val="restart"/>
            <w:vAlign w:val="center"/>
          </w:tcPr>
          <w:p w14:paraId="5C854D67">
            <w:pPr>
              <w:widowControl/>
              <w:jc w:val="center"/>
              <w:rPr>
                <w:rFonts w:ascii="宋体" w:hAnsi="宋体" w:cs="宋体"/>
                <w:color w:val="auto"/>
                <w:kern w:val="0"/>
              </w:rPr>
            </w:pPr>
            <w:r>
              <w:rPr>
                <w:rFonts w:hint="eastAsia" w:ascii="宋体" w:hAnsi="宋体" w:cs="宋体"/>
                <w:color w:val="auto"/>
                <w:kern w:val="0"/>
              </w:rPr>
              <w:t>高青联合站</w:t>
            </w:r>
          </w:p>
        </w:tc>
        <w:tc>
          <w:tcPr>
            <w:tcW w:w="451" w:type="pct"/>
            <w:vMerge w:val="restart"/>
            <w:vAlign w:val="center"/>
          </w:tcPr>
          <w:p w14:paraId="101313AD">
            <w:pPr>
              <w:widowControl/>
              <w:jc w:val="center"/>
              <w:rPr>
                <w:rFonts w:ascii="宋体" w:hAnsi="宋体" w:cs="宋体"/>
                <w:color w:val="auto"/>
                <w:kern w:val="0"/>
              </w:rPr>
            </w:pPr>
            <w:r>
              <w:rPr>
                <w:rFonts w:ascii="宋体" w:hAnsi="宋体" w:cs="宋体"/>
                <w:color w:val="auto"/>
                <w:kern w:val="0"/>
              </w:rPr>
              <w:t>150kW</w:t>
            </w:r>
            <w:r>
              <w:rPr>
                <w:rFonts w:hint="eastAsia" w:ascii="宋体" w:hAnsi="宋体" w:cs="宋体"/>
                <w:color w:val="auto"/>
                <w:kern w:val="0"/>
              </w:rPr>
              <w:t>加热炉1台+高架罐，新建</w:t>
            </w:r>
          </w:p>
        </w:tc>
        <w:tc>
          <w:tcPr>
            <w:tcW w:w="730" w:type="pct"/>
            <w:vMerge w:val="restart"/>
            <w:vAlign w:val="center"/>
          </w:tcPr>
          <w:p w14:paraId="0D7396B6">
            <w:pPr>
              <w:widowControl/>
              <w:jc w:val="center"/>
              <w:rPr>
                <w:rFonts w:ascii="宋体" w:hAnsi="宋体" w:cs="宋体"/>
                <w:color w:val="auto"/>
                <w:kern w:val="0"/>
              </w:rPr>
            </w:pPr>
            <w:r>
              <w:rPr>
                <w:rFonts w:hint="eastAsia" w:ascii="宋体" w:hAnsi="宋体" w:cs="宋体"/>
                <w:color w:val="auto"/>
                <w:kern w:val="0"/>
              </w:rPr>
              <w:t>一致</w:t>
            </w:r>
          </w:p>
        </w:tc>
      </w:tr>
      <w:tr w14:paraId="7436820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3F9CADC8">
            <w:pPr>
              <w:pStyle w:val="76"/>
              <w:rPr>
                <w:rFonts w:hAnsi="宋体"/>
                <w:color w:val="auto"/>
              </w:rPr>
            </w:pPr>
          </w:p>
        </w:tc>
        <w:tc>
          <w:tcPr>
            <w:tcW w:w="730" w:type="pct"/>
            <w:shd w:val="clear" w:color="auto" w:fill="FFFFFF"/>
            <w:noWrap/>
            <w:vAlign w:val="center"/>
          </w:tcPr>
          <w:p w14:paraId="32146B9B">
            <w:pPr>
              <w:widowControl/>
              <w:jc w:val="center"/>
              <w:rPr>
                <w:rFonts w:ascii="宋体" w:hAnsi="宋体" w:cs="宋体"/>
                <w:color w:val="auto"/>
                <w:kern w:val="0"/>
              </w:rPr>
            </w:pPr>
            <w:r>
              <w:rPr>
                <w:rFonts w:hint="eastAsia" w:ascii="宋体" w:hAnsi="宋体" w:cs="宋体"/>
                <w:color w:val="auto"/>
                <w:kern w:val="0"/>
              </w:rPr>
              <w:t>FJF11-X122</w:t>
            </w:r>
          </w:p>
        </w:tc>
        <w:tc>
          <w:tcPr>
            <w:tcW w:w="785" w:type="pct"/>
            <w:shd w:val="clear" w:color="auto" w:fill="FFFFFF"/>
            <w:noWrap/>
            <w:vAlign w:val="center"/>
          </w:tcPr>
          <w:p w14:paraId="74D45B67">
            <w:pPr>
              <w:widowControl/>
              <w:jc w:val="center"/>
              <w:rPr>
                <w:rFonts w:ascii="宋体" w:hAnsi="宋体" w:cs="宋体"/>
                <w:color w:val="auto"/>
                <w:kern w:val="0"/>
              </w:rPr>
            </w:pPr>
            <w:r>
              <w:rPr>
                <w:rFonts w:hint="eastAsia" w:ascii="宋体" w:hAnsi="宋体" w:cs="宋体"/>
                <w:color w:val="auto"/>
                <w:kern w:val="0"/>
              </w:rPr>
              <w:t>油井</w:t>
            </w:r>
          </w:p>
        </w:tc>
        <w:tc>
          <w:tcPr>
            <w:tcW w:w="289" w:type="pct"/>
            <w:vMerge w:val="continue"/>
            <w:vAlign w:val="center"/>
          </w:tcPr>
          <w:p w14:paraId="69B5A882">
            <w:pPr>
              <w:widowControl/>
              <w:jc w:val="center"/>
              <w:rPr>
                <w:rFonts w:ascii="宋体" w:hAnsi="宋体" w:cs="宋体"/>
                <w:color w:val="auto"/>
                <w:kern w:val="0"/>
              </w:rPr>
            </w:pPr>
          </w:p>
        </w:tc>
        <w:tc>
          <w:tcPr>
            <w:tcW w:w="234" w:type="pct"/>
            <w:vMerge w:val="continue"/>
            <w:vAlign w:val="center"/>
          </w:tcPr>
          <w:p w14:paraId="13BD6549">
            <w:pPr>
              <w:widowControl/>
              <w:jc w:val="center"/>
              <w:rPr>
                <w:rFonts w:ascii="宋体" w:hAnsi="宋体" w:cs="宋体"/>
                <w:color w:val="auto"/>
                <w:kern w:val="0"/>
              </w:rPr>
            </w:pPr>
          </w:p>
        </w:tc>
        <w:tc>
          <w:tcPr>
            <w:tcW w:w="455" w:type="pct"/>
            <w:vMerge w:val="continue"/>
            <w:vAlign w:val="center"/>
          </w:tcPr>
          <w:p w14:paraId="02687682">
            <w:pPr>
              <w:widowControl/>
              <w:jc w:val="center"/>
              <w:rPr>
                <w:rFonts w:ascii="宋体" w:hAnsi="宋体" w:cs="宋体"/>
                <w:color w:val="auto"/>
                <w:kern w:val="0"/>
              </w:rPr>
            </w:pPr>
          </w:p>
        </w:tc>
        <w:tc>
          <w:tcPr>
            <w:tcW w:w="344" w:type="pct"/>
            <w:vMerge w:val="continue"/>
            <w:vAlign w:val="center"/>
          </w:tcPr>
          <w:p w14:paraId="47D07E59">
            <w:pPr>
              <w:widowControl/>
              <w:jc w:val="center"/>
              <w:rPr>
                <w:rFonts w:ascii="宋体" w:hAnsi="宋体" w:cs="宋体"/>
                <w:color w:val="auto"/>
                <w:kern w:val="0"/>
              </w:rPr>
            </w:pPr>
          </w:p>
        </w:tc>
        <w:tc>
          <w:tcPr>
            <w:tcW w:w="400" w:type="pct"/>
            <w:vMerge w:val="continue"/>
            <w:vAlign w:val="center"/>
          </w:tcPr>
          <w:p w14:paraId="2D6DEE34">
            <w:pPr>
              <w:widowControl/>
              <w:jc w:val="center"/>
              <w:rPr>
                <w:rFonts w:ascii="宋体" w:hAnsi="宋体" w:cs="宋体"/>
                <w:color w:val="auto"/>
                <w:kern w:val="0"/>
              </w:rPr>
            </w:pPr>
          </w:p>
        </w:tc>
        <w:tc>
          <w:tcPr>
            <w:tcW w:w="348" w:type="pct"/>
            <w:vMerge w:val="continue"/>
            <w:vAlign w:val="center"/>
          </w:tcPr>
          <w:p w14:paraId="61336733">
            <w:pPr>
              <w:widowControl/>
              <w:jc w:val="center"/>
              <w:rPr>
                <w:rFonts w:ascii="宋体" w:hAnsi="宋体" w:cs="宋体"/>
                <w:color w:val="auto"/>
                <w:kern w:val="0"/>
              </w:rPr>
            </w:pPr>
          </w:p>
        </w:tc>
        <w:tc>
          <w:tcPr>
            <w:tcW w:w="451" w:type="pct"/>
            <w:vMerge w:val="continue"/>
            <w:vAlign w:val="center"/>
          </w:tcPr>
          <w:p w14:paraId="32E695D2">
            <w:pPr>
              <w:widowControl/>
              <w:jc w:val="center"/>
              <w:rPr>
                <w:rFonts w:ascii="宋体" w:hAnsi="宋体" w:cs="宋体"/>
                <w:color w:val="auto"/>
                <w:kern w:val="0"/>
              </w:rPr>
            </w:pPr>
          </w:p>
        </w:tc>
        <w:tc>
          <w:tcPr>
            <w:tcW w:w="730" w:type="pct"/>
            <w:vMerge w:val="continue"/>
            <w:vAlign w:val="center"/>
          </w:tcPr>
          <w:p w14:paraId="7DF75DC8">
            <w:pPr>
              <w:widowControl/>
              <w:jc w:val="center"/>
              <w:rPr>
                <w:rFonts w:ascii="宋体" w:hAnsi="宋体" w:cs="宋体"/>
                <w:color w:val="auto"/>
                <w:kern w:val="0"/>
              </w:rPr>
            </w:pPr>
          </w:p>
        </w:tc>
      </w:tr>
      <w:tr w14:paraId="1F136C8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779B2D73">
            <w:pPr>
              <w:pStyle w:val="76"/>
              <w:rPr>
                <w:rFonts w:hAnsi="宋体"/>
                <w:color w:val="auto"/>
              </w:rPr>
            </w:pPr>
          </w:p>
        </w:tc>
        <w:tc>
          <w:tcPr>
            <w:tcW w:w="730" w:type="pct"/>
            <w:shd w:val="clear" w:color="auto" w:fill="FFFFFF"/>
            <w:noWrap/>
            <w:vAlign w:val="center"/>
          </w:tcPr>
          <w:p w14:paraId="24F35552">
            <w:pPr>
              <w:widowControl/>
              <w:jc w:val="center"/>
              <w:rPr>
                <w:rFonts w:ascii="宋体" w:hAnsi="宋体" w:cs="宋体"/>
                <w:color w:val="auto"/>
                <w:kern w:val="0"/>
              </w:rPr>
            </w:pPr>
            <w:r>
              <w:rPr>
                <w:rFonts w:hint="eastAsia" w:ascii="宋体" w:hAnsi="宋体" w:cs="宋体"/>
                <w:color w:val="auto"/>
                <w:kern w:val="0"/>
              </w:rPr>
              <w:t>FJF11-X118</w:t>
            </w:r>
          </w:p>
        </w:tc>
        <w:tc>
          <w:tcPr>
            <w:tcW w:w="785" w:type="pct"/>
            <w:shd w:val="clear" w:color="auto" w:fill="FFFFFF"/>
            <w:noWrap/>
            <w:vAlign w:val="center"/>
          </w:tcPr>
          <w:p w14:paraId="151EFEFE">
            <w:pPr>
              <w:widowControl/>
              <w:jc w:val="center"/>
              <w:rPr>
                <w:rFonts w:ascii="宋体" w:hAnsi="宋体" w:cs="宋体"/>
                <w:color w:val="auto"/>
                <w:kern w:val="0"/>
              </w:rPr>
            </w:pPr>
            <w:r>
              <w:rPr>
                <w:rFonts w:hint="eastAsia" w:ascii="宋体" w:hAnsi="宋体" w:cs="宋体"/>
                <w:color w:val="auto"/>
                <w:kern w:val="0"/>
              </w:rPr>
              <w:t>油井</w:t>
            </w:r>
          </w:p>
        </w:tc>
        <w:tc>
          <w:tcPr>
            <w:tcW w:w="289" w:type="pct"/>
            <w:vMerge w:val="continue"/>
            <w:vAlign w:val="center"/>
          </w:tcPr>
          <w:p w14:paraId="6D65D053">
            <w:pPr>
              <w:widowControl/>
              <w:jc w:val="center"/>
              <w:rPr>
                <w:rFonts w:ascii="宋体" w:hAnsi="宋体" w:cs="宋体"/>
                <w:color w:val="auto"/>
                <w:kern w:val="0"/>
              </w:rPr>
            </w:pPr>
          </w:p>
        </w:tc>
        <w:tc>
          <w:tcPr>
            <w:tcW w:w="234" w:type="pct"/>
            <w:vMerge w:val="continue"/>
            <w:vAlign w:val="center"/>
          </w:tcPr>
          <w:p w14:paraId="0C7370C3">
            <w:pPr>
              <w:widowControl/>
              <w:jc w:val="center"/>
              <w:rPr>
                <w:rFonts w:ascii="宋体" w:hAnsi="宋体" w:cs="Arial"/>
                <w:color w:val="auto"/>
                <w:kern w:val="0"/>
                <w:szCs w:val="20"/>
              </w:rPr>
            </w:pPr>
          </w:p>
        </w:tc>
        <w:tc>
          <w:tcPr>
            <w:tcW w:w="455" w:type="pct"/>
            <w:vMerge w:val="continue"/>
            <w:vAlign w:val="center"/>
          </w:tcPr>
          <w:p w14:paraId="312CEB31">
            <w:pPr>
              <w:widowControl/>
              <w:jc w:val="center"/>
              <w:rPr>
                <w:rFonts w:ascii="宋体" w:hAnsi="宋体" w:cs="Arial"/>
                <w:color w:val="auto"/>
                <w:kern w:val="0"/>
                <w:szCs w:val="20"/>
              </w:rPr>
            </w:pPr>
          </w:p>
        </w:tc>
        <w:tc>
          <w:tcPr>
            <w:tcW w:w="344" w:type="pct"/>
            <w:vMerge w:val="continue"/>
            <w:vAlign w:val="center"/>
          </w:tcPr>
          <w:p w14:paraId="4A0F42A3">
            <w:pPr>
              <w:widowControl/>
              <w:jc w:val="center"/>
              <w:rPr>
                <w:rFonts w:ascii="宋体" w:hAnsi="宋体" w:cs="Arial"/>
                <w:color w:val="auto"/>
                <w:kern w:val="0"/>
                <w:szCs w:val="20"/>
              </w:rPr>
            </w:pPr>
          </w:p>
        </w:tc>
        <w:tc>
          <w:tcPr>
            <w:tcW w:w="400" w:type="pct"/>
            <w:vMerge w:val="continue"/>
            <w:vAlign w:val="center"/>
          </w:tcPr>
          <w:p w14:paraId="566AB5F5">
            <w:pPr>
              <w:widowControl/>
              <w:jc w:val="center"/>
              <w:rPr>
                <w:rFonts w:ascii="宋体" w:hAnsi="宋体" w:cs="Arial"/>
                <w:color w:val="auto"/>
                <w:kern w:val="0"/>
                <w:szCs w:val="20"/>
              </w:rPr>
            </w:pPr>
          </w:p>
        </w:tc>
        <w:tc>
          <w:tcPr>
            <w:tcW w:w="348" w:type="pct"/>
            <w:vMerge w:val="continue"/>
            <w:vAlign w:val="center"/>
          </w:tcPr>
          <w:p w14:paraId="4FB07C10">
            <w:pPr>
              <w:widowControl/>
              <w:jc w:val="center"/>
              <w:rPr>
                <w:rFonts w:ascii="宋体" w:hAnsi="宋体" w:cs="Arial"/>
                <w:color w:val="auto"/>
                <w:kern w:val="0"/>
                <w:szCs w:val="20"/>
              </w:rPr>
            </w:pPr>
          </w:p>
        </w:tc>
        <w:tc>
          <w:tcPr>
            <w:tcW w:w="451" w:type="pct"/>
            <w:vMerge w:val="continue"/>
            <w:vAlign w:val="center"/>
          </w:tcPr>
          <w:p w14:paraId="4FC323DE">
            <w:pPr>
              <w:widowControl/>
              <w:jc w:val="center"/>
              <w:rPr>
                <w:rFonts w:ascii="宋体" w:hAnsi="宋体" w:cs="Arial"/>
                <w:color w:val="auto"/>
                <w:kern w:val="0"/>
                <w:szCs w:val="20"/>
              </w:rPr>
            </w:pPr>
          </w:p>
        </w:tc>
        <w:tc>
          <w:tcPr>
            <w:tcW w:w="730" w:type="pct"/>
            <w:vMerge w:val="continue"/>
            <w:vAlign w:val="center"/>
          </w:tcPr>
          <w:p w14:paraId="31ECEAD2">
            <w:pPr>
              <w:widowControl/>
              <w:jc w:val="center"/>
              <w:rPr>
                <w:rFonts w:ascii="宋体" w:hAnsi="宋体" w:cs="Arial"/>
                <w:color w:val="auto"/>
                <w:kern w:val="0"/>
                <w:szCs w:val="20"/>
              </w:rPr>
            </w:pPr>
          </w:p>
        </w:tc>
      </w:tr>
      <w:tr w14:paraId="65BD0C6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07E6A47C">
            <w:pPr>
              <w:pStyle w:val="76"/>
              <w:rPr>
                <w:rFonts w:hAnsi="宋体"/>
                <w:color w:val="auto"/>
              </w:rPr>
            </w:pPr>
          </w:p>
        </w:tc>
        <w:tc>
          <w:tcPr>
            <w:tcW w:w="730" w:type="pct"/>
            <w:shd w:val="clear" w:color="auto" w:fill="FFFFFF"/>
            <w:noWrap/>
            <w:vAlign w:val="center"/>
          </w:tcPr>
          <w:p w14:paraId="1E25E483">
            <w:pPr>
              <w:widowControl/>
              <w:jc w:val="center"/>
              <w:rPr>
                <w:rFonts w:ascii="宋体" w:hAnsi="宋体" w:cs="宋体"/>
                <w:color w:val="auto"/>
                <w:kern w:val="0"/>
              </w:rPr>
            </w:pPr>
            <w:r>
              <w:rPr>
                <w:rFonts w:hint="eastAsia" w:ascii="宋体" w:hAnsi="宋体" w:cs="宋体"/>
                <w:color w:val="auto"/>
                <w:kern w:val="0"/>
              </w:rPr>
              <w:t>FJF11-X115</w:t>
            </w:r>
          </w:p>
        </w:tc>
        <w:tc>
          <w:tcPr>
            <w:tcW w:w="785" w:type="pct"/>
            <w:shd w:val="clear" w:color="auto" w:fill="FFFFFF"/>
            <w:noWrap/>
            <w:vAlign w:val="center"/>
          </w:tcPr>
          <w:p w14:paraId="4E689B56">
            <w:pPr>
              <w:widowControl/>
              <w:jc w:val="center"/>
              <w:rPr>
                <w:rFonts w:ascii="宋体" w:hAnsi="宋体" w:cs="宋体"/>
                <w:color w:val="auto"/>
                <w:kern w:val="0"/>
              </w:rPr>
            </w:pPr>
            <w:r>
              <w:rPr>
                <w:rFonts w:hint="eastAsia" w:ascii="宋体" w:hAnsi="宋体" w:cs="宋体"/>
                <w:color w:val="auto"/>
                <w:kern w:val="0"/>
              </w:rPr>
              <w:t>油井</w:t>
            </w:r>
          </w:p>
        </w:tc>
        <w:tc>
          <w:tcPr>
            <w:tcW w:w="289" w:type="pct"/>
            <w:vMerge w:val="continue"/>
            <w:vAlign w:val="center"/>
          </w:tcPr>
          <w:p w14:paraId="025F3216">
            <w:pPr>
              <w:widowControl/>
              <w:jc w:val="center"/>
              <w:rPr>
                <w:rFonts w:ascii="宋体" w:hAnsi="宋体" w:cs="宋体"/>
                <w:color w:val="auto"/>
                <w:kern w:val="0"/>
              </w:rPr>
            </w:pPr>
          </w:p>
        </w:tc>
        <w:tc>
          <w:tcPr>
            <w:tcW w:w="234" w:type="pct"/>
            <w:vMerge w:val="continue"/>
            <w:vAlign w:val="center"/>
          </w:tcPr>
          <w:p w14:paraId="2EB4F249">
            <w:pPr>
              <w:widowControl/>
              <w:jc w:val="center"/>
              <w:rPr>
                <w:rFonts w:ascii="宋体" w:hAnsi="宋体" w:cs="Arial"/>
                <w:color w:val="auto"/>
                <w:kern w:val="0"/>
                <w:szCs w:val="20"/>
              </w:rPr>
            </w:pPr>
          </w:p>
        </w:tc>
        <w:tc>
          <w:tcPr>
            <w:tcW w:w="455" w:type="pct"/>
            <w:vMerge w:val="continue"/>
            <w:vAlign w:val="center"/>
          </w:tcPr>
          <w:p w14:paraId="64E82530">
            <w:pPr>
              <w:widowControl/>
              <w:jc w:val="center"/>
              <w:rPr>
                <w:rFonts w:ascii="宋体" w:hAnsi="宋体" w:cs="Arial"/>
                <w:color w:val="auto"/>
                <w:kern w:val="0"/>
                <w:szCs w:val="20"/>
              </w:rPr>
            </w:pPr>
          </w:p>
        </w:tc>
        <w:tc>
          <w:tcPr>
            <w:tcW w:w="344" w:type="pct"/>
            <w:vMerge w:val="continue"/>
            <w:vAlign w:val="center"/>
          </w:tcPr>
          <w:p w14:paraId="1E54EC14">
            <w:pPr>
              <w:widowControl/>
              <w:jc w:val="center"/>
              <w:rPr>
                <w:rFonts w:ascii="宋体" w:hAnsi="宋体" w:cs="Arial"/>
                <w:color w:val="auto"/>
                <w:kern w:val="0"/>
                <w:szCs w:val="20"/>
              </w:rPr>
            </w:pPr>
          </w:p>
        </w:tc>
        <w:tc>
          <w:tcPr>
            <w:tcW w:w="400" w:type="pct"/>
            <w:vMerge w:val="continue"/>
            <w:vAlign w:val="center"/>
          </w:tcPr>
          <w:p w14:paraId="0AE447E0">
            <w:pPr>
              <w:widowControl/>
              <w:jc w:val="center"/>
              <w:rPr>
                <w:rFonts w:ascii="宋体" w:hAnsi="宋体" w:cs="Arial"/>
                <w:color w:val="auto"/>
                <w:kern w:val="0"/>
                <w:szCs w:val="20"/>
              </w:rPr>
            </w:pPr>
          </w:p>
        </w:tc>
        <w:tc>
          <w:tcPr>
            <w:tcW w:w="348" w:type="pct"/>
            <w:vMerge w:val="continue"/>
            <w:vAlign w:val="center"/>
          </w:tcPr>
          <w:p w14:paraId="097BE540">
            <w:pPr>
              <w:widowControl/>
              <w:jc w:val="center"/>
              <w:rPr>
                <w:rFonts w:ascii="宋体" w:hAnsi="宋体" w:cs="Arial"/>
                <w:color w:val="auto"/>
                <w:kern w:val="0"/>
                <w:szCs w:val="20"/>
              </w:rPr>
            </w:pPr>
          </w:p>
        </w:tc>
        <w:tc>
          <w:tcPr>
            <w:tcW w:w="451" w:type="pct"/>
            <w:vMerge w:val="continue"/>
            <w:vAlign w:val="center"/>
          </w:tcPr>
          <w:p w14:paraId="00443C98">
            <w:pPr>
              <w:widowControl/>
              <w:jc w:val="center"/>
              <w:rPr>
                <w:rFonts w:ascii="宋体" w:hAnsi="宋体" w:cs="Arial"/>
                <w:color w:val="auto"/>
                <w:kern w:val="0"/>
                <w:szCs w:val="20"/>
              </w:rPr>
            </w:pPr>
          </w:p>
        </w:tc>
        <w:tc>
          <w:tcPr>
            <w:tcW w:w="730" w:type="pct"/>
            <w:vMerge w:val="continue"/>
            <w:vAlign w:val="center"/>
          </w:tcPr>
          <w:p w14:paraId="05A41D0F">
            <w:pPr>
              <w:widowControl/>
              <w:jc w:val="center"/>
              <w:rPr>
                <w:rFonts w:ascii="宋体" w:hAnsi="宋体" w:cs="Arial"/>
                <w:color w:val="auto"/>
                <w:kern w:val="0"/>
                <w:szCs w:val="20"/>
              </w:rPr>
            </w:pPr>
          </w:p>
        </w:tc>
      </w:tr>
      <w:tr w14:paraId="0E01532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62292662">
            <w:pPr>
              <w:pStyle w:val="76"/>
              <w:rPr>
                <w:rFonts w:hAnsi="宋体"/>
                <w:color w:val="auto"/>
              </w:rPr>
            </w:pPr>
          </w:p>
        </w:tc>
        <w:tc>
          <w:tcPr>
            <w:tcW w:w="730" w:type="pct"/>
            <w:shd w:val="clear" w:color="auto" w:fill="FFFFFF"/>
            <w:noWrap/>
            <w:vAlign w:val="center"/>
          </w:tcPr>
          <w:p w14:paraId="7D014B44">
            <w:pPr>
              <w:widowControl/>
              <w:jc w:val="center"/>
              <w:rPr>
                <w:rFonts w:ascii="宋体" w:hAnsi="宋体" w:cs="宋体"/>
                <w:color w:val="auto"/>
                <w:kern w:val="0"/>
              </w:rPr>
            </w:pPr>
            <w:r>
              <w:rPr>
                <w:rFonts w:hint="eastAsia" w:ascii="宋体" w:hAnsi="宋体" w:cs="宋体"/>
                <w:color w:val="auto"/>
                <w:kern w:val="0"/>
              </w:rPr>
              <w:t>FJFY1-10HF</w:t>
            </w:r>
          </w:p>
        </w:tc>
        <w:tc>
          <w:tcPr>
            <w:tcW w:w="785" w:type="pct"/>
            <w:shd w:val="clear" w:color="auto" w:fill="FFFFFF"/>
            <w:noWrap/>
            <w:vAlign w:val="center"/>
          </w:tcPr>
          <w:p w14:paraId="274EBB07">
            <w:pPr>
              <w:widowControl/>
              <w:jc w:val="center"/>
              <w:rPr>
                <w:rFonts w:ascii="宋体" w:hAnsi="宋体" w:cs="宋体"/>
                <w:color w:val="auto"/>
                <w:kern w:val="0"/>
              </w:rPr>
            </w:pPr>
            <w:r>
              <w:rPr>
                <w:rFonts w:hint="eastAsia" w:ascii="宋体" w:hAnsi="宋体" w:cs="宋体"/>
                <w:color w:val="auto"/>
                <w:kern w:val="0"/>
              </w:rPr>
              <w:t>探井转开发井</w:t>
            </w:r>
          </w:p>
        </w:tc>
        <w:tc>
          <w:tcPr>
            <w:tcW w:w="289" w:type="pct"/>
            <w:vMerge w:val="restart"/>
            <w:vAlign w:val="center"/>
          </w:tcPr>
          <w:p w14:paraId="79E6726F">
            <w:pPr>
              <w:widowControl/>
              <w:jc w:val="center"/>
              <w:rPr>
                <w:rFonts w:ascii="宋体" w:hAnsi="宋体" w:cs="宋体"/>
                <w:color w:val="auto"/>
                <w:kern w:val="0"/>
              </w:rPr>
            </w:pPr>
            <w:r>
              <w:rPr>
                <w:rFonts w:hint="eastAsia" w:ascii="宋体" w:hAnsi="宋体" w:cs="宋体"/>
                <w:color w:val="auto"/>
                <w:kern w:val="0"/>
              </w:rPr>
              <w:t>7#</w:t>
            </w:r>
          </w:p>
        </w:tc>
        <w:tc>
          <w:tcPr>
            <w:tcW w:w="234" w:type="pct"/>
            <w:vMerge w:val="restart"/>
            <w:vAlign w:val="center"/>
          </w:tcPr>
          <w:p w14:paraId="2B23BB5B">
            <w:pPr>
              <w:widowControl/>
              <w:jc w:val="center"/>
              <w:rPr>
                <w:rFonts w:ascii="宋体" w:hAnsi="宋体" w:cs="宋体"/>
                <w:color w:val="auto"/>
                <w:kern w:val="0"/>
              </w:rPr>
            </w:pPr>
            <w:bookmarkStart w:id="183" w:name="OLE_LINK183"/>
            <w:bookmarkStart w:id="184" w:name="OLE_LINK182"/>
            <w:r>
              <w:rPr>
                <w:rFonts w:hint="eastAsia" w:ascii="宋体" w:hAnsi="宋体" w:cs="宋体"/>
                <w:color w:val="auto"/>
                <w:kern w:val="0"/>
              </w:rPr>
              <w:t>拉油</w:t>
            </w:r>
            <w:bookmarkEnd w:id="183"/>
            <w:bookmarkEnd w:id="184"/>
          </w:p>
        </w:tc>
        <w:tc>
          <w:tcPr>
            <w:tcW w:w="455" w:type="pct"/>
            <w:vMerge w:val="restart"/>
            <w:vAlign w:val="center"/>
          </w:tcPr>
          <w:p w14:paraId="79666797">
            <w:pPr>
              <w:widowControl/>
              <w:jc w:val="center"/>
              <w:rPr>
                <w:rFonts w:ascii="宋体" w:hAnsi="宋体" w:cs="宋体"/>
                <w:color w:val="auto"/>
                <w:kern w:val="0"/>
              </w:rPr>
            </w:pPr>
            <w:r>
              <w:rPr>
                <w:rFonts w:hint="eastAsia" w:ascii="宋体" w:hAnsi="宋体" w:cs="宋体"/>
                <w:color w:val="auto"/>
                <w:kern w:val="0"/>
              </w:rPr>
              <w:t>/</w:t>
            </w:r>
          </w:p>
        </w:tc>
        <w:tc>
          <w:tcPr>
            <w:tcW w:w="344" w:type="pct"/>
            <w:vMerge w:val="restart"/>
            <w:vAlign w:val="center"/>
          </w:tcPr>
          <w:p w14:paraId="5B90F874">
            <w:pPr>
              <w:widowControl/>
              <w:jc w:val="center"/>
              <w:rPr>
                <w:rFonts w:ascii="宋体" w:hAnsi="宋体" w:cs="宋体"/>
                <w:color w:val="auto"/>
                <w:kern w:val="0"/>
              </w:rPr>
            </w:pPr>
            <w:r>
              <w:rPr>
                <w:rFonts w:hint="eastAsia" w:ascii="宋体" w:hAnsi="宋体" w:cs="宋体"/>
                <w:color w:val="auto"/>
                <w:kern w:val="0"/>
              </w:rPr>
              <w:t>/</w:t>
            </w:r>
          </w:p>
        </w:tc>
        <w:tc>
          <w:tcPr>
            <w:tcW w:w="400" w:type="pct"/>
            <w:vMerge w:val="restart"/>
            <w:vAlign w:val="center"/>
          </w:tcPr>
          <w:p w14:paraId="4FC63B96">
            <w:pPr>
              <w:widowControl/>
              <w:jc w:val="center"/>
              <w:rPr>
                <w:rFonts w:ascii="宋体" w:hAnsi="宋体" w:cs="宋体"/>
                <w:color w:val="auto"/>
                <w:kern w:val="0"/>
              </w:rPr>
            </w:pPr>
            <w:r>
              <w:rPr>
                <w:rFonts w:hint="eastAsia" w:ascii="宋体" w:hAnsi="宋体" w:cs="宋体"/>
                <w:color w:val="auto"/>
                <w:kern w:val="0"/>
              </w:rPr>
              <w:t>/</w:t>
            </w:r>
          </w:p>
        </w:tc>
        <w:tc>
          <w:tcPr>
            <w:tcW w:w="348" w:type="pct"/>
            <w:vMerge w:val="restart"/>
            <w:vAlign w:val="center"/>
          </w:tcPr>
          <w:p w14:paraId="0B52A6EE">
            <w:pPr>
              <w:widowControl/>
              <w:jc w:val="center"/>
              <w:rPr>
                <w:rFonts w:ascii="宋体" w:hAnsi="宋体" w:cs="宋体"/>
                <w:color w:val="auto"/>
                <w:kern w:val="0"/>
              </w:rPr>
            </w:pPr>
            <w:r>
              <w:rPr>
                <w:rFonts w:hint="eastAsia" w:ascii="宋体" w:hAnsi="宋体" w:cs="宋体"/>
                <w:color w:val="auto"/>
                <w:kern w:val="0"/>
              </w:rPr>
              <w:t>高青联合站</w:t>
            </w:r>
          </w:p>
        </w:tc>
        <w:tc>
          <w:tcPr>
            <w:tcW w:w="451" w:type="pct"/>
            <w:vMerge w:val="restart"/>
            <w:vAlign w:val="center"/>
          </w:tcPr>
          <w:p w14:paraId="2BD079A7">
            <w:pPr>
              <w:widowControl/>
              <w:jc w:val="center"/>
              <w:rPr>
                <w:rFonts w:ascii="宋体" w:hAnsi="宋体" w:cs="宋体"/>
                <w:color w:val="auto"/>
                <w:kern w:val="0"/>
              </w:rPr>
            </w:pPr>
            <w:r>
              <w:rPr>
                <w:rFonts w:ascii="宋体" w:hAnsi="宋体" w:cs="宋体"/>
                <w:color w:val="auto"/>
                <w:kern w:val="0"/>
              </w:rPr>
              <w:t>多功能罐9</w:t>
            </w:r>
            <w:r>
              <w:rPr>
                <w:rFonts w:hint="eastAsia" w:ascii="宋体" w:hAnsi="宋体" w:cs="宋体"/>
                <w:color w:val="auto"/>
                <w:kern w:val="0"/>
              </w:rPr>
              <w:t>座</w:t>
            </w:r>
            <w:r>
              <w:rPr>
                <w:rFonts w:ascii="宋体" w:hAnsi="宋体" w:cs="宋体"/>
                <w:color w:val="auto"/>
                <w:kern w:val="0"/>
              </w:rPr>
              <w:t>，电加热</w:t>
            </w:r>
          </w:p>
        </w:tc>
        <w:tc>
          <w:tcPr>
            <w:tcW w:w="730" w:type="pct"/>
            <w:vMerge w:val="restart"/>
            <w:vAlign w:val="center"/>
          </w:tcPr>
          <w:p w14:paraId="16D82F65">
            <w:pPr>
              <w:widowControl/>
              <w:jc w:val="center"/>
              <w:rPr>
                <w:rFonts w:ascii="宋体" w:hAnsi="宋体" w:cs="宋体"/>
                <w:color w:val="auto"/>
                <w:kern w:val="0"/>
              </w:rPr>
            </w:pPr>
            <w:r>
              <w:rPr>
                <w:rFonts w:hint="eastAsia" w:ascii="宋体" w:hAnsi="宋体" w:cs="宋体"/>
                <w:color w:val="auto"/>
                <w:kern w:val="0"/>
              </w:rPr>
              <w:t>环评为管输至FJFY104HF，FJFY104HF井场拉油；实际两井场功能对调。</w:t>
            </w:r>
          </w:p>
        </w:tc>
      </w:tr>
      <w:tr w14:paraId="44538EB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066E2795">
            <w:pPr>
              <w:pStyle w:val="76"/>
              <w:rPr>
                <w:rFonts w:hAnsi="宋体"/>
                <w:color w:val="auto"/>
              </w:rPr>
            </w:pPr>
          </w:p>
        </w:tc>
        <w:tc>
          <w:tcPr>
            <w:tcW w:w="730" w:type="pct"/>
            <w:shd w:val="clear" w:color="auto" w:fill="FFFFFF"/>
            <w:noWrap/>
            <w:vAlign w:val="center"/>
          </w:tcPr>
          <w:p w14:paraId="0F875C81">
            <w:pPr>
              <w:widowControl/>
              <w:jc w:val="center"/>
              <w:rPr>
                <w:rFonts w:ascii="宋体" w:hAnsi="宋体" w:cs="宋体"/>
                <w:color w:val="auto"/>
                <w:kern w:val="0"/>
              </w:rPr>
            </w:pPr>
            <w:bookmarkStart w:id="185" w:name="OLE_LINK195"/>
            <w:bookmarkStart w:id="186" w:name="OLE_LINK194"/>
            <w:r>
              <w:rPr>
                <w:rFonts w:hint="eastAsia" w:ascii="宋体" w:hAnsi="宋体" w:cs="宋体"/>
                <w:color w:val="auto"/>
                <w:kern w:val="0"/>
              </w:rPr>
              <w:t>FJFJFY1-9HF</w:t>
            </w:r>
            <w:bookmarkEnd w:id="185"/>
            <w:bookmarkEnd w:id="186"/>
          </w:p>
        </w:tc>
        <w:tc>
          <w:tcPr>
            <w:tcW w:w="785" w:type="pct"/>
            <w:shd w:val="clear" w:color="auto" w:fill="FFFFFF"/>
            <w:noWrap/>
            <w:vAlign w:val="center"/>
          </w:tcPr>
          <w:p w14:paraId="4D920DC3">
            <w:pPr>
              <w:widowControl/>
              <w:jc w:val="center"/>
              <w:rPr>
                <w:rFonts w:ascii="宋体" w:hAnsi="宋体" w:cs="宋体"/>
                <w:color w:val="auto"/>
                <w:kern w:val="0"/>
              </w:rPr>
            </w:pPr>
            <w:r>
              <w:rPr>
                <w:rFonts w:hint="eastAsia" w:ascii="宋体" w:hAnsi="宋体" w:cs="宋体"/>
                <w:color w:val="auto"/>
                <w:kern w:val="0"/>
              </w:rPr>
              <w:t>探井转开发井</w:t>
            </w:r>
          </w:p>
        </w:tc>
        <w:tc>
          <w:tcPr>
            <w:tcW w:w="289" w:type="pct"/>
            <w:vMerge w:val="continue"/>
            <w:vAlign w:val="center"/>
          </w:tcPr>
          <w:p w14:paraId="28A7C040">
            <w:pPr>
              <w:widowControl/>
              <w:jc w:val="center"/>
              <w:rPr>
                <w:rFonts w:ascii="宋体" w:hAnsi="宋体" w:cs="宋体"/>
                <w:color w:val="auto"/>
                <w:kern w:val="0"/>
              </w:rPr>
            </w:pPr>
          </w:p>
        </w:tc>
        <w:tc>
          <w:tcPr>
            <w:tcW w:w="234" w:type="pct"/>
            <w:vMerge w:val="continue"/>
            <w:vAlign w:val="center"/>
          </w:tcPr>
          <w:p w14:paraId="2CDE413B">
            <w:pPr>
              <w:widowControl/>
              <w:jc w:val="center"/>
              <w:rPr>
                <w:rFonts w:ascii="宋体" w:hAnsi="宋体" w:cs="宋体"/>
                <w:color w:val="auto"/>
                <w:kern w:val="0"/>
              </w:rPr>
            </w:pPr>
          </w:p>
        </w:tc>
        <w:tc>
          <w:tcPr>
            <w:tcW w:w="455" w:type="pct"/>
            <w:vMerge w:val="continue"/>
            <w:vAlign w:val="center"/>
          </w:tcPr>
          <w:p w14:paraId="7B265D4B">
            <w:pPr>
              <w:widowControl/>
              <w:jc w:val="center"/>
              <w:rPr>
                <w:rFonts w:ascii="宋体" w:hAnsi="宋体" w:cs="宋体"/>
                <w:color w:val="auto"/>
                <w:kern w:val="0"/>
              </w:rPr>
            </w:pPr>
          </w:p>
        </w:tc>
        <w:tc>
          <w:tcPr>
            <w:tcW w:w="344" w:type="pct"/>
            <w:vMerge w:val="continue"/>
            <w:vAlign w:val="center"/>
          </w:tcPr>
          <w:p w14:paraId="46EFF657">
            <w:pPr>
              <w:widowControl/>
              <w:jc w:val="center"/>
              <w:rPr>
                <w:rFonts w:ascii="宋体" w:hAnsi="宋体" w:cs="宋体"/>
                <w:color w:val="auto"/>
                <w:kern w:val="0"/>
              </w:rPr>
            </w:pPr>
          </w:p>
        </w:tc>
        <w:tc>
          <w:tcPr>
            <w:tcW w:w="400" w:type="pct"/>
            <w:vMerge w:val="continue"/>
            <w:vAlign w:val="center"/>
          </w:tcPr>
          <w:p w14:paraId="35446599">
            <w:pPr>
              <w:widowControl/>
              <w:jc w:val="center"/>
              <w:rPr>
                <w:rFonts w:ascii="宋体" w:hAnsi="宋体" w:cs="宋体"/>
                <w:color w:val="auto"/>
                <w:kern w:val="0"/>
              </w:rPr>
            </w:pPr>
          </w:p>
        </w:tc>
        <w:tc>
          <w:tcPr>
            <w:tcW w:w="348" w:type="pct"/>
            <w:vMerge w:val="continue"/>
            <w:vAlign w:val="center"/>
          </w:tcPr>
          <w:p w14:paraId="4D513854">
            <w:pPr>
              <w:widowControl/>
              <w:jc w:val="center"/>
              <w:rPr>
                <w:rFonts w:ascii="宋体" w:hAnsi="宋体" w:cs="宋体"/>
                <w:color w:val="auto"/>
                <w:kern w:val="0"/>
              </w:rPr>
            </w:pPr>
          </w:p>
        </w:tc>
        <w:tc>
          <w:tcPr>
            <w:tcW w:w="451" w:type="pct"/>
            <w:vMerge w:val="continue"/>
            <w:vAlign w:val="center"/>
          </w:tcPr>
          <w:p w14:paraId="040F606B">
            <w:pPr>
              <w:widowControl/>
              <w:jc w:val="center"/>
              <w:rPr>
                <w:rFonts w:ascii="宋体" w:hAnsi="宋体" w:cs="宋体"/>
                <w:color w:val="auto"/>
                <w:kern w:val="0"/>
              </w:rPr>
            </w:pPr>
          </w:p>
        </w:tc>
        <w:tc>
          <w:tcPr>
            <w:tcW w:w="730" w:type="pct"/>
            <w:vMerge w:val="continue"/>
            <w:vAlign w:val="center"/>
          </w:tcPr>
          <w:p w14:paraId="5DE2560E">
            <w:pPr>
              <w:widowControl/>
              <w:jc w:val="center"/>
              <w:rPr>
                <w:rFonts w:ascii="宋体" w:hAnsi="宋体" w:cs="宋体"/>
                <w:color w:val="auto"/>
                <w:kern w:val="0"/>
              </w:rPr>
            </w:pPr>
          </w:p>
        </w:tc>
      </w:tr>
      <w:tr w14:paraId="34E167B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4476F010">
            <w:pPr>
              <w:pStyle w:val="76"/>
              <w:rPr>
                <w:rFonts w:hAnsi="宋体"/>
                <w:color w:val="auto"/>
              </w:rPr>
            </w:pPr>
          </w:p>
        </w:tc>
        <w:tc>
          <w:tcPr>
            <w:tcW w:w="730" w:type="pct"/>
            <w:shd w:val="clear" w:color="auto" w:fill="FFFFFF"/>
            <w:noWrap/>
            <w:vAlign w:val="center"/>
          </w:tcPr>
          <w:p w14:paraId="0D104496">
            <w:pPr>
              <w:widowControl/>
              <w:jc w:val="center"/>
              <w:rPr>
                <w:rFonts w:ascii="宋体" w:hAnsi="宋体" w:cs="宋体"/>
                <w:color w:val="auto"/>
                <w:kern w:val="0"/>
              </w:rPr>
            </w:pPr>
            <w:r>
              <w:rPr>
                <w:rFonts w:hint="eastAsia" w:ascii="宋体" w:hAnsi="宋体" w:cs="宋体"/>
                <w:color w:val="auto"/>
                <w:kern w:val="0"/>
              </w:rPr>
              <w:t>FJFY301HF</w:t>
            </w:r>
          </w:p>
        </w:tc>
        <w:tc>
          <w:tcPr>
            <w:tcW w:w="785" w:type="pct"/>
            <w:shd w:val="clear" w:color="auto" w:fill="FFFFFF"/>
            <w:noWrap/>
            <w:vAlign w:val="center"/>
          </w:tcPr>
          <w:p w14:paraId="0CBB14F8">
            <w:pPr>
              <w:widowControl/>
              <w:jc w:val="center"/>
              <w:rPr>
                <w:rFonts w:ascii="宋体" w:hAnsi="宋体" w:cs="宋体"/>
                <w:color w:val="auto"/>
                <w:kern w:val="0"/>
              </w:rPr>
            </w:pPr>
            <w:r>
              <w:rPr>
                <w:rFonts w:hint="eastAsia" w:ascii="宋体" w:hAnsi="宋体" w:cs="宋体"/>
                <w:color w:val="auto"/>
                <w:kern w:val="0"/>
              </w:rPr>
              <w:t>探井转开发井</w:t>
            </w:r>
          </w:p>
        </w:tc>
        <w:tc>
          <w:tcPr>
            <w:tcW w:w="289" w:type="pct"/>
            <w:vAlign w:val="center"/>
          </w:tcPr>
          <w:p w14:paraId="7269D6F6">
            <w:pPr>
              <w:widowControl/>
              <w:jc w:val="center"/>
              <w:rPr>
                <w:rFonts w:ascii="宋体" w:hAnsi="宋体" w:cs="宋体"/>
                <w:color w:val="auto"/>
                <w:kern w:val="0"/>
              </w:rPr>
            </w:pPr>
            <w:r>
              <w:rPr>
                <w:rFonts w:hint="eastAsia" w:ascii="宋体" w:hAnsi="宋体" w:cs="宋体"/>
                <w:color w:val="auto"/>
                <w:kern w:val="0"/>
              </w:rPr>
              <w:t>8#</w:t>
            </w:r>
          </w:p>
        </w:tc>
        <w:tc>
          <w:tcPr>
            <w:tcW w:w="234" w:type="pct"/>
            <w:vAlign w:val="center"/>
          </w:tcPr>
          <w:p w14:paraId="786031E4">
            <w:pPr>
              <w:widowControl/>
              <w:jc w:val="center"/>
              <w:rPr>
                <w:rFonts w:ascii="宋体" w:hAnsi="宋体" w:cs="宋体"/>
                <w:color w:val="auto"/>
                <w:kern w:val="0"/>
              </w:rPr>
            </w:pPr>
            <w:r>
              <w:rPr>
                <w:rFonts w:hint="eastAsia" w:ascii="宋体" w:hAnsi="宋体" w:cs="宋体"/>
                <w:color w:val="auto"/>
                <w:kern w:val="0"/>
              </w:rPr>
              <w:t>管输</w:t>
            </w:r>
          </w:p>
        </w:tc>
        <w:tc>
          <w:tcPr>
            <w:tcW w:w="455" w:type="pct"/>
            <w:vAlign w:val="center"/>
          </w:tcPr>
          <w:p w14:paraId="11D7684E">
            <w:pPr>
              <w:widowControl/>
              <w:jc w:val="center"/>
              <w:rPr>
                <w:rFonts w:ascii="宋体" w:hAnsi="宋体" w:cs="宋体"/>
                <w:color w:val="auto"/>
                <w:kern w:val="0"/>
              </w:rPr>
            </w:pPr>
            <w:r>
              <w:rPr>
                <w:rFonts w:hint="eastAsia" w:ascii="宋体" w:hAnsi="宋体" w:cs="宋体"/>
                <w:color w:val="auto"/>
                <w:kern w:val="0"/>
              </w:rPr>
              <w:t>φ</w:t>
            </w:r>
            <w:r>
              <w:rPr>
                <w:rFonts w:ascii="宋体" w:hAnsi="宋体" w:cs="宋体"/>
                <w:color w:val="auto"/>
                <w:kern w:val="0"/>
              </w:rPr>
              <w:t>114×5</w:t>
            </w:r>
          </w:p>
        </w:tc>
        <w:tc>
          <w:tcPr>
            <w:tcW w:w="344" w:type="pct"/>
            <w:vAlign w:val="center"/>
          </w:tcPr>
          <w:p w14:paraId="33D6F632">
            <w:pPr>
              <w:widowControl/>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50</w:t>
            </w:r>
          </w:p>
        </w:tc>
        <w:tc>
          <w:tcPr>
            <w:tcW w:w="400" w:type="pct"/>
            <w:vAlign w:val="center"/>
          </w:tcPr>
          <w:p w14:paraId="0F6AF752">
            <w:pPr>
              <w:widowControl/>
              <w:jc w:val="center"/>
              <w:rPr>
                <w:rFonts w:ascii="宋体" w:hAnsi="宋体" w:cs="宋体"/>
                <w:color w:val="auto"/>
                <w:kern w:val="0"/>
              </w:rPr>
            </w:pPr>
            <w:r>
              <w:rPr>
                <w:rFonts w:hint="eastAsia" w:ascii="宋体" w:hAnsi="宋体" w:cs="宋体"/>
                <w:color w:val="auto"/>
                <w:kern w:val="0"/>
              </w:rPr>
              <w:t>3</w:t>
            </w:r>
            <w:r>
              <w:rPr>
                <w:rFonts w:ascii="宋体" w:hAnsi="宋体" w:cs="宋体"/>
                <w:color w:val="auto"/>
                <w:kern w:val="0"/>
              </w:rPr>
              <w:t>#</w:t>
            </w:r>
            <w:r>
              <w:rPr>
                <w:rFonts w:hint="eastAsia" w:ascii="宋体" w:hAnsi="宋体" w:cs="宋体"/>
                <w:color w:val="auto"/>
                <w:kern w:val="0"/>
              </w:rPr>
              <w:t>计量站</w:t>
            </w:r>
          </w:p>
        </w:tc>
        <w:tc>
          <w:tcPr>
            <w:tcW w:w="348" w:type="pct"/>
            <w:vAlign w:val="center"/>
          </w:tcPr>
          <w:p w14:paraId="6F7BBD91">
            <w:pPr>
              <w:widowControl/>
              <w:jc w:val="center"/>
              <w:rPr>
                <w:rFonts w:ascii="宋体" w:hAnsi="宋体" w:cs="宋体"/>
                <w:color w:val="auto"/>
                <w:kern w:val="0"/>
              </w:rPr>
            </w:pPr>
            <w:r>
              <w:rPr>
                <w:rFonts w:hint="eastAsia" w:ascii="宋体" w:hAnsi="宋体" w:cs="宋体"/>
                <w:color w:val="auto"/>
                <w:kern w:val="0"/>
              </w:rPr>
              <w:t>高青联合站</w:t>
            </w:r>
          </w:p>
        </w:tc>
        <w:tc>
          <w:tcPr>
            <w:tcW w:w="451" w:type="pct"/>
            <w:vAlign w:val="center"/>
          </w:tcPr>
          <w:p w14:paraId="755E9C35">
            <w:pPr>
              <w:widowControl/>
              <w:jc w:val="center"/>
              <w:rPr>
                <w:rFonts w:ascii="宋体" w:hAnsi="宋体" w:cs="宋体"/>
                <w:color w:val="auto"/>
                <w:kern w:val="0"/>
              </w:rPr>
            </w:pPr>
            <w:r>
              <w:rPr>
                <w:rFonts w:ascii="宋体" w:hAnsi="宋体" w:cs="宋体"/>
                <w:color w:val="auto"/>
                <w:kern w:val="0"/>
              </w:rPr>
              <w:t>加热炉，燃气，100kW</w:t>
            </w:r>
            <w:r>
              <w:rPr>
                <w:rFonts w:hint="eastAsia" w:ascii="宋体" w:hAnsi="宋体" w:cs="宋体"/>
                <w:color w:val="auto"/>
                <w:kern w:val="0"/>
              </w:rPr>
              <w:t>，新建</w:t>
            </w:r>
          </w:p>
        </w:tc>
        <w:tc>
          <w:tcPr>
            <w:tcW w:w="730" w:type="pct"/>
            <w:vAlign w:val="center"/>
          </w:tcPr>
          <w:p w14:paraId="0A86E372">
            <w:pPr>
              <w:widowControl/>
              <w:jc w:val="center"/>
              <w:rPr>
                <w:rFonts w:ascii="宋体" w:hAnsi="宋体" w:cs="宋体"/>
                <w:color w:val="auto"/>
                <w:kern w:val="0"/>
              </w:rPr>
            </w:pPr>
            <w:r>
              <w:rPr>
                <w:rFonts w:hint="eastAsia" w:ascii="宋体" w:hAnsi="宋体" w:cs="宋体"/>
                <w:color w:val="auto"/>
                <w:kern w:val="0"/>
              </w:rPr>
              <w:t>一致</w:t>
            </w:r>
          </w:p>
        </w:tc>
      </w:tr>
      <w:tr w14:paraId="5AAF1B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2844B86F">
            <w:pPr>
              <w:pStyle w:val="76"/>
              <w:rPr>
                <w:rFonts w:hAnsi="宋体"/>
                <w:color w:val="auto"/>
              </w:rPr>
            </w:pPr>
          </w:p>
        </w:tc>
        <w:tc>
          <w:tcPr>
            <w:tcW w:w="730" w:type="pct"/>
            <w:shd w:val="clear" w:color="auto" w:fill="FFFFFF"/>
            <w:noWrap/>
            <w:vAlign w:val="center"/>
          </w:tcPr>
          <w:p w14:paraId="780B1E8A">
            <w:pPr>
              <w:widowControl/>
              <w:jc w:val="center"/>
              <w:rPr>
                <w:rFonts w:ascii="宋体" w:hAnsi="宋体" w:cs="宋体"/>
                <w:color w:val="auto"/>
                <w:kern w:val="0"/>
              </w:rPr>
            </w:pPr>
            <w:r>
              <w:rPr>
                <w:rFonts w:hint="eastAsia" w:ascii="宋体" w:hAnsi="宋体" w:cs="宋体"/>
                <w:color w:val="auto"/>
                <w:kern w:val="0"/>
              </w:rPr>
              <w:t>FJFY104-1HF</w:t>
            </w:r>
          </w:p>
        </w:tc>
        <w:tc>
          <w:tcPr>
            <w:tcW w:w="785" w:type="pct"/>
            <w:shd w:val="clear" w:color="auto" w:fill="FFFFFF"/>
            <w:noWrap/>
            <w:vAlign w:val="center"/>
          </w:tcPr>
          <w:p w14:paraId="6D00DBB7">
            <w:pPr>
              <w:widowControl/>
              <w:jc w:val="center"/>
              <w:rPr>
                <w:rFonts w:ascii="宋体" w:hAnsi="宋体" w:cs="宋体"/>
                <w:color w:val="auto"/>
                <w:kern w:val="0"/>
              </w:rPr>
            </w:pPr>
            <w:r>
              <w:rPr>
                <w:rFonts w:hint="eastAsia" w:ascii="宋体" w:hAnsi="宋体" w:cs="宋体"/>
                <w:color w:val="auto"/>
                <w:kern w:val="0"/>
              </w:rPr>
              <w:t>探井转开发井</w:t>
            </w:r>
          </w:p>
        </w:tc>
        <w:tc>
          <w:tcPr>
            <w:tcW w:w="289" w:type="pct"/>
            <w:vMerge w:val="restart"/>
            <w:vAlign w:val="center"/>
          </w:tcPr>
          <w:p w14:paraId="451F72AD">
            <w:pPr>
              <w:widowControl/>
              <w:jc w:val="center"/>
              <w:rPr>
                <w:rFonts w:ascii="宋体" w:hAnsi="宋体" w:cs="宋体"/>
                <w:color w:val="auto"/>
                <w:kern w:val="0"/>
              </w:rPr>
            </w:pPr>
            <w:r>
              <w:rPr>
                <w:rFonts w:hint="eastAsia" w:ascii="宋体" w:hAnsi="宋体" w:cs="宋体"/>
                <w:color w:val="auto"/>
                <w:kern w:val="0"/>
              </w:rPr>
              <w:t>9#</w:t>
            </w:r>
          </w:p>
        </w:tc>
        <w:tc>
          <w:tcPr>
            <w:tcW w:w="234" w:type="pct"/>
            <w:vMerge w:val="restart"/>
            <w:vAlign w:val="center"/>
          </w:tcPr>
          <w:p w14:paraId="3A0A57EB">
            <w:pPr>
              <w:widowControl/>
              <w:jc w:val="center"/>
              <w:rPr>
                <w:rFonts w:ascii="宋体" w:hAnsi="宋体" w:cs="宋体"/>
                <w:color w:val="auto"/>
                <w:kern w:val="0"/>
              </w:rPr>
            </w:pPr>
            <w:r>
              <w:rPr>
                <w:rFonts w:hint="eastAsia" w:ascii="宋体" w:hAnsi="宋体" w:cs="宋体"/>
                <w:color w:val="auto"/>
                <w:kern w:val="0"/>
              </w:rPr>
              <w:t>管输</w:t>
            </w:r>
          </w:p>
        </w:tc>
        <w:tc>
          <w:tcPr>
            <w:tcW w:w="455" w:type="pct"/>
            <w:vMerge w:val="restart"/>
            <w:vAlign w:val="center"/>
          </w:tcPr>
          <w:p w14:paraId="30E1A9EE">
            <w:pPr>
              <w:widowControl/>
              <w:jc w:val="center"/>
              <w:rPr>
                <w:rFonts w:ascii="宋体" w:hAnsi="宋体" w:cs="宋体"/>
                <w:color w:val="auto"/>
                <w:kern w:val="0"/>
              </w:rPr>
            </w:pPr>
            <w:bookmarkStart w:id="187" w:name="OLE_LINK184"/>
            <w:r>
              <w:rPr>
                <w:rFonts w:hint="eastAsia" w:ascii="宋体" w:hAnsi="宋体" w:cs="宋体"/>
                <w:color w:val="auto"/>
                <w:kern w:val="0"/>
              </w:rPr>
              <w:t>φ</w:t>
            </w:r>
            <w:r>
              <w:rPr>
                <w:rFonts w:ascii="宋体" w:hAnsi="宋体" w:cs="宋体"/>
                <w:color w:val="auto"/>
                <w:kern w:val="0"/>
              </w:rPr>
              <w:t>114×5</w:t>
            </w:r>
            <w:bookmarkEnd w:id="187"/>
          </w:p>
        </w:tc>
        <w:tc>
          <w:tcPr>
            <w:tcW w:w="344" w:type="pct"/>
            <w:vMerge w:val="restart"/>
            <w:vAlign w:val="center"/>
          </w:tcPr>
          <w:p w14:paraId="30603C32">
            <w:pPr>
              <w:widowControl/>
              <w:jc w:val="center"/>
              <w:rPr>
                <w:rFonts w:ascii="宋体" w:hAnsi="宋体" w:cs="宋体"/>
                <w:color w:val="auto"/>
                <w:kern w:val="0"/>
              </w:rPr>
            </w:pPr>
            <w:r>
              <w:rPr>
                <w:rFonts w:hint="eastAsia" w:ascii="宋体" w:hAnsi="宋体" w:cs="宋体"/>
                <w:color w:val="auto"/>
                <w:kern w:val="0"/>
              </w:rPr>
              <w:t>3</w:t>
            </w:r>
            <w:r>
              <w:rPr>
                <w:rFonts w:ascii="宋体" w:hAnsi="宋体" w:cs="宋体"/>
                <w:color w:val="auto"/>
                <w:kern w:val="0"/>
              </w:rPr>
              <w:t>340</w:t>
            </w:r>
          </w:p>
        </w:tc>
        <w:tc>
          <w:tcPr>
            <w:tcW w:w="400" w:type="pct"/>
            <w:vMerge w:val="restart"/>
            <w:vAlign w:val="center"/>
          </w:tcPr>
          <w:p w14:paraId="5595167F">
            <w:pPr>
              <w:widowControl/>
              <w:jc w:val="center"/>
              <w:rPr>
                <w:rFonts w:ascii="宋体" w:hAnsi="宋体" w:cs="宋体"/>
                <w:color w:val="auto"/>
                <w:kern w:val="0"/>
              </w:rPr>
            </w:pPr>
            <w:r>
              <w:rPr>
                <w:rFonts w:hint="eastAsia" w:ascii="宋体" w:hAnsi="宋体" w:cs="宋体"/>
                <w:color w:val="auto"/>
                <w:kern w:val="0"/>
              </w:rPr>
              <w:t>/</w:t>
            </w:r>
          </w:p>
        </w:tc>
        <w:tc>
          <w:tcPr>
            <w:tcW w:w="348" w:type="pct"/>
            <w:vMerge w:val="restart"/>
            <w:vAlign w:val="center"/>
          </w:tcPr>
          <w:p w14:paraId="2708660F">
            <w:pPr>
              <w:widowControl/>
              <w:jc w:val="center"/>
              <w:rPr>
                <w:rFonts w:ascii="宋体" w:hAnsi="宋体" w:cs="宋体"/>
                <w:color w:val="auto"/>
                <w:kern w:val="0"/>
              </w:rPr>
            </w:pPr>
            <w:r>
              <w:rPr>
                <w:rFonts w:hint="eastAsia" w:ascii="宋体" w:hAnsi="宋体" w:cs="宋体"/>
                <w:color w:val="auto"/>
                <w:kern w:val="0"/>
              </w:rPr>
              <w:t>管输至7</w:t>
            </w:r>
            <w:r>
              <w:rPr>
                <w:rFonts w:ascii="宋体" w:hAnsi="宋体" w:cs="宋体"/>
                <w:color w:val="auto"/>
                <w:kern w:val="0"/>
              </w:rPr>
              <w:t>#</w:t>
            </w:r>
            <w:r>
              <w:rPr>
                <w:rFonts w:hint="eastAsia" w:ascii="宋体" w:hAnsi="宋体" w:cs="宋体"/>
                <w:color w:val="auto"/>
                <w:kern w:val="0"/>
              </w:rPr>
              <w:t>井场</w:t>
            </w:r>
          </w:p>
        </w:tc>
        <w:tc>
          <w:tcPr>
            <w:tcW w:w="451" w:type="pct"/>
            <w:vMerge w:val="restart"/>
            <w:vAlign w:val="center"/>
          </w:tcPr>
          <w:p w14:paraId="609F08BE">
            <w:pPr>
              <w:widowControl/>
              <w:jc w:val="center"/>
              <w:rPr>
                <w:rFonts w:ascii="宋体" w:hAnsi="宋体" w:cs="宋体"/>
                <w:color w:val="auto"/>
                <w:kern w:val="0"/>
              </w:rPr>
            </w:pPr>
            <w:r>
              <w:rPr>
                <w:rFonts w:ascii="宋体" w:hAnsi="宋体" w:cs="宋体"/>
                <w:color w:val="auto"/>
                <w:kern w:val="0"/>
              </w:rPr>
              <w:t>加热炉，燃气，150kW</w:t>
            </w:r>
            <w:r>
              <w:rPr>
                <w:rFonts w:hint="eastAsia" w:ascii="宋体" w:hAnsi="宋体" w:cs="宋体"/>
                <w:color w:val="auto"/>
                <w:kern w:val="0"/>
              </w:rPr>
              <w:t>，新建</w:t>
            </w:r>
          </w:p>
        </w:tc>
        <w:tc>
          <w:tcPr>
            <w:tcW w:w="730" w:type="pct"/>
            <w:vMerge w:val="restart"/>
            <w:vAlign w:val="center"/>
          </w:tcPr>
          <w:p w14:paraId="41B8B93C">
            <w:pPr>
              <w:widowControl/>
              <w:jc w:val="center"/>
              <w:rPr>
                <w:rFonts w:ascii="宋体" w:hAnsi="宋体" w:cs="宋体"/>
                <w:color w:val="auto"/>
                <w:kern w:val="0"/>
              </w:rPr>
            </w:pPr>
            <w:r>
              <w:rPr>
                <w:rFonts w:hint="eastAsia" w:ascii="宋体" w:hAnsi="宋体" w:cs="宋体"/>
                <w:color w:val="auto"/>
                <w:kern w:val="0"/>
              </w:rPr>
              <w:t>环评为拉油至</w:t>
            </w:r>
            <w:bookmarkStart w:id="188" w:name="OLE_LINK185"/>
            <w:bookmarkStart w:id="189" w:name="OLE_LINK172"/>
            <w:r>
              <w:rPr>
                <w:rFonts w:hint="eastAsia" w:ascii="宋体" w:hAnsi="宋体" w:cs="宋体"/>
                <w:color w:val="auto"/>
                <w:kern w:val="0"/>
              </w:rPr>
              <w:t>FJFJFY1-9HF</w:t>
            </w:r>
            <w:bookmarkEnd w:id="188"/>
            <w:bookmarkEnd w:id="189"/>
            <w:r>
              <w:rPr>
                <w:rFonts w:hint="eastAsia" w:ascii="宋体" w:hAnsi="宋体" w:cs="宋体"/>
                <w:color w:val="auto"/>
                <w:kern w:val="0"/>
              </w:rPr>
              <w:t>井场，FJFJFY1-9HF管输，实际两井场功能对调</w:t>
            </w:r>
          </w:p>
        </w:tc>
      </w:tr>
      <w:tr w14:paraId="44A98CC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51063E99">
            <w:pPr>
              <w:pStyle w:val="76"/>
              <w:rPr>
                <w:rFonts w:hAnsi="宋体"/>
                <w:color w:val="auto"/>
              </w:rPr>
            </w:pPr>
          </w:p>
        </w:tc>
        <w:tc>
          <w:tcPr>
            <w:tcW w:w="730" w:type="pct"/>
            <w:shd w:val="clear" w:color="auto" w:fill="FFFFFF"/>
            <w:noWrap/>
            <w:vAlign w:val="center"/>
          </w:tcPr>
          <w:p w14:paraId="00346621">
            <w:pPr>
              <w:widowControl/>
              <w:jc w:val="center"/>
              <w:rPr>
                <w:rFonts w:ascii="宋体" w:hAnsi="宋体" w:cs="宋体"/>
                <w:color w:val="auto"/>
                <w:kern w:val="0"/>
              </w:rPr>
            </w:pPr>
            <w:bookmarkStart w:id="190" w:name="OLE_LINK197"/>
            <w:bookmarkStart w:id="191" w:name="OLE_LINK196"/>
            <w:r>
              <w:rPr>
                <w:rFonts w:hint="eastAsia" w:ascii="宋体" w:hAnsi="宋体" w:cs="宋体"/>
                <w:color w:val="auto"/>
                <w:kern w:val="0"/>
              </w:rPr>
              <w:t>FJFY104HF</w:t>
            </w:r>
            <w:bookmarkEnd w:id="190"/>
            <w:bookmarkEnd w:id="191"/>
          </w:p>
        </w:tc>
        <w:tc>
          <w:tcPr>
            <w:tcW w:w="785" w:type="pct"/>
            <w:shd w:val="clear" w:color="auto" w:fill="FFFFFF"/>
            <w:noWrap/>
            <w:vAlign w:val="center"/>
          </w:tcPr>
          <w:p w14:paraId="2F15DC68">
            <w:pPr>
              <w:widowControl/>
              <w:jc w:val="center"/>
              <w:rPr>
                <w:rFonts w:ascii="宋体" w:hAnsi="宋体" w:cs="宋体"/>
                <w:color w:val="auto"/>
                <w:kern w:val="0"/>
              </w:rPr>
            </w:pPr>
            <w:r>
              <w:rPr>
                <w:rFonts w:hint="eastAsia" w:ascii="宋体" w:hAnsi="宋体" w:cs="宋体"/>
                <w:color w:val="auto"/>
                <w:kern w:val="0"/>
              </w:rPr>
              <w:t>探井转开发井</w:t>
            </w:r>
          </w:p>
        </w:tc>
        <w:tc>
          <w:tcPr>
            <w:tcW w:w="289" w:type="pct"/>
            <w:vMerge w:val="continue"/>
            <w:vAlign w:val="center"/>
          </w:tcPr>
          <w:p w14:paraId="4AEEB97B">
            <w:pPr>
              <w:widowControl/>
              <w:jc w:val="center"/>
              <w:rPr>
                <w:rFonts w:ascii="宋体" w:hAnsi="宋体" w:cs="宋体"/>
                <w:color w:val="auto"/>
                <w:kern w:val="0"/>
              </w:rPr>
            </w:pPr>
          </w:p>
        </w:tc>
        <w:tc>
          <w:tcPr>
            <w:tcW w:w="234" w:type="pct"/>
            <w:vMerge w:val="continue"/>
            <w:vAlign w:val="center"/>
          </w:tcPr>
          <w:p w14:paraId="6DE9A539">
            <w:pPr>
              <w:widowControl/>
              <w:jc w:val="center"/>
              <w:rPr>
                <w:rFonts w:ascii="宋体" w:hAnsi="宋体" w:cs="宋体"/>
                <w:color w:val="auto"/>
                <w:kern w:val="0"/>
              </w:rPr>
            </w:pPr>
          </w:p>
        </w:tc>
        <w:tc>
          <w:tcPr>
            <w:tcW w:w="455" w:type="pct"/>
            <w:vMerge w:val="continue"/>
            <w:vAlign w:val="center"/>
          </w:tcPr>
          <w:p w14:paraId="0A6C64A1">
            <w:pPr>
              <w:widowControl/>
              <w:jc w:val="center"/>
              <w:rPr>
                <w:rFonts w:ascii="宋体" w:hAnsi="宋体" w:cs="宋体"/>
                <w:color w:val="auto"/>
                <w:kern w:val="0"/>
              </w:rPr>
            </w:pPr>
          </w:p>
        </w:tc>
        <w:tc>
          <w:tcPr>
            <w:tcW w:w="344" w:type="pct"/>
            <w:vMerge w:val="continue"/>
            <w:vAlign w:val="center"/>
          </w:tcPr>
          <w:p w14:paraId="6D063F0E">
            <w:pPr>
              <w:widowControl/>
              <w:jc w:val="center"/>
              <w:rPr>
                <w:rFonts w:ascii="宋体" w:hAnsi="宋体" w:cs="宋体"/>
                <w:color w:val="auto"/>
                <w:kern w:val="0"/>
              </w:rPr>
            </w:pPr>
          </w:p>
        </w:tc>
        <w:tc>
          <w:tcPr>
            <w:tcW w:w="400" w:type="pct"/>
            <w:vMerge w:val="continue"/>
            <w:vAlign w:val="center"/>
          </w:tcPr>
          <w:p w14:paraId="502A2123">
            <w:pPr>
              <w:widowControl/>
              <w:jc w:val="center"/>
              <w:rPr>
                <w:rFonts w:ascii="宋体" w:hAnsi="宋体" w:cs="宋体"/>
                <w:color w:val="auto"/>
                <w:kern w:val="0"/>
              </w:rPr>
            </w:pPr>
          </w:p>
        </w:tc>
        <w:tc>
          <w:tcPr>
            <w:tcW w:w="348" w:type="pct"/>
            <w:vMerge w:val="continue"/>
            <w:vAlign w:val="center"/>
          </w:tcPr>
          <w:p w14:paraId="6CCE3922">
            <w:pPr>
              <w:widowControl/>
              <w:jc w:val="center"/>
              <w:rPr>
                <w:rFonts w:ascii="宋体" w:hAnsi="宋体" w:cs="宋体"/>
                <w:color w:val="auto"/>
                <w:kern w:val="0"/>
              </w:rPr>
            </w:pPr>
          </w:p>
        </w:tc>
        <w:tc>
          <w:tcPr>
            <w:tcW w:w="451" w:type="pct"/>
            <w:vMerge w:val="continue"/>
            <w:vAlign w:val="center"/>
          </w:tcPr>
          <w:p w14:paraId="11EA7938">
            <w:pPr>
              <w:widowControl/>
              <w:jc w:val="center"/>
              <w:rPr>
                <w:rFonts w:ascii="宋体" w:hAnsi="宋体" w:cs="宋体"/>
                <w:color w:val="auto"/>
                <w:kern w:val="0"/>
              </w:rPr>
            </w:pPr>
          </w:p>
        </w:tc>
        <w:tc>
          <w:tcPr>
            <w:tcW w:w="730" w:type="pct"/>
            <w:vMerge w:val="continue"/>
            <w:vAlign w:val="center"/>
          </w:tcPr>
          <w:p w14:paraId="5A5FCC7B">
            <w:pPr>
              <w:widowControl/>
              <w:jc w:val="center"/>
              <w:rPr>
                <w:rFonts w:ascii="宋体" w:hAnsi="宋体" w:cs="宋体"/>
                <w:color w:val="auto"/>
                <w:kern w:val="0"/>
              </w:rPr>
            </w:pPr>
          </w:p>
        </w:tc>
      </w:tr>
      <w:tr w14:paraId="5B7832F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1B7A983F">
            <w:pPr>
              <w:pStyle w:val="76"/>
              <w:rPr>
                <w:rFonts w:hAnsi="宋体"/>
                <w:color w:val="auto"/>
              </w:rPr>
            </w:pPr>
            <w:bookmarkStart w:id="192" w:name="_Hlk225348687"/>
          </w:p>
        </w:tc>
        <w:tc>
          <w:tcPr>
            <w:tcW w:w="730" w:type="pct"/>
            <w:shd w:val="clear" w:color="auto" w:fill="FFFFFF"/>
            <w:noWrap/>
            <w:vAlign w:val="center"/>
          </w:tcPr>
          <w:p w14:paraId="0DB381CD">
            <w:pPr>
              <w:widowControl/>
              <w:jc w:val="center"/>
              <w:rPr>
                <w:rFonts w:ascii="宋体" w:hAnsi="宋体" w:cs="宋体"/>
                <w:color w:val="auto"/>
                <w:kern w:val="0"/>
              </w:rPr>
            </w:pPr>
            <w:bookmarkStart w:id="193" w:name="OLE_LINK198"/>
            <w:bookmarkStart w:id="194" w:name="OLE_LINK199"/>
            <w:r>
              <w:rPr>
                <w:rFonts w:hint="eastAsia" w:ascii="宋体" w:hAnsi="宋体" w:cs="宋体"/>
                <w:color w:val="auto"/>
                <w:kern w:val="0"/>
              </w:rPr>
              <w:t>FJF121-X97</w:t>
            </w:r>
            <w:bookmarkEnd w:id="193"/>
            <w:bookmarkEnd w:id="194"/>
          </w:p>
        </w:tc>
        <w:tc>
          <w:tcPr>
            <w:tcW w:w="785" w:type="pct"/>
            <w:shd w:val="clear" w:color="auto" w:fill="FFFFFF"/>
            <w:noWrap/>
            <w:vAlign w:val="center"/>
          </w:tcPr>
          <w:p w14:paraId="5B976455">
            <w:pPr>
              <w:widowControl/>
              <w:jc w:val="center"/>
              <w:rPr>
                <w:rFonts w:ascii="宋体" w:hAnsi="宋体" w:cs="宋体"/>
                <w:color w:val="auto"/>
                <w:kern w:val="0"/>
              </w:rPr>
            </w:pPr>
            <w:r>
              <w:rPr>
                <w:rFonts w:hint="eastAsia" w:ascii="宋体" w:hAnsi="宋体" w:cs="宋体"/>
                <w:color w:val="auto"/>
                <w:kern w:val="0"/>
              </w:rPr>
              <w:t>油井</w:t>
            </w:r>
          </w:p>
        </w:tc>
        <w:tc>
          <w:tcPr>
            <w:tcW w:w="289" w:type="pct"/>
            <w:vAlign w:val="center"/>
          </w:tcPr>
          <w:p w14:paraId="20F68E5D">
            <w:pPr>
              <w:widowControl/>
              <w:jc w:val="center"/>
              <w:rPr>
                <w:rFonts w:ascii="宋体" w:hAnsi="宋体" w:cs="宋体"/>
                <w:color w:val="auto"/>
                <w:kern w:val="0"/>
              </w:rPr>
            </w:pPr>
            <w:r>
              <w:rPr>
                <w:rFonts w:hint="eastAsia" w:ascii="宋体" w:hAnsi="宋体" w:cs="宋体"/>
                <w:color w:val="auto"/>
                <w:kern w:val="0"/>
              </w:rPr>
              <w:t>10#</w:t>
            </w:r>
          </w:p>
        </w:tc>
        <w:tc>
          <w:tcPr>
            <w:tcW w:w="234" w:type="pct"/>
            <w:vAlign w:val="center"/>
          </w:tcPr>
          <w:p w14:paraId="04CD87C6">
            <w:pPr>
              <w:widowControl/>
              <w:jc w:val="center"/>
              <w:rPr>
                <w:rFonts w:ascii="宋体" w:hAnsi="宋体" w:cs="宋体"/>
                <w:color w:val="auto"/>
                <w:kern w:val="0"/>
              </w:rPr>
            </w:pPr>
            <w:r>
              <w:rPr>
                <w:rFonts w:hint="eastAsia" w:ascii="宋体" w:hAnsi="宋体" w:cs="宋体"/>
                <w:color w:val="auto"/>
                <w:kern w:val="0"/>
              </w:rPr>
              <w:t>管输</w:t>
            </w:r>
          </w:p>
        </w:tc>
        <w:tc>
          <w:tcPr>
            <w:tcW w:w="455" w:type="pct"/>
            <w:vAlign w:val="center"/>
          </w:tcPr>
          <w:p w14:paraId="3FE2C9F8">
            <w:pPr>
              <w:widowControl/>
              <w:jc w:val="center"/>
              <w:rPr>
                <w:rFonts w:ascii="宋体" w:hAnsi="宋体" w:cs="宋体"/>
                <w:color w:val="auto"/>
                <w:kern w:val="0"/>
              </w:rPr>
            </w:pPr>
            <w:r>
              <w:rPr>
                <w:rFonts w:hint="eastAsia" w:ascii="宋体" w:hAnsi="宋体" w:cs="宋体"/>
                <w:color w:val="auto"/>
                <w:kern w:val="0"/>
              </w:rPr>
              <w:t>φ6</w:t>
            </w:r>
            <w:r>
              <w:rPr>
                <w:rFonts w:ascii="宋体" w:hAnsi="宋体" w:cs="宋体"/>
                <w:color w:val="auto"/>
                <w:kern w:val="0"/>
              </w:rPr>
              <w:t>0×4</w:t>
            </w:r>
          </w:p>
        </w:tc>
        <w:tc>
          <w:tcPr>
            <w:tcW w:w="344" w:type="pct"/>
            <w:vAlign w:val="center"/>
          </w:tcPr>
          <w:p w14:paraId="731669A0">
            <w:pPr>
              <w:widowControl/>
              <w:jc w:val="center"/>
              <w:rPr>
                <w:rFonts w:ascii="宋体" w:hAnsi="宋体" w:cs="宋体"/>
                <w:color w:val="auto"/>
                <w:kern w:val="0"/>
              </w:rPr>
            </w:pPr>
            <w:r>
              <w:rPr>
                <w:rFonts w:hint="eastAsia" w:ascii="宋体" w:hAnsi="宋体" w:cs="宋体"/>
                <w:color w:val="auto"/>
                <w:kern w:val="0"/>
              </w:rPr>
              <w:t>5</w:t>
            </w:r>
            <w:r>
              <w:rPr>
                <w:rFonts w:ascii="宋体" w:hAnsi="宋体" w:cs="宋体"/>
                <w:color w:val="auto"/>
                <w:kern w:val="0"/>
              </w:rPr>
              <w:t>0</w:t>
            </w:r>
          </w:p>
        </w:tc>
        <w:tc>
          <w:tcPr>
            <w:tcW w:w="400" w:type="pct"/>
            <w:vAlign w:val="center"/>
          </w:tcPr>
          <w:p w14:paraId="1E7B270F">
            <w:pPr>
              <w:widowControl/>
              <w:jc w:val="center"/>
              <w:rPr>
                <w:rFonts w:ascii="宋体" w:hAnsi="宋体" w:cs="宋体"/>
                <w:color w:val="auto"/>
                <w:kern w:val="0"/>
              </w:rPr>
            </w:pPr>
            <w:r>
              <w:rPr>
                <w:rFonts w:hint="eastAsia" w:ascii="宋体" w:hAnsi="宋体" w:cs="宋体"/>
                <w:color w:val="auto"/>
                <w:kern w:val="0"/>
              </w:rPr>
              <w:t>/</w:t>
            </w:r>
          </w:p>
        </w:tc>
        <w:tc>
          <w:tcPr>
            <w:tcW w:w="348" w:type="pct"/>
            <w:vAlign w:val="center"/>
          </w:tcPr>
          <w:p w14:paraId="2CCA9362">
            <w:pPr>
              <w:widowControl/>
              <w:jc w:val="center"/>
              <w:rPr>
                <w:rFonts w:ascii="宋体" w:hAnsi="宋体" w:cs="宋体"/>
                <w:color w:val="auto"/>
                <w:kern w:val="0"/>
              </w:rPr>
            </w:pPr>
            <w:bookmarkStart w:id="195" w:name="OLE_LINK188"/>
            <w:bookmarkStart w:id="196" w:name="OLE_LINK187"/>
            <w:r>
              <w:rPr>
                <w:rFonts w:hint="eastAsia" w:ascii="宋体" w:hAnsi="宋体" w:cs="宋体"/>
                <w:color w:val="auto"/>
                <w:kern w:val="0"/>
              </w:rPr>
              <w:t>高青联合站</w:t>
            </w:r>
            <w:bookmarkEnd w:id="195"/>
            <w:bookmarkEnd w:id="196"/>
          </w:p>
        </w:tc>
        <w:tc>
          <w:tcPr>
            <w:tcW w:w="451" w:type="pct"/>
            <w:vAlign w:val="center"/>
          </w:tcPr>
          <w:p w14:paraId="3EBCF7CF">
            <w:pPr>
              <w:widowControl/>
              <w:jc w:val="center"/>
              <w:rPr>
                <w:rFonts w:ascii="宋体" w:hAnsi="宋体" w:cs="宋体"/>
                <w:color w:val="auto"/>
                <w:kern w:val="0"/>
              </w:rPr>
            </w:pPr>
            <w:r>
              <w:rPr>
                <w:rFonts w:ascii="宋体" w:hAnsi="宋体" w:cs="宋体"/>
                <w:color w:val="auto"/>
                <w:kern w:val="0"/>
              </w:rPr>
              <w:t>加热炉，燃气，</w:t>
            </w:r>
            <w:r>
              <w:rPr>
                <w:rFonts w:hint="eastAsia" w:ascii="宋体" w:hAnsi="宋体" w:cs="宋体"/>
                <w:color w:val="auto"/>
                <w:kern w:val="0"/>
              </w:rPr>
              <w:t>200</w:t>
            </w:r>
            <w:r>
              <w:rPr>
                <w:rFonts w:ascii="宋体" w:hAnsi="宋体" w:cs="宋体"/>
                <w:color w:val="auto"/>
                <w:kern w:val="0"/>
              </w:rPr>
              <w:t>kW</w:t>
            </w:r>
            <w:r>
              <w:rPr>
                <w:rFonts w:hint="eastAsia" w:ascii="宋体" w:hAnsi="宋体" w:cs="宋体"/>
                <w:color w:val="auto"/>
                <w:kern w:val="0"/>
              </w:rPr>
              <w:t>，依托</w:t>
            </w:r>
          </w:p>
        </w:tc>
        <w:tc>
          <w:tcPr>
            <w:tcW w:w="730" w:type="pct"/>
            <w:vAlign w:val="center"/>
          </w:tcPr>
          <w:p w14:paraId="5502336E">
            <w:pPr>
              <w:widowControl/>
              <w:jc w:val="center"/>
              <w:rPr>
                <w:rFonts w:ascii="宋体" w:hAnsi="宋体" w:cs="宋体"/>
                <w:color w:val="auto"/>
                <w:kern w:val="0"/>
              </w:rPr>
            </w:pPr>
            <w:r>
              <w:rPr>
                <w:rFonts w:hint="eastAsia" w:ascii="宋体" w:hAnsi="宋体" w:cs="宋体"/>
                <w:color w:val="auto"/>
                <w:kern w:val="0"/>
              </w:rPr>
              <w:t>环评为水井，实际为油井，管输。</w:t>
            </w:r>
          </w:p>
        </w:tc>
      </w:tr>
      <w:bookmarkEnd w:id="192"/>
      <w:tr w14:paraId="57AF90D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302B2507">
            <w:pPr>
              <w:pStyle w:val="76"/>
              <w:rPr>
                <w:rFonts w:hAnsi="宋体"/>
                <w:color w:val="auto"/>
              </w:rPr>
            </w:pPr>
          </w:p>
        </w:tc>
        <w:tc>
          <w:tcPr>
            <w:tcW w:w="730" w:type="pct"/>
            <w:shd w:val="clear" w:color="auto" w:fill="FFFFFF"/>
            <w:noWrap/>
            <w:vAlign w:val="center"/>
          </w:tcPr>
          <w:p w14:paraId="0CD750B1">
            <w:pPr>
              <w:widowControl/>
              <w:jc w:val="center"/>
              <w:rPr>
                <w:rFonts w:ascii="宋体" w:hAnsi="宋体" w:cs="宋体"/>
                <w:color w:val="auto"/>
                <w:kern w:val="0"/>
              </w:rPr>
            </w:pPr>
            <w:r>
              <w:rPr>
                <w:rFonts w:hint="eastAsia" w:ascii="宋体" w:hAnsi="宋体" w:cs="宋体"/>
                <w:color w:val="auto"/>
                <w:kern w:val="0"/>
              </w:rPr>
              <w:t>FJFY3HF</w:t>
            </w:r>
          </w:p>
        </w:tc>
        <w:tc>
          <w:tcPr>
            <w:tcW w:w="785" w:type="pct"/>
            <w:shd w:val="clear" w:color="auto" w:fill="FFFFFF"/>
            <w:noWrap/>
            <w:vAlign w:val="center"/>
          </w:tcPr>
          <w:p w14:paraId="526341EE">
            <w:pPr>
              <w:widowControl/>
              <w:jc w:val="center"/>
              <w:rPr>
                <w:rFonts w:ascii="宋体" w:hAnsi="宋体" w:cs="宋体"/>
                <w:color w:val="auto"/>
                <w:kern w:val="0"/>
              </w:rPr>
            </w:pPr>
            <w:r>
              <w:rPr>
                <w:rFonts w:hint="eastAsia" w:ascii="宋体" w:hAnsi="宋体" w:cs="宋体"/>
                <w:color w:val="auto"/>
                <w:kern w:val="0"/>
              </w:rPr>
              <w:t>探井转开发井</w:t>
            </w:r>
          </w:p>
        </w:tc>
        <w:tc>
          <w:tcPr>
            <w:tcW w:w="289" w:type="pct"/>
            <w:vAlign w:val="center"/>
          </w:tcPr>
          <w:p w14:paraId="06B092E8">
            <w:pPr>
              <w:widowControl/>
              <w:jc w:val="center"/>
              <w:rPr>
                <w:rFonts w:ascii="宋体" w:hAnsi="宋体" w:cs="宋体"/>
                <w:color w:val="auto"/>
                <w:kern w:val="0"/>
              </w:rPr>
            </w:pPr>
            <w:r>
              <w:rPr>
                <w:rFonts w:hint="eastAsia" w:ascii="宋体" w:hAnsi="宋体" w:cs="宋体"/>
                <w:color w:val="auto"/>
                <w:kern w:val="0"/>
              </w:rPr>
              <w:t>11#</w:t>
            </w:r>
          </w:p>
        </w:tc>
        <w:tc>
          <w:tcPr>
            <w:tcW w:w="234" w:type="pct"/>
            <w:vAlign w:val="center"/>
          </w:tcPr>
          <w:p w14:paraId="385E4303">
            <w:pPr>
              <w:widowControl/>
              <w:jc w:val="center"/>
              <w:rPr>
                <w:rFonts w:ascii="宋体" w:hAnsi="宋体" w:cs="宋体"/>
                <w:color w:val="auto"/>
                <w:kern w:val="0"/>
              </w:rPr>
            </w:pPr>
            <w:r>
              <w:rPr>
                <w:rFonts w:hint="eastAsia" w:ascii="宋体" w:hAnsi="宋体" w:cs="宋体"/>
                <w:color w:val="auto"/>
                <w:kern w:val="0"/>
              </w:rPr>
              <w:t>管输</w:t>
            </w:r>
          </w:p>
        </w:tc>
        <w:tc>
          <w:tcPr>
            <w:tcW w:w="455" w:type="pct"/>
            <w:vAlign w:val="center"/>
          </w:tcPr>
          <w:p w14:paraId="15A6F12D">
            <w:pPr>
              <w:widowControl/>
              <w:jc w:val="center"/>
              <w:rPr>
                <w:rFonts w:ascii="宋体" w:hAnsi="宋体" w:cs="宋体"/>
                <w:color w:val="auto"/>
                <w:kern w:val="0"/>
              </w:rPr>
            </w:pPr>
            <w:r>
              <w:rPr>
                <w:rFonts w:hint="eastAsia" w:ascii="宋体" w:hAnsi="宋体" w:cs="宋体"/>
                <w:color w:val="auto"/>
                <w:kern w:val="0"/>
              </w:rPr>
              <w:t>φ</w:t>
            </w:r>
            <w:r>
              <w:rPr>
                <w:rFonts w:ascii="宋体" w:hAnsi="宋体" w:cs="宋体"/>
                <w:color w:val="auto"/>
                <w:kern w:val="0"/>
              </w:rPr>
              <w:t>114×5</w:t>
            </w:r>
          </w:p>
        </w:tc>
        <w:tc>
          <w:tcPr>
            <w:tcW w:w="344" w:type="pct"/>
            <w:vAlign w:val="center"/>
          </w:tcPr>
          <w:p w14:paraId="67C1264B">
            <w:pPr>
              <w:widowControl/>
              <w:jc w:val="center"/>
              <w:rPr>
                <w:rFonts w:ascii="宋体" w:hAnsi="宋体" w:cs="宋体"/>
                <w:color w:val="auto"/>
                <w:kern w:val="0"/>
              </w:rPr>
            </w:pPr>
            <w:r>
              <w:rPr>
                <w:rFonts w:hint="eastAsia" w:ascii="宋体" w:hAnsi="宋体" w:cs="宋体"/>
                <w:color w:val="auto"/>
                <w:kern w:val="0"/>
              </w:rPr>
              <w:t>5</w:t>
            </w:r>
            <w:r>
              <w:rPr>
                <w:rFonts w:ascii="宋体" w:hAnsi="宋体" w:cs="宋体"/>
                <w:color w:val="auto"/>
                <w:kern w:val="0"/>
              </w:rPr>
              <w:t>30</w:t>
            </w:r>
          </w:p>
        </w:tc>
        <w:tc>
          <w:tcPr>
            <w:tcW w:w="400" w:type="pct"/>
            <w:vAlign w:val="center"/>
          </w:tcPr>
          <w:p w14:paraId="3B42DD06">
            <w:pPr>
              <w:widowControl/>
              <w:jc w:val="center"/>
              <w:rPr>
                <w:rFonts w:ascii="宋体" w:hAnsi="宋体" w:cs="宋体"/>
                <w:color w:val="auto"/>
                <w:kern w:val="0"/>
              </w:rPr>
            </w:pPr>
            <w:r>
              <w:rPr>
                <w:rFonts w:hint="eastAsia" w:ascii="宋体" w:hAnsi="宋体" w:cs="宋体"/>
                <w:color w:val="auto"/>
                <w:kern w:val="0"/>
              </w:rPr>
              <w:t>F</w:t>
            </w:r>
            <w:r>
              <w:rPr>
                <w:rFonts w:ascii="宋体" w:hAnsi="宋体" w:cs="宋体"/>
                <w:color w:val="auto"/>
                <w:kern w:val="0"/>
              </w:rPr>
              <w:t>121-X85</w:t>
            </w:r>
            <w:r>
              <w:rPr>
                <w:rFonts w:hint="eastAsia" w:ascii="宋体" w:hAnsi="宋体" w:cs="宋体"/>
                <w:color w:val="auto"/>
                <w:kern w:val="0"/>
              </w:rPr>
              <w:t>井场</w:t>
            </w:r>
          </w:p>
        </w:tc>
        <w:tc>
          <w:tcPr>
            <w:tcW w:w="348" w:type="pct"/>
            <w:vAlign w:val="center"/>
          </w:tcPr>
          <w:p w14:paraId="7C96714A">
            <w:pPr>
              <w:widowControl/>
              <w:jc w:val="center"/>
              <w:rPr>
                <w:rFonts w:ascii="宋体" w:hAnsi="宋体" w:cs="宋体"/>
                <w:color w:val="auto"/>
                <w:kern w:val="0"/>
              </w:rPr>
            </w:pPr>
            <w:r>
              <w:rPr>
                <w:rFonts w:hint="eastAsia" w:ascii="宋体" w:hAnsi="宋体" w:cs="宋体"/>
                <w:color w:val="auto"/>
                <w:kern w:val="0"/>
              </w:rPr>
              <w:t>高青联合站</w:t>
            </w:r>
          </w:p>
        </w:tc>
        <w:tc>
          <w:tcPr>
            <w:tcW w:w="451" w:type="pct"/>
            <w:vAlign w:val="center"/>
          </w:tcPr>
          <w:p w14:paraId="5A581BA8">
            <w:pPr>
              <w:widowControl/>
              <w:jc w:val="center"/>
              <w:rPr>
                <w:rFonts w:ascii="宋体" w:hAnsi="宋体" w:cs="宋体"/>
                <w:color w:val="auto"/>
                <w:kern w:val="0"/>
              </w:rPr>
            </w:pPr>
            <w:r>
              <w:rPr>
                <w:rFonts w:ascii="宋体" w:hAnsi="宋体" w:cs="宋体"/>
                <w:color w:val="auto"/>
                <w:kern w:val="0"/>
              </w:rPr>
              <w:t>加热炉，燃气，80kW</w:t>
            </w:r>
            <w:r>
              <w:rPr>
                <w:rFonts w:hint="eastAsia" w:ascii="宋体" w:hAnsi="宋体" w:cs="宋体"/>
                <w:color w:val="auto"/>
                <w:kern w:val="0"/>
              </w:rPr>
              <w:t>，新建</w:t>
            </w:r>
          </w:p>
        </w:tc>
        <w:tc>
          <w:tcPr>
            <w:tcW w:w="730" w:type="pct"/>
            <w:vAlign w:val="center"/>
          </w:tcPr>
          <w:p w14:paraId="152F234E">
            <w:pPr>
              <w:widowControl/>
              <w:jc w:val="center"/>
              <w:rPr>
                <w:rFonts w:ascii="宋体" w:hAnsi="宋体" w:cs="宋体"/>
                <w:color w:val="auto"/>
                <w:kern w:val="0"/>
              </w:rPr>
            </w:pPr>
            <w:r>
              <w:rPr>
                <w:rFonts w:hint="eastAsia" w:ascii="宋体" w:hAnsi="宋体" w:cs="宋体"/>
                <w:color w:val="auto"/>
                <w:kern w:val="0"/>
              </w:rPr>
              <w:t>一致</w:t>
            </w:r>
          </w:p>
        </w:tc>
      </w:tr>
      <w:tr w14:paraId="3618494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234" w:type="pct"/>
            <w:shd w:val="clear" w:color="auto" w:fill="FFFFFF"/>
            <w:vAlign w:val="center"/>
          </w:tcPr>
          <w:p w14:paraId="7460F61B">
            <w:pPr>
              <w:pStyle w:val="76"/>
              <w:rPr>
                <w:rFonts w:hAnsi="宋体"/>
                <w:color w:val="auto"/>
              </w:rPr>
            </w:pPr>
          </w:p>
        </w:tc>
        <w:tc>
          <w:tcPr>
            <w:tcW w:w="730" w:type="pct"/>
            <w:shd w:val="clear" w:color="auto" w:fill="FFFFFF"/>
            <w:noWrap/>
            <w:vAlign w:val="center"/>
          </w:tcPr>
          <w:p w14:paraId="297E2E31">
            <w:pPr>
              <w:widowControl/>
              <w:jc w:val="center"/>
              <w:rPr>
                <w:rFonts w:ascii="宋体" w:hAnsi="宋体" w:cs="宋体"/>
                <w:color w:val="auto"/>
                <w:kern w:val="0"/>
              </w:rPr>
            </w:pPr>
            <w:r>
              <w:rPr>
                <w:rFonts w:hint="eastAsia" w:ascii="宋体" w:hAnsi="宋体" w:cs="宋体"/>
                <w:color w:val="auto"/>
                <w:kern w:val="0"/>
              </w:rPr>
              <w:t>FJFJFY1-</w:t>
            </w:r>
            <w:r>
              <w:rPr>
                <w:rFonts w:ascii="宋体" w:hAnsi="宋体" w:cs="宋体"/>
                <w:color w:val="auto"/>
                <w:kern w:val="0"/>
              </w:rPr>
              <w:t>8</w:t>
            </w:r>
            <w:r>
              <w:rPr>
                <w:rFonts w:hint="eastAsia" w:ascii="宋体" w:hAnsi="宋体" w:cs="宋体"/>
                <w:color w:val="auto"/>
                <w:kern w:val="0"/>
              </w:rPr>
              <w:t>HF</w:t>
            </w:r>
          </w:p>
        </w:tc>
        <w:tc>
          <w:tcPr>
            <w:tcW w:w="785" w:type="pct"/>
            <w:shd w:val="clear" w:color="auto" w:fill="FFFFFF"/>
            <w:noWrap/>
            <w:vAlign w:val="center"/>
          </w:tcPr>
          <w:p w14:paraId="23015191">
            <w:pPr>
              <w:widowControl/>
              <w:jc w:val="center"/>
              <w:rPr>
                <w:rFonts w:ascii="宋体" w:hAnsi="宋体" w:cs="宋体"/>
                <w:color w:val="auto"/>
                <w:kern w:val="0"/>
              </w:rPr>
            </w:pPr>
            <w:r>
              <w:rPr>
                <w:rFonts w:hint="eastAsia" w:ascii="宋体" w:hAnsi="宋体" w:cs="宋体"/>
                <w:color w:val="auto"/>
                <w:kern w:val="0"/>
              </w:rPr>
              <w:t>探井转开发井</w:t>
            </w:r>
          </w:p>
        </w:tc>
        <w:tc>
          <w:tcPr>
            <w:tcW w:w="289" w:type="pct"/>
            <w:vAlign w:val="center"/>
          </w:tcPr>
          <w:p w14:paraId="66A3F08B">
            <w:pPr>
              <w:widowControl/>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2#</w:t>
            </w:r>
          </w:p>
        </w:tc>
        <w:tc>
          <w:tcPr>
            <w:tcW w:w="234" w:type="pct"/>
            <w:vAlign w:val="center"/>
          </w:tcPr>
          <w:p w14:paraId="1FC6B1BA">
            <w:pPr>
              <w:widowControl/>
              <w:jc w:val="center"/>
              <w:rPr>
                <w:rFonts w:ascii="宋体" w:hAnsi="宋体" w:cs="宋体"/>
                <w:color w:val="auto"/>
                <w:kern w:val="0"/>
              </w:rPr>
            </w:pPr>
            <w:r>
              <w:rPr>
                <w:rFonts w:hint="eastAsia" w:ascii="宋体" w:hAnsi="宋体" w:cs="宋体"/>
                <w:color w:val="auto"/>
                <w:kern w:val="0"/>
              </w:rPr>
              <w:t>管输</w:t>
            </w:r>
          </w:p>
        </w:tc>
        <w:tc>
          <w:tcPr>
            <w:tcW w:w="455" w:type="pct"/>
            <w:vAlign w:val="center"/>
          </w:tcPr>
          <w:p w14:paraId="4371D6DD">
            <w:pPr>
              <w:widowControl/>
              <w:jc w:val="center"/>
              <w:rPr>
                <w:rFonts w:ascii="宋体" w:hAnsi="宋体" w:cs="宋体"/>
                <w:color w:val="auto"/>
                <w:kern w:val="0"/>
              </w:rPr>
            </w:pPr>
            <w:r>
              <w:rPr>
                <w:rFonts w:hint="eastAsia" w:ascii="宋体" w:hAnsi="宋体" w:cs="宋体"/>
                <w:color w:val="auto"/>
                <w:kern w:val="0"/>
              </w:rPr>
              <w:t>依托现有</w:t>
            </w:r>
          </w:p>
        </w:tc>
        <w:tc>
          <w:tcPr>
            <w:tcW w:w="344" w:type="pct"/>
            <w:vAlign w:val="center"/>
          </w:tcPr>
          <w:p w14:paraId="4A23C76F">
            <w:pPr>
              <w:widowControl/>
              <w:jc w:val="center"/>
              <w:rPr>
                <w:rFonts w:ascii="宋体" w:hAnsi="宋体" w:cs="宋体"/>
                <w:color w:val="auto"/>
                <w:kern w:val="0"/>
              </w:rPr>
            </w:pPr>
            <w:r>
              <w:rPr>
                <w:rFonts w:hint="eastAsia" w:ascii="宋体" w:hAnsi="宋体" w:cs="宋体"/>
                <w:color w:val="auto"/>
                <w:kern w:val="0"/>
              </w:rPr>
              <w:t>/</w:t>
            </w:r>
          </w:p>
        </w:tc>
        <w:tc>
          <w:tcPr>
            <w:tcW w:w="400" w:type="pct"/>
            <w:vAlign w:val="center"/>
          </w:tcPr>
          <w:p w14:paraId="55F457B8">
            <w:pPr>
              <w:widowControl/>
              <w:jc w:val="center"/>
              <w:rPr>
                <w:rFonts w:ascii="宋体" w:hAnsi="宋体" w:cs="宋体"/>
                <w:color w:val="auto"/>
                <w:kern w:val="0"/>
              </w:rPr>
            </w:pPr>
            <w:r>
              <w:rPr>
                <w:rFonts w:hint="eastAsia" w:ascii="宋体" w:hAnsi="宋体" w:cs="宋体"/>
                <w:color w:val="auto"/>
                <w:kern w:val="0"/>
              </w:rPr>
              <w:t>/</w:t>
            </w:r>
          </w:p>
        </w:tc>
        <w:tc>
          <w:tcPr>
            <w:tcW w:w="348" w:type="pct"/>
            <w:vAlign w:val="center"/>
          </w:tcPr>
          <w:p w14:paraId="76741420">
            <w:pPr>
              <w:widowControl/>
              <w:jc w:val="center"/>
              <w:rPr>
                <w:rFonts w:ascii="宋体" w:hAnsi="宋体" w:cs="宋体"/>
                <w:color w:val="auto"/>
                <w:kern w:val="0"/>
              </w:rPr>
            </w:pPr>
            <w:r>
              <w:rPr>
                <w:rFonts w:hint="eastAsia" w:ascii="宋体" w:hAnsi="宋体" w:cs="宋体"/>
                <w:color w:val="auto"/>
                <w:kern w:val="0"/>
              </w:rPr>
              <w:t>樊163分水点</w:t>
            </w:r>
          </w:p>
        </w:tc>
        <w:tc>
          <w:tcPr>
            <w:tcW w:w="451" w:type="pct"/>
            <w:vAlign w:val="center"/>
          </w:tcPr>
          <w:p w14:paraId="543F2AB4">
            <w:pPr>
              <w:widowControl/>
              <w:jc w:val="center"/>
              <w:rPr>
                <w:rFonts w:ascii="宋体" w:hAnsi="宋体" w:cs="宋体"/>
                <w:color w:val="auto"/>
                <w:kern w:val="0"/>
              </w:rPr>
            </w:pPr>
            <w:r>
              <w:rPr>
                <w:rFonts w:hint="eastAsia" w:ascii="宋体" w:hAnsi="宋体" w:cs="宋体"/>
                <w:color w:val="auto"/>
                <w:kern w:val="0"/>
              </w:rPr>
              <w:t>谷电蓄热，依托</w:t>
            </w:r>
          </w:p>
        </w:tc>
        <w:tc>
          <w:tcPr>
            <w:tcW w:w="730" w:type="pct"/>
            <w:vAlign w:val="center"/>
          </w:tcPr>
          <w:p w14:paraId="474FFB11">
            <w:pPr>
              <w:widowControl/>
              <w:jc w:val="center"/>
              <w:rPr>
                <w:rFonts w:ascii="宋体" w:hAnsi="宋体" w:cs="宋体"/>
                <w:color w:val="auto"/>
                <w:kern w:val="0"/>
              </w:rPr>
            </w:pPr>
            <w:r>
              <w:rPr>
                <w:rFonts w:hint="eastAsia" w:ascii="宋体" w:hAnsi="宋体" w:cs="宋体"/>
                <w:color w:val="auto"/>
                <w:kern w:val="0"/>
              </w:rPr>
              <w:t>/</w:t>
            </w:r>
          </w:p>
        </w:tc>
      </w:tr>
    </w:tbl>
    <w:p w14:paraId="7CE87164">
      <w:pPr>
        <w:rPr>
          <w:color w:val="auto"/>
        </w:rPr>
      </w:pPr>
    </w:p>
    <w:p w14:paraId="46AC589D">
      <w:pPr>
        <w:pStyle w:val="4"/>
        <w:ind w:firstLine="480"/>
        <w:rPr>
          <w:color w:val="auto"/>
        </w:rPr>
      </w:pPr>
      <w:r>
        <w:rPr>
          <w:rFonts w:hint="eastAsia"/>
          <w:color w:val="auto"/>
        </w:rPr>
        <w:t>本期工程油气集输系统流程见</w:t>
      </w:r>
      <w:r>
        <w:rPr>
          <w:color w:val="auto"/>
        </w:rPr>
        <w:fldChar w:fldCharType="begin"/>
      </w:r>
      <w:r>
        <w:instrText xml:space="preserve"> REF _Ref104795312 \h  \* MERGEFORMAT</w:instrText>
      </w:r>
      <w:r>
        <w:rPr>
          <w:color w:val="auto"/>
        </w:rPr>
        <w:fldChar w:fldCharType="separate"/>
      </w:r>
      <w:r>
        <w:rPr>
          <w:color w:val="auto"/>
        </w:rPr>
        <w:t>图 3.2</w:t>
      </w:r>
      <w:r>
        <w:rPr>
          <w:color w:val="auto"/>
        </w:rPr>
        <w:noBreakHyphen/>
      </w:r>
      <w:r>
        <w:rPr>
          <w:color w:val="auto"/>
        </w:rPr>
        <w:t>4</w:t>
      </w:r>
      <w:r>
        <w:rPr>
          <w:color w:val="auto"/>
        </w:rPr>
        <w:fldChar w:fldCharType="end"/>
      </w:r>
      <w:r>
        <w:rPr>
          <w:rFonts w:hint="eastAsia"/>
          <w:color w:val="auto"/>
        </w:rPr>
        <w:t>。</w:t>
      </w:r>
    </w:p>
    <w:p w14:paraId="35A2A95C">
      <w:pPr>
        <w:pStyle w:val="4"/>
        <w:ind w:firstLine="199" w:firstLineChars="83"/>
        <w:jc w:val="center"/>
        <w:rPr>
          <w:color w:val="auto"/>
        </w:rPr>
      </w:pPr>
      <w:r>
        <w:rPr>
          <w:color w:val="auto"/>
        </w:rPr>
        <w:drawing>
          <wp:inline distT="0" distB="0" distL="0" distR="0">
            <wp:extent cx="4400550" cy="70104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6"/>
                    <a:stretch>
                      <a:fillRect/>
                    </a:stretch>
                  </pic:blipFill>
                  <pic:spPr>
                    <a:xfrm>
                      <a:off x="0" y="0"/>
                      <a:ext cx="4400550" cy="7010400"/>
                    </a:xfrm>
                    <a:prstGeom prst="rect">
                      <a:avLst/>
                    </a:prstGeom>
                  </pic:spPr>
                </pic:pic>
              </a:graphicData>
            </a:graphic>
          </wp:inline>
        </w:drawing>
      </w:r>
    </w:p>
    <w:p w14:paraId="0024413A">
      <w:pPr>
        <w:pStyle w:val="15"/>
        <w:spacing w:before="120"/>
        <w:rPr>
          <w:rFonts w:hAnsi="宋体"/>
          <w:color w:val="auto"/>
        </w:rPr>
        <w:sectPr>
          <w:pgSz w:w="11906" w:h="16838"/>
          <w:pgMar w:top="1418" w:right="1588" w:bottom="1418" w:left="1588" w:header="1134" w:footer="851" w:gutter="0"/>
          <w:cols w:space="720" w:num="1"/>
          <w:docGrid w:linePitch="312" w:charSpace="0"/>
        </w:sectPr>
      </w:pPr>
      <w:bookmarkStart w:id="197" w:name="_Ref104795312"/>
      <w:bookmarkStart w:id="198" w:name="_Ref143261918"/>
      <w:r>
        <w:rPr>
          <w:rFonts w:hAnsi="宋体"/>
          <w:color w:val="auto"/>
        </w:rPr>
        <w:t xml:space="preserve">图 </w:t>
      </w:r>
      <w:r>
        <w:rPr>
          <w:rFonts w:hAnsi="宋体"/>
          <w:color w:val="auto"/>
        </w:rPr>
        <w:fldChar w:fldCharType="begin"/>
      </w:r>
      <w:r>
        <w:rPr>
          <w:rFonts w:hAnsi="宋体"/>
          <w:color w:val="auto"/>
        </w:rPr>
        <w:instrText xml:space="preserve"> STYLEREF 2 \s </w:instrText>
      </w:r>
      <w:r>
        <w:rPr>
          <w:rFonts w:hAnsi="宋体"/>
          <w:color w:val="auto"/>
        </w:rPr>
        <w:fldChar w:fldCharType="separate"/>
      </w:r>
      <w:r>
        <w:rPr>
          <w:rFonts w:hAnsi="宋体"/>
          <w:color w:val="auto"/>
        </w:rPr>
        <w:t>3.2</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SEQ 图 \* ARABIC \s 2 </w:instrText>
      </w:r>
      <w:r>
        <w:rPr>
          <w:rFonts w:hAnsi="宋体"/>
          <w:color w:val="auto"/>
        </w:rPr>
        <w:fldChar w:fldCharType="separate"/>
      </w:r>
      <w:r>
        <w:rPr>
          <w:rFonts w:hAnsi="宋体"/>
          <w:color w:val="auto"/>
        </w:rPr>
        <w:t>4</w:t>
      </w:r>
      <w:r>
        <w:rPr>
          <w:rFonts w:hAnsi="宋体"/>
          <w:color w:val="auto"/>
        </w:rPr>
        <w:fldChar w:fldCharType="end"/>
      </w:r>
      <w:bookmarkEnd w:id="197"/>
      <w:bookmarkEnd w:id="198"/>
      <w:r>
        <w:rPr>
          <w:rFonts w:hint="eastAsia" w:hAnsi="宋体"/>
          <w:color w:val="auto"/>
        </w:rPr>
        <w:t xml:space="preserve">  本期工程集输流程示意图</w:t>
      </w:r>
    </w:p>
    <w:p w14:paraId="3BF372F5">
      <w:pPr>
        <w:pStyle w:val="4"/>
        <w:ind w:firstLine="480"/>
        <w:outlineLvl w:val="3"/>
        <w:rPr>
          <w:color w:val="auto"/>
        </w:rPr>
      </w:pPr>
      <w:bookmarkStart w:id="199" w:name="OLE_LINK220"/>
      <w:bookmarkStart w:id="200" w:name="OLE_LINK219"/>
      <w:r>
        <w:rPr>
          <w:rFonts w:hint="eastAsia"/>
          <w:color w:val="auto"/>
        </w:rPr>
        <w:t>2）高青管理区地面系统优化建设工程</w:t>
      </w:r>
      <w:bookmarkEnd w:id="199"/>
      <w:bookmarkEnd w:id="200"/>
    </w:p>
    <w:p w14:paraId="2145AD8C">
      <w:pPr>
        <w:pStyle w:val="4"/>
        <w:ind w:firstLine="480"/>
        <w:rPr>
          <w:color w:val="auto"/>
        </w:rPr>
      </w:pPr>
      <w:r>
        <w:rPr>
          <w:rFonts w:hint="eastAsia"/>
          <w:color w:val="auto"/>
        </w:rPr>
        <w:t>（1）环评设计情况</w:t>
      </w:r>
    </w:p>
    <w:p w14:paraId="4EAE105A">
      <w:pPr>
        <w:pStyle w:val="4"/>
        <w:ind w:firstLine="480"/>
        <w:rPr>
          <w:color w:val="auto"/>
        </w:rPr>
      </w:pPr>
      <w:r>
        <w:rPr>
          <w:rFonts w:hint="eastAsia"/>
          <w:color w:val="auto"/>
        </w:rPr>
        <w:t>工程内容包括：①樊18、樊26区块10口单拉井改为管输生产，管输至高青联合站；②樊101区块3#计量站由集中拉油改为管输生产，管输至高青联合站；③更换高21区块5座井场之间的2条集油管线；更换樊26区块2座井场之间的1条集油管线；④高青联合站站内更换800kW水套加热炉1台（拆旧换新）；改造预分水系统1套。</w:t>
      </w:r>
    </w:p>
    <w:p w14:paraId="2EDD260B">
      <w:pPr>
        <w:pStyle w:val="4"/>
        <w:numPr>
          <w:ilvl w:val="0"/>
          <w:numId w:val="15"/>
        </w:numPr>
        <w:ind w:firstLineChars="0"/>
        <w:rPr>
          <w:color w:val="auto"/>
        </w:rPr>
      </w:pPr>
      <w:r>
        <w:rPr>
          <w:rFonts w:hint="eastAsia"/>
          <w:color w:val="auto"/>
        </w:rPr>
        <w:t>实际建设情况</w:t>
      </w:r>
    </w:p>
    <w:p w14:paraId="3A0D87E2">
      <w:pPr>
        <w:pStyle w:val="4"/>
        <w:numPr>
          <w:ilvl w:val="2"/>
          <w:numId w:val="15"/>
        </w:numPr>
        <w:ind w:firstLineChars="0"/>
        <w:rPr>
          <w:color w:val="auto"/>
        </w:rPr>
        <w:sectPr>
          <w:pgSz w:w="11906" w:h="16838"/>
          <w:pgMar w:top="1418" w:right="1588" w:bottom="1418" w:left="1588" w:header="1134" w:footer="851" w:gutter="0"/>
          <w:cols w:space="720" w:num="1"/>
          <w:docGrid w:linePitch="312" w:charSpace="0"/>
        </w:sectPr>
      </w:pPr>
      <w:r>
        <w:rPr>
          <w:rFonts w:hint="eastAsia"/>
          <w:color w:val="auto"/>
        </w:rPr>
        <w:t>樊18、樊26区块10口单拉井改为管输生产，管输至高青联合站；②樊101区块3#计量站由集中拉油改为管输生产，管输至高青联合站。</w:t>
      </w:r>
      <w:r>
        <w:rPr>
          <w:rFonts w:hint="eastAsia"/>
          <w:color w:val="auto"/>
        </w:rPr>
        <w:t>实现17口油井管输生产，取消多功能罐1</w:t>
      </w:r>
      <w:r>
        <w:rPr>
          <w:color w:val="auto"/>
        </w:rPr>
        <w:t>0</w:t>
      </w:r>
      <w:r>
        <w:rPr>
          <w:rFonts w:hint="eastAsia"/>
          <w:color w:val="auto"/>
        </w:rPr>
        <w:t>台</w:t>
      </w:r>
      <w:r>
        <w:rPr>
          <w:rFonts w:hint="eastAsia"/>
          <w:color w:val="auto"/>
        </w:rPr>
        <w:t>；③更换高21区块5座井场之间的2条集油管线；</w:t>
      </w:r>
      <w:r>
        <w:rPr>
          <w:rFonts w:hint="eastAsia"/>
          <w:color w:val="auto"/>
        </w:rPr>
        <w:t>原计划更换樊26-</w:t>
      </w:r>
      <w:r>
        <w:rPr>
          <w:color w:val="auto"/>
        </w:rPr>
        <w:t>18</w:t>
      </w:r>
      <w:r>
        <w:rPr>
          <w:rFonts w:hint="eastAsia"/>
          <w:color w:val="auto"/>
        </w:rPr>
        <w:t>至樊2</w:t>
      </w:r>
      <w:r>
        <w:rPr>
          <w:color w:val="auto"/>
        </w:rPr>
        <w:t>6-28</w:t>
      </w:r>
      <w:r>
        <w:rPr>
          <w:rFonts w:hint="eastAsia"/>
          <w:color w:val="auto"/>
        </w:rPr>
        <w:t>旧管线，实际因路由距离长，优化调整路由，新建樊26-</w:t>
      </w:r>
      <w:r>
        <w:rPr>
          <w:color w:val="auto"/>
        </w:rPr>
        <w:t>18</w:t>
      </w:r>
      <w:r>
        <w:rPr>
          <w:rFonts w:hint="eastAsia"/>
          <w:color w:val="auto"/>
        </w:rPr>
        <w:t>至樊1</w:t>
      </w:r>
      <w:r>
        <w:rPr>
          <w:color w:val="auto"/>
        </w:rPr>
        <w:t>21-X85</w:t>
      </w:r>
      <w:r>
        <w:rPr>
          <w:rFonts w:hint="eastAsia"/>
          <w:color w:val="auto"/>
        </w:rPr>
        <w:t>井场集油管线，采出液后续并入现有集油管线，进高青联合站处理</w:t>
      </w:r>
      <w:r>
        <w:rPr>
          <w:rFonts w:hint="eastAsia"/>
          <w:color w:val="auto"/>
        </w:rPr>
        <w:t>；④高青联合站站内将2台800</w:t>
      </w:r>
      <w:bookmarkStart w:id="201" w:name="OLE_LINK221"/>
      <w:bookmarkStart w:id="202" w:name="OLE_LINK222"/>
      <w:r>
        <w:rPr>
          <w:rFonts w:hint="eastAsia"/>
          <w:color w:val="auto"/>
        </w:rPr>
        <w:t>kW水套加热炉</w:t>
      </w:r>
      <w:bookmarkEnd w:id="201"/>
      <w:bookmarkEnd w:id="202"/>
      <w:r>
        <w:rPr>
          <w:rFonts w:hint="eastAsia"/>
          <w:color w:val="auto"/>
        </w:rPr>
        <w:t>拆除，更换为1台2</w:t>
      </w:r>
      <w:r>
        <w:rPr>
          <w:color w:val="auto"/>
        </w:rPr>
        <w:t>500</w:t>
      </w:r>
      <w:r>
        <w:rPr>
          <w:rFonts w:hint="eastAsia"/>
          <w:color w:val="auto"/>
        </w:rPr>
        <w:t>kW水套加热炉；原位置更换立式分离器2座，改造预分水系统1套（在西北角新建掺水泵2台）。整体工程集油管线共减少</w:t>
      </w:r>
    </w:p>
    <w:p w14:paraId="44F52122">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7</w:t>
      </w:r>
      <w:r>
        <w:rPr>
          <w:color w:val="auto"/>
        </w:rPr>
        <w:fldChar w:fldCharType="end"/>
      </w:r>
      <w:r>
        <w:rPr>
          <w:rFonts w:hint="eastAsia"/>
          <w:color w:val="auto"/>
        </w:rPr>
        <w:t xml:space="preserve"> 高青管理区地面系统优化建设工程（油气集输部分）主要工程量变化情况一览表</w:t>
      </w:r>
    </w:p>
    <w:tbl>
      <w:tblPr>
        <w:tblStyle w:val="4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Layout w:type="autofit"/>
        <w:tblCellMar>
          <w:top w:w="0" w:type="dxa"/>
          <w:left w:w="108" w:type="dxa"/>
          <w:bottom w:w="0" w:type="dxa"/>
          <w:right w:w="108" w:type="dxa"/>
        </w:tblCellMar>
      </w:tblPr>
      <w:tblGrid>
        <w:gridCol w:w="965"/>
        <w:gridCol w:w="2989"/>
        <w:gridCol w:w="965"/>
        <w:gridCol w:w="964"/>
        <w:gridCol w:w="2106"/>
        <w:gridCol w:w="2002"/>
        <w:gridCol w:w="2002"/>
        <w:gridCol w:w="1999"/>
      </w:tblGrid>
      <w:tr w14:paraId="6FD014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vMerge w:val="restart"/>
            <w:shd w:val="clear" w:color="auto" w:fill="FFFFFF"/>
            <w:noWrap/>
            <w:vAlign w:val="center"/>
          </w:tcPr>
          <w:p w14:paraId="64986776">
            <w:pPr>
              <w:jc w:val="center"/>
              <w:rPr>
                <w:rFonts w:ascii="宋体" w:hAnsi="宋体"/>
                <w:color w:val="auto"/>
              </w:rPr>
            </w:pPr>
            <w:r>
              <w:rPr>
                <w:rFonts w:hint="eastAsia" w:ascii="宋体" w:hAnsi="宋体"/>
                <w:color w:val="auto"/>
              </w:rPr>
              <w:t>序号</w:t>
            </w:r>
          </w:p>
        </w:tc>
        <w:tc>
          <w:tcPr>
            <w:tcW w:w="1772" w:type="pct"/>
            <w:gridSpan w:val="3"/>
            <w:shd w:val="clear" w:color="auto" w:fill="FFFFFF"/>
            <w:vAlign w:val="center"/>
          </w:tcPr>
          <w:p w14:paraId="2F813249">
            <w:pPr>
              <w:jc w:val="center"/>
              <w:rPr>
                <w:rFonts w:ascii="宋体" w:hAnsi="宋体"/>
                <w:color w:val="auto"/>
              </w:rPr>
            </w:pPr>
            <w:r>
              <w:rPr>
                <w:rFonts w:hint="eastAsia" w:ascii="宋体" w:hAnsi="宋体"/>
                <w:color w:val="auto"/>
              </w:rPr>
              <w:t>环评阶段</w:t>
            </w:r>
          </w:p>
        </w:tc>
        <w:tc>
          <w:tcPr>
            <w:tcW w:w="2159" w:type="pct"/>
            <w:gridSpan w:val="3"/>
            <w:shd w:val="clear" w:color="auto" w:fill="FFFFFF"/>
            <w:vAlign w:val="center"/>
          </w:tcPr>
          <w:p w14:paraId="38D4C3C1">
            <w:pPr>
              <w:jc w:val="center"/>
              <w:rPr>
                <w:rFonts w:ascii="宋体" w:hAnsi="宋体"/>
                <w:color w:val="auto"/>
              </w:rPr>
            </w:pPr>
            <w:r>
              <w:rPr>
                <w:rFonts w:hint="eastAsia" w:ascii="宋体" w:hAnsi="宋体"/>
                <w:color w:val="auto"/>
              </w:rPr>
              <w:t>实际建设阶段</w:t>
            </w:r>
          </w:p>
        </w:tc>
        <w:tc>
          <w:tcPr>
            <w:tcW w:w="719" w:type="pct"/>
            <w:shd w:val="clear" w:color="auto" w:fill="FFFFFF"/>
            <w:vAlign w:val="center"/>
          </w:tcPr>
          <w:p w14:paraId="17DA9586">
            <w:pPr>
              <w:jc w:val="center"/>
              <w:rPr>
                <w:rFonts w:ascii="宋体" w:hAnsi="宋体"/>
                <w:color w:val="auto"/>
              </w:rPr>
            </w:pPr>
            <w:r>
              <w:rPr>
                <w:rFonts w:hint="eastAsia" w:ascii="宋体" w:hAnsi="宋体"/>
                <w:color w:val="auto"/>
              </w:rPr>
              <w:t>与环评相比</w:t>
            </w:r>
          </w:p>
        </w:tc>
      </w:tr>
      <w:tr w14:paraId="77A720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vMerge w:val="continue"/>
            <w:shd w:val="clear" w:color="auto" w:fill="FFFFFF"/>
            <w:noWrap/>
            <w:vAlign w:val="center"/>
          </w:tcPr>
          <w:p w14:paraId="65B36F23">
            <w:pPr>
              <w:jc w:val="center"/>
              <w:rPr>
                <w:rFonts w:ascii="宋体" w:hAnsi="宋体"/>
                <w:color w:val="auto"/>
              </w:rPr>
            </w:pPr>
          </w:p>
        </w:tc>
        <w:tc>
          <w:tcPr>
            <w:tcW w:w="1073" w:type="pct"/>
            <w:shd w:val="clear" w:color="auto" w:fill="FFFFFF"/>
            <w:vAlign w:val="center"/>
          </w:tcPr>
          <w:p w14:paraId="2594DCDD">
            <w:pPr>
              <w:jc w:val="center"/>
              <w:rPr>
                <w:rFonts w:ascii="宋体" w:hAnsi="宋体"/>
                <w:color w:val="auto"/>
              </w:rPr>
            </w:pPr>
            <w:r>
              <w:rPr>
                <w:rFonts w:hint="eastAsia" w:ascii="宋体" w:hAnsi="宋体"/>
                <w:color w:val="auto"/>
              </w:rPr>
              <w:t>名称及规格</w:t>
            </w:r>
          </w:p>
        </w:tc>
        <w:tc>
          <w:tcPr>
            <w:tcW w:w="350" w:type="pct"/>
            <w:shd w:val="clear" w:color="auto" w:fill="FFFFFF"/>
            <w:noWrap/>
            <w:vAlign w:val="center"/>
          </w:tcPr>
          <w:p w14:paraId="7A043213">
            <w:pPr>
              <w:jc w:val="center"/>
              <w:rPr>
                <w:rFonts w:ascii="宋体" w:hAnsi="宋体"/>
                <w:color w:val="auto"/>
              </w:rPr>
            </w:pPr>
            <w:r>
              <w:rPr>
                <w:rFonts w:hint="eastAsia" w:ascii="宋体" w:hAnsi="宋体"/>
                <w:color w:val="auto"/>
              </w:rPr>
              <w:t>单位</w:t>
            </w:r>
          </w:p>
        </w:tc>
        <w:tc>
          <w:tcPr>
            <w:tcW w:w="349" w:type="pct"/>
            <w:shd w:val="clear" w:color="auto" w:fill="FFFFFF"/>
            <w:noWrap/>
            <w:vAlign w:val="center"/>
          </w:tcPr>
          <w:p w14:paraId="0B618502">
            <w:pPr>
              <w:jc w:val="center"/>
              <w:rPr>
                <w:rFonts w:ascii="宋体" w:hAnsi="宋体"/>
                <w:color w:val="auto"/>
              </w:rPr>
            </w:pPr>
            <w:r>
              <w:rPr>
                <w:rFonts w:hint="eastAsia" w:ascii="宋体" w:hAnsi="宋体"/>
                <w:color w:val="auto"/>
              </w:rPr>
              <w:t>数量</w:t>
            </w:r>
          </w:p>
        </w:tc>
        <w:tc>
          <w:tcPr>
            <w:tcW w:w="719" w:type="pct"/>
            <w:shd w:val="clear" w:color="auto" w:fill="FFFFFF"/>
            <w:vAlign w:val="center"/>
          </w:tcPr>
          <w:p w14:paraId="6F90565A">
            <w:pPr>
              <w:jc w:val="center"/>
              <w:rPr>
                <w:rFonts w:ascii="宋体" w:hAnsi="宋体"/>
                <w:color w:val="auto"/>
              </w:rPr>
            </w:pPr>
            <w:r>
              <w:rPr>
                <w:rFonts w:hint="eastAsia" w:ascii="宋体" w:hAnsi="宋体"/>
                <w:color w:val="auto"/>
              </w:rPr>
              <w:t>名称及规格</w:t>
            </w:r>
          </w:p>
        </w:tc>
        <w:tc>
          <w:tcPr>
            <w:tcW w:w="720" w:type="pct"/>
            <w:shd w:val="clear" w:color="auto" w:fill="FFFFFF"/>
            <w:vAlign w:val="center"/>
          </w:tcPr>
          <w:p w14:paraId="1A733D74">
            <w:pPr>
              <w:jc w:val="center"/>
              <w:rPr>
                <w:rFonts w:ascii="宋体" w:hAnsi="宋体"/>
                <w:color w:val="auto"/>
              </w:rPr>
            </w:pPr>
            <w:r>
              <w:rPr>
                <w:rFonts w:hint="eastAsia" w:ascii="宋体" w:hAnsi="宋体"/>
                <w:color w:val="auto"/>
              </w:rPr>
              <w:t>单位</w:t>
            </w:r>
          </w:p>
        </w:tc>
        <w:tc>
          <w:tcPr>
            <w:tcW w:w="720" w:type="pct"/>
            <w:shd w:val="clear" w:color="auto" w:fill="FFFFFF"/>
            <w:vAlign w:val="center"/>
          </w:tcPr>
          <w:p w14:paraId="4D9D572F">
            <w:pPr>
              <w:jc w:val="center"/>
              <w:rPr>
                <w:rFonts w:ascii="宋体" w:hAnsi="宋体"/>
                <w:color w:val="auto"/>
              </w:rPr>
            </w:pPr>
            <w:r>
              <w:rPr>
                <w:rFonts w:hint="eastAsia" w:ascii="宋体" w:hAnsi="宋体"/>
                <w:color w:val="auto"/>
              </w:rPr>
              <w:t>数量</w:t>
            </w:r>
          </w:p>
        </w:tc>
        <w:tc>
          <w:tcPr>
            <w:tcW w:w="719" w:type="pct"/>
            <w:shd w:val="clear" w:color="auto" w:fill="FFFFFF"/>
            <w:vAlign w:val="center"/>
          </w:tcPr>
          <w:p w14:paraId="21DA4D47">
            <w:pPr>
              <w:jc w:val="center"/>
              <w:rPr>
                <w:rFonts w:ascii="宋体" w:hAnsi="宋体"/>
                <w:color w:val="auto"/>
              </w:rPr>
            </w:pPr>
            <w:r>
              <w:rPr>
                <w:rFonts w:hint="eastAsia" w:ascii="宋体" w:hAnsi="宋体"/>
                <w:color w:val="auto"/>
              </w:rPr>
              <w:t>变动情况</w:t>
            </w:r>
          </w:p>
        </w:tc>
      </w:tr>
      <w:tr w14:paraId="7CE99C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108" w:type="dxa"/>
            <w:bottom w:w="0" w:type="dxa"/>
            <w:right w:w="108" w:type="dxa"/>
          </w:tblCellMar>
        </w:tblPrEx>
        <w:trPr>
          <w:trHeight w:val="340" w:hRule="atLeast"/>
        </w:trPr>
        <w:tc>
          <w:tcPr>
            <w:tcW w:w="350" w:type="pct"/>
            <w:shd w:val="clear" w:color="auto" w:fill="FFFFFF"/>
            <w:noWrap/>
            <w:vAlign w:val="center"/>
          </w:tcPr>
          <w:p w14:paraId="7815984D">
            <w:pPr>
              <w:jc w:val="center"/>
              <w:rPr>
                <w:rFonts w:ascii="宋体" w:hAnsi="宋体"/>
                <w:color w:val="auto"/>
              </w:rPr>
            </w:pPr>
            <w:r>
              <w:rPr>
                <w:rFonts w:hint="eastAsia" w:ascii="宋体" w:hAnsi="宋体"/>
                <w:color w:val="auto"/>
              </w:rPr>
              <w:t>1</w:t>
            </w:r>
          </w:p>
        </w:tc>
        <w:tc>
          <w:tcPr>
            <w:tcW w:w="1073" w:type="pct"/>
            <w:shd w:val="clear" w:color="auto" w:fill="FFFFFF"/>
            <w:vAlign w:val="center"/>
          </w:tcPr>
          <w:p w14:paraId="4C27A3E3">
            <w:pPr>
              <w:jc w:val="center"/>
              <w:rPr>
                <w:rFonts w:ascii="宋体" w:hAnsi="宋体"/>
                <w:color w:val="auto"/>
              </w:rPr>
            </w:pPr>
            <w:r>
              <w:rPr>
                <w:rFonts w:hint="eastAsia" w:ascii="宋体" w:hAnsi="宋体"/>
                <w:color w:val="auto"/>
              </w:rPr>
              <w:t>掺水泵  PN=1.6MPa,Q=3m</w:t>
            </w:r>
            <w:r>
              <w:rPr>
                <w:rFonts w:hint="eastAsia" w:ascii="宋体" w:hAnsi="宋体"/>
                <w:color w:val="auto"/>
                <w:vertAlign w:val="superscript"/>
              </w:rPr>
              <w:t>3</w:t>
            </w:r>
            <w:r>
              <w:rPr>
                <w:rFonts w:hint="eastAsia" w:ascii="宋体" w:hAnsi="宋体"/>
                <w:color w:val="auto"/>
              </w:rPr>
              <w:t>/d</w:t>
            </w:r>
          </w:p>
        </w:tc>
        <w:tc>
          <w:tcPr>
            <w:tcW w:w="350" w:type="pct"/>
            <w:shd w:val="clear" w:color="auto" w:fill="FFFFFF"/>
            <w:noWrap/>
            <w:vAlign w:val="center"/>
          </w:tcPr>
          <w:p w14:paraId="130225CC">
            <w:pPr>
              <w:jc w:val="center"/>
              <w:rPr>
                <w:rFonts w:ascii="宋体" w:hAnsi="宋体"/>
                <w:color w:val="auto"/>
              </w:rPr>
            </w:pPr>
            <w:r>
              <w:rPr>
                <w:rFonts w:hint="eastAsia" w:ascii="宋体" w:hAnsi="宋体"/>
                <w:color w:val="auto"/>
              </w:rPr>
              <w:t>台</w:t>
            </w:r>
          </w:p>
        </w:tc>
        <w:tc>
          <w:tcPr>
            <w:tcW w:w="349" w:type="pct"/>
            <w:shd w:val="clear" w:color="auto" w:fill="FFFFFF"/>
            <w:noWrap/>
            <w:vAlign w:val="center"/>
          </w:tcPr>
          <w:p w14:paraId="6922D821">
            <w:pPr>
              <w:jc w:val="center"/>
              <w:rPr>
                <w:rFonts w:ascii="宋体" w:hAnsi="宋体"/>
                <w:color w:val="auto"/>
              </w:rPr>
            </w:pPr>
            <w:r>
              <w:rPr>
                <w:rFonts w:hint="eastAsia" w:ascii="宋体" w:hAnsi="宋体"/>
                <w:color w:val="auto"/>
              </w:rPr>
              <w:t>2</w:t>
            </w:r>
          </w:p>
        </w:tc>
        <w:tc>
          <w:tcPr>
            <w:tcW w:w="719" w:type="pct"/>
            <w:shd w:val="clear" w:color="auto" w:fill="FFFFFF"/>
            <w:vAlign w:val="center"/>
          </w:tcPr>
          <w:p w14:paraId="177CC375">
            <w:pPr>
              <w:jc w:val="center"/>
              <w:rPr>
                <w:rFonts w:ascii="宋体" w:hAnsi="宋体"/>
                <w:color w:val="auto"/>
              </w:rPr>
            </w:pPr>
            <w:r>
              <w:rPr>
                <w:rFonts w:hint="eastAsia" w:ascii="宋体" w:hAnsi="宋体"/>
                <w:color w:val="auto"/>
              </w:rPr>
              <w:t>掺水泵  PN=1.6MPa,Q=3m</w:t>
            </w:r>
            <w:r>
              <w:rPr>
                <w:rFonts w:hint="eastAsia" w:ascii="宋体" w:hAnsi="宋体"/>
                <w:color w:val="auto"/>
                <w:vertAlign w:val="superscript"/>
              </w:rPr>
              <w:t>3</w:t>
            </w:r>
            <w:r>
              <w:rPr>
                <w:rFonts w:hint="eastAsia" w:ascii="宋体" w:hAnsi="宋体"/>
                <w:color w:val="auto"/>
              </w:rPr>
              <w:t>/d</w:t>
            </w:r>
          </w:p>
        </w:tc>
        <w:tc>
          <w:tcPr>
            <w:tcW w:w="720" w:type="pct"/>
            <w:shd w:val="clear" w:color="auto" w:fill="FFFFFF"/>
            <w:vAlign w:val="center"/>
          </w:tcPr>
          <w:p w14:paraId="5D342FDC">
            <w:pPr>
              <w:jc w:val="center"/>
              <w:rPr>
                <w:rFonts w:ascii="宋体" w:hAnsi="宋体"/>
                <w:color w:val="auto"/>
              </w:rPr>
            </w:pPr>
            <w:r>
              <w:rPr>
                <w:rFonts w:hint="eastAsia" w:ascii="宋体" w:hAnsi="宋体"/>
                <w:color w:val="auto"/>
              </w:rPr>
              <w:t>台</w:t>
            </w:r>
          </w:p>
        </w:tc>
        <w:tc>
          <w:tcPr>
            <w:tcW w:w="720" w:type="pct"/>
            <w:shd w:val="clear" w:color="auto" w:fill="FFFFFF"/>
            <w:vAlign w:val="center"/>
          </w:tcPr>
          <w:p w14:paraId="25BE7947">
            <w:pPr>
              <w:jc w:val="center"/>
              <w:rPr>
                <w:rFonts w:ascii="宋体" w:hAnsi="宋体"/>
                <w:color w:val="auto"/>
              </w:rPr>
            </w:pPr>
            <w:r>
              <w:rPr>
                <w:rFonts w:hint="eastAsia" w:ascii="宋体" w:hAnsi="宋体"/>
                <w:color w:val="auto"/>
              </w:rPr>
              <w:t>2</w:t>
            </w:r>
          </w:p>
        </w:tc>
        <w:tc>
          <w:tcPr>
            <w:tcW w:w="719" w:type="pct"/>
            <w:shd w:val="clear" w:color="auto" w:fill="FFFFFF"/>
            <w:vAlign w:val="center"/>
          </w:tcPr>
          <w:p w14:paraId="56D58835">
            <w:pPr>
              <w:jc w:val="center"/>
              <w:rPr>
                <w:rFonts w:ascii="宋体" w:hAnsi="宋体"/>
                <w:color w:val="auto"/>
              </w:rPr>
            </w:pPr>
            <w:r>
              <w:rPr>
                <w:rFonts w:hint="eastAsia" w:ascii="宋体" w:hAnsi="宋体"/>
                <w:color w:val="auto"/>
              </w:rPr>
              <w:t>/</w:t>
            </w:r>
          </w:p>
        </w:tc>
      </w:tr>
      <w:tr w14:paraId="3E6BCE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shd w:val="clear" w:color="auto" w:fill="FFFFFF"/>
            <w:noWrap/>
            <w:vAlign w:val="center"/>
          </w:tcPr>
          <w:p w14:paraId="4005100D">
            <w:pPr>
              <w:jc w:val="center"/>
              <w:rPr>
                <w:rFonts w:ascii="宋体" w:hAnsi="宋体"/>
                <w:color w:val="auto"/>
              </w:rPr>
            </w:pPr>
            <w:r>
              <w:rPr>
                <w:rFonts w:hint="eastAsia" w:ascii="宋体" w:hAnsi="宋体"/>
                <w:color w:val="auto"/>
              </w:rPr>
              <w:t>2</w:t>
            </w:r>
          </w:p>
        </w:tc>
        <w:tc>
          <w:tcPr>
            <w:tcW w:w="1073" w:type="pct"/>
            <w:shd w:val="clear" w:color="auto" w:fill="FFFFFF"/>
            <w:vAlign w:val="center"/>
          </w:tcPr>
          <w:p w14:paraId="4E2F6DE1">
            <w:pPr>
              <w:jc w:val="center"/>
              <w:rPr>
                <w:rFonts w:ascii="宋体" w:hAnsi="宋体"/>
                <w:color w:val="auto"/>
              </w:rPr>
            </w:pPr>
            <w:r>
              <w:rPr>
                <w:rFonts w:hint="eastAsia" w:ascii="宋体" w:hAnsi="宋体"/>
                <w:color w:val="auto"/>
              </w:rPr>
              <w:t>站内掺水管网</w:t>
            </w:r>
          </w:p>
        </w:tc>
        <w:tc>
          <w:tcPr>
            <w:tcW w:w="350" w:type="pct"/>
            <w:shd w:val="clear" w:color="auto" w:fill="FFFFFF"/>
            <w:noWrap/>
            <w:vAlign w:val="center"/>
          </w:tcPr>
          <w:p w14:paraId="4683E27B">
            <w:pPr>
              <w:jc w:val="center"/>
              <w:rPr>
                <w:rFonts w:ascii="宋体" w:hAnsi="宋体"/>
                <w:color w:val="auto"/>
              </w:rPr>
            </w:pPr>
            <w:r>
              <w:rPr>
                <w:rFonts w:hint="eastAsia" w:ascii="宋体" w:hAnsi="宋体"/>
                <w:color w:val="auto"/>
              </w:rPr>
              <w:t>套</w:t>
            </w:r>
          </w:p>
        </w:tc>
        <w:tc>
          <w:tcPr>
            <w:tcW w:w="349" w:type="pct"/>
            <w:shd w:val="clear" w:color="auto" w:fill="FFFFFF"/>
            <w:noWrap/>
            <w:vAlign w:val="center"/>
          </w:tcPr>
          <w:p w14:paraId="12869234">
            <w:pPr>
              <w:jc w:val="center"/>
              <w:rPr>
                <w:rFonts w:ascii="宋体" w:hAnsi="宋体"/>
                <w:color w:val="auto"/>
              </w:rPr>
            </w:pPr>
            <w:r>
              <w:rPr>
                <w:rFonts w:hint="eastAsia" w:ascii="宋体" w:hAnsi="宋体"/>
                <w:color w:val="auto"/>
              </w:rPr>
              <w:t>1</w:t>
            </w:r>
          </w:p>
        </w:tc>
        <w:tc>
          <w:tcPr>
            <w:tcW w:w="719" w:type="pct"/>
            <w:shd w:val="clear" w:color="auto" w:fill="FFFFFF"/>
            <w:vAlign w:val="center"/>
          </w:tcPr>
          <w:p w14:paraId="5EFC5F0A">
            <w:pPr>
              <w:jc w:val="center"/>
              <w:rPr>
                <w:rFonts w:ascii="宋体" w:hAnsi="宋体"/>
                <w:color w:val="auto"/>
              </w:rPr>
            </w:pPr>
            <w:r>
              <w:rPr>
                <w:rFonts w:hint="eastAsia" w:ascii="宋体" w:hAnsi="宋体"/>
                <w:color w:val="auto"/>
              </w:rPr>
              <w:t>站内掺水管网</w:t>
            </w:r>
          </w:p>
        </w:tc>
        <w:tc>
          <w:tcPr>
            <w:tcW w:w="720" w:type="pct"/>
            <w:shd w:val="clear" w:color="auto" w:fill="FFFFFF"/>
            <w:vAlign w:val="center"/>
          </w:tcPr>
          <w:p w14:paraId="240050E6">
            <w:pPr>
              <w:jc w:val="center"/>
              <w:rPr>
                <w:rFonts w:ascii="宋体" w:hAnsi="宋体"/>
                <w:color w:val="auto"/>
              </w:rPr>
            </w:pPr>
            <w:r>
              <w:rPr>
                <w:rFonts w:hint="eastAsia" w:ascii="宋体" w:hAnsi="宋体"/>
                <w:color w:val="auto"/>
              </w:rPr>
              <w:t>套</w:t>
            </w:r>
          </w:p>
        </w:tc>
        <w:tc>
          <w:tcPr>
            <w:tcW w:w="720" w:type="pct"/>
            <w:shd w:val="clear" w:color="auto" w:fill="FFFFFF"/>
            <w:vAlign w:val="center"/>
          </w:tcPr>
          <w:p w14:paraId="3FDBFB68">
            <w:pPr>
              <w:jc w:val="center"/>
              <w:rPr>
                <w:rFonts w:ascii="宋体" w:hAnsi="宋体"/>
                <w:color w:val="auto"/>
              </w:rPr>
            </w:pPr>
            <w:r>
              <w:rPr>
                <w:rFonts w:hint="eastAsia" w:ascii="宋体" w:hAnsi="宋体"/>
                <w:color w:val="auto"/>
              </w:rPr>
              <w:t>1</w:t>
            </w:r>
          </w:p>
        </w:tc>
        <w:tc>
          <w:tcPr>
            <w:tcW w:w="719" w:type="pct"/>
            <w:shd w:val="clear" w:color="auto" w:fill="FFFFFF"/>
            <w:vAlign w:val="center"/>
          </w:tcPr>
          <w:p w14:paraId="3EE5B558">
            <w:pPr>
              <w:jc w:val="center"/>
              <w:rPr>
                <w:rFonts w:ascii="宋体" w:hAnsi="宋体"/>
                <w:color w:val="auto"/>
              </w:rPr>
            </w:pPr>
            <w:r>
              <w:rPr>
                <w:rFonts w:hint="eastAsia" w:ascii="宋体" w:hAnsi="宋体"/>
                <w:color w:val="auto"/>
              </w:rPr>
              <w:t>/</w:t>
            </w:r>
          </w:p>
        </w:tc>
      </w:tr>
      <w:tr w14:paraId="50A545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shd w:val="clear" w:color="auto" w:fill="FFFFFF"/>
            <w:noWrap/>
            <w:vAlign w:val="center"/>
          </w:tcPr>
          <w:p w14:paraId="7310EFC6">
            <w:pPr>
              <w:jc w:val="center"/>
              <w:rPr>
                <w:rFonts w:ascii="宋体" w:hAnsi="宋体"/>
                <w:color w:val="auto"/>
              </w:rPr>
            </w:pPr>
            <w:r>
              <w:rPr>
                <w:rFonts w:hint="eastAsia" w:ascii="宋体" w:hAnsi="宋体"/>
                <w:color w:val="auto"/>
              </w:rPr>
              <w:t>3</w:t>
            </w:r>
          </w:p>
        </w:tc>
        <w:tc>
          <w:tcPr>
            <w:tcW w:w="1073" w:type="pct"/>
            <w:shd w:val="clear" w:color="auto" w:fill="FFFFFF"/>
            <w:vAlign w:val="center"/>
          </w:tcPr>
          <w:p w14:paraId="6B5C1FB3">
            <w:pPr>
              <w:jc w:val="center"/>
              <w:rPr>
                <w:rFonts w:ascii="宋体" w:hAnsi="宋体"/>
                <w:color w:val="auto"/>
              </w:rPr>
            </w:pPr>
            <w:r>
              <w:rPr>
                <w:rFonts w:hint="eastAsia" w:ascii="宋体" w:hAnsi="宋体"/>
                <w:color w:val="auto"/>
              </w:rPr>
              <w:t>集油管线DN65mm  20#</w:t>
            </w:r>
          </w:p>
        </w:tc>
        <w:tc>
          <w:tcPr>
            <w:tcW w:w="350" w:type="pct"/>
            <w:shd w:val="clear" w:color="auto" w:fill="FFFFFF"/>
            <w:noWrap/>
            <w:vAlign w:val="center"/>
          </w:tcPr>
          <w:p w14:paraId="1686AD1E">
            <w:pPr>
              <w:jc w:val="center"/>
              <w:rPr>
                <w:rFonts w:ascii="宋体" w:hAnsi="宋体"/>
                <w:color w:val="auto"/>
              </w:rPr>
            </w:pPr>
            <w:r>
              <w:rPr>
                <w:rFonts w:hint="eastAsia" w:ascii="宋体" w:hAnsi="宋体"/>
                <w:color w:val="auto"/>
              </w:rPr>
              <w:t>km</w:t>
            </w:r>
          </w:p>
        </w:tc>
        <w:tc>
          <w:tcPr>
            <w:tcW w:w="349" w:type="pct"/>
            <w:shd w:val="clear" w:color="auto" w:fill="FFFFFF"/>
            <w:noWrap/>
            <w:vAlign w:val="center"/>
          </w:tcPr>
          <w:p w14:paraId="7747E65A">
            <w:pPr>
              <w:jc w:val="center"/>
              <w:rPr>
                <w:rFonts w:ascii="宋体" w:hAnsi="宋体"/>
                <w:color w:val="auto"/>
              </w:rPr>
            </w:pPr>
            <w:r>
              <w:rPr>
                <w:rFonts w:hint="eastAsia" w:ascii="宋体" w:hAnsi="宋体"/>
                <w:color w:val="auto"/>
              </w:rPr>
              <w:t xml:space="preserve">9.47 </w:t>
            </w:r>
          </w:p>
        </w:tc>
        <w:tc>
          <w:tcPr>
            <w:tcW w:w="719" w:type="pct"/>
            <w:shd w:val="clear" w:color="auto" w:fill="FFFFFF"/>
            <w:vAlign w:val="center"/>
          </w:tcPr>
          <w:p w14:paraId="33DB743A">
            <w:pPr>
              <w:jc w:val="center"/>
              <w:rPr>
                <w:rFonts w:ascii="宋体" w:hAnsi="宋体"/>
                <w:color w:val="auto"/>
              </w:rPr>
            </w:pPr>
            <w:r>
              <w:rPr>
                <w:rFonts w:hint="eastAsia" w:ascii="宋体" w:hAnsi="宋体"/>
                <w:color w:val="auto"/>
              </w:rPr>
              <w:t>集油管线DN65mm  20#</w:t>
            </w:r>
          </w:p>
        </w:tc>
        <w:tc>
          <w:tcPr>
            <w:tcW w:w="720" w:type="pct"/>
            <w:shd w:val="clear" w:color="auto" w:fill="FFFFFF"/>
            <w:vAlign w:val="center"/>
          </w:tcPr>
          <w:p w14:paraId="7F8CD5B2">
            <w:pPr>
              <w:jc w:val="center"/>
              <w:rPr>
                <w:rFonts w:ascii="宋体" w:hAnsi="宋体"/>
                <w:color w:val="auto"/>
              </w:rPr>
            </w:pPr>
            <w:r>
              <w:rPr>
                <w:rFonts w:hint="eastAsia" w:ascii="宋体" w:hAnsi="宋体"/>
                <w:color w:val="auto"/>
              </w:rPr>
              <w:t>km</w:t>
            </w:r>
          </w:p>
        </w:tc>
        <w:tc>
          <w:tcPr>
            <w:tcW w:w="720" w:type="pct"/>
            <w:shd w:val="clear" w:color="auto" w:fill="FFFFFF"/>
            <w:vAlign w:val="center"/>
          </w:tcPr>
          <w:p w14:paraId="6A2A4CDA">
            <w:pPr>
              <w:jc w:val="center"/>
              <w:rPr>
                <w:rFonts w:ascii="宋体" w:hAnsi="宋体"/>
                <w:color w:val="auto"/>
              </w:rPr>
            </w:pPr>
            <w:r>
              <w:rPr>
                <w:rFonts w:ascii="宋体" w:hAnsi="宋体"/>
                <w:color w:val="auto"/>
              </w:rPr>
              <w:t>7.148</w:t>
            </w:r>
          </w:p>
        </w:tc>
        <w:tc>
          <w:tcPr>
            <w:tcW w:w="719" w:type="pct"/>
            <w:shd w:val="clear" w:color="auto" w:fill="FFFFFF"/>
            <w:vAlign w:val="center"/>
          </w:tcPr>
          <w:p w14:paraId="17B6EC5D">
            <w:pPr>
              <w:jc w:val="center"/>
              <w:rPr>
                <w:rFonts w:ascii="宋体" w:hAnsi="宋体"/>
                <w:color w:val="auto"/>
              </w:rPr>
            </w:pPr>
            <w:r>
              <w:rPr>
                <w:rFonts w:hint="eastAsia" w:ascii="宋体" w:hAnsi="宋体"/>
                <w:color w:val="auto"/>
              </w:rPr>
              <w:t>-</w:t>
            </w:r>
            <w:r>
              <w:rPr>
                <w:rFonts w:ascii="宋体" w:hAnsi="宋体"/>
                <w:color w:val="auto"/>
              </w:rPr>
              <w:t>2.322</w:t>
            </w:r>
          </w:p>
        </w:tc>
      </w:tr>
      <w:tr w14:paraId="586BE1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108" w:type="dxa"/>
            <w:bottom w:w="0" w:type="dxa"/>
            <w:right w:w="108" w:type="dxa"/>
          </w:tblCellMar>
        </w:tblPrEx>
        <w:trPr>
          <w:trHeight w:val="340" w:hRule="atLeast"/>
        </w:trPr>
        <w:tc>
          <w:tcPr>
            <w:tcW w:w="350" w:type="pct"/>
            <w:shd w:val="clear" w:color="auto" w:fill="FFFFFF"/>
            <w:noWrap/>
            <w:vAlign w:val="center"/>
          </w:tcPr>
          <w:p w14:paraId="2B8B6CE3">
            <w:pPr>
              <w:jc w:val="center"/>
              <w:rPr>
                <w:rFonts w:ascii="宋体" w:hAnsi="宋体"/>
                <w:color w:val="auto"/>
              </w:rPr>
            </w:pPr>
            <w:r>
              <w:rPr>
                <w:rFonts w:hint="eastAsia" w:ascii="宋体" w:hAnsi="宋体"/>
                <w:color w:val="auto"/>
              </w:rPr>
              <w:t>4</w:t>
            </w:r>
          </w:p>
        </w:tc>
        <w:tc>
          <w:tcPr>
            <w:tcW w:w="1073" w:type="pct"/>
            <w:shd w:val="clear" w:color="auto" w:fill="FFFFFF"/>
            <w:vAlign w:val="center"/>
          </w:tcPr>
          <w:p w14:paraId="31F2A076">
            <w:pPr>
              <w:jc w:val="center"/>
              <w:rPr>
                <w:rFonts w:ascii="宋体" w:hAnsi="宋体"/>
                <w:color w:val="auto"/>
              </w:rPr>
            </w:pPr>
            <w:r>
              <w:rPr>
                <w:rFonts w:hint="eastAsia" w:ascii="宋体" w:hAnsi="宋体"/>
                <w:color w:val="auto"/>
              </w:rPr>
              <w:t>集油管线DN80mm  20#</w:t>
            </w:r>
          </w:p>
        </w:tc>
        <w:tc>
          <w:tcPr>
            <w:tcW w:w="350" w:type="pct"/>
            <w:shd w:val="clear" w:color="auto" w:fill="FFFFFF"/>
            <w:noWrap/>
            <w:vAlign w:val="center"/>
          </w:tcPr>
          <w:p w14:paraId="60C37AB3">
            <w:pPr>
              <w:jc w:val="center"/>
              <w:rPr>
                <w:rFonts w:ascii="宋体" w:hAnsi="宋体"/>
                <w:color w:val="auto"/>
              </w:rPr>
            </w:pPr>
            <w:r>
              <w:rPr>
                <w:rFonts w:hint="eastAsia" w:ascii="宋体" w:hAnsi="宋体"/>
                <w:color w:val="auto"/>
              </w:rPr>
              <w:t>km</w:t>
            </w:r>
          </w:p>
        </w:tc>
        <w:tc>
          <w:tcPr>
            <w:tcW w:w="349" w:type="pct"/>
            <w:shd w:val="clear" w:color="auto" w:fill="FFFFFF"/>
            <w:noWrap/>
            <w:vAlign w:val="center"/>
          </w:tcPr>
          <w:p w14:paraId="17CEFD36">
            <w:pPr>
              <w:jc w:val="center"/>
              <w:rPr>
                <w:rFonts w:ascii="宋体" w:hAnsi="宋体"/>
                <w:color w:val="auto"/>
              </w:rPr>
            </w:pPr>
            <w:r>
              <w:rPr>
                <w:rFonts w:hint="eastAsia" w:ascii="宋体" w:hAnsi="宋体"/>
                <w:color w:val="auto"/>
              </w:rPr>
              <w:t xml:space="preserve">3.57 </w:t>
            </w:r>
          </w:p>
        </w:tc>
        <w:tc>
          <w:tcPr>
            <w:tcW w:w="719" w:type="pct"/>
            <w:shd w:val="clear" w:color="auto" w:fill="FFFFFF"/>
            <w:vAlign w:val="center"/>
          </w:tcPr>
          <w:p w14:paraId="03055A2D">
            <w:pPr>
              <w:jc w:val="center"/>
              <w:rPr>
                <w:rFonts w:ascii="宋体" w:hAnsi="宋体"/>
                <w:color w:val="auto"/>
              </w:rPr>
            </w:pPr>
            <w:r>
              <w:rPr>
                <w:rFonts w:hint="eastAsia" w:ascii="宋体" w:hAnsi="宋体"/>
                <w:color w:val="auto"/>
              </w:rPr>
              <w:t>集油管线DN80mm  20#</w:t>
            </w:r>
          </w:p>
        </w:tc>
        <w:tc>
          <w:tcPr>
            <w:tcW w:w="720" w:type="pct"/>
            <w:shd w:val="clear" w:color="auto" w:fill="FFFFFF"/>
            <w:vAlign w:val="center"/>
          </w:tcPr>
          <w:p w14:paraId="557D3273">
            <w:pPr>
              <w:jc w:val="center"/>
              <w:rPr>
                <w:rFonts w:ascii="宋体" w:hAnsi="宋体"/>
                <w:color w:val="auto"/>
              </w:rPr>
            </w:pPr>
            <w:r>
              <w:rPr>
                <w:rFonts w:hint="eastAsia" w:ascii="宋体" w:hAnsi="宋体"/>
                <w:color w:val="auto"/>
              </w:rPr>
              <w:t>km</w:t>
            </w:r>
          </w:p>
        </w:tc>
        <w:tc>
          <w:tcPr>
            <w:tcW w:w="720" w:type="pct"/>
            <w:shd w:val="clear" w:color="auto" w:fill="FFFFFF"/>
            <w:vAlign w:val="center"/>
          </w:tcPr>
          <w:p w14:paraId="1E738029">
            <w:pPr>
              <w:jc w:val="center"/>
              <w:rPr>
                <w:rFonts w:ascii="宋体" w:hAnsi="宋体"/>
                <w:color w:val="auto"/>
              </w:rPr>
            </w:pPr>
            <w:r>
              <w:rPr>
                <w:rFonts w:ascii="宋体" w:hAnsi="宋体"/>
                <w:color w:val="auto"/>
              </w:rPr>
              <w:t>2.925</w:t>
            </w:r>
          </w:p>
        </w:tc>
        <w:tc>
          <w:tcPr>
            <w:tcW w:w="719" w:type="pct"/>
            <w:shd w:val="clear" w:color="auto" w:fill="FFFFFF"/>
            <w:vAlign w:val="center"/>
          </w:tcPr>
          <w:p w14:paraId="6BD1D587">
            <w:pPr>
              <w:jc w:val="center"/>
              <w:rPr>
                <w:rFonts w:ascii="宋体" w:hAnsi="宋体"/>
                <w:color w:val="auto"/>
              </w:rPr>
            </w:pPr>
            <w:r>
              <w:rPr>
                <w:rFonts w:hint="eastAsia" w:ascii="宋体" w:hAnsi="宋体"/>
                <w:color w:val="auto"/>
              </w:rPr>
              <w:t>-0.</w:t>
            </w:r>
            <w:r>
              <w:rPr>
                <w:rFonts w:ascii="宋体" w:hAnsi="宋体"/>
                <w:color w:val="auto"/>
              </w:rPr>
              <w:t>645</w:t>
            </w:r>
          </w:p>
        </w:tc>
      </w:tr>
      <w:tr w14:paraId="099203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shd w:val="clear" w:color="auto" w:fill="FFFFFF"/>
            <w:noWrap/>
            <w:vAlign w:val="center"/>
          </w:tcPr>
          <w:p w14:paraId="2E1B7637">
            <w:pPr>
              <w:jc w:val="center"/>
              <w:rPr>
                <w:rFonts w:ascii="宋体" w:hAnsi="宋体"/>
                <w:color w:val="auto"/>
              </w:rPr>
            </w:pPr>
            <w:r>
              <w:rPr>
                <w:rFonts w:hint="eastAsia" w:ascii="宋体" w:hAnsi="宋体"/>
                <w:color w:val="auto"/>
              </w:rPr>
              <w:t>5</w:t>
            </w:r>
          </w:p>
        </w:tc>
        <w:tc>
          <w:tcPr>
            <w:tcW w:w="1073" w:type="pct"/>
            <w:shd w:val="clear" w:color="auto" w:fill="FFFFFF"/>
            <w:vAlign w:val="center"/>
          </w:tcPr>
          <w:p w14:paraId="6D8E993B">
            <w:pPr>
              <w:jc w:val="center"/>
              <w:rPr>
                <w:rFonts w:ascii="宋体" w:hAnsi="宋体"/>
                <w:color w:val="auto"/>
              </w:rPr>
            </w:pPr>
            <w:r>
              <w:rPr>
                <w:rFonts w:hint="eastAsia" w:ascii="宋体" w:hAnsi="宋体"/>
                <w:color w:val="auto"/>
              </w:rPr>
              <w:t>集油管线DN100mm  20#</w:t>
            </w:r>
          </w:p>
        </w:tc>
        <w:tc>
          <w:tcPr>
            <w:tcW w:w="350" w:type="pct"/>
            <w:shd w:val="clear" w:color="auto" w:fill="FFFFFF"/>
            <w:noWrap/>
            <w:vAlign w:val="center"/>
          </w:tcPr>
          <w:p w14:paraId="094F83E5">
            <w:pPr>
              <w:jc w:val="center"/>
              <w:rPr>
                <w:rFonts w:ascii="宋体" w:hAnsi="宋体"/>
                <w:color w:val="auto"/>
              </w:rPr>
            </w:pPr>
            <w:r>
              <w:rPr>
                <w:rFonts w:hint="eastAsia" w:ascii="宋体" w:hAnsi="宋体"/>
                <w:color w:val="auto"/>
              </w:rPr>
              <w:t>km</w:t>
            </w:r>
          </w:p>
        </w:tc>
        <w:tc>
          <w:tcPr>
            <w:tcW w:w="349" w:type="pct"/>
            <w:shd w:val="clear" w:color="auto" w:fill="FFFFFF"/>
            <w:noWrap/>
            <w:vAlign w:val="center"/>
          </w:tcPr>
          <w:p w14:paraId="6E4E0D0F">
            <w:pPr>
              <w:jc w:val="center"/>
              <w:rPr>
                <w:rFonts w:ascii="宋体" w:hAnsi="宋体"/>
                <w:color w:val="auto"/>
              </w:rPr>
            </w:pPr>
            <w:r>
              <w:rPr>
                <w:rFonts w:hint="eastAsia" w:ascii="宋体" w:hAnsi="宋体"/>
                <w:color w:val="auto"/>
              </w:rPr>
              <w:t>1.7</w:t>
            </w:r>
          </w:p>
        </w:tc>
        <w:tc>
          <w:tcPr>
            <w:tcW w:w="719" w:type="pct"/>
            <w:shd w:val="clear" w:color="auto" w:fill="FFFFFF"/>
            <w:vAlign w:val="center"/>
          </w:tcPr>
          <w:p w14:paraId="698D24EC">
            <w:pPr>
              <w:jc w:val="center"/>
              <w:rPr>
                <w:rFonts w:ascii="宋体" w:hAnsi="宋体"/>
                <w:color w:val="auto"/>
              </w:rPr>
            </w:pPr>
            <w:r>
              <w:rPr>
                <w:rFonts w:hint="eastAsia" w:ascii="宋体" w:hAnsi="宋体"/>
                <w:color w:val="auto"/>
              </w:rPr>
              <w:t>集油管线DN100mm  20#</w:t>
            </w:r>
          </w:p>
        </w:tc>
        <w:tc>
          <w:tcPr>
            <w:tcW w:w="720" w:type="pct"/>
            <w:shd w:val="clear" w:color="auto" w:fill="FFFFFF"/>
            <w:vAlign w:val="center"/>
          </w:tcPr>
          <w:p w14:paraId="511F012A">
            <w:pPr>
              <w:jc w:val="center"/>
              <w:rPr>
                <w:rFonts w:ascii="宋体" w:hAnsi="宋体"/>
                <w:color w:val="auto"/>
              </w:rPr>
            </w:pPr>
            <w:r>
              <w:rPr>
                <w:rFonts w:hint="eastAsia" w:ascii="宋体" w:hAnsi="宋体"/>
                <w:color w:val="auto"/>
              </w:rPr>
              <w:t>km</w:t>
            </w:r>
          </w:p>
        </w:tc>
        <w:tc>
          <w:tcPr>
            <w:tcW w:w="720" w:type="pct"/>
            <w:shd w:val="clear" w:color="auto" w:fill="FFFFFF"/>
            <w:vAlign w:val="center"/>
          </w:tcPr>
          <w:p w14:paraId="32D1C4D4">
            <w:pPr>
              <w:jc w:val="center"/>
              <w:rPr>
                <w:rFonts w:ascii="宋体" w:hAnsi="宋体"/>
                <w:color w:val="auto"/>
              </w:rPr>
            </w:pPr>
            <w:r>
              <w:rPr>
                <w:rFonts w:hint="eastAsia" w:ascii="宋体" w:hAnsi="宋体"/>
                <w:color w:val="auto"/>
              </w:rPr>
              <w:t>1.717</w:t>
            </w:r>
          </w:p>
        </w:tc>
        <w:tc>
          <w:tcPr>
            <w:tcW w:w="719" w:type="pct"/>
            <w:shd w:val="clear" w:color="auto" w:fill="FFFFFF"/>
            <w:vAlign w:val="center"/>
          </w:tcPr>
          <w:p w14:paraId="536A4C2B">
            <w:pPr>
              <w:jc w:val="center"/>
              <w:rPr>
                <w:rFonts w:ascii="宋体" w:hAnsi="宋体"/>
                <w:color w:val="auto"/>
              </w:rPr>
            </w:pPr>
            <w:r>
              <w:rPr>
                <w:rFonts w:hint="eastAsia" w:ascii="宋体" w:hAnsi="宋体"/>
                <w:color w:val="auto"/>
              </w:rPr>
              <w:t>0.017</w:t>
            </w:r>
          </w:p>
        </w:tc>
      </w:tr>
      <w:tr w14:paraId="66E531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vMerge w:val="restart"/>
            <w:shd w:val="clear" w:color="auto" w:fill="FFFFFF"/>
            <w:noWrap/>
            <w:vAlign w:val="center"/>
          </w:tcPr>
          <w:p w14:paraId="6D358599">
            <w:pPr>
              <w:jc w:val="center"/>
              <w:rPr>
                <w:rFonts w:ascii="宋体" w:hAnsi="宋体"/>
                <w:color w:val="auto"/>
              </w:rPr>
            </w:pPr>
            <w:r>
              <w:rPr>
                <w:rFonts w:hint="eastAsia" w:ascii="宋体" w:hAnsi="宋体"/>
                <w:color w:val="auto"/>
              </w:rPr>
              <w:t>6</w:t>
            </w:r>
          </w:p>
        </w:tc>
        <w:tc>
          <w:tcPr>
            <w:tcW w:w="1073" w:type="pct"/>
            <w:vMerge w:val="restart"/>
            <w:shd w:val="clear" w:color="auto" w:fill="FFFFFF"/>
            <w:vAlign w:val="center"/>
          </w:tcPr>
          <w:p w14:paraId="1D88AC26">
            <w:pPr>
              <w:jc w:val="center"/>
              <w:rPr>
                <w:rFonts w:ascii="宋体" w:hAnsi="宋体"/>
                <w:color w:val="auto"/>
              </w:rPr>
            </w:pPr>
            <w:r>
              <w:rPr>
                <w:rFonts w:hint="eastAsia" w:ascii="宋体" w:hAnsi="宋体"/>
                <w:color w:val="auto"/>
              </w:rPr>
              <w:t xml:space="preserve">掺水管线DN40mm  </w:t>
            </w:r>
          </w:p>
        </w:tc>
        <w:tc>
          <w:tcPr>
            <w:tcW w:w="350" w:type="pct"/>
            <w:vMerge w:val="restart"/>
            <w:shd w:val="clear" w:color="auto" w:fill="FFFFFF"/>
            <w:noWrap/>
            <w:vAlign w:val="center"/>
          </w:tcPr>
          <w:p w14:paraId="23A001C8">
            <w:pPr>
              <w:jc w:val="center"/>
              <w:rPr>
                <w:rFonts w:ascii="宋体" w:hAnsi="宋体"/>
                <w:color w:val="auto"/>
              </w:rPr>
            </w:pPr>
            <w:r>
              <w:rPr>
                <w:rFonts w:hint="eastAsia" w:ascii="宋体" w:hAnsi="宋体"/>
                <w:color w:val="auto"/>
              </w:rPr>
              <w:t>km</w:t>
            </w:r>
          </w:p>
        </w:tc>
        <w:tc>
          <w:tcPr>
            <w:tcW w:w="349" w:type="pct"/>
            <w:vMerge w:val="restart"/>
            <w:shd w:val="clear" w:color="auto" w:fill="FFFFFF"/>
            <w:noWrap/>
            <w:vAlign w:val="center"/>
          </w:tcPr>
          <w:p w14:paraId="5D8C5018">
            <w:pPr>
              <w:jc w:val="center"/>
              <w:rPr>
                <w:rFonts w:ascii="宋体" w:hAnsi="宋体"/>
                <w:color w:val="auto"/>
              </w:rPr>
            </w:pPr>
            <w:r>
              <w:rPr>
                <w:rFonts w:hint="eastAsia" w:ascii="宋体" w:hAnsi="宋体"/>
                <w:color w:val="auto"/>
              </w:rPr>
              <w:t>1.7</w:t>
            </w:r>
          </w:p>
        </w:tc>
        <w:tc>
          <w:tcPr>
            <w:tcW w:w="719" w:type="pct"/>
            <w:shd w:val="clear" w:color="auto" w:fill="FFFFFF"/>
            <w:vAlign w:val="center"/>
          </w:tcPr>
          <w:p w14:paraId="08C0920E">
            <w:pPr>
              <w:jc w:val="center"/>
              <w:rPr>
                <w:rFonts w:ascii="宋体" w:hAnsi="宋体"/>
                <w:color w:val="auto"/>
              </w:rPr>
            </w:pPr>
            <w:r>
              <w:rPr>
                <w:rFonts w:hint="eastAsia" w:ascii="宋体" w:hAnsi="宋体"/>
                <w:color w:val="auto"/>
              </w:rPr>
              <w:t xml:space="preserve">掺水管线DN40mm 玻璃钢 </w:t>
            </w:r>
          </w:p>
        </w:tc>
        <w:tc>
          <w:tcPr>
            <w:tcW w:w="720" w:type="pct"/>
            <w:vMerge w:val="restart"/>
            <w:shd w:val="clear" w:color="auto" w:fill="FFFFFF"/>
            <w:vAlign w:val="center"/>
          </w:tcPr>
          <w:p w14:paraId="73FB8952">
            <w:pPr>
              <w:jc w:val="center"/>
              <w:rPr>
                <w:rFonts w:ascii="宋体" w:hAnsi="宋体"/>
                <w:color w:val="auto"/>
              </w:rPr>
            </w:pPr>
            <w:r>
              <w:rPr>
                <w:rFonts w:hint="eastAsia" w:ascii="宋体" w:hAnsi="宋体"/>
                <w:color w:val="auto"/>
              </w:rPr>
              <w:t>km</w:t>
            </w:r>
          </w:p>
        </w:tc>
        <w:tc>
          <w:tcPr>
            <w:tcW w:w="720" w:type="pct"/>
            <w:shd w:val="clear" w:color="auto" w:fill="FFFFFF"/>
            <w:vAlign w:val="center"/>
          </w:tcPr>
          <w:p w14:paraId="26151630">
            <w:pPr>
              <w:jc w:val="center"/>
              <w:rPr>
                <w:rFonts w:ascii="宋体" w:hAnsi="宋体"/>
                <w:color w:val="auto"/>
              </w:rPr>
            </w:pPr>
            <w:r>
              <w:rPr>
                <w:rFonts w:hint="eastAsia" w:ascii="宋体" w:hAnsi="宋体"/>
                <w:color w:val="auto"/>
              </w:rPr>
              <w:t>0.7</w:t>
            </w:r>
          </w:p>
        </w:tc>
        <w:tc>
          <w:tcPr>
            <w:tcW w:w="719" w:type="pct"/>
            <w:vMerge w:val="restart"/>
            <w:shd w:val="clear" w:color="auto" w:fill="FFFFFF"/>
            <w:vAlign w:val="center"/>
          </w:tcPr>
          <w:p w14:paraId="30DDC4BE">
            <w:pPr>
              <w:jc w:val="center"/>
              <w:rPr>
                <w:rFonts w:ascii="宋体" w:hAnsi="宋体"/>
                <w:color w:val="auto"/>
              </w:rPr>
            </w:pPr>
            <w:r>
              <w:rPr>
                <w:rFonts w:hint="eastAsia" w:ascii="宋体" w:hAnsi="宋体"/>
                <w:color w:val="auto"/>
              </w:rPr>
              <w:t>规格变动，长度减少0.7km</w:t>
            </w:r>
          </w:p>
        </w:tc>
      </w:tr>
      <w:tr w14:paraId="1448D6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vMerge w:val="continue"/>
            <w:shd w:val="clear" w:color="auto" w:fill="FFFFFF"/>
            <w:noWrap/>
            <w:vAlign w:val="center"/>
          </w:tcPr>
          <w:p w14:paraId="367B6E15">
            <w:pPr>
              <w:jc w:val="center"/>
              <w:rPr>
                <w:rFonts w:ascii="宋体" w:hAnsi="宋体"/>
                <w:color w:val="auto"/>
              </w:rPr>
            </w:pPr>
          </w:p>
        </w:tc>
        <w:tc>
          <w:tcPr>
            <w:tcW w:w="1073" w:type="pct"/>
            <w:vMerge w:val="continue"/>
            <w:shd w:val="clear" w:color="auto" w:fill="FFFFFF"/>
            <w:vAlign w:val="center"/>
          </w:tcPr>
          <w:p w14:paraId="4B06912F">
            <w:pPr>
              <w:jc w:val="center"/>
              <w:rPr>
                <w:rFonts w:ascii="宋体" w:hAnsi="宋体"/>
                <w:color w:val="auto"/>
              </w:rPr>
            </w:pPr>
          </w:p>
        </w:tc>
        <w:tc>
          <w:tcPr>
            <w:tcW w:w="350" w:type="pct"/>
            <w:vMerge w:val="continue"/>
            <w:shd w:val="clear" w:color="auto" w:fill="FFFFFF"/>
            <w:noWrap/>
            <w:vAlign w:val="center"/>
          </w:tcPr>
          <w:p w14:paraId="237AB1EE">
            <w:pPr>
              <w:jc w:val="center"/>
              <w:rPr>
                <w:rFonts w:ascii="宋体" w:hAnsi="宋体"/>
                <w:color w:val="auto"/>
              </w:rPr>
            </w:pPr>
          </w:p>
        </w:tc>
        <w:tc>
          <w:tcPr>
            <w:tcW w:w="349" w:type="pct"/>
            <w:vMerge w:val="continue"/>
            <w:shd w:val="clear" w:color="auto" w:fill="FFFFFF"/>
            <w:noWrap/>
            <w:vAlign w:val="center"/>
          </w:tcPr>
          <w:p w14:paraId="2DB6350A">
            <w:pPr>
              <w:jc w:val="center"/>
              <w:rPr>
                <w:rFonts w:ascii="宋体" w:hAnsi="宋体"/>
                <w:color w:val="auto"/>
              </w:rPr>
            </w:pPr>
          </w:p>
        </w:tc>
        <w:tc>
          <w:tcPr>
            <w:tcW w:w="719" w:type="pct"/>
            <w:shd w:val="clear" w:color="auto" w:fill="FFFFFF"/>
            <w:vAlign w:val="center"/>
          </w:tcPr>
          <w:p w14:paraId="40D9C613">
            <w:pPr>
              <w:jc w:val="center"/>
              <w:rPr>
                <w:rFonts w:ascii="宋体" w:hAnsi="宋体"/>
                <w:color w:val="auto"/>
              </w:rPr>
            </w:pPr>
            <w:bookmarkStart w:id="203" w:name="OLE_LINK34"/>
            <w:r>
              <w:rPr>
                <w:rFonts w:hint="eastAsia" w:ascii="宋体" w:hAnsi="宋体"/>
                <w:color w:val="auto"/>
              </w:rPr>
              <w:t>φ48×4.0mm 钢管</w:t>
            </w:r>
            <w:bookmarkEnd w:id="203"/>
          </w:p>
        </w:tc>
        <w:tc>
          <w:tcPr>
            <w:tcW w:w="720" w:type="pct"/>
            <w:vMerge w:val="continue"/>
            <w:shd w:val="clear" w:color="auto" w:fill="FFFFFF"/>
            <w:vAlign w:val="center"/>
          </w:tcPr>
          <w:p w14:paraId="1DB4E5A3">
            <w:pPr>
              <w:jc w:val="center"/>
              <w:rPr>
                <w:rFonts w:ascii="宋体" w:hAnsi="宋体"/>
                <w:color w:val="auto"/>
              </w:rPr>
            </w:pPr>
          </w:p>
        </w:tc>
        <w:tc>
          <w:tcPr>
            <w:tcW w:w="720" w:type="pct"/>
            <w:shd w:val="clear" w:color="auto" w:fill="FFFFFF"/>
            <w:vAlign w:val="center"/>
          </w:tcPr>
          <w:p w14:paraId="0A3DCF2F">
            <w:pPr>
              <w:jc w:val="center"/>
              <w:rPr>
                <w:rFonts w:ascii="宋体" w:hAnsi="宋体"/>
                <w:color w:val="auto"/>
              </w:rPr>
            </w:pPr>
            <w:r>
              <w:rPr>
                <w:rFonts w:hint="eastAsia" w:ascii="宋体" w:hAnsi="宋体"/>
                <w:color w:val="auto"/>
              </w:rPr>
              <w:t>0.3</w:t>
            </w:r>
          </w:p>
        </w:tc>
        <w:tc>
          <w:tcPr>
            <w:tcW w:w="719" w:type="pct"/>
            <w:vMerge w:val="continue"/>
            <w:shd w:val="clear" w:color="auto" w:fill="FFFFFF"/>
            <w:vAlign w:val="center"/>
          </w:tcPr>
          <w:p w14:paraId="03593D63">
            <w:pPr>
              <w:jc w:val="center"/>
              <w:rPr>
                <w:rFonts w:ascii="宋体" w:hAnsi="宋体"/>
                <w:color w:val="auto"/>
              </w:rPr>
            </w:pPr>
          </w:p>
        </w:tc>
      </w:tr>
      <w:tr w14:paraId="77E48F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108" w:type="dxa"/>
            <w:bottom w:w="0" w:type="dxa"/>
            <w:right w:w="108" w:type="dxa"/>
          </w:tblCellMar>
        </w:tblPrEx>
        <w:trPr>
          <w:trHeight w:val="340" w:hRule="atLeast"/>
        </w:trPr>
        <w:tc>
          <w:tcPr>
            <w:tcW w:w="350" w:type="pct"/>
            <w:shd w:val="clear" w:color="auto" w:fill="FFFFFF"/>
            <w:noWrap/>
            <w:vAlign w:val="center"/>
          </w:tcPr>
          <w:p w14:paraId="529E355E">
            <w:pPr>
              <w:jc w:val="center"/>
              <w:rPr>
                <w:rFonts w:ascii="宋体" w:hAnsi="宋体"/>
                <w:color w:val="auto"/>
              </w:rPr>
            </w:pPr>
            <w:r>
              <w:rPr>
                <w:rFonts w:hint="eastAsia" w:ascii="宋体" w:hAnsi="宋体"/>
                <w:color w:val="auto"/>
              </w:rPr>
              <w:t>7</w:t>
            </w:r>
          </w:p>
        </w:tc>
        <w:tc>
          <w:tcPr>
            <w:tcW w:w="1073" w:type="pct"/>
            <w:shd w:val="clear" w:color="auto" w:fill="FFFFFF"/>
            <w:vAlign w:val="center"/>
          </w:tcPr>
          <w:p w14:paraId="3B37125E">
            <w:pPr>
              <w:jc w:val="center"/>
              <w:rPr>
                <w:rFonts w:ascii="宋体" w:hAnsi="宋体"/>
                <w:color w:val="auto"/>
              </w:rPr>
            </w:pPr>
            <w:r>
              <w:rPr>
                <w:rFonts w:hint="eastAsia" w:ascii="宋体" w:hAnsi="宋体"/>
                <w:color w:val="auto"/>
              </w:rPr>
              <w:t>双腔油气混输装置GFB-600L-30/70-1.6</w:t>
            </w:r>
          </w:p>
        </w:tc>
        <w:tc>
          <w:tcPr>
            <w:tcW w:w="350" w:type="pct"/>
            <w:shd w:val="clear" w:color="auto" w:fill="FFFFFF"/>
            <w:noWrap/>
            <w:vAlign w:val="center"/>
          </w:tcPr>
          <w:p w14:paraId="062FA9F1">
            <w:pPr>
              <w:jc w:val="center"/>
              <w:rPr>
                <w:rFonts w:ascii="宋体" w:hAnsi="宋体"/>
                <w:color w:val="auto"/>
              </w:rPr>
            </w:pPr>
            <w:r>
              <w:rPr>
                <w:rFonts w:hint="eastAsia" w:ascii="宋体" w:hAnsi="宋体"/>
                <w:color w:val="auto"/>
              </w:rPr>
              <w:t>座</w:t>
            </w:r>
          </w:p>
        </w:tc>
        <w:tc>
          <w:tcPr>
            <w:tcW w:w="349" w:type="pct"/>
            <w:shd w:val="clear" w:color="auto" w:fill="FFFFFF"/>
            <w:noWrap/>
            <w:vAlign w:val="center"/>
          </w:tcPr>
          <w:p w14:paraId="61076BB1">
            <w:pPr>
              <w:jc w:val="center"/>
              <w:rPr>
                <w:rFonts w:ascii="宋体" w:hAnsi="宋体"/>
                <w:color w:val="auto"/>
              </w:rPr>
            </w:pPr>
            <w:r>
              <w:rPr>
                <w:rFonts w:hint="eastAsia" w:ascii="宋体" w:hAnsi="宋体"/>
                <w:color w:val="auto"/>
              </w:rPr>
              <w:t>1</w:t>
            </w:r>
          </w:p>
        </w:tc>
        <w:tc>
          <w:tcPr>
            <w:tcW w:w="719" w:type="pct"/>
            <w:shd w:val="clear" w:color="auto" w:fill="FFFFFF"/>
            <w:vAlign w:val="center"/>
          </w:tcPr>
          <w:p w14:paraId="40F32033">
            <w:pPr>
              <w:jc w:val="center"/>
              <w:rPr>
                <w:rFonts w:ascii="宋体" w:hAnsi="宋体"/>
                <w:color w:val="auto"/>
              </w:rPr>
            </w:pPr>
            <w:r>
              <w:rPr>
                <w:rFonts w:hint="eastAsia" w:ascii="宋体" w:hAnsi="宋体"/>
                <w:color w:val="auto"/>
              </w:rPr>
              <w:t>双腔油气混输装置GFB-600L-30/70-1.6</w:t>
            </w:r>
          </w:p>
        </w:tc>
        <w:tc>
          <w:tcPr>
            <w:tcW w:w="720" w:type="pct"/>
            <w:shd w:val="clear" w:color="auto" w:fill="FFFFFF"/>
            <w:vAlign w:val="center"/>
          </w:tcPr>
          <w:p w14:paraId="3B9D0DC5">
            <w:pPr>
              <w:jc w:val="center"/>
              <w:rPr>
                <w:rFonts w:ascii="宋体" w:hAnsi="宋体"/>
                <w:color w:val="auto"/>
              </w:rPr>
            </w:pPr>
            <w:r>
              <w:rPr>
                <w:rFonts w:hint="eastAsia" w:ascii="宋体" w:hAnsi="宋体"/>
                <w:color w:val="auto"/>
              </w:rPr>
              <w:t>座</w:t>
            </w:r>
          </w:p>
        </w:tc>
        <w:tc>
          <w:tcPr>
            <w:tcW w:w="720" w:type="pct"/>
            <w:shd w:val="clear" w:color="auto" w:fill="FFFFFF"/>
            <w:vAlign w:val="center"/>
          </w:tcPr>
          <w:p w14:paraId="6D4B6DB0">
            <w:pPr>
              <w:jc w:val="center"/>
              <w:rPr>
                <w:rFonts w:ascii="宋体" w:hAnsi="宋体"/>
                <w:color w:val="auto"/>
              </w:rPr>
            </w:pPr>
            <w:r>
              <w:rPr>
                <w:rFonts w:hint="eastAsia" w:ascii="宋体" w:hAnsi="宋体"/>
                <w:color w:val="auto"/>
              </w:rPr>
              <w:t>1</w:t>
            </w:r>
          </w:p>
        </w:tc>
        <w:tc>
          <w:tcPr>
            <w:tcW w:w="719" w:type="pct"/>
            <w:shd w:val="clear" w:color="auto" w:fill="FFFFFF"/>
            <w:vAlign w:val="center"/>
          </w:tcPr>
          <w:p w14:paraId="508C9F21">
            <w:pPr>
              <w:jc w:val="center"/>
              <w:rPr>
                <w:rFonts w:ascii="宋体" w:hAnsi="宋体"/>
                <w:color w:val="auto"/>
              </w:rPr>
            </w:pPr>
            <w:r>
              <w:rPr>
                <w:rFonts w:hint="eastAsia" w:ascii="宋体" w:hAnsi="宋体"/>
                <w:color w:val="auto"/>
              </w:rPr>
              <w:t>/</w:t>
            </w:r>
          </w:p>
        </w:tc>
      </w:tr>
      <w:tr w14:paraId="1CDF5A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shd w:val="clear" w:color="auto" w:fill="FFFFFF"/>
            <w:noWrap/>
            <w:vAlign w:val="center"/>
          </w:tcPr>
          <w:p w14:paraId="7C677AE4">
            <w:pPr>
              <w:jc w:val="center"/>
              <w:rPr>
                <w:rFonts w:ascii="宋体" w:hAnsi="宋体"/>
                <w:color w:val="auto"/>
              </w:rPr>
            </w:pPr>
            <w:r>
              <w:rPr>
                <w:rFonts w:hint="eastAsia" w:ascii="宋体" w:hAnsi="宋体"/>
                <w:color w:val="auto"/>
              </w:rPr>
              <w:t>8</w:t>
            </w:r>
          </w:p>
        </w:tc>
        <w:tc>
          <w:tcPr>
            <w:tcW w:w="1073" w:type="pct"/>
            <w:shd w:val="clear" w:color="auto" w:fill="FFFFFF"/>
            <w:vAlign w:val="center"/>
          </w:tcPr>
          <w:p w14:paraId="60EC212D">
            <w:pPr>
              <w:jc w:val="center"/>
              <w:rPr>
                <w:rFonts w:ascii="宋体" w:hAnsi="宋体"/>
                <w:color w:val="auto"/>
              </w:rPr>
            </w:pPr>
            <w:r>
              <w:rPr>
                <w:rFonts w:hint="eastAsia" w:ascii="宋体" w:hAnsi="宋体"/>
                <w:color w:val="auto"/>
              </w:rPr>
              <w:t>800kW加热炉</w:t>
            </w:r>
          </w:p>
        </w:tc>
        <w:tc>
          <w:tcPr>
            <w:tcW w:w="350" w:type="pct"/>
            <w:shd w:val="clear" w:color="auto" w:fill="FFFFFF"/>
            <w:noWrap/>
            <w:vAlign w:val="center"/>
          </w:tcPr>
          <w:p w14:paraId="4C905161">
            <w:pPr>
              <w:jc w:val="center"/>
              <w:rPr>
                <w:rFonts w:ascii="宋体" w:hAnsi="宋体"/>
                <w:color w:val="auto"/>
              </w:rPr>
            </w:pPr>
            <w:r>
              <w:rPr>
                <w:rFonts w:hint="eastAsia" w:ascii="宋体" w:hAnsi="宋体"/>
                <w:color w:val="auto"/>
              </w:rPr>
              <w:t>座</w:t>
            </w:r>
          </w:p>
        </w:tc>
        <w:tc>
          <w:tcPr>
            <w:tcW w:w="349" w:type="pct"/>
            <w:shd w:val="clear" w:color="auto" w:fill="FFFFFF"/>
            <w:noWrap/>
            <w:vAlign w:val="center"/>
          </w:tcPr>
          <w:p w14:paraId="19BADC33">
            <w:pPr>
              <w:jc w:val="center"/>
              <w:rPr>
                <w:rFonts w:ascii="宋体" w:hAnsi="宋体"/>
                <w:color w:val="auto"/>
              </w:rPr>
            </w:pPr>
            <w:r>
              <w:rPr>
                <w:rFonts w:hint="eastAsia" w:ascii="宋体" w:hAnsi="宋体"/>
                <w:color w:val="auto"/>
              </w:rPr>
              <w:t>1</w:t>
            </w:r>
          </w:p>
        </w:tc>
        <w:tc>
          <w:tcPr>
            <w:tcW w:w="719" w:type="pct"/>
            <w:shd w:val="clear" w:color="auto" w:fill="FFFFFF"/>
            <w:vAlign w:val="center"/>
          </w:tcPr>
          <w:p w14:paraId="433A931D">
            <w:pPr>
              <w:jc w:val="center"/>
              <w:rPr>
                <w:rFonts w:ascii="宋体" w:hAnsi="宋体"/>
                <w:color w:val="auto"/>
              </w:rPr>
            </w:pPr>
            <w:r>
              <w:rPr>
                <w:rFonts w:hint="eastAsia" w:ascii="宋体" w:hAnsi="宋体"/>
                <w:color w:val="auto"/>
              </w:rPr>
              <w:t>2500kW加热炉</w:t>
            </w:r>
          </w:p>
        </w:tc>
        <w:tc>
          <w:tcPr>
            <w:tcW w:w="720" w:type="pct"/>
            <w:shd w:val="clear" w:color="auto" w:fill="FFFFFF"/>
            <w:vAlign w:val="center"/>
          </w:tcPr>
          <w:p w14:paraId="2D97A6DA">
            <w:pPr>
              <w:jc w:val="center"/>
              <w:rPr>
                <w:rFonts w:ascii="宋体" w:hAnsi="宋体"/>
                <w:color w:val="auto"/>
              </w:rPr>
            </w:pPr>
            <w:r>
              <w:rPr>
                <w:rFonts w:hint="eastAsia" w:ascii="宋体" w:hAnsi="宋体"/>
                <w:color w:val="auto"/>
              </w:rPr>
              <w:t>座</w:t>
            </w:r>
          </w:p>
        </w:tc>
        <w:tc>
          <w:tcPr>
            <w:tcW w:w="720" w:type="pct"/>
            <w:shd w:val="clear" w:color="auto" w:fill="FFFFFF"/>
            <w:vAlign w:val="center"/>
          </w:tcPr>
          <w:p w14:paraId="3F84CC1C">
            <w:pPr>
              <w:jc w:val="center"/>
              <w:rPr>
                <w:rFonts w:ascii="宋体" w:hAnsi="宋体"/>
                <w:color w:val="auto"/>
              </w:rPr>
            </w:pPr>
            <w:r>
              <w:rPr>
                <w:rFonts w:hint="eastAsia" w:ascii="宋体" w:hAnsi="宋体"/>
                <w:color w:val="auto"/>
              </w:rPr>
              <w:t>1</w:t>
            </w:r>
          </w:p>
        </w:tc>
        <w:tc>
          <w:tcPr>
            <w:tcW w:w="719" w:type="pct"/>
            <w:vMerge w:val="restart"/>
            <w:shd w:val="clear" w:color="auto" w:fill="FFFFFF"/>
            <w:vAlign w:val="center"/>
          </w:tcPr>
          <w:p w14:paraId="21B41D6C">
            <w:pPr>
              <w:jc w:val="center"/>
              <w:rPr>
                <w:rFonts w:ascii="宋体" w:hAnsi="宋体"/>
                <w:b/>
                <w:color w:val="auto"/>
              </w:rPr>
            </w:pPr>
            <w:r>
              <w:rPr>
                <w:rFonts w:hint="eastAsia" w:ascii="宋体" w:hAnsi="宋体"/>
                <w:b/>
                <w:color w:val="auto"/>
              </w:rPr>
              <w:t>规格变动</w:t>
            </w:r>
          </w:p>
        </w:tc>
      </w:tr>
      <w:tr w14:paraId="078AA3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shd w:val="clear" w:color="auto" w:fill="FFFFFF"/>
            <w:noWrap/>
            <w:vAlign w:val="center"/>
          </w:tcPr>
          <w:p w14:paraId="026716D7">
            <w:pPr>
              <w:jc w:val="center"/>
              <w:rPr>
                <w:rFonts w:ascii="宋体" w:hAnsi="宋体"/>
                <w:color w:val="auto"/>
              </w:rPr>
            </w:pPr>
            <w:r>
              <w:rPr>
                <w:rFonts w:hint="eastAsia" w:ascii="宋体" w:hAnsi="宋体"/>
                <w:color w:val="auto"/>
              </w:rPr>
              <w:t>9</w:t>
            </w:r>
          </w:p>
        </w:tc>
        <w:tc>
          <w:tcPr>
            <w:tcW w:w="1073" w:type="pct"/>
            <w:shd w:val="clear" w:color="auto" w:fill="FFFFFF"/>
            <w:vAlign w:val="center"/>
          </w:tcPr>
          <w:p w14:paraId="225443BE">
            <w:pPr>
              <w:jc w:val="center"/>
              <w:rPr>
                <w:rFonts w:ascii="宋体" w:hAnsi="宋体"/>
                <w:color w:val="auto"/>
              </w:rPr>
            </w:pPr>
            <w:r>
              <w:rPr>
                <w:rFonts w:hint="eastAsia" w:ascii="宋体" w:hAnsi="宋体"/>
                <w:color w:val="auto"/>
              </w:rPr>
              <w:t>800kW低氮燃烧器</w:t>
            </w:r>
          </w:p>
        </w:tc>
        <w:tc>
          <w:tcPr>
            <w:tcW w:w="350" w:type="pct"/>
            <w:shd w:val="clear" w:color="auto" w:fill="FFFFFF"/>
            <w:noWrap/>
            <w:vAlign w:val="center"/>
          </w:tcPr>
          <w:p w14:paraId="059909CE">
            <w:pPr>
              <w:jc w:val="center"/>
              <w:rPr>
                <w:rFonts w:ascii="宋体" w:hAnsi="宋体"/>
                <w:color w:val="auto"/>
              </w:rPr>
            </w:pPr>
            <w:r>
              <w:rPr>
                <w:rFonts w:hint="eastAsia" w:ascii="宋体" w:hAnsi="宋体"/>
                <w:color w:val="auto"/>
              </w:rPr>
              <w:t>台</w:t>
            </w:r>
          </w:p>
        </w:tc>
        <w:tc>
          <w:tcPr>
            <w:tcW w:w="349" w:type="pct"/>
            <w:shd w:val="clear" w:color="auto" w:fill="FFFFFF"/>
            <w:noWrap/>
            <w:vAlign w:val="center"/>
          </w:tcPr>
          <w:p w14:paraId="553AB933">
            <w:pPr>
              <w:jc w:val="center"/>
              <w:rPr>
                <w:rFonts w:ascii="宋体" w:hAnsi="宋体"/>
                <w:color w:val="auto"/>
              </w:rPr>
            </w:pPr>
            <w:r>
              <w:rPr>
                <w:rFonts w:hint="eastAsia" w:ascii="宋体" w:hAnsi="宋体"/>
                <w:color w:val="auto"/>
              </w:rPr>
              <w:t>1</w:t>
            </w:r>
          </w:p>
        </w:tc>
        <w:tc>
          <w:tcPr>
            <w:tcW w:w="719" w:type="pct"/>
            <w:shd w:val="clear" w:color="auto" w:fill="FFFFFF"/>
            <w:vAlign w:val="center"/>
          </w:tcPr>
          <w:p w14:paraId="28B06771">
            <w:pPr>
              <w:jc w:val="center"/>
              <w:rPr>
                <w:rFonts w:ascii="宋体" w:hAnsi="宋体"/>
                <w:color w:val="auto"/>
              </w:rPr>
            </w:pPr>
            <w:r>
              <w:rPr>
                <w:rFonts w:hint="eastAsia" w:ascii="宋体" w:hAnsi="宋体"/>
                <w:color w:val="auto"/>
              </w:rPr>
              <w:t>2500kW低氮燃烧器</w:t>
            </w:r>
          </w:p>
        </w:tc>
        <w:tc>
          <w:tcPr>
            <w:tcW w:w="720" w:type="pct"/>
            <w:shd w:val="clear" w:color="auto" w:fill="FFFFFF"/>
            <w:vAlign w:val="center"/>
          </w:tcPr>
          <w:p w14:paraId="1C4C4CAE">
            <w:pPr>
              <w:jc w:val="center"/>
              <w:rPr>
                <w:rFonts w:ascii="宋体" w:hAnsi="宋体"/>
                <w:color w:val="auto"/>
              </w:rPr>
            </w:pPr>
            <w:r>
              <w:rPr>
                <w:rFonts w:hint="eastAsia" w:ascii="宋体" w:hAnsi="宋体"/>
                <w:color w:val="auto"/>
              </w:rPr>
              <w:t>座</w:t>
            </w:r>
          </w:p>
        </w:tc>
        <w:tc>
          <w:tcPr>
            <w:tcW w:w="720" w:type="pct"/>
            <w:shd w:val="clear" w:color="auto" w:fill="FFFFFF"/>
            <w:vAlign w:val="center"/>
          </w:tcPr>
          <w:p w14:paraId="29DE5068">
            <w:pPr>
              <w:jc w:val="center"/>
              <w:rPr>
                <w:rFonts w:ascii="宋体" w:hAnsi="宋体"/>
                <w:color w:val="auto"/>
              </w:rPr>
            </w:pPr>
            <w:r>
              <w:rPr>
                <w:rFonts w:hint="eastAsia" w:ascii="宋体" w:hAnsi="宋体"/>
                <w:color w:val="auto"/>
              </w:rPr>
              <w:t>1</w:t>
            </w:r>
          </w:p>
        </w:tc>
        <w:tc>
          <w:tcPr>
            <w:tcW w:w="719" w:type="pct"/>
            <w:vMerge w:val="continue"/>
            <w:shd w:val="clear" w:color="auto" w:fill="FFFFFF"/>
            <w:vAlign w:val="center"/>
          </w:tcPr>
          <w:p w14:paraId="0C3D6EC2">
            <w:pPr>
              <w:jc w:val="center"/>
              <w:rPr>
                <w:rFonts w:ascii="宋体" w:hAnsi="宋体"/>
                <w:color w:val="auto"/>
              </w:rPr>
            </w:pPr>
          </w:p>
        </w:tc>
      </w:tr>
      <w:tr w14:paraId="1B0C50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shd w:val="clear" w:color="auto" w:fill="FFFFFF"/>
            <w:noWrap/>
            <w:vAlign w:val="center"/>
          </w:tcPr>
          <w:p w14:paraId="2A32EDCE">
            <w:pPr>
              <w:jc w:val="center"/>
              <w:rPr>
                <w:rFonts w:ascii="宋体" w:hAnsi="宋体"/>
                <w:color w:val="auto"/>
              </w:rPr>
            </w:pPr>
            <w:r>
              <w:rPr>
                <w:rFonts w:hint="eastAsia" w:ascii="宋体" w:hAnsi="宋体"/>
                <w:color w:val="auto"/>
              </w:rPr>
              <w:t>10</w:t>
            </w:r>
          </w:p>
        </w:tc>
        <w:tc>
          <w:tcPr>
            <w:tcW w:w="1073" w:type="pct"/>
            <w:shd w:val="clear" w:color="auto" w:fill="FFFFFF"/>
            <w:vAlign w:val="center"/>
          </w:tcPr>
          <w:p w14:paraId="18F9FC03">
            <w:pPr>
              <w:jc w:val="center"/>
              <w:rPr>
                <w:rFonts w:ascii="宋体" w:hAnsi="宋体"/>
                <w:color w:val="auto"/>
              </w:rPr>
            </w:pPr>
            <w:r>
              <w:rPr>
                <w:rFonts w:hint="eastAsia" w:ascii="宋体" w:hAnsi="宋体"/>
                <w:color w:val="auto"/>
              </w:rPr>
              <w:t>天然气管线φ48×4.0mm  20#</w:t>
            </w:r>
          </w:p>
        </w:tc>
        <w:tc>
          <w:tcPr>
            <w:tcW w:w="350" w:type="pct"/>
            <w:shd w:val="clear" w:color="auto" w:fill="FFFFFF"/>
            <w:noWrap/>
            <w:vAlign w:val="center"/>
          </w:tcPr>
          <w:p w14:paraId="76FD58B6">
            <w:pPr>
              <w:jc w:val="center"/>
              <w:rPr>
                <w:rFonts w:ascii="宋体" w:hAnsi="宋体"/>
                <w:color w:val="auto"/>
              </w:rPr>
            </w:pPr>
            <w:r>
              <w:rPr>
                <w:rFonts w:hint="eastAsia" w:ascii="宋体" w:hAnsi="宋体"/>
                <w:color w:val="auto"/>
              </w:rPr>
              <w:t>m</w:t>
            </w:r>
          </w:p>
        </w:tc>
        <w:tc>
          <w:tcPr>
            <w:tcW w:w="349" w:type="pct"/>
            <w:shd w:val="clear" w:color="auto" w:fill="FFFFFF"/>
            <w:noWrap/>
            <w:vAlign w:val="center"/>
          </w:tcPr>
          <w:p w14:paraId="1F601182">
            <w:pPr>
              <w:jc w:val="center"/>
              <w:rPr>
                <w:rFonts w:ascii="宋体" w:hAnsi="宋体"/>
                <w:color w:val="auto"/>
              </w:rPr>
            </w:pPr>
            <w:r>
              <w:rPr>
                <w:rFonts w:hint="eastAsia" w:ascii="宋体" w:hAnsi="宋体"/>
                <w:color w:val="auto"/>
              </w:rPr>
              <w:t>24</w:t>
            </w:r>
          </w:p>
        </w:tc>
        <w:tc>
          <w:tcPr>
            <w:tcW w:w="719" w:type="pct"/>
            <w:shd w:val="clear" w:color="auto" w:fill="FFFFFF"/>
            <w:vAlign w:val="center"/>
          </w:tcPr>
          <w:p w14:paraId="21AAE477">
            <w:pPr>
              <w:jc w:val="center"/>
              <w:rPr>
                <w:rFonts w:ascii="宋体" w:hAnsi="宋体"/>
                <w:color w:val="auto"/>
              </w:rPr>
            </w:pPr>
            <w:r>
              <w:rPr>
                <w:rFonts w:hint="eastAsia" w:ascii="宋体" w:hAnsi="宋体"/>
                <w:color w:val="auto"/>
              </w:rPr>
              <w:t>天然气管线φ48×4.0mm  20#</w:t>
            </w:r>
          </w:p>
        </w:tc>
        <w:tc>
          <w:tcPr>
            <w:tcW w:w="720" w:type="pct"/>
            <w:shd w:val="clear" w:color="auto" w:fill="FFFFFF"/>
            <w:vAlign w:val="center"/>
          </w:tcPr>
          <w:p w14:paraId="093BD465">
            <w:pPr>
              <w:jc w:val="center"/>
              <w:rPr>
                <w:rFonts w:ascii="宋体" w:hAnsi="宋体"/>
                <w:color w:val="auto"/>
              </w:rPr>
            </w:pPr>
            <w:r>
              <w:rPr>
                <w:rFonts w:hint="eastAsia" w:ascii="宋体" w:hAnsi="宋体"/>
                <w:color w:val="auto"/>
              </w:rPr>
              <w:t>m</w:t>
            </w:r>
          </w:p>
        </w:tc>
        <w:tc>
          <w:tcPr>
            <w:tcW w:w="720" w:type="pct"/>
            <w:shd w:val="clear" w:color="auto" w:fill="FFFFFF"/>
            <w:vAlign w:val="center"/>
          </w:tcPr>
          <w:p w14:paraId="01F9C813">
            <w:pPr>
              <w:jc w:val="center"/>
              <w:rPr>
                <w:rFonts w:ascii="宋体" w:hAnsi="宋体"/>
                <w:color w:val="auto"/>
              </w:rPr>
            </w:pPr>
            <w:r>
              <w:rPr>
                <w:rFonts w:hint="eastAsia" w:ascii="宋体" w:hAnsi="宋体"/>
                <w:color w:val="auto"/>
              </w:rPr>
              <w:t>24</w:t>
            </w:r>
          </w:p>
        </w:tc>
        <w:tc>
          <w:tcPr>
            <w:tcW w:w="719" w:type="pct"/>
            <w:shd w:val="clear" w:color="auto" w:fill="FFFFFF"/>
            <w:vAlign w:val="center"/>
          </w:tcPr>
          <w:p w14:paraId="4E6B9796">
            <w:pPr>
              <w:jc w:val="center"/>
              <w:rPr>
                <w:rFonts w:ascii="宋体" w:hAnsi="宋体"/>
                <w:color w:val="auto"/>
              </w:rPr>
            </w:pPr>
            <w:r>
              <w:rPr>
                <w:rFonts w:hint="eastAsia" w:ascii="宋体" w:hAnsi="宋体"/>
                <w:color w:val="auto"/>
              </w:rPr>
              <w:t>/</w:t>
            </w:r>
          </w:p>
        </w:tc>
      </w:tr>
      <w:tr w14:paraId="2E7F65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shd w:val="clear" w:color="auto" w:fill="FFFFFF"/>
            <w:noWrap/>
            <w:vAlign w:val="center"/>
          </w:tcPr>
          <w:p w14:paraId="1C461D46">
            <w:pPr>
              <w:jc w:val="center"/>
              <w:rPr>
                <w:rFonts w:ascii="宋体" w:hAnsi="宋体"/>
                <w:color w:val="auto"/>
              </w:rPr>
            </w:pPr>
            <w:r>
              <w:rPr>
                <w:rFonts w:hint="eastAsia" w:ascii="宋体" w:hAnsi="宋体"/>
                <w:color w:val="auto"/>
              </w:rPr>
              <w:t>11</w:t>
            </w:r>
          </w:p>
        </w:tc>
        <w:tc>
          <w:tcPr>
            <w:tcW w:w="1073" w:type="pct"/>
            <w:shd w:val="clear" w:color="auto" w:fill="FFFFFF"/>
            <w:vAlign w:val="center"/>
          </w:tcPr>
          <w:p w14:paraId="5092CC82">
            <w:pPr>
              <w:jc w:val="center"/>
              <w:rPr>
                <w:rFonts w:ascii="宋体" w:hAnsi="宋体"/>
                <w:color w:val="auto"/>
              </w:rPr>
            </w:pPr>
            <w:r>
              <w:rPr>
                <w:rFonts w:hint="eastAsia" w:ascii="宋体" w:hAnsi="宋体"/>
                <w:color w:val="auto"/>
              </w:rPr>
              <w:t>站内集油管线φ159×6.0mm   20#</w:t>
            </w:r>
          </w:p>
        </w:tc>
        <w:tc>
          <w:tcPr>
            <w:tcW w:w="350" w:type="pct"/>
            <w:shd w:val="clear" w:color="auto" w:fill="FFFFFF"/>
            <w:noWrap/>
            <w:vAlign w:val="center"/>
          </w:tcPr>
          <w:p w14:paraId="1B499960">
            <w:pPr>
              <w:jc w:val="center"/>
              <w:rPr>
                <w:rFonts w:ascii="宋体" w:hAnsi="宋体"/>
                <w:color w:val="auto"/>
              </w:rPr>
            </w:pPr>
            <w:r>
              <w:rPr>
                <w:rFonts w:hint="eastAsia" w:ascii="宋体" w:hAnsi="宋体"/>
                <w:color w:val="auto"/>
              </w:rPr>
              <w:t>m</w:t>
            </w:r>
          </w:p>
        </w:tc>
        <w:tc>
          <w:tcPr>
            <w:tcW w:w="349" w:type="pct"/>
            <w:shd w:val="clear" w:color="auto" w:fill="FFFFFF"/>
            <w:noWrap/>
            <w:vAlign w:val="center"/>
          </w:tcPr>
          <w:p w14:paraId="2A9CA61A">
            <w:pPr>
              <w:jc w:val="center"/>
              <w:rPr>
                <w:rFonts w:ascii="宋体" w:hAnsi="宋体"/>
                <w:color w:val="auto"/>
              </w:rPr>
            </w:pPr>
            <w:r>
              <w:rPr>
                <w:rFonts w:hint="eastAsia" w:ascii="宋体" w:hAnsi="宋体"/>
                <w:color w:val="auto"/>
              </w:rPr>
              <w:t>48</w:t>
            </w:r>
          </w:p>
        </w:tc>
        <w:tc>
          <w:tcPr>
            <w:tcW w:w="719" w:type="pct"/>
            <w:shd w:val="clear" w:color="auto" w:fill="FFFFFF"/>
            <w:vAlign w:val="center"/>
          </w:tcPr>
          <w:p w14:paraId="57B712C9">
            <w:pPr>
              <w:jc w:val="center"/>
              <w:rPr>
                <w:rFonts w:ascii="宋体" w:hAnsi="宋体"/>
                <w:color w:val="auto"/>
              </w:rPr>
            </w:pPr>
            <w:r>
              <w:rPr>
                <w:rFonts w:hint="eastAsia" w:ascii="宋体" w:hAnsi="宋体"/>
                <w:color w:val="auto"/>
              </w:rPr>
              <w:t xml:space="preserve">集油管线DN150mm  </w:t>
            </w:r>
            <w:bookmarkStart w:id="204" w:name="OLE_LINK33"/>
            <w:r>
              <w:rPr>
                <w:rFonts w:hint="eastAsia" w:ascii="宋体" w:hAnsi="宋体"/>
                <w:color w:val="auto"/>
              </w:rPr>
              <w:t>20#</w:t>
            </w:r>
            <w:bookmarkEnd w:id="204"/>
          </w:p>
        </w:tc>
        <w:tc>
          <w:tcPr>
            <w:tcW w:w="720" w:type="pct"/>
            <w:shd w:val="clear" w:color="auto" w:fill="FFFFFF"/>
            <w:vAlign w:val="center"/>
          </w:tcPr>
          <w:p w14:paraId="3D27F833">
            <w:pPr>
              <w:jc w:val="center"/>
              <w:rPr>
                <w:rFonts w:ascii="宋体" w:hAnsi="宋体"/>
                <w:color w:val="auto"/>
              </w:rPr>
            </w:pPr>
            <w:r>
              <w:rPr>
                <w:rFonts w:hint="eastAsia" w:ascii="宋体" w:hAnsi="宋体"/>
                <w:color w:val="auto"/>
              </w:rPr>
              <w:t>m</w:t>
            </w:r>
          </w:p>
        </w:tc>
        <w:tc>
          <w:tcPr>
            <w:tcW w:w="720" w:type="pct"/>
            <w:shd w:val="clear" w:color="auto" w:fill="FFFFFF"/>
            <w:vAlign w:val="center"/>
          </w:tcPr>
          <w:p w14:paraId="50FD6006">
            <w:pPr>
              <w:jc w:val="center"/>
              <w:rPr>
                <w:rFonts w:ascii="宋体" w:hAnsi="宋体"/>
                <w:color w:val="auto"/>
              </w:rPr>
            </w:pPr>
            <w:r>
              <w:rPr>
                <w:rFonts w:hint="eastAsia" w:ascii="宋体" w:hAnsi="宋体"/>
                <w:color w:val="auto"/>
              </w:rPr>
              <w:t>890</w:t>
            </w:r>
          </w:p>
        </w:tc>
        <w:tc>
          <w:tcPr>
            <w:tcW w:w="719" w:type="pct"/>
            <w:shd w:val="clear" w:color="auto" w:fill="FFFFFF"/>
            <w:vAlign w:val="center"/>
          </w:tcPr>
          <w:p w14:paraId="4A40D647">
            <w:pPr>
              <w:jc w:val="center"/>
              <w:rPr>
                <w:rFonts w:ascii="宋体" w:hAnsi="宋体"/>
                <w:color w:val="auto"/>
              </w:rPr>
            </w:pPr>
            <w:r>
              <w:rPr>
                <w:rFonts w:hint="eastAsia" w:ascii="宋体" w:hAnsi="宋体"/>
                <w:color w:val="auto"/>
              </w:rPr>
              <w:t>樊 26-4 至高青联合站集油管线，站外部分规格采用DN150mm20#无缝钢管，距离增加842m</w:t>
            </w:r>
          </w:p>
        </w:tc>
      </w:tr>
      <w:tr w14:paraId="722CED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350" w:type="pct"/>
            <w:vMerge w:val="restart"/>
            <w:shd w:val="clear" w:color="auto" w:fill="FFFFFF"/>
            <w:noWrap/>
            <w:vAlign w:val="center"/>
          </w:tcPr>
          <w:p w14:paraId="39C6DCF7">
            <w:pPr>
              <w:jc w:val="center"/>
              <w:rPr>
                <w:rFonts w:ascii="宋体" w:hAnsi="宋体"/>
                <w:color w:val="auto"/>
              </w:rPr>
            </w:pPr>
            <w:r>
              <w:rPr>
                <w:rFonts w:hint="eastAsia" w:ascii="宋体" w:hAnsi="宋体"/>
                <w:color w:val="auto"/>
              </w:rPr>
              <w:t>12</w:t>
            </w:r>
          </w:p>
        </w:tc>
        <w:tc>
          <w:tcPr>
            <w:tcW w:w="1073" w:type="pct"/>
            <w:vMerge w:val="restart"/>
            <w:shd w:val="clear" w:color="auto" w:fill="FFFFFF"/>
            <w:vAlign w:val="center"/>
          </w:tcPr>
          <w:p w14:paraId="373EC700">
            <w:pPr>
              <w:jc w:val="center"/>
              <w:rPr>
                <w:rFonts w:ascii="宋体" w:hAnsi="宋体"/>
                <w:color w:val="auto"/>
              </w:rPr>
            </w:pPr>
            <w:r>
              <w:rPr>
                <w:rFonts w:hint="eastAsia" w:ascii="宋体" w:hAnsi="宋体"/>
                <w:color w:val="auto"/>
              </w:rPr>
              <w:t>保护套管φ273×7.1mm  Q235B</w:t>
            </w:r>
          </w:p>
        </w:tc>
        <w:tc>
          <w:tcPr>
            <w:tcW w:w="350" w:type="pct"/>
            <w:vMerge w:val="restart"/>
            <w:shd w:val="clear" w:color="auto" w:fill="FFFFFF"/>
            <w:noWrap/>
            <w:vAlign w:val="center"/>
          </w:tcPr>
          <w:p w14:paraId="1D72A341">
            <w:pPr>
              <w:jc w:val="center"/>
              <w:rPr>
                <w:rFonts w:ascii="宋体" w:hAnsi="宋体"/>
                <w:color w:val="auto"/>
              </w:rPr>
            </w:pPr>
            <w:r>
              <w:rPr>
                <w:rFonts w:hint="eastAsia" w:ascii="宋体" w:hAnsi="宋体"/>
                <w:color w:val="auto"/>
              </w:rPr>
              <w:t>m</w:t>
            </w:r>
          </w:p>
        </w:tc>
        <w:tc>
          <w:tcPr>
            <w:tcW w:w="349" w:type="pct"/>
            <w:vMerge w:val="restart"/>
            <w:shd w:val="clear" w:color="auto" w:fill="FFFFFF"/>
            <w:noWrap/>
            <w:vAlign w:val="center"/>
          </w:tcPr>
          <w:p w14:paraId="2BD2C07D">
            <w:pPr>
              <w:jc w:val="center"/>
              <w:rPr>
                <w:rFonts w:ascii="宋体" w:hAnsi="宋体"/>
                <w:color w:val="auto"/>
              </w:rPr>
            </w:pPr>
            <w:r>
              <w:rPr>
                <w:rFonts w:hint="eastAsia" w:ascii="宋体" w:hAnsi="宋体"/>
                <w:color w:val="auto"/>
              </w:rPr>
              <w:t>750</w:t>
            </w:r>
          </w:p>
        </w:tc>
        <w:tc>
          <w:tcPr>
            <w:tcW w:w="719" w:type="pct"/>
            <w:shd w:val="clear" w:color="auto" w:fill="FFFFFF"/>
            <w:vAlign w:val="center"/>
          </w:tcPr>
          <w:p w14:paraId="62F6F776">
            <w:pPr>
              <w:jc w:val="center"/>
              <w:rPr>
                <w:rFonts w:ascii="宋体" w:hAnsi="宋体"/>
                <w:color w:val="auto"/>
              </w:rPr>
            </w:pPr>
            <w:bookmarkStart w:id="205" w:name="OLE_LINK32"/>
            <w:r>
              <w:rPr>
                <w:rFonts w:hint="eastAsia" w:ascii="宋体" w:hAnsi="宋体"/>
                <w:color w:val="auto"/>
              </w:rPr>
              <w:t>保护套管φ273×7.1mm  Q235B</w:t>
            </w:r>
            <w:bookmarkEnd w:id="205"/>
          </w:p>
        </w:tc>
        <w:tc>
          <w:tcPr>
            <w:tcW w:w="720" w:type="pct"/>
            <w:vMerge w:val="restart"/>
            <w:shd w:val="clear" w:color="auto" w:fill="FFFFFF"/>
            <w:vAlign w:val="center"/>
          </w:tcPr>
          <w:p w14:paraId="2816B28C">
            <w:pPr>
              <w:jc w:val="center"/>
              <w:rPr>
                <w:rFonts w:ascii="宋体" w:hAnsi="宋体"/>
                <w:color w:val="auto"/>
              </w:rPr>
            </w:pPr>
            <w:r>
              <w:rPr>
                <w:rFonts w:hint="eastAsia" w:ascii="宋体" w:hAnsi="宋体"/>
                <w:color w:val="auto"/>
              </w:rPr>
              <w:t>m</w:t>
            </w:r>
          </w:p>
        </w:tc>
        <w:tc>
          <w:tcPr>
            <w:tcW w:w="720" w:type="pct"/>
            <w:shd w:val="clear" w:color="auto" w:fill="FFFFFF"/>
            <w:vAlign w:val="center"/>
          </w:tcPr>
          <w:p w14:paraId="4ED1D093">
            <w:pPr>
              <w:jc w:val="center"/>
              <w:rPr>
                <w:rFonts w:ascii="宋体" w:hAnsi="宋体"/>
                <w:color w:val="auto"/>
              </w:rPr>
            </w:pPr>
            <w:r>
              <w:rPr>
                <w:rFonts w:hint="eastAsia" w:ascii="宋体" w:hAnsi="宋体"/>
                <w:color w:val="auto"/>
              </w:rPr>
              <w:t>982</w:t>
            </w:r>
          </w:p>
        </w:tc>
        <w:tc>
          <w:tcPr>
            <w:tcW w:w="719" w:type="pct"/>
            <w:vMerge w:val="restart"/>
            <w:shd w:val="clear" w:color="auto" w:fill="FFFFFF"/>
            <w:vAlign w:val="center"/>
          </w:tcPr>
          <w:p w14:paraId="250E82CC">
            <w:pPr>
              <w:jc w:val="center"/>
              <w:rPr>
                <w:rFonts w:ascii="宋体" w:hAnsi="宋体"/>
                <w:color w:val="auto"/>
              </w:rPr>
            </w:pPr>
            <w:r>
              <w:rPr>
                <w:rFonts w:hint="eastAsia" w:ascii="宋体" w:hAnsi="宋体"/>
                <w:color w:val="auto"/>
              </w:rPr>
              <w:t>规格调整，长度增加578m</w:t>
            </w:r>
          </w:p>
        </w:tc>
      </w:tr>
      <w:tr w14:paraId="318905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108" w:type="dxa"/>
            <w:bottom w:w="0" w:type="dxa"/>
            <w:right w:w="108" w:type="dxa"/>
          </w:tblCellMar>
        </w:tblPrEx>
        <w:trPr>
          <w:trHeight w:val="270" w:hRule="atLeast"/>
        </w:trPr>
        <w:tc>
          <w:tcPr>
            <w:tcW w:w="350" w:type="pct"/>
            <w:vMerge w:val="continue"/>
            <w:shd w:val="clear" w:color="auto" w:fill="FFFFFF"/>
            <w:noWrap/>
            <w:vAlign w:val="center"/>
          </w:tcPr>
          <w:p w14:paraId="6C2B5F9F">
            <w:pPr>
              <w:jc w:val="center"/>
              <w:rPr>
                <w:rFonts w:ascii="宋体" w:hAnsi="宋体"/>
                <w:color w:val="auto"/>
              </w:rPr>
            </w:pPr>
          </w:p>
        </w:tc>
        <w:tc>
          <w:tcPr>
            <w:tcW w:w="1073" w:type="pct"/>
            <w:vMerge w:val="continue"/>
            <w:shd w:val="clear" w:color="auto" w:fill="FFFFFF"/>
            <w:vAlign w:val="center"/>
          </w:tcPr>
          <w:p w14:paraId="585D1323">
            <w:pPr>
              <w:jc w:val="center"/>
              <w:rPr>
                <w:rFonts w:ascii="宋体" w:hAnsi="宋体"/>
                <w:color w:val="auto"/>
              </w:rPr>
            </w:pPr>
          </w:p>
        </w:tc>
        <w:tc>
          <w:tcPr>
            <w:tcW w:w="350" w:type="pct"/>
            <w:vMerge w:val="continue"/>
            <w:shd w:val="clear" w:color="auto" w:fill="FFFFFF"/>
            <w:noWrap/>
            <w:vAlign w:val="center"/>
          </w:tcPr>
          <w:p w14:paraId="40F9B318">
            <w:pPr>
              <w:jc w:val="center"/>
              <w:rPr>
                <w:rFonts w:ascii="宋体" w:hAnsi="宋体"/>
                <w:color w:val="auto"/>
              </w:rPr>
            </w:pPr>
          </w:p>
        </w:tc>
        <w:tc>
          <w:tcPr>
            <w:tcW w:w="349" w:type="pct"/>
            <w:vMerge w:val="continue"/>
            <w:shd w:val="clear" w:color="auto" w:fill="FFFFFF"/>
            <w:noWrap/>
            <w:vAlign w:val="center"/>
          </w:tcPr>
          <w:p w14:paraId="12149360">
            <w:pPr>
              <w:jc w:val="center"/>
              <w:rPr>
                <w:rFonts w:ascii="宋体" w:hAnsi="宋体"/>
                <w:color w:val="auto"/>
              </w:rPr>
            </w:pPr>
          </w:p>
        </w:tc>
        <w:tc>
          <w:tcPr>
            <w:tcW w:w="719" w:type="pct"/>
            <w:shd w:val="clear" w:color="auto" w:fill="FFFFFF"/>
            <w:vAlign w:val="center"/>
          </w:tcPr>
          <w:p w14:paraId="08BB41D5">
            <w:pPr>
              <w:jc w:val="center"/>
              <w:rPr>
                <w:rFonts w:ascii="宋体" w:hAnsi="宋体"/>
                <w:color w:val="auto"/>
              </w:rPr>
            </w:pPr>
            <w:r>
              <w:rPr>
                <w:rFonts w:hint="eastAsia" w:ascii="宋体" w:hAnsi="宋体"/>
                <w:color w:val="auto"/>
              </w:rPr>
              <w:t>保护套管φ355.6×7.1mm  Q235B</w:t>
            </w:r>
          </w:p>
        </w:tc>
        <w:tc>
          <w:tcPr>
            <w:tcW w:w="720" w:type="pct"/>
            <w:vMerge w:val="continue"/>
            <w:shd w:val="clear" w:color="auto" w:fill="FFFFFF"/>
            <w:vAlign w:val="center"/>
          </w:tcPr>
          <w:p w14:paraId="41AED560">
            <w:pPr>
              <w:jc w:val="center"/>
              <w:rPr>
                <w:rFonts w:ascii="宋体" w:hAnsi="宋体"/>
                <w:color w:val="auto"/>
              </w:rPr>
            </w:pPr>
          </w:p>
        </w:tc>
        <w:tc>
          <w:tcPr>
            <w:tcW w:w="720" w:type="pct"/>
            <w:shd w:val="clear" w:color="auto" w:fill="FFFFFF"/>
            <w:vAlign w:val="center"/>
          </w:tcPr>
          <w:p w14:paraId="6C4E387C">
            <w:pPr>
              <w:jc w:val="center"/>
              <w:rPr>
                <w:rFonts w:ascii="宋体" w:hAnsi="宋体"/>
                <w:color w:val="auto"/>
              </w:rPr>
            </w:pPr>
            <w:r>
              <w:rPr>
                <w:rFonts w:hint="eastAsia" w:ascii="宋体" w:hAnsi="宋体"/>
                <w:color w:val="auto"/>
              </w:rPr>
              <w:t>346</w:t>
            </w:r>
          </w:p>
        </w:tc>
        <w:tc>
          <w:tcPr>
            <w:tcW w:w="719" w:type="pct"/>
            <w:vMerge w:val="continue"/>
            <w:shd w:val="clear" w:color="auto" w:fill="FFFFFF"/>
            <w:vAlign w:val="center"/>
          </w:tcPr>
          <w:p w14:paraId="6728A2B8">
            <w:pPr>
              <w:jc w:val="center"/>
              <w:rPr>
                <w:rFonts w:ascii="宋体" w:hAnsi="宋体"/>
                <w:color w:val="auto"/>
              </w:rPr>
            </w:pPr>
          </w:p>
        </w:tc>
      </w:tr>
      <w:tr w14:paraId="52BB21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shd w:val="clear" w:color="auto" w:fill="FFFFFF"/>
            <w:noWrap/>
            <w:vAlign w:val="center"/>
          </w:tcPr>
          <w:p w14:paraId="0F6FA4C7">
            <w:pPr>
              <w:jc w:val="center"/>
              <w:rPr>
                <w:rFonts w:ascii="宋体" w:hAnsi="宋体"/>
                <w:color w:val="auto"/>
              </w:rPr>
            </w:pPr>
            <w:r>
              <w:rPr>
                <w:rFonts w:hint="eastAsia" w:ascii="宋体" w:hAnsi="宋体"/>
                <w:color w:val="auto"/>
              </w:rPr>
              <w:t>13</w:t>
            </w:r>
          </w:p>
        </w:tc>
        <w:tc>
          <w:tcPr>
            <w:tcW w:w="1073" w:type="pct"/>
            <w:shd w:val="clear" w:color="auto" w:fill="FFFFFF"/>
            <w:vAlign w:val="center"/>
          </w:tcPr>
          <w:p w14:paraId="259C2452">
            <w:pPr>
              <w:jc w:val="center"/>
              <w:rPr>
                <w:rFonts w:ascii="宋体" w:hAnsi="宋体"/>
                <w:color w:val="auto"/>
              </w:rPr>
            </w:pPr>
            <w:r>
              <w:rPr>
                <w:rFonts w:hint="eastAsia" w:ascii="宋体" w:hAnsi="宋体"/>
                <w:color w:val="auto"/>
              </w:rPr>
              <w:t>800kW加热炉拆除</w:t>
            </w:r>
          </w:p>
        </w:tc>
        <w:tc>
          <w:tcPr>
            <w:tcW w:w="350" w:type="pct"/>
            <w:shd w:val="clear" w:color="auto" w:fill="FFFFFF"/>
            <w:noWrap/>
            <w:vAlign w:val="center"/>
          </w:tcPr>
          <w:p w14:paraId="259B2562">
            <w:pPr>
              <w:jc w:val="center"/>
              <w:rPr>
                <w:rFonts w:ascii="宋体" w:hAnsi="宋体"/>
                <w:color w:val="auto"/>
              </w:rPr>
            </w:pPr>
            <w:r>
              <w:rPr>
                <w:rFonts w:hint="eastAsia" w:ascii="宋体" w:hAnsi="宋体"/>
                <w:color w:val="auto"/>
              </w:rPr>
              <w:t>座</w:t>
            </w:r>
          </w:p>
        </w:tc>
        <w:tc>
          <w:tcPr>
            <w:tcW w:w="349" w:type="pct"/>
            <w:shd w:val="clear" w:color="auto" w:fill="FFFFFF"/>
            <w:noWrap/>
            <w:vAlign w:val="center"/>
          </w:tcPr>
          <w:p w14:paraId="46D66A1E">
            <w:pPr>
              <w:jc w:val="center"/>
              <w:rPr>
                <w:rFonts w:ascii="宋体" w:hAnsi="宋体"/>
                <w:color w:val="auto"/>
              </w:rPr>
            </w:pPr>
            <w:r>
              <w:rPr>
                <w:rFonts w:hint="eastAsia" w:ascii="宋体" w:hAnsi="宋体"/>
                <w:color w:val="auto"/>
              </w:rPr>
              <w:t>1</w:t>
            </w:r>
          </w:p>
        </w:tc>
        <w:tc>
          <w:tcPr>
            <w:tcW w:w="719" w:type="pct"/>
            <w:shd w:val="clear" w:color="auto" w:fill="FFFFFF"/>
            <w:vAlign w:val="center"/>
          </w:tcPr>
          <w:p w14:paraId="3CA7681D">
            <w:pPr>
              <w:jc w:val="center"/>
              <w:rPr>
                <w:rFonts w:ascii="宋体" w:hAnsi="宋体"/>
                <w:color w:val="auto"/>
              </w:rPr>
            </w:pPr>
            <w:r>
              <w:rPr>
                <w:rFonts w:hint="eastAsia" w:ascii="宋体" w:hAnsi="宋体"/>
                <w:color w:val="auto"/>
              </w:rPr>
              <w:t>800kW加热炉拆除</w:t>
            </w:r>
          </w:p>
        </w:tc>
        <w:tc>
          <w:tcPr>
            <w:tcW w:w="720" w:type="pct"/>
            <w:shd w:val="clear" w:color="auto" w:fill="FFFFFF"/>
            <w:vAlign w:val="center"/>
          </w:tcPr>
          <w:p w14:paraId="7770860E">
            <w:pPr>
              <w:jc w:val="center"/>
              <w:rPr>
                <w:rFonts w:ascii="宋体" w:hAnsi="宋体"/>
                <w:color w:val="auto"/>
              </w:rPr>
            </w:pPr>
            <w:r>
              <w:rPr>
                <w:rFonts w:hint="eastAsia" w:ascii="宋体" w:hAnsi="宋体"/>
                <w:color w:val="auto"/>
              </w:rPr>
              <w:t>座</w:t>
            </w:r>
          </w:p>
        </w:tc>
        <w:tc>
          <w:tcPr>
            <w:tcW w:w="720" w:type="pct"/>
            <w:shd w:val="clear" w:color="auto" w:fill="FFFFFF"/>
            <w:vAlign w:val="center"/>
          </w:tcPr>
          <w:p w14:paraId="73B572FB">
            <w:pPr>
              <w:jc w:val="center"/>
              <w:rPr>
                <w:rFonts w:ascii="宋体" w:hAnsi="宋体"/>
                <w:b/>
                <w:color w:val="auto"/>
              </w:rPr>
            </w:pPr>
            <w:r>
              <w:rPr>
                <w:rFonts w:hint="eastAsia" w:ascii="宋体" w:hAnsi="宋体"/>
                <w:b/>
                <w:color w:val="auto"/>
              </w:rPr>
              <w:t>2</w:t>
            </w:r>
          </w:p>
        </w:tc>
        <w:tc>
          <w:tcPr>
            <w:tcW w:w="719" w:type="pct"/>
            <w:shd w:val="clear" w:color="auto" w:fill="FFFFFF"/>
            <w:vAlign w:val="center"/>
          </w:tcPr>
          <w:p w14:paraId="1AC8A9FA">
            <w:pPr>
              <w:jc w:val="center"/>
              <w:rPr>
                <w:rFonts w:ascii="宋体" w:hAnsi="宋体"/>
                <w:b/>
                <w:color w:val="auto"/>
              </w:rPr>
            </w:pPr>
            <w:r>
              <w:rPr>
                <w:rFonts w:hint="eastAsia" w:ascii="宋体" w:hAnsi="宋体"/>
                <w:b/>
                <w:color w:val="auto"/>
              </w:rPr>
              <w:t>由拆除1座改为拆除2座</w:t>
            </w:r>
          </w:p>
        </w:tc>
      </w:tr>
      <w:tr w14:paraId="75EB8B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0" w:type="pct"/>
            <w:shd w:val="clear" w:color="auto" w:fill="FFFFFF"/>
            <w:noWrap/>
            <w:vAlign w:val="center"/>
          </w:tcPr>
          <w:p w14:paraId="75BC0A75">
            <w:pPr>
              <w:jc w:val="center"/>
              <w:rPr>
                <w:rFonts w:ascii="宋体" w:hAnsi="宋体"/>
                <w:color w:val="auto"/>
              </w:rPr>
            </w:pPr>
            <w:r>
              <w:rPr>
                <w:rFonts w:hint="eastAsia" w:ascii="宋体" w:hAnsi="宋体"/>
                <w:color w:val="auto"/>
              </w:rPr>
              <w:t>14</w:t>
            </w:r>
          </w:p>
        </w:tc>
        <w:tc>
          <w:tcPr>
            <w:tcW w:w="1073" w:type="pct"/>
            <w:shd w:val="clear" w:color="auto" w:fill="FFFFFF"/>
            <w:vAlign w:val="center"/>
          </w:tcPr>
          <w:p w14:paraId="453C0457">
            <w:pPr>
              <w:jc w:val="center"/>
              <w:rPr>
                <w:rFonts w:ascii="宋体" w:hAnsi="宋体"/>
                <w:color w:val="auto"/>
              </w:rPr>
            </w:pPr>
            <w:r>
              <w:rPr>
                <w:rFonts w:hint="eastAsia" w:ascii="宋体" w:hAnsi="宋体"/>
                <w:color w:val="auto"/>
              </w:rPr>
              <w:t>管线拆除</w:t>
            </w:r>
          </w:p>
        </w:tc>
        <w:tc>
          <w:tcPr>
            <w:tcW w:w="350" w:type="pct"/>
            <w:shd w:val="clear" w:color="auto" w:fill="FFFFFF"/>
            <w:noWrap/>
            <w:vAlign w:val="center"/>
          </w:tcPr>
          <w:p w14:paraId="4A239A6E">
            <w:pPr>
              <w:jc w:val="center"/>
              <w:rPr>
                <w:rFonts w:ascii="宋体" w:hAnsi="宋体"/>
                <w:color w:val="auto"/>
              </w:rPr>
            </w:pPr>
            <w:r>
              <w:rPr>
                <w:rFonts w:hint="eastAsia" w:ascii="宋体" w:hAnsi="宋体"/>
                <w:color w:val="auto"/>
              </w:rPr>
              <w:t>m</w:t>
            </w:r>
          </w:p>
        </w:tc>
        <w:tc>
          <w:tcPr>
            <w:tcW w:w="349" w:type="pct"/>
            <w:shd w:val="clear" w:color="auto" w:fill="FFFFFF"/>
            <w:noWrap/>
            <w:vAlign w:val="center"/>
          </w:tcPr>
          <w:p w14:paraId="156F666C">
            <w:pPr>
              <w:jc w:val="center"/>
              <w:rPr>
                <w:rFonts w:ascii="宋体" w:hAnsi="宋体"/>
                <w:color w:val="auto"/>
              </w:rPr>
            </w:pPr>
            <w:r>
              <w:rPr>
                <w:rFonts w:hint="eastAsia" w:ascii="宋体" w:hAnsi="宋体"/>
                <w:color w:val="auto"/>
              </w:rPr>
              <w:t>72</w:t>
            </w:r>
          </w:p>
        </w:tc>
        <w:tc>
          <w:tcPr>
            <w:tcW w:w="719" w:type="pct"/>
            <w:shd w:val="clear" w:color="auto" w:fill="FFFFFF"/>
            <w:vAlign w:val="center"/>
          </w:tcPr>
          <w:p w14:paraId="2457901F">
            <w:pPr>
              <w:jc w:val="center"/>
              <w:rPr>
                <w:rFonts w:ascii="宋体" w:hAnsi="宋体"/>
                <w:color w:val="auto"/>
              </w:rPr>
            </w:pPr>
            <w:r>
              <w:rPr>
                <w:rFonts w:hint="eastAsia" w:ascii="宋体" w:hAnsi="宋体"/>
                <w:color w:val="auto"/>
              </w:rPr>
              <w:t>管线拆除</w:t>
            </w:r>
          </w:p>
        </w:tc>
        <w:tc>
          <w:tcPr>
            <w:tcW w:w="720" w:type="pct"/>
            <w:shd w:val="clear" w:color="auto" w:fill="FFFFFF"/>
            <w:vAlign w:val="center"/>
          </w:tcPr>
          <w:p w14:paraId="45F6D66A">
            <w:pPr>
              <w:jc w:val="center"/>
              <w:rPr>
                <w:rFonts w:ascii="宋体" w:hAnsi="宋体"/>
                <w:color w:val="auto"/>
              </w:rPr>
            </w:pPr>
            <w:r>
              <w:rPr>
                <w:rFonts w:hint="eastAsia" w:ascii="宋体" w:hAnsi="宋体"/>
                <w:color w:val="auto"/>
              </w:rPr>
              <w:t>m</w:t>
            </w:r>
          </w:p>
        </w:tc>
        <w:tc>
          <w:tcPr>
            <w:tcW w:w="720" w:type="pct"/>
            <w:shd w:val="clear" w:color="auto" w:fill="FFFFFF"/>
            <w:vAlign w:val="center"/>
          </w:tcPr>
          <w:p w14:paraId="09EF943A">
            <w:pPr>
              <w:jc w:val="center"/>
              <w:rPr>
                <w:rFonts w:ascii="宋体" w:hAnsi="宋体"/>
                <w:color w:val="auto"/>
              </w:rPr>
            </w:pPr>
            <w:r>
              <w:rPr>
                <w:rFonts w:hint="eastAsia" w:ascii="宋体" w:hAnsi="宋体"/>
                <w:color w:val="auto"/>
              </w:rPr>
              <w:t>/</w:t>
            </w:r>
          </w:p>
        </w:tc>
        <w:tc>
          <w:tcPr>
            <w:tcW w:w="719" w:type="pct"/>
            <w:shd w:val="clear" w:color="auto" w:fill="FFFFFF"/>
            <w:vAlign w:val="center"/>
          </w:tcPr>
          <w:p w14:paraId="145BBB8A">
            <w:pPr>
              <w:jc w:val="center"/>
              <w:rPr>
                <w:rFonts w:ascii="宋体" w:hAnsi="宋体"/>
                <w:color w:val="auto"/>
              </w:rPr>
            </w:pPr>
            <w:r>
              <w:rPr>
                <w:rFonts w:hint="eastAsia" w:ascii="宋体" w:hAnsi="宋体"/>
                <w:color w:val="auto"/>
              </w:rPr>
              <w:t>/</w:t>
            </w:r>
          </w:p>
        </w:tc>
      </w:tr>
    </w:tbl>
    <w:p w14:paraId="69D41C14">
      <w:pPr>
        <w:rPr>
          <w:color w:val="auto"/>
        </w:rPr>
      </w:pPr>
    </w:p>
    <w:p w14:paraId="7E42C8A3">
      <w:pPr>
        <w:pStyle w:val="4"/>
        <w:ind w:firstLine="480"/>
        <w:rPr>
          <w:color w:val="auto"/>
        </w:rPr>
        <w:sectPr>
          <w:pgSz w:w="16838" w:h="11906" w:orient="landscape"/>
          <w:pgMar w:top="1588" w:right="1418" w:bottom="1588" w:left="1418" w:header="1134" w:footer="851" w:gutter="0"/>
          <w:cols w:space="720" w:num="1"/>
          <w:docGrid w:linePitch="312" w:charSpace="0"/>
        </w:sectPr>
      </w:pPr>
    </w:p>
    <w:p w14:paraId="1FC2F3B7">
      <w:pPr>
        <w:pStyle w:val="4"/>
        <w:ind w:firstLine="48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bookmarkStart w:id="206" w:name="OLE_LINK325"/>
      <w:bookmarkStart w:id="207" w:name="OLE_LINK326"/>
      <w:r>
        <w:rPr>
          <w:rFonts w:hint="eastAsia"/>
          <w:color w:val="auto"/>
        </w:rPr>
        <w:t>樊18、樊26区块拉改输</w:t>
      </w:r>
      <w:bookmarkEnd w:id="206"/>
      <w:bookmarkEnd w:id="207"/>
    </w:p>
    <w:p w14:paraId="092D7A86">
      <w:pPr>
        <w:pStyle w:val="4"/>
        <w:ind w:firstLine="480"/>
        <w:rPr>
          <w:color w:val="auto"/>
        </w:rPr>
      </w:pPr>
      <w:r>
        <w:rPr>
          <w:rFonts w:hint="eastAsia"/>
          <w:color w:val="auto"/>
        </w:rPr>
        <w:t>环评阶段：新建DN65集油管线9.47km，新建DN80集油管线1.5km，新建DN40掺水管线1.7km，高青联合站内新建掺水泵2台。</w:t>
      </w:r>
    </w:p>
    <w:p w14:paraId="39B452CD">
      <w:pPr>
        <w:pStyle w:val="4"/>
        <w:ind w:firstLine="480"/>
        <w:rPr>
          <w:color w:val="auto"/>
        </w:rPr>
      </w:pPr>
      <w:r>
        <w:rPr>
          <w:rFonts w:hint="eastAsia"/>
          <w:color w:val="auto"/>
        </w:rPr>
        <w:t>实际建设阶段：</w:t>
      </w:r>
    </w:p>
    <w:p w14:paraId="53C18204">
      <w:pPr>
        <w:pStyle w:val="4"/>
        <w:ind w:firstLine="480"/>
        <w:rPr>
          <w:color w:val="auto"/>
        </w:rPr>
      </w:pPr>
      <w:r>
        <w:rPr>
          <w:rFonts w:hint="eastAsia"/>
          <w:color w:val="auto"/>
        </w:rPr>
        <w:t>新建DN65集油管线7.148km，新建</w:t>
      </w:r>
      <w:bookmarkStart w:id="208" w:name="OLE_LINK338"/>
      <w:bookmarkStart w:id="209" w:name="OLE_LINK339"/>
      <w:r>
        <w:rPr>
          <w:rFonts w:hint="eastAsia"/>
          <w:color w:val="auto"/>
        </w:rPr>
        <w:t>DN80集油管线1.02km</w:t>
      </w:r>
      <w:bookmarkEnd w:id="208"/>
      <w:bookmarkEnd w:id="209"/>
      <w:r>
        <w:rPr>
          <w:rFonts w:hint="eastAsia"/>
          <w:color w:val="auto"/>
        </w:rPr>
        <w:t>，新建DN40掺水管线0.7km，φ48×4.0mm 钢管0.3km，DN</w:t>
      </w:r>
      <w:r>
        <w:rPr>
          <w:color w:val="auto"/>
        </w:rPr>
        <w:t>150</w:t>
      </w:r>
      <w:r>
        <w:rPr>
          <w:rFonts w:hint="eastAsia"/>
          <w:color w:val="auto"/>
        </w:rPr>
        <w:t>集油管线</w:t>
      </w:r>
      <w:r>
        <w:rPr>
          <w:color w:val="auto"/>
        </w:rPr>
        <w:t>0.89</w:t>
      </w:r>
      <w:r>
        <w:rPr>
          <w:rFonts w:hint="eastAsia"/>
          <w:color w:val="auto"/>
        </w:rPr>
        <w:t>km。高青联合站内新建掺水泵2台。</w:t>
      </w:r>
    </w:p>
    <w:p w14:paraId="09552612">
      <w:pPr>
        <w:pStyle w:val="4"/>
        <w:ind w:firstLine="480"/>
        <w:rPr>
          <w:color w:val="auto"/>
        </w:rPr>
      </w:pPr>
      <w:r>
        <w:rPr>
          <w:rFonts w:hint="eastAsia"/>
          <w:color w:val="auto"/>
        </w:rPr>
        <w:t>新建高青联合站至樊26-4掺水管线，管线起点位于高青联合站新建掺水泵出口汇管，管线采用水平定向钻法穿越沥青路、济高高速后，折向西敷设至樊26-4井场；</w:t>
      </w:r>
    </w:p>
    <w:p w14:paraId="34DC7A46">
      <w:pPr>
        <w:pStyle w:val="4"/>
        <w:ind w:firstLine="480"/>
        <w:rPr>
          <w:color w:val="auto"/>
        </w:rPr>
      </w:pPr>
      <w:r>
        <w:rPr>
          <w:rFonts w:hint="eastAsia"/>
          <w:color w:val="auto"/>
        </w:rPr>
        <w:t>新建樊26-4至高青联合站集油管线，管线起点位于樊26-4油井，管线出井场后向西北方向敷设约2000m至樊18-侧35井场（途中串接樊26-1、樊18-39、樊18-斜209油井），之后折向西南方向敷设约1050m至樊18-侧33井场，再折向东南方向敷设，采用水平定向钻法穿越济高高速、二斗沟后，继续向东南方向敷设至樊107井场，最后折向东敷设至管理区东北角后，采用水平定向钻法穿越至高青联合站。</w:t>
      </w:r>
    </w:p>
    <w:p w14:paraId="548B1F61">
      <w:pPr>
        <w:pStyle w:val="4"/>
        <w:ind w:firstLine="0" w:firstLineChars="0"/>
        <w:rPr>
          <w:color w:val="auto"/>
        </w:rPr>
      </w:pPr>
      <w:r>
        <w:rPr>
          <w:color w:val="auto"/>
        </w:rPr>
        <mc:AlternateContent>
          <mc:Choice Requires="wps">
            <w:drawing>
              <wp:anchor distT="0" distB="0" distL="114300" distR="114300" simplePos="0" relativeHeight="251707392" behindDoc="0" locked="0" layoutInCell="1" allowOverlap="1">
                <wp:simplePos x="0" y="0"/>
                <wp:positionH relativeFrom="column">
                  <wp:posOffset>3705860</wp:posOffset>
                </wp:positionH>
                <wp:positionV relativeFrom="paragraph">
                  <wp:posOffset>3158490</wp:posOffset>
                </wp:positionV>
                <wp:extent cx="873760" cy="332740"/>
                <wp:effectExtent l="0" t="0" r="3175" b="0"/>
                <wp:wrapNone/>
                <wp:docPr id="1981612527" name="文本框 1981612527"/>
                <wp:cNvGraphicFramePr/>
                <a:graphic xmlns:a="http://schemas.openxmlformats.org/drawingml/2006/main">
                  <a:graphicData uri="http://schemas.microsoft.com/office/word/2010/wordprocessingShape">
                    <wps:wsp>
                      <wps:cNvSpPr txBox="1"/>
                      <wps:spPr>
                        <a:xfrm>
                          <a:off x="0" y="0"/>
                          <a:ext cx="873457" cy="332550"/>
                        </a:xfrm>
                        <a:prstGeom prst="rect">
                          <a:avLst/>
                        </a:prstGeom>
                        <a:solidFill>
                          <a:schemeClr val="lt1"/>
                        </a:solidFill>
                        <a:ln w="6350">
                          <a:noFill/>
                        </a:ln>
                      </wps:spPr>
                      <wps:txbx>
                        <w:txbxContent>
                          <w:p w14:paraId="2F113587">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150</w:t>
                            </w:r>
                            <w:r>
                              <w:rPr>
                                <w:rFonts w:hint="eastAsia"/>
                                <w:b/>
                                <w:color w:val="C00000"/>
                                <w:sz w:val="15"/>
                              </w:rPr>
                              <w:t>=</w:t>
                            </w:r>
                            <w:r>
                              <w:rPr>
                                <w:b/>
                                <w:color w:val="C00000"/>
                                <w:sz w:val="15"/>
                              </w:rPr>
                              <w:t>0.89km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8pt;margin-top:248.7pt;height:26.2pt;width:68.8pt;z-index:251707392;mso-width-relative:page;mso-height-relative:page;" fillcolor="#FFFFFF [3201]" filled="t" stroked="f" coordsize="21600,21600" o:gfxdata="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XOJjkNcAAAAL&#10;AQAADwAAAAAAAAABACAAAAAiAAAAZHJzL2Rvd25yZXYueG1sUEsBAhQAFAAAAAgAh07iQAj3oPVW&#10;AgAAoAQAAA4AAAAAAAAAAQAgAAAAJgEAAGRycy9lMm9Eb2MueG1sUEsFBgAAAAAGAAYAWQEAAO4F&#10;AAAAAA==&#10;">
                <v:fill on="t" focussize="0,0"/>
                <v:stroke on="f" weight="0.5pt"/>
                <v:imagedata o:title=""/>
                <o:lock v:ext="edit" aspectratio="f"/>
                <v:textbox>
                  <w:txbxContent>
                    <w:p w14:paraId="2F113587">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150</w:t>
                      </w:r>
                      <w:r>
                        <w:rPr>
                          <w:rFonts w:hint="eastAsia"/>
                          <w:b/>
                          <w:color w:val="C00000"/>
                          <w:sz w:val="15"/>
                        </w:rPr>
                        <w:t>=</w:t>
                      </w:r>
                      <w:r>
                        <w:rPr>
                          <w:b/>
                          <w:color w:val="C00000"/>
                          <w:sz w:val="15"/>
                        </w:rPr>
                        <w:t>0.89km</w:t>
                      </w:r>
                    </w:p>
                  </w:txbxContent>
                </v:textbox>
              </v:shape>
            </w:pict>
          </mc:Fallback>
        </mc:AlternateContent>
      </w:r>
      <w:r>
        <w:rPr>
          <w:color w:val="auto"/>
        </w:rPr>
        <mc:AlternateContent>
          <mc:Choice Requires="wps">
            <w:drawing>
              <wp:anchor distT="0" distB="0" distL="114300" distR="114300" simplePos="0" relativeHeight="251685888" behindDoc="0" locked="0" layoutInCell="1" allowOverlap="1">
                <wp:simplePos x="0" y="0"/>
                <wp:positionH relativeFrom="column">
                  <wp:posOffset>4483735</wp:posOffset>
                </wp:positionH>
                <wp:positionV relativeFrom="paragraph">
                  <wp:posOffset>2059940</wp:posOffset>
                </wp:positionV>
                <wp:extent cx="759460" cy="468630"/>
                <wp:effectExtent l="0" t="0" r="2540" b="7620"/>
                <wp:wrapNone/>
                <wp:docPr id="1981612502" name="文本框 1981612502"/>
                <wp:cNvGraphicFramePr/>
                <a:graphic xmlns:a="http://schemas.openxmlformats.org/drawingml/2006/main">
                  <a:graphicData uri="http://schemas.microsoft.com/office/word/2010/wordprocessingShape">
                    <wps:wsp>
                      <wps:cNvSpPr txBox="1"/>
                      <wps:spPr>
                        <a:xfrm>
                          <a:off x="0" y="0"/>
                          <a:ext cx="759460" cy="468918"/>
                        </a:xfrm>
                        <a:prstGeom prst="rect">
                          <a:avLst/>
                        </a:prstGeom>
                        <a:solidFill>
                          <a:schemeClr val="lt1"/>
                        </a:solidFill>
                        <a:ln w="6350">
                          <a:noFill/>
                        </a:ln>
                      </wps:spPr>
                      <wps:txbx>
                        <w:txbxContent>
                          <w:p w14:paraId="2E9C8D39">
                            <w:pPr>
                              <w:adjustRightInd w:val="0"/>
                              <w:snapToGrid w:val="0"/>
                              <w:rPr>
                                <w:b/>
                                <w:sz w:val="15"/>
                              </w:rPr>
                            </w:pPr>
                            <w:r>
                              <w:rPr>
                                <w:rFonts w:hint="eastAsia"/>
                                <w:b/>
                                <w:sz w:val="15"/>
                              </w:rPr>
                              <w:t>定向钻穿越沥青路至高青联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05pt;margin-top:162.2pt;height:36.9pt;width:59.8pt;z-index:251685888;mso-width-relative:page;mso-height-relative:page;" fillcolor="#FFFFFF [3201]" filled="t" stroked="f" coordsize="21600,21600" o:gfxdata="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DTF/mDXAAAA&#10;CwEAAA8AAAAAAAAAAQAgAAAAIgAAAGRycy9kb3ducmV2LnhtbFBLAQIUABQAAAAIAIdO4kD0VTli&#10;VwIAAKAEAAAOAAAAAAAAAAEAIAAAACYBAABkcnMvZTJvRG9jLnhtbFBLBQYAAAAABgAGAFkBAADv&#10;BQAAAAA=&#10;">
                <v:fill on="t" focussize="0,0"/>
                <v:stroke on="f" weight="0.5pt"/>
                <v:imagedata o:title=""/>
                <o:lock v:ext="edit" aspectratio="f"/>
                <v:textbox>
                  <w:txbxContent>
                    <w:p w14:paraId="2E9C8D39">
                      <w:pPr>
                        <w:adjustRightInd w:val="0"/>
                        <w:snapToGrid w:val="0"/>
                        <w:rPr>
                          <w:b/>
                          <w:sz w:val="15"/>
                        </w:rPr>
                      </w:pPr>
                      <w:r>
                        <w:rPr>
                          <w:rFonts w:hint="eastAsia"/>
                          <w:b/>
                          <w:sz w:val="15"/>
                        </w:rPr>
                        <w:t>定向钻穿越沥青路至高青联</w:t>
                      </w:r>
                    </w:p>
                  </w:txbxContent>
                </v:textbox>
              </v:shape>
            </w:pict>
          </mc:Fallback>
        </mc:AlternateContent>
      </w:r>
      <w:r>
        <w:rPr>
          <w:color w:val="auto"/>
        </w:rPr>
        <mc:AlternateContent>
          <mc:Choice Requires="wps">
            <w:drawing>
              <wp:anchor distT="0" distB="0" distL="114300" distR="114300" simplePos="0" relativeHeight="251677696" behindDoc="0" locked="0" layoutInCell="1" allowOverlap="1">
                <wp:simplePos x="0" y="0"/>
                <wp:positionH relativeFrom="column">
                  <wp:posOffset>3625215</wp:posOffset>
                </wp:positionH>
                <wp:positionV relativeFrom="paragraph">
                  <wp:posOffset>1901190</wp:posOffset>
                </wp:positionV>
                <wp:extent cx="842645" cy="344170"/>
                <wp:effectExtent l="0" t="0" r="0" b="0"/>
                <wp:wrapNone/>
                <wp:docPr id="1981612494" name="文本框 1981612494"/>
                <wp:cNvGraphicFramePr/>
                <a:graphic xmlns:a="http://schemas.openxmlformats.org/drawingml/2006/main">
                  <a:graphicData uri="http://schemas.microsoft.com/office/word/2010/wordprocessingShape">
                    <wps:wsp>
                      <wps:cNvSpPr txBox="1"/>
                      <wps:spPr>
                        <a:xfrm>
                          <a:off x="0" y="0"/>
                          <a:ext cx="842838" cy="344226"/>
                        </a:xfrm>
                        <a:prstGeom prst="rect">
                          <a:avLst/>
                        </a:prstGeom>
                        <a:solidFill>
                          <a:schemeClr val="lt1"/>
                        </a:solidFill>
                        <a:ln w="6350">
                          <a:noFill/>
                        </a:ln>
                      </wps:spPr>
                      <wps:txbx>
                        <w:txbxContent>
                          <w:p w14:paraId="2008CA44">
                            <w:pPr>
                              <w:adjustRightInd w:val="0"/>
                              <w:snapToGrid w:val="0"/>
                              <w:rPr>
                                <w:b/>
                                <w:sz w:val="15"/>
                              </w:rPr>
                            </w:pPr>
                            <w:r>
                              <w:rPr>
                                <w:rFonts w:hint="eastAsia"/>
                                <w:b/>
                                <w:sz w:val="15"/>
                              </w:rPr>
                              <w:t>新建</w:t>
                            </w:r>
                            <w:r>
                              <w:rPr>
                                <w:b/>
                                <w:sz w:val="15"/>
                              </w:rPr>
                              <w:t>掺水管线</w:t>
                            </w:r>
                            <w:r>
                              <w:rPr>
                                <w:rFonts w:hint="eastAsia"/>
                                <w:b/>
                                <w:sz w:val="15"/>
                              </w:rPr>
                              <w:t xml:space="preserve"> DN40=1000</w:t>
                            </w:r>
                            <w:r>
                              <w:rPr>
                                <w:b/>
                                <w:sz w:val="15"/>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45pt;margin-top:149.7pt;height:27.1pt;width:66.35pt;z-index:251677696;mso-width-relative:page;mso-height-relative:page;" fillcolor="#FFFFFF [3201]" filled="t" stroked="f" coordsize="21600,21600" o:gfxdata="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NnkyrtYAAAAL&#10;AQAADwAAAAAAAAABACAAAAAiAAAAZHJzL2Rvd25yZXYueG1sUEsBAhQAFAAAAAgAh07iQAhp5dpX&#10;AgAAoAQAAA4AAAAAAAAAAQAgAAAAJQEAAGRycy9lMm9Eb2MueG1sUEsFBgAAAAAGAAYAWQEAAO4F&#10;AAAAAA==&#10;">
                <v:fill on="t" focussize="0,0"/>
                <v:stroke on="f" weight="0.5pt"/>
                <v:imagedata o:title=""/>
                <o:lock v:ext="edit" aspectratio="f"/>
                <v:textbox>
                  <w:txbxContent>
                    <w:p w14:paraId="2008CA44">
                      <w:pPr>
                        <w:adjustRightInd w:val="0"/>
                        <w:snapToGrid w:val="0"/>
                        <w:rPr>
                          <w:b/>
                          <w:sz w:val="15"/>
                        </w:rPr>
                      </w:pPr>
                      <w:r>
                        <w:rPr>
                          <w:rFonts w:hint="eastAsia"/>
                          <w:b/>
                          <w:sz w:val="15"/>
                        </w:rPr>
                        <w:t>新建</w:t>
                      </w:r>
                      <w:r>
                        <w:rPr>
                          <w:b/>
                          <w:sz w:val="15"/>
                        </w:rPr>
                        <w:t>掺水管线</w:t>
                      </w:r>
                      <w:r>
                        <w:rPr>
                          <w:rFonts w:hint="eastAsia"/>
                          <w:b/>
                          <w:sz w:val="15"/>
                        </w:rPr>
                        <w:t xml:space="preserve"> DN40=1000</w:t>
                      </w:r>
                      <w:r>
                        <w:rPr>
                          <w:b/>
                          <w:sz w:val="15"/>
                        </w:rPr>
                        <w:t>m</w:t>
                      </w:r>
                    </w:p>
                  </w:txbxContent>
                </v:textbox>
              </v:shape>
            </w:pict>
          </mc:Fallback>
        </mc:AlternateContent>
      </w:r>
      <w:r>
        <w:rPr>
          <w:color w:val="auto"/>
        </w:rPr>
        <mc:AlternateContent>
          <mc:Choice Requires="wps">
            <w:drawing>
              <wp:anchor distT="0" distB="0" distL="114300" distR="114300" simplePos="0" relativeHeight="251706368" behindDoc="0" locked="0" layoutInCell="1" allowOverlap="1">
                <wp:simplePos x="0" y="0"/>
                <wp:positionH relativeFrom="column">
                  <wp:posOffset>743585</wp:posOffset>
                </wp:positionH>
                <wp:positionV relativeFrom="paragraph">
                  <wp:posOffset>3242310</wp:posOffset>
                </wp:positionV>
                <wp:extent cx="873760" cy="215900"/>
                <wp:effectExtent l="0" t="0" r="0" b="0"/>
                <wp:wrapNone/>
                <wp:docPr id="1981612526" name="文本框 1981612526"/>
                <wp:cNvGraphicFramePr/>
                <a:graphic xmlns:a="http://schemas.openxmlformats.org/drawingml/2006/main">
                  <a:graphicData uri="http://schemas.microsoft.com/office/word/2010/wordprocessingShape">
                    <wps:wsp>
                      <wps:cNvSpPr txBox="1"/>
                      <wps:spPr>
                        <a:xfrm>
                          <a:off x="0" y="0"/>
                          <a:ext cx="873457" cy="215614"/>
                        </a:xfrm>
                        <a:prstGeom prst="rect">
                          <a:avLst/>
                        </a:prstGeom>
                        <a:noFill/>
                        <a:ln w="6350">
                          <a:noFill/>
                        </a:ln>
                      </wps:spPr>
                      <wps:txbx>
                        <w:txbxContent>
                          <w:p w14:paraId="24CA2AF3">
                            <w:pPr>
                              <w:adjustRightInd w:val="0"/>
                              <w:snapToGrid w:val="0"/>
                              <w:rPr>
                                <w:b/>
                                <w:color w:val="FF33CC"/>
                                <w:sz w:val="13"/>
                              </w:rPr>
                            </w:pPr>
                            <w:r>
                              <w:rPr>
                                <w:rFonts w:hint="eastAsia"/>
                                <w:b/>
                                <w:color w:val="FF33CC"/>
                                <w:sz w:val="13"/>
                              </w:rPr>
                              <w:t>集油</w:t>
                            </w:r>
                            <w:r>
                              <w:rPr>
                                <w:b/>
                                <w:color w:val="FF33CC"/>
                                <w:sz w:val="13"/>
                              </w:rPr>
                              <w:t>管线</w:t>
                            </w:r>
                            <w:r>
                              <w:rPr>
                                <w:rFonts w:hint="eastAsia"/>
                                <w:b/>
                                <w:color w:val="FF33CC"/>
                                <w:sz w:val="13"/>
                              </w:rPr>
                              <w:t>变更路由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55pt;margin-top:255.3pt;height:17pt;width:68.8pt;z-index:251706368;mso-width-relative:page;mso-height-relative:page;" filled="f" stroked="f" coordsize="21600,21600" o:gfxdata="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6gvwt2wAAAAsBAAAPAAAAAAAAAAEA&#10;IAAAACIAAABkcnMvZG93bnJldi54bWxQSwECFAAUAAAACACHTuJAV2f+PkUCAAB3BAAADgAAAAAA&#10;AAABACAAAAAqAQAAZHJzL2Uyb0RvYy54bWxQSwUGAAAAAAYABgBZAQAA4QUAAAAA&#10;">
                <v:fill on="f" focussize="0,0"/>
                <v:stroke on="f" weight="0.5pt"/>
                <v:imagedata o:title=""/>
                <o:lock v:ext="edit" aspectratio="f"/>
                <v:textbox>
                  <w:txbxContent>
                    <w:p w14:paraId="24CA2AF3">
                      <w:pPr>
                        <w:adjustRightInd w:val="0"/>
                        <w:snapToGrid w:val="0"/>
                        <w:rPr>
                          <w:b/>
                          <w:color w:val="FF33CC"/>
                          <w:sz w:val="13"/>
                        </w:rPr>
                      </w:pPr>
                      <w:r>
                        <w:rPr>
                          <w:rFonts w:hint="eastAsia"/>
                          <w:b/>
                          <w:color w:val="FF33CC"/>
                          <w:sz w:val="13"/>
                        </w:rPr>
                        <w:t>集油</w:t>
                      </w:r>
                      <w:r>
                        <w:rPr>
                          <w:b/>
                          <w:color w:val="FF33CC"/>
                          <w:sz w:val="13"/>
                        </w:rPr>
                        <w:t>管线</w:t>
                      </w:r>
                      <w:r>
                        <w:rPr>
                          <w:rFonts w:hint="eastAsia"/>
                          <w:b/>
                          <w:color w:val="FF33CC"/>
                          <w:sz w:val="13"/>
                        </w:rPr>
                        <w:t>变更路由</w:t>
                      </w:r>
                    </w:p>
                  </w:txbxContent>
                </v:textbox>
              </v:shape>
            </w:pict>
          </mc:Fallback>
        </mc:AlternateContent>
      </w:r>
      <w:r>
        <w:rPr>
          <w:color w:val="auto"/>
        </w:rPr>
        <mc:AlternateContent>
          <mc:Choice Requires="wps">
            <w:drawing>
              <wp:anchor distT="0" distB="0" distL="114300" distR="114300" simplePos="0" relativeHeight="251705344" behindDoc="0" locked="0" layoutInCell="1" allowOverlap="1">
                <wp:simplePos x="0" y="0"/>
                <wp:positionH relativeFrom="column">
                  <wp:posOffset>865505</wp:posOffset>
                </wp:positionH>
                <wp:positionV relativeFrom="paragraph">
                  <wp:posOffset>3242945</wp:posOffset>
                </wp:positionV>
                <wp:extent cx="281305" cy="0"/>
                <wp:effectExtent l="0" t="0" r="23495" b="19050"/>
                <wp:wrapNone/>
                <wp:docPr id="1981612525" name="直接连接符 1981612525"/>
                <wp:cNvGraphicFramePr/>
                <a:graphic xmlns:a="http://schemas.openxmlformats.org/drawingml/2006/main">
                  <a:graphicData uri="http://schemas.microsoft.com/office/word/2010/wordprocessingShape">
                    <wps:wsp>
                      <wps:cNvCnPr/>
                      <wps:spPr>
                        <a:xfrm flipV="1">
                          <a:off x="0" y="0"/>
                          <a:ext cx="281353" cy="0"/>
                        </a:xfrm>
                        <a:prstGeom prst="line">
                          <a:avLst/>
                        </a:prstGeom>
                        <a:ln w="22225">
                          <a:solidFill>
                            <a:srgbClr val="FF33CC"/>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68.15pt;margin-top:255.35pt;height:0pt;width:22.15pt;z-index:251705344;mso-width-relative:page;mso-height-relative:page;" filled="f" stroked="t" coordsize="21600,21600" o:gfxdata="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egfMxdkAAAALAQAADwAAAAAAAAABACAAAAAiAAAAZHJzL2Rvd25yZXYueG1s&#10;UEsBAhQAFAAAAAgAh07iQNeQ+oP3AQAAzAMAAA4AAAAAAAAAAQAgAAAAKAEAAGRycy9lMm9Eb2Mu&#10;eG1sUEsFBgAAAAAGAAYAWQEAAJEFAAAAAA==&#10;">
                <v:fill on="f" focussize="0,0"/>
                <v:stroke weight="1.75pt" color="#FF33CC [3204]" miterlimit="8" joinstyle="miter" dashstyle="dash"/>
                <v:imagedata o:title=""/>
                <o:lock v:ext="edit" aspectratio="f"/>
              </v:line>
            </w:pict>
          </mc:Fallback>
        </mc:AlternateContent>
      </w:r>
      <w:r>
        <w:rPr>
          <w:color w:val="auto"/>
        </w:rPr>
        <mc:AlternateContent>
          <mc:Choice Requires="wps">
            <w:drawing>
              <wp:anchor distT="0" distB="0" distL="114300" distR="114300" simplePos="0" relativeHeight="251684864" behindDoc="0" locked="0" layoutInCell="1" allowOverlap="1">
                <wp:simplePos x="0" y="0"/>
                <wp:positionH relativeFrom="column">
                  <wp:posOffset>4339590</wp:posOffset>
                </wp:positionH>
                <wp:positionV relativeFrom="paragraph">
                  <wp:posOffset>2536825</wp:posOffset>
                </wp:positionV>
                <wp:extent cx="254635" cy="206375"/>
                <wp:effectExtent l="0" t="0" r="12700" b="22860"/>
                <wp:wrapNone/>
                <wp:docPr id="1981612501" name="椭圆 1981612501"/>
                <wp:cNvGraphicFramePr/>
                <a:graphic xmlns:a="http://schemas.openxmlformats.org/drawingml/2006/main">
                  <a:graphicData uri="http://schemas.microsoft.com/office/word/2010/wordprocessingShape">
                    <wps:wsp>
                      <wps:cNvSpPr/>
                      <wps:spPr>
                        <a:xfrm>
                          <a:off x="0" y="0"/>
                          <a:ext cx="254442" cy="206209"/>
                        </a:xfrm>
                        <a:prstGeom prst="ellipse">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1.7pt;margin-top:199.75pt;height:16.25pt;width:20.05pt;z-index:251684864;v-text-anchor:middle;mso-width-relative:page;mso-height-relative:page;" filled="f" stroked="t" coordsize="21600,21600" o:gfxdata="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gDVHK9oAAAALAQAADwAAAAAAAAABACAAAAAiAAAAZHJz&#10;L2Rvd25yZXYueG1sUEsBAhQAFAAAAAgAh07iQMZbX2p0AgAA3wQAAA4AAAAAAAAAAQAgAAAAKQEA&#10;AGRycy9lMm9Eb2MueG1sUEsFBgAAAAAGAAYAWQEAAA8GAAAAAA==&#10;">
                <v:fill on="f" focussize="0,0"/>
                <v:stroke weight="1pt" color="#FFC000 [3207]" miterlimit="8" joinstyle="miter"/>
                <v:imagedata o:title=""/>
                <o:lock v:ext="edit" aspectratio="f"/>
              </v:shape>
            </w:pict>
          </mc:Fallback>
        </mc:AlternateContent>
      </w:r>
      <w:r>
        <w:rPr>
          <w:color w:val="auto"/>
        </w:rPr>
        <mc:AlternateContent>
          <mc:Choice Requires="wps">
            <w:drawing>
              <wp:anchor distT="0" distB="0" distL="114300" distR="114300" simplePos="0" relativeHeight="251701248" behindDoc="0" locked="0" layoutInCell="1" allowOverlap="1">
                <wp:simplePos x="0" y="0"/>
                <wp:positionH relativeFrom="column">
                  <wp:posOffset>3500120</wp:posOffset>
                </wp:positionH>
                <wp:positionV relativeFrom="paragraph">
                  <wp:posOffset>3014980</wp:posOffset>
                </wp:positionV>
                <wp:extent cx="465455" cy="215265"/>
                <wp:effectExtent l="0" t="0" r="29845" b="32385"/>
                <wp:wrapNone/>
                <wp:docPr id="1981612521" name="直接连接符 1981612521"/>
                <wp:cNvGraphicFramePr/>
                <a:graphic xmlns:a="http://schemas.openxmlformats.org/drawingml/2006/main">
                  <a:graphicData uri="http://schemas.microsoft.com/office/word/2010/wordprocessingShape">
                    <wps:wsp>
                      <wps:cNvCnPr/>
                      <wps:spPr>
                        <a:xfrm flipV="1">
                          <a:off x="0" y="0"/>
                          <a:ext cx="465455" cy="215265"/>
                        </a:xfrm>
                        <a:prstGeom prst="line">
                          <a:avLst/>
                        </a:prstGeom>
                        <a:ln w="22225">
                          <a:solidFill>
                            <a:srgbClr val="FF33CC"/>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75.6pt;margin-top:237.4pt;height:16.95pt;width:36.65pt;z-index:251701248;mso-width-relative:page;mso-height-relative:page;" filled="f" stroked="t" coordsize="21600,21600" o:gfxdata="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KQ2v3bAAAACwEAAA8AAAAAAAAAAQAgAAAAIgAAAGRycy9kb3du&#10;cmV2LnhtbFBLAQIUABQAAAAIAIdO4kDbFrrt/AEAANEDAAAOAAAAAAAAAAEAIAAAACoBAABkcnMv&#10;ZTJvRG9jLnhtbFBLBQYAAAAABgAGAFkBAACYBQAAAAA=&#10;">
                <v:fill on="f" focussize="0,0"/>
                <v:stroke weight="1.75pt" color="#FF33CC [3204]" miterlimit="8" joinstyle="miter" dashstyle="dash"/>
                <v:imagedata o:title=""/>
                <o:lock v:ext="edit" aspectratio="f"/>
              </v:line>
            </w:pict>
          </mc:Fallback>
        </mc:AlternateContent>
      </w:r>
      <w:r>
        <w:rPr>
          <w:color w:val="auto"/>
        </w:rPr>
        <mc:AlternateContent>
          <mc:Choice Requires="wps">
            <w:drawing>
              <wp:anchor distT="0" distB="0" distL="114300" distR="114300" simplePos="0" relativeHeight="251700224" behindDoc="0" locked="0" layoutInCell="1" allowOverlap="1">
                <wp:simplePos x="0" y="0"/>
                <wp:positionH relativeFrom="column">
                  <wp:posOffset>3336925</wp:posOffset>
                </wp:positionH>
                <wp:positionV relativeFrom="paragraph">
                  <wp:posOffset>3033395</wp:posOffset>
                </wp:positionV>
                <wp:extent cx="189865" cy="217170"/>
                <wp:effectExtent l="0" t="0" r="19685" b="30480"/>
                <wp:wrapNone/>
                <wp:docPr id="1981612520" name="直接连接符 1981612520"/>
                <wp:cNvGraphicFramePr/>
                <a:graphic xmlns:a="http://schemas.openxmlformats.org/drawingml/2006/main">
                  <a:graphicData uri="http://schemas.microsoft.com/office/word/2010/wordprocessingShape">
                    <wps:wsp>
                      <wps:cNvCnPr/>
                      <wps:spPr>
                        <a:xfrm>
                          <a:off x="0" y="0"/>
                          <a:ext cx="190123" cy="217283"/>
                        </a:xfrm>
                        <a:prstGeom prst="line">
                          <a:avLst/>
                        </a:prstGeom>
                        <a:ln w="22225">
                          <a:solidFill>
                            <a:srgbClr val="FF33CC"/>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62.75pt;margin-top:238.85pt;height:17.1pt;width:14.95pt;z-index:251700224;mso-width-relative:page;mso-height-relative:page;" filled="f" stroked="t" coordsize="21600,21600" o:gfxdata="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VJUiTXAAAACwEAAA8AAAAAAAAAAQAgAAAAIgAAAGRycy9kb3ducmV2LnhtbFBLAQIU&#10;ABQAAAAIAIdO4kAyHqse9AEAAMcDAAAOAAAAAAAAAAEAIAAAACYBAABkcnMvZTJvRG9jLnhtbFBL&#10;BQYAAAAABgAGAFkBAACMBQAAAAA=&#10;">
                <v:fill on="f" focussize="0,0"/>
                <v:stroke weight="1.75pt" color="#FF33CC [3204]" miterlimit="8" joinstyle="miter" dashstyle="dash"/>
                <v:imagedata o:title=""/>
                <o:lock v:ext="edit" aspectratio="f"/>
              </v:line>
            </w:pict>
          </mc:Fallback>
        </mc:AlternateContent>
      </w:r>
      <w:r>
        <w:rPr>
          <w:color w:val="auto"/>
        </w:rPr>
        <mc:AlternateContent>
          <mc:Choice Requires="wps">
            <w:drawing>
              <wp:anchor distT="0" distB="0" distL="114300" distR="114300" simplePos="0" relativeHeight="251704320" behindDoc="0" locked="0" layoutInCell="1" allowOverlap="1">
                <wp:simplePos x="0" y="0"/>
                <wp:positionH relativeFrom="column">
                  <wp:posOffset>4038600</wp:posOffset>
                </wp:positionH>
                <wp:positionV relativeFrom="paragraph">
                  <wp:posOffset>2576195</wp:posOffset>
                </wp:positionV>
                <wp:extent cx="813435" cy="201295"/>
                <wp:effectExtent l="0" t="0" r="24765" b="27305"/>
                <wp:wrapNone/>
                <wp:docPr id="1981612524" name="直接连接符 1981612524"/>
                <wp:cNvGraphicFramePr/>
                <a:graphic xmlns:a="http://schemas.openxmlformats.org/drawingml/2006/main">
                  <a:graphicData uri="http://schemas.microsoft.com/office/word/2010/wordprocessingShape">
                    <wps:wsp>
                      <wps:cNvCnPr/>
                      <wps:spPr>
                        <a:xfrm>
                          <a:off x="0" y="0"/>
                          <a:ext cx="813435" cy="201295"/>
                        </a:xfrm>
                        <a:prstGeom prst="line">
                          <a:avLst/>
                        </a:prstGeom>
                        <a:ln w="22225">
                          <a:solidFill>
                            <a:srgbClr val="FF33CC"/>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18pt;margin-top:202.85pt;height:15.85pt;width:64.05pt;z-index:251704320;mso-width-relative:page;mso-height-relative:page;" filled="f" stroked="t" coordsize="21600,21600" o:gfxdata="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e5LjzXAAAACwEAAA8AAAAAAAAAAQAgAAAAIgAAAGRycy9kb3ducmV2LnhtbFBLAQIU&#10;ABQAAAAIAIdO4kB86yv39AEAAMcDAAAOAAAAAAAAAAEAIAAAACYBAABkcnMvZTJvRG9jLnhtbFBL&#10;BQYAAAAABgAGAFkBAACMBQAAAAA=&#10;">
                <v:fill on="f" focussize="0,0"/>
                <v:stroke weight="1.75pt" color="#FF33CC [3204]" miterlimit="8" joinstyle="miter" dashstyle="dash"/>
                <v:imagedata o:title=""/>
                <o:lock v:ext="edit" aspectratio="f"/>
              </v:line>
            </w:pict>
          </mc:Fallback>
        </mc:AlternateContent>
      </w:r>
      <w:r>
        <w:rPr>
          <w:color w:val="auto"/>
        </w:rPr>
        <mc:AlternateContent>
          <mc:Choice Requires="wps">
            <w:drawing>
              <wp:anchor distT="0" distB="0" distL="114300" distR="114300" simplePos="0" relativeHeight="251703296" behindDoc="0" locked="0" layoutInCell="1" allowOverlap="1">
                <wp:simplePos x="0" y="0"/>
                <wp:positionH relativeFrom="column">
                  <wp:posOffset>3794125</wp:posOffset>
                </wp:positionH>
                <wp:positionV relativeFrom="paragraph">
                  <wp:posOffset>2553335</wp:posOffset>
                </wp:positionV>
                <wp:extent cx="246380" cy="78740"/>
                <wp:effectExtent l="0" t="0" r="20320" b="35560"/>
                <wp:wrapNone/>
                <wp:docPr id="1981612523" name="直接连接符 1981612523"/>
                <wp:cNvGraphicFramePr/>
                <a:graphic xmlns:a="http://schemas.openxmlformats.org/drawingml/2006/main">
                  <a:graphicData uri="http://schemas.microsoft.com/office/word/2010/wordprocessingShape">
                    <wps:wsp>
                      <wps:cNvCnPr/>
                      <wps:spPr>
                        <a:xfrm flipV="1">
                          <a:off x="0" y="0"/>
                          <a:ext cx="246380" cy="78740"/>
                        </a:xfrm>
                        <a:prstGeom prst="line">
                          <a:avLst/>
                        </a:prstGeom>
                        <a:ln w="22225">
                          <a:solidFill>
                            <a:srgbClr val="FF33CC"/>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98.75pt;margin-top:201.05pt;height:6.2pt;width:19.4pt;z-index:251703296;mso-width-relative:page;mso-height-relative:page;" filled="f" stroked="t" coordsize="21600,21600" o:gfxdata="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7diENwAAAALAQAADwAAAAAAAAABACAAAAAiAAAAZHJzL2Rv&#10;d25yZXYueG1sUEsBAhQAFAAAAAgAh07iQMdK2Ff9AQAA0AMAAA4AAAAAAAAAAQAgAAAAKwEAAGRy&#10;cy9lMm9Eb2MueG1sUEsFBgAAAAAGAAYAWQEAAJoFAAAAAA==&#10;">
                <v:fill on="f" focussize="0,0"/>
                <v:stroke weight="1.75pt" color="#FF33CC [3204]" miterlimit="8" joinstyle="miter" dashstyle="dash"/>
                <v:imagedata o:title=""/>
                <o:lock v:ext="edit" aspectratio="f"/>
              </v:line>
            </w:pict>
          </mc:Fallback>
        </mc:AlternateContent>
      </w:r>
      <w:r>
        <w:rPr>
          <w:color w:val="auto"/>
        </w:rPr>
        <mc:AlternateContent>
          <mc:Choice Requires="wps">
            <w:drawing>
              <wp:anchor distT="0" distB="0" distL="114300" distR="114300" simplePos="0" relativeHeight="251702272" behindDoc="0" locked="0" layoutInCell="1" allowOverlap="1">
                <wp:simplePos x="0" y="0"/>
                <wp:positionH relativeFrom="column">
                  <wp:posOffset>3766820</wp:posOffset>
                </wp:positionH>
                <wp:positionV relativeFrom="paragraph">
                  <wp:posOffset>2625725</wp:posOffset>
                </wp:positionV>
                <wp:extent cx="229235" cy="364490"/>
                <wp:effectExtent l="0" t="0" r="18415" b="16510"/>
                <wp:wrapNone/>
                <wp:docPr id="1981612522" name="直接连接符 1981612522"/>
                <wp:cNvGraphicFramePr/>
                <a:graphic xmlns:a="http://schemas.openxmlformats.org/drawingml/2006/main">
                  <a:graphicData uri="http://schemas.microsoft.com/office/word/2010/wordprocessingShape">
                    <wps:wsp>
                      <wps:cNvCnPr/>
                      <wps:spPr>
                        <a:xfrm flipH="1" flipV="1">
                          <a:off x="0" y="0"/>
                          <a:ext cx="229235" cy="364490"/>
                        </a:xfrm>
                        <a:prstGeom prst="line">
                          <a:avLst/>
                        </a:prstGeom>
                        <a:ln w="22225">
                          <a:solidFill>
                            <a:srgbClr val="FF33CC"/>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296.6pt;margin-top:206.75pt;height:28.7pt;width:18.05pt;z-index:251702272;mso-width-relative:page;mso-height-relative:page;" filled="f" stroked="t" coordsize="21600,21600" o:gfxdata="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DC7SK2QAAAAsBAAAPAAAAAAAAAAEAIAAAACIAAABkcnMv&#10;ZG93bnJldi54bWxQSwECFAAUAAAACACHTuJAn60UIwICAADbAwAADgAAAAAAAAABACAAAAAoAQAA&#10;ZHJzL2Uyb0RvYy54bWxQSwUGAAAAAAYABgBZAQAAnAUAAAAA&#10;">
                <v:fill on="f" focussize="0,0"/>
                <v:stroke weight="1.75pt" color="#FF33CC [3204]" miterlimit="8" joinstyle="miter" dashstyle="dash"/>
                <v:imagedata o:title=""/>
                <o:lock v:ext="edit" aspectratio="f"/>
              </v:line>
            </w:pict>
          </mc:Fallback>
        </mc:AlternateContent>
      </w:r>
      <w:r>
        <w:rPr>
          <w:color w:val="auto"/>
        </w:rPr>
        <mc:AlternateContent>
          <mc:Choice Requires="wps">
            <w:drawing>
              <wp:anchor distT="0" distB="0" distL="114300" distR="114300" simplePos="0" relativeHeight="251683840" behindDoc="0" locked="0" layoutInCell="1" allowOverlap="1">
                <wp:simplePos x="0" y="0"/>
                <wp:positionH relativeFrom="column">
                  <wp:posOffset>2555240</wp:posOffset>
                </wp:positionH>
                <wp:positionV relativeFrom="paragraph">
                  <wp:posOffset>2207895</wp:posOffset>
                </wp:positionV>
                <wp:extent cx="873760" cy="341630"/>
                <wp:effectExtent l="0" t="0" r="3175" b="1270"/>
                <wp:wrapNone/>
                <wp:docPr id="1981612500" name="文本框 1981612500"/>
                <wp:cNvGraphicFramePr/>
                <a:graphic xmlns:a="http://schemas.openxmlformats.org/drawingml/2006/main">
                  <a:graphicData uri="http://schemas.microsoft.com/office/word/2010/wordprocessingShape">
                    <wps:wsp>
                      <wps:cNvSpPr txBox="1"/>
                      <wps:spPr>
                        <a:xfrm>
                          <a:off x="0" y="0"/>
                          <a:ext cx="873457" cy="341906"/>
                        </a:xfrm>
                        <a:prstGeom prst="rect">
                          <a:avLst/>
                        </a:prstGeom>
                        <a:solidFill>
                          <a:schemeClr val="lt1"/>
                        </a:solidFill>
                        <a:ln w="6350">
                          <a:noFill/>
                        </a:ln>
                      </wps:spPr>
                      <wps:txbx>
                        <w:txbxContent>
                          <w:p w14:paraId="237B33DF">
                            <w:pPr>
                              <w:adjustRightInd w:val="0"/>
                              <w:snapToGrid w:val="0"/>
                              <w:rPr>
                                <w:b/>
                                <w:sz w:val="15"/>
                              </w:rPr>
                            </w:pPr>
                            <w:r>
                              <w:rPr>
                                <w:rFonts w:hint="eastAsia"/>
                                <w:b/>
                                <w:sz w:val="15"/>
                              </w:rPr>
                              <w:t>定向钻穿越沥青路</w:t>
                            </w:r>
                            <w:r>
                              <w:rPr>
                                <w:b/>
                                <w:sz w:val="15"/>
                              </w:rPr>
                              <w:t>、</w:t>
                            </w:r>
                            <w:r>
                              <w:rPr>
                                <w:rFonts w:hint="eastAsia"/>
                                <w:b/>
                                <w:sz w:val="15"/>
                              </w:rPr>
                              <w:t>济高高速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2pt;margin-top:173.85pt;height:26.9pt;width:68.8pt;z-index:251683840;mso-width-relative:page;mso-height-relative:page;" fillcolor="#FFFFFF [3201]" filled="t" stroked="f" coordsize="21600,21600" o:gfxdata="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nt7Ty1QAAAAsB&#10;AAAPAAAAAAAAAAEAIAAAACIAAABkcnMvZG93bnJldi54bWxQSwECFAAUAAAACACHTuJA+YpoV1cC&#10;AACgBAAADgAAAAAAAAABACAAAAAkAQAAZHJzL2Uyb0RvYy54bWxQSwUGAAAAAAYABgBZAQAA7QUA&#10;AAAA&#10;">
                <v:fill on="t" focussize="0,0"/>
                <v:stroke on="f" weight="0.5pt"/>
                <v:imagedata o:title=""/>
                <o:lock v:ext="edit" aspectratio="f"/>
                <v:textbox>
                  <w:txbxContent>
                    <w:p w14:paraId="237B33DF">
                      <w:pPr>
                        <w:adjustRightInd w:val="0"/>
                        <w:snapToGrid w:val="0"/>
                        <w:rPr>
                          <w:b/>
                          <w:sz w:val="15"/>
                        </w:rPr>
                      </w:pPr>
                      <w:r>
                        <w:rPr>
                          <w:rFonts w:hint="eastAsia"/>
                          <w:b/>
                          <w:sz w:val="15"/>
                        </w:rPr>
                        <w:t>定向钻穿越沥青路</w:t>
                      </w:r>
                      <w:r>
                        <w:rPr>
                          <w:b/>
                          <w:sz w:val="15"/>
                        </w:rPr>
                        <w:t>、</w:t>
                      </w:r>
                      <w:r>
                        <w:rPr>
                          <w:rFonts w:hint="eastAsia"/>
                          <w:b/>
                          <w:sz w:val="15"/>
                        </w:rPr>
                        <w:t>济高高速</w:t>
                      </w:r>
                    </w:p>
                  </w:txbxContent>
                </v:textbox>
              </v:shape>
            </w:pict>
          </mc:Fallback>
        </mc:AlternateContent>
      </w:r>
      <w:r>
        <w:rPr>
          <w:color w:val="auto"/>
        </w:rPr>
        <mc:AlternateContent>
          <mc:Choice Requires="wps">
            <w:drawing>
              <wp:anchor distT="0" distB="0" distL="114300" distR="114300" simplePos="0" relativeHeight="251681792" behindDoc="0" locked="0" layoutInCell="1" allowOverlap="1">
                <wp:simplePos x="0" y="0"/>
                <wp:positionH relativeFrom="column">
                  <wp:posOffset>1725930</wp:posOffset>
                </wp:positionH>
                <wp:positionV relativeFrom="paragraph">
                  <wp:posOffset>1710055</wp:posOffset>
                </wp:positionV>
                <wp:extent cx="873760" cy="341630"/>
                <wp:effectExtent l="0" t="0" r="3175" b="1270"/>
                <wp:wrapNone/>
                <wp:docPr id="1981612498" name="文本框 1981612498"/>
                <wp:cNvGraphicFramePr/>
                <a:graphic xmlns:a="http://schemas.openxmlformats.org/drawingml/2006/main">
                  <a:graphicData uri="http://schemas.microsoft.com/office/word/2010/wordprocessingShape">
                    <wps:wsp>
                      <wps:cNvSpPr txBox="1"/>
                      <wps:spPr>
                        <a:xfrm>
                          <a:off x="0" y="0"/>
                          <a:ext cx="873457" cy="341906"/>
                        </a:xfrm>
                        <a:prstGeom prst="rect">
                          <a:avLst/>
                        </a:prstGeom>
                        <a:solidFill>
                          <a:schemeClr val="lt1"/>
                        </a:solidFill>
                        <a:ln w="6350">
                          <a:noFill/>
                        </a:ln>
                      </wps:spPr>
                      <wps:txbx>
                        <w:txbxContent>
                          <w:p w14:paraId="14925908">
                            <w:pPr>
                              <w:adjustRightInd w:val="0"/>
                              <w:snapToGrid w:val="0"/>
                              <w:rPr>
                                <w:b/>
                                <w:sz w:val="15"/>
                              </w:rPr>
                            </w:pPr>
                            <w:r>
                              <w:rPr>
                                <w:rFonts w:hint="eastAsia"/>
                                <w:b/>
                                <w:sz w:val="15"/>
                              </w:rPr>
                              <w:t>定向钻穿越济高高速、二斗沟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9pt;margin-top:134.65pt;height:26.9pt;width:68.8pt;z-index:251681792;mso-width-relative:page;mso-height-relative:page;" fillcolor="#FFFFFF [3201]" filled="t" stroked="f" coordsize="21600,21600" o:gfxdata="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GbhubXAAAA&#10;CwEAAA8AAAAAAAAAAQAgAAAAIgAAAGRycy9kb3ducmV2LnhtbFBLAQIUABQAAAAIAIdO4kC59baW&#10;VwIAAKAEAAAOAAAAAAAAAAEAIAAAACYBAABkcnMvZTJvRG9jLnhtbFBLBQYAAAAABgAGAFkBAADv&#10;BQAAAAA=&#10;">
                <v:fill on="t" focussize="0,0"/>
                <v:stroke on="f" weight="0.5pt"/>
                <v:imagedata o:title=""/>
                <o:lock v:ext="edit" aspectratio="f"/>
                <v:textbox>
                  <w:txbxContent>
                    <w:p w14:paraId="14925908">
                      <w:pPr>
                        <w:adjustRightInd w:val="0"/>
                        <w:snapToGrid w:val="0"/>
                        <w:rPr>
                          <w:b/>
                          <w:sz w:val="15"/>
                        </w:rPr>
                      </w:pPr>
                      <w:r>
                        <w:rPr>
                          <w:rFonts w:hint="eastAsia"/>
                          <w:b/>
                          <w:sz w:val="15"/>
                        </w:rPr>
                        <w:t>定向钻穿越济高高速、二斗沟</w:t>
                      </w:r>
                    </w:p>
                  </w:txbxContent>
                </v:textbox>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3253105</wp:posOffset>
                </wp:positionH>
                <wp:positionV relativeFrom="paragraph">
                  <wp:posOffset>2266950</wp:posOffset>
                </wp:positionV>
                <wp:extent cx="691515" cy="302260"/>
                <wp:effectExtent l="0" t="0" r="13335" b="22225"/>
                <wp:wrapNone/>
                <wp:docPr id="1981612499" name="椭圆 1981612499"/>
                <wp:cNvGraphicFramePr/>
                <a:graphic xmlns:a="http://schemas.openxmlformats.org/drawingml/2006/main">
                  <a:graphicData uri="http://schemas.microsoft.com/office/word/2010/wordprocessingShape">
                    <wps:wsp>
                      <wps:cNvSpPr/>
                      <wps:spPr>
                        <a:xfrm>
                          <a:off x="0" y="0"/>
                          <a:ext cx="691764" cy="302150"/>
                        </a:xfrm>
                        <a:prstGeom prst="ellipse">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6.15pt;margin-top:178.5pt;height:23.8pt;width:54.45pt;z-index:251682816;v-text-anchor:middle;mso-width-relative:page;mso-height-relative:page;" filled="f" stroked="t" coordsize="21600,21600" o:gfxdata="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&#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teHkz2gAAAAsBAAAPAAAAAAAAAAEAIAAAACIAAABk&#10;cnMvZG93bnJldi54bWxQSwECFAAUAAAACACHTuJAMWTlrnYCAADfBAAADgAAAAAAAAABACAAAAAp&#10;AQAAZHJzL2Uyb0RvYy54bWxQSwUGAAAAAAYABgBZAQAAEQYAAAAA&#10;">
                <v:fill on="f" focussize="0,0"/>
                <v:stroke weight="1pt" color="#FFC000 [3207]" miterlimit="8" joinstyle="miter"/>
                <v:imagedata o:title=""/>
                <o:lock v:ext="edit" aspectratio="f"/>
              </v:shap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1607185</wp:posOffset>
                </wp:positionH>
                <wp:positionV relativeFrom="paragraph">
                  <wp:posOffset>2068195</wp:posOffset>
                </wp:positionV>
                <wp:extent cx="691515" cy="524510"/>
                <wp:effectExtent l="0" t="0" r="13335" b="27940"/>
                <wp:wrapNone/>
                <wp:docPr id="1981612497" name="椭圆 1981612497"/>
                <wp:cNvGraphicFramePr/>
                <a:graphic xmlns:a="http://schemas.openxmlformats.org/drawingml/2006/main">
                  <a:graphicData uri="http://schemas.microsoft.com/office/word/2010/wordprocessingShape">
                    <wps:wsp>
                      <wps:cNvSpPr/>
                      <wps:spPr>
                        <a:xfrm>
                          <a:off x="0" y="0"/>
                          <a:ext cx="691764" cy="524786"/>
                        </a:xfrm>
                        <a:prstGeom prst="ellipse">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6.55pt;margin-top:162.85pt;height:41.3pt;width:54.45pt;z-index:251680768;v-text-anchor:middle;mso-width-relative:page;mso-height-relative:page;" filled="f" stroked="t" coordsize="21600,21600" o:gfxdata="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&#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NwhgDZAAAACwEAAA8AAAAAAAAAAQAgAAAAIgAAAGRy&#10;cy9kb3ducmV2LnhtbFBLAQIUABQAAAAIAIdO4kBx2l3ZdgIAAN8EAAAOAAAAAAAAAAEAIAAAACgB&#10;AABkcnMvZTJvRG9jLnhtbFBLBQYAAAAABgAGAFkBAAAQBgAAAAA=&#10;">
                <v:fill on="f" focussize="0,0"/>
                <v:stroke weight="1pt" color="#FFC000 [3207]" miterlimit="8" joinstyle="miter"/>
                <v:imagedata o:title=""/>
                <o:lock v:ext="edit" aspectratio="f"/>
              </v:shape>
            </w:pict>
          </mc:Fallback>
        </mc:AlternateContent>
      </w:r>
      <w:r>
        <w:rPr>
          <w:color w:val="auto"/>
        </w:rPr>
        <mc:AlternateContent>
          <mc:Choice Requires="wps">
            <w:drawing>
              <wp:anchor distT="0" distB="0" distL="114300" distR="114300" simplePos="0" relativeHeight="251679744" behindDoc="0" locked="0" layoutInCell="1" allowOverlap="1">
                <wp:simplePos x="0" y="0"/>
                <wp:positionH relativeFrom="column">
                  <wp:posOffset>2430145</wp:posOffset>
                </wp:positionH>
                <wp:positionV relativeFrom="paragraph">
                  <wp:posOffset>3169285</wp:posOffset>
                </wp:positionV>
                <wp:extent cx="873760" cy="320675"/>
                <wp:effectExtent l="0" t="0" r="3175" b="3175"/>
                <wp:wrapNone/>
                <wp:docPr id="1981612496" name="文本框 1981612496"/>
                <wp:cNvGraphicFramePr/>
                <a:graphic xmlns:a="http://schemas.openxmlformats.org/drawingml/2006/main">
                  <a:graphicData uri="http://schemas.microsoft.com/office/word/2010/wordprocessingShape">
                    <wps:wsp>
                      <wps:cNvSpPr txBox="1"/>
                      <wps:spPr>
                        <a:xfrm>
                          <a:off x="0" y="0"/>
                          <a:ext cx="873457" cy="320722"/>
                        </a:xfrm>
                        <a:prstGeom prst="rect">
                          <a:avLst/>
                        </a:prstGeom>
                        <a:solidFill>
                          <a:schemeClr val="lt1"/>
                        </a:solidFill>
                        <a:ln w="6350">
                          <a:noFill/>
                        </a:ln>
                      </wps:spPr>
                      <wps:txbx>
                        <w:txbxContent>
                          <w:p w14:paraId="14C19F40">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80</w:t>
                            </w:r>
                            <w:r>
                              <w:rPr>
                                <w:rFonts w:hint="eastAsia"/>
                                <w:b/>
                                <w:color w:val="C00000"/>
                                <w:sz w:val="15"/>
                              </w:rPr>
                              <w:t>=</w:t>
                            </w:r>
                            <w:r>
                              <w:rPr>
                                <w:b/>
                                <w:color w:val="C00000"/>
                                <w:sz w:val="15"/>
                              </w:rPr>
                              <w:t>1.02km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35pt;margin-top:249.55pt;height:25.25pt;width:68.8pt;z-index:251679744;mso-width-relative:page;mso-height-relative:page;" fillcolor="#FFFFFF [3201]" filled="t" stroked="f" coordsize="21600,21600" o:gfxdata="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fE8zrXAAAA&#10;CwEAAA8AAAAAAAAAAQAgAAAAIgAAAGRycy9kb3ducmV2LnhtbFBLAQIUABQAAAAIAIdO4kAwVdkv&#10;VwIAAKAEAAAOAAAAAAAAAAEAIAAAACYBAABkcnMvZTJvRG9jLnhtbFBLBQYAAAAABgAGAFkBAADv&#10;BQAAAAA=&#10;">
                <v:fill on="t" focussize="0,0"/>
                <v:stroke on="f" weight="0.5pt"/>
                <v:imagedata o:title=""/>
                <o:lock v:ext="edit" aspectratio="f"/>
                <v:textbox>
                  <w:txbxContent>
                    <w:p w14:paraId="14C19F40">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80</w:t>
                      </w:r>
                      <w:r>
                        <w:rPr>
                          <w:rFonts w:hint="eastAsia"/>
                          <w:b/>
                          <w:color w:val="C00000"/>
                          <w:sz w:val="15"/>
                        </w:rPr>
                        <w:t>=</w:t>
                      </w:r>
                      <w:r>
                        <w:rPr>
                          <w:b/>
                          <w:color w:val="C00000"/>
                          <w:sz w:val="15"/>
                        </w:rPr>
                        <w:t>1.02km</w:t>
                      </w:r>
                    </w:p>
                  </w:txbxContent>
                </v:textbox>
              </v:shape>
            </w:pict>
          </mc:Fallback>
        </mc:AlternateContent>
      </w:r>
      <w:r>
        <w:rPr>
          <w:color w:val="auto"/>
        </w:rPr>
        <mc:AlternateContent>
          <mc:Choice Requires="wps">
            <w:drawing>
              <wp:anchor distT="0" distB="0" distL="114300" distR="114300" simplePos="0" relativeHeight="251678720" behindDoc="0" locked="0" layoutInCell="1" allowOverlap="1">
                <wp:simplePos x="0" y="0"/>
                <wp:positionH relativeFrom="column">
                  <wp:posOffset>581025</wp:posOffset>
                </wp:positionH>
                <wp:positionV relativeFrom="paragraph">
                  <wp:posOffset>2104390</wp:posOffset>
                </wp:positionV>
                <wp:extent cx="873760" cy="320675"/>
                <wp:effectExtent l="0" t="0" r="3175" b="3175"/>
                <wp:wrapNone/>
                <wp:docPr id="1981612495" name="文本框 1981612495"/>
                <wp:cNvGraphicFramePr/>
                <a:graphic xmlns:a="http://schemas.openxmlformats.org/drawingml/2006/main">
                  <a:graphicData uri="http://schemas.microsoft.com/office/word/2010/wordprocessingShape">
                    <wps:wsp>
                      <wps:cNvSpPr txBox="1"/>
                      <wps:spPr>
                        <a:xfrm>
                          <a:off x="0" y="0"/>
                          <a:ext cx="873457" cy="320722"/>
                        </a:xfrm>
                        <a:prstGeom prst="rect">
                          <a:avLst/>
                        </a:prstGeom>
                        <a:solidFill>
                          <a:schemeClr val="lt1"/>
                        </a:solidFill>
                        <a:ln w="6350">
                          <a:noFill/>
                        </a:ln>
                      </wps:spPr>
                      <wps:txbx>
                        <w:txbxContent>
                          <w:p w14:paraId="701F3AFD">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65</w:t>
                            </w:r>
                            <w:r>
                              <w:rPr>
                                <w:rFonts w:hint="eastAsia"/>
                                <w:b/>
                                <w:color w:val="C00000"/>
                                <w:sz w:val="15"/>
                              </w:rPr>
                              <w:t>=</w:t>
                            </w:r>
                            <w:r>
                              <w:rPr>
                                <w:b/>
                                <w:color w:val="C00000"/>
                                <w:sz w:val="15"/>
                              </w:rPr>
                              <w:t>6.348km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75pt;margin-top:165.7pt;height:25.25pt;width:68.8pt;z-index:251678720;mso-width-relative:page;mso-height-relative:page;" fillcolor="#FFFFFF [3201]" filled="t" stroked="f" coordsize="21600,21600" o:gfxdata="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Lm5PdUAAAAK&#10;AQAADwAAAAAAAAABACAAAAAiAAAAZHJzL2Rvd25yZXYueG1sUEsBAhQAFAAAAAgAh07iQG6/Ag1Y&#10;AgAAoAQAAA4AAAAAAAAAAQAgAAAAJAEAAGRycy9lMm9Eb2MueG1sUEsFBgAAAAAGAAYAWQEAAO4F&#10;AAAAAA==&#10;">
                <v:fill on="t" focussize="0,0"/>
                <v:stroke on="f" weight="0.5pt"/>
                <v:imagedata o:title=""/>
                <o:lock v:ext="edit" aspectratio="f"/>
                <v:textbox>
                  <w:txbxContent>
                    <w:p w14:paraId="701F3AFD">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65</w:t>
                      </w:r>
                      <w:r>
                        <w:rPr>
                          <w:rFonts w:hint="eastAsia"/>
                          <w:b/>
                          <w:color w:val="C00000"/>
                          <w:sz w:val="15"/>
                        </w:rPr>
                        <w:t>=</w:t>
                      </w:r>
                      <w:r>
                        <w:rPr>
                          <w:b/>
                          <w:color w:val="C00000"/>
                          <w:sz w:val="15"/>
                        </w:rPr>
                        <w:t>6.348km</w:t>
                      </w:r>
                    </w:p>
                  </w:txbxContent>
                </v:textbox>
              </v:shape>
            </w:pict>
          </mc:Fallback>
        </mc:AlternateContent>
      </w:r>
      <w:r>
        <w:rPr>
          <w:color w:val="auto"/>
        </w:rPr>
        <w:drawing>
          <wp:inline distT="0" distB="0" distL="0" distR="0">
            <wp:extent cx="5278755" cy="3509645"/>
            <wp:effectExtent l="0" t="0" r="0" b="0"/>
            <wp:docPr id="1040663380" name="图片 1040663380" descr="C:\Users\dell\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63380" name="图片 1040663380" descr="C:\Users\dell\Desktop\图片3.png图片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78755" cy="3509645"/>
                    </a:xfrm>
                    <a:prstGeom prst="rect">
                      <a:avLst/>
                    </a:prstGeom>
                    <a:noFill/>
                    <a:ln>
                      <a:noFill/>
                    </a:ln>
                    <a:effectLst/>
                  </pic:spPr>
                </pic:pic>
              </a:graphicData>
            </a:graphic>
          </wp:inline>
        </w:drawing>
      </w:r>
    </w:p>
    <w:p w14:paraId="56470580">
      <w:pPr>
        <w:pStyle w:val="15"/>
        <w:spacing w:before="120"/>
        <w:rPr>
          <w:color w:val="auto"/>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5</w:t>
      </w:r>
      <w:r>
        <w:rPr>
          <w:color w:val="auto"/>
        </w:rPr>
        <w:fldChar w:fldCharType="end"/>
      </w:r>
      <w:r>
        <w:rPr>
          <w:color w:val="auto"/>
        </w:rPr>
        <w:t xml:space="preserve"> </w:t>
      </w:r>
      <w:r>
        <w:rPr>
          <w:rFonts w:hint="eastAsia"/>
          <w:color w:val="auto"/>
        </w:rPr>
        <w:t>樊18、樊26区块拉改输实际路由走向</w:t>
      </w:r>
    </w:p>
    <w:p w14:paraId="494D4D68">
      <w:pPr>
        <w:pStyle w:val="4"/>
        <w:ind w:firstLine="48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樊101区块3#计量站拉改输</w:t>
      </w:r>
    </w:p>
    <w:p w14:paraId="341B400E">
      <w:pPr>
        <w:pStyle w:val="4"/>
        <w:ind w:firstLine="480"/>
        <w:rPr>
          <w:color w:val="auto"/>
        </w:rPr>
      </w:pPr>
      <w:r>
        <w:rPr>
          <w:rFonts w:hint="eastAsia"/>
          <w:color w:val="auto"/>
        </w:rPr>
        <w:t>环评阶段：新建DN80集油干线2.07km，新建DN100集油干线1.7km，</w:t>
      </w:r>
      <w:bookmarkStart w:id="210" w:name="OLE_LINK31"/>
      <w:r>
        <w:rPr>
          <w:rFonts w:hint="eastAsia"/>
          <w:color w:val="auto"/>
        </w:rPr>
        <w:t>3#计量站站新建双腔油气混输装置1台</w:t>
      </w:r>
      <w:bookmarkEnd w:id="210"/>
      <w:r>
        <w:rPr>
          <w:rFonts w:hint="eastAsia"/>
          <w:color w:val="auto"/>
        </w:rPr>
        <w:t>。</w:t>
      </w:r>
    </w:p>
    <w:p w14:paraId="3D2278FF">
      <w:pPr>
        <w:pStyle w:val="4"/>
        <w:ind w:firstLine="480"/>
        <w:rPr>
          <w:color w:val="auto"/>
        </w:rPr>
      </w:pPr>
      <w:r>
        <w:rPr>
          <w:rFonts w:hint="eastAsia"/>
          <w:color w:val="auto"/>
        </w:rPr>
        <w:t>实际建设阶段：</w:t>
      </w:r>
    </w:p>
    <w:p w14:paraId="2DDD3544">
      <w:pPr>
        <w:pStyle w:val="4"/>
        <w:ind w:firstLine="480"/>
        <w:rPr>
          <w:color w:val="auto"/>
        </w:rPr>
      </w:pPr>
      <w:bookmarkStart w:id="211" w:name="OLE_LINK330"/>
      <w:bookmarkStart w:id="212" w:name="OLE_LINK329"/>
      <w:r>
        <w:rPr>
          <w:rFonts w:hint="eastAsia"/>
          <w:color w:val="auto"/>
        </w:rPr>
        <w:t>新建DN80集油干线1.61km，新建DN100集油干线1.155km</w:t>
      </w:r>
      <w:bookmarkEnd w:id="211"/>
      <w:bookmarkEnd w:id="212"/>
      <w:r>
        <w:rPr>
          <w:rFonts w:hint="eastAsia"/>
          <w:color w:val="auto"/>
        </w:rPr>
        <w:t>，3#计量站站新建双腔油气混输装置1台。</w:t>
      </w:r>
    </w:p>
    <w:p w14:paraId="183DEF6D">
      <w:pPr>
        <w:pStyle w:val="4"/>
        <w:ind w:firstLine="480"/>
        <w:rPr>
          <w:color w:val="auto"/>
        </w:rPr>
      </w:pPr>
      <w:r>
        <w:rPr>
          <w:rFonts w:hint="eastAsia"/>
          <w:color w:val="auto"/>
        </w:rPr>
        <w:t>实际路由走向：新建3#计量站至高青联合站集油管线，管线起点位于3#计量站新建离心式双腔油气混输装置出口管线与围墙碰头处，管线先沿3#计量站北侧围墙向西敷设约370m至水泥路西侧，折向北沿道路敷设至樊101-10井场，采用水平定向钻方式穿越过青干渠至樊121-54井场，折向北敷设约440m后折向西敷设约280m，折向北沿沥青路西侧敷设约420m后折向西敷设约320m，之后再向北敷设约250m至高青联合站。</w:t>
      </w:r>
    </w:p>
    <w:p w14:paraId="2E19F142">
      <w:pPr>
        <w:pStyle w:val="4"/>
        <w:ind w:firstLine="480"/>
        <w:rPr>
          <w:color w:val="auto"/>
        </w:rPr>
      </w:pPr>
      <w:r>
        <w:rPr>
          <w:color w:val="auto"/>
        </w:rPr>
        <mc:AlternateContent>
          <mc:Choice Requires="wps">
            <w:drawing>
              <wp:anchor distT="0" distB="0" distL="114300" distR="114300" simplePos="0" relativeHeight="251688960" behindDoc="0" locked="0" layoutInCell="1" allowOverlap="1">
                <wp:simplePos x="0" y="0"/>
                <wp:positionH relativeFrom="column">
                  <wp:posOffset>2139950</wp:posOffset>
                </wp:positionH>
                <wp:positionV relativeFrom="paragraph">
                  <wp:posOffset>1946910</wp:posOffset>
                </wp:positionV>
                <wp:extent cx="922655" cy="341630"/>
                <wp:effectExtent l="0" t="0" r="0" b="1270"/>
                <wp:wrapNone/>
                <wp:docPr id="1981612505" name="文本框 1981612505"/>
                <wp:cNvGraphicFramePr/>
                <a:graphic xmlns:a="http://schemas.openxmlformats.org/drawingml/2006/main">
                  <a:graphicData uri="http://schemas.microsoft.com/office/word/2010/wordprocessingShape">
                    <wps:wsp>
                      <wps:cNvSpPr txBox="1"/>
                      <wps:spPr>
                        <a:xfrm>
                          <a:off x="0" y="0"/>
                          <a:ext cx="922351" cy="341906"/>
                        </a:xfrm>
                        <a:prstGeom prst="rect">
                          <a:avLst/>
                        </a:prstGeom>
                        <a:solidFill>
                          <a:schemeClr val="lt1"/>
                        </a:solidFill>
                        <a:ln w="6350">
                          <a:noFill/>
                        </a:ln>
                      </wps:spPr>
                      <wps:txbx>
                        <w:txbxContent>
                          <w:p w14:paraId="7EABDB95">
                            <w:pPr>
                              <w:adjustRightInd w:val="0"/>
                              <w:snapToGrid w:val="0"/>
                              <w:rPr>
                                <w:b/>
                                <w:sz w:val="15"/>
                              </w:rPr>
                            </w:pPr>
                            <w:r>
                              <w:rPr>
                                <w:rFonts w:hint="eastAsia"/>
                                <w:b/>
                                <w:sz w:val="15"/>
                              </w:rPr>
                              <w:t>定向钻穿越过</w:t>
                            </w:r>
                            <w:r>
                              <w:rPr>
                                <w:b/>
                                <w:sz w:val="15"/>
                              </w:rPr>
                              <w:t>青干渠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5pt;margin-top:153.3pt;height:26.9pt;width:72.65pt;z-index:251688960;mso-width-relative:page;mso-height-relative:page;" fillcolor="#FFFFFF [3201]" filled="t" stroked="f" coordsize="21600,21600" o:gfxdata="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GoY4U9YAAAAL&#10;AQAADwAAAAAAAAABACAAAAAiAAAAZHJzL2Rvd25yZXYueG1sUEsBAhQAFAAAAAgAh07iQJsIw+JX&#10;AgAAoAQAAA4AAAAAAAAAAQAgAAAAJQEAAGRycy9lMm9Eb2MueG1sUEsFBgAAAAAGAAYAWQEAAO4F&#10;AAAAAA==&#10;">
                <v:fill on="t" focussize="0,0"/>
                <v:stroke on="f" weight="0.5pt"/>
                <v:imagedata o:title=""/>
                <o:lock v:ext="edit" aspectratio="f"/>
                <v:textbox>
                  <w:txbxContent>
                    <w:p w14:paraId="7EABDB95">
                      <w:pPr>
                        <w:adjustRightInd w:val="0"/>
                        <w:snapToGrid w:val="0"/>
                        <w:rPr>
                          <w:b/>
                          <w:sz w:val="15"/>
                        </w:rPr>
                      </w:pPr>
                      <w:r>
                        <w:rPr>
                          <w:rFonts w:hint="eastAsia"/>
                          <w:b/>
                          <w:sz w:val="15"/>
                        </w:rPr>
                        <w:t>定向钻穿越过</w:t>
                      </w:r>
                      <w:r>
                        <w:rPr>
                          <w:b/>
                          <w:sz w:val="15"/>
                        </w:rPr>
                        <w:t>青干渠</w:t>
                      </w:r>
                    </w:p>
                  </w:txbxContent>
                </v:textbox>
              </v:shape>
            </w:pict>
          </mc:Fallback>
        </mc:AlternateContent>
      </w:r>
      <w:r>
        <w:rPr>
          <w:color w:val="auto"/>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1485900</wp:posOffset>
                </wp:positionV>
                <wp:extent cx="254635" cy="206375"/>
                <wp:effectExtent l="0" t="0" r="12700" b="22860"/>
                <wp:wrapNone/>
                <wp:docPr id="1981612506" name="椭圆 1981612506"/>
                <wp:cNvGraphicFramePr/>
                <a:graphic xmlns:a="http://schemas.openxmlformats.org/drawingml/2006/main">
                  <a:graphicData uri="http://schemas.microsoft.com/office/word/2010/wordprocessingShape">
                    <wps:wsp>
                      <wps:cNvSpPr/>
                      <wps:spPr>
                        <a:xfrm>
                          <a:off x="0" y="0"/>
                          <a:ext cx="254442" cy="206209"/>
                        </a:xfrm>
                        <a:prstGeom prst="ellipse">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top:117pt;height:16.25pt;width:20.05pt;mso-position-horizontal:center;mso-position-horizontal-relative:margin;z-index:251689984;v-text-anchor:middle;mso-width-relative:page;mso-height-relative:page;" filled="f" stroked="t" coordsize="21600,21600" o:gfxdata="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SsKnWAAAABwEAAA8AAAAAAAAAAQAgAAAAIgAAAGRycy9k&#10;b3ducmV2LnhtbFBLAQIUABQAAAAIAIdO4kAvJ0OIdgIAAN8EAAAOAAAAAAAAAAEAIAAAACUBAABk&#10;cnMvZTJvRG9jLnhtbFBLBQYAAAAABgAGAFkBAAANBgAAAAA=&#10;">
                <v:fill on="f" focussize="0,0"/>
                <v:stroke weight="1pt" color="#FFC000 [3207]" miterlimit="8" joinstyle="miter"/>
                <v:imagedata o:title=""/>
                <o:lock v:ext="edit" aspectratio="f"/>
              </v:shape>
            </w:pict>
          </mc:Fallback>
        </mc:AlternateContent>
      </w:r>
      <w:r>
        <w:rPr>
          <w:color w:val="auto"/>
        </w:rPr>
        <mc:AlternateContent>
          <mc:Choice Requires="wps">
            <w:drawing>
              <wp:anchor distT="0" distB="0" distL="114300" distR="114300" simplePos="0" relativeHeight="251687936" behindDoc="0" locked="0" layoutInCell="1" allowOverlap="1">
                <wp:simplePos x="0" y="0"/>
                <wp:positionH relativeFrom="column">
                  <wp:posOffset>645160</wp:posOffset>
                </wp:positionH>
                <wp:positionV relativeFrom="paragraph">
                  <wp:posOffset>1303020</wp:posOffset>
                </wp:positionV>
                <wp:extent cx="873760" cy="320675"/>
                <wp:effectExtent l="0" t="0" r="3175" b="3175"/>
                <wp:wrapNone/>
                <wp:docPr id="1981612504" name="文本框 1981612504"/>
                <wp:cNvGraphicFramePr/>
                <a:graphic xmlns:a="http://schemas.openxmlformats.org/drawingml/2006/main">
                  <a:graphicData uri="http://schemas.microsoft.com/office/word/2010/wordprocessingShape">
                    <wps:wsp>
                      <wps:cNvSpPr txBox="1"/>
                      <wps:spPr>
                        <a:xfrm>
                          <a:off x="0" y="0"/>
                          <a:ext cx="873457" cy="320722"/>
                        </a:xfrm>
                        <a:prstGeom prst="rect">
                          <a:avLst/>
                        </a:prstGeom>
                        <a:solidFill>
                          <a:schemeClr val="lt1"/>
                        </a:solidFill>
                        <a:ln w="6350">
                          <a:noFill/>
                        </a:ln>
                      </wps:spPr>
                      <wps:txbx>
                        <w:txbxContent>
                          <w:p w14:paraId="23FF51F4">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100</w:t>
                            </w:r>
                            <w:r>
                              <w:rPr>
                                <w:rFonts w:hint="eastAsia"/>
                                <w:b/>
                                <w:color w:val="C00000"/>
                                <w:sz w:val="15"/>
                              </w:rPr>
                              <w:t>=</w:t>
                            </w:r>
                            <w:r>
                              <w:rPr>
                                <w:b/>
                                <w:color w:val="C00000"/>
                                <w:sz w:val="15"/>
                              </w:rPr>
                              <w:t>1.155km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8pt;margin-top:102.6pt;height:25.25pt;width:68.8pt;z-index:251687936;mso-width-relative:page;mso-height-relative:page;" fillcolor="#FFFFFF [3201]" filled="t" stroked="f" coordsize="21600,21600" o:gfxdata="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L53uf1QAAAAsB&#10;AAAPAAAAAAAAAAEAIAAAACIAAABkcnMvZG93bnJldi54bWxQSwECFAAUAAAACACHTuJAtFffIFcC&#10;AACgBAAADgAAAAAAAAABACAAAAAkAQAAZHJzL2Uyb0RvYy54bWxQSwUGAAAAAAYABgBZAQAA7QUA&#10;AAAA&#10;">
                <v:fill on="t" focussize="0,0"/>
                <v:stroke on="f" weight="0.5pt"/>
                <v:imagedata o:title=""/>
                <o:lock v:ext="edit" aspectratio="f"/>
                <v:textbox>
                  <w:txbxContent>
                    <w:p w14:paraId="23FF51F4">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100</w:t>
                      </w:r>
                      <w:r>
                        <w:rPr>
                          <w:rFonts w:hint="eastAsia"/>
                          <w:b/>
                          <w:color w:val="C00000"/>
                          <w:sz w:val="15"/>
                        </w:rPr>
                        <w:t>=</w:t>
                      </w:r>
                      <w:r>
                        <w:rPr>
                          <w:b/>
                          <w:color w:val="C00000"/>
                          <w:sz w:val="15"/>
                        </w:rPr>
                        <w:t>1.155km</w:t>
                      </w:r>
                    </w:p>
                  </w:txbxContent>
                </v:textbox>
              </v:shape>
            </w:pict>
          </mc:Fallback>
        </mc:AlternateContent>
      </w:r>
      <w:r>
        <w:rPr>
          <w:color w:val="auto"/>
        </w:rPr>
        <mc:AlternateContent>
          <mc:Choice Requires="wps">
            <w:drawing>
              <wp:anchor distT="0" distB="0" distL="114300" distR="114300" simplePos="0" relativeHeight="251686912" behindDoc="0" locked="0" layoutInCell="1" allowOverlap="1">
                <wp:simplePos x="0" y="0"/>
                <wp:positionH relativeFrom="column">
                  <wp:posOffset>2537460</wp:posOffset>
                </wp:positionH>
                <wp:positionV relativeFrom="paragraph">
                  <wp:posOffset>913765</wp:posOffset>
                </wp:positionV>
                <wp:extent cx="873760" cy="320675"/>
                <wp:effectExtent l="0" t="0" r="3175" b="3175"/>
                <wp:wrapNone/>
                <wp:docPr id="1981612503" name="文本框 1981612503"/>
                <wp:cNvGraphicFramePr/>
                <a:graphic xmlns:a="http://schemas.openxmlformats.org/drawingml/2006/main">
                  <a:graphicData uri="http://schemas.microsoft.com/office/word/2010/wordprocessingShape">
                    <wps:wsp>
                      <wps:cNvSpPr txBox="1"/>
                      <wps:spPr>
                        <a:xfrm>
                          <a:off x="0" y="0"/>
                          <a:ext cx="873457" cy="320722"/>
                        </a:xfrm>
                        <a:prstGeom prst="rect">
                          <a:avLst/>
                        </a:prstGeom>
                        <a:solidFill>
                          <a:schemeClr val="lt1"/>
                        </a:solidFill>
                        <a:ln w="6350">
                          <a:noFill/>
                        </a:ln>
                      </wps:spPr>
                      <wps:txbx>
                        <w:txbxContent>
                          <w:p w14:paraId="4AAE13CF">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80</w:t>
                            </w:r>
                            <w:r>
                              <w:rPr>
                                <w:rFonts w:hint="eastAsia"/>
                                <w:b/>
                                <w:color w:val="C00000"/>
                                <w:sz w:val="15"/>
                              </w:rPr>
                              <w:t>=</w:t>
                            </w:r>
                            <w:r>
                              <w:rPr>
                                <w:b/>
                                <w:color w:val="C00000"/>
                                <w:sz w:val="15"/>
                              </w:rPr>
                              <w:t>2.07km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9.8pt;margin-top:71.95pt;height:25.25pt;width:68.8pt;z-index:251686912;mso-width-relative:page;mso-height-relative:page;" fillcolor="#FFFFFF [3201]" filled="t" stroked="f" coordsize="21600,21600" o:gfxdata="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Gj8aaXXAAAA&#10;CwEAAA8AAAAAAAAAAQAgAAAAIgAAAGRycy9kb3ducmV2LnhtbFBLAQIUABQAAAAIAIdO4kDC2iF7&#10;VwIAAKAEAAAOAAAAAAAAAAEAIAAAACYBAABkcnMvZTJvRG9jLnhtbFBLBQYAAAAABgAGAFkBAADv&#10;BQAAAAA=&#10;">
                <v:fill on="t" focussize="0,0"/>
                <v:stroke on="f" weight="0.5pt"/>
                <v:imagedata o:title=""/>
                <o:lock v:ext="edit" aspectratio="f"/>
                <v:textbox>
                  <w:txbxContent>
                    <w:p w14:paraId="4AAE13CF">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80</w:t>
                      </w:r>
                      <w:r>
                        <w:rPr>
                          <w:rFonts w:hint="eastAsia"/>
                          <w:b/>
                          <w:color w:val="C00000"/>
                          <w:sz w:val="15"/>
                        </w:rPr>
                        <w:t>=</w:t>
                      </w:r>
                      <w:r>
                        <w:rPr>
                          <w:b/>
                          <w:color w:val="C00000"/>
                          <w:sz w:val="15"/>
                        </w:rPr>
                        <w:t>2.07km</w:t>
                      </w:r>
                    </w:p>
                  </w:txbxContent>
                </v:textbox>
              </v:shape>
            </w:pict>
          </mc:Fallback>
        </mc:AlternateContent>
      </w:r>
      <w:r>
        <w:rPr>
          <w:color w:val="auto"/>
        </w:rPr>
        <w:drawing>
          <wp:inline distT="0" distB="0" distL="0" distR="0">
            <wp:extent cx="5278755" cy="3351530"/>
            <wp:effectExtent l="0" t="0" r="0" b="1270"/>
            <wp:docPr id="1040663381" name="图片 1040663381" descr="C:\Users\dell\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63381" name="图片 1040663381" descr="C:\Users\dell\Desktop\图片4.png图片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78755" cy="3351530"/>
                    </a:xfrm>
                    <a:prstGeom prst="rect">
                      <a:avLst/>
                    </a:prstGeom>
                    <a:noFill/>
                    <a:ln>
                      <a:noFill/>
                    </a:ln>
                    <a:effectLst/>
                  </pic:spPr>
                </pic:pic>
              </a:graphicData>
            </a:graphic>
          </wp:inline>
        </w:drawing>
      </w:r>
    </w:p>
    <w:p w14:paraId="5F5162F3">
      <w:pPr>
        <w:pStyle w:val="15"/>
        <w:spacing w:before="120"/>
        <w:rPr>
          <w:b/>
          <w:color w:val="auto"/>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6</w:t>
      </w:r>
      <w:r>
        <w:rPr>
          <w:color w:val="auto"/>
        </w:rPr>
        <w:fldChar w:fldCharType="end"/>
      </w:r>
      <w:r>
        <w:rPr>
          <w:color w:val="auto"/>
        </w:rPr>
        <w:t xml:space="preserve"> </w:t>
      </w:r>
      <w:r>
        <w:rPr>
          <w:rFonts w:hint="eastAsia"/>
          <w:color w:val="auto"/>
        </w:rPr>
        <w:t>樊101区块3#计量站拉改输实际路由走向图</w:t>
      </w:r>
    </w:p>
    <w:p w14:paraId="7FE39F82">
      <w:pPr>
        <w:pStyle w:val="4"/>
        <w:ind w:firstLine="48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高21区块集油管线更换</w:t>
      </w:r>
    </w:p>
    <w:p w14:paraId="78448E35">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环评阶段：</w:t>
      </w:r>
    </w:p>
    <w:p w14:paraId="25760B30">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a</w:t>
      </w:r>
      <w:r>
        <w:rPr>
          <w:rFonts w:ascii="宋体" w:hAnsi="宋体"/>
          <w:color w:val="auto"/>
          <w:sz w:val="24"/>
          <w:szCs w:val="24"/>
        </w:rPr>
        <w:t>.</w:t>
      </w:r>
      <w:r>
        <w:rPr>
          <w:rFonts w:hint="eastAsia" w:ascii="宋体" w:hAnsi="宋体"/>
          <w:color w:val="auto"/>
          <w:sz w:val="24"/>
          <w:szCs w:val="24"/>
        </w:rPr>
        <w:t>高21-18集油管线</w:t>
      </w:r>
    </w:p>
    <w:p w14:paraId="51DA9418">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高21-18集油管线起点为高21-18井场，向西敷设300m至高21-斜64井场，接着向西敷设180m后，折向北敷设610m至高21-11泵站。</w:t>
      </w:r>
    </w:p>
    <w:p w14:paraId="60FCC8AE">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b</w:t>
      </w:r>
      <w:r>
        <w:rPr>
          <w:rFonts w:ascii="宋体" w:hAnsi="宋体"/>
          <w:color w:val="auto"/>
          <w:sz w:val="24"/>
          <w:szCs w:val="24"/>
        </w:rPr>
        <w:t>.</w:t>
      </w:r>
      <w:r>
        <w:rPr>
          <w:rFonts w:hint="eastAsia" w:ascii="宋体" w:hAnsi="宋体"/>
          <w:color w:val="auto"/>
          <w:sz w:val="24"/>
          <w:szCs w:val="24"/>
        </w:rPr>
        <w:t>高21-8集油管线</w:t>
      </w:r>
    </w:p>
    <w:p w14:paraId="76020C6C">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 xml:space="preserve">高21-8集油管线起点为高21-8井场，向东敷设450m至高21-11泵站。 </w:t>
      </w:r>
    </w:p>
    <w:p w14:paraId="7449C085">
      <w:pPr>
        <w:adjustRightInd w:val="0"/>
        <w:snapToGrid w:val="0"/>
        <w:spacing w:line="331" w:lineRule="auto"/>
        <w:ind w:left="476"/>
        <w:rPr>
          <w:rFonts w:ascii="宋体" w:hAnsi="宋体"/>
          <w:color w:val="auto"/>
          <w:sz w:val="24"/>
          <w:szCs w:val="24"/>
        </w:rPr>
      </w:pPr>
      <w:r>
        <w:rPr>
          <w:rFonts w:hint="eastAsia" w:ascii="宋体" w:hAnsi="宋体"/>
          <w:color w:val="auto"/>
          <w:sz w:val="24"/>
          <w:szCs w:val="24"/>
        </w:rPr>
        <w:t>c</w:t>
      </w:r>
      <w:r>
        <w:rPr>
          <w:rFonts w:ascii="宋体" w:hAnsi="宋体"/>
          <w:color w:val="auto"/>
          <w:sz w:val="24"/>
          <w:szCs w:val="24"/>
        </w:rPr>
        <w:t>.</w:t>
      </w:r>
      <w:r>
        <w:rPr>
          <w:rFonts w:hint="eastAsia" w:ascii="宋体" w:hAnsi="宋体"/>
          <w:color w:val="auto"/>
          <w:sz w:val="24"/>
          <w:szCs w:val="24"/>
        </w:rPr>
        <w:t>高26-18集油管线</w:t>
      </w:r>
    </w:p>
    <w:p w14:paraId="73A35FAD">
      <w:pPr>
        <w:pStyle w:val="4"/>
        <w:ind w:firstLine="480"/>
        <w:rPr>
          <w:color w:val="auto"/>
        </w:rPr>
      </w:pPr>
      <w:r>
        <w:rPr>
          <w:rFonts w:hint="eastAsia"/>
          <w:color w:val="auto"/>
        </w:rPr>
        <w:t>高26-18集油管线起点为高26-18井场，向东敷设430m至高26-28井场，最终掺输至高21区块集油干线</w:t>
      </w:r>
    </w:p>
    <w:p w14:paraId="35049477">
      <w:pPr>
        <w:pStyle w:val="4"/>
        <w:ind w:firstLine="480"/>
        <w:rPr>
          <w:color w:val="auto"/>
        </w:rPr>
      </w:pPr>
      <w:r>
        <w:rPr>
          <w:rFonts w:hint="eastAsia"/>
          <w:color w:val="auto"/>
        </w:rPr>
        <w:t>实际建设阶段：</w:t>
      </w:r>
    </w:p>
    <w:p w14:paraId="529D97A6">
      <w:pPr>
        <w:pStyle w:val="4"/>
        <w:ind w:firstLine="480"/>
        <w:rPr>
          <w:color w:val="auto"/>
        </w:rPr>
      </w:pPr>
      <w:r>
        <w:rPr>
          <w:rFonts w:hint="eastAsia"/>
          <w:color w:val="auto"/>
        </w:rPr>
        <w:t>新建DN</w:t>
      </w:r>
      <w:r>
        <w:rPr>
          <w:color w:val="auto"/>
        </w:rPr>
        <w:t>65</w:t>
      </w:r>
      <w:r>
        <w:rPr>
          <w:rFonts w:hint="eastAsia"/>
          <w:color w:val="auto"/>
        </w:rPr>
        <w:t>集油管线</w:t>
      </w:r>
      <w:r>
        <w:rPr>
          <w:color w:val="auto"/>
        </w:rPr>
        <w:t>0.8</w:t>
      </w:r>
      <w:r>
        <w:rPr>
          <w:rFonts w:hint="eastAsia"/>
          <w:color w:val="auto"/>
        </w:rPr>
        <w:t>km，DN80集油干线</w:t>
      </w:r>
      <w:r>
        <w:rPr>
          <w:color w:val="auto"/>
        </w:rPr>
        <w:t>0.295</w:t>
      </w:r>
      <w:r>
        <w:rPr>
          <w:rFonts w:hint="eastAsia"/>
          <w:color w:val="auto"/>
        </w:rPr>
        <w:t>km，新建DN100集油干线</w:t>
      </w:r>
      <w:r>
        <w:rPr>
          <w:color w:val="auto"/>
        </w:rPr>
        <w:t>0.562</w:t>
      </w:r>
      <w:r>
        <w:rPr>
          <w:rFonts w:hint="eastAsia"/>
          <w:color w:val="auto"/>
        </w:rPr>
        <w:t>km。</w:t>
      </w:r>
    </w:p>
    <w:p w14:paraId="3AB22746">
      <w:pPr>
        <w:pStyle w:val="4"/>
        <w:ind w:firstLine="480"/>
        <w:rPr>
          <w:color w:val="auto"/>
        </w:rPr>
      </w:pPr>
      <w:r>
        <w:rPr>
          <w:rFonts w:hint="eastAsia"/>
          <w:color w:val="auto"/>
        </w:rPr>
        <w:t>实际路由走向：新建F26-18井至至F121-斜85井集油管线：管线起点为F26-18井加热炉出口，管线向东采用水平定向钻方式穿越农田后折向东北方向，浅埋敷设至F121-X85井场，管线终点为F121-X85井场集油阀组。</w:t>
      </w:r>
    </w:p>
    <w:p w14:paraId="4B32A9E6">
      <w:pPr>
        <w:pStyle w:val="4"/>
        <w:ind w:firstLine="480"/>
        <w:rPr>
          <w:color w:val="auto"/>
        </w:rPr>
      </w:pPr>
      <w:r>
        <w:rPr>
          <w:rFonts w:hint="eastAsia"/>
          <w:color w:val="auto"/>
        </w:rPr>
        <w:t>更换G21-1井至高21干线段集油管线：管线起点为G21-1井加热炉出口，管线先向西敷设串接G21-X63、G21-X64井产液后继续向西敷设至土路，折向北串接G21-9、G21-8井产液后继续向北敷设至G21-11井场西侧碰接已建高21干线。</w:t>
      </w:r>
    </w:p>
    <w:p w14:paraId="25F94FC1">
      <w:pPr>
        <w:pStyle w:val="4"/>
        <w:ind w:firstLine="0" w:firstLineChars="0"/>
        <w:rPr>
          <w:color w:val="auto"/>
        </w:rPr>
      </w:pPr>
      <w:r>
        <w:rPr>
          <w:color w:val="auto"/>
        </w:rPr>
        <mc:AlternateContent>
          <mc:Choice Requires="wps">
            <w:drawing>
              <wp:anchor distT="0" distB="0" distL="114300" distR="114300" simplePos="0" relativeHeight="251698176" behindDoc="0" locked="0" layoutInCell="1" allowOverlap="1">
                <wp:simplePos x="0" y="0"/>
                <wp:positionH relativeFrom="margin">
                  <wp:posOffset>33020</wp:posOffset>
                </wp:positionH>
                <wp:positionV relativeFrom="paragraph">
                  <wp:posOffset>531495</wp:posOffset>
                </wp:positionV>
                <wp:extent cx="785495" cy="503555"/>
                <wp:effectExtent l="0" t="0" r="0" b="0"/>
                <wp:wrapNone/>
                <wp:docPr id="1981612518" name="文本框 1981612518"/>
                <wp:cNvGraphicFramePr/>
                <a:graphic xmlns:a="http://schemas.openxmlformats.org/drawingml/2006/main">
                  <a:graphicData uri="http://schemas.microsoft.com/office/word/2010/wordprocessingShape">
                    <wps:wsp>
                      <wps:cNvSpPr txBox="1"/>
                      <wps:spPr>
                        <a:xfrm>
                          <a:off x="0" y="0"/>
                          <a:ext cx="785661" cy="503555"/>
                        </a:xfrm>
                        <a:prstGeom prst="rect">
                          <a:avLst/>
                        </a:prstGeom>
                        <a:solidFill>
                          <a:schemeClr val="lt1"/>
                        </a:solidFill>
                        <a:ln w="6350">
                          <a:noFill/>
                        </a:ln>
                      </wps:spPr>
                      <wps:txbx>
                        <w:txbxContent>
                          <w:p w14:paraId="527920F9">
                            <w:pPr>
                              <w:adjustRightInd w:val="0"/>
                              <w:snapToGrid w:val="0"/>
                              <w:rPr>
                                <w:b/>
                                <w:color w:val="C00000"/>
                                <w:sz w:val="15"/>
                              </w:rPr>
                            </w:pPr>
                            <w:bookmarkStart w:id="607" w:name="OLE_LINK327"/>
                            <w:bookmarkStart w:id="608" w:name="_Hlk231222687"/>
                            <w:bookmarkStart w:id="609" w:name="OLE_LINK328"/>
                            <w:r>
                              <w:rPr>
                                <w:rFonts w:hint="eastAsia"/>
                                <w:b/>
                                <w:color w:val="C00000"/>
                                <w:sz w:val="15"/>
                              </w:rPr>
                              <w:t>环评路由-更换集油</w:t>
                            </w:r>
                            <w:r>
                              <w:rPr>
                                <w:b/>
                                <w:color w:val="C00000"/>
                                <w:sz w:val="15"/>
                              </w:rPr>
                              <w:t>管线</w:t>
                            </w:r>
                            <w:r>
                              <w:rPr>
                                <w:rFonts w:hint="eastAsia"/>
                                <w:b/>
                                <w:color w:val="C00000"/>
                                <w:sz w:val="15"/>
                              </w:rPr>
                              <w:t xml:space="preserve"> DN</w:t>
                            </w:r>
                            <w:r>
                              <w:rPr>
                                <w:b/>
                                <w:color w:val="C00000"/>
                                <w:sz w:val="15"/>
                              </w:rPr>
                              <w:t>65</w:t>
                            </w:r>
                            <w:r>
                              <w:rPr>
                                <w:rFonts w:hint="eastAsia"/>
                                <w:b/>
                                <w:color w:val="C00000"/>
                                <w:sz w:val="15"/>
                              </w:rPr>
                              <w:t>=</w:t>
                            </w:r>
                            <w:r>
                              <w:rPr>
                                <w:b/>
                                <w:color w:val="C00000"/>
                                <w:sz w:val="15"/>
                              </w:rPr>
                              <w:t>430m</w:t>
                            </w:r>
                            <w:bookmarkEnd w:id="607"/>
                            <w:bookmarkEnd w:id="608"/>
                            <w:bookmarkEnd w:id="609"/>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pt;margin-top:41.85pt;height:39.65pt;width:61.85pt;mso-position-horizontal-relative:margin;z-index:251698176;mso-width-relative:page;mso-height-relative:page;" fillcolor="#FFFFFF [3201]" filled="t" stroked="f" coordsize="21600,21600" o:gfxdata="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J8ZIw1QAAAAgB&#10;AAAPAAAAAAAAAAEAIAAAACIAAABkcnMvZG93bnJldi54bWxQSwECFAAUAAAACACHTuJAdQ8mI1cC&#10;AACgBAAADgAAAAAAAAABACAAAAAkAQAAZHJzL2Uyb0RvYy54bWxQSwUGAAAAAAYABgBZAQAA7QUA&#10;AAAA&#10;">
                <v:fill on="t" focussize="0,0"/>
                <v:stroke on="f" weight="0.5pt"/>
                <v:imagedata o:title=""/>
                <o:lock v:ext="edit" aspectratio="f"/>
                <v:textbox>
                  <w:txbxContent>
                    <w:p w14:paraId="527920F9">
                      <w:pPr>
                        <w:adjustRightInd w:val="0"/>
                        <w:snapToGrid w:val="0"/>
                        <w:rPr>
                          <w:b/>
                          <w:color w:val="C00000"/>
                          <w:sz w:val="15"/>
                        </w:rPr>
                      </w:pPr>
                      <w:bookmarkStart w:id="607" w:name="OLE_LINK327"/>
                      <w:bookmarkStart w:id="608" w:name="_Hlk231222687"/>
                      <w:bookmarkStart w:id="609" w:name="OLE_LINK328"/>
                      <w:r>
                        <w:rPr>
                          <w:rFonts w:hint="eastAsia"/>
                          <w:b/>
                          <w:color w:val="C00000"/>
                          <w:sz w:val="15"/>
                        </w:rPr>
                        <w:t>环评路由-更换集油</w:t>
                      </w:r>
                      <w:r>
                        <w:rPr>
                          <w:b/>
                          <w:color w:val="C00000"/>
                          <w:sz w:val="15"/>
                        </w:rPr>
                        <w:t>管线</w:t>
                      </w:r>
                      <w:r>
                        <w:rPr>
                          <w:rFonts w:hint="eastAsia"/>
                          <w:b/>
                          <w:color w:val="C00000"/>
                          <w:sz w:val="15"/>
                        </w:rPr>
                        <w:t xml:space="preserve"> DN</w:t>
                      </w:r>
                      <w:r>
                        <w:rPr>
                          <w:b/>
                          <w:color w:val="C00000"/>
                          <w:sz w:val="15"/>
                        </w:rPr>
                        <w:t>65</w:t>
                      </w:r>
                      <w:r>
                        <w:rPr>
                          <w:rFonts w:hint="eastAsia"/>
                          <w:b/>
                          <w:color w:val="C00000"/>
                          <w:sz w:val="15"/>
                        </w:rPr>
                        <w:t>=</w:t>
                      </w:r>
                      <w:r>
                        <w:rPr>
                          <w:b/>
                          <w:color w:val="C00000"/>
                          <w:sz w:val="15"/>
                        </w:rPr>
                        <w:t>430m</w:t>
                      </w:r>
                      <w:bookmarkEnd w:id="607"/>
                      <w:bookmarkEnd w:id="608"/>
                      <w:bookmarkEnd w:id="609"/>
                    </w:p>
                  </w:txbxContent>
                </v:textbox>
              </v:shape>
            </w:pict>
          </mc:Fallback>
        </mc:AlternateContent>
      </w:r>
      <w:r>
        <w:rPr>
          <w:color w:val="auto"/>
        </w:rPr>
        <mc:AlternateContent>
          <mc:Choice Requires="wps">
            <w:drawing>
              <wp:anchor distT="0" distB="0" distL="114300" distR="114300" simplePos="0" relativeHeight="251692032" behindDoc="0" locked="0" layoutInCell="1" allowOverlap="1">
                <wp:simplePos x="0" y="0"/>
                <wp:positionH relativeFrom="column">
                  <wp:posOffset>1965325</wp:posOffset>
                </wp:positionH>
                <wp:positionV relativeFrom="paragraph">
                  <wp:posOffset>1931035</wp:posOffset>
                </wp:positionV>
                <wp:extent cx="809625" cy="320675"/>
                <wp:effectExtent l="0" t="0" r="0" b="3175"/>
                <wp:wrapNone/>
                <wp:docPr id="1981612508" name="文本框 1981612508"/>
                <wp:cNvGraphicFramePr/>
                <a:graphic xmlns:a="http://schemas.openxmlformats.org/drawingml/2006/main">
                  <a:graphicData uri="http://schemas.microsoft.com/office/word/2010/wordprocessingShape">
                    <wps:wsp>
                      <wps:cNvSpPr txBox="1"/>
                      <wps:spPr>
                        <a:xfrm>
                          <a:off x="0" y="0"/>
                          <a:ext cx="809514" cy="320675"/>
                        </a:xfrm>
                        <a:prstGeom prst="rect">
                          <a:avLst/>
                        </a:prstGeom>
                        <a:solidFill>
                          <a:schemeClr val="lt1"/>
                        </a:solidFill>
                        <a:ln w="6350">
                          <a:noFill/>
                        </a:ln>
                      </wps:spPr>
                      <wps:txbx>
                        <w:txbxContent>
                          <w:p w14:paraId="64B5AEA9">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80</w:t>
                            </w:r>
                            <w:r>
                              <w:rPr>
                                <w:rFonts w:hint="eastAsia"/>
                                <w:b/>
                                <w:color w:val="C00000"/>
                                <w:sz w:val="15"/>
                              </w:rPr>
                              <w:t>=</w:t>
                            </w:r>
                            <w:r>
                              <w:rPr>
                                <w:b/>
                                <w:color w:val="C00000"/>
                                <w:sz w:val="15"/>
                              </w:rPr>
                              <w:t>295m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4.75pt;margin-top:152.05pt;height:25.25pt;width:63.75pt;z-index:251692032;mso-width-relative:page;mso-height-relative:page;" fillcolor="#FFFFFF [3201]" filled="t" stroked="f" coordsize="21600,21600" o:gfxdata="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9WTODWAAAA&#10;CwEAAA8AAAAAAAAAAQAgAAAAIgAAAGRycy9kb3ducmV2LnhtbFBLAQIUABQAAAAIAIdO4kCw8kka&#10;WAIAAKAEAAAOAAAAAAAAAAEAIAAAACUBAABkcnMvZTJvRG9jLnhtbFBLBQYAAAAABgAGAFkBAADv&#10;BQAAAAA=&#10;">
                <v:fill on="t" focussize="0,0"/>
                <v:stroke on="f" weight="0.5pt"/>
                <v:imagedata o:title=""/>
                <o:lock v:ext="edit" aspectratio="f"/>
                <v:textbox>
                  <w:txbxContent>
                    <w:p w14:paraId="64B5AEA9">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80</w:t>
                      </w:r>
                      <w:r>
                        <w:rPr>
                          <w:rFonts w:hint="eastAsia"/>
                          <w:b/>
                          <w:color w:val="C00000"/>
                          <w:sz w:val="15"/>
                        </w:rPr>
                        <w:t>=</w:t>
                      </w:r>
                      <w:r>
                        <w:rPr>
                          <w:b/>
                          <w:color w:val="C00000"/>
                          <w:sz w:val="15"/>
                        </w:rPr>
                        <w:t>295m</w:t>
                      </w:r>
                    </w:p>
                  </w:txbxContent>
                </v:textbox>
              </v:shape>
            </w:pict>
          </mc:Fallback>
        </mc:AlternateContent>
      </w:r>
      <w:r>
        <w:rPr>
          <w:color w:val="auto"/>
        </w:rPr>
        <mc:AlternateContent>
          <mc:Choice Requires="wps">
            <w:drawing>
              <wp:anchor distT="0" distB="0" distL="114300" distR="114300" simplePos="0" relativeHeight="251699200" behindDoc="0" locked="0" layoutInCell="1" allowOverlap="1">
                <wp:simplePos x="0" y="0"/>
                <wp:positionH relativeFrom="column">
                  <wp:posOffset>1137920</wp:posOffset>
                </wp:positionH>
                <wp:positionV relativeFrom="paragraph">
                  <wp:posOffset>1254760</wp:posOffset>
                </wp:positionV>
                <wp:extent cx="779145" cy="500380"/>
                <wp:effectExtent l="0" t="190500" r="1905" b="0"/>
                <wp:wrapNone/>
                <wp:docPr id="1981612519" name="矩形标注 1981612519"/>
                <wp:cNvGraphicFramePr/>
                <a:graphic xmlns:a="http://schemas.openxmlformats.org/drawingml/2006/main">
                  <a:graphicData uri="http://schemas.microsoft.com/office/word/2010/wordprocessingShape">
                    <wps:wsp>
                      <wps:cNvSpPr/>
                      <wps:spPr>
                        <a:xfrm>
                          <a:off x="0" y="0"/>
                          <a:ext cx="779145" cy="500380"/>
                        </a:xfrm>
                        <a:prstGeom prst="wedgeRectCallout">
                          <a:avLst>
                            <a:gd name="adj1" fmla="val -49407"/>
                            <a:gd name="adj2" fmla="val -86563"/>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9D83FD">
                            <w:pPr>
                              <w:adjustRightInd w:val="0"/>
                              <w:snapToGrid w:val="0"/>
                              <w:rPr>
                                <w:b/>
                                <w:color w:val="C00000"/>
                                <w:sz w:val="15"/>
                              </w:rPr>
                            </w:pPr>
                            <w:r>
                              <w:rPr>
                                <w:rFonts w:hint="eastAsia"/>
                                <w:b/>
                                <w:color w:val="C00000"/>
                                <w:sz w:val="15"/>
                              </w:rPr>
                              <w:t>实际路由-新建集油</w:t>
                            </w:r>
                            <w:r>
                              <w:rPr>
                                <w:b/>
                                <w:color w:val="C00000"/>
                                <w:sz w:val="15"/>
                              </w:rPr>
                              <w:t>管线</w:t>
                            </w:r>
                            <w:r>
                              <w:rPr>
                                <w:rFonts w:hint="eastAsia"/>
                                <w:b/>
                                <w:color w:val="C00000"/>
                                <w:sz w:val="15"/>
                              </w:rPr>
                              <w:t xml:space="preserve"> DN</w:t>
                            </w:r>
                            <w:r>
                              <w:rPr>
                                <w:b/>
                                <w:color w:val="C00000"/>
                                <w:sz w:val="15"/>
                              </w:rPr>
                              <w:t>65</w:t>
                            </w:r>
                            <w:r>
                              <w:rPr>
                                <w:rFonts w:hint="eastAsia"/>
                                <w:b/>
                                <w:color w:val="C00000"/>
                                <w:sz w:val="15"/>
                              </w:rPr>
                              <w:t>=</w:t>
                            </w:r>
                            <w:r>
                              <w:rPr>
                                <w:b/>
                                <w:color w:val="C00000"/>
                                <w:sz w:val="15"/>
                              </w:rPr>
                              <w:t>370m</w:t>
                            </w:r>
                          </w:p>
                          <w:p w14:paraId="3885C6F6"/>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9.6pt;margin-top:98.8pt;height:39.4pt;width:61.35pt;z-index:251699200;v-text-anchor:middle;mso-width-relative:page;mso-height-relative:page;" fillcolor="#FFFFFF [3212]" filled="t" stroked="f" coordsize="21600,21600" o:gfxdata="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DJdBRXYAAAACwEAAA8AAAAAAAAAAQAgAAAAIgAAAGRy&#10;cy9kb3ducmV2LnhtbFBLAQIUABQAAAAIAIdO4kCICxBBsAIAAEwFAAAOAAAAAAAAAAEAIAAAACcB&#10;AABkcnMvZTJvRG9jLnhtbFBLBQYAAAAABgAGAFkBAABJBgAAAAA=&#10;" adj="128,-7898">
                <v:fill on="t" focussize="0,0"/>
                <v:stroke on="f" weight="1pt" miterlimit="8" joinstyle="miter"/>
                <v:imagedata o:title=""/>
                <o:lock v:ext="edit" aspectratio="f"/>
                <v:textbox>
                  <w:txbxContent>
                    <w:p w14:paraId="149D83FD">
                      <w:pPr>
                        <w:adjustRightInd w:val="0"/>
                        <w:snapToGrid w:val="0"/>
                        <w:rPr>
                          <w:b/>
                          <w:color w:val="C00000"/>
                          <w:sz w:val="15"/>
                        </w:rPr>
                      </w:pPr>
                      <w:r>
                        <w:rPr>
                          <w:rFonts w:hint="eastAsia"/>
                          <w:b/>
                          <w:color w:val="C00000"/>
                          <w:sz w:val="15"/>
                        </w:rPr>
                        <w:t>实际路由-新建集油</w:t>
                      </w:r>
                      <w:r>
                        <w:rPr>
                          <w:b/>
                          <w:color w:val="C00000"/>
                          <w:sz w:val="15"/>
                        </w:rPr>
                        <w:t>管线</w:t>
                      </w:r>
                      <w:r>
                        <w:rPr>
                          <w:rFonts w:hint="eastAsia"/>
                          <w:b/>
                          <w:color w:val="C00000"/>
                          <w:sz w:val="15"/>
                        </w:rPr>
                        <w:t xml:space="preserve"> DN</w:t>
                      </w:r>
                      <w:r>
                        <w:rPr>
                          <w:b/>
                          <w:color w:val="C00000"/>
                          <w:sz w:val="15"/>
                        </w:rPr>
                        <w:t>65</w:t>
                      </w:r>
                      <w:r>
                        <w:rPr>
                          <w:rFonts w:hint="eastAsia"/>
                          <w:b/>
                          <w:color w:val="C00000"/>
                          <w:sz w:val="15"/>
                        </w:rPr>
                        <w:t>=</w:t>
                      </w:r>
                      <w:r>
                        <w:rPr>
                          <w:b/>
                          <w:color w:val="C00000"/>
                          <w:sz w:val="15"/>
                        </w:rPr>
                        <w:t>370m</w:t>
                      </w:r>
                    </w:p>
                    <w:p w14:paraId="3885C6F6"/>
                  </w:txbxContent>
                </v:textbox>
              </v:shape>
            </w:pict>
          </mc:Fallback>
        </mc:AlternateContent>
      </w:r>
      <w:r>
        <w:rPr>
          <w:color w:val="auto"/>
        </w:rPr>
        <mc:AlternateContent>
          <mc:Choice Requires="wps">
            <w:drawing>
              <wp:anchor distT="0" distB="0" distL="114300" distR="114300" simplePos="0" relativeHeight="251697152" behindDoc="0" locked="0" layoutInCell="1" allowOverlap="1">
                <wp:simplePos x="0" y="0"/>
                <wp:positionH relativeFrom="column">
                  <wp:posOffset>1082675</wp:posOffset>
                </wp:positionH>
                <wp:positionV relativeFrom="paragraph">
                  <wp:posOffset>753745</wp:posOffset>
                </wp:positionV>
                <wp:extent cx="691515" cy="260985"/>
                <wp:effectExtent l="0" t="0" r="0" b="6350"/>
                <wp:wrapNone/>
                <wp:docPr id="1981612517" name="文本框 1981612517"/>
                <wp:cNvGraphicFramePr/>
                <a:graphic xmlns:a="http://schemas.openxmlformats.org/drawingml/2006/main">
                  <a:graphicData uri="http://schemas.microsoft.com/office/word/2010/wordprocessingShape">
                    <wps:wsp>
                      <wps:cNvSpPr txBox="1"/>
                      <wps:spPr>
                        <a:xfrm>
                          <a:off x="0" y="0"/>
                          <a:ext cx="691764" cy="260847"/>
                        </a:xfrm>
                        <a:prstGeom prst="rect">
                          <a:avLst/>
                        </a:prstGeom>
                        <a:noFill/>
                        <a:ln w="6350">
                          <a:noFill/>
                        </a:ln>
                      </wps:spPr>
                      <wps:txbx>
                        <w:txbxContent>
                          <w:p w14:paraId="44DA45B5">
                            <w:pPr>
                              <w:adjustRightInd w:val="0"/>
                              <w:snapToGrid w:val="0"/>
                              <w:rPr>
                                <w:b/>
                                <w:color w:val="FFFF00"/>
                                <w:sz w:val="16"/>
                              </w:rPr>
                            </w:pPr>
                            <w:r>
                              <w:rPr>
                                <w:rFonts w:hint="eastAsia"/>
                                <w:b/>
                                <w:color w:val="C00000"/>
                                <w:sz w:val="16"/>
                                <w:highlight w:val="yellow"/>
                              </w:rPr>
                              <w:t>樊121-X85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25pt;margin-top:59.35pt;height:20.55pt;width:54.45pt;z-index:251697152;mso-width-relative:page;mso-height-relative:page;" filled="f" stroked="f" coordsize="21600,21600" o:gfxdata="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Wp/yn2wAAAAsBAAAPAAAAAAAAAAEA&#10;IAAAACIAAABkcnMvZG93bnJldi54bWxQSwECFAAUAAAACACHTuJAqELJ3UUCAAB3BAAADgAAAAAA&#10;AAABACAAAAAqAQAAZHJzL2Uyb0RvYy54bWxQSwUGAAAAAAYABgBZAQAA4QUAAAAA&#10;">
                <v:fill on="f" focussize="0,0"/>
                <v:stroke on="f" weight="0.5pt"/>
                <v:imagedata o:title=""/>
                <o:lock v:ext="edit" aspectratio="f"/>
                <v:textbox>
                  <w:txbxContent>
                    <w:p w14:paraId="44DA45B5">
                      <w:pPr>
                        <w:adjustRightInd w:val="0"/>
                        <w:snapToGrid w:val="0"/>
                        <w:rPr>
                          <w:b/>
                          <w:color w:val="FFFF00"/>
                          <w:sz w:val="16"/>
                        </w:rPr>
                      </w:pPr>
                      <w:r>
                        <w:rPr>
                          <w:rFonts w:hint="eastAsia"/>
                          <w:b/>
                          <w:color w:val="C00000"/>
                          <w:sz w:val="16"/>
                          <w:highlight w:val="yellow"/>
                        </w:rPr>
                        <w:t>樊121-X85</w:t>
                      </w:r>
                    </w:p>
                  </w:txbxContent>
                </v:textbox>
              </v:shape>
            </w:pict>
          </mc:Fallback>
        </mc:AlternateContent>
      </w:r>
      <w:r>
        <w:rPr>
          <w:color w:val="auto"/>
        </w:rPr>
        <mc:AlternateContent>
          <mc:Choice Requires="wps">
            <w:drawing>
              <wp:anchor distT="0" distB="0" distL="114300" distR="114300" simplePos="0" relativeHeight="251696128" behindDoc="0" locked="0" layoutInCell="1" allowOverlap="1">
                <wp:simplePos x="0" y="0"/>
                <wp:positionH relativeFrom="column">
                  <wp:posOffset>1180465</wp:posOffset>
                </wp:positionH>
                <wp:positionV relativeFrom="paragraph">
                  <wp:posOffset>969645</wp:posOffset>
                </wp:positionV>
                <wp:extent cx="6350" cy="48895"/>
                <wp:effectExtent l="0" t="0" r="31750" b="27305"/>
                <wp:wrapNone/>
                <wp:docPr id="1981612516" name="直接连接符 1981612516"/>
                <wp:cNvGraphicFramePr/>
                <a:graphic xmlns:a="http://schemas.openxmlformats.org/drawingml/2006/main">
                  <a:graphicData uri="http://schemas.microsoft.com/office/word/2010/wordprocessingShape">
                    <wps:wsp>
                      <wps:cNvCnPr/>
                      <wps:spPr>
                        <a:xfrm flipH="1" flipV="1">
                          <a:off x="0" y="0"/>
                          <a:ext cx="6350" cy="4889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92.95pt;margin-top:76.35pt;height:3.85pt;width:0.5pt;z-index:251696128;mso-width-relative:page;mso-height-relative:page;" filled="f" stroked="t" coordsize="21600,21600" o:gfxdata="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DBHg3ZAAAACwEAAA8AAAAAAAAAAQAgAAAAIgAAAGRycy9kb3ducmV2&#10;LnhtbFBLAQIUABQAAAAIAIdO4kD3eC1Z+wEAANkDAAAOAAAAAAAAAAEAIAAAACgBAABkcnMvZTJv&#10;RG9jLnhtbFBLBQYAAAAABgAGAFkBAACVBQAAAAA=&#10;">
                <v:fill on="f" focussize="0,0"/>
                <v:stroke weight="1.5pt" color="#FF0000 [3204]" miterlimit="8" joinstyle="miter"/>
                <v:imagedata o:title=""/>
                <o:lock v:ext="edit" aspectratio="f"/>
              </v:line>
            </w:pict>
          </mc:Fallback>
        </mc:AlternateContent>
      </w:r>
      <w:r>
        <w:rPr>
          <w:color w:val="auto"/>
        </w:rPr>
        <mc:AlternateContent>
          <mc:Choice Requires="wps">
            <w:drawing>
              <wp:anchor distT="0" distB="0" distL="114300" distR="114300" simplePos="0" relativeHeight="251695104" behindDoc="0" locked="0" layoutInCell="1" allowOverlap="1">
                <wp:simplePos x="0" y="0"/>
                <wp:positionH relativeFrom="column">
                  <wp:posOffset>1074420</wp:posOffset>
                </wp:positionH>
                <wp:positionV relativeFrom="paragraph">
                  <wp:posOffset>1011555</wp:posOffset>
                </wp:positionV>
                <wp:extent cx="112395" cy="76835"/>
                <wp:effectExtent l="0" t="0" r="20955" b="18415"/>
                <wp:wrapNone/>
                <wp:docPr id="1981612515" name="直接连接符 1981612515"/>
                <wp:cNvGraphicFramePr/>
                <a:graphic xmlns:a="http://schemas.openxmlformats.org/drawingml/2006/main">
                  <a:graphicData uri="http://schemas.microsoft.com/office/word/2010/wordprocessingShape">
                    <wps:wsp>
                      <wps:cNvCnPr/>
                      <wps:spPr>
                        <a:xfrm flipV="1">
                          <a:off x="0" y="0"/>
                          <a:ext cx="112395" cy="7683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84.6pt;margin-top:79.65pt;height:6.05pt;width:8.85pt;z-index:251695104;mso-width-relative:page;mso-height-relative:page;" filled="f" stroked="t" coordsize="21600,21600" o:gfxdata="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BHCucPaAAAACwEAAA8AAAAAAAAAAQAgAAAAIgAAAGRycy9kb3ducmV2&#10;LnhtbFBLAQIUABQAAAAIAIdO4kAL7DcX+gEAANEDAAAOAAAAAAAAAAEAIAAAACkBAABkcnMvZTJv&#10;RG9jLnhtbFBLBQYAAAAABgAGAFkBAACVBQAAAAA=&#10;">
                <v:fill on="f" focussize="0,0"/>
                <v:stroke weight="1.5pt" color="#FF0000 [3204]" miterlimit="8" joinstyle="miter"/>
                <v:imagedata o:title=""/>
                <o:lock v:ext="edit" aspectratio="f"/>
              </v:line>
            </w:pict>
          </mc:Fallback>
        </mc:AlternateContent>
      </w:r>
      <w:r>
        <w:rPr>
          <w:color w:val="auto"/>
        </w:rPr>
        <mc:AlternateContent>
          <mc:Choice Requires="wps">
            <w:drawing>
              <wp:anchor distT="0" distB="0" distL="114300" distR="114300" simplePos="0" relativeHeight="251694080" behindDoc="0" locked="0" layoutInCell="1" allowOverlap="1">
                <wp:simplePos x="0" y="0"/>
                <wp:positionH relativeFrom="column">
                  <wp:posOffset>862330</wp:posOffset>
                </wp:positionH>
                <wp:positionV relativeFrom="paragraph">
                  <wp:posOffset>1068070</wp:posOffset>
                </wp:positionV>
                <wp:extent cx="215265" cy="24765"/>
                <wp:effectExtent l="0" t="0" r="32385" b="33020"/>
                <wp:wrapNone/>
                <wp:docPr id="1981612514" name="直接连接符 1981612514"/>
                <wp:cNvGraphicFramePr/>
                <a:graphic xmlns:a="http://schemas.openxmlformats.org/drawingml/2006/main">
                  <a:graphicData uri="http://schemas.microsoft.com/office/word/2010/wordprocessingShape">
                    <wps:wsp>
                      <wps:cNvCnPr/>
                      <wps:spPr>
                        <a:xfrm>
                          <a:off x="0" y="0"/>
                          <a:ext cx="215361" cy="2471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7.9pt;margin-top:84.1pt;height:1.95pt;width:16.95pt;z-index:251694080;mso-width-relative:page;mso-height-relative:page;" filled="f" stroked="t" coordsize="21600,21600" o:gfxdata="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eNrGa1gAAAAsBAAAPAAAAAAAAAAEAIAAAACIAAABkcnMvZG93bnJldi54bWxQSwECFAAU&#10;AAAACACHTuJAJHrjqPMBAADHAwAADgAAAAAAAAABACAAAAAlAQAAZHJzL2Uyb0RvYy54bWxQSwUG&#10;AAAAAAYABgBZAQAAigUAAAAA&#10;">
                <v:fill on="f" focussize="0,0"/>
                <v:stroke weight="1.5pt" color="#FF0000 [3204]" miterlimit="8" joinstyle="miter"/>
                <v:imagedata o:title=""/>
                <o:lock v:ext="edit" aspectratio="f"/>
              </v:line>
            </w:pict>
          </mc:Fallback>
        </mc:AlternateContent>
      </w:r>
      <w:r>
        <w:rPr>
          <w:color w:val="auto"/>
        </w:rPr>
        <mc:AlternateContent>
          <mc:Choice Requires="wps">
            <w:drawing>
              <wp:anchor distT="0" distB="0" distL="114300" distR="114300" simplePos="0" relativeHeight="251693056" behindDoc="0" locked="0" layoutInCell="1" allowOverlap="1">
                <wp:simplePos x="0" y="0"/>
                <wp:positionH relativeFrom="column">
                  <wp:posOffset>533400</wp:posOffset>
                </wp:positionH>
                <wp:positionV relativeFrom="paragraph">
                  <wp:posOffset>2044065</wp:posOffset>
                </wp:positionV>
                <wp:extent cx="873760" cy="320675"/>
                <wp:effectExtent l="0" t="0" r="3175" b="3175"/>
                <wp:wrapNone/>
                <wp:docPr id="1981612509" name="文本框 1981612509"/>
                <wp:cNvGraphicFramePr/>
                <a:graphic xmlns:a="http://schemas.openxmlformats.org/drawingml/2006/main">
                  <a:graphicData uri="http://schemas.microsoft.com/office/word/2010/wordprocessingShape">
                    <wps:wsp>
                      <wps:cNvSpPr txBox="1"/>
                      <wps:spPr>
                        <a:xfrm>
                          <a:off x="0" y="0"/>
                          <a:ext cx="873457" cy="320722"/>
                        </a:xfrm>
                        <a:prstGeom prst="rect">
                          <a:avLst/>
                        </a:prstGeom>
                        <a:solidFill>
                          <a:schemeClr val="lt1"/>
                        </a:solidFill>
                        <a:ln w="6350">
                          <a:noFill/>
                        </a:ln>
                      </wps:spPr>
                      <wps:txbx>
                        <w:txbxContent>
                          <w:p w14:paraId="4B13BABD">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100</w:t>
                            </w:r>
                            <w:r>
                              <w:rPr>
                                <w:rFonts w:hint="eastAsia"/>
                                <w:b/>
                                <w:color w:val="C00000"/>
                                <w:sz w:val="15"/>
                              </w:rPr>
                              <w:t>=</w:t>
                            </w:r>
                            <w:r>
                              <w:rPr>
                                <w:b/>
                                <w:color w:val="C00000"/>
                                <w:sz w:val="15"/>
                              </w:rPr>
                              <w:t>562m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pt;margin-top:160.95pt;height:25.25pt;width:68.8pt;z-index:251693056;mso-width-relative:page;mso-height-relative:page;" fillcolor="#FFFFFF [3201]" filled="t" stroked="f" coordsize="21600,21600" o:gfxdata="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cFtE7WAAAA&#10;CgEAAA8AAAAAAAAAAQAgAAAAIgAAAGRycy9kb3ducmV2LnhtbFBLAQIUABQAAAAIAIdO4kAGp/m1&#10;WAIAAKAEAAAOAAAAAAAAAAEAIAAAACUBAABkcnMvZTJvRG9jLnhtbFBLBQYAAAAABgAGAFkBAADv&#10;BQAAAAA=&#10;">
                <v:fill on="t" focussize="0,0"/>
                <v:stroke on="f" weight="0.5pt"/>
                <v:imagedata o:title=""/>
                <o:lock v:ext="edit" aspectratio="f"/>
                <v:textbox>
                  <w:txbxContent>
                    <w:p w14:paraId="4B13BABD">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100</w:t>
                      </w:r>
                      <w:r>
                        <w:rPr>
                          <w:rFonts w:hint="eastAsia"/>
                          <w:b/>
                          <w:color w:val="C00000"/>
                          <w:sz w:val="15"/>
                        </w:rPr>
                        <w:t>=</w:t>
                      </w:r>
                      <w:r>
                        <w:rPr>
                          <w:b/>
                          <w:color w:val="C00000"/>
                          <w:sz w:val="15"/>
                        </w:rPr>
                        <w:t>562m</w:t>
                      </w:r>
                    </w:p>
                  </w:txbxContent>
                </v:textbox>
              </v:shape>
            </w:pict>
          </mc:Fallback>
        </mc:AlternateContent>
      </w:r>
      <w:r>
        <w:rPr>
          <w:color w:val="auto"/>
        </w:rPr>
        <mc:AlternateContent>
          <mc:Choice Requires="wps">
            <w:drawing>
              <wp:anchor distT="0" distB="0" distL="114300" distR="114300" simplePos="0" relativeHeight="251691008" behindDoc="0" locked="0" layoutInCell="1" allowOverlap="1">
                <wp:simplePos x="0" y="0"/>
                <wp:positionH relativeFrom="column">
                  <wp:posOffset>2070735</wp:posOffset>
                </wp:positionH>
                <wp:positionV relativeFrom="paragraph">
                  <wp:posOffset>2723515</wp:posOffset>
                </wp:positionV>
                <wp:extent cx="873760" cy="320675"/>
                <wp:effectExtent l="0" t="0" r="3175" b="3175"/>
                <wp:wrapNone/>
                <wp:docPr id="1981612507" name="文本框 1981612507"/>
                <wp:cNvGraphicFramePr/>
                <a:graphic xmlns:a="http://schemas.openxmlformats.org/drawingml/2006/main">
                  <a:graphicData uri="http://schemas.microsoft.com/office/word/2010/wordprocessingShape">
                    <wps:wsp>
                      <wps:cNvSpPr txBox="1"/>
                      <wps:spPr>
                        <a:xfrm>
                          <a:off x="0" y="0"/>
                          <a:ext cx="873457" cy="320722"/>
                        </a:xfrm>
                        <a:prstGeom prst="rect">
                          <a:avLst/>
                        </a:prstGeom>
                        <a:solidFill>
                          <a:schemeClr val="lt1"/>
                        </a:solidFill>
                        <a:ln w="6350">
                          <a:noFill/>
                        </a:ln>
                      </wps:spPr>
                      <wps:txbx>
                        <w:txbxContent>
                          <w:p w14:paraId="72385996">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65</w:t>
                            </w:r>
                            <w:r>
                              <w:rPr>
                                <w:rFonts w:hint="eastAsia"/>
                                <w:b/>
                                <w:color w:val="C00000"/>
                                <w:sz w:val="15"/>
                              </w:rPr>
                              <w:t>=</w:t>
                            </w:r>
                            <w:r>
                              <w:rPr>
                                <w:b/>
                                <w:color w:val="C00000"/>
                                <w:sz w:val="15"/>
                              </w:rPr>
                              <w:t>802m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05pt;margin-top:214.45pt;height:25.25pt;width:68.8pt;z-index:251691008;mso-width-relative:page;mso-height-relative:page;" fillcolor="#FFFFFF [3201]" filled="t" stroked="f" coordsize="21600,21600" o:gfxdata="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cJaA3XAAAA&#10;CwEAAA8AAAAAAAAAAQAgAAAAIgAAAGRycy9kb3ducmV2LnhtbFBLAQIUABQAAAAIAIdO4kDqvQQC&#10;VwIAAKAEAAAOAAAAAAAAAAEAIAAAACYBAABkcnMvZTJvRG9jLnhtbFBLBQYAAAAABgAGAFkBAADv&#10;BQAAAAA=&#10;">
                <v:fill on="t" focussize="0,0"/>
                <v:stroke on="f" weight="0.5pt"/>
                <v:imagedata o:title=""/>
                <o:lock v:ext="edit" aspectratio="f"/>
                <v:textbox>
                  <w:txbxContent>
                    <w:p w14:paraId="72385996">
                      <w:pPr>
                        <w:adjustRightInd w:val="0"/>
                        <w:snapToGrid w:val="0"/>
                        <w:rPr>
                          <w:b/>
                          <w:color w:val="C00000"/>
                          <w:sz w:val="15"/>
                        </w:rPr>
                      </w:pPr>
                      <w:r>
                        <w:rPr>
                          <w:rFonts w:hint="eastAsia"/>
                          <w:b/>
                          <w:color w:val="C00000"/>
                          <w:sz w:val="15"/>
                        </w:rPr>
                        <w:t>新建集油</w:t>
                      </w:r>
                      <w:r>
                        <w:rPr>
                          <w:b/>
                          <w:color w:val="C00000"/>
                          <w:sz w:val="15"/>
                        </w:rPr>
                        <w:t>管线</w:t>
                      </w:r>
                      <w:r>
                        <w:rPr>
                          <w:rFonts w:hint="eastAsia"/>
                          <w:b/>
                          <w:color w:val="C00000"/>
                          <w:sz w:val="15"/>
                        </w:rPr>
                        <w:t xml:space="preserve"> DN</w:t>
                      </w:r>
                      <w:r>
                        <w:rPr>
                          <w:b/>
                          <w:color w:val="C00000"/>
                          <w:sz w:val="15"/>
                        </w:rPr>
                        <w:t>65</w:t>
                      </w:r>
                      <w:r>
                        <w:rPr>
                          <w:rFonts w:hint="eastAsia"/>
                          <w:b/>
                          <w:color w:val="C00000"/>
                          <w:sz w:val="15"/>
                        </w:rPr>
                        <w:t>=</w:t>
                      </w:r>
                      <w:r>
                        <w:rPr>
                          <w:b/>
                          <w:color w:val="C00000"/>
                          <w:sz w:val="15"/>
                        </w:rPr>
                        <w:t>802m</w:t>
                      </w:r>
                    </w:p>
                  </w:txbxContent>
                </v:textbox>
              </v:shape>
            </w:pict>
          </mc:Fallback>
        </mc:AlternateContent>
      </w:r>
      <w:r>
        <w:rPr>
          <w:color w:val="auto"/>
        </w:rPr>
        <w:drawing>
          <wp:inline distT="0" distB="0" distL="0" distR="0">
            <wp:extent cx="5278755" cy="3335655"/>
            <wp:effectExtent l="0" t="0" r="0" b="0"/>
            <wp:docPr id="1040663383" name="图片 104066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63383" name="图片 104066338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8755" cy="3335655"/>
                    </a:xfrm>
                    <a:prstGeom prst="rect">
                      <a:avLst/>
                    </a:prstGeom>
                  </pic:spPr>
                </pic:pic>
              </a:graphicData>
            </a:graphic>
          </wp:inline>
        </w:drawing>
      </w:r>
    </w:p>
    <w:p w14:paraId="4077E047">
      <w:pPr>
        <w:pStyle w:val="15"/>
        <w:spacing w:before="120"/>
        <w:rPr>
          <w:color w:val="auto"/>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7</w:t>
      </w:r>
      <w:r>
        <w:rPr>
          <w:color w:val="auto"/>
        </w:rPr>
        <w:fldChar w:fldCharType="end"/>
      </w:r>
      <w:r>
        <w:rPr>
          <w:color w:val="auto"/>
        </w:rPr>
        <w:t xml:space="preserve"> </w:t>
      </w:r>
      <w:r>
        <w:rPr>
          <w:rFonts w:hint="eastAsia"/>
          <w:color w:val="auto"/>
        </w:rPr>
        <w:t>高21区块集油管线更换实际路由走向图</w:t>
      </w:r>
    </w:p>
    <w:p w14:paraId="44705FD7">
      <w:pPr>
        <w:pStyle w:val="6"/>
        <w:rPr>
          <w:color w:val="auto"/>
        </w:rPr>
      </w:pPr>
      <w:r>
        <w:rPr>
          <w:rFonts w:hint="eastAsia"/>
          <w:color w:val="auto"/>
        </w:rPr>
        <w:t>注水工程</w:t>
      </w:r>
    </w:p>
    <w:p w14:paraId="1116C065">
      <w:pPr>
        <w:pStyle w:val="4"/>
        <w:ind w:firstLine="480"/>
        <w:outlineLvl w:val="3"/>
        <w:rPr>
          <w:color w:val="auto"/>
        </w:rPr>
      </w:pPr>
      <w:r>
        <w:rPr>
          <w:rFonts w:hint="eastAsia"/>
          <w:color w:val="auto"/>
        </w:rPr>
        <w:t>1）滚动开发工程注水流程</w:t>
      </w:r>
    </w:p>
    <w:p w14:paraId="6529C332">
      <w:pPr>
        <w:pStyle w:val="4"/>
        <w:ind w:firstLine="480"/>
        <w:rPr>
          <w:rFonts w:ascii="Times New Roman" w:hAnsi="Times New Roman"/>
          <w:color w:val="auto"/>
        </w:rPr>
      </w:pPr>
      <w:r>
        <w:rPr>
          <w:rFonts w:hint="eastAsia" w:cs="宋体"/>
          <w:color w:val="auto"/>
        </w:rPr>
        <w:t>本期工程注水井采用密闭流程，新建了φ76×11mm单井注水管线共0.05km，新建了DN150注水管线共2.2km，新建了DN110注水管线共0.5km，合计2.75km。注水水源来自于</w:t>
      </w:r>
      <w:bookmarkStart w:id="213" w:name="OLE_LINK57"/>
      <w:r>
        <w:rPr>
          <w:rFonts w:hint="eastAsia" w:cs="宋体"/>
          <w:color w:val="auto"/>
        </w:rPr>
        <w:t>高青联合站注水点</w:t>
      </w:r>
      <w:bookmarkEnd w:id="213"/>
      <w:r>
        <w:rPr>
          <w:rFonts w:hint="eastAsia" w:cs="宋体"/>
          <w:color w:val="auto"/>
        </w:rPr>
        <w:t>、北支新河、大芦湖水源等。注水系统实际工程建设情况一览表详见</w:t>
      </w:r>
      <w:r>
        <w:rPr>
          <w:rFonts w:cs="宋体"/>
          <w:color w:val="auto"/>
        </w:rPr>
        <w:fldChar w:fldCharType="begin"/>
      </w:r>
      <w:r>
        <w:instrText xml:space="preserve"> REF _Ref225353681 \h  \* MERGEFORMAT</w:instrText>
      </w:r>
      <w:r>
        <w:rPr>
          <w:rFonts w:cs="宋体"/>
          <w:color w:val="auto"/>
        </w:rPr>
        <w:fldChar w:fldCharType="separate"/>
      </w:r>
      <w:r>
        <w:rPr>
          <w:color w:val="auto"/>
        </w:rPr>
        <w:t>表 3.2</w:t>
      </w:r>
      <w:r>
        <w:rPr>
          <w:color w:val="auto"/>
        </w:rPr>
        <w:noBreakHyphen/>
      </w:r>
      <w:r>
        <w:rPr>
          <w:color w:val="auto"/>
        </w:rPr>
        <w:t>8</w:t>
      </w:r>
      <w:r>
        <w:rPr>
          <w:rFonts w:cs="宋体"/>
          <w:color w:val="auto"/>
        </w:rPr>
        <w:fldChar w:fldCharType="end"/>
      </w:r>
      <w:r>
        <w:rPr>
          <w:rFonts w:hint="eastAsia" w:cs="宋体"/>
          <w:color w:val="auto"/>
        </w:rPr>
        <w:t>，注水系统工艺流程示意图见</w:t>
      </w:r>
      <w:r>
        <w:rPr>
          <w:rFonts w:cs="宋体"/>
          <w:color w:val="auto"/>
        </w:rPr>
        <w:fldChar w:fldCharType="begin"/>
      </w:r>
      <w:r>
        <w:instrText xml:space="preserve"> REF _Ref225606275 \h  \* MERGEFORMAT</w:instrText>
      </w:r>
      <w:r>
        <w:rPr>
          <w:rFonts w:cs="宋体"/>
          <w:color w:val="auto"/>
        </w:rPr>
        <w:fldChar w:fldCharType="separate"/>
      </w:r>
      <w:r>
        <w:rPr>
          <w:color w:val="auto"/>
        </w:rPr>
        <w:t>图 3.2</w:t>
      </w:r>
      <w:r>
        <w:rPr>
          <w:color w:val="auto"/>
        </w:rPr>
        <w:noBreakHyphen/>
      </w:r>
      <w:r>
        <w:rPr>
          <w:color w:val="auto"/>
        </w:rPr>
        <w:t>8</w:t>
      </w:r>
      <w:r>
        <w:rPr>
          <w:rFonts w:cs="宋体"/>
          <w:color w:val="auto"/>
        </w:rPr>
        <w:fldChar w:fldCharType="end"/>
      </w:r>
      <w:r>
        <w:rPr>
          <w:rFonts w:hint="eastAsia" w:ascii="Times New Roman" w:hAnsi="Times New Roman"/>
          <w:color w:val="auto"/>
        </w:rPr>
        <w:t>。</w:t>
      </w:r>
    </w:p>
    <w:p w14:paraId="7B361FB0">
      <w:pPr>
        <w:pStyle w:val="15"/>
        <w:spacing w:before="120"/>
        <w:rPr>
          <w:rFonts w:hAnsi="宋体" w:cs="宋体"/>
          <w:color w:val="auto"/>
        </w:rPr>
      </w:pPr>
      <w:bookmarkStart w:id="214" w:name="_Ref225353681"/>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8</w:t>
      </w:r>
      <w:r>
        <w:rPr>
          <w:color w:val="auto"/>
        </w:rPr>
        <w:fldChar w:fldCharType="end"/>
      </w:r>
      <w:bookmarkEnd w:id="214"/>
      <w:r>
        <w:rPr>
          <w:color w:val="auto"/>
        </w:rPr>
        <w:t xml:space="preserve"> </w:t>
      </w:r>
      <w:r>
        <w:rPr>
          <w:rFonts w:hint="eastAsia" w:hAnsi="宋体" w:cs="宋体"/>
          <w:color w:val="auto"/>
        </w:rPr>
        <w:t>注水系统实际工程建设情况一览表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1266"/>
        <w:gridCol w:w="950"/>
        <w:gridCol w:w="950"/>
        <w:gridCol w:w="978"/>
        <w:gridCol w:w="1434"/>
        <w:gridCol w:w="1340"/>
        <w:gridCol w:w="1340"/>
      </w:tblGrid>
      <w:tr w14:paraId="67756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Align w:val="center"/>
          </w:tcPr>
          <w:p w14:paraId="5FC713A7">
            <w:pPr>
              <w:adjustRightInd w:val="0"/>
              <w:snapToGrid w:val="0"/>
              <w:jc w:val="center"/>
              <w:rPr>
                <w:rFonts w:ascii="宋体" w:hAnsi="宋体"/>
                <w:color w:val="auto"/>
                <w:kern w:val="0"/>
              </w:rPr>
            </w:pPr>
            <w:r>
              <w:rPr>
                <w:rFonts w:hint="eastAsia" w:ascii="宋体" w:hAnsi="宋体"/>
                <w:color w:val="auto"/>
              </w:rPr>
              <w:t>序号</w:t>
            </w:r>
          </w:p>
        </w:tc>
        <w:tc>
          <w:tcPr>
            <w:tcW w:w="698" w:type="pct"/>
            <w:vAlign w:val="center"/>
          </w:tcPr>
          <w:p w14:paraId="4F60BAE5">
            <w:pPr>
              <w:adjustRightInd w:val="0"/>
              <w:snapToGrid w:val="0"/>
              <w:jc w:val="center"/>
              <w:rPr>
                <w:rFonts w:ascii="宋体" w:hAnsi="宋体"/>
                <w:color w:val="auto"/>
              </w:rPr>
            </w:pPr>
            <w:r>
              <w:rPr>
                <w:rFonts w:hint="eastAsia" w:ascii="宋体" w:hAnsi="宋体"/>
                <w:color w:val="auto"/>
              </w:rPr>
              <w:t>井号</w:t>
            </w:r>
          </w:p>
        </w:tc>
        <w:tc>
          <w:tcPr>
            <w:tcW w:w="549" w:type="pct"/>
            <w:vAlign w:val="center"/>
          </w:tcPr>
          <w:p w14:paraId="46999345">
            <w:pPr>
              <w:adjustRightInd w:val="0"/>
              <w:snapToGrid w:val="0"/>
              <w:jc w:val="center"/>
              <w:rPr>
                <w:rFonts w:ascii="宋体" w:hAnsi="宋体"/>
                <w:color w:val="auto"/>
              </w:rPr>
            </w:pPr>
            <w:r>
              <w:rPr>
                <w:rFonts w:hint="eastAsia" w:ascii="宋体" w:hAnsi="宋体"/>
                <w:color w:val="auto"/>
              </w:rPr>
              <w:t>井场编号</w:t>
            </w:r>
          </w:p>
        </w:tc>
        <w:tc>
          <w:tcPr>
            <w:tcW w:w="549" w:type="pct"/>
            <w:vAlign w:val="center"/>
          </w:tcPr>
          <w:p w14:paraId="19EBE8B2">
            <w:pPr>
              <w:adjustRightInd w:val="0"/>
              <w:snapToGrid w:val="0"/>
              <w:jc w:val="center"/>
              <w:rPr>
                <w:rFonts w:ascii="宋体" w:hAnsi="宋体"/>
                <w:color w:val="auto"/>
              </w:rPr>
            </w:pPr>
            <w:r>
              <w:rPr>
                <w:rFonts w:hint="eastAsia" w:ascii="宋体" w:hAnsi="宋体"/>
                <w:color w:val="auto"/>
              </w:rPr>
              <w:t>管径</w:t>
            </w:r>
          </w:p>
        </w:tc>
        <w:tc>
          <w:tcPr>
            <w:tcW w:w="565" w:type="pct"/>
            <w:vAlign w:val="center"/>
          </w:tcPr>
          <w:p w14:paraId="23F7C5EF">
            <w:pPr>
              <w:adjustRightInd w:val="0"/>
              <w:snapToGrid w:val="0"/>
              <w:jc w:val="center"/>
              <w:rPr>
                <w:rFonts w:ascii="宋体" w:hAnsi="宋体"/>
                <w:color w:val="auto"/>
              </w:rPr>
            </w:pPr>
            <w:r>
              <w:rPr>
                <w:rFonts w:hint="eastAsia" w:ascii="宋体" w:hAnsi="宋体"/>
                <w:color w:val="auto"/>
              </w:rPr>
              <w:t>管线长度（m）</w:t>
            </w:r>
          </w:p>
        </w:tc>
        <w:tc>
          <w:tcPr>
            <w:tcW w:w="826" w:type="pct"/>
            <w:vAlign w:val="center"/>
          </w:tcPr>
          <w:p w14:paraId="15310E74">
            <w:pPr>
              <w:adjustRightInd w:val="0"/>
              <w:snapToGrid w:val="0"/>
              <w:jc w:val="center"/>
              <w:rPr>
                <w:rFonts w:ascii="宋体" w:hAnsi="宋体"/>
                <w:color w:val="auto"/>
              </w:rPr>
            </w:pPr>
            <w:r>
              <w:rPr>
                <w:rFonts w:hint="eastAsia" w:ascii="宋体" w:hAnsi="宋体"/>
                <w:color w:val="auto"/>
              </w:rPr>
              <w:t>依托注水水源</w:t>
            </w:r>
          </w:p>
        </w:tc>
        <w:tc>
          <w:tcPr>
            <w:tcW w:w="772" w:type="pct"/>
            <w:vAlign w:val="center"/>
          </w:tcPr>
          <w:p w14:paraId="580FCA7E">
            <w:pPr>
              <w:adjustRightInd w:val="0"/>
              <w:snapToGrid w:val="0"/>
              <w:jc w:val="center"/>
              <w:rPr>
                <w:rFonts w:ascii="宋体" w:hAnsi="宋体"/>
                <w:color w:val="auto"/>
              </w:rPr>
            </w:pPr>
            <w:r>
              <w:rPr>
                <w:rFonts w:hint="eastAsia" w:ascii="宋体" w:hAnsi="宋体"/>
                <w:color w:val="auto"/>
              </w:rPr>
              <w:t>新建注水装置</w:t>
            </w:r>
          </w:p>
        </w:tc>
        <w:tc>
          <w:tcPr>
            <w:tcW w:w="772" w:type="pct"/>
            <w:vAlign w:val="center"/>
          </w:tcPr>
          <w:p w14:paraId="2F542043">
            <w:pPr>
              <w:adjustRightInd w:val="0"/>
              <w:snapToGrid w:val="0"/>
              <w:jc w:val="center"/>
              <w:rPr>
                <w:rFonts w:ascii="宋体" w:hAnsi="宋体"/>
                <w:color w:val="auto"/>
              </w:rPr>
            </w:pPr>
            <w:r>
              <w:rPr>
                <w:rFonts w:hint="eastAsia" w:ascii="宋体" w:hAnsi="宋体"/>
                <w:color w:val="auto"/>
              </w:rPr>
              <w:t>供水泵橇</w:t>
            </w:r>
          </w:p>
        </w:tc>
      </w:tr>
      <w:tr w14:paraId="69BA1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Align w:val="center"/>
          </w:tcPr>
          <w:p w14:paraId="39C03AC1">
            <w:pPr>
              <w:adjustRightInd w:val="0"/>
              <w:snapToGrid w:val="0"/>
              <w:jc w:val="center"/>
              <w:rPr>
                <w:rFonts w:ascii="宋体" w:hAnsi="宋体"/>
                <w:color w:val="auto"/>
              </w:rPr>
            </w:pPr>
            <w:r>
              <w:rPr>
                <w:rFonts w:hint="eastAsia" w:ascii="宋体" w:hAnsi="宋体"/>
                <w:color w:val="auto"/>
              </w:rPr>
              <w:t>1</w:t>
            </w:r>
          </w:p>
        </w:tc>
        <w:tc>
          <w:tcPr>
            <w:tcW w:w="698" w:type="pct"/>
            <w:vAlign w:val="center"/>
          </w:tcPr>
          <w:p w14:paraId="27C73309">
            <w:pPr>
              <w:adjustRightInd w:val="0"/>
              <w:snapToGrid w:val="0"/>
              <w:jc w:val="center"/>
              <w:rPr>
                <w:rFonts w:ascii="宋体" w:hAnsi="宋体"/>
                <w:color w:val="auto"/>
              </w:rPr>
            </w:pPr>
            <w:bookmarkStart w:id="215" w:name="OLE_LINK223"/>
            <w:bookmarkStart w:id="216" w:name="OLE_LINK224"/>
            <w:r>
              <w:rPr>
                <w:rFonts w:hint="eastAsia" w:ascii="宋体" w:hAnsi="宋体" w:cs="宋体"/>
                <w:color w:val="auto"/>
                <w:kern w:val="0"/>
              </w:rPr>
              <w:t>FJF163-X27</w:t>
            </w:r>
            <w:bookmarkEnd w:id="215"/>
            <w:bookmarkEnd w:id="216"/>
          </w:p>
        </w:tc>
        <w:tc>
          <w:tcPr>
            <w:tcW w:w="549" w:type="pct"/>
            <w:vMerge w:val="restart"/>
            <w:vAlign w:val="center"/>
          </w:tcPr>
          <w:p w14:paraId="47E0E77B">
            <w:pPr>
              <w:adjustRightInd w:val="0"/>
              <w:snapToGrid w:val="0"/>
              <w:jc w:val="center"/>
              <w:rPr>
                <w:rFonts w:ascii="宋体" w:hAnsi="宋体"/>
                <w:color w:val="auto"/>
              </w:rPr>
            </w:pPr>
            <w:r>
              <w:rPr>
                <w:rFonts w:hint="eastAsia" w:ascii="宋体" w:hAnsi="宋体" w:cs="宋体"/>
                <w:color w:val="auto"/>
                <w:kern w:val="0"/>
              </w:rPr>
              <w:t>2#</w:t>
            </w:r>
          </w:p>
        </w:tc>
        <w:tc>
          <w:tcPr>
            <w:tcW w:w="549" w:type="pct"/>
            <w:vAlign w:val="center"/>
          </w:tcPr>
          <w:p w14:paraId="7E753D76">
            <w:pPr>
              <w:adjustRightInd w:val="0"/>
              <w:snapToGrid w:val="0"/>
              <w:jc w:val="center"/>
              <w:rPr>
                <w:rFonts w:ascii="宋体" w:hAnsi="宋体"/>
                <w:color w:val="auto"/>
              </w:rPr>
            </w:pPr>
            <w:r>
              <w:rPr>
                <w:rFonts w:hint="eastAsia" w:ascii="宋体" w:hAnsi="宋体"/>
                <w:color w:val="auto"/>
              </w:rPr>
              <w:t>/</w:t>
            </w:r>
          </w:p>
        </w:tc>
        <w:tc>
          <w:tcPr>
            <w:tcW w:w="565" w:type="pct"/>
            <w:vAlign w:val="center"/>
          </w:tcPr>
          <w:p w14:paraId="75C640CA">
            <w:pPr>
              <w:adjustRightInd w:val="0"/>
              <w:snapToGrid w:val="0"/>
              <w:jc w:val="center"/>
              <w:rPr>
                <w:rFonts w:ascii="宋体" w:hAnsi="宋体"/>
                <w:color w:val="auto"/>
              </w:rPr>
            </w:pPr>
            <w:r>
              <w:rPr>
                <w:rFonts w:hint="eastAsia" w:ascii="宋体" w:hAnsi="宋体"/>
                <w:color w:val="auto"/>
              </w:rPr>
              <w:t>/</w:t>
            </w:r>
          </w:p>
        </w:tc>
        <w:tc>
          <w:tcPr>
            <w:tcW w:w="826" w:type="pct"/>
            <w:vAlign w:val="center"/>
          </w:tcPr>
          <w:p w14:paraId="163AFBC8">
            <w:pPr>
              <w:adjustRightInd w:val="0"/>
              <w:snapToGrid w:val="0"/>
              <w:jc w:val="center"/>
              <w:rPr>
                <w:rFonts w:ascii="宋体" w:hAnsi="宋体"/>
                <w:color w:val="auto"/>
              </w:rPr>
            </w:pPr>
            <w:r>
              <w:rPr>
                <w:rFonts w:hint="eastAsia" w:ascii="宋体" w:hAnsi="宋体" w:cs="宋体"/>
                <w:color w:val="auto"/>
              </w:rPr>
              <w:t>北支新河</w:t>
            </w:r>
          </w:p>
        </w:tc>
        <w:tc>
          <w:tcPr>
            <w:tcW w:w="772" w:type="pct"/>
            <w:vAlign w:val="center"/>
          </w:tcPr>
          <w:p w14:paraId="5A91B9D1">
            <w:pPr>
              <w:adjustRightInd w:val="0"/>
              <w:snapToGrid w:val="0"/>
              <w:jc w:val="center"/>
              <w:rPr>
                <w:rFonts w:ascii="宋体" w:hAnsi="宋体"/>
                <w:color w:val="auto"/>
              </w:rPr>
            </w:pPr>
            <w:r>
              <w:rPr>
                <w:rFonts w:hint="eastAsia" w:ascii="宋体" w:hAnsi="宋体"/>
                <w:color w:val="auto"/>
              </w:rPr>
              <w:t>600</w:t>
            </w:r>
            <w:r>
              <w:rPr>
                <w:rFonts w:hint="eastAsia" w:ascii="宋体" w:hAnsi="宋体" w:cs="宋体"/>
                <w:color w:val="auto"/>
              </w:rPr>
              <w:t>型压驱注水装置</w:t>
            </w:r>
          </w:p>
        </w:tc>
        <w:tc>
          <w:tcPr>
            <w:tcW w:w="772" w:type="pct"/>
            <w:vAlign w:val="center"/>
          </w:tcPr>
          <w:p w14:paraId="214140A6">
            <w:pPr>
              <w:adjustRightInd w:val="0"/>
              <w:snapToGrid w:val="0"/>
              <w:jc w:val="center"/>
              <w:rPr>
                <w:rFonts w:ascii="宋体" w:hAnsi="宋体"/>
                <w:color w:val="auto"/>
              </w:rPr>
            </w:pPr>
            <w:r>
              <w:rPr>
                <w:rFonts w:hint="eastAsia" w:ascii="宋体" w:hAnsi="宋体"/>
                <w:color w:val="auto"/>
              </w:rPr>
              <w:t>/</w:t>
            </w:r>
          </w:p>
        </w:tc>
      </w:tr>
      <w:tr w14:paraId="0E402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Align w:val="center"/>
          </w:tcPr>
          <w:p w14:paraId="0B1CEC3C">
            <w:pPr>
              <w:adjustRightInd w:val="0"/>
              <w:snapToGrid w:val="0"/>
              <w:jc w:val="center"/>
              <w:rPr>
                <w:rFonts w:ascii="宋体" w:hAnsi="宋体"/>
                <w:color w:val="auto"/>
              </w:rPr>
            </w:pPr>
            <w:r>
              <w:rPr>
                <w:rFonts w:hint="eastAsia" w:ascii="宋体" w:hAnsi="宋体"/>
                <w:color w:val="auto"/>
              </w:rPr>
              <w:t>2</w:t>
            </w:r>
          </w:p>
        </w:tc>
        <w:tc>
          <w:tcPr>
            <w:tcW w:w="698" w:type="pct"/>
            <w:vAlign w:val="center"/>
          </w:tcPr>
          <w:p w14:paraId="55B92AB2">
            <w:pPr>
              <w:adjustRightInd w:val="0"/>
              <w:snapToGrid w:val="0"/>
              <w:jc w:val="center"/>
              <w:rPr>
                <w:rFonts w:ascii="宋体" w:hAnsi="宋体"/>
                <w:color w:val="auto"/>
              </w:rPr>
            </w:pPr>
            <w:bookmarkStart w:id="217" w:name="OLE_LINK225"/>
            <w:bookmarkStart w:id="218" w:name="OLE_LINK226"/>
            <w:r>
              <w:rPr>
                <w:rFonts w:hint="eastAsia" w:ascii="宋体" w:hAnsi="宋体" w:cs="宋体"/>
                <w:color w:val="auto"/>
                <w:kern w:val="0"/>
              </w:rPr>
              <w:t>FJF163-X18</w:t>
            </w:r>
            <w:bookmarkEnd w:id="217"/>
            <w:bookmarkEnd w:id="218"/>
          </w:p>
        </w:tc>
        <w:tc>
          <w:tcPr>
            <w:tcW w:w="549" w:type="pct"/>
            <w:vMerge w:val="continue"/>
            <w:vAlign w:val="center"/>
          </w:tcPr>
          <w:p w14:paraId="6C7FB422">
            <w:pPr>
              <w:adjustRightInd w:val="0"/>
              <w:snapToGrid w:val="0"/>
              <w:jc w:val="center"/>
              <w:rPr>
                <w:rFonts w:ascii="宋体" w:hAnsi="宋体"/>
                <w:color w:val="auto"/>
              </w:rPr>
            </w:pPr>
          </w:p>
        </w:tc>
        <w:tc>
          <w:tcPr>
            <w:tcW w:w="549" w:type="pct"/>
            <w:vAlign w:val="center"/>
          </w:tcPr>
          <w:p w14:paraId="00265DCC">
            <w:pPr>
              <w:adjustRightInd w:val="0"/>
              <w:snapToGrid w:val="0"/>
              <w:jc w:val="center"/>
              <w:rPr>
                <w:rFonts w:ascii="宋体" w:hAnsi="宋体"/>
                <w:color w:val="auto"/>
              </w:rPr>
            </w:pPr>
            <w:r>
              <w:rPr>
                <w:rFonts w:hint="eastAsia" w:ascii="宋体" w:hAnsi="宋体"/>
                <w:color w:val="auto"/>
              </w:rPr>
              <w:t>/</w:t>
            </w:r>
          </w:p>
        </w:tc>
        <w:tc>
          <w:tcPr>
            <w:tcW w:w="565" w:type="pct"/>
            <w:vAlign w:val="center"/>
          </w:tcPr>
          <w:p w14:paraId="408C689B">
            <w:pPr>
              <w:adjustRightInd w:val="0"/>
              <w:snapToGrid w:val="0"/>
              <w:jc w:val="center"/>
              <w:rPr>
                <w:rFonts w:ascii="宋体" w:hAnsi="宋体"/>
                <w:color w:val="auto"/>
              </w:rPr>
            </w:pPr>
            <w:r>
              <w:rPr>
                <w:rFonts w:hint="eastAsia" w:ascii="宋体" w:hAnsi="宋体"/>
                <w:color w:val="auto"/>
              </w:rPr>
              <w:t>/</w:t>
            </w:r>
          </w:p>
        </w:tc>
        <w:tc>
          <w:tcPr>
            <w:tcW w:w="826" w:type="pct"/>
            <w:vAlign w:val="center"/>
          </w:tcPr>
          <w:p w14:paraId="613E0DA8">
            <w:pPr>
              <w:adjustRightInd w:val="0"/>
              <w:snapToGrid w:val="0"/>
              <w:jc w:val="center"/>
              <w:rPr>
                <w:rFonts w:ascii="宋体" w:hAnsi="宋体"/>
                <w:color w:val="auto"/>
              </w:rPr>
            </w:pPr>
            <w:bookmarkStart w:id="219" w:name="OLE_LINK216"/>
            <w:bookmarkStart w:id="220" w:name="OLE_LINK215"/>
            <w:r>
              <w:rPr>
                <w:rFonts w:hint="eastAsia" w:ascii="宋体" w:hAnsi="宋体" w:cs="宋体"/>
                <w:color w:val="auto"/>
              </w:rPr>
              <w:t>北支新河</w:t>
            </w:r>
            <w:bookmarkEnd w:id="219"/>
            <w:bookmarkEnd w:id="220"/>
          </w:p>
        </w:tc>
        <w:tc>
          <w:tcPr>
            <w:tcW w:w="772" w:type="pct"/>
            <w:vAlign w:val="center"/>
          </w:tcPr>
          <w:p w14:paraId="1A51FF6B">
            <w:pPr>
              <w:adjustRightInd w:val="0"/>
              <w:snapToGrid w:val="0"/>
              <w:jc w:val="center"/>
              <w:rPr>
                <w:rFonts w:ascii="宋体" w:hAnsi="宋体"/>
                <w:color w:val="auto"/>
              </w:rPr>
            </w:pPr>
            <w:r>
              <w:rPr>
                <w:rFonts w:hint="eastAsia" w:ascii="宋体" w:hAnsi="宋体"/>
                <w:color w:val="auto"/>
              </w:rPr>
              <w:t>600</w:t>
            </w:r>
            <w:r>
              <w:rPr>
                <w:rFonts w:hint="eastAsia" w:ascii="宋体" w:hAnsi="宋体" w:cs="宋体"/>
                <w:color w:val="auto"/>
              </w:rPr>
              <w:t>型压驱注水装置</w:t>
            </w:r>
          </w:p>
        </w:tc>
        <w:tc>
          <w:tcPr>
            <w:tcW w:w="772" w:type="pct"/>
            <w:vAlign w:val="center"/>
          </w:tcPr>
          <w:p w14:paraId="77EC381D">
            <w:pPr>
              <w:adjustRightInd w:val="0"/>
              <w:snapToGrid w:val="0"/>
              <w:jc w:val="center"/>
              <w:rPr>
                <w:rFonts w:ascii="宋体" w:hAnsi="宋体"/>
                <w:color w:val="auto"/>
              </w:rPr>
            </w:pPr>
            <w:r>
              <w:rPr>
                <w:rFonts w:hint="eastAsia" w:ascii="宋体" w:hAnsi="宋体"/>
                <w:color w:val="auto"/>
              </w:rPr>
              <w:t>/</w:t>
            </w:r>
          </w:p>
        </w:tc>
      </w:tr>
      <w:tr w14:paraId="210EF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Align w:val="center"/>
          </w:tcPr>
          <w:p w14:paraId="747C8E57">
            <w:pPr>
              <w:adjustRightInd w:val="0"/>
              <w:snapToGrid w:val="0"/>
              <w:jc w:val="center"/>
              <w:rPr>
                <w:rFonts w:ascii="宋体" w:hAnsi="宋体"/>
                <w:color w:val="auto"/>
              </w:rPr>
            </w:pPr>
            <w:r>
              <w:rPr>
                <w:rFonts w:hint="eastAsia" w:ascii="宋体" w:hAnsi="宋体"/>
                <w:color w:val="auto"/>
              </w:rPr>
              <w:t>3</w:t>
            </w:r>
          </w:p>
        </w:tc>
        <w:tc>
          <w:tcPr>
            <w:tcW w:w="698" w:type="pct"/>
            <w:vAlign w:val="center"/>
          </w:tcPr>
          <w:p w14:paraId="1C77BD8F">
            <w:pPr>
              <w:adjustRightInd w:val="0"/>
              <w:snapToGrid w:val="0"/>
              <w:jc w:val="center"/>
              <w:rPr>
                <w:rFonts w:ascii="宋体" w:hAnsi="宋体"/>
                <w:color w:val="auto"/>
              </w:rPr>
            </w:pPr>
            <w:r>
              <w:rPr>
                <w:rFonts w:hint="eastAsia" w:ascii="宋体" w:hAnsi="宋体" w:cs="宋体"/>
                <w:color w:val="auto"/>
                <w:kern w:val="0"/>
              </w:rPr>
              <w:t>FJF163-X17</w:t>
            </w:r>
          </w:p>
        </w:tc>
        <w:tc>
          <w:tcPr>
            <w:tcW w:w="549" w:type="pct"/>
            <w:vAlign w:val="center"/>
          </w:tcPr>
          <w:p w14:paraId="23FBE2D9">
            <w:pPr>
              <w:adjustRightInd w:val="0"/>
              <w:snapToGrid w:val="0"/>
              <w:jc w:val="center"/>
              <w:rPr>
                <w:rFonts w:ascii="宋体" w:hAnsi="宋体"/>
                <w:color w:val="auto"/>
              </w:rPr>
            </w:pPr>
            <w:r>
              <w:rPr>
                <w:rFonts w:hint="eastAsia" w:ascii="宋体" w:hAnsi="宋体"/>
                <w:color w:val="auto"/>
              </w:rPr>
              <w:t>3</w:t>
            </w:r>
            <w:r>
              <w:rPr>
                <w:rFonts w:ascii="宋体" w:hAnsi="宋体"/>
                <w:color w:val="auto"/>
              </w:rPr>
              <w:t>#</w:t>
            </w:r>
          </w:p>
        </w:tc>
        <w:tc>
          <w:tcPr>
            <w:tcW w:w="549" w:type="pct"/>
            <w:vAlign w:val="center"/>
          </w:tcPr>
          <w:p w14:paraId="79EE7FF3">
            <w:pPr>
              <w:adjustRightInd w:val="0"/>
              <w:snapToGrid w:val="0"/>
              <w:jc w:val="center"/>
              <w:rPr>
                <w:rFonts w:ascii="宋体" w:hAnsi="宋体"/>
                <w:color w:val="auto"/>
              </w:rPr>
            </w:pPr>
            <w:r>
              <w:rPr>
                <w:rFonts w:hint="eastAsia" w:ascii="宋体" w:hAnsi="宋体"/>
                <w:color w:val="auto"/>
              </w:rPr>
              <w:t>DN150</w:t>
            </w:r>
          </w:p>
        </w:tc>
        <w:tc>
          <w:tcPr>
            <w:tcW w:w="565" w:type="pct"/>
            <w:vAlign w:val="center"/>
          </w:tcPr>
          <w:p w14:paraId="02EC2013">
            <w:pPr>
              <w:adjustRightInd w:val="0"/>
              <w:snapToGrid w:val="0"/>
              <w:jc w:val="center"/>
              <w:rPr>
                <w:rFonts w:ascii="宋体" w:hAnsi="宋体"/>
                <w:color w:val="auto"/>
              </w:rPr>
            </w:pPr>
            <w:r>
              <w:rPr>
                <w:rFonts w:hint="eastAsia" w:ascii="宋体" w:hAnsi="宋体"/>
                <w:color w:val="auto"/>
              </w:rPr>
              <w:t>7</w:t>
            </w:r>
            <w:r>
              <w:rPr>
                <w:rFonts w:ascii="宋体" w:hAnsi="宋体"/>
                <w:color w:val="auto"/>
              </w:rPr>
              <w:t>00</w:t>
            </w:r>
          </w:p>
        </w:tc>
        <w:tc>
          <w:tcPr>
            <w:tcW w:w="826" w:type="pct"/>
            <w:vAlign w:val="center"/>
          </w:tcPr>
          <w:p w14:paraId="58499F00">
            <w:pPr>
              <w:adjustRightInd w:val="0"/>
              <w:snapToGrid w:val="0"/>
              <w:jc w:val="center"/>
              <w:rPr>
                <w:rFonts w:ascii="宋体" w:hAnsi="宋体"/>
                <w:color w:val="auto"/>
              </w:rPr>
            </w:pPr>
            <w:r>
              <w:rPr>
                <w:rFonts w:hint="eastAsia" w:ascii="宋体" w:hAnsi="宋体"/>
                <w:color w:val="auto"/>
              </w:rPr>
              <w:t>大芦湖水源</w:t>
            </w:r>
          </w:p>
        </w:tc>
        <w:tc>
          <w:tcPr>
            <w:tcW w:w="772" w:type="pct"/>
            <w:vAlign w:val="center"/>
          </w:tcPr>
          <w:p w14:paraId="36E7DAE0">
            <w:pPr>
              <w:adjustRightInd w:val="0"/>
              <w:snapToGrid w:val="0"/>
              <w:jc w:val="center"/>
              <w:rPr>
                <w:rFonts w:ascii="宋体" w:hAnsi="宋体"/>
                <w:color w:val="auto"/>
              </w:rPr>
            </w:pPr>
            <w:r>
              <w:rPr>
                <w:rFonts w:hint="eastAsia" w:ascii="宋体" w:hAnsi="宋体"/>
                <w:color w:val="auto"/>
              </w:rPr>
              <w:t>600</w:t>
            </w:r>
            <w:r>
              <w:rPr>
                <w:rFonts w:hint="eastAsia" w:ascii="宋体" w:hAnsi="宋体" w:cs="宋体"/>
                <w:color w:val="auto"/>
              </w:rPr>
              <w:t>型压驱注水装置</w:t>
            </w:r>
          </w:p>
        </w:tc>
        <w:tc>
          <w:tcPr>
            <w:tcW w:w="772" w:type="pct"/>
            <w:vAlign w:val="center"/>
          </w:tcPr>
          <w:p w14:paraId="639580AA">
            <w:pPr>
              <w:adjustRightInd w:val="0"/>
              <w:snapToGrid w:val="0"/>
              <w:jc w:val="center"/>
              <w:rPr>
                <w:rFonts w:ascii="宋体" w:hAnsi="宋体"/>
                <w:color w:val="auto"/>
              </w:rPr>
            </w:pPr>
            <w:bookmarkStart w:id="221" w:name="OLE_LINK207"/>
            <w:bookmarkStart w:id="222" w:name="OLE_LINK208"/>
            <w:r>
              <w:rPr>
                <w:rFonts w:hint="eastAsia" w:ascii="宋体" w:hAnsi="宋体"/>
                <w:color w:val="auto"/>
              </w:rPr>
              <w:t>新建</w:t>
            </w:r>
            <w:r>
              <w:rPr>
                <w:rFonts w:hint="eastAsia" w:ascii="宋体" w:hAnsi="宋体" w:cs="宋体"/>
                <w:color w:val="auto"/>
              </w:rPr>
              <w:t>供水泵橇</w:t>
            </w:r>
            <w:r>
              <w:rPr>
                <w:rFonts w:hint="eastAsia" w:ascii="宋体" w:hAnsi="宋体"/>
                <w:color w:val="auto"/>
              </w:rPr>
              <w:t>1</w:t>
            </w:r>
            <w:r>
              <w:rPr>
                <w:rFonts w:hint="eastAsia" w:ascii="宋体" w:hAnsi="宋体" w:cs="宋体"/>
                <w:color w:val="auto"/>
              </w:rPr>
              <w:t>座</w:t>
            </w:r>
            <w:bookmarkEnd w:id="221"/>
            <w:bookmarkEnd w:id="222"/>
          </w:p>
        </w:tc>
      </w:tr>
      <w:tr w14:paraId="0C4D2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Align w:val="center"/>
          </w:tcPr>
          <w:p w14:paraId="6D4374E3">
            <w:pPr>
              <w:adjustRightInd w:val="0"/>
              <w:snapToGrid w:val="0"/>
              <w:jc w:val="center"/>
              <w:rPr>
                <w:rFonts w:ascii="宋体" w:hAnsi="宋体"/>
                <w:color w:val="auto"/>
              </w:rPr>
            </w:pPr>
            <w:r>
              <w:rPr>
                <w:rFonts w:hint="eastAsia" w:ascii="宋体" w:hAnsi="宋体"/>
                <w:color w:val="auto"/>
              </w:rPr>
              <w:t>4</w:t>
            </w:r>
          </w:p>
        </w:tc>
        <w:tc>
          <w:tcPr>
            <w:tcW w:w="698" w:type="pct"/>
            <w:vAlign w:val="center"/>
          </w:tcPr>
          <w:p w14:paraId="54C14213">
            <w:pPr>
              <w:adjustRightInd w:val="0"/>
              <w:snapToGrid w:val="0"/>
              <w:jc w:val="center"/>
              <w:rPr>
                <w:rFonts w:ascii="宋体" w:hAnsi="宋体" w:cs="宋体"/>
                <w:color w:val="auto"/>
                <w:kern w:val="0"/>
              </w:rPr>
            </w:pPr>
            <w:bookmarkStart w:id="223" w:name="OLE_LINK227"/>
            <w:r>
              <w:rPr>
                <w:rFonts w:hint="eastAsia" w:ascii="宋体" w:hAnsi="宋体" w:cs="宋体"/>
                <w:color w:val="auto"/>
                <w:kern w:val="0"/>
              </w:rPr>
              <w:t>FJF18-X24</w:t>
            </w:r>
            <w:bookmarkEnd w:id="223"/>
          </w:p>
        </w:tc>
        <w:tc>
          <w:tcPr>
            <w:tcW w:w="549" w:type="pct"/>
            <w:vAlign w:val="center"/>
          </w:tcPr>
          <w:p w14:paraId="5326A2A7">
            <w:pPr>
              <w:adjustRightInd w:val="0"/>
              <w:snapToGrid w:val="0"/>
              <w:jc w:val="center"/>
              <w:rPr>
                <w:rFonts w:ascii="宋体" w:hAnsi="宋体"/>
                <w:color w:val="auto"/>
              </w:rPr>
            </w:pPr>
            <w:r>
              <w:rPr>
                <w:rFonts w:hint="eastAsia" w:ascii="宋体" w:hAnsi="宋体" w:cs="宋体"/>
                <w:color w:val="auto"/>
                <w:kern w:val="0"/>
              </w:rPr>
              <w:t>5#</w:t>
            </w:r>
          </w:p>
        </w:tc>
        <w:tc>
          <w:tcPr>
            <w:tcW w:w="549" w:type="pct"/>
            <w:vAlign w:val="center"/>
          </w:tcPr>
          <w:p w14:paraId="06DB1EA9">
            <w:pPr>
              <w:adjustRightInd w:val="0"/>
              <w:snapToGrid w:val="0"/>
              <w:jc w:val="center"/>
              <w:rPr>
                <w:rFonts w:ascii="宋体" w:hAnsi="宋体"/>
                <w:color w:val="auto"/>
              </w:rPr>
            </w:pPr>
            <w:bookmarkStart w:id="224" w:name="OLE_LINK205"/>
            <w:bookmarkStart w:id="225" w:name="OLE_LINK206"/>
            <w:bookmarkStart w:id="226" w:name="OLE_LINK214"/>
            <w:r>
              <w:rPr>
                <w:rFonts w:hint="eastAsia" w:ascii="宋体" w:hAnsi="宋体"/>
                <w:color w:val="auto"/>
              </w:rPr>
              <w:t>DN150</w:t>
            </w:r>
            <w:bookmarkEnd w:id="224"/>
            <w:bookmarkEnd w:id="225"/>
            <w:bookmarkEnd w:id="226"/>
          </w:p>
        </w:tc>
        <w:tc>
          <w:tcPr>
            <w:tcW w:w="565" w:type="pct"/>
            <w:vAlign w:val="center"/>
          </w:tcPr>
          <w:p w14:paraId="50B29B48">
            <w:pPr>
              <w:adjustRightInd w:val="0"/>
              <w:snapToGrid w:val="0"/>
              <w:jc w:val="center"/>
              <w:rPr>
                <w:rFonts w:ascii="宋体" w:hAnsi="宋体"/>
                <w:color w:val="auto"/>
              </w:rPr>
            </w:pPr>
            <w:r>
              <w:rPr>
                <w:rFonts w:hint="eastAsia" w:ascii="宋体" w:hAnsi="宋体"/>
                <w:color w:val="auto"/>
              </w:rPr>
              <w:t>1</w:t>
            </w:r>
            <w:r>
              <w:rPr>
                <w:rFonts w:ascii="宋体" w:hAnsi="宋体"/>
                <w:color w:val="auto"/>
              </w:rPr>
              <w:t>500</w:t>
            </w:r>
          </w:p>
        </w:tc>
        <w:tc>
          <w:tcPr>
            <w:tcW w:w="826" w:type="pct"/>
            <w:vAlign w:val="center"/>
          </w:tcPr>
          <w:p w14:paraId="11D959E0">
            <w:pPr>
              <w:adjustRightInd w:val="0"/>
              <w:snapToGrid w:val="0"/>
              <w:jc w:val="center"/>
              <w:rPr>
                <w:rFonts w:ascii="宋体" w:hAnsi="宋体"/>
                <w:color w:val="auto"/>
              </w:rPr>
            </w:pPr>
            <w:bookmarkStart w:id="227" w:name="OLE_LINK217"/>
            <w:bookmarkStart w:id="228" w:name="OLE_LINK218"/>
            <w:r>
              <w:rPr>
                <w:rFonts w:hint="eastAsia" w:ascii="宋体" w:hAnsi="宋体"/>
                <w:color w:val="auto"/>
              </w:rPr>
              <w:t>大芦湖水源</w:t>
            </w:r>
            <w:bookmarkEnd w:id="227"/>
            <w:bookmarkEnd w:id="228"/>
          </w:p>
        </w:tc>
        <w:tc>
          <w:tcPr>
            <w:tcW w:w="772" w:type="pct"/>
            <w:vAlign w:val="center"/>
          </w:tcPr>
          <w:p w14:paraId="25B42AD5">
            <w:pPr>
              <w:adjustRightInd w:val="0"/>
              <w:snapToGrid w:val="0"/>
              <w:jc w:val="center"/>
              <w:rPr>
                <w:rFonts w:ascii="宋体" w:hAnsi="宋体"/>
                <w:color w:val="auto"/>
              </w:rPr>
            </w:pPr>
            <w:r>
              <w:rPr>
                <w:rFonts w:hint="eastAsia" w:ascii="宋体" w:hAnsi="宋体"/>
                <w:color w:val="auto"/>
              </w:rPr>
              <w:t>600</w:t>
            </w:r>
            <w:r>
              <w:rPr>
                <w:rFonts w:hint="eastAsia" w:ascii="宋体" w:hAnsi="宋体" w:cs="宋体"/>
                <w:color w:val="auto"/>
              </w:rPr>
              <w:t>型压驱注水装置</w:t>
            </w:r>
          </w:p>
        </w:tc>
        <w:tc>
          <w:tcPr>
            <w:tcW w:w="772" w:type="pct"/>
            <w:vAlign w:val="center"/>
          </w:tcPr>
          <w:p w14:paraId="26ECF35A">
            <w:pPr>
              <w:adjustRightInd w:val="0"/>
              <w:snapToGrid w:val="0"/>
              <w:jc w:val="center"/>
              <w:rPr>
                <w:rFonts w:ascii="宋体" w:hAnsi="宋体"/>
                <w:color w:val="auto"/>
              </w:rPr>
            </w:pPr>
            <w:r>
              <w:rPr>
                <w:rFonts w:hint="eastAsia" w:ascii="宋体" w:hAnsi="宋体"/>
                <w:color w:val="auto"/>
              </w:rPr>
              <w:t>新建</w:t>
            </w:r>
            <w:r>
              <w:rPr>
                <w:rFonts w:hint="eastAsia" w:ascii="宋体" w:hAnsi="宋体" w:cs="宋体"/>
                <w:color w:val="auto"/>
              </w:rPr>
              <w:t>供水泵橇</w:t>
            </w:r>
            <w:r>
              <w:rPr>
                <w:rFonts w:hint="eastAsia" w:ascii="宋体" w:hAnsi="宋体"/>
                <w:color w:val="auto"/>
              </w:rPr>
              <w:t>1</w:t>
            </w:r>
            <w:r>
              <w:rPr>
                <w:rFonts w:hint="eastAsia" w:ascii="宋体" w:hAnsi="宋体" w:cs="宋体"/>
                <w:color w:val="auto"/>
              </w:rPr>
              <w:t>座</w:t>
            </w:r>
          </w:p>
        </w:tc>
      </w:tr>
      <w:tr w14:paraId="2B2FE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Align w:val="center"/>
          </w:tcPr>
          <w:p w14:paraId="7AA7AA6B">
            <w:pPr>
              <w:adjustRightInd w:val="0"/>
              <w:snapToGrid w:val="0"/>
              <w:jc w:val="center"/>
              <w:rPr>
                <w:rFonts w:ascii="宋体" w:hAnsi="宋体"/>
                <w:color w:val="auto"/>
              </w:rPr>
            </w:pPr>
            <w:r>
              <w:rPr>
                <w:rFonts w:hint="eastAsia" w:ascii="宋体" w:hAnsi="宋体"/>
                <w:color w:val="auto"/>
              </w:rPr>
              <w:t>5</w:t>
            </w:r>
          </w:p>
        </w:tc>
        <w:tc>
          <w:tcPr>
            <w:tcW w:w="698" w:type="pct"/>
            <w:vAlign w:val="center"/>
          </w:tcPr>
          <w:p w14:paraId="2DF6A3F9">
            <w:pPr>
              <w:adjustRightInd w:val="0"/>
              <w:snapToGrid w:val="0"/>
              <w:jc w:val="center"/>
              <w:rPr>
                <w:rFonts w:ascii="宋体" w:hAnsi="宋体" w:cs="宋体"/>
                <w:color w:val="auto"/>
                <w:kern w:val="0"/>
              </w:rPr>
            </w:pPr>
            <w:r>
              <w:rPr>
                <w:rFonts w:hint="eastAsia" w:ascii="宋体" w:hAnsi="宋体" w:cs="宋体"/>
                <w:color w:val="auto"/>
                <w:kern w:val="0"/>
              </w:rPr>
              <w:t>FJF11-X120</w:t>
            </w:r>
          </w:p>
        </w:tc>
        <w:tc>
          <w:tcPr>
            <w:tcW w:w="549" w:type="pct"/>
            <w:vMerge w:val="restart"/>
            <w:vAlign w:val="center"/>
          </w:tcPr>
          <w:p w14:paraId="6E879A87">
            <w:pPr>
              <w:adjustRightInd w:val="0"/>
              <w:snapToGrid w:val="0"/>
              <w:jc w:val="center"/>
              <w:rPr>
                <w:rFonts w:ascii="宋体" w:hAnsi="宋体"/>
                <w:color w:val="auto"/>
              </w:rPr>
            </w:pPr>
            <w:r>
              <w:rPr>
                <w:rFonts w:hint="eastAsia" w:ascii="宋体" w:hAnsi="宋体" w:cs="宋体"/>
                <w:color w:val="auto"/>
                <w:kern w:val="0"/>
              </w:rPr>
              <w:t>6#</w:t>
            </w:r>
          </w:p>
        </w:tc>
        <w:tc>
          <w:tcPr>
            <w:tcW w:w="549" w:type="pct"/>
            <w:vMerge w:val="restart"/>
            <w:vAlign w:val="center"/>
          </w:tcPr>
          <w:p w14:paraId="244E69DB">
            <w:pPr>
              <w:adjustRightInd w:val="0"/>
              <w:snapToGrid w:val="0"/>
              <w:jc w:val="center"/>
              <w:rPr>
                <w:rFonts w:ascii="宋体" w:hAnsi="宋体"/>
                <w:color w:val="auto"/>
              </w:rPr>
            </w:pPr>
            <w:r>
              <w:rPr>
                <w:rFonts w:hint="eastAsia" w:ascii="宋体" w:hAnsi="宋体"/>
                <w:color w:val="auto"/>
              </w:rPr>
              <w:t>DN1</w:t>
            </w:r>
            <w:r>
              <w:rPr>
                <w:rFonts w:ascii="宋体" w:hAnsi="宋体"/>
                <w:color w:val="auto"/>
              </w:rPr>
              <w:t>10</w:t>
            </w:r>
          </w:p>
        </w:tc>
        <w:tc>
          <w:tcPr>
            <w:tcW w:w="565" w:type="pct"/>
            <w:vMerge w:val="restart"/>
            <w:vAlign w:val="center"/>
          </w:tcPr>
          <w:p w14:paraId="6036A8D3">
            <w:pPr>
              <w:adjustRightInd w:val="0"/>
              <w:snapToGrid w:val="0"/>
              <w:jc w:val="center"/>
              <w:rPr>
                <w:rFonts w:ascii="宋体" w:hAnsi="宋体"/>
                <w:color w:val="auto"/>
              </w:rPr>
            </w:pPr>
            <w:r>
              <w:rPr>
                <w:rFonts w:ascii="宋体" w:hAnsi="宋体"/>
                <w:color w:val="auto"/>
              </w:rPr>
              <w:t>500</w:t>
            </w:r>
          </w:p>
        </w:tc>
        <w:tc>
          <w:tcPr>
            <w:tcW w:w="826" w:type="pct"/>
            <w:vMerge w:val="restart"/>
            <w:vAlign w:val="center"/>
          </w:tcPr>
          <w:p w14:paraId="5A7ED2FD">
            <w:pPr>
              <w:adjustRightInd w:val="0"/>
              <w:snapToGrid w:val="0"/>
              <w:jc w:val="center"/>
              <w:rPr>
                <w:rFonts w:ascii="宋体" w:hAnsi="宋体"/>
                <w:color w:val="auto"/>
              </w:rPr>
            </w:pPr>
            <w:r>
              <w:rPr>
                <w:rFonts w:hint="eastAsia" w:ascii="宋体" w:hAnsi="宋体"/>
                <w:color w:val="auto"/>
              </w:rPr>
              <w:t>周边水塘</w:t>
            </w:r>
          </w:p>
        </w:tc>
        <w:tc>
          <w:tcPr>
            <w:tcW w:w="772" w:type="pct"/>
            <w:vAlign w:val="center"/>
          </w:tcPr>
          <w:p w14:paraId="2D53919C">
            <w:pPr>
              <w:adjustRightInd w:val="0"/>
              <w:snapToGrid w:val="0"/>
              <w:jc w:val="center"/>
              <w:rPr>
                <w:rFonts w:ascii="宋体" w:hAnsi="宋体" w:cs="宋体"/>
                <w:color w:val="auto"/>
              </w:rPr>
            </w:pPr>
            <w:r>
              <w:rPr>
                <w:rFonts w:hint="eastAsia" w:ascii="宋体" w:hAnsi="宋体"/>
                <w:color w:val="auto"/>
              </w:rPr>
              <w:t>600</w:t>
            </w:r>
            <w:r>
              <w:rPr>
                <w:rFonts w:hint="eastAsia" w:ascii="宋体" w:hAnsi="宋体" w:cs="宋体"/>
                <w:color w:val="auto"/>
              </w:rPr>
              <w:t>型压驱注水装置</w:t>
            </w:r>
          </w:p>
        </w:tc>
        <w:tc>
          <w:tcPr>
            <w:tcW w:w="772" w:type="pct"/>
            <w:vMerge w:val="restart"/>
            <w:vAlign w:val="center"/>
          </w:tcPr>
          <w:p w14:paraId="0126F172">
            <w:pPr>
              <w:adjustRightInd w:val="0"/>
              <w:snapToGrid w:val="0"/>
              <w:jc w:val="center"/>
              <w:rPr>
                <w:rFonts w:ascii="宋体" w:hAnsi="宋体"/>
                <w:color w:val="auto"/>
              </w:rPr>
            </w:pPr>
            <w:r>
              <w:rPr>
                <w:rFonts w:hint="eastAsia" w:ascii="宋体" w:hAnsi="宋体" w:cs="宋体"/>
                <w:color w:val="auto"/>
              </w:rPr>
              <w:t>新建供水泵橇</w:t>
            </w:r>
            <w:r>
              <w:rPr>
                <w:rFonts w:hint="eastAsia" w:ascii="宋体" w:hAnsi="宋体"/>
                <w:color w:val="auto"/>
              </w:rPr>
              <w:t>1</w:t>
            </w:r>
            <w:r>
              <w:rPr>
                <w:rFonts w:hint="eastAsia" w:ascii="宋体" w:hAnsi="宋体" w:cs="宋体"/>
                <w:color w:val="auto"/>
              </w:rPr>
              <w:t>座</w:t>
            </w:r>
          </w:p>
        </w:tc>
      </w:tr>
      <w:tr w14:paraId="128C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Align w:val="center"/>
          </w:tcPr>
          <w:p w14:paraId="36C91559">
            <w:pPr>
              <w:adjustRightInd w:val="0"/>
              <w:snapToGrid w:val="0"/>
              <w:jc w:val="center"/>
              <w:rPr>
                <w:rFonts w:ascii="宋体" w:hAnsi="宋体"/>
                <w:color w:val="auto"/>
              </w:rPr>
            </w:pPr>
            <w:r>
              <w:rPr>
                <w:rFonts w:hint="eastAsia" w:ascii="宋体" w:hAnsi="宋体"/>
                <w:color w:val="auto"/>
              </w:rPr>
              <w:t>6</w:t>
            </w:r>
          </w:p>
        </w:tc>
        <w:tc>
          <w:tcPr>
            <w:tcW w:w="698" w:type="pct"/>
            <w:vAlign w:val="center"/>
          </w:tcPr>
          <w:p w14:paraId="6082F5C1">
            <w:pPr>
              <w:adjustRightInd w:val="0"/>
              <w:snapToGrid w:val="0"/>
              <w:jc w:val="center"/>
              <w:rPr>
                <w:rFonts w:ascii="宋体" w:hAnsi="宋体" w:cs="宋体"/>
                <w:color w:val="auto"/>
                <w:kern w:val="0"/>
              </w:rPr>
            </w:pPr>
            <w:bookmarkStart w:id="229" w:name="OLE_LINK228"/>
            <w:bookmarkStart w:id="230" w:name="OLE_LINK229"/>
            <w:r>
              <w:rPr>
                <w:rFonts w:hint="eastAsia" w:ascii="宋体" w:hAnsi="宋体" w:cs="宋体"/>
                <w:color w:val="auto"/>
                <w:kern w:val="0"/>
              </w:rPr>
              <w:t>FJF11-X117</w:t>
            </w:r>
            <w:bookmarkEnd w:id="229"/>
            <w:bookmarkEnd w:id="230"/>
          </w:p>
        </w:tc>
        <w:tc>
          <w:tcPr>
            <w:tcW w:w="549" w:type="pct"/>
            <w:vMerge w:val="continue"/>
            <w:vAlign w:val="center"/>
          </w:tcPr>
          <w:p w14:paraId="2979945F">
            <w:pPr>
              <w:adjustRightInd w:val="0"/>
              <w:snapToGrid w:val="0"/>
              <w:jc w:val="center"/>
              <w:rPr>
                <w:rFonts w:ascii="宋体" w:hAnsi="宋体"/>
                <w:color w:val="auto"/>
              </w:rPr>
            </w:pPr>
          </w:p>
        </w:tc>
        <w:tc>
          <w:tcPr>
            <w:tcW w:w="549" w:type="pct"/>
            <w:vMerge w:val="continue"/>
            <w:vAlign w:val="center"/>
          </w:tcPr>
          <w:p w14:paraId="724E87C7">
            <w:pPr>
              <w:adjustRightInd w:val="0"/>
              <w:snapToGrid w:val="0"/>
              <w:jc w:val="center"/>
              <w:rPr>
                <w:rFonts w:ascii="宋体" w:hAnsi="宋体"/>
                <w:color w:val="auto"/>
              </w:rPr>
            </w:pPr>
          </w:p>
        </w:tc>
        <w:tc>
          <w:tcPr>
            <w:tcW w:w="565" w:type="pct"/>
            <w:vMerge w:val="continue"/>
            <w:vAlign w:val="center"/>
          </w:tcPr>
          <w:p w14:paraId="36457A35">
            <w:pPr>
              <w:adjustRightInd w:val="0"/>
              <w:snapToGrid w:val="0"/>
              <w:jc w:val="center"/>
              <w:rPr>
                <w:rFonts w:ascii="宋体" w:hAnsi="宋体"/>
                <w:color w:val="auto"/>
              </w:rPr>
            </w:pPr>
          </w:p>
        </w:tc>
        <w:tc>
          <w:tcPr>
            <w:tcW w:w="826" w:type="pct"/>
            <w:vMerge w:val="continue"/>
            <w:vAlign w:val="center"/>
          </w:tcPr>
          <w:p w14:paraId="2A404086">
            <w:pPr>
              <w:adjustRightInd w:val="0"/>
              <w:snapToGrid w:val="0"/>
              <w:jc w:val="center"/>
              <w:rPr>
                <w:rFonts w:ascii="宋体" w:hAnsi="宋体"/>
                <w:color w:val="auto"/>
              </w:rPr>
            </w:pPr>
          </w:p>
        </w:tc>
        <w:tc>
          <w:tcPr>
            <w:tcW w:w="772" w:type="pct"/>
            <w:vAlign w:val="center"/>
          </w:tcPr>
          <w:p w14:paraId="5247656D">
            <w:pPr>
              <w:adjustRightInd w:val="0"/>
              <w:snapToGrid w:val="0"/>
              <w:jc w:val="center"/>
              <w:rPr>
                <w:rFonts w:ascii="宋体" w:hAnsi="宋体"/>
                <w:color w:val="auto"/>
              </w:rPr>
            </w:pPr>
            <w:r>
              <w:rPr>
                <w:rFonts w:hint="eastAsia" w:ascii="宋体" w:hAnsi="宋体"/>
                <w:color w:val="auto"/>
              </w:rPr>
              <w:t>600</w:t>
            </w:r>
            <w:r>
              <w:rPr>
                <w:rFonts w:hint="eastAsia" w:ascii="宋体" w:hAnsi="宋体" w:cs="宋体"/>
                <w:color w:val="auto"/>
              </w:rPr>
              <w:t>型压驱注水装置</w:t>
            </w:r>
          </w:p>
        </w:tc>
        <w:tc>
          <w:tcPr>
            <w:tcW w:w="772" w:type="pct"/>
            <w:vMerge w:val="continue"/>
            <w:vAlign w:val="center"/>
          </w:tcPr>
          <w:p w14:paraId="57A4EBF7">
            <w:pPr>
              <w:adjustRightInd w:val="0"/>
              <w:snapToGrid w:val="0"/>
              <w:jc w:val="center"/>
              <w:rPr>
                <w:rFonts w:ascii="宋体" w:hAnsi="宋体"/>
                <w:color w:val="auto"/>
              </w:rPr>
            </w:pPr>
          </w:p>
        </w:tc>
      </w:tr>
      <w:tr w14:paraId="62F0D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Align w:val="center"/>
          </w:tcPr>
          <w:p w14:paraId="4C9EF9E3">
            <w:pPr>
              <w:adjustRightInd w:val="0"/>
              <w:snapToGrid w:val="0"/>
              <w:jc w:val="center"/>
              <w:rPr>
                <w:rFonts w:ascii="宋体" w:hAnsi="宋体"/>
                <w:color w:val="auto"/>
              </w:rPr>
            </w:pPr>
            <w:r>
              <w:rPr>
                <w:rFonts w:hint="eastAsia" w:ascii="宋体" w:hAnsi="宋体"/>
                <w:color w:val="auto"/>
              </w:rPr>
              <w:t>7</w:t>
            </w:r>
          </w:p>
        </w:tc>
        <w:tc>
          <w:tcPr>
            <w:tcW w:w="698" w:type="pct"/>
            <w:vAlign w:val="center"/>
          </w:tcPr>
          <w:p w14:paraId="6C7A2F1D">
            <w:pPr>
              <w:adjustRightInd w:val="0"/>
              <w:snapToGrid w:val="0"/>
              <w:jc w:val="center"/>
              <w:rPr>
                <w:rFonts w:ascii="宋体" w:hAnsi="宋体" w:cs="宋体"/>
                <w:color w:val="auto"/>
                <w:kern w:val="0"/>
              </w:rPr>
            </w:pPr>
            <w:r>
              <w:rPr>
                <w:rFonts w:hint="eastAsia" w:ascii="宋体" w:hAnsi="宋体" w:cs="宋体"/>
                <w:color w:val="auto"/>
                <w:kern w:val="0"/>
              </w:rPr>
              <w:t>FJF121-X95</w:t>
            </w:r>
          </w:p>
        </w:tc>
        <w:tc>
          <w:tcPr>
            <w:tcW w:w="549" w:type="pct"/>
            <w:vAlign w:val="center"/>
          </w:tcPr>
          <w:p w14:paraId="18A65D0E">
            <w:pPr>
              <w:adjustRightInd w:val="0"/>
              <w:snapToGrid w:val="0"/>
              <w:jc w:val="center"/>
              <w:rPr>
                <w:rFonts w:ascii="宋体" w:hAnsi="宋体"/>
                <w:color w:val="auto"/>
              </w:rPr>
            </w:pPr>
            <w:r>
              <w:rPr>
                <w:rFonts w:hint="eastAsia" w:ascii="宋体" w:hAnsi="宋体" w:cs="宋体"/>
                <w:color w:val="auto"/>
                <w:kern w:val="0"/>
              </w:rPr>
              <w:t>10#</w:t>
            </w:r>
          </w:p>
        </w:tc>
        <w:tc>
          <w:tcPr>
            <w:tcW w:w="549" w:type="pct"/>
            <w:vAlign w:val="center"/>
          </w:tcPr>
          <w:p w14:paraId="54F5B178">
            <w:pPr>
              <w:adjustRightInd w:val="0"/>
              <w:snapToGrid w:val="0"/>
              <w:jc w:val="center"/>
              <w:rPr>
                <w:rFonts w:ascii="宋体" w:hAnsi="宋体"/>
                <w:color w:val="auto"/>
              </w:rPr>
            </w:pPr>
            <w:r>
              <w:rPr>
                <w:rFonts w:hint="eastAsia" w:ascii="宋体" w:hAnsi="宋体" w:cs="宋体"/>
                <w:color w:val="auto"/>
              </w:rPr>
              <w:t>Φ</w:t>
            </w:r>
            <w:r>
              <w:rPr>
                <w:rFonts w:ascii="宋体" w:hAnsi="宋体"/>
                <w:color w:val="auto"/>
              </w:rPr>
              <w:t>76</w:t>
            </w:r>
            <w:r>
              <w:rPr>
                <w:rFonts w:hint="eastAsia" w:ascii="宋体" w:hAnsi="宋体" w:cs="宋体"/>
                <w:color w:val="auto"/>
              </w:rPr>
              <w:t>×</w:t>
            </w:r>
            <w:r>
              <w:rPr>
                <w:rFonts w:ascii="宋体" w:hAnsi="宋体"/>
                <w:color w:val="auto"/>
              </w:rPr>
              <w:t>11</w:t>
            </w:r>
          </w:p>
        </w:tc>
        <w:tc>
          <w:tcPr>
            <w:tcW w:w="565" w:type="pct"/>
            <w:vAlign w:val="center"/>
          </w:tcPr>
          <w:p w14:paraId="54A48C98">
            <w:pPr>
              <w:adjustRightInd w:val="0"/>
              <w:snapToGrid w:val="0"/>
              <w:jc w:val="center"/>
              <w:rPr>
                <w:rFonts w:ascii="宋体" w:hAnsi="宋体"/>
                <w:color w:val="auto"/>
              </w:rPr>
            </w:pPr>
            <w:r>
              <w:rPr>
                <w:rFonts w:hint="eastAsia" w:ascii="宋体" w:hAnsi="宋体"/>
                <w:color w:val="auto"/>
              </w:rPr>
              <w:t>5</w:t>
            </w:r>
            <w:r>
              <w:rPr>
                <w:rFonts w:ascii="宋体" w:hAnsi="宋体"/>
                <w:color w:val="auto"/>
              </w:rPr>
              <w:t>0</w:t>
            </w:r>
          </w:p>
        </w:tc>
        <w:tc>
          <w:tcPr>
            <w:tcW w:w="826" w:type="pct"/>
            <w:vAlign w:val="center"/>
          </w:tcPr>
          <w:p w14:paraId="3B28D7C9">
            <w:pPr>
              <w:adjustRightInd w:val="0"/>
              <w:snapToGrid w:val="0"/>
              <w:jc w:val="center"/>
              <w:rPr>
                <w:rFonts w:ascii="宋体" w:hAnsi="宋体"/>
                <w:color w:val="auto"/>
              </w:rPr>
            </w:pPr>
            <w:r>
              <w:rPr>
                <w:rFonts w:hint="eastAsia" w:ascii="宋体" w:hAnsi="宋体" w:cs="宋体"/>
                <w:color w:val="auto"/>
              </w:rPr>
              <w:t>高青联合站注水点</w:t>
            </w:r>
          </w:p>
        </w:tc>
        <w:tc>
          <w:tcPr>
            <w:tcW w:w="772" w:type="pct"/>
            <w:vAlign w:val="center"/>
          </w:tcPr>
          <w:p w14:paraId="7F7F879E">
            <w:pPr>
              <w:adjustRightInd w:val="0"/>
              <w:snapToGrid w:val="0"/>
              <w:jc w:val="center"/>
              <w:rPr>
                <w:rFonts w:ascii="宋体" w:hAnsi="宋体"/>
                <w:color w:val="auto"/>
              </w:rPr>
            </w:pPr>
            <w:r>
              <w:rPr>
                <w:rFonts w:hint="eastAsia" w:ascii="宋体" w:hAnsi="宋体"/>
                <w:color w:val="auto"/>
              </w:rPr>
              <w:t>350</w:t>
            </w:r>
            <w:r>
              <w:rPr>
                <w:rFonts w:hint="eastAsia" w:ascii="宋体" w:hAnsi="宋体" w:cs="宋体"/>
                <w:color w:val="auto"/>
              </w:rPr>
              <w:t>型注水井口</w:t>
            </w:r>
          </w:p>
        </w:tc>
        <w:tc>
          <w:tcPr>
            <w:tcW w:w="772" w:type="pct"/>
            <w:vAlign w:val="center"/>
          </w:tcPr>
          <w:p w14:paraId="508C2BE8">
            <w:pPr>
              <w:adjustRightInd w:val="0"/>
              <w:snapToGrid w:val="0"/>
              <w:jc w:val="center"/>
              <w:rPr>
                <w:rFonts w:ascii="宋体" w:hAnsi="宋体"/>
                <w:color w:val="auto"/>
              </w:rPr>
            </w:pPr>
            <w:r>
              <w:rPr>
                <w:rFonts w:hint="eastAsia" w:ascii="宋体" w:hAnsi="宋体"/>
                <w:color w:val="auto"/>
              </w:rPr>
              <w:t>/</w:t>
            </w:r>
          </w:p>
        </w:tc>
      </w:tr>
    </w:tbl>
    <w:p w14:paraId="2A9F8B4A">
      <w:pPr>
        <w:rPr>
          <w:color w:val="auto"/>
        </w:rPr>
      </w:pPr>
    </w:p>
    <w:p w14:paraId="5D26E2E8">
      <w:pPr>
        <w:pStyle w:val="4"/>
        <w:ind w:firstLine="0" w:firstLineChars="0"/>
        <w:rPr>
          <w:color w:val="auto"/>
        </w:rPr>
      </w:pPr>
      <w:r>
        <w:rPr>
          <w:color w:val="auto"/>
        </w:rPr>
        <w:drawing>
          <wp:inline distT="0" distB="0" distL="0" distR="0">
            <wp:extent cx="5534025" cy="4495800"/>
            <wp:effectExtent l="0" t="0" r="9525" b="0"/>
            <wp:docPr id="459578610" name="图片 45957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0" name="图片 459578610"/>
                    <pic:cNvPicPr>
                      <a:picLocks noChangeAspect="1"/>
                    </pic:cNvPicPr>
                  </pic:nvPicPr>
                  <pic:blipFill>
                    <a:blip r:embed="rId50"/>
                    <a:stretch>
                      <a:fillRect/>
                    </a:stretch>
                  </pic:blipFill>
                  <pic:spPr>
                    <a:xfrm>
                      <a:off x="0" y="0"/>
                      <a:ext cx="5534025" cy="4495800"/>
                    </a:xfrm>
                    <a:prstGeom prst="rect">
                      <a:avLst/>
                    </a:prstGeom>
                  </pic:spPr>
                </pic:pic>
              </a:graphicData>
            </a:graphic>
          </wp:inline>
        </w:drawing>
      </w:r>
    </w:p>
    <w:p w14:paraId="045B20AA">
      <w:pPr>
        <w:pStyle w:val="15"/>
        <w:spacing w:before="120"/>
        <w:rPr>
          <w:color w:val="auto"/>
        </w:rPr>
      </w:pPr>
      <w:bookmarkStart w:id="231" w:name="_Ref225606275"/>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8</w:t>
      </w:r>
      <w:r>
        <w:rPr>
          <w:color w:val="auto"/>
        </w:rPr>
        <w:fldChar w:fldCharType="end"/>
      </w:r>
      <w:bookmarkEnd w:id="231"/>
      <w:r>
        <w:rPr>
          <w:color w:val="auto"/>
        </w:rPr>
        <w:t xml:space="preserve"> </w:t>
      </w:r>
      <w:r>
        <w:rPr>
          <w:rFonts w:hint="eastAsia"/>
          <w:color w:val="auto"/>
        </w:rPr>
        <w:t>注水系统工艺流程示意图</w:t>
      </w:r>
    </w:p>
    <w:p w14:paraId="5B5B4A52">
      <w:pPr>
        <w:rPr>
          <w:color w:val="auto"/>
        </w:rPr>
      </w:pPr>
    </w:p>
    <w:p w14:paraId="7A9A3900">
      <w:pPr>
        <w:pStyle w:val="4"/>
        <w:ind w:firstLine="480"/>
        <w:outlineLvl w:val="3"/>
        <w:rPr>
          <w:color w:val="auto"/>
        </w:rPr>
      </w:pPr>
      <w:r>
        <w:rPr>
          <w:rFonts w:hint="eastAsia"/>
          <w:color w:val="auto"/>
        </w:rPr>
        <w:t>2）高青管理区地面系统优化建设工程（注水部分）</w:t>
      </w:r>
    </w:p>
    <w:p w14:paraId="6603E841">
      <w:pPr>
        <w:pStyle w:val="4"/>
        <w:ind w:firstLine="480"/>
        <w:rPr>
          <w:color w:val="auto"/>
        </w:rPr>
      </w:pPr>
      <w:r>
        <w:rPr>
          <w:rFonts w:hint="eastAsia"/>
          <w:color w:val="auto"/>
        </w:rPr>
        <w:t>（1）樊101块</w:t>
      </w:r>
    </w:p>
    <w:p w14:paraId="14791FB7">
      <w:pPr>
        <w:pStyle w:val="4"/>
        <w:ind w:firstLine="480"/>
        <w:rPr>
          <w:color w:val="auto"/>
        </w:rPr>
      </w:pPr>
      <w:r>
        <w:rPr>
          <w:rFonts w:hint="eastAsia"/>
          <w:color w:val="auto"/>
        </w:rPr>
        <w:t>环评阶段：樊101-23注水井依托3号站已建配水阀组供水，新建Φ68×10mm单井注水管线1.2km。</w:t>
      </w:r>
    </w:p>
    <w:p w14:paraId="1A52A929">
      <w:pPr>
        <w:pStyle w:val="4"/>
        <w:ind w:firstLine="480"/>
        <w:rPr>
          <w:color w:val="auto"/>
        </w:rPr>
      </w:pPr>
      <w:r>
        <w:rPr>
          <w:rFonts w:hint="eastAsia"/>
          <w:color w:val="auto"/>
        </w:rPr>
        <w:t>实际建设阶段：新建3号配至樊101-23单井注水管线φ68×12mm 20无缝钢管 L=1000m；管线跨越沟渠、穿越道路处设Φ159×5 20钢保护套管。</w:t>
      </w:r>
    </w:p>
    <w:p w14:paraId="59EA89C2">
      <w:pPr>
        <w:pStyle w:val="4"/>
        <w:ind w:firstLine="480"/>
        <w:rPr>
          <w:color w:val="auto"/>
        </w:rPr>
      </w:pPr>
      <w:r>
        <w:rPr>
          <w:rFonts w:hint="eastAsia"/>
          <w:color w:val="auto"/>
        </w:rPr>
        <w:t>对比情况：路由走向一致，管线长度减少200m（环评阶段工程量考虑了富余量）,管线规格调整。</w:t>
      </w:r>
    </w:p>
    <w:p w14:paraId="28F99713">
      <w:pPr>
        <w:pStyle w:val="4"/>
        <w:ind w:firstLine="480"/>
        <w:rPr>
          <w:color w:val="auto"/>
        </w:rPr>
      </w:pPr>
      <w:r>
        <w:rPr>
          <w:color w:val="auto"/>
        </w:rPr>
        <w:drawing>
          <wp:inline distT="0" distB="0" distL="0" distR="0">
            <wp:extent cx="4848225" cy="2800350"/>
            <wp:effectExtent l="0" t="0" r="9525" b="0"/>
            <wp:docPr id="459578571" name="图片 45957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1" name="图片 459578571"/>
                    <pic:cNvPicPr>
                      <a:picLocks noChangeAspect="1"/>
                    </pic:cNvPicPr>
                  </pic:nvPicPr>
                  <pic:blipFill>
                    <a:blip r:embed="rId51"/>
                    <a:stretch>
                      <a:fillRect/>
                    </a:stretch>
                  </pic:blipFill>
                  <pic:spPr>
                    <a:xfrm>
                      <a:off x="0" y="0"/>
                      <a:ext cx="4848225" cy="2800350"/>
                    </a:xfrm>
                    <a:prstGeom prst="rect">
                      <a:avLst/>
                    </a:prstGeom>
                  </pic:spPr>
                </pic:pic>
              </a:graphicData>
            </a:graphic>
          </wp:inline>
        </w:drawing>
      </w:r>
    </w:p>
    <w:p w14:paraId="4C49C356">
      <w:pPr>
        <w:pStyle w:val="15"/>
        <w:spacing w:before="120"/>
        <w:rPr>
          <w:color w:val="auto"/>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9</w:t>
      </w:r>
      <w:r>
        <w:rPr>
          <w:color w:val="auto"/>
        </w:rPr>
        <w:fldChar w:fldCharType="end"/>
      </w:r>
      <w:r>
        <w:rPr>
          <w:rFonts w:hint="eastAsia"/>
          <w:color w:val="auto"/>
        </w:rPr>
        <w:t xml:space="preserve"> 3号配至樊101-23单井注水管线路由走向图</w:t>
      </w:r>
    </w:p>
    <w:p w14:paraId="607F2988">
      <w:pPr>
        <w:pStyle w:val="4"/>
        <w:ind w:firstLine="480"/>
        <w:rPr>
          <w:color w:val="auto"/>
        </w:rPr>
      </w:pPr>
      <w:r>
        <w:rPr>
          <w:rFonts w:hint="eastAsia"/>
          <w:color w:val="auto"/>
        </w:rPr>
        <w:t>（2）樊121块</w:t>
      </w:r>
    </w:p>
    <w:p w14:paraId="3B751EE5">
      <w:pPr>
        <w:pStyle w:val="4"/>
        <w:ind w:firstLine="480"/>
        <w:rPr>
          <w:color w:val="auto"/>
        </w:rPr>
      </w:pPr>
      <w:r>
        <w:rPr>
          <w:rFonts w:hint="eastAsia"/>
          <w:color w:val="auto"/>
        </w:rPr>
        <w:t>环评阶段：本项目樊121-斜88注水井依托已建樊121-斜47配水阀组供水，新建Φ68×10mm单井注水管线1.26km。</w:t>
      </w:r>
    </w:p>
    <w:p w14:paraId="6CFB9F7F">
      <w:pPr>
        <w:pStyle w:val="4"/>
        <w:ind w:firstLine="480"/>
        <w:rPr>
          <w:color w:val="auto"/>
        </w:rPr>
      </w:pPr>
      <w:r>
        <w:rPr>
          <w:rFonts w:hint="eastAsia"/>
          <w:color w:val="auto"/>
        </w:rPr>
        <w:t>实际建设阶段：新建樊121-斜76至樊121-斜88单井注水管线φ68×12 20无缝钢管 L=600m；管线跨越沟渠、穿越道路及定向钻处设Φ159×5 20钢保护套管。</w:t>
      </w:r>
    </w:p>
    <w:p w14:paraId="148960FC">
      <w:pPr>
        <w:pStyle w:val="4"/>
        <w:ind w:firstLine="480"/>
        <w:jc w:val="center"/>
        <w:rPr>
          <w:color w:val="auto"/>
        </w:rPr>
      </w:pPr>
      <w:r>
        <w:rPr>
          <w:color w:val="auto"/>
        </w:rPr>
        <w:drawing>
          <wp:inline distT="0" distB="0" distL="0" distR="0">
            <wp:extent cx="3933825" cy="3855085"/>
            <wp:effectExtent l="0" t="0" r="0" b="0"/>
            <wp:docPr id="459578572" name="图片 45957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2" name="图片 459578572"/>
                    <pic:cNvPicPr>
                      <a:picLocks noChangeAspect="1"/>
                    </pic:cNvPicPr>
                  </pic:nvPicPr>
                  <pic:blipFill>
                    <a:blip r:embed="rId52"/>
                    <a:stretch>
                      <a:fillRect/>
                    </a:stretch>
                  </pic:blipFill>
                  <pic:spPr>
                    <a:xfrm>
                      <a:off x="0" y="0"/>
                      <a:ext cx="3937814" cy="3859406"/>
                    </a:xfrm>
                    <a:prstGeom prst="rect">
                      <a:avLst/>
                    </a:prstGeom>
                  </pic:spPr>
                </pic:pic>
              </a:graphicData>
            </a:graphic>
          </wp:inline>
        </w:drawing>
      </w:r>
    </w:p>
    <w:p w14:paraId="50BCF7BD">
      <w:pPr>
        <w:pStyle w:val="15"/>
        <w:spacing w:before="120"/>
        <w:rPr>
          <w:color w:val="auto"/>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10</w:t>
      </w:r>
      <w:r>
        <w:rPr>
          <w:color w:val="auto"/>
        </w:rPr>
        <w:fldChar w:fldCharType="end"/>
      </w:r>
      <w:r>
        <w:rPr>
          <w:rFonts w:hint="eastAsia"/>
          <w:color w:val="auto"/>
        </w:rPr>
        <w:t xml:space="preserve"> 樊 121-斜 76 配至樊 121-斜 88 单井注水管线路由走向示意图</w:t>
      </w:r>
    </w:p>
    <w:p w14:paraId="18EB6B3A">
      <w:pPr>
        <w:pStyle w:val="4"/>
        <w:ind w:firstLine="480"/>
        <w:rPr>
          <w:color w:val="auto"/>
        </w:rPr>
      </w:pPr>
      <w:r>
        <w:rPr>
          <w:rFonts w:hint="eastAsia"/>
          <w:color w:val="auto"/>
        </w:rPr>
        <w:t>对比情况：线路走向一致，管线长度减少660m</w:t>
      </w:r>
      <w:r>
        <w:rPr>
          <w:color w:val="auto"/>
        </w:rPr>
        <w:t>,</w:t>
      </w:r>
      <w:r>
        <w:rPr>
          <w:rFonts w:hint="eastAsia"/>
          <w:color w:val="auto"/>
        </w:rPr>
        <w:t>原因为环评阶段为预估值。</w:t>
      </w:r>
    </w:p>
    <w:p w14:paraId="24675E31">
      <w:pPr>
        <w:pStyle w:val="4"/>
        <w:ind w:firstLine="480"/>
        <w:rPr>
          <w:color w:val="auto"/>
        </w:rPr>
      </w:pPr>
      <w:r>
        <w:rPr>
          <w:rFonts w:hint="eastAsia"/>
          <w:color w:val="auto"/>
        </w:rPr>
        <w:t>（3）高21块</w:t>
      </w:r>
    </w:p>
    <w:p w14:paraId="34CA5D19">
      <w:pPr>
        <w:pStyle w:val="4"/>
        <w:ind w:firstLine="480"/>
        <w:rPr>
          <w:color w:val="auto"/>
        </w:rPr>
      </w:pPr>
      <w:r>
        <w:rPr>
          <w:rFonts w:hint="eastAsia"/>
          <w:color w:val="auto"/>
        </w:rPr>
        <w:t>环评阶段：本项目</w:t>
      </w:r>
      <w:bookmarkStart w:id="232" w:name="OLE_LINK38"/>
      <w:r>
        <w:rPr>
          <w:rFonts w:hint="eastAsia"/>
          <w:color w:val="auto"/>
        </w:rPr>
        <w:t>高21-23注水井</w:t>
      </w:r>
      <w:bookmarkEnd w:id="232"/>
      <w:r>
        <w:rPr>
          <w:rFonts w:hint="eastAsia"/>
          <w:color w:val="auto"/>
        </w:rPr>
        <w:t>依托已建高21配水阀组供水，新建Φ68×10mm单井注水管线0.8km；同时将樊107注水站处理后的采出水低压输至高21区块压驱注水，新建樊26-38至高21注水系统压驱供水管网DN75 2.71km。</w:t>
      </w:r>
    </w:p>
    <w:p w14:paraId="7A282AB6">
      <w:pPr>
        <w:pStyle w:val="4"/>
        <w:ind w:firstLine="480"/>
        <w:rPr>
          <w:color w:val="auto"/>
        </w:rPr>
      </w:pPr>
      <w:r>
        <w:rPr>
          <w:rFonts w:hint="eastAsia"/>
          <w:color w:val="auto"/>
        </w:rPr>
        <w:t>实际建设阶段：新建樊26-38井场至高21注水站输水管线超高分子聚乙烯复合管DN75 1.6MPa L=1740m。</w:t>
      </w:r>
    </w:p>
    <w:p w14:paraId="16EB6DCA">
      <w:pPr>
        <w:pStyle w:val="4"/>
        <w:ind w:firstLine="480"/>
        <w:rPr>
          <w:color w:val="auto"/>
        </w:rPr>
      </w:pPr>
      <w:r>
        <w:rPr>
          <w:color w:val="auto"/>
        </w:rPr>
        <w:drawing>
          <wp:inline distT="0" distB="0" distL="0" distR="0">
            <wp:extent cx="4640580" cy="2996565"/>
            <wp:effectExtent l="0" t="0" r="7620" b="0"/>
            <wp:docPr id="459578574" name="图片 45957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4" name="图片 459578574"/>
                    <pic:cNvPicPr>
                      <a:picLocks noChangeAspect="1"/>
                    </pic:cNvPicPr>
                  </pic:nvPicPr>
                  <pic:blipFill>
                    <a:blip r:embed="rId53"/>
                    <a:stretch>
                      <a:fillRect/>
                    </a:stretch>
                  </pic:blipFill>
                  <pic:spPr>
                    <a:xfrm>
                      <a:off x="0" y="0"/>
                      <a:ext cx="4654924" cy="3006132"/>
                    </a:xfrm>
                    <a:prstGeom prst="rect">
                      <a:avLst/>
                    </a:prstGeom>
                  </pic:spPr>
                </pic:pic>
              </a:graphicData>
            </a:graphic>
          </wp:inline>
        </w:drawing>
      </w:r>
    </w:p>
    <w:p w14:paraId="7CC95C1A">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9</w:t>
      </w:r>
      <w:r>
        <w:rPr>
          <w:color w:val="auto"/>
        </w:rPr>
        <w:fldChar w:fldCharType="end"/>
      </w:r>
      <w:r>
        <w:rPr>
          <w:rFonts w:hint="eastAsia"/>
          <w:color w:val="auto"/>
        </w:rPr>
        <w:t xml:space="preserve"> 樊 26-38 井场至高 21 注水站输水管线路由走向示意图</w:t>
      </w:r>
    </w:p>
    <w:p w14:paraId="5DDF830F">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对比情况：取消高21配水阀组至高21-23注水井-Φ68×10mm单井注水管线0.8km；樊26-38井场至高21注水站输水管线长度减少0.97km。</w:t>
      </w:r>
    </w:p>
    <w:p w14:paraId="15A375FD">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（4）樊18块</w:t>
      </w:r>
    </w:p>
    <w:p w14:paraId="17490518">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环评阶段：本项目樊18-32注水井依托已建樊18-2配水阀组供水，新建Φ68×10mm单井注水管线0.74km。</w:t>
      </w:r>
    </w:p>
    <w:p w14:paraId="5DAD8E97">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实际建设阶段：扩建樊18-2配水阀组1处，新建樊18-2配至樊18-32单井注水管线φ68×12mm 20#无缝钢管L=780m；管线跨越沟渠、穿越道路及定向钻处设Φ159×5、Φ114×4 20钢保护套管。</w:t>
      </w:r>
    </w:p>
    <w:p w14:paraId="60BC836E">
      <w:pPr>
        <w:adjustRightInd w:val="0"/>
        <w:snapToGrid w:val="0"/>
        <w:spacing w:line="331" w:lineRule="auto"/>
        <w:rPr>
          <w:rFonts w:ascii="宋体" w:hAnsi="宋体"/>
          <w:color w:val="auto"/>
          <w:sz w:val="24"/>
          <w:szCs w:val="24"/>
        </w:rPr>
      </w:pPr>
      <w:r>
        <w:rPr>
          <w:color w:val="auto"/>
        </w:rPr>
        <w:drawing>
          <wp:inline distT="0" distB="0" distL="0" distR="0">
            <wp:extent cx="5267325" cy="3400425"/>
            <wp:effectExtent l="0" t="0" r="9525" b="9525"/>
            <wp:docPr id="459578580" name="图片 459578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0" name="图片 459578580"/>
                    <pic:cNvPicPr>
                      <a:picLocks noChangeAspect="1"/>
                    </pic:cNvPicPr>
                  </pic:nvPicPr>
                  <pic:blipFill>
                    <a:blip r:embed="rId54"/>
                    <a:stretch>
                      <a:fillRect/>
                    </a:stretch>
                  </pic:blipFill>
                  <pic:spPr>
                    <a:xfrm>
                      <a:off x="0" y="0"/>
                      <a:ext cx="5267325" cy="3400425"/>
                    </a:xfrm>
                    <a:prstGeom prst="rect">
                      <a:avLst/>
                    </a:prstGeom>
                  </pic:spPr>
                </pic:pic>
              </a:graphicData>
            </a:graphic>
          </wp:inline>
        </w:drawing>
      </w:r>
    </w:p>
    <w:p w14:paraId="487071A7">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10</w:t>
      </w:r>
      <w:r>
        <w:rPr>
          <w:color w:val="auto"/>
        </w:rPr>
        <w:fldChar w:fldCharType="end"/>
      </w:r>
      <w:r>
        <w:rPr>
          <w:rFonts w:hint="eastAsia"/>
          <w:color w:val="auto"/>
        </w:rPr>
        <w:t xml:space="preserve"> 樊 18-2 配向西至樊 18-32 单井注水管线路由走向示意图</w:t>
      </w:r>
    </w:p>
    <w:p w14:paraId="2C25DF67">
      <w:pPr>
        <w:pStyle w:val="4"/>
        <w:ind w:firstLine="480"/>
        <w:rPr>
          <w:color w:val="auto"/>
        </w:rPr>
      </w:pPr>
      <w:r>
        <w:rPr>
          <w:color w:val="auto"/>
        </w:rPr>
        <w:t>对比情况：路由走向不变，</w:t>
      </w:r>
      <w:r>
        <w:rPr>
          <w:rFonts w:hint="eastAsia"/>
          <w:color w:val="auto"/>
        </w:rPr>
        <w:t>管线长度增加40m，管线规格调整。</w:t>
      </w:r>
    </w:p>
    <w:p w14:paraId="6C43FC38">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（5）樊26块</w:t>
      </w:r>
    </w:p>
    <w:p w14:paraId="7D6193DD">
      <w:pPr>
        <w:pStyle w:val="4"/>
        <w:ind w:firstLine="480"/>
        <w:rPr>
          <w:color w:val="auto"/>
        </w:rPr>
      </w:pPr>
      <w:r>
        <w:rPr>
          <w:rFonts w:hint="eastAsia"/>
          <w:color w:val="auto"/>
        </w:rPr>
        <w:t>环评阶段：本项目樊26-28注水井依托已建樊18-2配水阀组供水，新建Φ68×10mm单井注水管线1.56km。</w:t>
      </w:r>
    </w:p>
    <w:p w14:paraId="1414CA39">
      <w:pPr>
        <w:pStyle w:val="4"/>
        <w:ind w:firstLine="480"/>
        <w:rPr>
          <w:color w:val="auto"/>
        </w:rPr>
      </w:pPr>
      <w:r>
        <w:rPr>
          <w:rFonts w:hint="eastAsia"/>
          <w:color w:val="auto"/>
        </w:rPr>
        <w:t>实际建设阶段：新建樊26-28井场三井式橇装配水阀组1座，新建2号配至樊26-28单井注水管线φ68×12 20无缝钢管 L=950m；管线跨越沟渠、穿越道路及定向钻处设Φ159×5 20钢保护套管。</w:t>
      </w:r>
    </w:p>
    <w:p w14:paraId="00B05445">
      <w:pPr>
        <w:pStyle w:val="4"/>
        <w:ind w:firstLine="480"/>
        <w:rPr>
          <w:color w:val="auto"/>
        </w:rPr>
      </w:pPr>
      <w:r>
        <w:rPr>
          <w:rFonts w:hint="eastAsia"/>
          <w:color w:val="auto"/>
        </w:rPr>
        <w:t>新建樊26-28配至樊26-15单井注水管线φ68×12 20无缝钢管 L=1550m；管线跨越沟渠、穿越道路处设Φ159×5 20钢保护套管。</w:t>
      </w:r>
    </w:p>
    <w:p w14:paraId="02106112">
      <w:pPr>
        <w:pStyle w:val="4"/>
        <w:ind w:firstLine="480"/>
        <w:rPr>
          <w:color w:val="auto"/>
        </w:rPr>
      </w:pPr>
      <w:r>
        <w:rPr>
          <w:rFonts w:hint="eastAsia"/>
          <w:color w:val="auto"/>
        </w:rPr>
        <w:t>对比情况：新增樊26-28配至樊26-15单井注水管线φ68×12 20无缝钢管 L=1550m；樊26-28井场新增三井式橇装配水阀组1座；2号配至樊26-28单井注水管线长度减少0.61km。</w:t>
      </w:r>
    </w:p>
    <w:p w14:paraId="39EB0026">
      <w:pPr>
        <w:pStyle w:val="4"/>
        <w:ind w:firstLine="480"/>
        <w:jc w:val="center"/>
        <w:rPr>
          <w:color w:val="auto"/>
        </w:rPr>
      </w:pPr>
      <w:r>
        <w:rPr>
          <w:color w:val="auto"/>
        </w:rPr>
        <w:drawing>
          <wp:inline distT="0" distB="0" distL="0" distR="0">
            <wp:extent cx="4829175" cy="3343275"/>
            <wp:effectExtent l="0" t="0" r="9525" b="9525"/>
            <wp:docPr id="459578581" name="图片 45957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1" name="图片 459578581"/>
                    <pic:cNvPicPr>
                      <a:picLocks noChangeAspect="1"/>
                    </pic:cNvPicPr>
                  </pic:nvPicPr>
                  <pic:blipFill>
                    <a:blip r:embed="rId55"/>
                    <a:stretch>
                      <a:fillRect/>
                    </a:stretch>
                  </pic:blipFill>
                  <pic:spPr>
                    <a:xfrm>
                      <a:off x="0" y="0"/>
                      <a:ext cx="4829175" cy="3343275"/>
                    </a:xfrm>
                    <a:prstGeom prst="rect">
                      <a:avLst/>
                    </a:prstGeom>
                  </pic:spPr>
                </pic:pic>
              </a:graphicData>
            </a:graphic>
          </wp:inline>
        </w:drawing>
      </w:r>
    </w:p>
    <w:p w14:paraId="761B79B3">
      <w:pPr>
        <w:pStyle w:val="15"/>
        <w:spacing w:before="120"/>
        <w:rPr>
          <w:color w:val="auto"/>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11</w:t>
      </w:r>
      <w:r>
        <w:rPr>
          <w:color w:val="auto"/>
        </w:rPr>
        <w:fldChar w:fldCharType="end"/>
      </w:r>
      <w:r>
        <w:rPr>
          <w:rFonts w:hint="eastAsia"/>
          <w:color w:val="auto"/>
        </w:rPr>
        <w:t xml:space="preserve">  樊26区块注水管线路由走向示意图</w:t>
      </w:r>
    </w:p>
    <w:p w14:paraId="1FAE021B">
      <w:pPr>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（6）樊11块</w:t>
      </w:r>
    </w:p>
    <w:p w14:paraId="7B491DC5">
      <w:pPr>
        <w:pStyle w:val="4"/>
        <w:ind w:firstLine="480"/>
        <w:rPr>
          <w:color w:val="auto"/>
        </w:rPr>
      </w:pPr>
      <w:r>
        <w:rPr>
          <w:rFonts w:hint="eastAsia"/>
          <w:color w:val="auto"/>
        </w:rPr>
        <w:t>环评阶段：本项目樊11-2、樊11-斜107、樊18-斜6注水井依托樊11已建注水系统，在樊18-斜6、樊11-2井场新建三井式配水阀组2座，新建Φ68×10mm单井注水管线2.1km。</w:t>
      </w:r>
    </w:p>
    <w:p w14:paraId="6647A52D">
      <w:pPr>
        <w:pStyle w:val="4"/>
        <w:ind w:firstLine="480"/>
        <w:rPr>
          <w:color w:val="auto"/>
        </w:rPr>
      </w:pPr>
      <w:r>
        <w:rPr>
          <w:rFonts w:hint="eastAsia"/>
          <w:color w:val="auto"/>
        </w:rPr>
        <w:t>同时将樊11注水站改为自来水作为注水水源，新建DN40低压供水管线2.34km。</w:t>
      </w:r>
    </w:p>
    <w:p w14:paraId="4881FC64">
      <w:pPr>
        <w:pStyle w:val="4"/>
        <w:ind w:firstLine="480"/>
        <w:rPr>
          <w:color w:val="auto"/>
        </w:rPr>
      </w:pPr>
      <w:r>
        <w:rPr>
          <w:rFonts w:hint="eastAsia"/>
          <w:color w:val="auto"/>
        </w:rPr>
        <w:t>实际建设阶段：新建樊11-2配至樊11-斜107单井注水管线φ68×12 20无缝钢管 L=400m；管线跨越沟渠、穿越道路处设Φ159×5 20钢保护套管；新建自来水取水点至樊11注水站输水管线DE90×8.2 SDR11 1.6MPa PE100 L=1150m。其中管线穿越广青路段采用水平定向钻方式敷设，并设套管保护。</w:t>
      </w:r>
    </w:p>
    <w:p w14:paraId="3CF7A564">
      <w:pPr>
        <w:pStyle w:val="4"/>
        <w:ind w:firstLine="480"/>
        <w:rPr>
          <w:color w:val="auto"/>
        </w:rPr>
      </w:pPr>
      <w:r>
        <w:rPr>
          <w:rFonts w:hint="eastAsia"/>
          <w:color w:val="auto"/>
        </w:rPr>
        <w:t>对比情况：樊11-2配至樊18-斜6注水井Φ68×10mm单井注水管线1.9km取消建设；樊18-斜6注水井三井式配水阀组取消建设；自来水取水点至樊11注水站输水管线长度减少950m。</w:t>
      </w:r>
    </w:p>
    <w:p w14:paraId="1164F3D9">
      <w:pPr>
        <w:pStyle w:val="4"/>
        <w:ind w:firstLine="0" w:firstLineChars="0"/>
        <w:rPr>
          <w:color w:val="auto"/>
        </w:rPr>
      </w:pPr>
      <w:r>
        <w:rPr>
          <w:color w:val="auto"/>
        </w:rPr>
        <w:drawing>
          <wp:inline distT="0" distB="0" distL="0" distR="0">
            <wp:extent cx="5124450" cy="3116580"/>
            <wp:effectExtent l="0" t="0" r="0" b="7620"/>
            <wp:docPr id="633530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30819" name="图片 1"/>
                    <pic:cNvPicPr>
                      <a:picLocks noChangeAspect="1"/>
                    </pic:cNvPicPr>
                  </pic:nvPicPr>
                  <pic:blipFill>
                    <a:blip r:embed="rId56"/>
                    <a:stretch>
                      <a:fillRect/>
                    </a:stretch>
                  </pic:blipFill>
                  <pic:spPr>
                    <a:xfrm>
                      <a:off x="0" y="0"/>
                      <a:ext cx="5139288" cy="3125958"/>
                    </a:xfrm>
                    <a:prstGeom prst="rect">
                      <a:avLst/>
                    </a:prstGeom>
                  </pic:spPr>
                </pic:pic>
              </a:graphicData>
            </a:graphic>
          </wp:inline>
        </w:drawing>
      </w:r>
    </w:p>
    <w:p w14:paraId="378432F4">
      <w:pPr>
        <w:pStyle w:val="15"/>
        <w:spacing w:before="120"/>
        <w:rPr>
          <w:color w:val="auto"/>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12</w:t>
      </w:r>
      <w:r>
        <w:rPr>
          <w:color w:val="auto"/>
        </w:rPr>
        <w:fldChar w:fldCharType="end"/>
      </w:r>
      <w:r>
        <w:rPr>
          <w:rFonts w:hint="eastAsia"/>
          <w:color w:val="auto"/>
        </w:rPr>
        <w:t xml:space="preserve"> 樊11-2配至樊11-斜107单井注水管线路由走向示意图</w:t>
      </w:r>
    </w:p>
    <w:p w14:paraId="756912E0">
      <w:pPr>
        <w:rPr>
          <w:color w:val="auto"/>
        </w:rPr>
      </w:pPr>
      <w:r>
        <w:rPr>
          <w:color w:val="auto"/>
        </w:rPr>
        <mc:AlternateContent>
          <mc:Choice Requires="wps">
            <w:drawing>
              <wp:anchor distT="0" distB="0" distL="114300" distR="114300" simplePos="0" relativeHeight="251672576" behindDoc="0" locked="0" layoutInCell="1" allowOverlap="1">
                <wp:simplePos x="0" y="0"/>
                <wp:positionH relativeFrom="column">
                  <wp:posOffset>4166870</wp:posOffset>
                </wp:positionH>
                <wp:positionV relativeFrom="paragraph">
                  <wp:posOffset>3843020</wp:posOffset>
                </wp:positionV>
                <wp:extent cx="259080" cy="0"/>
                <wp:effectExtent l="0" t="19050" r="27305" b="19050"/>
                <wp:wrapNone/>
                <wp:docPr id="459578583" name="直接连接符 459578583"/>
                <wp:cNvGraphicFramePr/>
                <a:graphic xmlns:a="http://schemas.openxmlformats.org/drawingml/2006/main">
                  <a:graphicData uri="http://schemas.microsoft.com/office/word/2010/wordprocessingShape">
                    <wps:wsp>
                      <wps:cNvCnPr/>
                      <wps:spPr>
                        <a:xfrm>
                          <a:off x="0" y="0"/>
                          <a:ext cx="258793" cy="0"/>
                        </a:xfrm>
                        <a:prstGeom prst="line">
                          <a:avLst/>
                        </a:prstGeom>
                        <a:ln w="34925">
                          <a:solidFill>
                            <a:srgbClr val="F43CC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28.1pt;margin-top:302.6pt;height:0pt;width:20.4pt;z-index:251672576;mso-width-relative:page;mso-height-relative:page;" filled="f" stroked="t" coordsize="21600,21600" o:gfxdata="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rJIpctUAAAALAQAADwAAAAAAAAABACAAAAAiAAAAZHJzL2Rvd25yZXYueG1sUEsBAhQAFAAA&#10;AAgAh07iQFwy4FnyAQAAwQMAAA4AAAAAAAAAAQAgAAAAJAEAAGRycy9lMm9Eb2MueG1sUEsFBgAA&#10;AAAGAAYAWQEAAIgFAAAAAA==&#10;">
                <v:fill on="f" focussize="0,0"/>
                <v:stroke weight="2.75pt" color="#F43CC4 [3204]" miterlimit="8" joinstyle="miter"/>
                <v:imagedata o:title=""/>
                <o:lock v:ext="edit" aspectratio="f"/>
              </v:line>
            </w:pict>
          </mc:Fallback>
        </mc:AlternateContent>
      </w:r>
      <w:r>
        <w:rPr>
          <w:color w:val="auto"/>
        </w:rPr>
        <mc:AlternateContent>
          <mc:Choice Requires="wps">
            <w:drawing>
              <wp:anchor distT="0" distB="0" distL="114300" distR="114300" simplePos="0" relativeHeight="251671552" behindDoc="0" locked="0" layoutInCell="1" allowOverlap="1">
                <wp:simplePos x="0" y="0"/>
                <wp:positionH relativeFrom="column">
                  <wp:posOffset>4149725</wp:posOffset>
                </wp:positionH>
                <wp:positionV relativeFrom="paragraph">
                  <wp:posOffset>3782695</wp:posOffset>
                </wp:positionV>
                <wp:extent cx="301625" cy="155575"/>
                <wp:effectExtent l="0" t="0" r="3175" b="0"/>
                <wp:wrapNone/>
                <wp:docPr id="459578582" name="矩形 459578582"/>
                <wp:cNvGraphicFramePr/>
                <a:graphic xmlns:a="http://schemas.openxmlformats.org/drawingml/2006/main">
                  <a:graphicData uri="http://schemas.microsoft.com/office/word/2010/wordprocessingShape">
                    <wps:wsp>
                      <wps:cNvSpPr/>
                      <wps:spPr>
                        <a:xfrm>
                          <a:off x="0" y="0"/>
                          <a:ext cx="301925" cy="1552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6.75pt;margin-top:297.85pt;height:12.25pt;width:23.75pt;z-index:251671552;v-text-anchor:middle;mso-width-relative:page;mso-height-relative:page;" fillcolor="#FFFFFF [3212]" filled="t" stroked="f" coordsize="21600,21600" o:gfxdata="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BucK/2gAAAAsBAAAPAAAAAAAAAAEAIAAAACIAAABkcnMv&#10;ZG93bnJldi54bWxQSwECFAAUAAAACACHTuJAJwbyNnMCAADaBAAADgAAAAAAAAABACAAAAApAQAA&#10;ZHJzL2Uyb0RvYy54bWxQSwUGAAAAAAYABgBZAQAADgYAAAAA&#10;">
                <v:fill on="t" focussize="0,0"/>
                <v:stroke on="f" weight="1pt" miterlimit="8" joinstyle="miter"/>
                <v:imagedata o:title=""/>
                <o:lock v:ext="edit" aspectratio="f"/>
              </v:rect>
            </w:pict>
          </mc:Fallback>
        </mc:AlternateContent>
      </w:r>
      <w:r>
        <w:rPr>
          <w:color w:val="auto"/>
        </w:rPr>
        <w:drawing>
          <wp:inline distT="0" distB="0" distL="0" distR="0">
            <wp:extent cx="5229225" cy="4324985"/>
            <wp:effectExtent l="0" t="0" r="0" b="0"/>
            <wp:docPr id="2079456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56318" name="图片 1"/>
                    <pic:cNvPicPr>
                      <a:picLocks noChangeAspect="1"/>
                    </pic:cNvPicPr>
                  </pic:nvPicPr>
                  <pic:blipFill>
                    <a:blip r:embed="rId57"/>
                    <a:stretch>
                      <a:fillRect/>
                    </a:stretch>
                  </pic:blipFill>
                  <pic:spPr>
                    <a:xfrm>
                      <a:off x="0" y="0"/>
                      <a:ext cx="5234289" cy="4329530"/>
                    </a:xfrm>
                    <a:prstGeom prst="rect">
                      <a:avLst/>
                    </a:prstGeom>
                  </pic:spPr>
                </pic:pic>
              </a:graphicData>
            </a:graphic>
          </wp:inline>
        </w:drawing>
      </w:r>
    </w:p>
    <w:p w14:paraId="329257E7">
      <w:pPr>
        <w:pStyle w:val="15"/>
        <w:spacing w:before="120"/>
        <w:rPr>
          <w:color w:val="auto"/>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13</w:t>
      </w:r>
      <w:r>
        <w:rPr>
          <w:color w:val="auto"/>
        </w:rPr>
        <w:fldChar w:fldCharType="end"/>
      </w:r>
      <w:r>
        <w:rPr>
          <w:rFonts w:hint="eastAsia"/>
          <w:color w:val="auto"/>
        </w:rPr>
        <w:t xml:space="preserve"> 取水点至樊 11 注水站输水管线路由走向示意图</w:t>
      </w:r>
    </w:p>
    <w:p w14:paraId="38A83468">
      <w:pPr>
        <w:rPr>
          <w:color w:val="auto"/>
        </w:rPr>
      </w:pPr>
    </w:p>
    <w:p w14:paraId="201083B6">
      <w:pPr>
        <w:pStyle w:val="4"/>
        <w:ind w:firstLine="480"/>
        <w:rPr>
          <w:color w:val="auto"/>
        </w:rPr>
      </w:pPr>
      <w:r>
        <w:rPr>
          <w:rFonts w:hint="eastAsia"/>
          <w:color w:val="auto"/>
        </w:rPr>
        <w:t>主要工程量对比情况见</w:t>
      </w:r>
      <w:r>
        <w:rPr>
          <w:color w:val="auto"/>
        </w:rPr>
        <w:fldChar w:fldCharType="begin"/>
      </w:r>
      <w:r>
        <w:rPr>
          <w:color w:val="auto"/>
        </w:rPr>
        <w:instrText xml:space="preserve"> </w:instrText>
      </w:r>
      <w:r>
        <w:rPr>
          <w:rFonts w:hint="eastAsia"/>
          <w:color w:val="auto"/>
        </w:rPr>
        <w:instrText xml:space="preserve">REF _Ref225359466 \h</w:instrText>
      </w:r>
      <w:r>
        <w:rPr>
          <w:color w:val="auto"/>
        </w:rPr>
        <w:instrText xml:space="preserve">  \* MERGEFORMAT </w:instrText>
      </w:r>
      <w:r>
        <w:rPr>
          <w:color w:val="auto"/>
        </w:rPr>
        <w:fldChar w:fldCharType="separate"/>
      </w:r>
      <w:r>
        <w:rPr>
          <w:rFonts w:hint="eastAsia"/>
          <w:color w:val="auto"/>
        </w:rPr>
        <w:t xml:space="preserve">表 </w:t>
      </w:r>
      <w:r>
        <w:rPr>
          <w:color w:val="auto"/>
        </w:rPr>
        <w:t>3.2</w:t>
      </w:r>
      <w:r>
        <w:rPr>
          <w:color w:val="auto"/>
        </w:rPr>
        <w:noBreakHyphen/>
      </w:r>
      <w:r>
        <w:rPr>
          <w:color w:val="auto"/>
        </w:rPr>
        <w:t>11</w:t>
      </w:r>
      <w:r>
        <w:rPr>
          <w:color w:val="auto"/>
        </w:rPr>
        <w:fldChar w:fldCharType="end"/>
      </w:r>
      <w:r>
        <w:rPr>
          <w:rFonts w:hint="eastAsia"/>
          <w:color w:val="auto"/>
        </w:rPr>
        <w:t>。</w:t>
      </w:r>
    </w:p>
    <w:p w14:paraId="38517907">
      <w:pPr>
        <w:pStyle w:val="15"/>
        <w:spacing w:before="120"/>
        <w:rPr>
          <w:color w:val="auto"/>
        </w:rPr>
      </w:pPr>
      <w:bookmarkStart w:id="233" w:name="_Ref225359466"/>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11</w:t>
      </w:r>
      <w:r>
        <w:rPr>
          <w:color w:val="auto"/>
        </w:rPr>
        <w:fldChar w:fldCharType="end"/>
      </w:r>
      <w:bookmarkEnd w:id="233"/>
      <w:r>
        <w:rPr>
          <w:color w:val="auto"/>
        </w:rPr>
        <w:t xml:space="preserve"> </w:t>
      </w:r>
      <w:r>
        <w:rPr>
          <w:rFonts w:hint="eastAsia" w:hAnsi="宋体" w:cs="宋体"/>
          <w:color w:val="auto"/>
        </w:rPr>
        <w:t>高青管理区地面系统优化建设工程（注水部分）主要工程量</w:t>
      </w:r>
    </w:p>
    <w:tbl>
      <w:tblPr>
        <w:tblStyle w:val="4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7"/>
        <w:gridCol w:w="2263"/>
        <w:gridCol w:w="663"/>
        <w:gridCol w:w="741"/>
        <w:gridCol w:w="650"/>
        <w:gridCol w:w="846"/>
        <w:gridCol w:w="1319"/>
        <w:gridCol w:w="1581"/>
      </w:tblGrid>
      <w:tr w14:paraId="3DCB96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Merge w:val="restart"/>
            <w:vAlign w:val="center"/>
          </w:tcPr>
          <w:p w14:paraId="50DD1EE2">
            <w:pPr>
              <w:widowControl/>
              <w:jc w:val="center"/>
              <w:rPr>
                <w:rFonts w:ascii="宋体" w:hAnsi="宋体" w:cs="宋体"/>
                <w:color w:val="auto"/>
                <w:kern w:val="0"/>
              </w:rPr>
            </w:pPr>
            <w:r>
              <w:rPr>
                <w:rFonts w:hint="eastAsia" w:ascii="宋体" w:hAnsi="宋体" w:cs="宋体"/>
                <w:color w:val="auto"/>
                <w:kern w:val="0"/>
              </w:rPr>
              <w:t>序号</w:t>
            </w:r>
          </w:p>
        </w:tc>
        <w:tc>
          <w:tcPr>
            <w:tcW w:w="1361" w:type="pct"/>
            <w:vMerge w:val="restart"/>
            <w:vAlign w:val="center"/>
          </w:tcPr>
          <w:p w14:paraId="27D050DB">
            <w:pPr>
              <w:widowControl/>
              <w:jc w:val="center"/>
              <w:rPr>
                <w:rFonts w:ascii="宋体" w:hAnsi="宋体" w:cs="宋体"/>
                <w:color w:val="auto"/>
                <w:kern w:val="0"/>
              </w:rPr>
            </w:pPr>
            <w:r>
              <w:rPr>
                <w:rFonts w:hint="eastAsia" w:ascii="宋体" w:hAnsi="宋体" w:cs="宋体"/>
                <w:color w:val="auto"/>
                <w:kern w:val="0"/>
              </w:rPr>
              <w:t>名称、规格及型号</w:t>
            </w:r>
          </w:p>
        </w:tc>
        <w:tc>
          <w:tcPr>
            <w:tcW w:w="894" w:type="pct"/>
            <w:gridSpan w:val="2"/>
            <w:noWrap/>
            <w:vAlign w:val="center"/>
          </w:tcPr>
          <w:p w14:paraId="00FB030B">
            <w:pPr>
              <w:widowControl/>
              <w:jc w:val="center"/>
              <w:rPr>
                <w:rFonts w:ascii="宋体" w:hAnsi="宋体" w:cs="宋体"/>
                <w:color w:val="auto"/>
                <w:kern w:val="0"/>
                <w:szCs w:val="22"/>
              </w:rPr>
            </w:pPr>
            <w:r>
              <w:rPr>
                <w:rFonts w:hint="eastAsia" w:ascii="宋体" w:hAnsi="宋体" w:cs="宋体"/>
                <w:color w:val="auto"/>
                <w:kern w:val="0"/>
                <w:szCs w:val="22"/>
              </w:rPr>
              <w:t>环评阶段</w:t>
            </w:r>
          </w:p>
        </w:tc>
        <w:tc>
          <w:tcPr>
            <w:tcW w:w="867" w:type="pct"/>
            <w:gridSpan w:val="2"/>
            <w:noWrap/>
            <w:vAlign w:val="center"/>
          </w:tcPr>
          <w:p w14:paraId="2DDD4676">
            <w:pPr>
              <w:widowControl/>
              <w:jc w:val="center"/>
              <w:rPr>
                <w:rFonts w:ascii="宋体" w:hAnsi="宋体" w:cs="宋体"/>
                <w:color w:val="auto"/>
                <w:kern w:val="0"/>
                <w:szCs w:val="22"/>
              </w:rPr>
            </w:pPr>
            <w:r>
              <w:rPr>
                <w:rFonts w:hint="eastAsia" w:ascii="宋体" w:hAnsi="宋体" w:cs="宋体"/>
                <w:color w:val="auto"/>
                <w:kern w:val="0"/>
                <w:szCs w:val="22"/>
              </w:rPr>
              <w:t>实际建设阶段</w:t>
            </w:r>
          </w:p>
        </w:tc>
        <w:tc>
          <w:tcPr>
            <w:tcW w:w="756" w:type="pct"/>
            <w:vMerge w:val="restart"/>
            <w:noWrap/>
            <w:vAlign w:val="center"/>
          </w:tcPr>
          <w:p w14:paraId="7ACCCB49">
            <w:pPr>
              <w:widowControl/>
              <w:jc w:val="center"/>
              <w:rPr>
                <w:rFonts w:ascii="宋体" w:hAnsi="宋体" w:cs="宋体"/>
                <w:color w:val="auto"/>
                <w:kern w:val="0"/>
                <w:szCs w:val="22"/>
              </w:rPr>
            </w:pPr>
            <w:r>
              <w:rPr>
                <w:rFonts w:hint="eastAsia" w:ascii="宋体" w:hAnsi="宋体" w:cs="宋体"/>
                <w:color w:val="auto"/>
                <w:kern w:val="0"/>
                <w:szCs w:val="22"/>
              </w:rPr>
              <w:t>变化情况</w:t>
            </w:r>
          </w:p>
        </w:tc>
        <w:tc>
          <w:tcPr>
            <w:tcW w:w="680" w:type="pct"/>
            <w:vMerge w:val="restart"/>
            <w:vAlign w:val="center"/>
          </w:tcPr>
          <w:p w14:paraId="68E73FC9">
            <w:pPr>
              <w:widowControl/>
              <w:jc w:val="center"/>
              <w:rPr>
                <w:rFonts w:ascii="宋体" w:hAnsi="宋体" w:cs="宋体"/>
                <w:color w:val="auto"/>
                <w:kern w:val="0"/>
                <w:szCs w:val="22"/>
              </w:rPr>
            </w:pPr>
            <w:r>
              <w:rPr>
                <w:rFonts w:hint="eastAsia" w:ascii="宋体" w:hAnsi="宋体" w:cs="宋体"/>
                <w:color w:val="auto"/>
                <w:kern w:val="0"/>
                <w:szCs w:val="22"/>
              </w:rPr>
              <w:t>备注</w:t>
            </w:r>
          </w:p>
        </w:tc>
      </w:tr>
      <w:tr w14:paraId="11BC4B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Merge w:val="continue"/>
            <w:vAlign w:val="center"/>
          </w:tcPr>
          <w:p w14:paraId="042F3062">
            <w:pPr>
              <w:widowControl/>
              <w:jc w:val="center"/>
              <w:rPr>
                <w:rFonts w:ascii="宋体" w:hAnsi="宋体" w:cs="宋体"/>
                <w:color w:val="auto"/>
                <w:kern w:val="0"/>
              </w:rPr>
            </w:pPr>
          </w:p>
        </w:tc>
        <w:tc>
          <w:tcPr>
            <w:tcW w:w="1361" w:type="pct"/>
            <w:vMerge w:val="continue"/>
            <w:vAlign w:val="center"/>
          </w:tcPr>
          <w:p w14:paraId="79D125F0">
            <w:pPr>
              <w:widowControl/>
              <w:jc w:val="center"/>
              <w:rPr>
                <w:rFonts w:ascii="宋体" w:hAnsi="宋体" w:cs="宋体"/>
                <w:color w:val="auto"/>
                <w:kern w:val="0"/>
              </w:rPr>
            </w:pPr>
          </w:p>
        </w:tc>
        <w:tc>
          <w:tcPr>
            <w:tcW w:w="444" w:type="pct"/>
            <w:vAlign w:val="center"/>
          </w:tcPr>
          <w:p w14:paraId="79F8E264">
            <w:pPr>
              <w:widowControl/>
              <w:jc w:val="center"/>
              <w:rPr>
                <w:rFonts w:ascii="宋体" w:hAnsi="宋体" w:cs="宋体"/>
                <w:color w:val="auto"/>
                <w:kern w:val="0"/>
              </w:rPr>
            </w:pPr>
            <w:r>
              <w:rPr>
                <w:rFonts w:hint="eastAsia" w:ascii="宋体" w:hAnsi="宋体" w:cs="宋体"/>
                <w:color w:val="auto"/>
                <w:kern w:val="0"/>
              </w:rPr>
              <w:t>单位</w:t>
            </w:r>
          </w:p>
        </w:tc>
        <w:tc>
          <w:tcPr>
            <w:tcW w:w="451" w:type="pct"/>
            <w:vAlign w:val="center"/>
          </w:tcPr>
          <w:p w14:paraId="56587B96">
            <w:pPr>
              <w:widowControl/>
              <w:jc w:val="center"/>
              <w:rPr>
                <w:rFonts w:ascii="宋体" w:hAnsi="宋体" w:cs="宋体"/>
                <w:color w:val="auto"/>
                <w:kern w:val="0"/>
              </w:rPr>
            </w:pPr>
            <w:r>
              <w:rPr>
                <w:rFonts w:hint="eastAsia" w:ascii="宋体" w:hAnsi="宋体" w:cs="宋体"/>
                <w:color w:val="auto"/>
                <w:kern w:val="0"/>
              </w:rPr>
              <w:t>工程量</w:t>
            </w:r>
          </w:p>
        </w:tc>
        <w:tc>
          <w:tcPr>
            <w:tcW w:w="382" w:type="pct"/>
            <w:vAlign w:val="center"/>
          </w:tcPr>
          <w:p w14:paraId="748A0681">
            <w:pPr>
              <w:widowControl/>
              <w:jc w:val="center"/>
              <w:rPr>
                <w:rFonts w:ascii="宋体" w:hAnsi="宋体" w:cs="宋体"/>
                <w:color w:val="auto"/>
                <w:kern w:val="0"/>
              </w:rPr>
            </w:pPr>
            <w:r>
              <w:rPr>
                <w:rFonts w:hint="eastAsia" w:ascii="宋体" w:hAnsi="宋体" w:cs="宋体"/>
                <w:color w:val="auto"/>
                <w:kern w:val="0"/>
              </w:rPr>
              <w:t>单位</w:t>
            </w:r>
          </w:p>
        </w:tc>
        <w:tc>
          <w:tcPr>
            <w:tcW w:w="485" w:type="pct"/>
            <w:vAlign w:val="center"/>
          </w:tcPr>
          <w:p w14:paraId="2D8479B2">
            <w:pPr>
              <w:widowControl/>
              <w:jc w:val="center"/>
              <w:rPr>
                <w:rFonts w:ascii="宋体" w:hAnsi="宋体" w:cs="宋体"/>
                <w:color w:val="auto"/>
                <w:kern w:val="0"/>
              </w:rPr>
            </w:pPr>
            <w:r>
              <w:rPr>
                <w:rFonts w:hint="eastAsia" w:ascii="宋体" w:hAnsi="宋体" w:cs="宋体"/>
                <w:color w:val="auto"/>
                <w:kern w:val="0"/>
              </w:rPr>
              <w:t>工程量</w:t>
            </w:r>
          </w:p>
        </w:tc>
        <w:tc>
          <w:tcPr>
            <w:tcW w:w="756" w:type="pct"/>
            <w:vMerge w:val="continue"/>
            <w:vAlign w:val="center"/>
          </w:tcPr>
          <w:p w14:paraId="38E306F8">
            <w:pPr>
              <w:widowControl/>
              <w:jc w:val="center"/>
              <w:rPr>
                <w:rFonts w:ascii="宋体" w:hAnsi="宋体" w:cs="宋体"/>
                <w:color w:val="auto"/>
                <w:kern w:val="0"/>
                <w:szCs w:val="22"/>
              </w:rPr>
            </w:pPr>
          </w:p>
        </w:tc>
        <w:tc>
          <w:tcPr>
            <w:tcW w:w="680" w:type="pct"/>
            <w:vMerge w:val="continue"/>
            <w:vAlign w:val="center"/>
          </w:tcPr>
          <w:p w14:paraId="50959FD7">
            <w:pPr>
              <w:widowControl/>
              <w:jc w:val="center"/>
              <w:rPr>
                <w:rFonts w:ascii="宋体" w:hAnsi="宋体" w:cs="宋体"/>
                <w:color w:val="auto"/>
                <w:kern w:val="0"/>
                <w:szCs w:val="22"/>
              </w:rPr>
            </w:pPr>
          </w:p>
        </w:tc>
      </w:tr>
      <w:tr w14:paraId="36126B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Align w:val="center"/>
          </w:tcPr>
          <w:p w14:paraId="711EB50F">
            <w:pPr>
              <w:widowControl/>
              <w:jc w:val="center"/>
              <w:rPr>
                <w:rFonts w:ascii="宋体" w:hAnsi="宋体" w:cs="宋体"/>
                <w:color w:val="auto"/>
                <w:kern w:val="0"/>
              </w:rPr>
            </w:pPr>
            <w:r>
              <w:rPr>
                <w:rFonts w:hint="eastAsia" w:ascii="宋体" w:hAnsi="宋体" w:cs="宋体"/>
                <w:color w:val="auto"/>
                <w:kern w:val="0"/>
              </w:rPr>
              <w:t>1</w:t>
            </w:r>
          </w:p>
        </w:tc>
        <w:tc>
          <w:tcPr>
            <w:tcW w:w="1361" w:type="pct"/>
            <w:vAlign w:val="center"/>
          </w:tcPr>
          <w:p w14:paraId="621D7A40">
            <w:pPr>
              <w:widowControl/>
              <w:jc w:val="center"/>
              <w:rPr>
                <w:rFonts w:ascii="宋体" w:hAnsi="宋体" w:cs="宋体"/>
                <w:color w:val="auto"/>
                <w:kern w:val="0"/>
              </w:rPr>
            </w:pPr>
            <w:r>
              <w:rPr>
                <w:rFonts w:hint="eastAsia" w:ascii="宋体" w:hAnsi="宋体" w:cs="宋体"/>
                <w:color w:val="auto"/>
                <w:kern w:val="0"/>
              </w:rPr>
              <w:t>单井注水管线 Φ</w:t>
            </w:r>
            <w:r>
              <w:rPr>
                <w:rFonts w:ascii="宋体" w:hAnsi="宋体" w:cs="宋体"/>
                <w:color w:val="auto"/>
                <w:kern w:val="0"/>
              </w:rPr>
              <w:t>68×10mm  20无缝钢管</w:t>
            </w:r>
          </w:p>
        </w:tc>
        <w:tc>
          <w:tcPr>
            <w:tcW w:w="444" w:type="pct"/>
            <w:vAlign w:val="center"/>
          </w:tcPr>
          <w:p w14:paraId="435B98C6">
            <w:pPr>
              <w:widowControl/>
              <w:jc w:val="center"/>
              <w:rPr>
                <w:rFonts w:ascii="宋体" w:hAnsi="宋体" w:cs="宋体"/>
                <w:color w:val="auto"/>
                <w:kern w:val="0"/>
              </w:rPr>
            </w:pPr>
            <w:r>
              <w:rPr>
                <w:rFonts w:hint="eastAsia" w:ascii="宋体" w:hAnsi="宋体" w:cs="宋体"/>
                <w:color w:val="auto"/>
                <w:kern w:val="0"/>
              </w:rPr>
              <w:t>km</w:t>
            </w:r>
          </w:p>
        </w:tc>
        <w:tc>
          <w:tcPr>
            <w:tcW w:w="451" w:type="pct"/>
            <w:vAlign w:val="center"/>
          </w:tcPr>
          <w:p w14:paraId="77B2B6AA">
            <w:pPr>
              <w:widowControl/>
              <w:jc w:val="center"/>
              <w:rPr>
                <w:rFonts w:ascii="宋体" w:hAnsi="宋体" w:cs="宋体"/>
                <w:color w:val="auto"/>
                <w:kern w:val="0"/>
              </w:rPr>
            </w:pPr>
            <w:r>
              <w:rPr>
                <w:rFonts w:hint="eastAsia" w:ascii="宋体" w:hAnsi="宋体" w:cs="宋体"/>
                <w:color w:val="auto"/>
                <w:kern w:val="0"/>
              </w:rPr>
              <w:t>7.66</w:t>
            </w:r>
          </w:p>
        </w:tc>
        <w:tc>
          <w:tcPr>
            <w:tcW w:w="382" w:type="pct"/>
            <w:vAlign w:val="center"/>
          </w:tcPr>
          <w:p w14:paraId="3DC036C6">
            <w:pPr>
              <w:widowControl/>
              <w:jc w:val="center"/>
              <w:rPr>
                <w:rFonts w:ascii="宋体" w:hAnsi="宋体" w:cs="宋体"/>
                <w:color w:val="auto"/>
                <w:kern w:val="0"/>
              </w:rPr>
            </w:pPr>
            <w:r>
              <w:rPr>
                <w:rFonts w:hint="eastAsia" w:ascii="宋体" w:hAnsi="宋体" w:cs="宋体"/>
                <w:color w:val="auto"/>
                <w:kern w:val="0"/>
              </w:rPr>
              <w:t>km</w:t>
            </w:r>
          </w:p>
        </w:tc>
        <w:tc>
          <w:tcPr>
            <w:tcW w:w="485" w:type="pct"/>
            <w:vAlign w:val="center"/>
          </w:tcPr>
          <w:p w14:paraId="27336B23">
            <w:pPr>
              <w:widowControl/>
              <w:jc w:val="center"/>
              <w:rPr>
                <w:rFonts w:ascii="宋体" w:hAnsi="宋体" w:cs="宋体"/>
                <w:color w:val="auto"/>
                <w:kern w:val="0"/>
              </w:rPr>
            </w:pPr>
            <w:r>
              <w:rPr>
                <w:rFonts w:hint="eastAsia" w:ascii="宋体" w:hAnsi="宋体" w:cs="宋体"/>
                <w:color w:val="auto"/>
                <w:kern w:val="0"/>
              </w:rPr>
              <w:t>5.28</w:t>
            </w:r>
          </w:p>
        </w:tc>
        <w:tc>
          <w:tcPr>
            <w:tcW w:w="756" w:type="pct"/>
            <w:noWrap/>
            <w:vAlign w:val="center"/>
          </w:tcPr>
          <w:p w14:paraId="488CA231">
            <w:pPr>
              <w:widowControl/>
              <w:jc w:val="center"/>
              <w:rPr>
                <w:rFonts w:ascii="宋体" w:hAnsi="宋体" w:cs="宋体"/>
                <w:color w:val="auto"/>
                <w:kern w:val="0"/>
                <w:szCs w:val="22"/>
              </w:rPr>
            </w:pPr>
            <w:r>
              <w:rPr>
                <w:rFonts w:hint="eastAsia" w:ascii="宋体" w:hAnsi="宋体" w:cs="宋体"/>
                <w:color w:val="auto"/>
                <w:kern w:val="0"/>
                <w:szCs w:val="22"/>
              </w:rPr>
              <w:t>-2.38</w:t>
            </w:r>
          </w:p>
        </w:tc>
        <w:tc>
          <w:tcPr>
            <w:tcW w:w="680" w:type="pct"/>
            <w:vAlign w:val="center"/>
          </w:tcPr>
          <w:p w14:paraId="2F63DFCB">
            <w:pPr>
              <w:widowControl/>
              <w:jc w:val="center"/>
              <w:rPr>
                <w:rFonts w:ascii="宋体" w:hAnsi="宋体" w:cs="宋体"/>
                <w:color w:val="auto"/>
                <w:kern w:val="0"/>
                <w:szCs w:val="22"/>
              </w:rPr>
            </w:pPr>
          </w:p>
        </w:tc>
      </w:tr>
      <w:tr w14:paraId="7CDEA4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Align w:val="center"/>
          </w:tcPr>
          <w:p w14:paraId="2CE3BF08">
            <w:pPr>
              <w:widowControl/>
              <w:jc w:val="center"/>
              <w:rPr>
                <w:rFonts w:ascii="宋体" w:hAnsi="宋体" w:cs="宋体"/>
                <w:color w:val="auto"/>
                <w:kern w:val="0"/>
              </w:rPr>
            </w:pPr>
            <w:r>
              <w:rPr>
                <w:rFonts w:hint="eastAsia" w:ascii="宋体" w:hAnsi="宋体" w:cs="宋体"/>
                <w:color w:val="auto"/>
                <w:kern w:val="0"/>
              </w:rPr>
              <w:t>2</w:t>
            </w:r>
          </w:p>
        </w:tc>
        <w:tc>
          <w:tcPr>
            <w:tcW w:w="1361" w:type="pct"/>
            <w:vAlign w:val="center"/>
          </w:tcPr>
          <w:p w14:paraId="01D74861">
            <w:pPr>
              <w:widowControl/>
              <w:jc w:val="center"/>
              <w:rPr>
                <w:rFonts w:ascii="宋体" w:hAnsi="宋体" w:cs="宋体"/>
                <w:color w:val="auto"/>
                <w:kern w:val="0"/>
              </w:rPr>
            </w:pPr>
            <w:r>
              <w:rPr>
                <w:rFonts w:hint="eastAsia" w:ascii="宋体" w:hAnsi="宋体" w:cs="宋体"/>
                <w:color w:val="auto"/>
                <w:kern w:val="0"/>
              </w:rPr>
              <w:t>350</w:t>
            </w:r>
            <w:r>
              <w:rPr>
                <w:rFonts w:ascii="宋体" w:hAnsi="宋体" w:cs="宋体"/>
                <w:color w:val="auto"/>
                <w:kern w:val="0"/>
              </w:rPr>
              <w:t>型注水井口</w:t>
            </w:r>
          </w:p>
        </w:tc>
        <w:tc>
          <w:tcPr>
            <w:tcW w:w="444" w:type="pct"/>
            <w:vAlign w:val="center"/>
          </w:tcPr>
          <w:p w14:paraId="4DBFACCA">
            <w:pPr>
              <w:widowControl/>
              <w:jc w:val="center"/>
              <w:rPr>
                <w:rFonts w:ascii="宋体" w:hAnsi="宋体" w:cs="宋体"/>
                <w:color w:val="auto"/>
                <w:kern w:val="0"/>
              </w:rPr>
            </w:pPr>
            <w:r>
              <w:rPr>
                <w:rFonts w:hint="eastAsia" w:ascii="宋体" w:hAnsi="宋体" w:cs="宋体"/>
                <w:color w:val="auto"/>
                <w:kern w:val="0"/>
              </w:rPr>
              <w:t>套</w:t>
            </w:r>
          </w:p>
        </w:tc>
        <w:tc>
          <w:tcPr>
            <w:tcW w:w="451" w:type="pct"/>
            <w:vAlign w:val="center"/>
          </w:tcPr>
          <w:p w14:paraId="35C94848">
            <w:pPr>
              <w:widowControl/>
              <w:jc w:val="center"/>
              <w:rPr>
                <w:rFonts w:ascii="宋体" w:hAnsi="宋体" w:cs="宋体"/>
                <w:color w:val="auto"/>
                <w:kern w:val="0"/>
              </w:rPr>
            </w:pPr>
            <w:r>
              <w:rPr>
                <w:rFonts w:hint="eastAsia" w:ascii="宋体" w:hAnsi="宋体" w:cs="宋体"/>
                <w:color w:val="auto"/>
                <w:kern w:val="0"/>
              </w:rPr>
              <w:t>8</w:t>
            </w:r>
          </w:p>
        </w:tc>
        <w:tc>
          <w:tcPr>
            <w:tcW w:w="382" w:type="pct"/>
            <w:vAlign w:val="center"/>
          </w:tcPr>
          <w:p w14:paraId="78B707C0">
            <w:pPr>
              <w:widowControl/>
              <w:jc w:val="center"/>
              <w:rPr>
                <w:rFonts w:ascii="宋体" w:hAnsi="宋体" w:cs="宋体"/>
                <w:color w:val="auto"/>
                <w:kern w:val="0"/>
              </w:rPr>
            </w:pPr>
            <w:r>
              <w:rPr>
                <w:rFonts w:hint="eastAsia" w:ascii="宋体" w:hAnsi="宋体" w:cs="宋体"/>
                <w:color w:val="auto"/>
                <w:kern w:val="0"/>
              </w:rPr>
              <w:t>套</w:t>
            </w:r>
          </w:p>
        </w:tc>
        <w:tc>
          <w:tcPr>
            <w:tcW w:w="485" w:type="pct"/>
            <w:vAlign w:val="center"/>
          </w:tcPr>
          <w:p w14:paraId="5D901A03">
            <w:pPr>
              <w:widowControl/>
              <w:jc w:val="center"/>
              <w:rPr>
                <w:rFonts w:ascii="宋体" w:hAnsi="宋体" w:cs="宋体"/>
                <w:color w:val="auto"/>
                <w:kern w:val="0"/>
              </w:rPr>
            </w:pPr>
            <w:r>
              <w:rPr>
                <w:rFonts w:hint="eastAsia" w:ascii="宋体" w:hAnsi="宋体" w:cs="宋体"/>
                <w:color w:val="auto"/>
                <w:kern w:val="0"/>
              </w:rPr>
              <w:t>8</w:t>
            </w:r>
          </w:p>
        </w:tc>
        <w:tc>
          <w:tcPr>
            <w:tcW w:w="756" w:type="pct"/>
            <w:noWrap/>
            <w:vAlign w:val="center"/>
          </w:tcPr>
          <w:p w14:paraId="1BC0135F">
            <w:pPr>
              <w:widowControl/>
              <w:jc w:val="center"/>
              <w:rPr>
                <w:rFonts w:ascii="宋体" w:hAnsi="宋体" w:cs="宋体"/>
                <w:color w:val="auto"/>
                <w:kern w:val="0"/>
                <w:szCs w:val="22"/>
              </w:rPr>
            </w:pPr>
            <w:r>
              <w:rPr>
                <w:rFonts w:hint="eastAsia" w:ascii="宋体" w:hAnsi="宋体" w:cs="宋体"/>
                <w:color w:val="auto"/>
                <w:kern w:val="0"/>
                <w:szCs w:val="22"/>
              </w:rPr>
              <w:t>/</w:t>
            </w:r>
          </w:p>
        </w:tc>
        <w:tc>
          <w:tcPr>
            <w:tcW w:w="680" w:type="pct"/>
            <w:vAlign w:val="center"/>
          </w:tcPr>
          <w:p w14:paraId="37F9946E">
            <w:pPr>
              <w:widowControl/>
              <w:jc w:val="center"/>
              <w:rPr>
                <w:rFonts w:ascii="宋体" w:hAnsi="宋体" w:cs="宋体"/>
                <w:color w:val="auto"/>
                <w:kern w:val="0"/>
                <w:szCs w:val="22"/>
              </w:rPr>
            </w:pPr>
          </w:p>
        </w:tc>
      </w:tr>
      <w:tr w14:paraId="18707E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Align w:val="center"/>
          </w:tcPr>
          <w:p w14:paraId="2732FCA6">
            <w:pPr>
              <w:widowControl/>
              <w:jc w:val="center"/>
              <w:rPr>
                <w:rFonts w:ascii="宋体" w:hAnsi="宋体" w:cs="宋体"/>
                <w:color w:val="auto"/>
                <w:kern w:val="0"/>
              </w:rPr>
            </w:pPr>
            <w:r>
              <w:rPr>
                <w:rFonts w:hint="eastAsia" w:ascii="宋体" w:hAnsi="宋体" w:cs="宋体"/>
                <w:color w:val="auto"/>
                <w:kern w:val="0"/>
              </w:rPr>
              <w:t>3</w:t>
            </w:r>
          </w:p>
        </w:tc>
        <w:tc>
          <w:tcPr>
            <w:tcW w:w="1361" w:type="pct"/>
            <w:vAlign w:val="center"/>
          </w:tcPr>
          <w:p w14:paraId="35EF359C">
            <w:pPr>
              <w:widowControl/>
              <w:jc w:val="center"/>
              <w:rPr>
                <w:rFonts w:ascii="宋体" w:hAnsi="宋体" w:cs="宋体"/>
                <w:color w:val="auto"/>
                <w:kern w:val="0"/>
              </w:rPr>
            </w:pPr>
            <w:r>
              <w:rPr>
                <w:rFonts w:hint="eastAsia" w:ascii="宋体" w:hAnsi="宋体" w:cs="宋体"/>
                <w:color w:val="auto"/>
                <w:kern w:val="0"/>
              </w:rPr>
              <w:t>压驱低压供水管线</w:t>
            </w:r>
            <w:r>
              <w:rPr>
                <w:rFonts w:ascii="宋体" w:hAnsi="宋体" w:cs="宋体"/>
                <w:color w:val="auto"/>
                <w:kern w:val="0"/>
              </w:rPr>
              <w:t xml:space="preserve"> DN75mm 1.6MPa</w:t>
            </w:r>
          </w:p>
        </w:tc>
        <w:tc>
          <w:tcPr>
            <w:tcW w:w="444" w:type="pct"/>
            <w:vAlign w:val="center"/>
          </w:tcPr>
          <w:p w14:paraId="761A5AD3">
            <w:pPr>
              <w:widowControl/>
              <w:jc w:val="center"/>
              <w:rPr>
                <w:rFonts w:ascii="宋体" w:hAnsi="宋体" w:cs="宋体"/>
                <w:color w:val="auto"/>
                <w:kern w:val="0"/>
              </w:rPr>
            </w:pPr>
            <w:r>
              <w:rPr>
                <w:rFonts w:hint="eastAsia" w:ascii="宋体" w:hAnsi="宋体" w:cs="宋体"/>
                <w:color w:val="auto"/>
                <w:kern w:val="0"/>
              </w:rPr>
              <w:t>km</w:t>
            </w:r>
          </w:p>
        </w:tc>
        <w:tc>
          <w:tcPr>
            <w:tcW w:w="451" w:type="pct"/>
            <w:vAlign w:val="center"/>
          </w:tcPr>
          <w:p w14:paraId="7623E97F">
            <w:pPr>
              <w:widowControl/>
              <w:jc w:val="center"/>
              <w:rPr>
                <w:rFonts w:ascii="宋体" w:hAnsi="宋体" w:cs="宋体"/>
                <w:color w:val="auto"/>
                <w:kern w:val="0"/>
              </w:rPr>
            </w:pPr>
            <w:r>
              <w:rPr>
                <w:rFonts w:hint="eastAsia" w:ascii="宋体" w:hAnsi="宋体" w:cs="宋体"/>
                <w:color w:val="auto"/>
                <w:kern w:val="0"/>
              </w:rPr>
              <w:t>2.71</w:t>
            </w:r>
          </w:p>
        </w:tc>
        <w:tc>
          <w:tcPr>
            <w:tcW w:w="382" w:type="pct"/>
            <w:vAlign w:val="center"/>
          </w:tcPr>
          <w:p w14:paraId="7A8FD96B">
            <w:pPr>
              <w:widowControl/>
              <w:jc w:val="center"/>
              <w:rPr>
                <w:rFonts w:ascii="宋体" w:hAnsi="宋体" w:cs="宋体"/>
                <w:color w:val="auto"/>
                <w:kern w:val="0"/>
              </w:rPr>
            </w:pPr>
            <w:r>
              <w:rPr>
                <w:rFonts w:hint="eastAsia" w:ascii="宋体" w:hAnsi="宋体" w:cs="宋体"/>
                <w:color w:val="auto"/>
                <w:kern w:val="0"/>
              </w:rPr>
              <w:t>km</w:t>
            </w:r>
          </w:p>
        </w:tc>
        <w:tc>
          <w:tcPr>
            <w:tcW w:w="485" w:type="pct"/>
            <w:vAlign w:val="center"/>
          </w:tcPr>
          <w:p w14:paraId="1E8BCEF7">
            <w:pPr>
              <w:widowControl/>
              <w:jc w:val="center"/>
              <w:rPr>
                <w:rFonts w:ascii="宋体" w:hAnsi="宋体" w:cs="宋体"/>
                <w:color w:val="auto"/>
                <w:kern w:val="0"/>
              </w:rPr>
            </w:pPr>
            <w:r>
              <w:rPr>
                <w:rFonts w:hint="eastAsia" w:ascii="宋体" w:hAnsi="宋体" w:cs="宋体"/>
                <w:color w:val="auto"/>
                <w:kern w:val="0"/>
              </w:rPr>
              <w:t>1.74</w:t>
            </w:r>
          </w:p>
        </w:tc>
        <w:tc>
          <w:tcPr>
            <w:tcW w:w="756" w:type="pct"/>
            <w:noWrap/>
            <w:vAlign w:val="center"/>
          </w:tcPr>
          <w:p w14:paraId="23BB6000">
            <w:pPr>
              <w:widowControl/>
              <w:jc w:val="center"/>
              <w:rPr>
                <w:rFonts w:ascii="宋体" w:hAnsi="宋体" w:cs="宋体"/>
                <w:color w:val="auto"/>
                <w:kern w:val="0"/>
                <w:szCs w:val="22"/>
              </w:rPr>
            </w:pPr>
            <w:r>
              <w:rPr>
                <w:rFonts w:hint="eastAsia" w:ascii="宋体" w:hAnsi="宋体" w:cs="宋体"/>
                <w:color w:val="auto"/>
                <w:kern w:val="0"/>
                <w:szCs w:val="22"/>
              </w:rPr>
              <w:t>-0.97</w:t>
            </w:r>
          </w:p>
        </w:tc>
        <w:tc>
          <w:tcPr>
            <w:tcW w:w="680" w:type="pct"/>
            <w:vAlign w:val="center"/>
          </w:tcPr>
          <w:p w14:paraId="747D88B6">
            <w:pPr>
              <w:widowControl/>
              <w:jc w:val="center"/>
              <w:rPr>
                <w:rFonts w:ascii="宋体" w:hAnsi="宋体" w:cs="宋体"/>
                <w:color w:val="auto"/>
                <w:kern w:val="0"/>
                <w:szCs w:val="22"/>
              </w:rPr>
            </w:pPr>
          </w:p>
        </w:tc>
      </w:tr>
      <w:tr w14:paraId="6AB374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Align w:val="center"/>
          </w:tcPr>
          <w:p w14:paraId="6F7ECD68">
            <w:pPr>
              <w:widowControl/>
              <w:jc w:val="center"/>
              <w:rPr>
                <w:rFonts w:ascii="宋体" w:hAnsi="宋体" w:cs="宋体"/>
                <w:color w:val="auto"/>
                <w:kern w:val="0"/>
              </w:rPr>
            </w:pPr>
            <w:r>
              <w:rPr>
                <w:rFonts w:hint="eastAsia" w:ascii="宋体" w:hAnsi="宋体" w:cs="宋体"/>
                <w:color w:val="auto"/>
                <w:kern w:val="0"/>
              </w:rPr>
              <w:t>4</w:t>
            </w:r>
          </w:p>
        </w:tc>
        <w:tc>
          <w:tcPr>
            <w:tcW w:w="1361" w:type="pct"/>
            <w:vAlign w:val="center"/>
          </w:tcPr>
          <w:p w14:paraId="7DA955FD">
            <w:pPr>
              <w:widowControl/>
              <w:jc w:val="center"/>
              <w:rPr>
                <w:rFonts w:ascii="宋体" w:hAnsi="宋体" w:cs="宋体"/>
                <w:color w:val="auto"/>
                <w:kern w:val="0"/>
              </w:rPr>
            </w:pPr>
            <w:r>
              <w:rPr>
                <w:rFonts w:hint="eastAsia" w:ascii="宋体" w:hAnsi="宋体" w:cs="宋体"/>
                <w:color w:val="auto"/>
                <w:kern w:val="0"/>
              </w:rPr>
              <w:t>自来水供水管线</w:t>
            </w:r>
            <w:r>
              <w:rPr>
                <w:rFonts w:ascii="宋体" w:hAnsi="宋体" w:cs="宋体"/>
                <w:color w:val="auto"/>
                <w:kern w:val="0"/>
              </w:rPr>
              <w:t xml:space="preserve"> DN40mm 1.6MPa</w:t>
            </w:r>
          </w:p>
        </w:tc>
        <w:tc>
          <w:tcPr>
            <w:tcW w:w="444" w:type="pct"/>
            <w:vAlign w:val="center"/>
          </w:tcPr>
          <w:p w14:paraId="76F40286">
            <w:pPr>
              <w:widowControl/>
              <w:jc w:val="center"/>
              <w:rPr>
                <w:rFonts w:ascii="宋体" w:hAnsi="宋体" w:cs="宋体"/>
                <w:color w:val="auto"/>
                <w:kern w:val="0"/>
              </w:rPr>
            </w:pPr>
            <w:r>
              <w:rPr>
                <w:rFonts w:hint="eastAsia" w:ascii="宋体" w:hAnsi="宋体" w:cs="宋体"/>
                <w:color w:val="auto"/>
                <w:kern w:val="0"/>
              </w:rPr>
              <w:t>km</w:t>
            </w:r>
          </w:p>
        </w:tc>
        <w:tc>
          <w:tcPr>
            <w:tcW w:w="451" w:type="pct"/>
            <w:vAlign w:val="center"/>
          </w:tcPr>
          <w:p w14:paraId="19DCFEFD">
            <w:pPr>
              <w:widowControl/>
              <w:jc w:val="center"/>
              <w:rPr>
                <w:rFonts w:ascii="宋体" w:hAnsi="宋体" w:cs="宋体"/>
                <w:color w:val="auto"/>
                <w:kern w:val="0"/>
              </w:rPr>
            </w:pPr>
            <w:r>
              <w:rPr>
                <w:rFonts w:hint="eastAsia" w:ascii="宋体" w:hAnsi="宋体" w:cs="宋体"/>
                <w:color w:val="auto"/>
                <w:kern w:val="0"/>
              </w:rPr>
              <w:t>2.34</w:t>
            </w:r>
          </w:p>
        </w:tc>
        <w:tc>
          <w:tcPr>
            <w:tcW w:w="382" w:type="pct"/>
            <w:vAlign w:val="center"/>
          </w:tcPr>
          <w:p w14:paraId="3484FFF0">
            <w:pPr>
              <w:widowControl/>
              <w:jc w:val="center"/>
              <w:rPr>
                <w:rFonts w:ascii="宋体" w:hAnsi="宋体" w:cs="宋体"/>
                <w:color w:val="auto"/>
                <w:kern w:val="0"/>
              </w:rPr>
            </w:pPr>
            <w:r>
              <w:rPr>
                <w:rFonts w:hint="eastAsia" w:ascii="宋体" w:hAnsi="宋体" w:cs="宋体"/>
                <w:color w:val="auto"/>
                <w:kern w:val="0"/>
              </w:rPr>
              <w:t>km</w:t>
            </w:r>
          </w:p>
        </w:tc>
        <w:tc>
          <w:tcPr>
            <w:tcW w:w="485" w:type="pct"/>
            <w:vAlign w:val="center"/>
          </w:tcPr>
          <w:p w14:paraId="66EF1806">
            <w:pPr>
              <w:widowControl/>
              <w:jc w:val="center"/>
              <w:rPr>
                <w:rFonts w:ascii="宋体" w:hAnsi="宋体" w:cs="宋体"/>
                <w:color w:val="auto"/>
                <w:kern w:val="0"/>
              </w:rPr>
            </w:pPr>
            <w:r>
              <w:rPr>
                <w:rFonts w:hint="eastAsia" w:ascii="宋体" w:hAnsi="宋体" w:cs="宋体"/>
                <w:color w:val="auto"/>
                <w:kern w:val="0"/>
              </w:rPr>
              <w:t>1.15</w:t>
            </w:r>
          </w:p>
        </w:tc>
        <w:tc>
          <w:tcPr>
            <w:tcW w:w="756" w:type="pct"/>
            <w:noWrap/>
            <w:vAlign w:val="center"/>
          </w:tcPr>
          <w:p w14:paraId="3C91B58E">
            <w:pPr>
              <w:widowControl/>
              <w:jc w:val="center"/>
              <w:rPr>
                <w:rFonts w:ascii="宋体" w:hAnsi="宋体" w:cs="宋体"/>
                <w:color w:val="auto"/>
                <w:kern w:val="0"/>
                <w:szCs w:val="22"/>
              </w:rPr>
            </w:pPr>
            <w:r>
              <w:rPr>
                <w:rFonts w:hint="eastAsia" w:ascii="宋体" w:hAnsi="宋体" w:cs="宋体"/>
                <w:color w:val="auto"/>
                <w:kern w:val="0"/>
                <w:szCs w:val="22"/>
              </w:rPr>
              <w:t>-1.19</w:t>
            </w:r>
          </w:p>
        </w:tc>
        <w:tc>
          <w:tcPr>
            <w:tcW w:w="680" w:type="pct"/>
            <w:vAlign w:val="center"/>
          </w:tcPr>
          <w:p w14:paraId="7F588D89">
            <w:pPr>
              <w:widowControl/>
              <w:jc w:val="center"/>
              <w:rPr>
                <w:rFonts w:ascii="宋体" w:hAnsi="宋体" w:cs="Calibri"/>
                <w:color w:val="auto"/>
                <w:kern w:val="0"/>
              </w:rPr>
            </w:pPr>
            <w:r>
              <w:rPr>
                <w:rFonts w:hint="eastAsia" w:ascii="宋体" w:hAnsi="宋体" w:cs="Calibri"/>
                <w:color w:val="auto"/>
              </w:rPr>
              <w:t>材质变更为</w:t>
            </w:r>
            <w:bookmarkStart w:id="234" w:name="OLE_LINK44"/>
            <w:bookmarkStart w:id="235" w:name="OLE_LINK43"/>
            <w:r>
              <w:rPr>
                <w:rFonts w:ascii="宋体" w:hAnsi="宋体" w:cs="Calibri"/>
                <w:color w:val="auto"/>
              </w:rPr>
              <w:t>DE90</w:t>
            </w:r>
            <w:r>
              <w:rPr>
                <w:rStyle w:val="326"/>
                <w:rFonts w:hint="default" w:cs="Calibri"/>
                <w:color w:val="auto"/>
              </w:rPr>
              <w:t>×</w:t>
            </w:r>
            <w:r>
              <w:rPr>
                <w:rStyle w:val="141"/>
                <w:rFonts w:hint="default"/>
                <w:color w:val="auto"/>
                <w:vertAlign w:val="baseline"/>
              </w:rPr>
              <w:t>8.2mm</w:t>
            </w:r>
            <w:bookmarkEnd w:id="234"/>
            <w:r>
              <w:rPr>
                <w:rStyle w:val="141"/>
                <w:rFonts w:hint="default"/>
                <w:color w:val="auto"/>
                <w:vertAlign w:val="baseline"/>
              </w:rPr>
              <w:t>，</w:t>
            </w:r>
            <w:r>
              <w:rPr>
                <w:rFonts w:ascii="宋体" w:hAnsi="宋体" w:cs="宋体"/>
                <w:color w:val="auto"/>
                <w:kern w:val="0"/>
              </w:rPr>
              <w:t>1.6MPa</w:t>
            </w:r>
            <w:bookmarkEnd w:id="235"/>
          </w:p>
        </w:tc>
      </w:tr>
      <w:tr w14:paraId="2DEEA5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Align w:val="center"/>
          </w:tcPr>
          <w:p w14:paraId="1C675C9A">
            <w:pPr>
              <w:widowControl/>
              <w:jc w:val="center"/>
              <w:rPr>
                <w:rFonts w:ascii="宋体" w:hAnsi="宋体" w:cs="宋体"/>
                <w:color w:val="auto"/>
                <w:kern w:val="0"/>
              </w:rPr>
            </w:pPr>
            <w:r>
              <w:rPr>
                <w:rFonts w:hint="eastAsia" w:ascii="宋体" w:hAnsi="宋体" w:cs="宋体"/>
                <w:color w:val="auto"/>
                <w:kern w:val="0"/>
              </w:rPr>
              <w:t>5</w:t>
            </w:r>
          </w:p>
        </w:tc>
        <w:tc>
          <w:tcPr>
            <w:tcW w:w="1361" w:type="pct"/>
            <w:vAlign w:val="center"/>
          </w:tcPr>
          <w:p w14:paraId="031CD599">
            <w:pPr>
              <w:widowControl/>
              <w:jc w:val="center"/>
              <w:rPr>
                <w:rFonts w:ascii="宋体" w:hAnsi="宋体" w:cs="宋体"/>
                <w:color w:val="auto"/>
                <w:kern w:val="0"/>
              </w:rPr>
            </w:pPr>
            <w:r>
              <w:rPr>
                <w:rFonts w:hint="eastAsia" w:ascii="宋体" w:hAnsi="宋体" w:cs="宋体"/>
                <w:color w:val="auto"/>
                <w:kern w:val="0"/>
              </w:rPr>
              <w:t>保护套管Φ</w:t>
            </w:r>
            <w:r>
              <w:rPr>
                <w:rFonts w:ascii="宋体" w:hAnsi="宋体" w:cs="宋体"/>
                <w:color w:val="auto"/>
                <w:kern w:val="0"/>
              </w:rPr>
              <w:t>219×6mm  20</w:t>
            </w:r>
          </w:p>
        </w:tc>
        <w:tc>
          <w:tcPr>
            <w:tcW w:w="444" w:type="pct"/>
            <w:vAlign w:val="center"/>
          </w:tcPr>
          <w:p w14:paraId="67B7F286">
            <w:pPr>
              <w:widowControl/>
              <w:jc w:val="center"/>
              <w:rPr>
                <w:rFonts w:ascii="宋体" w:hAnsi="宋体" w:cs="宋体"/>
                <w:color w:val="auto"/>
                <w:kern w:val="0"/>
              </w:rPr>
            </w:pPr>
            <w:r>
              <w:rPr>
                <w:rFonts w:hint="eastAsia" w:ascii="宋体" w:hAnsi="宋体" w:cs="宋体"/>
                <w:color w:val="auto"/>
                <w:kern w:val="0"/>
              </w:rPr>
              <w:t>km</w:t>
            </w:r>
          </w:p>
        </w:tc>
        <w:tc>
          <w:tcPr>
            <w:tcW w:w="451" w:type="pct"/>
            <w:vAlign w:val="center"/>
          </w:tcPr>
          <w:p w14:paraId="5B53EDE5">
            <w:pPr>
              <w:widowControl/>
              <w:jc w:val="center"/>
              <w:rPr>
                <w:rFonts w:ascii="宋体" w:hAnsi="宋体" w:cs="宋体"/>
                <w:color w:val="auto"/>
                <w:kern w:val="0"/>
              </w:rPr>
            </w:pPr>
            <w:r>
              <w:rPr>
                <w:rFonts w:hint="eastAsia" w:ascii="宋体" w:hAnsi="宋体" w:cs="宋体"/>
                <w:color w:val="auto"/>
                <w:kern w:val="0"/>
              </w:rPr>
              <w:t>0.88</w:t>
            </w:r>
          </w:p>
        </w:tc>
        <w:tc>
          <w:tcPr>
            <w:tcW w:w="382" w:type="pct"/>
            <w:vAlign w:val="center"/>
          </w:tcPr>
          <w:p w14:paraId="0D8C1A8C">
            <w:pPr>
              <w:widowControl/>
              <w:jc w:val="center"/>
              <w:rPr>
                <w:rFonts w:ascii="宋体" w:hAnsi="宋体" w:cs="宋体"/>
                <w:color w:val="auto"/>
                <w:kern w:val="0"/>
              </w:rPr>
            </w:pPr>
            <w:r>
              <w:rPr>
                <w:rFonts w:hint="eastAsia" w:ascii="宋体" w:hAnsi="宋体" w:cs="宋体"/>
                <w:color w:val="auto"/>
                <w:kern w:val="0"/>
              </w:rPr>
              <w:t>km</w:t>
            </w:r>
          </w:p>
        </w:tc>
        <w:tc>
          <w:tcPr>
            <w:tcW w:w="485" w:type="pct"/>
            <w:vAlign w:val="center"/>
          </w:tcPr>
          <w:p w14:paraId="76D6DFEB">
            <w:pPr>
              <w:widowControl/>
              <w:jc w:val="center"/>
              <w:rPr>
                <w:rFonts w:ascii="宋体" w:hAnsi="宋体" w:cs="宋体"/>
                <w:color w:val="auto"/>
                <w:kern w:val="0"/>
              </w:rPr>
            </w:pPr>
            <w:r>
              <w:rPr>
                <w:rFonts w:hint="eastAsia" w:ascii="宋体" w:hAnsi="宋体" w:cs="宋体"/>
                <w:color w:val="auto"/>
                <w:kern w:val="0"/>
              </w:rPr>
              <w:t>0</w:t>
            </w:r>
          </w:p>
        </w:tc>
        <w:tc>
          <w:tcPr>
            <w:tcW w:w="756" w:type="pct"/>
            <w:noWrap/>
            <w:vAlign w:val="center"/>
          </w:tcPr>
          <w:p w14:paraId="2AC4D00D">
            <w:pPr>
              <w:widowControl/>
              <w:jc w:val="center"/>
              <w:rPr>
                <w:rFonts w:ascii="宋体" w:hAnsi="宋体" w:cs="宋体"/>
                <w:color w:val="auto"/>
                <w:kern w:val="0"/>
                <w:szCs w:val="22"/>
              </w:rPr>
            </w:pPr>
            <w:r>
              <w:rPr>
                <w:rFonts w:hint="eastAsia" w:ascii="宋体" w:hAnsi="宋体" w:cs="宋体"/>
                <w:color w:val="auto"/>
                <w:kern w:val="0"/>
                <w:szCs w:val="22"/>
              </w:rPr>
              <w:t>-0.88</w:t>
            </w:r>
          </w:p>
        </w:tc>
        <w:tc>
          <w:tcPr>
            <w:tcW w:w="680" w:type="pct"/>
            <w:vAlign w:val="center"/>
          </w:tcPr>
          <w:p w14:paraId="65C94C4F">
            <w:pPr>
              <w:widowControl/>
              <w:jc w:val="center"/>
              <w:rPr>
                <w:rFonts w:ascii="宋体" w:hAnsi="宋体" w:cs="宋体"/>
                <w:color w:val="auto"/>
                <w:kern w:val="0"/>
                <w:szCs w:val="22"/>
              </w:rPr>
            </w:pPr>
          </w:p>
        </w:tc>
      </w:tr>
      <w:tr w14:paraId="6CE2DF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Align w:val="center"/>
          </w:tcPr>
          <w:p w14:paraId="0DDABF8F">
            <w:pPr>
              <w:widowControl/>
              <w:jc w:val="center"/>
              <w:rPr>
                <w:rFonts w:ascii="宋体" w:hAnsi="宋体" w:cs="宋体"/>
                <w:color w:val="auto"/>
                <w:kern w:val="0"/>
              </w:rPr>
            </w:pPr>
            <w:r>
              <w:rPr>
                <w:rFonts w:hint="eastAsia" w:ascii="宋体" w:hAnsi="宋体" w:cs="宋体"/>
                <w:color w:val="auto"/>
                <w:kern w:val="0"/>
              </w:rPr>
              <w:t>6</w:t>
            </w:r>
          </w:p>
        </w:tc>
        <w:tc>
          <w:tcPr>
            <w:tcW w:w="1361" w:type="pct"/>
            <w:vAlign w:val="center"/>
          </w:tcPr>
          <w:p w14:paraId="2DC54B6C">
            <w:pPr>
              <w:widowControl/>
              <w:jc w:val="center"/>
              <w:rPr>
                <w:rFonts w:ascii="宋体" w:hAnsi="宋体" w:cs="宋体"/>
                <w:color w:val="auto"/>
                <w:kern w:val="0"/>
              </w:rPr>
            </w:pPr>
            <w:r>
              <w:rPr>
                <w:rFonts w:hint="eastAsia" w:ascii="宋体" w:hAnsi="宋体" w:cs="宋体"/>
                <w:color w:val="auto"/>
                <w:kern w:val="0"/>
              </w:rPr>
              <w:t>保护套管Φ</w:t>
            </w:r>
            <w:r>
              <w:rPr>
                <w:rFonts w:ascii="宋体" w:hAnsi="宋体" w:cs="宋体"/>
                <w:color w:val="auto"/>
                <w:kern w:val="0"/>
              </w:rPr>
              <w:t>159×5mm  20</w:t>
            </w:r>
          </w:p>
        </w:tc>
        <w:tc>
          <w:tcPr>
            <w:tcW w:w="444" w:type="pct"/>
            <w:vAlign w:val="center"/>
          </w:tcPr>
          <w:p w14:paraId="0698BA75">
            <w:pPr>
              <w:widowControl/>
              <w:jc w:val="center"/>
              <w:rPr>
                <w:rFonts w:ascii="宋体" w:hAnsi="宋体" w:cs="宋体"/>
                <w:color w:val="auto"/>
                <w:kern w:val="0"/>
              </w:rPr>
            </w:pPr>
            <w:r>
              <w:rPr>
                <w:rFonts w:hint="eastAsia" w:ascii="宋体" w:hAnsi="宋体" w:cs="宋体"/>
                <w:color w:val="auto"/>
                <w:kern w:val="0"/>
              </w:rPr>
              <w:t>km</w:t>
            </w:r>
          </w:p>
        </w:tc>
        <w:tc>
          <w:tcPr>
            <w:tcW w:w="451" w:type="pct"/>
            <w:vAlign w:val="center"/>
          </w:tcPr>
          <w:p w14:paraId="34544678">
            <w:pPr>
              <w:widowControl/>
              <w:jc w:val="center"/>
              <w:rPr>
                <w:rFonts w:ascii="宋体" w:hAnsi="宋体" w:cs="宋体"/>
                <w:color w:val="auto"/>
                <w:kern w:val="0"/>
              </w:rPr>
            </w:pPr>
            <w:r>
              <w:rPr>
                <w:rFonts w:hint="eastAsia" w:ascii="宋体" w:hAnsi="宋体" w:cs="宋体"/>
                <w:color w:val="auto"/>
                <w:kern w:val="0"/>
              </w:rPr>
              <w:t>1.8</w:t>
            </w:r>
          </w:p>
        </w:tc>
        <w:tc>
          <w:tcPr>
            <w:tcW w:w="382" w:type="pct"/>
            <w:vAlign w:val="center"/>
          </w:tcPr>
          <w:p w14:paraId="32FA5440">
            <w:pPr>
              <w:widowControl/>
              <w:jc w:val="center"/>
              <w:rPr>
                <w:rFonts w:ascii="宋体" w:hAnsi="宋体" w:cs="宋体"/>
                <w:color w:val="auto"/>
                <w:kern w:val="0"/>
              </w:rPr>
            </w:pPr>
            <w:r>
              <w:rPr>
                <w:rFonts w:hint="eastAsia" w:ascii="宋体" w:hAnsi="宋体" w:cs="宋体"/>
                <w:color w:val="auto"/>
                <w:kern w:val="0"/>
              </w:rPr>
              <w:t>km</w:t>
            </w:r>
          </w:p>
        </w:tc>
        <w:tc>
          <w:tcPr>
            <w:tcW w:w="485" w:type="pct"/>
            <w:vAlign w:val="center"/>
          </w:tcPr>
          <w:p w14:paraId="199B7DDB">
            <w:pPr>
              <w:widowControl/>
              <w:jc w:val="center"/>
              <w:rPr>
                <w:rFonts w:ascii="宋体" w:hAnsi="宋体" w:cs="宋体"/>
                <w:color w:val="auto"/>
                <w:kern w:val="0"/>
              </w:rPr>
            </w:pPr>
            <w:r>
              <w:rPr>
                <w:rFonts w:hint="eastAsia" w:ascii="宋体" w:hAnsi="宋体" w:cs="宋体"/>
                <w:color w:val="auto"/>
                <w:kern w:val="0"/>
              </w:rPr>
              <w:t>1.244</w:t>
            </w:r>
          </w:p>
        </w:tc>
        <w:tc>
          <w:tcPr>
            <w:tcW w:w="756" w:type="pct"/>
            <w:noWrap/>
            <w:vAlign w:val="center"/>
          </w:tcPr>
          <w:p w14:paraId="6EBCD26E">
            <w:pPr>
              <w:widowControl/>
              <w:jc w:val="center"/>
              <w:rPr>
                <w:rFonts w:ascii="宋体" w:hAnsi="宋体" w:cs="宋体"/>
                <w:color w:val="auto"/>
                <w:kern w:val="0"/>
                <w:szCs w:val="22"/>
              </w:rPr>
            </w:pPr>
            <w:r>
              <w:rPr>
                <w:rFonts w:hint="eastAsia" w:ascii="宋体" w:hAnsi="宋体" w:cs="宋体"/>
                <w:color w:val="auto"/>
                <w:kern w:val="0"/>
                <w:szCs w:val="22"/>
              </w:rPr>
              <w:t>-0.556</w:t>
            </w:r>
          </w:p>
        </w:tc>
        <w:tc>
          <w:tcPr>
            <w:tcW w:w="680" w:type="pct"/>
            <w:vAlign w:val="center"/>
          </w:tcPr>
          <w:p w14:paraId="3A22715E">
            <w:pPr>
              <w:widowControl/>
              <w:jc w:val="center"/>
              <w:rPr>
                <w:rFonts w:ascii="宋体" w:hAnsi="宋体" w:cs="宋体"/>
                <w:color w:val="auto"/>
                <w:kern w:val="0"/>
                <w:szCs w:val="22"/>
              </w:rPr>
            </w:pPr>
          </w:p>
        </w:tc>
      </w:tr>
      <w:tr w14:paraId="3694BB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Align w:val="center"/>
          </w:tcPr>
          <w:p w14:paraId="3CCA8A5A">
            <w:pPr>
              <w:widowControl/>
              <w:jc w:val="center"/>
              <w:rPr>
                <w:rFonts w:ascii="宋体" w:hAnsi="宋体" w:cs="宋体"/>
                <w:color w:val="auto"/>
                <w:kern w:val="0"/>
              </w:rPr>
            </w:pPr>
            <w:r>
              <w:rPr>
                <w:rFonts w:hint="eastAsia" w:ascii="宋体" w:hAnsi="宋体" w:cs="宋体"/>
                <w:color w:val="auto"/>
                <w:kern w:val="0"/>
              </w:rPr>
              <w:t>7</w:t>
            </w:r>
          </w:p>
        </w:tc>
        <w:tc>
          <w:tcPr>
            <w:tcW w:w="1361" w:type="pct"/>
            <w:vAlign w:val="center"/>
          </w:tcPr>
          <w:p w14:paraId="2C0D4843">
            <w:pPr>
              <w:widowControl/>
              <w:jc w:val="center"/>
              <w:rPr>
                <w:rFonts w:ascii="宋体" w:hAnsi="宋体" w:cs="宋体"/>
                <w:color w:val="auto"/>
                <w:kern w:val="0"/>
              </w:rPr>
            </w:pPr>
            <w:r>
              <w:rPr>
                <w:rFonts w:hint="eastAsia" w:ascii="宋体" w:hAnsi="宋体" w:cs="宋体"/>
                <w:color w:val="auto"/>
                <w:kern w:val="0"/>
              </w:rPr>
              <w:t>定向钻穿越</w:t>
            </w:r>
          </w:p>
        </w:tc>
        <w:tc>
          <w:tcPr>
            <w:tcW w:w="444" w:type="pct"/>
            <w:vAlign w:val="center"/>
          </w:tcPr>
          <w:p w14:paraId="3860E32A">
            <w:pPr>
              <w:widowControl/>
              <w:jc w:val="center"/>
              <w:rPr>
                <w:rFonts w:ascii="宋体" w:hAnsi="宋体" w:cs="宋体"/>
                <w:color w:val="auto"/>
                <w:kern w:val="0"/>
              </w:rPr>
            </w:pPr>
            <w:r>
              <w:rPr>
                <w:rFonts w:hint="eastAsia" w:ascii="宋体" w:hAnsi="宋体" w:cs="宋体"/>
                <w:color w:val="auto"/>
                <w:kern w:val="0"/>
              </w:rPr>
              <w:t>次</w:t>
            </w:r>
            <w:r>
              <w:rPr>
                <w:rFonts w:ascii="宋体" w:hAnsi="宋体" w:cs="宋体"/>
                <w:color w:val="auto"/>
                <w:kern w:val="0"/>
              </w:rPr>
              <w:t>/m</w:t>
            </w:r>
          </w:p>
        </w:tc>
        <w:tc>
          <w:tcPr>
            <w:tcW w:w="451" w:type="pct"/>
            <w:vAlign w:val="center"/>
          </w:tcPr>
          <w:p w14:paraId="2391BD03">
            <w:pPr>
              <w:widowControl/>
              <w:jc w:val="center"/>
              <w:rPr>
                <w:rFonts w:ascii="宋体" w:hAnsi="宋体" w:cs="宋体"/>
                <w:color w:val="auto"/>
                <w:kern w:val="0"/>
              </w:rPr>
            </w:pPr>
            <w:r>
              <w:rPr>
                <w:rFonts w:hint="eastAsia" w:ascii="宋体" w:hAnsi="宋体" w:cs="宋体"/>
                <w:color w:val="auto"/>
                <w:kern w:val="0"/>
              </w:rPr>
              <w:t>2/400</w:t>
            </w:r>
          </w:p>
        </w:tc>
        <w:tc>
          <w:tcPr>
            <w:tcW w:w="382" w:type="pct"/>
            <w:vAlign w:val="center"/>
          </w:tcPr>
          <w:p w14:paraId="0E446D77">
            <w:pPr>
              <w:widowControl/>
              <w:jc w:val="center"/>
              <w:rPr>
                <w:rFonts w:ascii="宋体" w:hAnsi="宋体" w:cs="宋体"/>
                <w:color w:val="auto"/>
                <w:kern w:val="0"/>
              </w:rPr>
            </w:pPr>
            <w:r>
              <w:rPr>
                <w:rFonts w:hint="eastAsia" w:ascii="宋体" w:hAnsi="宋体" w:cs="宋体"/>
                <w:color w:val="auto"/>
                <w:kern w:val="0"/>
              </w:rPr>
              <w:t>次</w:t>
            </w:r>
            <w:r>
              <w:rPr>
                <w:rFonts w:ascii="宋体" w:hAnsi="宋体" w:cs="宋体"/>
                <w:color w:val="auto"/>
                <w:kern w:val="0"/>
              </w:rPr>
              <w:t>/m</w:t>
            </w:r>
          </w:p>
        </w:tc>
        <w:tc>
          <w:tcPr>
            <w:tcW w:w="485" w:type="pct"/>
            <w:vAlign w:val="center"/>
          </w:tcPr>
          <w:p w14:paraId="3A2C6069">
            <w:pPr>
              <w:widowControl/>
              <w:jc w:val="center"/>
              <w:rPr>
                <w:rFonts w:ascii="宋体" w:hAnsi="宋体" w:cs="宋体"/>
                <w:color w:val="auto"/>
                <w:kern w:val="0"/>
              </w:rPr>
            </w:pPr>
            <w:r>
              <w:rPr>
                <w:rFonts w:hint="eastAsia" w:ascii="宋体" w:hAnsi="宋体" w:cs="宋体"/>
                <w:color w:val="auto"/>
                <w:kern w:val="0"/>
              </w:rPr>
              <w:t>6/1700</w:t>
            </w:r>
          </w:p>
        </w:tc>
        <w:tc>
          <w:tcPr>
            <w:tcW w:w="756" w:type="pct"/>
            <w:noWrap/>
            <w:vAlign w:val="center"/>
          </w:tcPr>
          <w:p w14:paraId="430A30C7">
            <w:pPr>
              <w:widowControl/>
              <w:jc w:val="center"/>
              <w:rPr>
                <w:rFonts w:ascii="宋体" w:hAnsi="宋体" w:cs="宋体"/>
                <w:color w:val="auto"/>
                <w:kern w:val="0"/>
                <w:szCs w:val="22"/>
              </w:rPr>
            </w:pPr>
            <w:r>
              <w:rPr>
                <w:rFonts w:hint="eastAsia" w:ascii="宋体" w:hAnsi="宋体" w:cs="宋体"/>
                <w:color w:val="auto"/>
                <w:kern w:val="0"/>
                <w:szCs w:val="22"/>
              </w:rPr>
              <w:t>+4次/+1300</w:t>
            </w:r>
          </w:p>
        </w:tc>
        <w:tc>
          <w:tcPr>
            <w:tcW w:w="680" w:type="pct"/>
            <w:vAlign w:val="center"/>
          </w:tcPr>
          <w:p w14:paraId="7A360A79">
            <w:pPr>
              <w:widowControl/>
              <w:jc w:val="center"/>
              <w:rPr>
                <w:rFonts w:ascii="宋体" w:hAnsi="宋体" w:cs="宋体"/>
                <w:color w:val="auto"/>
                <w:kern w:val="0"/>
                <w:szCs w:val="22"/>
              </w:rPr>
            </w:pPr>
          </w:p>
        </w:tc>
      </w:tr>
      <w:tr w14:paraId="111E6A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41" w:type="pct"/>
            <w:vAlign w:val="center"/>
          </w:tcPr>
          <w:p w14:paraId="364665D7">
            <w:pPr>
              <w:widowControl/>
              <w:jc w:val="center"/>
              <w:rPr>
                <w:rFonts w:ascii="宋体" w:hAnsi="宋体" w:cs="宋体"/>
                <w:color w:val="auto"/>
                <w:kern w:val="0"/>
              </w:rPr>
            </w:pPr>
            <w:r>
              <w:rPr>
                <w:rFonts w:hint="eastAsia" w:ascii="宋体" w:hAnsi="宋体" w:cs="宋体"/>
                <w:color w:val="auto"/>
                <w:kern w:val="0"/>
              </w:rPr>
              <w:t>8</w:t>
            </w:r>
          </w:p>
        </w:tc>
        <w:tc>
          <w:tcPr>
            <w:tcW w:w="1361" w:type="pct"/>
            <w:vAlign w:val="center"/>
          </w:tcPr>
          <w:p w14:paraId="5E021DA4">
            <w:pPr>
              <w:widowControl/>
              <w:jc w:val="center"/>
              <w:rPr>
                <w:rFonts w:ascii="宋体" w:hAnsi="宋体" w:cs="宋体"/>
                <w:color w:val="auto"/>
                <w:kern w:val="0"/>
              </w:rPr>
            </w:pPr>
            <w:r>
              <w:rPr>
                <w:rFonts w:hint="eastAsia" w:ascii="宋体" w:hAnsi="宋体" w:cs="宋体"/>
                <w:color w:val="auto"/>
                <w:kern w:val="0"/>
              </w:rPr>
              <w:t>配水阀组扩头</w:t>
            </w:r>
          </w:p>
        </w:tc>
        <w:tc>
          <w:tcPr>
            <w:tcW w:w="444" w:type="pct"/>
            <w:vAlign w:val="center"/>
          </w:tcPr>
          <w:p w14:paraId="3888284C">
            <w:pPr>
              <w:widowControl/>
              <w:jc w:val="center"/>
              <w:rPr>
                <w:rFonts w:ascii="宋体" w:hAnsi="宋体" w:cs="宋体"/>
                <w:color w:val="auto"/>
                <w:kern w:val="0"/>
              </w:rPr>
            </w:pPr>
            <w:r>
              <w:rPr>
                <w:rFonts w:hint="eastAsia" w:ascii="宋体" w:hAnsi="宋体" w:cs="宋体"/>
                <w:color w:val="auto"/>
                <w:kern w:val="0"/>
              </w:rPr>
              <w:t>处</w:t>
            </w:r>
          </w:p>
        </w:tc>
        <w:tc>
          <w:tcPr>
            <w:tcW w:w="451" w:type="pct"/>
            <w:vAlign w:val="center"/>
          </w:tcPr>
          <w:p w14:paraId="208445A2">
            <w:pPr>
              <w:widowControl/>
              <w:jc w:val="center"/>
              <w:rPr>
                <w:rFonts w:ascii="宋体" w:hAnsi="宋体" w:cs="宋体"/>
                <w:color w:val="auto"/>
                <w:kern w:val="0"/>
              </w:rPr>
            </w:pPr>
            <w:r>
              <w:rPr>
                <w:rFonts w:hint="eastAsia" w:ascii="宋体" w:hAnsi="宋体" w:cs="宋体"/>
                <w:color w:val="auto"/>
                <w:kern w:val="0"/>
              </w:rPr>
              <w:t>8</w:t>
            </w:r>
          </w:p>
        </w:tc>
        <w:tc>
          <w:tcPr>
            <w:tcW w:w="382" w:type="pct"/>
            <w:vAlign w:val="center"/>
          </w:tcPr>
          <w:p w14:paraId="4DB7369F">
            <w:pPr>
              <w:widowControl/>
              <w:jc w:val="center"/>
              <w:rPr>
                <w:rFonts w:ascii="宋体" w:hAnsi="宋体" w:cs="宋体"/>
                <w:color w:val="auto"/>
                <w:kern w:val="0"/>
              </w:rPr>
            </w:pPr>
            <w:r>
              <w:rPr>
                <w:rFonts w:hint="eastAsia" w:ascii="宋体" w:hAnsi="宋体" w:cs="宋体"/>
                <w:color w:val="auto"/>
                <w:kern w:val="0"/>
              </w:rPr>
              <w:t>处</w:t>
            </w:r>
          </w:p>
        </w:tc>
        <w:tc>
          <w:tcPr>
            <w:tcW w:w="485" w:type="pct"/>
            <w:vAlign w:val="center"/>
          </w:tcPr>
          <w:p w14:paraId="070B8B53">
            <w:pPr>
              <w:widowControl/>
              <w:jc w:val="center"/>
              <w:rPr>
                <w:rFonts w:ascii="宋体" w:hAnsi="宋体" w:cs="宋体"/>
                <w:color w:val="auto"/>
                <w:kern w:val="0"/>
              </w:rPr>
            </w:pPr>
            <w:r>
              <w:rPr>
                <w:rFonts w:hint="eastAsia" w:ascii="宋体" w:hAnsi="宋体" w:cs="宋体"/>
                <w:color w:val="auto"/>
                <w:kern w:val="0"/>
              </w:rPr>
              <w:t>8</w:t>
            </w:r>
          </w:p>
        </w:tc>
        <w:tc>
          <w:tcPr>
            <w:tcW w:w="756" w:type="pct"/>
            <w:noWrap/>
            <w:vAlign w:val="center"/>
          </w:tcPr>
          <w:p w14:paraId="795F8435">
            <w:pPr>
              <w:widowControl/>
              <w:jc w:val="center"/>
              <w:rPr>
                <w:rFonts w:ascii="宋体" w:hAnsi="宋体" w:cs="宋体"/>
                <w:color w:val="auto"/>
                <w:kern w:val="0"/>
                <w:szCs w:val="22"/>
              </w:rPr>
            </w:pPr>
            <w:r>
              <w:rPr>
                <w:rFonts w:hint="eastAsia" w:ascii="宋体" w:hAnsi="宋体" w:cs="宋体"/>
                <w:color w:val="auto"/>
                <w:kern w:val="0"/>
                <w:szCs w:val="22"/>
              </w:rPr>
              <w:t>/</w:t>
            </w:r>
          </w:p>
        </w:tc>
        <w:tc>
          <w:tcPr>
            <w:tcW w:w="680" w:type="pct"/>
            <w:vAlign w:val="center"/>
          </w:tcPr>
          <w:p w14:paraId="48501A97">
            <w:pPr>
              <w:widowControl/>
              <w:jc w:val="center"/>
              <w:rPr>
                <w:rFonts w:ascii="宋体" w:hAnsi="宋体" w:cs="宋体"/>
                <w:color w:val="auto"/>
                <w:kern w:val="0"/>
                <w:szCs w:val="22"/>
              </w:rPr>
            </w:pPr>
          </w:p>
        </w:tc>
      </w:tr>
    </w:tbl>
    <w:p w14:paraId="119C3DED">
      <w:pPr>
        <w:pStyle w:val="6"/>
        <w:rPr>
          <w:color w:val="auto"/>
        </w:rPr>
      </w:pPr>
      <w:r>
        <w:rPr>
          <w:rFonts w:hint="eastAsia"/>
          <w:color w:val="auto"/>
        </w:rPr>
        <w:t>依托工程</w:t>
      </w:r>
    </w:p>
    <w:p w14:paraId="767F08D4">
      <w:pPr>
        <w:pStyle w:val="4"/>
        <w:ind w:firstLine="480"/>
        <w:rPr>
          <w:color w:val="auto"/>
        </w:rPr>
      </w:pPr>
      <w:r>
        <w:rPr>
          <w:rFonts w:hint="eastAsia"/>
          <w:color w:val="auto"/>
        </w:rPr>
        <w:t>本期工程油气分离、采出水处理均依托井场周边区域的已有站场设施，不单独建设。施工期钻井废水、作业废水依托</w:t>
      </w:r>
      <w:bookmarkStart w:id="236" w:name="OLE_LINK41"/>
      <w:bookmarkStart w:id="237" w:name="OLE_LINK40"/>
      <w:r>
        <w:rPr>
          <w:rFonts w:hint="eastAsia"/>
          <w:color w:val="auto"/>
        </w:rPr>
        <w:t>高青联合站</w:t>
      </w:r>
      <w:bookmarkEnd w:id="236"/>
      <w:bookmarkEnd w:id="237"/>
      <w:r>
        <w:rPr>
          <w:rFonts w:hint="eastAsia"/>
          <w:color w:val="auto"/>
        </w:rPr>
        <w:t>，运营期采出液处理依托高青联合站、滨博接转站，</w:t>
      </w:r>
      <w:r>
        <w:rPr>
          <w:color w:val="auto"/>
        </w:rPr>
        <w:t>采出水、井下作业废水</w:t>
      </w:r>
      <w:r>
        <w:rPr>
          <w:rFonts w:hint="eastAsia"/>
          <w:color w:val="auto"/>
        </w:rPr>
        <w:t>处理依托高青联合站、滨博接转站</w:t>
      </w:r>
      <w:r>
        <w:rPr>
          <w:color w:val="auto"/>
        </w:rPr>
        <w:t>采出水处理站</w:t>
      </w:r>
      <w:r>
        <w:rPr>
          <w:rFonts w:hint="eastAsia"/>
          <w:color w:val="auto"/>
        </w:rPr>
        <w:t>。验收调查期间，各依托工程均正常运行，依托可行性分析详见本验收报告“5</w:t>
      </w:r>
      <w:r>
        <w:rPr>
          <w:color w:val="auto"/>
        </w:rPr>
        <w:t xml:space="preserve">.2 </w:t>
      </w:r>
      <w:r>
        <w:rPr>
          <w:rFonts w:hint="eastAsia"/>
          <w:color w:val="auto"/>
        </w:rPr>
        <w:t>污染</w:t>
      </w:r>
      <w:r>
        <w:rPr>
          <w:color w:val="auto"/>
        </w:rPr>
        <w:t>防治</w:t>
      </w:r>
      <w:r>
        <w:rPr>
          <w:rFonts w:hint="eastAsia"/>
          <w:color w:val="auto"/>
        </w:rPr>
        <w:t>和处置设施”章节。</w:t>
      </w:r>
    </w:p>
    <w:p w14:paraId="24C38251">
      <w:pPr>
        <w:pStyle w:val="5"/>
        <w:rPr>
          <w:color w:val="auto"/>
        </w:rPr>
      </w:pPr>
      <w:bookmarkStart w:id="238" w:name="_Toc231283623"/>
      <w:r>
        <w:rPr>
          <w:rFonts w:hint="eastAsia"/>
          <w:color w:val="auto"/>
        </w:rPr>
        <w:t>主要工艺流程</w:t>
      </w:r>
      <w:bookmarkEnd w:id="238"/>
    </w:p>
    <w:p w14:paraId="5722654B">
      <w:pPr>
        <w:pStyle w:val="6"/>
        <w:rPr>
          <w:color w:val="auto"/>
        </w:rPr>
      </w:pPr>
      <w:r>
        <w:rPr>
          <w:rFonts w:hint="eastAsia"/>
          <w:color w:val="auto"/>
        </w:rPr>
        <w:t>施工期</w:t>
      </w:r>
    </w:p>
    <w:p w14:paraId="7B07B468">
      <w:pPr>
        <w:pStyle w:val="143"/>
        <w:adjustRightInd w:val="0"/>
        <w:snapToGrid w:val="0"/>
        <w:spacing w:line="328" w:lineRule="auto"/>
        <w:ind w:firstLine="480" w:firstLineChars="200"/>
        <w:rPr>
          <w:color w:val="auto"/>
        </w:rPr>
      </w:pPr>
      <w:r>
        <w:rPr>
          <w:rFonts w:hint="eastAsia"/>
          <w:color w:val="auto"/>
        </w:rPr>
        <w:t>本期工程施工期间主要进行了钻井、井下作业、地面工程建设等内容的建设，目前施工已经全部结束，施工流程与环评基本一致。施工期工艺流程及产污环节见</w:t>
      </w:r>
      <w:r>
        <w:rPr>
          <w:color w:val="auto"/>
        </w:rPr>
        <w:fldChar w:fldCharType="begin"/>
      </w:r>
      <w:r>
        <w:instrText xml:space="preserve"> REF _Ref225358959 \h  \* MERGEFORMAT</w:instrText>
      </w:r>
      <w:r>
        <w:rPr>
          <w:color w:val="auto"/>
        </w:rPr>
        <w:fldChar w:fldCharType="separate"/>
      </w:r>
      <w:r>
        <w:rPr>
          <w:color w:val="auto"/>
        </w:rPr>
        <w:t>图 3.3</w:t>
      </w:r>
      <w:r>
        <w:rPr>
          <w:color w:val="auto"/>
        </w:rPr>
        <w:noBreakHyphen/>
      </w:r>
      <w:r>
        <w:rPr>
          <w:color w:val="auto"/>
        </w:rPr>
        <w:t>1</w:t>
      </w:r>
      <w:r>
        <w:rPr>
          <w:color w:val="auto"/>
        </w:rPr>
        <w:fldChar w:fldCharType="end"/>
      </w:r>
      <w:r>
        <w:rPr>
          <w:rFonts w:hint="eastAsia"/>
          <w:color w:val="auto"/>
        </w:rPr>
        <w:t>。</w:t>
      </w:r>
    </w:p>
    <w:p w14:paraId="1CD2DA40">
      <w:pPr>
        <w:pStyle w:val="143"/>
        <w:adjustRightInd w:val="0"/>
        <w:snapToGrid w:val="0"/>
        <w:spacing w:line="328" w:lineRule="auto"/>
        <w:ind w:firstLine="0"/>
        <w:rPr>
          <w:color w:val="auto"/>
        </w:rPr>
      </w:pPr>
      <w:r>
        <w:rPr>
          <w:color w:val="auto"/>
        </w:rPr>
        <w:drawing>
          <wp:inline distT="0" distB="0" distL="0" distR="0">
            <wp:extent cx="5543550" cy="3788410"/>
            <wp:effectExtent l="0" t="0" r="0" b="2540"/>
            <wp:docPr id="1981612480" name="图片 198161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12480" name="图片 1981612480"/>
                    <pic:cNvPicPr>
                      <a:picLocks noChangeAspect="1"/>
                    </pic:cNvPicPr>
                  </pic:nvPicPr>
                  <pic:blipFill>
                    <a:blip r:embed="rId58"/>
                    <a:stretch>
                      <a:fillRect/>
                    </a:stretch>
                  </pic:blipFill>
                  <pic:spPr>
                    <a:xfrm>
                      <a:off x="0" y="0"/>
                      <a:ext cx="5543550" cy="3788410"/>
                    </a:xfrm>
                    <a:prstGeom prst="rect">
                      <a:avLst/>
                    </a:prstGeom>
                  </pic:spPr>
                </pic:pic>
              </a:graphicData>
            </a:graphic>
          </wp:inline>
        </w:drawing>
      </w:r>
    </w:p>
    <w:p w14:paraId="19270A8D">
      <w:pPr>
        <w:pStyle w:val="15"/>
        <w:spacing w:before="120"/>
        <w:rPr>
          <w:color w:val="auto"/>
        </w:rPr>
      </w:pPr>
      <w:bookmarkStart w:id="239" w:name="_Ref225358959"/>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3.3</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bookmarkEnd w:id="239"/>
      <w:r>
        <w:rPr>
          <w:color w:val="auto"/>
        </w:rPr>
        <w:t xml:space="preserve"> </w:t>
      </w:r>
      <w:r>
        <w:rPr>
          <w:rFonts w:hint="eastAsia"/>
          <w:color w:val="auto"/>
        </w:rPr>
        <w:t>施工期工艺流程示意图</w:t>
      </w:r>
    </w:p>
    <w:p w14:paraId="114B2733">
      <w:pPr>
        <w:pStyle w:val="6"/>
        <w:rPr>
          <w:color w:val="auto"/>
        </w:rPr>
      </w:pPr>
      <w:r>
        <w:rPr>
          <w:rFonts w:hint="eastAsia"/>
          <w:color w:val="auto"/>
        </w:rPr>
        <w:t>运营期</w:t>
      </w:r>
    </w:p>
    <w:p w14:paraId="28D38BAA">
      <w:pPr>
        <w:pStyle w:val="143"/>
        <w:spacing w:line="331" w:lineRule="auto"/>
        <w:ind w:firstLine="480" w:firstLineChars="200"/>
        <w:rPr>
          <w:color w:val="auto"/>
        </w:rPr>
      </w:pPr>
      <w:r>
        <w:rPr>
          <w:rFonts w:hint="eastAsia"/>
          <w:color w:val="auto"/>
        </w:rPr>
        <w:t>项目的运营期主要是采油、油气集输、油气水处理等主要流程。另外，还包括采油井的井下作业等辅助流程。</w:t>
      </w:r>
    </w:p>
    <w:p w14:paraId="6309CD1E">
      <w:pPr>
        <w:pStyle w:val="143"/>
        <w:spacing w:line="331" w:lineRule="auto"/>
        <w:ind w:firstLine="480" w:firstLineChars="200"/>
        <w:rPr>
          <w:color w:val="auto"/>
        </w:rPr>
      </w:pPr>
      <w:r>
        <w:rPr>
          <w:rFonts w:hint="eastAsia"/>
          <w:color w:val="auto"/>
        </w:rPr>
        <w:t xml:space="preserve">（1）采油工程 </w:t>
      </w:r>
    </w:p>
    <w:p w14:paraId="56004AE2">
      <w:pPr>
        <w:pStyle w:val="143"/>
        <w:spacing w:line="331" w:lineRule="auto"/>
        <w:ind w:firstLine="480" w:firstLineChars="200"/>
        <w:rPr>
          <w:color w:val="auto"/>
        </w:rPr>
      </w:pPr>
      <w:r>
        <w:rPr>
          <w:rFonts w:hint="eastAsia"/>
          <w:color w:val="auto"/>
        </w:rPr>
        <w:t>本期工程油井采用机械采油。</w:t>
      </w:r>
    </w:p>
    <w:p w14:paraId="1B114129">
      <w:pPr>
        <w:pStyle w:val="143"/>
        <w:spacing w:line="331" w:lineRule="auto"/>
        <w:ind w:firstLine="480" w:firstLineChars="200"/>
        <w:rPr>
          <w:color w:val="auto"/>
        </w:rPr>
      </w:pPr>
      <w:r>
        <w:rPr>
          <w:rFonts w:hint="eastAsia"/>
          <w:color w:val="auto"/>
        </w:rPr>
        <w:t>（</w:t>
      </w:r>
      <w:r>
        <w:rPr>
          <w:color w:val="auto"/>
        </w:rPr>
        <w:t>2</w:t>
      </w:r>
      <w:r>
        <w:rPr>
          <w:rFonts w:hint="eastAsia"/>
          <w:color w:val="auto"/>
        </w:rPr>
        <w:t>）油气集输、</w:t>
      </w:r>
      <w:r>
        <w:rPr>
          <w:color w:val="auto"/>
        </w:rPr>
        <w:t>处理</w:t>
      </w:r>
    </w:p>
    <w:p w14:paraId="6037CE02">
      <w:pPr>
        <w:pStyle w:val="143"/>
        <w:spacing w:line="331" w:lineRule="auto"/>
        <w:ind w:firstLine="480" w:firstLineChars="200"/>
        <w:rPr>
          <w:color w:val="auto"/>
        </w:rPr>
      </w:pPr>
      <w:r>
        <w:rPr>
          <w:rFonts w:hint="eastAsia"/>
          <w:color w:val="auto"/>
        </w:rPr>
        <w:t>油井采出液通过罐车拉运至高青联合站、滨博接转站进行油气分离，分离后的采油污水（采出水）由站内采出水处理系统进行处理，处理达标后回注地层。</w:t>
      </w:r>
    </w:p>
    <w:p w14:paraId="681AF4F1">
      <w:pPr>
        <w:pStyle w:val="143"/>
        <w:spacing w:line="331" w:lineRule="auto"/>
        <w:ind w:firstLine="480" w:firstLineChars="200"/>
        <w:rPr>
          <w:color w:val="auto"/>
        </w:rPr>
      </w:pPr>
      <w:r>
        <w:rPr>
          <w:rFonts w:hint="eastAsia"/>
          <w:color w:val="auto"/>
        </w:rPr>
        <w:t>（</w:t>
      </w:r>
      <w:r>
        <w:rPr>
          <w:color w:val="auto"/>
        </w:rPr>
        <w:t>3</w:t>
      </w:r>
      <w:r>
        <w:rPr>
          <w:rFonts w:hint="eastAsia"/>
          <w:color w:val="auto"/>
        </w:rPr>
        <w:t>）井下作业</w:t>
      </w:r>
    </w:p>
    <w:p w14:paraId="708BFD19">
      <w:pPr>
        <w:pStyle w:val="143"/>
        <w:spacing w:line="328" w:lineRule="auto"/>
        <w:ind w:firstLine="480" w:firstLineChars="200"/>
        <w:rPr>
          <w:color w:val="auto"/>
        </w:rPr>
      </w:pPr>
      <w:r>
        <w:rPr>
          <w:rFonts w:hint="eastAsia"/>
          <w:color w:val="auto"/>
        </w:rPr>
        <w:t>井下作业主要是指对存在问题的井进行作业，基于每口井不同的井下复杂情况，井下作业可分为大修和小修。修井作业常规工艺如：冲砂、检泵、下泵、清防蜡、防砂、配注、堵水、封窜、挤封、二次固井、打塞、钻塞、套管整形、修复、打捞等作业，以恢复采油井产能、封堵无效层以及其他井下故障处理的过程。</w:t>
      </w:r>
    </w:p>
    <w:p w14:paraId="0C626288">
      <w:pPr>
        <w:pStyle w:val="143"/>
        <w:spacing w:line="331" w:lineRule="auto"/>
        <w:ind w:firstLine="480" w:firstLineChars="200"/>
        <w:rPr>
          <w:color w:val="auto"/>
        </w:rPr>
        <w:sectPr>
          <w:pgSz w:w="11906" w:h="16838"/>
          <w:pgMar w:top="1418" w:right="1588" w:bottom="1418" w:left="1588" w:header="1134" w:footer="851" w:gutter="0"/>
          <w:cols w:space="720" w:num="1"/>
          <w:docGrid w:linePitch="312" w:charSpace="0"/>
        </w:sectPr>
      </w:pPr>
      <w:r>
        <w:rPr>
          <w:rFonts w:hint="eastAsia"/>
          <w:color w:val="auto"/>
        </w:rPr>
        <w:t>本期工程生产工艺流程</w:t>
      </w:r>
      <w:r>
        <w:rPr>
          <w:color w:val="auto"/>
        </w:rPr>
        <w:t>详见</w:t>
      </w:r>
      <w:r>
        <w:rPr>
          <w:color w:val="auto"/>
        </w:rPr>
        <w:fldChar w:fldCharType="begin"/>
      </w:r>
      <w:r>
        <w:rPr>
          <w:color w:val="auto"/>
        </w:rPr>
        <w:instrText xml:space="preserve"> REF _Ref105660975 \h  \* MERGEFORMAT </w:instrText>
      </w:r>
      <w:r>
        <w:rPr>
          <w:color w:val="auto"/>
        </w:rPr>
        <w:fldChar w:fldCharType="separate"/>
      </w:r>
      <w:r>
        <w:rPr>
          <w:rFonts w:hint="eastAsia"/>
          <w:color w:val="auto"/>
        </w:rPr>
        <w:t xml:space="preserve">图 </w:t>
      </w:r>
      <w:r>
        <w:rPr>
          <w:color w:val="auto"/>
        </w:rPr>
        <w:t>3.3</w:t>
      </w:r>
      <w:r>
        <w:rPr>
          <w:color w:val="auto"/>
        </w:rPr>
        <w:noBreakHyphen/>
      </w:r>
      <w:r>
        <w:rPr>
          <w:color w:val="auto"/>
        </w:rPr>
        <w:t>2</w:t>
      </w:r>
      <w:r>
        <w:rPr>
          <w:color w:val="auto"/>
        </w:rPr>
        <w:fldChar w:fldCharType="end"/>
      </w:r>
      <w:r>
        <w:rPr>
          <w:rFonts w:hint="eastAsia"/>
          <w:color w:val="auto"/>
        </w:rPr>
        <w:t>。</w:t>
      </w:r>
    </w:p>
    <w:p w14:paraId="67219327">
      <w:pPr>
        <w:pStyle w:val="143"/>
        <w:spacing w:line="331" w:lineRule="auto"/>
        <w:ind w:firstLine="480" w:firstLineChars="200"/>
        <w:rPr>
          <w:color w:val="auto"/>
        </w:rPr>
      </w:pPr>
    </w:p>
    <w:p w14:paraId="416BFA17">
      <w:pPr>
        <w:pStyle w:val="143"/>
        <w:adjustRightInd w:val="0"/>
        <w:snapToGrid w:val="0"/>
        <w:spacing w:before="120" w:beforeLines="50"/>
        <w:ind w:firstLine="0"/>
        <w:jc w:val="center"/>
        <w:rPr>
          <w:color w:val="auto"/>
        </w:rPr>
      </w:pPr>
      <w:r>
        <w:rPr>
          <w:color w:val="auto"/>
        </w:rPr>
        <w:drawing>
          <wp:inline distT="0" distB="0" distL="0" distR="0">
            <wp:extent cx="8891270" cy="2773680"/>
            <wp:effectExtent l="0" t="0" r="5080" b="762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9"/>
                    <a:stretch>
                      <a:fillRect/>
                    </a:stretch>
                  </pic:blipFill>
                  <pic:spPr>
                    <a:xfrm>
                      <a:off x="0" y="0"/>
                      <a:ext cx="8891270" cy="2773680"/>
                    </a:xfrm>
                    <a:prstGeom prst="rect">
                      <a:avLst/>
                    </a:prstGeom>
                  </pic:spPr>
                </pic:pic>
              </a:graphicData>
            </a:graphic>
          </wp:inline>
        </w:drawing>
      </w:r>
    </w:p>
    <w:p w14:paraId="79FA0EF8">
      <w:pPr>
        <w:pStyle w:val="15"/>
        <w:spacing w:before="120"/>
        <w:rPr>
          <w:rFonts w:hAnsi="宋体"/>
          <w:color w:val="auto"/>
        </w:rPr>
      </w:pPr>
      <w:bookmarkStart w:id="240" w:name="_Ref105660975"/>
      <w:r>
        <w:rPr>
          <w:rFonts w:hint="eastAsia" w:hAnsi="宋体"/>
          <w:color w:val="auto"/>
        </w:rPr>
        <w:t xml:space="preserve">图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图 \* ARABIC \s 2</w:instrText>
      </w:r>
      <w:r>
        <w:rPr>
          <w:rFonts w:hAnsi="宋体"/>
          <w:color w:val="auto"/>
        </w:rPr>
        <w:instrText xml:space="preserve"> </w:instrText>
      </w:r>
      <w:r>
        <w:rPr>
          <w:rFonts w:hAnsi="宋体"/>
          <w:color w:val="auto"/>
        </w:rPr>
        <w:fldChar w:fldCharType="separate"/>
      </w:r>
      <w:r>
        <w:rPr>
          <w:rFonts w:hAnsi="宋体"/>
          <w:color w:val="auto"/>
        </w:rPr>
        <w:t>2</w:t>
      </w:r>
      <w:r>
        <w:rPr>
          <w:rFonts w:hAnsi="宋体"/>
          <w:color w:val="auto"/>
        </w:rPr>
        <w:fldChar w:fldCharType="end"/>
      </w:r>
      <w:bookmarkEnd w:id="240"/>
      <w:r>
        <w:rPr>
          <w:rFonts w:hAnsi="宋体"/>
          <w:color w:val="auto"/>
        </w:rPr>
        <w:t xml:space="preserve">  </w:t>
      </w:r>
      <w:r>
        <w:rPr>
          <w:rFonts w:hint="eastAsia" w:hAnsi="宋体"/>
          <w:color w:val="auto"/>
        </w:rPr>
        <w:t>本期工程运营期生产工艺</w:t>
      </w:r>
      <w:r>
        <w:rPr>
          <w:rFonts w:hAnsi="宋体"/>
          <w:color w:val="auto"/>
        </w:rPr>
        <w:t>流程图</w:t>
      </w:r>
    </w:p>
    <w:p w14:paraId="3482F7BF">
      <w:pPr>
        <w:pStyle w:val="4"/>
        <w:ind w:firstLine="480"/>
        <w:rPr>
          <w:color w:val="auto"/>
        </w:rPr>
        <w:sectPr>
          <w:pgSz w:w="16838" w:h="11906" w:orient="landscape"/>
          <w:pgMar w:top="1588" w:right="1418" w:bottom="1588" w:left="1418" w:header="1134" w:footer="851" w:gutter="0"/>
          <w:cols w:space="720" w:num="1"/>
          <w:docGrid w:linePitch="312" w:charSpace="0"/>
        </w:sectPr>
      </w:pPr>
    </w:p>
    <w:p w14:paraId="12273CCA">
      <w:pPr>
        <w:pStyle w:val="4"/>
        <w:ind w:firstLine="480"/>
        <w:rPr>
          <w:color w:val="auto"/>
        </w:rPr>
      </w:pPr>
      <w:r>
        <w:rPr>
          <w:rFonts w:hint="eastAsia"/>
          <w:color w:val="auto"/>
        </w:rPr>
        <w:t>3）退役</w:t>
      </w:r>
      <w:r>
        <w:rPr>
          <w:color w:val="auto"/>
        </w:rPr>
        <w:t>期</w:t>
      </w:r>
    </w:p>
    <w:p w14:paraId="7B153EAC">
      <w:pPr>
        <w:pStyle w:val="4"/>
        <w:ind w:firstLine="480"/>
        <w:rPr>
          <w:color w:val="auto"/>
        </w:rPr>
      </w:pPr>
      <w:r>
        <w:rPr>
          <w:rFonts w:hint="eastAsia"/>
          <w:color w:val="auto"/>
        </w:rPr>
        <w:t>运营期结束后进入退役期，退役期主要是把井场设备拆除，井口封存，清理井场等过程，会产生施工机械废气、废弃管线、建筑垃圾以及拆除设备噪声等污染物，本次</w:t>
      </w:r>
      <w:r>
        <w:rPr>
          <w:color w:val="auto"/>
        </w:rPr>
        <w:t>验收调查期间</w:t>
      </w:r>
      <w:r>
        <w:rPr>
          <w:rFonts w:hint="eastAsia"/>
          <w:color w:val="auto"/>
        </w:rPr>
        <w:t>各</w:t>
      </w:r>
      <w:r>
        <w:rPr>
          <w:color w:val="auto"/>
        </w:rPr>
        <w:t>生产设施均在运行中，不</w:t>
      </w:r>
      <w:r>
        <w:rPr>
          <w:rFonts w:hint="eastAsia"/>
          <w:color w:val="auto"/>
        </w:rPr>
        <w:t>涉及</w:t>
      </w:r>
      <w:r>
        <w:rPr>
          <w:color w:val="auto"/>
        </w:rPr>
        <w:t>退役期工程内容，</w:t>
      </w:r>
      <w:r>
        <w:rPr>
          <w:rFonts w:hint="eastAsia"/>
          <w:color w:val="auto"/>
        </w:rPr>
        <w:t>不在本次竣工环保验收范围内</w:t>
      </w:r>
      <w:r>
        <w:rPr>
          <w:color w:val="auto"/>
        </w:rPr>
        <w:t>。</w:t>
      </w:r>
    </w:p>
    <w:p w14:paraId="65105834">
      <w:pPr>
        <w:pStyle w:val="5"/>
        <w:rPr>
          <w:color w:val="auto"/>
        </w:rPr>
      </w:pPr>
      <w:bookmarkStart w:id="241" w:name="_Toc231283624"/>
      <w:r>
        <w:rPr>
          <w:rFonts w:hint="eastAsia"/>
          <w:color w:val="auto"/>
        </w:rPr>
        <w:t>主要</w:t>
      </w:r>
      <w:r>
        <w:rPr>
          <w:color w:val="auto"/>
        </w:rPr>
        <w:t>污染</w:t>
      </w:r>
      <w:r>
        <w:rPr>
          <w:rFonts w:hint="eastAsia"/>
          <w:color w:val="auto"/>
        </w:rPr>
        <w:t>源统计及采取</w:t>
      </w:r>
      <w:r>
        <w:rPr>
          <w:color w:val="auto"/>
        </w:rPr>
        <w:t>的环境保护</w:t>
      </w:r>
      <w:r>
        <w:rPr>
          <w:rFonts w:hint="eastAsia"/>
          <w:color w:val="auto"/>
        </w:rPr>
        <w:t>措施</w:t>
      </w:r>
      <w:bookmarkEnd w:id="241"/>
    </w:p>
    <w:p w14:paraId="624F1E23">
      <w:pPr>
        <w:pStyle w:val="6"/>
        <w:rPr>
          <w:color w:val="auto"/>
        </w:rPr>
      </w:pPr>
      <w:r>
        <w:rPr>
          <w:rFonts w:hint="eastAsia"/>
          <w:color w:val="auto"/>
        </w:rPr>
        <w:t>施工期</w:t>
      </w:r>
    </w:p>
    <w:p w14:paraId="3CBDFAAE">
      <w:pPr>
        <w:pStyle w:val="4"/>
        <w:ind w:firstLine="482"/>
        <w:rPr>
          <w:color w:val="auto"/>
        </w:rPr>
      </w:pPr>
      <w:r>
        <w:rPr>
          <w:rFonts w:hint="eastAsia"/>
          <w:b/>
          <w:color w:val="auto"/>
        </w:rPr>
        <w:t>本期工程中</w:t>
      </w:r>
      <w:r>
        <w:rPr>
          <w:rFonts w:hint="eastAsia" w:cs="宋体"/>
          <w:b/>
          <w:color w:val="auto"/>
          <w:kern w:val="0"/>
        </w:rPr>
        <w:t>FJFS-X2、FJFY1-10HF、</w:t>
      </w:r>
      <w:bookmarkStart w:id="242" w:name="OLE_LINK25"/>
      <w:bookmarkStart w:id="243" w:name="OLE_LINK47"/>
      <w:r>
        <w:rPr>
          <w:rFonts w:hint="eastAsia" w:cs="宋体"/>
          <w:b/>
          <w:color w:val="auto"/>
          <w:kern w:val="0"/>
        </w:rPr>
        <w:t>FJFY1-9HF</w:t>
      </w:r>
      <w:bookmarkEnd w:id="242"/>
      <w:bookmarkEnd w:id="243"/>
      <w:r>
        <w:rPr>
          <w:rFonts w:hint="eastAsia" w:cs="宋体"/>
          <w:b/>
          <w:color w:val="auto"/>
          <w:kern w:val="0"/>
        </w:rPr>
        <w:t>、</w:t>
      </w:r>
      <w:r>
        <w:rPr>
          <w:rFonts w:hint="eastAsia" w:cs="宋体"/>
          <w:b/>
          <w:color w:val="auto"/>
          <w:kern w:val="0"/>
        </w:rPr>
        <w:t>FJFY1-</w:t>
      </w:r>
      <w:r>
        <w:rPr>
          <w:rFonts w:cs="宋体"/>
          <w:b/>
          <w:color w:val="auto"/>
          <w:kern w:val="0"/>
        </w:rPr>
        <w:t>8</w:t>
      </w:r>
      <w:r>
        <w:rPr>
          <w:rFonts w:hint="eastAsia" w:cs="宋体"/>
          <w:b/>
          <w:color w:val="auto"/>
          <w:kern w:val="0"/>
        </w:rPr>
        <w:t>HF</w:t>
      </w:r>
      <w:r>
        <w:rPr>
          <w:rFonts w:hint="eastAsia" w:cs="宋体"/>
          <w:b/>
          <w:color w:val="auto"/>
          <w:kern w:val="0"/>
        </w:rPr>
        <w:t>、FJFY301HF、FJFY104-1HF、FJFY104HF、FJFY3HF</w:t>
      </w:r>
      <w:r>
        <w:rPr>
          <w:b/>
          <w:color w:val="auto"/>
        </w:rPr>
        <w:t>井为</w:t>
      </w:r>
      <w:r>
        <w:rPr>
          <w:rFonts w:hint="eastAsia"/>
          <w:b/>
          <w:color w:val="auto"/>
        </w:rPr>
        <w:t>探井转开发井，已按照要求开展探井环评及验收，本次验收调查不包含其施工期</w:t>
      </w:r>
      <w:r>
        <w:rPr>
          <w:rFonts w:hint="eastAsia"/>
          <w:color w:val="auto"/>
        </w:rPr>
        <w:t>。</w:t>
      </w:r>
    </w:p>
    <w:p w14:paraId="41E3EAA3">
      <w:pPr>
        <w:pStyle w:val="4"/>
        <w:ind w:firstLine="480"/>
        <w:outlineLvl w:val="3"/>
        <w:rPr>
          <w:color w:val="auto"/>
        </w:rPr>
      </w:pPr>
      <w:r>
        <w:rPr>
          <w:rFonts w:hint="eastAsia"/>
          <w:color w:val="auto"/>
        </w:rPr>
        <w:t>1）废水</w:t>
      </w:r>
    </w:p>
    <w:p w14:paraId="744E80D3">
      <w:pPr>
        <w:pStyle w:val="4"/>
        <w:ind w:firstLine="480"/>
        <w:rPr>
          <w:color w:val="auto"/>
        </w:rPr>
      </w:pPr>
      <w:r>
        <w:rPr>
          <w:rFonts w:hint="eastAsia"/>
          <w:color w:val="auto"/>
        </w:rPr>
        <w:t>本期工程施工期水污染物主要包括</w:t>
      </w:r>
      <w:bookmarkStart w:id="244" w:name="OLE_LINK124"/>
      <w:bookmarkStart w:id="245" w:name="OLE_LINK125"/>
      <w:r>
        <w:rPr>
          <w:rFonts w:hint="eastAsia"/>
          <w:color w:val="auto"/>
        </w:rPr>
        <w:t>钻井废水、施工作业废液、管道试压废水、旧管道清洗废水和生活污水</w:t>
      </w:r>
      <w:bookmarkEnd w:id="244"/>
      <w:bookmarkEnd w:id="245"/>
      <w:r>
        <w:rPr>
          <w:rFonts w:hint="eastAsia"/>
          <w:color w:val="auto"/>
        </w:rPr>
        <w:t>。</w:t>
      </w:r>
    </w:p>
    <w:p w14:paraId="2693315A">
      <w:pPr>
        <w:pStyle w:val="4"/>
        <w:ind w:firstLine="480"/>
        <w:rPr>
          <w:color w:val="auto"/>
        </w:rPr>
      </w:pPr>
      <w:r>
        <w:rPr>
          <w:rFonts w:hint="eastAsia"/>
          <w:color w:val="auto"/>
        </w:rPr>
        <w:t>（1）钻井废水</w:t>
      </w:r>
    </w:p>
    <w:p w14:paraId="708F7DC7">
      <w:pPr>
        <w:pStyle w:val="4"/>
        <w:ind w:firstLine="480"/>
        <w:rPr>
          <w:color w:val="auto"/>
        </w:rPr>
      </w:pPr>
      <w:r>
        <w:rPr>
          <w:rFonts w:hint="eastAsia"/>
          <w:color w:val="auto"/>
        </w:rPr>
        <w:t>本期工程采用水基钻井液，钻井</w:t>
      </w:r>
      <w:r>
        <w:rPr>
          <w:color w:val="auto"/>
        </w:rPr>
        <w:t>施工采用</w:t>
      </w:r>
      <w:r>
        <w:rPr>
          <w:rFonts w:hint="eastAsia"/>
          <w:color w:val="auto"/>
        </w:rPr>
        <w:t>“泥浆不落地”工艺，钻井</w:t>
      </w:r>
      <w:r>
        <w:rPr>
          <w:color w:val="auto"/>
        </w:rPr>
        <w:t>废水循环利用，施工结束后</w:t>
      </w:r>
      <w:r>
        <w:rPr>
          <w:rFonts w:hint="eastAsia"/>
          <w:color w:val="auto"/>
        </w:rPr>
        <w:t>钻井固废（废弃泥浆+岩屑）产生量</w:t>
      </w:r>
      <w:r>
        <w:rPr>
          <w:color w:val="auto"/>
        </w:rPr>
        <w:t>15004.3</w:t>
      </w:r>
      <w:r>
        <w:rPr>
          <w:rFonts w:hint="eastAsia"/>
          <w:color w:val="auto"/>
        </w:rPr>
        <w:t>m</w:t>
      </w:r>
      <w:r>
        <w:rPr>
          <w:color w:val="auto"/>
          <w:vertAlign w:val="superscript"/>
        </w:rPr>
        <w:t>3</w:t>
      </w:r>
      <w:r>
        <w:rPr>
          <w:rFonts w:hint="eastAsia"/>
          <w:color w:val="auto"/>
        </w:rPr>
        <w:t>，</w:t>
      </w:r>
      <w:r>
        <w:rPr>
          <w:color w:val="auto"/>
        </w:rPr>
        <w:t>由“泥浆不落地”处置单位</w:t>
      </w:r>
      <w:r>
        <w:rPr>
          <w:rFonts w:hint="eastAsia"/>
          <w:color w:val="auto"/>
        </w:rPr>
        <w:t>天正浚源环保科技有限公司、东营丰实钻井工程有限公司、山东胜兴特种材料有限公司</w:t>
      </w:r>
      <w:bookmarkStart w:id="246" w:name="OLE_LINK264"/>
      <w:bookmarkStart w:id="247" w:name="OLE_LINK80"/>
      <w:r>
        <w:rPr>
          <w:color w:val="auto"/>
        </w:rPr>
        <w:t>拉运处理，施工现场无外排</w:t>
      </w:r>
      <w:bookmarkEnd w:id="246"/>
      <w:bookmarkEnd w:id="247"/>
      <w:r>
        <w:rPr>
          <w:rFonts w:hint="eastAsia"/>
          <w:color w:val="auto"/>
        </w:rPr>
        <w:t>，钻井废水产生量6</w:t>
      </w:r>
      <w:r>
        <w:rPr>
          <w:color w:val="auto"/>
        </w:rPr>
        <w:t>259.3</w:t>
      </w:r>
      <w:r>
        <w:rPr>
          <w:rFonts w:hint="eastAsia"/>
          <w:color w:val="auto"/>
        </w:rPr>
        <w:t xml:space="preserve"> m</w:t>
      </w:r>
      <w:r>
        <w:rPr>
          <w:color w:val="auto"/>
          <w:vertAlign w:val="superscript"/>
        </w:rPr>
        <w:t>3</w:t>
      </w:r>
      <w:r>
        <w:rPr>
          <w:rFonts w:hint="eastAsia"/>
          <w:color w:val="auto"/>
        </w:rPr>
        <w:t>，</w:t>
      </w:r>
      <w:bookmarkStart w:id="248" w:name="OLE_LINK261"/>
      <w:r>
        <w:rPr>
          <w:rFonts w:hint="eastAsia"/>
          <w:color w:val="auto"/>
        </w:rPr>
        <w:t>由泥浆不落地单位按照其环评批复处置</w:t>
      </w:r>
      <w:bookmarkEnd w:id="248"/>
      <w:r>
        <w:rPr>
          <w:color w:val="auto"/>
        </w:rPr>
        <w:t>。</w:t>
      </w:r>
    </w:p>
    <w:p w14:paraId="0E863052">
      <w:pPr>
        <w:pStyle w:val="4"/>
        <w:ind w:firstLine="480"/>
        <w:rPr>
          <w:color w:val="auto"/>
        </w:rPr>
      </w:pPr>
      <w:r>
        <w:rPr>
          <w:rFonts w:hint="eastAsia"/>
          <w:color w:val="auto"/>
        </w:rPr>
        <w:t>施工期间泥浆产生情况及固相、液相产生情况见</w:t>
      </w:r>
      <w:r>
        <w:rPr>
          <w:color w:val="auto"/>
        </w:rPr>
        <w:fldChar w:fldCharType="begin"/>
      </w:r>
      <w:r>
        <w:instrText xml:space="preserve"> REF _Ref225675622 \h  \* MERGEFORMAT</w:instrText>
      </w:r>
      <w:r>
        <w:rPr>
          <w:color w:val="auto"/>
        </w:rPr>
        <w:fldChar w:fldCharType="separate"/>
      </w:r>
      <w:r>
        <w:rPr>
          <w:color w:val="auto"/>
        </w:rPr>
        <w:t>表 3.4</w:t>
      </w:r>
      <w:r>
        <w:rPr>
          <w:color w:val="auto"/>
        </w:rPr>
        <w:noBreakHyphen/>
      </w:r>
      <w:r>
        <w:rPr>
          <w:color w:val="auto"/>
        </w:rPr>
        <w:t>1</w:t>
      </w:r>
      <w:r>
        <w:rPr>
          <w:color w:val="auto"/>
        </w:rPr>
        <w:fldChar w:fldCharType="end"/>
      </w:r>
      <w:r>
        <w:rPr>
          <w:rFonts w:hint="eastAsia"/>
          <w:color w:val="auto"/>
        </w:rPr>
        <w:t>。</w:t>
      </w:r>
    </w:p>
    <w:p w14:paraId="67FDF97C">
      <w:pPr>
        <w:pStyle w:val="15"/>
        <w:spacing w:before="120"/>
        <w:rPr>
          <w:color w:val="auto"/>
        </w:rPr>
      </w:pPr>
      <w:bookmarkStart w:id="249" w:name="_Ref225675622"/>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249"/>
      <w:r>
        <w:rPr>
          <w:color w:val="auto"/>
        </w:rPr>
        <w:t xml:space="preserve"> </w:t>
      </w:r>
      <w:r>
        <w:rPr>
          <w:rFonts w:hint="eastAsia"/>
          <w:color w:val="auto"/>
        </w:rPr>
        <w:t>泥浆产生情况及固相、液相去向一览表</w:t>
      </w:r>
    </w:p>
    <w:tbl>
      <w:tblPr>
        <w:tblStyle w:val="4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62"/>
        <w:gridCol w:w="1517"/>
        <w:gridCol w:w="1582"/>
        <w:gridCol w:w="3277"/>
        <w:gridCol w:w="1582"/>
      </w:tblGrid>
      <w:tr w14:paraId="3E50F2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vMerge w:val="restart"/>
            <w:shd w:val="clear" w:color="auto" w:fill="auto"/>
            <w:noWrap/>
            <w:vAlign w:val="center"/>
          </w:tcPr>
          <w:p w14:paraId="48A59D1F">
            <w:pPr>
              <w:widowControl/>
              <w:jc w:val="center"/>
              <w:rPr>
                <w:rFonts w:ascii="宋体" w:hAnsi="宋体" w:cs="宋体"/>
                <w:color w:val="auto"/>
                <w:kern w:val="0"/>
                <w:szCs w:val="24"/>
              </w:rPr>
            </w:pPr>
            <w:bookmarkStart w:id="250" w:name="OLE_LINK266"/>
            <w:bookmarkStart w:id="251" w:name="OLE_LINK265"/>
            <w:r>
              <w:rPr>
                <w:rFonts w:hint="eastAsia" w:ascii="宋体" w:hAnsi="宋体" w:cs="宋体"/>
                <w:color w:val="auto"/>
                <w:kern w:val="0"/>
                <w:szCs w:val="24"/>
              </w:rPr>
              <w:t>序号</w:t>
            </w:r>
          </w:p>
        </w:tc>
        <w:tc>
          <w:tcPr>
            <w:tcW w:w="870" w:type="pct"/>
            <w:vMerge w:val="restart"/>
            <w:shd w:val="clear" w:color="auto" w:fill="auto"/>
            <w:noWrap/>
            <w:vAlign w:val="center"/>
          </w:tcPr>
          <w:p w14:paraId="0D8EC8DC">
            <w:pPr>
              <w:widowControl/>
              <w:jc w:val="center"/>
              <w:rPr>
                <w:rFonts w:ascii="宋体" w:hAnsi="宋体" w:cs="宋体"/>
                <w:color w:val="auto"/>
                <w:kern w:val="0"/>
                <w:szCs w:val="24"/>
              </w:rPr>
            </w:pPr>
            <w:r>
              <w:rPr>
                <w:rFonts w:hint="eastAsia" w:ascii="宋体" w:hAnsi="宋体" w:cs="宋体"/>
                <w:color w:val="auto"/>
                <w:kern w:val="0"/>
                <w:szCs w:val="24"/>
              </w:rPr>
              <w:t>井号</w:t>
            </w:r>
          </w:p>
        </w:tc>
        <w:tc>
          <w:tcPr>
            <w:tcW w:w="907" w:type="pct"/>
            <w:shd w:val="clear" w:color="auto" w:fill="auto"/>
            <w:noWrap/>
            <w:vAlign w:val="center"/>
          </w:tcPr>
          <w:p w14:paraId="27737B3E">
            <w:pPr>
              <w:widowControl/>
              <w:jc w:val="center"/>
              <w:rPr>
                <w:rFonts w:ascii="宋体" w:hAnsi="宋体" w:cs="宋体"/>
                <w:color w:val="auto"/>
                <w:kern w:val="0"/>
                <w:szCs w:val="24"/>
              </w:rPr>
            </w:pPr>
            <w:r>
              <w:rPr>
                <w:rFonts w:hint="eastAsia" w:ascii="宋体" w:hAnsi="宋体" w:cs="宋体"/>
                <w:color w:val="auto"/>
                <w:kern w:val="0"/>
                <w:szCs w:val="24"/>
              </w:rPr>
              <w:t>钻井泥浆</w:t>
            </w:r>
          </w:p>
        </w:tc>
        <w:tc>
          <w:tcPr>
            <w:tcW w:w="1879" w:type="pct"/>
            <w:vMerge w:val="restart"/>
            <w:shd w:val="clear" w:color="auto" w:fill="auto"/>
            <w:noWrap/>
            <w:vAlign w:val="center"/>
          </w:tcPr>
          <w:p w14:paraId="45935EBF">
            <w:pPr>
              <w:widowControl/>
              <w:jc w:val="center"/>
              <w:rPr>
                <w:rFonts w:ascii="宋体" w:hAnsi="宋体" w:cs="宋体"/>
                <w:color w:val="auto"/>
                <w:kern w:val="0"/>
                <w:szCs w:val="24"/>
              </w:rPr>
            </w:pPr>
            <w:r>
              <w:rPr>
                <w:rFonts w:hint="eastAsia" w:ascii="宋体" w:hAnsi="宋体" w:cs="宋体"/>
                <w:color w:val="auto"/>
                <w:kern w:val="0"/>
                <w:szCs w:val="24"/>
              </w:rPr>
              <w:t>泥浆不落地服务单位</w:t>
            </w:r>
          </w:p>
        </w:tc>
        <w:tc>
          <w:tcPr>
            <w:tcW w:w="907" w:type="pct"/>
            <w:shd w:val="clear" w:color="auto" w:fill="auto"/>
            <w:noWrap/>
            <w:vAlign w:val="center"/>
          </w:tcPr>
          <w:p w14:paraId="3BC89E69">
            <w:pPr>
              <w:widowControl/>
              <w:jc w:val="center"/>
              <w:rPr>
                <w:rFonts w:ascii="宋体" w:hAnsi="宋体" w:cs="宋体"/>
                <w:color w:val="auto"/>
                <w:kern w:val="0"/>
                <w:szCs w:val="24"/>
              </w:rPr>
            </w:pPr>
            <w:r>
              <w:rPr>
                <w:rFonts w:hint="eastAsia" w:ascii="宋体" w:hAnsi="宋体" w:cs="宋体"/>
                <w:color w:val="auto"/>
                <w:kern w:val="0"/>
                <w:szCs w:val="24"/>
              </w:rPr>
              <w:t>液相</w:t>
            </w:r>
          </w:p>
        </w:tc>
      </w:tr>
      <w:tr w14:paraId="19D417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vMerge w:val="continue"/>
            <w:vAlign w:val="center"/>
          </w:tcPr>
          <w:p w14:paraId="25FB1DD6">
            <w:pPr>
              <w:widowControl/>
              <w:jc w:val="center"/>
              <w:rPr>
                <w:rFonts w:ascii="宋体" w:hAnsi="宋体" w:cs="宋体"/>
                <w:color w:val="auto"/>
                <w:kern w:val="0"/>
                <w:szCs w:val="24"/>
              </w:rPr>
            </w:pPr>
          </w:p>
        </w:tc>
        <w:tc>
          <w:tcPr>
            <w:tcW w:w="870" w:type="pct"/>
            <w:vMerge w:val="continue"/>
            <w:vAlign w:val="center"/>
          </w:tcPr>
          <w:p w14:paraId="6D7FF243">
            <w:pPr>
              <w:widowControl/>
              <w:jc w:val="center"/>
              <w:rPr>
                <w:rFonts w:ascii="宋体" w:hAnsi="宋体" w:cs="宋体"/>
                <w:color w:val="auto"/>
                <w:kern w:val="0"/>
                <w:szCs w:val="24"/>
              </w:rPr>
            </w:pPr>
          </w:p>
        </w:tc>
        <w:tc>
          <w:tcPr>
            <w:tcW w:w="907" w:type="pct"/>
            <w:shd w:val="clear" w:color="auto" w:fill="auto"/>
            <w:noWrap/>
            <w:vAlign w:val="center"/>
          </w:tcPr>
          <w:p w14:paraId="3CDE51E1">
            <w:pPr>
              <w:widowControl/>
              <w:jc w:val="center"/>
              <w:rPr>
                <w:rFonts w:ascii="宋体" w:hAnsi="宋体" w:cs="宋体"/>
                <w:color w:val="auto"/>
                <w:kern w:val="0"/>
                <w:szCs w:val="24"/>
              </w:rPr>
            </w:pPr>
            <w:r>
              <w:rPr>
                <w:rFonts w:hint="eastAsia" w:ascii="宋体" w:hAnsi="宋体" w:cs="宋体"/>
                <w:color w:val="auto"/>
                <w:kern w:val="0"/>
                <w:szCs w:val="24"/>
              </w:rPr>
              <w:t>转运量（</w:t>
            </w:r>
            <w:r>
              <w:rPr>
                <w:rFonts w:hint="eastAsia" w:ascii="宋体" w:hAnsi="宋体"/>
                <w:color w:val="auto"/>
              </w:rPr>
              <w:t>m</w:t>
            </w:r>
            <w:r>
              <w:rPr>
                <w:rFonts w:ascii="宋体" w:hAnsi="宋体"/>
                <w:color w:val="auto"/>
                <w:vertAlign w:val="superscript"/>
              </w:rPr>
              <w:t>3</w:t>
            </w:r>
            <w:r>
              <w:rPr>
                <w:rFonts w:hint="eastAsia" w:ascii="宋体" w:hAnsi="宋体" w:cs="宋体"/>
                <w:color w:val="auto"/>
                <w:kern w:val="0"/>
                <w:szCs w:val="24"/>
              </w:rPr>
              <w:t>)</w:t>
            </w:r>
          </w:p>
        </w:tc>
        <w:tc>
          <w:tcPr>
            <w:tcW w:w="1879" w:type="pct"/>
            <w:vMerge w:val="continue"/>
            <w:vAlign w:val="center"/>
          </w:tcPr>
          <w:p w14:paraId="4072F681">
            <w:pPr>
              <w:widowControl/>
              <w:jc w:val="center"/>
              <w:rPr>
                <w:rFonts w:ascii="宋体" w:hAnsi="宋体" w:cs="宋体"/>
                <w:color w:val="auto"/>
                <w:kern w:val="0"/>
                <w:szCs w:val="24"/>
              </w:rPr>
            </w:pPr>
          </w:p>
        </w:tc>
        <w:tc>
          <w:tcPr>
            <w:tcW w:w="907" w:type="pct"/>
            <w:shd w:val="clear" w:color="auto" w:fill="auto"/>
            <w:noWrap/>
            <w:vAlign w:val="center"/>
          </w:tcPr>
          <w:p w14:paraId="716BC34D">
            <w:pPr>
              <w:widowControl/>
              <w:jc w:val="center"/>
              <w:rPr>
                <w:rFonts w:ascii="宋体" w:hAnsi="宋体" w:cs="宋体"/>
                <w:color w:val="auto"/>
                <w:kern w:val="0"/>
                <w:szCs w:val="24"/>
              </w:rPr>
            </w:pPr>
            <w:r>
              <w:rPr>
                <w:rFonts w:hint="eastAsia" w:ascii="宋体" w:hAnsi="宋体" w:cs="宋体"/>
                <w:color w:val="auto"/>
                <w:kern w:val="0"/>
                <w:szCs w:val="24"/>
              </w:rPr>
              <w:t>产生量（</w:t>
            </w:r>
            <w:r>
              <w:rPr>
                <w:rFonts w:hint="eastAsia" w:ascii="宋体" w:hAnsi="宋体"/>
                <w:color w:val="auto"/>
              </w:rPr>
              <w:t>m</w:t>
            </w:r>
            <w:r>
              <w:rPr>
                <w:rFonts w:ascii="宋体" w:hAnsi="宋体"/>
                <w:color w:val="auto"/>
                <w:vertAlign w:val="superscript"/>
              </w:rPr>
              <w:t>3</w:t>
            </w:r>
            <w:r>
              <w:rPr>
                <w:rFonts w:hint="eastAsia" w:ascii="宋体" w:hAnsi="宋体" w:cs="宋体"/>
                <w:color w:val="auto"/>
                <w:kern w:val="0"/>
                <w:szCs w:val="24"/>
              </w:rPr>
              <w:t>)</w:t>
            </w:r>
          </w:p>
        </w:tc>
      </w:tr>
      <w:tr w14:paraId="3DC3FC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43E5DD2C">
            <w:pPr>
              <w:widowControl/>
              <w:jc w:val="center"/>
              <w:rPr>
                <w:rFonts w:ascii="宋体" w:hAnsi="宋体" w:cs="宋体"/>
                <w:color w:val="auto"/>
                <w:kern w:val="0"/>
                <w:szCs w:val="24"/>
              </w:rPr>
            </w:pPr>
            <w:r>
              <w:rPr>
                <w:rFonts w:hint="eastAsia" w:ascii="宋体" w:hAnsi="宋体" w:cs="宋体"/>
                <w:color w:val="auto"/>
                <w:kern w:val="0"/>
                <w:szCs w:val="24"/>
              </w:rPr>
              <w:t>1</w:t>
            </w:r>
          </w:p>
        </w:tc>
        <w:tc>
          <w:tcPr>
            <w:tcW w:w="870" w:type="pct"/>
            <w:shd w:val="clear" w:color="auto" w:fill="FFFFFF"/>
            <w:noWrap/>
            <w:vAlign w:val="center"/>
          </w:tcPr>
          <w:p w14:paraId="3DE73824">
            <w:pPr>
              <w:widowControl/>
              <w:jc w:val="center"/>
              <w:rPr>
                <w:rFonts w:ascii="宋体" w:hAnsi="宋体" w:cs="宋体"/>
                <w:color w:val="auto"/>
                <w:kern w:val="0"/>
              </w:rPr>
            </w:pPr>
            <w:r>
              <w:rPr>
                <w:rFonts w:hint="eastAsia" w:ascii="宋体" w:hAnsi="宋体" w:cs="宋体"/>
                <w:color w:val="auto"/>
                <w:kern w:val="0"/>
              </w:rPr>
              <w:t>FJF163-X27</w:t>
            </w:r>
          </w:p>
        </w:tc>
        <w:tc>
          <w:tcPr>
            <w:tcW w:w="907" w:type="pct"/>
            <w:shd w:val="clear" w:color="auto" w:fill="auto"/>
            <w:noWrap/>
            <w:vAlign w:val="center"/>
          </w:tcPr>
          <w:p w14:paraId="69BBDAB4">
            <w:pPr>
              <w:widowControl/>
              <w:jc w:val="center"/>
              <w:rPr>
                <w:rFonts w:ascii="宋体" w:hAnsi="宋体" w:cs="宋体"/>
                <w:color w:val="auto"/>
                <w:kern w:val="0"/>
                <w:szCs w:val="24"/>
              </w:rPr>
            </w:pPr>
            <w:r>
              <w:rPr>
                <w:rFonts w:hint="eastAsia" w:ascii="宋体" w:hAnsi="宋体" w:cs="宋体"/>
                <w:color w:val="auto"/>
                <w:kern w:val="0"/>
                <w:szCs w:val="24"/>
              </w:rPr>
              <w:t>632.3</w:t>
            </w:r>
          </w:p>
        </w:tc>
        <w:tc>
          <w:tcPr>
            <w:tcW w:w="1879" w:type="pct"/>
            <w:shd w:val="clear" w:color="auto" w:fill="auto"/>
            <w:noWrap/>
            <w:vAlign w:val="center"/>
          </w:tcPr>
          <w:p w14:paraId="64039B72">
            <w:pPr>
              <w:widowControl/>
              <w:jc w:val="center"/>
              <w:rPr>
                <w:rFonts w:ascii="宋体" w:hAnsi="宋体" w:cs="宋体"/>
                <w:color w:val="auto"/>
                <w:kern w:val="0"/>
                <w:szCs w:val="24"/>
              </w:rPr>
            </w:pPr>
            <w:r>
              <w:rPr>
                <w:rFonts w:hint="eastAsia" w:ascii="宋体" w:hAnsi="宋体" w:cs="宋体"/>
                <w:color w:val="auto"/>
                <w:kern w:val="0"/>
                <w:szCs w:val="24"/>
              </w:rPr>
              <w:t>山东胜兴特种材料有限公司</w:t>
            </w:r>
          </w:p>
        </w:tc>
        <w:tc>
          <w:tcPr>
            <w:tcW w:w="907" w:type="pct"/>
            <w:shd w:val="clear" w:color="auto" w:fill="auto"/>
            <w:noWrap/>
            <w:vAlign w:val="center"/>
          </w:tcPr>
          <w:p w14:paraId="4FA365C5">
            <w:pPr>
              <w:widowControl/>
              <w:jc w:val="center"/>
              <w:rPr>
                <w:rFonts w:ascii="宋体" w:hAnsi="宋体" w:cs="宋体"/>
                <w:color w:val="auto"/>
                <w:kern w:val="0"/>
                <w:szCs w:val="24"/>
              </w:rPr>
            </w:pPr>
            <w:r>
              <w:rPr>
                <w:rFonts w:hint="eastAsia" w:ascii="宋体" w:hAnsi="宋体" w:cs="宋体"/>
                <w:color w:val="auto"/>
                <w:kern w:val="0"/>
                <w:szCs w:val="24"/>
              </w:rPr>
              <w:t>212.3</w:t>
            </w:r>
          </w:p>
        </w:tc>
      </w:tr>
      <w:tr w14:paraId="44E75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372854B8">
            <w:pPr>
              <w:widowControl/>
              <w:jc w:val="center"/>
              <w:rPr>
                <w:rFonts w:ascii="宋体" w:hAnsi="宋体" w:cs="宋体"/>
                <w:color w:val="auto"/>
                <w:kern w:val="0"/>
                <w:szCs w:val="24"/>
              </w:rPr>
            </w:pPr>
            <w:r>
              <w:rPr>
                <w:rFonts w:hint="eastAsia" w:ascii="宋体" w:hAnsi="宋体" w:cs="宋体"/>
                <w:color w:val="auto"/>
                <w:kern w:val="0"/>
                <w:szCs w:val="24"/>
              </w:rPr>
              <w:t>2</w:t>
            </w:r>
          </w:p>
        </w:tc>
        <w:tc>
          <w:tcPr>
            <w:tcW w:w="870" w:type="pct"/>
            <w:shd w:val="clear" w:color="auto" w:fill="FFFFFF"/>
            <w:noWrap/>
            <w:vAlign w:val="center"/>
          </w:tcPr>
          <w:p w14:paraId="7C00DB99">
            <w:pPr>
              <w:widowControl/>
              <w:jc w:val="center"/>
              <w:rPr>
                <w:rFonts w:ascii="宋体" w:hAnsi="宋体" w:cs="宋体"/>
                <w:color w:val="auto"/>
                <w:kern w:val="0"/>
              </w:rPr>
            </w:pPr>
            <w:r>
              <w:rPr>
                <w:rFonts w:hint="eastAsia" w:ascii="宋体" w:hAnsi="宋体" w:cs="宋体"/>
                <w:color w:val="auto"/>
                <w:kern w:val="0"/>
              </w:rPr>
              <w:t>FJF163-X18</w:t>
            </w:r>
          </w:p>
        </w:tc>
        <w:tc>
          <w:tcPr>
            <w:tcW w:w="907" w:type="pct"/>
            <w:shd w:val="clear" w:color="auto" w:fill="auto"/>
            <w:noWrap/>
            <w:vAlign w:val="center"/>
          </w:tcPr>
          <w:p w14:paraId="247D2B1B">
            <w:pPr>
              <w:widowControl/>
              <w:jc w:val="center"/>
              <w:rPr>
                <w:rFonts w:ascii="宋体" w:hAnsi="宋体" w:cs="宋体"/>
                <w:color w:val="auto"/>
                <w:kern w:val="0"/>
                <w:szCs w:val="24"/>
              </w:rPr>
            </w:pPr>
            <w:r>
              <w:rPr>
                <w:rFonts w:hint="eastAsia" w:ascii="宋体" w:hAnsi="宋体" w:cs="宋体"/>
                <w:color w:val="auto"/>
                <w:kern w:val="0"/>
                <w:szCs w:val="24"/>
              </w:rPr>
              <w:t>541</w:t>
            </w:r>
          </w:p>
        </w:tc>
        <w:tc>
          <w:tcPr>
            <w:tcW w:w="1879" w:type="pct"/>
            <w:shd w:val="clear" w:color="auto" w:fill="auto"/>
            <w:noWrap/>
            <w:vAlign w:val="center"/>
          </w:tcPr>
          <w:p w14:paraId="7CD7FE84">
            <w:pPr>
              <w:widowControl/>
              <w:jc w:val="center"/>
              <w:rPr>
                <w:rFonts w:ascii="宋体" w:hAnsi="宋体" w:cs="宋体"/>
                <w:color w:val="auto"/>
                <w:kern w:val="0"/>
                <w:szCs w:val="24"/>
              </w:rPr>
            </w:pPr>
            <w:r>
              <w:rPr>
                <w:rFonts w:hint="eastAsia" w:ascii="宋体" w:hAnsi="宋体" w:cs="宋体"/>
                <w:color w:val="auto"/>
                <w:kern w:val="0"/>
                <w:szCs w:val="24"/>
              </w:rPr>
              <w:t>山东胜兴特种材料有限公司</w:t>
            </w:r>
          </w:p>
        </w:tc>
        <w:tc>
          <w:tcPr>
            <w:tcW w:w="907" w:type="pct"/>
            <w:shd w:val="clear" w:color="auto" w:fill="auto"/>
            <w:noWrap/>
            <w:vAlign w:val="center"/>
          </w:tcPr>
          <w:p w14:paraId="602E9C3C">
            <w:pPr>
              <w:widowControl/>
              <w:jc w:val="center"/>
              <w:rPr>
                <w:rFonts w:ascii="宋体" w:hAnsi="宋体" w:cs="宋体"/>
                <w:color w:val="auto"/>
                <w:kern w:val="0"/>
                <w:szCs w:val="24"/>
              </w:rPr>
            </w:pPr>
            <w:r>
              <w:rPr>
                <w:rFonts w:hint="eastAsia" w:ascii="宋体" w:hAnsi="宋体" w:cs="宋体"/>
                <w:color w:val="auto"/>
                <w:kern w:val="0"/>
                <w:szCs w:val="24"/>
              </w:rPr>
              <w:t>189</w:t>
            </w:r>
          </w:p>
        </w:tc>
      </w:tr>
      <w:tr w14:paraId="6D9B47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4D7DE794">
            <w:pPr>
              <w:widowControl/>
              <w:jc w:val="center"/>
              <w:rPr>
                <w:rFonts w:ascii="宋体" w:hAnsi="宋体" w:cs="宋体"/>
                <w:color w:val="auto"/>
                <w:kern w:val="0"/>
                <w:szCs w:val="24"/>
              </w:rPr>
            </w:pPr>
            <w:r>
              <w:rPr>
                <w:rFonts w:hint="eastAsia" w:ascii="宋体" w:hAnsi="宋体" w:cs="宋体"/>
                <w:color w:val="auto"/>
                <w:kern w:val="0"/>
                <w:szCs w:val="24"/>
              </w:rPr>
              <w:t>3</w:t>
            </w:r>
          </w:p>
        </w:tc>
        <w:tc>
          <w:tcPr>
            <w:tcW w:w="870" w:type="pct"/>
            <w:shd w:val="clear" w:color="auto" w:fill="FFFFFF"/>
            <w:noWrap/>
            <w:vAlign w:val="center"/>
          </w:tcPr>
          <w:p w14:paraId="22499341">
            <w:pPr>
              <w:widowControl/>
              <w:jc w:val="center"/>
              <w:rPr>
                <w:rFonts w:ascii="宋体" w:hAnsi="宋体" w:cs="宋体"/>
                <w:color w:val="auto"/>
                <w:kern w:val="0"/>
              </w:rPr>
            </w:pPr>
            <w:r>
              <w:rPr>
                <w:rFonts w:hint="eastAsia" w:ascii="宋体" w:hAnsi="宋体" w:cs="宋体"/>
                <w:color w:val="auto"/>
                <w:kern w:val="0"/>
              </w:rPr>
              <w:t>FJF163-X17</w:t>
            </w:r>
          </w:p>
        </w:tc>
        <w:tc>
          <w:tcPr>
            <w:tcW w:w="907" w:type="pct"/>
            <w:shd w:val="clear" w:color="auto" w:fill="auto"/>
            <w:noWrap/>
            <w:vAlign w:val="center"/>
          </w:tcPr>
          <w:p w14:paraId="31A7C03F">
            <w:pPr>
              <w:widowControl/>
              <w:jc w:val="center"/>
              <w:rPr>
                <w:rFonts w:ascii="宋体" w:hAnsi="宋体" w:cs="宋体"/>
                <w:color w:val="auto"/>
                <w:kern w:val="0"/>
                <w:szCs w:val="24"/>
              </w:rPr>
            </w:pPr>
            <w:r>
              <w:rPr>
                <w:rFonts w:hint="eastAsia" w:ascii="宋体" w:hAnsi="宋体" w:cs="宋体"/>
                <w:color w:val="auto"/>
                <w:kern w:val="0"/>
                <w:szCs w:val="24"/>
              </w:rPr>
              <w:t>644</w:t>
            </w:r>
          </w:p>
        </w:tc>
        <w:tc>
          <w:tcPr>
            <w:tcW w:w="1879" w:type="pct"/>
            <w:shd w:val="clear" w:color="auto" w:fill="auto"/>
            <w:noWrap/>
            <w:vAlign w:val="center"/>
          </w:tcPr>
          <w:p w14:paraId="71AD57BC">
            <w:pPr>
              <w:widowControl/>
              <w:jc w:val="center"/>
              <w:rPr>
                <w:rFonts w:ascii="宋体" w:hAnsi="宋体" w:cs="宋体"/>
                <w:color w:val="auto"/>
                <w:kern w:val="0"/>
                <w:szCs w:val="24"/>
              </w:rPr>
            </w:pPr>
            <w:r>
              <w:rPr>
                <w:rFonts w:hint="eastAsia" w:ascii="宋体" w:hAnsi="宋体" w:cs="宋体"/>
                <w:color w:val="auto"/>
                <w:kern w:val="0"/>
                <w:szCs w:val="24"/>
              </w:rPr>
              <w:t>山东胜兴特种材料有限公司</w:t>
            </w:r>
          </w:p>
        </w:tc>
        <w:tc>
          <w:tcPr>
            <w:tcW w:w="907" w:type="pct"/>
            <w:shd w:val="clear" w:color="auto" w:fill="auto"/>
            <w:noWrap/>
            <w:vAlign w:val="center"/>
          </w:tcPr>
          <w:p w14:paraId="0410EE68">
            <w:pPr>
              <w:widowControl/>
              <w:jc w:val="center"/>
              <w:rPr>
                <w:rFonts w:ascii="宋体" w:hAnsi="宋体" w:cs="宋体"/>
                <w:color w:val="auto"/>
                <w:kern w:val="0"/>
                <w:szCs w:val="24"/>
              </w:rPr>
            </w:pPr>
            <w:r>
              <w:rPr>
                <w:rFonts w:hint="eastAsia" w:ascii="宋体" w:hAnsi="宋体" w:cs="宋体"/>
                <w:color w:val="auto"/>
                <w:kern w:val="0"/>
                <w:szCs w:val="24"/>
              </w:rPr>
              <w:t>225</w:t>
            </w:r>
          </w:p>
        </w:tc>
      </w:tr>
      <w:tr w14:paraId="22A63F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4F58B83C">
            <w:pPr>
              <w:widowControl/>
              <w:jc w:val="center"/>
              <w:rPr>
                <w:rFonts w:ascii="宋体" w:hAnsi="宋体" w:cs="宋体"/>
                <w:color w:val="auto"/>
                <w:kern w:val="0"/>
                <w:szCs w:val="24"/>
              </w:rPr>
            </w:pPr>
            <w:r>
              <w:rPr>
                <w:rFonts w:hint="eastAsia" w:ascii="宋体" w:hAnsi="宋体" w:cs="宋体"/>
                <w:color w:val="auto"/>
                <w:kern w:val="0"/>
                <w:szCs w:val="24"/>
              </w:rPr>
              <w:t>4</w:t>
            </w:r>
          </w:p>
        </w:tc>
        <w:tc>
          <w:tcPr>
            <w:tcW w:w="870" w:type="pct"/>
            <w:shd w:val="clear" w:color="auto" w:fill="FFFFFF"/>
            <w:noWrap/>
            <w:vAlign w:val="center"/>
          </w:tcPr>
          <w:p w14:paraId="19A06B27">
            <w:pPr>
              <w:widowControl/>
              <w:jc w:val="center"/>
              <w:rPr>
                <w:rFonts w:ascii="宋体" w:hAnsi="宋体" w:cs="宋体"/>
                <w:color w:val="auto"/>
                <w:kern w:val="0"/>
              </w:rPr>
            </w:pPr>
            <w:r>
              <w:rPr>
                <w:rFonts w:hint="eastAsia" w:ascii="宋体" w:hAnsi="宋体" w:cs="宋体"/>
                <w:color w:val="auto"/>
                <w:kern w:val="0"/>
              </w:rPr>
              <w:t>FJF18-X16</w:t>
            </w:r>
          </w:p>
        </w:tc>
        <w:tc>
          <w:tcPr>
            <w:tcW w:w="907" w:type="pct"/>
            <w:shd w:val="clear" w:color="auto" w:fill="auto"/>
            <w:noWrap/>
            <w:vAlign w:val="center"/>
          </w:tcPr>
          <w:p w14:paraId="3B9DE094">
            <w:pPr>
              <w:widowControl/>
              <w:jc w:val="center"/>
              <w:rPr>
                <w:rFonts w:ascii="宋体" w:hAnsi="宋体" w:cs="宋体"/>
                <w:color w:val="auto"/>
                <w:kern w:val="0"/>
                <w:szCs w:val="24"/>
              </w:rPr>
            </w:pPr>
            <w:r>
              <w:rPr>
                <w:rFonts w:hint="eastAsia" w:ascii="宋体" w:hAnsi="宋体" w:cs="宋体"/>
                <w:color w:val="auto"/>
                <w:kern w:val="0"/>
                <w:szCs w:val="24"/>
              </w:rPr>
              <w:t>1360</w:t>
            </w:r>
          </w:p>
        </w:tc>
        <w:tc>
          <w:tcPr>
            <w:tcW w:w="1879" w:type="pct"/>
            <w:shd w:val="clear" w:color="auto" w:fill="auto"/>
            <w:noWrap/>
            <w:vAlign w:val="center"/>
          </w:tcPr>
          <w:p w14:paraId="016E40FB">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907" w:type="pct"/>
            <w:shd w:val="clear" w:color="auto" w:fill="auto"/>
            <w:noWrap/>
            <w:vAlign w:val="center"/>
          </w:tcPr>
          <w:p w14:paraId="4CFAE044">
            <w:pPr>
              <w:widowControl/>
              <w:jc w:val="center"/>
              <w:rPr>
                <w:rFonts w:ascii="宋体" w:hAnsi="宋体" w:cs="宋体"/>
                <w:color w:val="auto"/>
                <w:kern w:val="0"/>
                <w:szCs w:val="24"/>
              </w:rPr>
            </w:pPr>
            <w:r>
              <w:rPr>
                <w:rFonts w:hint="eastAsia" w:ascii="宋体" w:hAnsi="宋体" w:cs="宋体"/>
                <w:color w:val="auto"/>
                <w:kern w:val="0"/>
                <w:szCs w:val="24"/>
              </w:rPr>
              <w:t>539</w:t>
            </w:r>
          </w:p>
        </w:tc>
      </w:tr>
      <w:tr w14:paraId="524982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574F4F66">
            <w:pPr>
              <w:widowControl/>
              <w:jc w:val="center"/>
              <w:rPr>
                <w:rFonts w:ascii="宋体" w:hAnsi="宋体" w:cs="宋体"/>
                <w:color w:val="auto"/>
                <w:kern w:val="0"/>
                <w:szCs w:val="24"/>
              </w:rPr>
            </w:pPr>
            <w:r>
              <w:rPr>
                <w:rFonts w:hint="eastAsia" w:ascii="宋体" w:hAnsi="宋体" w:cs="宋体"/>
                <w:color w:val="auto"/>
                <w:kern w:val="0"/>
                <w:szCs w:val="24"/>
              </w:rPr>
              <w:t>5</w:t>
            </w:r>
          </w:p>
        </w:tc>
        <w:tc>
          <w:tcPr>
            <w:tcW w:w="870" w:type="pct"/>
            <w:shd w:val="clear" w:color="auto" w:fill="FFFFFF"/>
            <w:noWrap/>
            <w:vAlign w:val="center"/>
          </w:tcPr>
          <w:p w14:paraId="05054084">
            <w:pPr>
              <w:widowControl/>
              <w:jc w:val="center"/>
              <w:rPr>
                <w:rFonts w:ascii="宋体" w:hAnsi="宋体" w:cs="宋体"/>
                <w:color w:val="auto"/>
                <w:kern w:val="0"/>
              </w:rPr>
            </w:pPr>
            <w:r>
              <w:rPr>
                <w:rFonts w:hint="eastAsia" w:ascii="宋体" w:hAnsi="宋体" w:cs="宋体"/>
                <w:color w:val="auto"/>
                <w:kern w:val="0"/>
              </w:rPr>
              <w:t>FJF18-X27</w:t>
            </w:r>
          </w:p>
        </w:tc>
        <w:tc>
          <w:tcPr>
            <w:tcW w:w="907" w:type="pct"/>
            <w:shd w:val="clear" w:color="auto" w:fill="auto"/>
            <w:noWrap/>
            <w:vAlign w:val="center"/>
          </w:tcPr>
          <w:p w14:paraId="64DC771E">
            <w:pPr>
              <w:widowControl/>
              <w:jc w:val="center"/>
              <w:rPr>
                <w:rFonts w:ascii="宋体" w:hAnsi="宋体" w:cs="宋体"/>
                <w:color w:val="auto"/>
                <w:kern w:val="0"/>
                <w:szCs w:val="24"/>
              </w:rPr>
            </w:pPr>
            <w:r>
              <w:rPr>
                <w:rFonts w:hint="eastAsia" w:ascii="宋体" w:hAnsi="宋体" w:cs="宋体"/>
                <w:color w:val="auto"/>
                <w:kern w:val="0"/>
                <w:szCs w:val="24"/>
              </w:rPr>
              <w:t>1173</w:t>
            </w:r>
          </w:p>
        </w:tc>
        <w:tc>
          <w:tcPr>
            <w:tcW w:w="1879" w:type="pct"/>
            <w:shd w:val="clear" w:color="auto" w:fill="auto"/>
            <w:noWrap/>
            <w:vAlign w:val="center"/>
          </w:tcPr>
          <w:p w14:paraId="4E3B5446">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907" w:type="pct"/>
            <w:shd w:val="clear" w:color="auto" w:fill="auto"/>
            <w:noWrap/>
            <w:vAlign w:val="center"/>
          </w:tcPr>
          <w:p w14:paraId="067AA49F">
            <w:pPr>
              <w:widowControl/>
              <w:jc w:val="center"/>
              <w:rPr>
                <w:rFonts w:ascii="宋体" w:hAnsi="宋体" w:cs="宋体"/>
                <w:color w:val="auto"/>
                <w:kern w:val="0"/>
                <w:szCs w:val="24"/>
              </w:rPr>
            </w:pPr>
            <w:r>
              <w:rPr>
                <w:rFonts w:hint="eastAsia" w:ascii="宋体" w:hAnsi="宋体" w:cs="宋体"/>
                <w:color w:val="auto"/>
                <w:kern w:val="0"/>
                <w:szCs w:val="24"/>
              </w:rPr>
              <w:t>642</w:t>
            </w:r>
          </w:p>
        </w:tc>
      </w:tr>
      <w:tr w14:paraId="0C305C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12F329BD">
            <w:pPr>
              <w:widowControl/>
              <w:jc w:val="center"/>
              <w:rPr>
                <w:rFonts w:ascii="宋体" w:hAnsi="宋体" w:cs="宋体"/>
                <w:color w:val="auto"/>
                <w:kern w:val="0"/>
                <w:szCs w:val="24"/>
              </w:rPr>
            </w:pPr>
            <w:r>
              <w:rPr>
                <w:rFonts w:hint="eastAsia" w:ascii="宋体" w:hAnsi="宋体" w:cs="宋体"/>
                <w:color w:val="auto"/>
                <w:kern w:val="0"/>
                <w:szCs w:val="24"/>
              </w:rPr>
              <w:t>6</w:t>
            </w:r>
          </w:p>
        </w:tc>
        <w:tc>
          <w:tcPr>
            <w:tcW w:w="870" w:type="pct"/>
            <w:shd w:val="clear" w:color="auto" w:fill="FFFFFF"/>
            <w:noWrap/>
            <w:vAlign w:val="center"/>
          </w:tcPr>
          <w:p w14:paraId="5EC218ED">
            <w:pPr>
              <w:widowControl/>
              <w:jc w:val="center"/>
              <w:rPr>
                <w:rFonts w:ascii="宋体" w:hAnsi="宋体" w:cs="宋体"/>
                <w:color w:val="auto"/>
                <w:kern w:val="0"/>
              </w:rPr>
            </w:pPr>
            <w:r>
              <w:rPr>
                <w:rFonts w:hint="eastAsia" w:ascii="宋体" w:hAnsi="宋体" w:cs="宋体"/>
                <w:color w:val="auto"/>
                <w:kern w:val="0"/>
              </w:rPr>
              <w:t>FJF18-X25</w:t>
            </w:r>
          </w:p>
        </w:tc>
        <w:tc>
          <w:tcPr>
            <w:tcW w:w="907" w:type="pct"/>
            <w:shd w:val="clear" w:color="auto" w:fill="auto"/>
            <w:noWrap/>
            <w:vAlign w:val="center"/>
          </w:tcPr>
          <w:p w14:paraId="051452F0">
            <w:pPr>
              <w:widowControl/>
              <w:jc w:val="center"/>
              <w:rPr>
                <w:rFonts w:ascii="宋体" w:hAnsi="宋体" w:cs="宋体"/>
                <w:color w:val="auto"/>
                <w:kern w:val="0"/>
                <w:szCs w:val="24"/>
              </w:rPr>
            </w:pPr>
            <w:r>
              <w:rPr>
                <w:rFonts w:hint="eastAsia" w:ascii="宋体" w:hAnsi="宋体" w:cs="宋体"/>
                <w:color w:val="auto"/>
                <w:kern w:val="0"/>
                <w:szCs w:val="24"/>
              </w:rPr>
              <w:t>1089</w:t>
            </w:r>
          </w:p>
        </w:tc>
        <w:tc>
          <w:tcPr>
            <w:tcW w:w="1879" w:type="pct"/>
            <w:shd w:val="clear" w:color="auto" w:fill="auto"/>
            <w:noWrap/>
            <w:vAlign w:val="center"/>
          </w:tcPr>
          <w:p w14:paraId="5257E92C">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907" w:type="pct"/>
            <w:shd w:val="clear" w:color="auto" w:fill="auto"/>
            <w:noWrap/>
            <w:vAlign w:val="center"/>
          </w:tcPr>
          <w:p w14:paraId="38C29171">
            <w:pPr>
              <w:widowControl/>
              <w:jc w:val="center"/>
              <w:rPr>
                <w:rFonts w:ascii="宋体" w:hAnsi="宋体" w:cs="宋体"/>
                <w:color w:val="auto"/>
                <w:kern w:val="0"/>
                <w:szCs w:val="24"/>
              </w:rPr>
            </w:pPr>
            <w:r>
              <w:rPr>
                <w:rFonts w:hint="eastAsia" w:ascii="宋体" w:hAnsi="宋体" w:cs="宋体"/>
                <w:color w:val="auto"/>
                <w:kern w:val="0"/>
                <w:szCs w:val="24"/>
              </w:rPr>
              <w:t>565</w:t>
            </w:r>
          </w:p>
        </w:tc>
      </w:tr>
      <w:tr w14:paraId="67C113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3EA80D7E">
            <w:pPr>
              <w:widowControl/>
              <w:jc w:val="center"/>
              <w:rPr>
                <w:rFonts w:ascii="宋体" w:hAnsi="宋体" w:cs="宋体"/>
                <w:color w:val="auto"/>
                <w:kern w:val="0"/>
                <w:szCs w:val="24"/>
              </w:rPr>
            </w:pPr>
            <w:r>
              <w:rPr>
                <w:rFonts w:hint="eastAsia" w:ascii="宋体" w:hAnsi="宋体" w:cs="宋体"/>
                <w:color w:val="auto"/>
                <w:kern w:val="0"/>
                <w:szCs w:val="24"/>
              </w:rPr>
              <w:t>7</w:t>
            </w:r>
          </w:p>
        </w:tc>
        <w:tc>
          <w:tcPr>
            <w:tcW w:w="870" w:type="pct"/>
            <w:shd w:val="clear" w:color="auto" w:fill="FFFFFF"/>
            <w:noWrap/>
            <w:vAlign w:val="center"/>
          </w:tcPr>
          <w:p w14:paraId="14697E57">
            <w:pPr>
              <w:widowControl/>
              <w:jc w:val="center"/>
              <w:rPr>
                <w:rFonts w:ascii="宋体" w:hAnsi="宋体" w:cs="宋体"/>
                <w:color w:val="auto"/>
                <w:kern w:val="0"/>
              </w:rPr>
            </w:pPr>
            <w:r>
              <w:rPr>
                <w:rFonts w:hint="eastAsia" w:ascii="宋体" w:hAnsi="宋体" w:cs="宋体"/>
                <w:color w:val="auto"/>
                <w:kern w:val="0"/>
              </w:rPr>
              <w:t>FJF18-X24</w:t>
            </w:r>
          </w:p>
        </w:tc>
        <w:tc>
          <w:tcPr>
            <w:tcW w:w="907" w:type="pct"/>
            <w:shd w:val="clear" w:color="auto" w:fill="auto"/>
            <w:noWrap/>
            <w:vAlign w:val="center"/>
          </w:tcPr>
          <w:p w14:paraId="5E94CC1F">
            <w:pPr>
              <w:widowControl/>
              <w:jc w:val="center"/>
              <w:rPr>
                <w:rFonts w:ascii="宋体" w:hAnsi="宋体" w:cs="宋体"/>
                <w:color w:val="auto"/>
                <w:kern w:val="0"/>
                <w:szCs w:val="24"/>
              </w:rPr>
            </w:pPr>
            <w:r>
              <w:rPr>
                <w:rFonts w:hint="eastAsia" w:ascii="宋体" w:hAnsi="宋体" w:cs="宋体"/>
                <w:color w:val="auto"/>
                <w:kern w:val="0"/>
                <w:szCs w:val="24"/>
              </w:rPr>
              <w:t>1280</w:t>
            </w:r>
          </w:p>
        </w:tc>
        <w:tc>
          <w:tcPr>
            <w:tcW w:w="1879" w:type="pct"/>
            <w:shd w:val="clear" w:color="auto" w:fill="auto"/>
            <w:noWrap/>
            <w:vAlign w:val="center"/>
          </w:tcPr>
          <w:p w14:paraId="6947E84E">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907" w:type="pct"/>
            <w:shd w:val="clear" w:color="auto" w:fill="auto"/>
            <w:noWrap/>
            <w:vAlign w:val="center"/>
          </w:tcPr>
          <w:p w14:paraId="09176431">
            <w:pPr>
              <w:widowControl/>
              <w:jc w:val="center"/>
              <w:rPr>
                <w:rFonts w:ascii="宋体" w:hAnsi="宋体" w:cs="宋体"/>
                <w:color w:val="auto"/>
                <w:kern w:val="0"/>
                <w:szCs w:val="24"/>
              </w:rPr>
            </w:pPr>
            <w:r>
              <w:rPr>
                <w:rFonts w:hint="eastAsia" w:ascii="宋体" w:hAnsi="宋体" w:cs="宋体"/>
                <w:color w:val="auto"/>
                <w:kern w:val="0"/>
                <w:szCs w:val="24"/>
              </w:rPr>
              <w:t>679</w:t>
            </w:r>
          </w:p>
        </w:tc>
      </w:tr>
      <w:tr w14:paraId="70E8AF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0EB7013B">
            <w:pPr>
              <w:widowControl/>
              <w:jc w:val="center"/>
              <w:rPr>
                <w:rFonts w:ascii="宋体" w:hAnsi="宋体" w:cs="宋体"/>
                <w:color w:val="auto"/>
                <w:kern w:val="0"/>
                <w:szCs w:val="24"/>
              </w:rPr>
            </w:pPr>
            <w:r>
              <w:rPr>
                <w:rFonts w:hint="eastAsia" w:ascii="宋体" w:hAnsi="宋体" w:cs="宋体"/>
                <w:color w:val="auto"/>
                <w:kern w:val="0"/>
                <w:szCs w:val="24"/>
              </w:rPr>
              <w:t>8</w:t>
            </w:r>
          </w:p>
        </w:tc>
        <w:tc>
          <w:tcPr>
            <w:tcW w:w="870" w:type="pct"/>
            <w:shd w:val="clear" w:color="auto" w:fill="FFFFFF"/>
            <w:noWrap/>
            <w:vAlign w:val="center"/>
          </w:tcPr>
          <w:p w14:paraId="1F1DA789">
            <w:pPr>
              <w:widowControl/>
              <w:jc w:val="center"/>
              <w:rPr>
                <w:rFonts w:ascii="宋体" w:hAnsi="宋体" w:cs="宋体"/>
                <w:color w:val="auto"/>
                <w:kern w:val="0"/>
              </w:rPr>
            </w:pPr>
            <w:r>
              <w:rPr>
                <w:rFonts w:hint="eastAsia" w:ascii="宋体" w:hAnsi="宋体" w:cs="宋体"/>
                <w:color w:val="auto"/>
                <w:kern w:val="0"/>
              </w:rPr>
              <w:t>FJF18-X23</w:t>
            </w:r>
          </w:p>
        </w:tc>
        <w:tc>
          <w:tcPr>
            <w:tcW w:w="907" w:type="pct"/>
            <w:shd w:val="clear" w:color="auto" w:fill="auto"/>
            <w:noWrap/>
            <w:vAlign w:val="center"/>
          </w:tcPr>
          <w:p w14:paraId="7FEB1E15">
            <w:pPr>
              <w:widowControl/>
              <w:jc w:val="center"/>
              <w:rPr>
                <w:rFonts w:ascii="宋体" w:hAnsi="宋体" w:cs="宋体"/>
                <w:color w:val="auto"/>
                <w:kern w:val="0"/>
                <w:szCs w:val="24"/>
              </w:rPr>
            </w:pPr>
            <w:r>
              <w:rPr>
                <w:rFonts w:hint="eastAsia" w:ascii="宋体" w:hAnsi="宋体" w:cs="宋体"/>
                <w:color w:val="auto"/>
                <w:kern w:val="0"/>
                <w:szCs w:val="24"/>
              </w:rPr>
              <w:t>1080</w:t>
            </w:r>
          </w:p>
        </w:tc>
        <w:tc>
          <w:tcPr>
            <w:tcW w:w="1879" w:type="pct"/>
            <w:shd w:val="clear" w:color="auto" w:fill="auto"/>
            <w:noWrap/>
            <w:vAlign w:val="center"/>
          </w:tcPr>
          <w:p w14:paraId="34226896">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907" w:type="pct"/>
            <w:shd w:val="clear" w:color="auto" w:fill="auto"/>
            <w:noWrap/>
            <w:vAlign w:val="center"/>
          </w:tcPr>
          <w:p w14:paraId="59F674A6">
            <w:pPr>
              <w:widowControl/>
              <w:jc w:val="center"/>
              <w:rPr>
                <w:rFonts w:ascii="宋体" w:hAnsi="宋体" w:cs="宋体"/>
                <w:color w:val="auto"/>
                <w:kern w:val="0"/>
                <w:szCs w:val="24"/>
              </w:rPr>
            </w:pPr>
            <w:r>
              <w:rPr>
                <w:rFonts w:hint="eastAsia" w:ascii="宋体" w:hAnsi="宋体" w:cs="宋体"/>
                <w:color w:val="auto"/>
                <w:kern w:val="0"/>
                <w:szCs w:val="24"/>
              </w:rPr>
              <w:t>493</w:t>
            </w:r>
          </w:p>
        </w:tc>
      </w:tr>
      <w:tr w14:paraId="1BC413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3DC5BBA3">
            <w:pPr>
              <w:widowControl/>
              <w:jc w:val="center"/>
              <w:rPr>
                <w:rFonts w:ascii="宋体" w:hAnsi="宋体" w:cs="宋体"/>
                <w:color w:val="auto"/>
                <w:kern w:val="0"/>
                <w:szCs w:val="24"/>
              </w:rPr>
            </w:pPr>
            <w:r>
              <w:rPr>
                <w:rFonts w:hint="eastAsia" w:ascii="宋体" w:hAnsi="宋体" w:cs="宋体"/>
                <w:color w:val="auto"/>
                <w:kern w:val="0"/>
                <w:szCs w:val="24"/>
              </w:rPr>
              <w:t>9</w:t>
            </w:r>
          </w:p>
        </w:tc>
        <w:tc>
          <w:tcPr>
            <w:tcW w:w="870" w:type="pct"/>
            <w:shd w:val="clear" w:color="auto" w:fill="FFFFFF"/>
            <w:noWrap/>
            <w:vAlign w:val="center"/>
          </w:tcPr>
          <w:p w14:paraId="341848F2">
            <w:pPr>
              <w:widowControl/>
              <w:jc w:val="center"/>
              <w:rPr>
                <w:rFonts w:ascii="宋体" w:hAnsi="宋体" w:cs="宋体"/>
                <w:color w:val="auto"/>
                <w:kern w:val="0"/>
              </w:rPr>
            </w:pPr>
            <w:r>
              <w:rPr>
                <w:rFonts w:hint="eastAsia" w:ascii="宋体" w:hAnsi="宋体" w:cs="宋体"/>
                <w:color w:val="auto"/>
                <w:kern w:val="0"/>
              </w:rPr>
              <w:t>FJF11-X123</w:t>
            </w:r>
          </w:p>
        </w:tc>
        <w:tc>
          <w:tcPr>
            <w:tcW w:w="907" w:type="pct"/>
            <w:shd w:val="clear" w:color="auto" w:fill="auto"/>
            <w:noWrap/>
            <w:vAlign w:val="center"/>
          </w:tcPr>
          <w:p w14:paraId="7D39115E">
            <w:pPr>
              <w:widowControl/>
              <w:jc w:val="center"/>
              <w:rPr>
                <w:rFonts w:ascii="宋体" w:hAnsi="宋体" w:cs="宋体"/>
                <w:color w:val="auto"/>
                <w:kern w:val="0"/>
                <w:szCs w:val="24"/>
              </w:rPr>
            </w:pPr>
            <w:r>
              <w:rPr>
                <w:rFonts w:hint="eastAsia" w:ascii="宋体" w:hAnsi="宋体" w:cs="宋体"/>
                <w:color w:val="auto"/>
                <w:kern w:val="0"/>
                <w:szCs w:val="24"/>
              </w:rPr>
              <w:t>742</w:t>
            </w:r>
          </w:p>
        </w:tc>
        <w:tc>
          <w:tcPr>
            <w:tcW w:w="1879" w:type="pct"/>
            <w:shd w:val="clear" w:color="auto" w:fill="auto"/>
            <w:noWrap/>
            <w:vAlign w:val="center"/>
          </w:tcPr>
          <w:p w14:paraId="51944325">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907" w:type="pct"/>
            <w:shd w:val="clear" w:color="auto" w:fill="auto"/>
            <w:noWrap/>
            <w:vAlign w:val="center"/>
          </w:tcPr>
          <w:p w14:paraId="3034F946">
            <w:pPr>
              <w:widowControl/>
              <w:jc w:val="center"/>
              <w:rPr>
                <w:rFonts w:ascii="宋体" w:hAnsi="宋体" w:cs="宋体"/>
                <w:color w:val="auto"/>
                <w:kern w:val="0"/>
                <w:szCs w:val="24"/>
              </w:rPr>
            </w:pPr>
            <w:r>
              <w:rPr>
                <w:rFonts w:hint="eastAsia" w:ascii="宋体" w:hAnsi="宋体" w:cs="宋体"/>
                <w:color w:val="auto"/>
                <w:kern w:val="0"/>
                <w:szCs w:val="24"/>
              </w:rPr>
              <w:t>224</w:t>
            </w:r>
          </w:p>
        </w:tc>
      </w:tr>
      <w:tr w14:paraId="64E442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3001E37F">
            <w:pPr>
              <w:widowControl/>
              <w:jc w:val="center"/>
              <w:rPr>
                <w:rFonts w:ascii="宋体" w:hAnsi="宋体" w:cs="宋体"/>
                <w:color w:val="auto"/>
                <w:kern w:val="0"/>
                <w:szCs w:val="24"/>
              </w:rPr>
            </w:pPr>
            <w:r>
              <w:rPr>
                <w:rFonts w:hint="eastAsia" w:ascii="宋体" w:hAnsi="宋体" w:cs="宋体"/>
                <w:color w:val="auto"/>
                <w:kern w:val="0"/>
                <w:szCs w:val="24"/>
              </w:rPr>
              <w:t>10</w:t>
            </w:r>
          </w:p>
        </w:tc>
        <w:tc>
          <w:tcPr>
            <w:tcW w:w="870" w:type="pct"/>
            <w:shd w:val="clear" w:color="auto" w:fill="FFFFFF"/>
            <w:noWrap/>
            <w:vAlign w:val="center"/>
          </w:tcPr>
          <w:p w14:paraId="46191D81">
            <w:pPr>
              <w:widowControl/>
              <w:jc w:val="center"/>
              <w:rPr>
                <w:rFonts w:ascii="宋体" w:hAnsi="宋体" w:cs="宋体"/>
                <w:color w:val="auto"/>
                <w:kern w:val="0"/>
              </w:rPr>
            </w:pPr>
            <w:r>
              <w:rPr>
                <w:rFonts w:hint="eastAsia" w:ascii="宋体" w:hAnsi="宋体" w:cs="宋体"/>
                <w:color w:val="auto"/>
                <w:kern w:val="0"/>
              </w:rPr>
              <w:t>FJF11-X122</w:t>
            </w:r>
          </w:p>
        </w:tc>
        <w:tc>
          <w:tcPr>
            <w:tcW w:w="907" w:type="pct"/>
            <w:shd w:val="clear" w:color="auto" w:fill="auto"/>
            <w:noWrap/>
            <w:vAlign w:val="center"/>
          </w:tcPr>
          <w:p w14:paraId="0C9C6A4D">
            <w:pPr>
              <w:widowControl/>
              <w:jc w:val="center"/>
              <w:rPr>
                <w:rFonts w:ascii="宋体" w:hAnsi="宋体" w:cs="宋体"/>
                <w:color w:val="auto"/>
                <w:kern w:val="0"/>
                <w:szCs w:val="24"/>
              </w:rPr>
            </w:pPr>
            <w:r>
              <w:rPr>
                <w:rFonts w:hint="eastAsia" w:ascii="宋体" w:hAnsi="宋体" w:cs="宋体"/>
                <w:color w:val="auto"/>
                <w:kern w:val="0"/>
                <w:szCs w:val="24"/>
              </w:rPr>
              <w:t>640</w:t>
            </w:r>
          </w:p>
        </w:tc>
        <w:tc>
          <w:tcPr>
            <w:tcW w:w="1879" w:type="pct"/>
            <w:shd w:val="clear" w:color="auto" w:fill="auto"/>
            <w:noWrap/>
            <w:vAlign w:val="center"/>
          </w:tcPr>
          <w:p w14:paraId="678B147A">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907" w:type="pct"/>
            <w:shd w:val="clear" w:color="auto" w:fill="auto"/>
            <w:noWrap/>
            <w:vAlign w:val="center"/>
          </w:tcPr>
          <w:p w14:paraId="53D88880">
            <w:pPr>
              <w:widowControl/>
              <w:jc w:val="center"/>
              <w:rPr>
                <w:rFonts w:ascii="宋体" w:hAnsi="宋体" w:cs="宋体"/>
                <w:color w:val="auto"/>
                <w:kern w:val="0"/>
                <w:szCs w:val="24"/>
              </w:rPr>
            </w:pPr>
            <w:r>
              <w:rPr>
                <w:rFonts w:hint="eastAsia" w:ascii="宋体" w:hAnsi="宋体" w:cs="宋体"/>
                <w:color w:val="auto"/>
                <w:kern w:val="0"/>
                <w:szCs w:val="24"/>
              </w:rPr>
              <w:t>195</w:t>
            </w:r>
          </w:p>
        </w:tc>
      </w:tr>
      <w:tr w14:paraId="7CBFF5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1E06BD90">
            <w:pPr>
              <w:widowControl/>
              <w:jc w:val="center"/>
              <w:rPr>
                <w:rFonts w:ascii="宋体" w:hAnsi="宋体" w:cs="宋体"/>
                <w:color w:val="auto"/>
                <w:kern w:val="0"/>
                <w:szCs w:val="24"/>
              </w:rPr>
            </w:pPr>
            <w:r>
              <w:rPr>
                <w:rFonts w:hint="eastAsia" w:ascii="宋体" w:hAnsi="宋体" w:cs="宋体"/>
                <w:color w:val="auto"/>
                <w:kern w:val="0"/>
                <w:szCs w:val="24"/>
              </w:rPr>
              <w:t>11</w:t>
            </w:r>
          </w:p>
        </w:tc>
        <w:tc>
          <w:tcPr>
            <w:tcW w:w="870" w:type="pct"/>
            <w:shd w:val="clear" w:color="auto" w:fill="FFFFFF"/>
            <w:noWrap/>
            <w:vAlign w:val="center"/>
          </w:tcPr>
          <w:p w14:paraId="2ADC612D">
            <w:pPr>
              <w:widowControl/>
              <w:jc w:val="center"/>
              <w:rPr>
                <w:rFonts w:ascii="宋体" w:hAnsi="宋体" w:cs="宋体"/>
                <w:color w:val="auto"/>
                <w:kern w:val="0"/>
              </w:rPr>
            </w:pPr>
            <w:r>
              <w:rPr>
                <w:rFonts w:hint="eastAsia" w:ascii="宋体" w:hAnsi="宋体" w:cs="宋体"/>
                <w:color w:val="auto"/>
                <w:kern w:val="0"/>
              </w:rPr>
              <w:t>FJF11-X120</w:t>
            </w:r>
          </w:p>
        </w:tc>
        <w:tc>
          <w:tcPr>
            <w:tcW w:w="907" w:type="pct"/>
            <w:shd w:val="clear" w:color="auto" w:fill="auto"/>
            <w:noWrap/>
            <w:vAlign w:val="center"/>
          </w:tcPr>
          <w:p w14:paraId="39618214">
            <w:pPr>
              <w:widowControl/>
              <w:jc w:val="center"/>
              <w:rPr>
                <w:rFonts w:ascii="宋体" w:hAnsi="宋体" w:cs="宋体"/>
                <w:color w:val="auto"/>
                <w:kern w:val="0"/>
                <w:szCs w:val="24"/>
              </w:rPr>
            </w:pPr>
            <w:r>
              <w:rPr>
                <w:rFonts w:hint="eastAsia" w:ascii="宋体" w:hAnsi="宋体" w:cs="宋体"/>
                <w:color w:val="auto"/>
                <w:kern w:val="0"/>
                <w:szCs w:val="24"/>
              </w:rPr>
              <w:t>794</w:t>
            </w:r>
          </w:p>
        </w:tc>
        <w:tc>
          <w:tcPr>
            <w:tcW w:w="1879" w:type="pct"/>
            <w:shd w:val="clear" w:color="auto" w:fill="auto"/>
            <w:noWrap/>
            <w:vAlign w:val="center"/>
          </w:tcPr>
          <w:p w14:paraId="72838174">
            <w:pPr>
              <w:widowControl/>
              <w:jc w:val="center"/>
              <w:rPr>
                <w:rFonts w:ascii="宋体" w:hAnsi="宋体" w:cs="宋体"/>
                <w:color w:val="auto"/>
                <w:kern w:val="0"/>
                <w:szCs w:val="24"/>
              </w:rPr>
            </w:pPr>
            <w:r>
              <w:rPr>
                <w:rFonts w:hint="eastAsia" w:ascii="宋体" w:hAnsi="宋体" w:cs="宋体"/>
                <w:color w:val="auto"/>
                <w:kern w:val="0"/>
                <w:szCs w:val="24"/>
              </w:rPr>
              <w:t>天正俊源环保科技有限公司</w:t>
            </w:r>
          </w:p>
        </w:tc>
        <w:tc>
          <w:tcPr>
            <w:tcW w:w="907" w:type="pct"/>
            <w:shd w:val="clear" w:color="auto" w:fill="auto"/>
            <w:noWrap/>
            <w:vAlign w:val="center"/>
          </w:tcPr>
          <w:p w14:paraId="13B69256">
            <w:pPr>
              <w:widowControl/>
              <w:jc w:val="center"/>
              <w:rPr>
                <w:rFonts w:ascii="宋体" w:hAnsi="宋体" w:cs="宋体"/>
                <w:color w:val="auto"/>
                <w:kern w:val="0"/>
                <w:szCs w:val="24"/>
              </w:rPr>
            </w:pPr>
            <w:r>
              <w:rPr>
                <w:rFonts w:hint="eastAsia" w:ascii="宋体" w:hAnsi="宋体" w:cs="宋体"/>
                <w:color w:val="auto"/>
                <w:kern w:val="0"/>
                <w:szCs w:val="24"/>
              </w:rPr>
              <w:t>233</w:t>
            </w:r>
          </w:p>
        </w:tc>
      </w:tr>
      <w:tr w14:paraId="523003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6A168252">
            <w:pPr>
              <w:widowControl/>
              <w:jc w:val="center"/>
              <w:rPr>
                <w:rFonts w:ascii="宋体" w:hAnsi="宋体" w:cs="宋体"/>
                <w:color w:val="auto"/>
                <w:kern w:val="0"/>
                <w:szCs w:val="24"/>
              </w:rPr>
            </w:pPr>
            <w:r>
              <w:rPr>
                <w:rFonts w:hint="eastAsia" w:ascii="宋体" w:hAnsi="宋体" w:cs="宋体"/>
                <w:color w:val="auto"/>
                <w:kern w:val="0"/>
                <w:szCs w:val="24"/>
              </w:rPr>
              <w:t>12</w:t>
            </w:r>
          </w:p>
        </w:tc>
        <w:tc>
          <w:tcPr>
            <w:tcW w:w="870" w:type="pct"/>
            <w:shd w:val="clear" w:color="auto" w:fill="FFFFFF"/>
            <w:noWrap/>
            <w:vAlign w:val="center"/>
          </w:tcPr>
          <w:p w14:paraId="0F875E8E">
            <w:pPr>
              <w:widowControl/>
              <w:jc w:val="center"/>
              <w:rPr>
                <w:rFonts w:ascii="宋体" w:hAnsi="宋体" w:cs="宋体"/>
                <w:color w:val="auto"/>
                <w:kern w:val="0"/>
              </w:rPr>
            </w:pPr>
            <w:r>
              <w:rPr>
                <w:rFonts w:hint="eastAsia" w:ascii="宋体" w:hAnsi="宋体" w:cs="宋体"/>
                <w:color w:val="auto"/>
                <w:kern w:val="0"/>
              </w:rPr>
              <w:t>FJF11-X117</w:t>
            </w:r>
          </w:p>
        </w:tc>
        <w:tc>
          <w:tcPr>
            <w:tcW w:w="907" w:type="pct"/>
            <w:shd w:val="clear" w:color="auto" w:fill="auto"/>
            <w:noWrap/>
            <w:vAlign w:val="center"/>
          </w:tcPr>
          <w:p w14:paraId="243195FB">
            <w:pPr>
              <w:widowControl/>
              <w:jc w:val="center"/>
              <w:rPr>
                <w:rFonts w:ascii="宋体" w:hAnsi="宋体" w:cs="宋体"/>
                <w:color w:val="auto"/>
                <w:kern w:val="0"/>
                <w:szCs w:val="24"/>
              </w:rPr>
            </w:pPr>
            <w:r>
              <w:rPr>
                <w:rFonts w:hint="eastAsia" w:ascii="宋体" w:hAnsi="宋体" w:cs="宋体"/>
                <w:color w:val="auto"/>
                <w:kern w:val="0"/>
                <w:szCs w:val="24"/>
              </w:rPr>
              <w:t>845</w:t>
            </w:r>
          </w:p>
        </w:tc>
        <w:tc>
          <w:tcPr>
            <w:tcW w:w="1879" w:type="pct"/>
            <w:shd w:val="clear" w:color="auto" w:fill="auto"/>
            <w:noWrap/>
            <w:vAlign w:val="center"/>
          </w:tcPr>
          <w:p w14:paraId="01890686">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907" w:type="pct"/>
            <w:shd w:val="clear" w:color="auto" w:fill="auto"/>
            <w:noWrap/>
            <w:vAlign w:val="center"/>
          </w:tcPr>
          <w:p w14:paraId="652316FE">
            <w:pPr>
              <w:widowControl/>
              <w:jc w:val="center"/>
              <w:rPr>
                <w:rFonts w:ascii="宋体" w:hAnsi="宋体" w:cs="宋体"/>
                <w:color w:val="auto"/>
                <w:kern w:val="0"/>
                <w:szCs w:val="24"/>
              </w:rPr>
            </w:pPr>
            <w:r>
              <w:rPr>
                <w:rFonts w:hint="eastAsia" w:ascii="宋体" w:hAnsi="宋体" w:cs="宋体"/>
                <w:color w:val="auto"/>
                <w:kern w:val="0"/>
                <w:szCs w:val="24"/>
              </w:rPr>
              <w:t>234</w:t>
            </w:r>
          </w:p>
        </w:tc>
      </w:tr>
      <w:tr w14:paraId="332E68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19FC2A5B">
            <w:pPr>
              <w:widowControl/>
              <w:jc w:val="center"/>
              <w:rPr>
                <w:rFonts w:ascii="宋体" w:hAnsi="宋体" w:cs="宋体"/>
                <w:color w:val="auto"/>
                <w:kern w:val="0"/>
                <w:szCs w:val="24"/>
              </w:rPr>
            </w:pPr>
            <w:r>
              <w:rPr>
                <w:rFonts w:hint="eastAsia" w:ascii="宋体" w:hAnsi="宋体" w:cs="宋体"/>
                <w:color w:val="auto"/>
                <w:kern w:val="0"/>
                <w:szCs w:val="24"/>
              </w:rPr>
              <w:t>13</w:t>
            </w:r>
          </w:p>
        </w:tc>
        <w:tc>
          <w:tcPr>
            <w:tcW w:w="870" w:type="pct"/>
            <w:shd w:val="clear" w:color="auto" w:fill="FFFFFF"/>
            <w:noWrap/>
            <w:vAlign w:val="center"/>
          </w:tcPr>
          <w:p w14:paraId="0D347ECC">
            <w:pPr>
              <w:widowControl/>
              <w:jc w:val="center"/>
              <w:rPr>
                <w:rFonts w:ascii="宋体" w:hAnsi="宋体" w:cs="宋体"/>
                <w:color w:val="auto"/>
                <w:kern w:val="0"/>
              </w:rPr>
            </w:pPr>
            <w:r>
              <w:rPr>
                <w:rFonts w:hint="eastAsia" w:ascii="宋体" w:hAnsi="宋体" w:cs="宋体"/>
                <w:color w:val="auto"/>
                <w:kern w:val="0"/>
              </w:rPr>
              <w:t>FJF11-X118</w:t>
            </w:r>
          </w:p>
        </w:tc>
        <w:tc>
          <w:tcPr>
            <w:tcW w:w="907" w:type="pct"/>
            <w:shd w:val="clear" w:color="auto" w:fill="auto"/>
            <w:noWrap/>
            <w:vAlign w:val="center"/>
          </w:tcPr>
          <w:p w14:paraId="69A6362C">
            <w:pPr>
              <w:widowControl/>
              <w:jc w:val="center"/>
              <w:rPr>
                <w:rFonts w:ascii="宋体" w:hAnsi="宋体" w:cs="宋体"/>
                <w:color w:val="auto"/>
                <w:kern w:val="0"/>
                <w:szCs w:val="24"/>
              </w:rPr>
            </w:pPr>
            <w:r>
              <w:rPr>
                <w:rFonts w:hint="eastAsia" w:ascii="宋体" w:hAnsi="宋体" w:cs="宋体"/>
                <w:color w:val="auto"/>
                <w:kern w:val="0"/>
                <w:szCs w:val="24"/>
              </w:rPr>
              <w:t>693.5</w:t>
            </w:r>
          </w:p>
        </w:tc>
        <w:tc>
          <w:tcPr>
            <w:tcW w:w="1879" w:type="pct"/>
            <w:shd w:val="clear" w:color="auto" w:fill="auto"/>
            <w:noWrap/>
            <w:vAlign w:val="center"/>
          </w:tcPr>
          <w:p w14:paraId="483E9486">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907" w:type="pct"/>
            <w:shd w:val="clear" w:color="auto" w:fill="auto"/>
            <w:noWrap/>
            <w:vAlign w:val="center"/>
          </w:tcPr>
          <w:p w14:paraId="68A494DD">
            <w:pPr>
              <w:widowControl/>
              <w:jc w:val="center"/>
              <w:rPr>
                <w:rFonts w:ascii="宋体" w:hAnsi="宋体" w:cs="宋体"/>
                <w:color w:val="auto"/>
                <w:kern w:val="0"/>
                <w:szCs w:val="24"/>
              </w:rPr>
            </w:pPr>
            <w:r>
              <w:rPr>
                <w:rFonts w:hint="eastAsia" w:ascii="宋体" w:hAnsi="宋体" w:cs="宋体"/>
                <w:color w:val="auto"/>
                <w:kern w:val="0"/>
                <w:szCs w:val="24"/>
              </w:rPr>
              <w:t>223.5</w:t>
            </w:r>
          </w:p>
        </w:tc>
      </w:tr>
      <w:tr w14:paraId="1AABE0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2FC88839">
            <w:pPr>
              <w:widowControl/>
              <w:jc w:val="center"/>
              <w:rPr>
                <w:rFonts w:ascii="宋体" w:hAnsi="宋体" w:cs="宋体"/>
                <w:color w:val="auto"/>
                <w:kern w:val="0"/>
                <w:szCs w:val="24"/>
              </w:rPr>
            </w:pPr>
            <w:r>
              <w:rPr>
                <w:rFonts w:hint="eastAsia" w:ascii="宋体" w:hAnsi="宋体" w:cs="宋体"/>
                <w:color w:val="auto"/>
                <w:kern w:val="0"/>
                <w:szCs w:val="24"/>
              </w:rPr>
              <w:t>14</w:t>
            </w:r>
          </w:p>
        </w:tc>
        <w:tc>
          <w:tcPr>
            <w:tcW w:w="870" w:type="pct"/>
            <w:shd w:val="clear" w:color="auto" w:fill="FFFFFF"/>
            <w:noWrap/>
            <w:vAlign w:val="center"/>
          </w:tcPr>
          <w:p w14:paraId="27ACD097">
            <w:pPr>
              <w:widowControl/>
              <w:jc w:val="center"/>
              <w:rPr>
                <w:rFonts w:ascii="宋体" w:hAnsi="宋体" w:cs="宋体"/>
                <w:color w:val="auto"/>
                <w:kern w:val="0"/>
              </w:rPr>
            </w:pPr>
            <w:r>
              <w:rPr>
                <w:rFonts w:hint="eastAsia" w:ascii="宋体" w:hAnsi="宋体" w:cs="宋体"/>
                <w:color w:val="auto"/>
                <w:kern w:val="0"/>
              </w:rPr>
              <w:t>FJF11-X115</w:t>
            </w:r>
          </w:p>
        </w:tc>
        <w:tc>
          <w:tcPr>
            <w:tcW w:w="907" w:type="pct"/>
            <w:shd w:val="clear" w:color="auto" w:fill="auto"/>
            <w:noWrap/>
            <w:vAlign w:val="center"/>
          </w:tcPr>
          <w:p w14:paraId="4E3CFEF0">
            <w:pPr>
              <w:widowControl/>
              <w:jc w:val="center"/>
              <w:rPr>
                <w:rFonts w:ascii="宋体" w:hAnsi="宋体" w:cs="宋体"/>
                <w:color w:val="auto"/>
                <w:kern w:val="0"/>
                <w:szCs w:val="24"/>
              </w:rPr>
            </w:pPr>
            <w:r>
              <w:rPr>
                <w:rFonts w:hint="eastAsia" w:ascii="宋体" w:hAnsi="宋体" w:cs="宋体"/>
                <w:color w:val="auto"/>
                <w:kern w:val="0"/>
                <w:szCs w:val="24"/>
              </w:rPr>
              <w:t>850.5</w:t>
            </w:r>
          </w:p>
        </w:tc>
        <w:tc>
          <w:tcPr>
            <w:tcW w:w="1879" w:type="pct"/>
            <w:shd w:val="clear" w:color="auto" w:fill="auto"/>
            <w:noWrap/>
            <w:vAlign w:val="center"/>
          </w:tcPr>
          <w:p w14:paraId="59040510">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907" w:type="pct"/>
            <w:shd w:val="clear" w:color="auto" w:fill="auto"/>
            <w:noWrap/>
            <w:vAlign w:val="center"/>
          </w:tcPr>
          <w:p w14:paraId="119A0332">
            <w:pPr>
              <w:widowControl/>
              <w:jc w:val="center"/>
              <w:rPr>
                <w:rFonts w:ascii="宋体" w:hAnsi="宋体" w:cs="宋体"/>
                <w:color w:val="auto"/>
                <w:kern w:val="0"/>
                <w:szCs w:val="24"/>
              </w:rPr>
            </w:pPr>
            <w:r>
              <w:rPr>
                <w:rFonts w:hint="eastAsia" w:ascii="宋体" w:hAnsi="宋体" w:cs="宋体"/>
                <w:color w:val="auto"/>
                <w:kern w:val="0"/>
                <w:szCs w:val="24"/>
              </w:rPr>
              <w:t>264.5</w:t>
            </w:r>
          </w:p>
        </w:tc>
      </w:tr>
      <w:tr w14:paraId="54EE2F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1CB4486E">
            <w:pPr>
              <w:widowControl/>
              <w:jc w:val="center"/>
              <w:rPr>
                <w:rFonts w:ascii="宋体" w:hAnsi="宋体" w:cs="宋体"/>
                <w:color w:val="auto"/>
                <w:kern w:val="0"/>
                <w:szCs w:val="24"/>
              </w:rPr>
            </w:pPr>
            <w:r>
              <w:rPr>
                <w:rFonts w:hint="eastAsia" w:ascii="宋体" w:hAnsi="宋体" w:cs="宋体"/>
                <w:color w:val="auto"/>
                <w:kern w:val="0"/>
                <w:szCs w:val="24"/>
              </w:rPr>
              <w:t>15</w:t>
            </w:r>
          </w:p>
        </w:tc>
        <w:tc>
          <w:tcPr>
            <w:tcW w:w="870" w:type="pct"/>
            <w:shd w:val="clear" w:color="auto" w:fill="FFFFFF"/>
            <w:noWrap/>
            <w:vAlign w:val="center"/>
          </w:tcPr>
          <w:p w14:paraId="029D0B86">
            <w:pPr>
              <w:widowControl/>
              <w:jc w:val="center"/>
              <w:rPr>
                <w:rFonts w:ascii="宋体" w:hAnsi="宋体" w:cs="宋体"/>
                <w:color w:val="auto"/>
                <w:kern w:val="0"/>
              </w:rPr>
            </w:pPr>
            <w:r>
              <w:rPr>
                <w:rFonts w:hint="eastAsia" w:ascii="宋体" w:hAnsi="宋体" w:cs="宋体"/>
                <w:color w:val="auto"/>
                <w:kern w:val="0"/>
              </w:rPr>
              <w:t>FJF121-X95</w:t>
            </w:r>
          </w:p>
        </w:tc>
        <w:tc>
          <w:tcPr>
            <w:tcW w:w="907" w:type="pct"/>
            <w:shd w:val="clear" w:color="auto" w:fill="auto"/>
            <w:noWrap/>
            <w:vAlign w:val="center"/>
          </w:tcPr>
          <w:p w14:paraId="43D18289">
            <w:pPr>
              <w:widowControl/>
              <w:jc w:val="center"/>
              <w:rPr>
                <w:rFonts w:ascii="宋体" w:hAnsi="宋体" w:cs="宋体"/>
                <w:color w:val="auto"/>
                <w:kern w:val="0"/>
                <w:szCs w:val="24"/>
              </w:rPr>
            </w:pPr>
            <w:r>
              <w:rPr>
                <w:rFonts w:hint="eastAsia" w:ascii="宋体" w:hAnsi="宋体" w:cs="宋体"/>
                <w:color w:val="auto"/>
                <w:kern w:val="0"/>
                <w:szCs w:val="24"/>
              </w:rPr>
              <w:t>1120</w:t>
            </w:r>
          </w:p>
        </w:tc>
        <w:tc>
          <w:tcPr>
            <w:tcW w:w="1879" w:type="pct"/>
            <w:shd w:val="clear" w:color="auto" w:fill="auto"/>
            <w:noWrap/>
            <w:vAlign w:val="center"/>
          </w:tcPr>
          <w:p w14:paraId="05C68E2E">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907" w:type="pct"/>
            <w:shd w:val="clear" w:color="auto" w:fill="auto"/>
            <w:noWrap/>
            <w:vAlign w:val="center"/>
          </w:tcPr>
          <w:p w14:paraId="7B3095CD">
            <w:pPr>
              <w:widowControl/>
              <w:jc w:val="center"/>
              <w:rPr>
                <w:rFonts w:ascii="宋体" w:hAnsi="宋体" w:cs="宋体"/>
                <w:color w:val="auto"/>
                <w:kern w:val="0"/>
                <w:szCs w:val="24"/>
              </w:rPr>
            </w:pPr>
            <w:r>
              <w:rPr>
                <w:rFonts w:hint="eastAsia" w:ascii="宋体" w:hAnsi="宋体" w:cs="宋体"/>
                <w:color w:val="auto"/>
                <w:kern w:val="0"/>
                <w:szCs w:val="24"/>
              </w:rPr>
              <w:t>412</w:t>
            </w:r>
          </w:p>
        </w:tc>
      </w:tr>
      <w:tr w14:paraId="595F33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236E1601">
            <w:pPr>
              <w:widowControl/>
              <w:jc w:val="center"/>
              <w:rPr>
                <w:rFonts w:ascii="宋体" w:hAnsi="宋体" w:cs="宋体"/>
                <w:color w:val="auto"/>
                <w:kern w:val="0"/>
                <w:szCs w:val="24"/>
              </w:rPr>
            </w:pPr>
            <w:r>
              <w:rPr>
                <w:rFonts w:hint="eastAsia" w:ascii="宋体" w:hAnsi="宋体" w:cs="宋体"/>
                <w:color w:val="auto"/>
                <w:kern w:val="0"/>
                <w:szCs w:val="24"/>
              </w:rPr>
              <w:t>16</w:t>
            </w:r>
          </w:p>
        </w:tc>
        <w:tc>
          <w:tcPr>
            <w:tcW w:w="870" w:type="pct"/>
            <w:shd w:val="clear" w:color="auto" w:fill="FFFFFF"/>
            <w:noWrap/>
            <w:vAlign w:val="center"/>
          </w:tcPr>
          <w:p w14:paraId="21FA9050">
            <w:pPr>
              <w:widowControl/>
              <w:jc w:val="center"/>
              <w:rPr>
                <w:rFonts w:ascii="宋体" w:hAnsi="宋体" w:cs="宋体"/>
                <w:color w:val="auto"/>
                <w:kern w:val="0"/>
              </w:rPr>
            </w:pPr>
            <w:r>
              <w:rPr>
                <w:rFonts w:hint="eastAsia" w:ascii="宋体" w:hAnsi="宋体" w:cs="宋体"/>
                <w:color w:val="auto"/>
                <w:kern w:val="0"/>
              </w:rPr>
              <w:t>FJF121-X97</w:t>
            </w:r>
          </w:p>
        </w:tc>
        <w:tc>
          <w:tcPr>
            <w:tcW w:w="907" w:type="pct"/>
            <w:shd w:val="clear" w:color="auto" w:fill="auto"/>
            <w:noWrap/>
            <w:vAlign w:val="center"/>
          </w:tcPr>
          <w:p w14:paraId="57C1561F">
            <w:pPr>
              <w:widowControl/>
              <w:jc w:val="center"/>
              <w:rPr>
                <w:rFonts w:ascii="宋体" w:hAnsi="宋体" w:cs="宋体"/>
                <w:color w:val="auto"/>
                <w:kern w:val="0"/>
                <w:szCs w:val="24"/>
              </w:rPr>
            </w:pPr>
            <w:r>
              <w:rPr>
                <w:rFonts w:hint="eastAsia" w:ascii="宋体" w:hAnsi="宋体" w:cs="宋体"/>
                <w:color w:val="auto"/>
                <w:kern w:val="0"/>
                <w:szCs w:val="24"/>
              </w:rPr>
              <w:t>1520</w:t>
            </w:r>
          </w:p>
        </w:tc>
        <w:tc>
          <w:tcPr>
            <w:tcW w:w="1879" w:type="pct"/>
            <w:shd w:val="clear" w:color="auto" w:fill="auto"/>
            <w:noWrap/>
            <w:vAlign w:val="center"/>
          </w:tcPr>
          <w:p w14:paraId="0A029AFC">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907" w:type="pct"/>
            <w:shd w:val="clear" w:color="auto" w:fill="auto"/>
            <w:noWrap/>
            <w:vAlign w:val="center"/>
          </w:tcPr>
          <w:p w14:paraId="3AEDCFC6">
            <w:pPr>
              <w:widowControl/>
              <w:jc w:val="center"/>
              <w:rPr>
                <w:rFonts w:ascii="宋体" w:hAnsi="宋体" w:cs="宋体"/>
                <w:color w:val="auto"/>
                <w:kern w:val="0"/>
                <w:szCs w:val="24"/>
              </w:rPr>
            </w:pPr>
            <w:r>
              <w:rPr>
                <w:rFonts w:hint="eastAsia" w:ascii="宋体" w:hAnsi="宋体" w:cs="宋体"/>
                <w:color w:val="auto"/>
                <w:kern w:val="0"/>
                <w:szCs w:val="24"/>
              </w:rPr>
              <w:t>929</w:t>
            </w:r>
          </w:p>
        </w:tc>
      </w:tr>
      <w:tr w14:paraId="34CAB8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7" w:type="pct"/>
            <w:shd w:val="clear" w:color="auto" w:fill="auto"/>
            <w:noWrap/>
            <w:vAlign w:val="center"/>
          </w:tcPr>
          <w:p w14:paraId="3B339B94">
            <w:pPr>
              <w:widowControl/>
              <w:jc w:val="center"/>
              <w:rPr>
                <w:rFonts w:ascii="宋体" w:hAnsi="宋体" w:cs="宋体"/>
                <w:color w:val="auto"/>
                <w:kern w:val="0"/>
                <w:szCs w:val="24"/>
              </w:rPr>
            </w:pPr>
          </w:p>
        </w:tc>
        <w:tc>
          <w:tcPr>
            <w:tcW w:w="870" w:type="pct"/>
            <w:shd w:val="clear" w:color="auto" w:fill="auto"/>
            <w:noWrap/>
            <w:vAlign w:val="center"/>
          </w:tcPr>
          <w:p w14:paraId="17BA6DFC">
            <w:pPr>
              <w:widowControl/>
              <w:jc w:val="center"/>
              <w:rPr>
                <w:rFonts w:ascii="宋体" w:hAnsi="宋体" w:cs="宋体"/>
                <w:color w:val="auto"/>
                <w:kern w:val="0"/>
                <w:szCs w:val="24"/>
              </w:rPr>
            </w:pPr>
            <w:r>
              <w:rPr>
                <w:rFonts w:hint="eastAsia" w:ascii="宋体" w:hAnsi="宋体" w:cs="宋体"/>
                <w:color w:val="auto"/>
                <w:kern w:val="0"/>
                <w:szCs w:val="24"/>
              </w:rPr>
              <w:t>合计</w:t>
            </w:r>
          </w:p>
        </w:tc>
        <w:tc>
          <w:tcPr>
            <w:tcW w:w="907" w:type="pct"/>
            <w:shd w:val="clear" w:color="auto" w:fill="auto"/>
            <w:noWrap/>
            <w:vAlign w:val="center"/>
          </w:tcPr>
          <w:p w14:paraId="05FF5204">
            <w:pPr>
              <w:widowControl/>
              <w:jc w:val="center"/>
              <w:rPr>
                <w:rFonts w:ascii="宋体" w:hAnsi="宋体" w:cs="宋体"/>
                <w:color w:val="auto"/>
                <w:kern w:val="0"/>
                <w:szCs w:val="24"/>
              </w:rPr>
            </w:pPr>
            <w:r>
              <w:rPr>
                <w:rFonts w:hint="eastAsia" w:ascii="宋体" w:hAnsi="宋体" w:cs="宋体"/>
                <w:color w:val="auto"/>
                <w:kern w:val="0"/>
                <w:szCs w:val="24"/>
              </w:rPr>
              <w:t>15004.3</w:t>
            </w:r>
          </w:p>
        </w:tc>
        <w:tc>
          <w:tcPr>
            <w:tcW w:w="1879" w:type="pct"/>
            <w:shd w:val="clear" w:color="auto" w:fill="auto"/>
            <w:noWrap/>
            <w:vAlign w:val="center"/>
          </w:tcPr>
          <w:p w14:paraId="17F4E696">
            <w:pPr>
              <w:widowControl/>
              <w:jc w:val="center"/>
              <w:rPr>
                <w:rFonts w:ascii="宋体" w:hAnsi="宋体" w:cs="宋体"/>
                <w:color w:val="auto"/>
                <w:kern w:val="0"/>
                <w:szCs w:val="24"/>
              </w:rPr>
            </w:pPr>
          </w:p>
        </w:tc>
        <w:tc>
          <w:tcPr>
            <w:tcW w:w="907" w:type="pct"/>
            <w:shd w:val="clear" w:color="auto" w:fill="auto"/>
            <w:noWrap/>
            <w:vAlign w:val="center"/>
          </w:tcPr>
          <w:p w14:paraId="221DCBF5">
            <w:pPr>
              <w:widowControl/>
              <w:jc w:val="center"/>
              <w:rPr>
                <w:rFonts w:ascii="宋体" w:hAnsi="宋体" w:cs="宋体"/>
                <w:color w:val="auto"/>
                <w:kern w:val="0"/>
                <w:szCs w:val="24"/>
              </w:rPr>
            </w:pPr>
            <w:r>
              <w:rPr>
                <w:rFonts w:hint="eastAsia" w:ascii="宋体" w:hAnsi="宋体" w:cs="宋体"/>
                <w:color w:val="auto"/>
                <w:kern w:val="0"/>
                <w:szCs w:val="24"/>
              </w:rPr>
              <w:t>6259.3</w:t>
            </w:r>
          </w:p>
        </w:tc>
      </w:tr>
      <w:bookmarkEnd w:id="250"/>
      <w:bookmarkEnd w:id="251"/>
    </w:tbl>
    <w:p w14:paraId="4E5913DD">
      <w:pPr>
        <w:pStyle w:val="4"/>
        <w:ind w:firstLine="480"/>
        <w:rPr>
          <w:color w:val="auto"/>
        </w:rPr>
      </w:pPr>
    </w:p>
    <w:p w14:paraId="0F0366BE">
      <w:pPr>
        <w:pStyle w:val="4"/>
        <w:ind w:firstLine="480"/>
        <w:rPr>
          <w:color w:val="auto"/>
        </w:rPr>
      </w:pPr>
      <w:r>
        <w:rPr>
          <w:rFonts w:hint="eastAsia"/>
          <w:color w:val="auto"/>
        </w:rPr>
        <w:t>（2）施工作业废液</w:t>
      </w:r>
    </w:p>
    <w:p w14:paraId="2A4E4225">
      <w:pPr>
        <w:pStyle w:val="4"/>
        <w:ind w:firstLine="480"/>
        <w:rPr>
          <w:color w:val="auto"/>
        </w:rPr>
      </w:pPr>
      <w:r>
        <w:rPr>
          <w:rFonts w:hint="eastAsia"/>
          <w:color w:val="auto"/>
        </w:rPr>
        <w:t>本期工程施工</w:t>
      </w:r>
      <w:r>
        <w:rPr>
          <w:color w:val="auto"/>
        </w:rPr>
        <w:t>完井时洗井产生的</w:t>
      </w:r>
      <w:r>
        <w:rPr>
          <w:rFonts w:hint="eastAsia"/>
          <w:color w:val="auto"/>
        </w:rPr>
        <w:t>施工</w:t>
      </w:r>
      <w:r>
        <w:rPr>
          <w:color w:val="auto"/>
        </w:rPr>
        <w:t>作业</w:t>
      </w:r>
      <w:r>
        <w:rPr>
          <w:rFonts w:hint="eastAsia"/>
          <w:color w:val="auto"/>
        </w:rPr>
        <w:t>废液</w:t>
      </w:r>
      <w:r>
        <w:rPr>
          <w:color w:val="auto"/>
        </w:rPr>
        <w:t>，</w:t>
      </w:r>
      <w:r>
        <w:rPr>
          <w:rFonts w:hint="eastAsia"/>
          <w:color w:val="auto"/>
        </w:rPr>
        <w:t>从</w:t>
      </w:r>
      <w:r>
        <w:rPr>
          <w:color w:val="auto"/>
        </w:rPr>
        <w:t>井口返排后</w:t>
      </w:r>
      <w:r>
        <w:rPr>
          <w:rFonts w:hint="eastAsia"/>
          <w:color w:val="auto"/>
        </w:rPr>
        <w:t>收集</w:t>
      </w:r>
      <w:r>
        <w:rPr>
          <w:color w:val="auto"/>
        </w:rPr>
        <w:t>至现场废液</w:t>
      </w:r>
      <w:r>
        <w:rPr>
          <w:rFonts w:hint="eastAsia"/>
          <w:color w:val="auto"/>
        </w:rPr>
        <w:t>罐</w:t>
      </w:r>
      <w:r>
        <w:rPr>
          <w:color w:val="auto"/>
        </w:rPr>
        <w:t>中</w:t>
      </w:r>
      <w:r>
        <w:rPr>
          <w:rFonts w:hint="eastAsia"/>
          <w:color w:val="auto"/>
        </w:rPr>
        <w:t>，经调查与统计，施工期间作业废液产生量为</w:t>
      </w:r>
      <w:r>
        <w:rPr>
          <w:color w:val="auto"/>
        </w:rPr>
        <w:t>160</w:t>
      </w:r>
      <w:r>
        <w:rPr>
          <w:rFonts w:hint="eastAsia"/>
          <w:color w:val="auto"/>
        </w:rPr>
        <w:t>m</w:t>
      </w:r>
      <w:r>
        <w:rPr>
          <w:rFonts w:hint="eastAsia"/>
          <w:color w:val="auto"/>
          <w:vertAlign w:val="superscript"/>
        </w:rPr>
        <w:t>3</w:t>
      </w:r>
      <w:r>
        <w:rPr>
          <w:rFonts w:hint="eastAsia"/>
          <w:color w:val="auto"/>
        </w:rPr>
        <w:t>，</w:t>
      </w:r>
      <w:bookmarkStart w:id="252" w:name="OLE_LINK126"/>
      <w:r>
        <w:rPr>
          <w:rFonts w:hint="eastAsia"/>
          <w:color w:val="auto"/>
        </w:rPr>
        <w:t>已通过罐车拉运至高青联合站</w:t>
      </w:r>
      <w:r>
        <w:rPr>
          <w:color w:val="auto"/>
        </w:rPr>
        <w:t>处理，后</w:t>
      </w:r>
      <w:bookmarkStart w:id="253" w:name="OLE_LINK268"/>
      <w:bookmarkStart w:id="254" w:name="OLE_LINK269"/>
      <w:r>
        <w:rPr>
          <w:color w:val="auto"/>
        </w:rPr>
        <w:t>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bookmarkEnd w:id="252"/>
      <w:bookmarkEnd w:id="253"/>
      <w:bookmarkEnd w:id="254"/>
      <w:r>
        <w:rPr>
          <w:rFonts w:hint="eastAsia"/>
          <w:color w:val="auto"/>
        </w:rPr>
        <w:t>。</w:t>
      </w:r>
    </w:p>
    <w:p w14:paraId="6F6D21F2">
      <w:pPr>
        <w:pStyle w:val="4"/>
        <w:ind w:firstLine="480"/>
        <w:rPr>
          <w:color w:val="auto"/>
        </w:rPr>
      </w:pPr>
      <w:r>
        <w:rPr>
          <w:rFonts w:hint="eastAsia"/>
          <w:color w:val="auto"/>
        </w:rPr>
        <w:t>（3）管道试压废水</w:t>
      </w:r>
    </w:p>
    <w:p w14:paraId="66A13D1A">
      <w:pPr>
        <w:pStyle w:val="128"/>
        <w:adjustRightInd w:val="0"/>
        <w:snapToGrid w:val="0"/>
        <w:spacing w:line="328" w:lineRule="auto"/>
        <w:ind w:firstLine="480"/>
        <w:jc w:val="both"/>
        <w:rPr>
          <w:color w:val="auto"/>
        </w:rPr>
      </w:pPr>
      <w:r>
        <w:rPr>
          <w:rFonts w:hint="eastAsia"/>
          <w:color w:val="auto"/>
          <w:lang w:val="en-US"/>
        </w:rPr>
        <w:t>本期工程管道试压均采用清洁水，在施工过程中进行了循环利用，管道试压废水产生量较少，试压结束后已用于施工场地洒水降尘，未外排至施工场地外环境</w:t>
      </w:r>
      <w:r>
        <w:rPr>
          <w:rFonts w:hint="eastAsia"/>
          <w:color w:val="auto"/>
        </w:rPr>
        <w:t>。</w:t>
      </w:r>
    </w:p>
    <w:p w14:paraId="4D3EADAD">
      <w:pPr>
        <w:pStyle w:val="128"/>
        <w:adjustRightInd w:val="0"/>
        <w:snapToGrid w:val="0"/>
        <w:spacing w:line="328" w:lineRule="auto"/>
        <w:ind w:firstLine="480" w:firstLineChars="0"/>
        <w:jc w:val="both"/>
        <w:rPr>
          <w:color w:val="auto"/>
        </w:rPr>
      </w:pPr>
      <w:r>
        <w:rPr>
          <w:rFonts w:hint="eastAsia"/>
          <w:color w:val="auto"/>
        </w:rPr>
        <w:t>（4）旧管道清洗废水</w:t>
      </w:r>
    </w:p>
    <w:p w14:paraId="37D41EA6">
      <w:pPr>
        <w:pStyle w:val="128"/>
        <w:adjustRightInd w:val="0"/>
        <w:snapToGrid w:val="0"/>
        <w:spacing w:line="328" w:lineRule="auto"/>
        <w:ind w:firstLine="480" w:firstLineChars="0"/>
        <w:jc w:val="both"/>
        <w:rPr>
          <w:color w:val="auto"/>
        </w:rPr>
      </w:pPr>
      <w:bookmarkStart w:id="255" w:name="OLE_LINK310"/>
      <w:r>
        <w:rPr>
          <w:rFonts w:hint="eastAsia"/>
          <w:color w:val="auto"/>
          <w:szCs w:val="24"/>
        </w:rPr>
        <w:t>旧管道清洗废水经收集后罐车拉运送高青联合站处理，</w:t>
      </w:r>
      <w:r>
        <w:rPr>
          <w:color w:val="auto"/>
        </w:rPr>
        <w:t>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bookmarkEnd w:id="255"/>
      <w:r>
        <w:rPr>
          <w:rFonts w:hint="eastAsia"/>
          <w:color w:val="auto"/>
        </w:rPr>
        <w:t>。</w:t>
      </w:r>
    </w:p>
    <w:p w14:paraId="61F8A9E5">
      <w:pPr>
        <w:pStyle w:val="4"/>
        <w:ind w:firstLine="480"/>
        <w:rPr>
          <w:color w:val="auto"/>
        </w:rPr>
      </w:pPr>
      <w:r>
        <w:rPr>
          <w:rFonts w:hint="eastAsia"/>
          <w:color w:val="auto"/>
        </w:rPr>
        <w:t>（</w:t>
      </w:r>
      <w:r>
        <w:rPr>
          <w:color w:val="auto"/>
        </w:rPr>
        <w:t>5</w:t>
      </w:r>
      <w:r>
        <w:rPr>
          <w:rFonts w:hint="eastAsia"/>
          <w:color w:val="auto"/>
        </w:rPr>
        <w:t>）生活污水</w:t>
      </w:r>
    </w:p>
    <w:p w14:paraId="4168C4CA">
      <w:pPr>
        <w:pStyle w:val="128"/>
        <w:spacing w:line="328" w:lineRule="auto"/>
        <w:ind w:firstLine="480"/>
        <w:jc w:val="both"/>
        <w:rPr>
          <w:color w:val="auto"/>
        </w:rPr>
      </w:pPr>
      <w:bookmarkStart w:id="256" w:name="OLE_LINK50"/>
      <w:bookmarkStart w:id="257" w:name="OLE_LINK49"/>
      <w:bookmarkStart w:id="258" w:name="OLE_LINK53"/>
      <w:r>
        <w:rPr>
          <w:rFonts w:hint="eastAsia"/>
          <w:color w:val="auto"/>
        </w:rPr>
        <w:t>经调查，</w:t>
      </w:r>
      <w:bookmarkStart w:id="259" w:name="OLE_LINK64"/>
      <w:r>
        <w:rPr>
          <w:rFonts w:hint="eastAsia"/>
          <w:color w:val="auto"/>
        </w:rPr>
        <w:t>施工人员生活污水排放依托各</w:t>
      </w:r>
      <w:r>
        <w:rPr>
          <w:rFonts w:hint="eastAsia" w:cs="宋体"/>
          <w:color w:val="auto"/>
        </w:rPr>
        <w:t>环保厕所</w:t>
      </w:r>
      <w:r>
        <w:rPr>
          <w:rFonts w:hint="eastAsia"/>
          <w:color w:val="auto"/>
        </w:rPr>
        <w:t>，定期清运，无外排</w:t>
      </w:r>
      <w:bookmarkEnd w:id="256"/>
      <w:bookmarkEnd w:id="257"/>
      <w:bookmarkEnd w:id="258"/>
      <w:bookmarkEnd w:id="259"/>
      <w:r>
        <w:rPr>
          <w:rFonts w:hint="eastAsia"/>
          <w:color w:val="auto"/>
        </w:rPr>
        <w:t>。</w:t>
      </w:r>
    </w:p>
    <w:p w14:paraId="79B170A7">
      <w:pPr>
        <w:pStyle w:val="4"/>
        <w:ind w:firstLine="480"/>
        <w:outlineLvl w:val="3"/>
        <w:rPr>
          <w:color w:val="auto"/>
        </w:rPr>
      </w:pPr>
      <w:r>
        <w:rPr>
          <w:rFonts w:hint="eastAsia"/>
          <w:color w:val="auto"/>
        </w:rPr>
        <w:t>2）废气</w:t>
      </w:r>
    </w:p>
    <w:p w14:paraId="1A72EA6F">
      <w:pPr>
        <w:adjustRightInd w:val="0"/>
        <w:snapToGrid w:val="0"/>
        <w:spacing w:line="331" w:lineRule="auto"/>
        <w:ind w:firstLine="480" w:firstLineChars="200"/>
        <w:rPr>
          <w:rFonts w:ascii="宋体" w:hAnsi="宋体"/>
          <w:color w:val="auto"/>
          <w:sz w:val="24"/>
        </w:rPr>
      </w:pPr>
      <w:r>
        <w:rPr>
          <w:rFonts w:hint="eastAsia" w:ascii="宋体" w:hAnsi="宋体"/>
          <w:color w:val="auto"/>
          <w:sz w:val="24"/>
        </w:rPr>
        <w:t>本期工程施工期废气主要包括施工</w:t>
      </w:r>
      <w:r>
        <w:rPr>
          <w:rFonts w:ascii="宋体" w:hAnsi="宋体"/>
          <w:color w:val="auto"/>
          <w:sz w:val="24"/>
        </w:rPr>
        <w:t>扬尘、施工废气</w:t>
      </w:r>
      <w:r>
        <w:rPr>
          <w:rFonts w:hint="eastAsia" w:ascii="宋体" w:hAnsi="宋体"/>
          <w:color w:val="auto"/>
          <w:sz w:val="24"/>
        </w:rPr>
        <w:t>。</w:t>
      </w:r>
    </w:p>
    <w:p w14:paraId="19F95AA5">
      <w:pPr>
        <w:adjustRightInd w:val="0"/>
        <w:snapToGrid w:val="0"/>
        <w:spacing w:line="331" w:lineRule="auto"/>
        <w:ind w:firstLine="480" w:firstLineChars="200"/>
        <w:rPr>
          <w:rFonts w:ascii="宋体" w:hAnsi="宋体"/>
          <w:color w:val="auto"/>
          <w:sz w:val="24"/>
        </w:rPr>
      </w:pPr>
      <w:r>
        <w:rPr>
          <w:rFonts w:hint="eastAsia" w:ascii="宋体" w:hAnsi="宋体"/>
          <w:color w:val="auto"/>
          <w:sz w:val="24"/>
        </w:rPr>
        <w:t>（</w:t>
      </w:r>
      <w:r>
        <w:rPr>
          <w:rFonts w:ascii="宋体" w:hAnsi="宋体"/>
          <w:color w:val="auto"/>
          <w:sz w:val="24"/>
        </w:rPr>
        <w:t>1</w:t>
      </w:r>
      <w:r>
        <w:rPr>
          <w:rFonts w:hint="eastAsia" w:ascii="宋体" w:hAnsi="宋体"/>
          <w:color w:val="auto"/>
          <w:sz w:val="24"/>
        </w:rPr>
        <w:t>）</w:t>
      </w:r>
      <w:r>
        <w:rPr>
          <w:rFonts w:ascii="宋体" w:hAnsi="宋体"/>
          <w:color w:val="auto"/>
          <w:sz w:val="24"/>
        </w:rPr>
        <w:t>施工扬尘</w:t>
      </w:r>
    </w:p>
    <w:p w14:paraId="2B1E1A10">
      <w:pPr>
        <w:pStyle w:val="122"/>
        <w:spacing w:line="331" w:lineRule="auto"/>
        <w:ind w:firstLine="480"/>
        <w:rPr>
          <w:rFonts w:hAnsi="宋体" w:cs="Times New Roman"/>
          <w:color w:val="auto"/>
        </w:rPr>
      </w:pPr>
      <w:r>
        <w:rPr>
          <w:rFonts w:hint="eastAsia" w:hAnsi="宋体"/>
          <w:color w:val="auto"/>
        </w:rPr>
        <w:t>本期工程在井场建设、车辆运输等施工活动中产生了少量施工扬尘。经调查，施工期间施工</w:t>
      </w:r>
      <w:r>
        <w:rPr>
          <w:rFonts w:hAnsi="宋体"/>
          <w:color w:val="auto"/>
        </w:rPr>
        <w:t>单位</w:t>
      </w:r>
      <w:r>
        <w:rPr>
          <w:rFonts w:hint="eastAsia" w:hAnsi="宋体"/>
          <w:color w:val="auto"/>
        </w:rPr>
        <w:t>制定了</w:t>
      </w:r>
      <w:r>
        <w:rPr>
          <w:rFonts w:hAnsi="宋体"/>
          <w:color w:val="auto"/>
        </w:rPr>
        <w:t>合理化管理</w:t>
      </w:r>
      <w:r>
        <w:rPr>
          <w:rFonts w:hint="eastAsia" w:hAnsi="宋体"/>
          <w:color w:val="auto"/>
        </w:rPr>
        <w:t>制度，严格控制施工</w:t>
      </w:r>
      <w:r>
        <w:rPr>
          <w:rFonts w:hAnsi="宋体"/>
          <w:color w:val="auto"/>
        </w:rPr>
        <w:t>作业面积、</w:t>
      </w:r>
      <w:r>
        <w:rPr>
          <w:rFonts w:hint="eastAsia" w:hAnsi="宋体"/>
          <w:color w:val="auto"/>
        </w:rPr>
        <w:t>对</w:t>
      </w:r>
      <w:r>
        <w:rPr>
          <w:rFonts w:hAnsi="宋体"/>
          <w:color w:val="auto"/>
        </w:rPr>
        <w:t>施工现场设置</w:t>
      </w:r>
      <w:r>
        <w:rPr>
          <w:rFonts w:hint="eastAsia" w:hAnsi="宋体"/>
          <w:color w:val="auto"/>
        </w:rPr>
        <w:t>了</w:t>
      </w:r>
      <w:r>
        <w:rPr>
          <w:rFonts w:hAnsi="宋体"/>
          <w:color w:val="auto"/>
        </w:rPr>
        <w:t>围挡</w:t>
      </w:r>
      <w:r>
        <w:rPr>
          <w:rFonts w:hint="eastAsia" w:hAnsi="宋体"/>
          <w:color w:val="auto"/>
        </w:rPr>
        <w:t>并进行了定期洒水降尘</w:t>
      </w:r>
      <w:r>
        <w:rPr>
          <w:rFonts w:hAnsi="宋体"/>
          <w:color w:val="auto"/>
        </w:rPr>
        <w:t>、</w:t>
      </w:r>
      <w:r>
        <w:rPr>
          <w:rFonts w:hint="eastAsia" w:hAnsi="宋体"/>
          <w:color w:val="auto"/>
        </w:rPr>
        <w:t>对</w:t>
      </w:r>
      <w:r>
        <w:rPr>
          <w:rFonts w:hAnsi="宋体"/>
          <w:color w:val="auto"/>
        </w:rPr>
        <w:t>土堆和建筑材料</w:t>
      </w:r>
      <w:r>
        <w:rPr>
          <w:rFonts w:hint="eastAsia" w:hAnsi="宋体"/>
          <w:color w:val="auto"/>
        </w:rPr>
        <w:t>进行</w:t>
      </w:r>
      <w:r>
        <w:rPr>
          <w:rFonts w:hAnsi="宋体"/>
          <w:color w:val="auto"/>
        </w:rPr>
        <w:t>了遮盖，施工扬尘</w:t>
      </w:r>
      <w:r>
        <w:rPr>
          <w:rFonts w:hint="eastAsia" w:hAnsi="宋体"/>
          <w:color w:val="auto"/>
        </w:rPr>
        <w:t>未对</w:t>
      </w:r>
      <w:r>
        <w:rPr>
          <w:rFonts w:hAnsi="宋体"/>
          <w:color w:val="auto"/>
        </w:rPr>
        <w:t>项目周围环境空气</w:t>
      </w:r>
      <w:r>
        <w:rPr>
          <w:rFonts w:hint="eastAsia" w:hAnsi="宋体"/>
          <w:color w:val="auto"/>
        </w:rPr>
        <w:t>造成不利影响</w:t>
      </w:r>
      <w:r>
        <w:rPr>
          <w:rFonts w:hAnsi="宋体" w:cs="Times New Roman"/>
          <w:color w:val="auto"/>
        </w:rPr>
        <w:t>。</w:t>
      </w:r>
    </w:p>
    <w:p w14:paraId="3D2D6108">
      <w:pPr>
        <w:adjustRightInd w:val="0"/>
        <w:snapToGrid w:val="0"/>
        <w:spacing w:line="331" w:lineRule="auto"/>
        <w:ind w:firstLine="480" w:firstLineChars="200"/>
        <w:rPr>
          <w:rFonts w:ascii="宋体" w:hAnsi="宋体"/>
          <w:color w:val="auto"/>
          <w:sz w:val="24"/>
        </w:rPr>
      </w:pPr>
      <w:r>
        <w:rPr>
          <w:rFonts w:hint="eastAsia" w:ascii="宋体" w:hAnsi="宋体"/>
          <w:color w:val="auto"/>
          <w:sz w:val="24"/>
        </w:rPr>
        <w:t>（</w:t>
      </w:r>
      <w:r>
        <w:rPr>
          <w:rFonts w:ascii="宋体" w:hAnsi="宋体"/>
          <w:color w:val="auto"/>
          <w:sz w:val="24"/>
        </w:rPr>
        <w:t>2</w:t>
      </w:r>
      <w:r>
        <w:rPr>
          <w:rFonts w:hint="eastAsia" w:ascii="宋体" w:hAnsi="宋体"/>
          <w:color w:val="auto"/>
          <w:sz w:val="24"/>
        </w:rPr>
        <w:t>）施工废气</w:t>
      </w:r>
    </w:p>
    <w:p w14:paraId="7CC5A236">
      <w:pPr>
        <w:pStyle w:val="4"/>
        <w:ind w:firstLine="480"/>
        <w:rPr>
          <w:color w:val="auto"/>
        </w:rPr>
      </w:pPr>
      <w:r>
        <w:rPr>
          <w:rFonts w:hint="eastAsia"/>
          <w:color w:val="auto"/>
        </w:rPr>
        <w:t>施工</w:t>
      </w:r>
      <w:r>
        <w:rPr>
          <w:color w:val="auto"/>
        </w:rPr>
        <w:t>期间产生的</w:t>
      </w:r>
      <w:r>
        <w:rPr>
          <w:rFonts w:hint="eastAsia"/>
          <w:color w:val="auto"/>
        </w:rPr>
        <w:t>施工废气主要包括施工车辆与机械废气、柴油机废气，主要污染物为SO</w:t>
      </w:r>
      <w:r>
        <w:rPr>
          <w:rFonts w:hint="eastAsia"/>
          <w:color w:val="auto"/>
          <w:vertAlign w:val="subscript"/>
        </w:rPr>
        <w:t>2</w:t>
      </w:r>
      <w:r>
        <w:rPr>
          <w:rFonts w:hint="eastAsia"/>
          <w:color w:val="auto"/>
        </w:rPr>
        <w:t>、NO</w:t>
      </w:r>
      <w:r>
        <w:rPr>
          <w:color w:val="auto"/>
          <w:vertAlign w:val="subscript"/>
        </w:rPr>
        <w:t>x</w:t>
      </w:r>
      <w:r>
        <w:rPr>
          <w:rFonts w:hint="eastAsia"/>
          <w:color w:val="auto"/>
        </w:rPr>
        <w:t>、C</w:t>
      </w:r>
      <w:r>
        <w:rPr>
          <w:rFonts w:hint="eastAsia"/>
          <w:color w:val="auto"/>
          <w:vertAlign w:val="subscript"/>
        </w:rPr>
        <w:t>m</w:t>
      </w:r>
      <w:r>
        <w:rPr>
          <w:rFonts w:hint="eastAsia"/>
          <w:color w:val="auto"/>
        </w:rPr>
        <w:t>H</w:t>
      </w:r>
      <w:r>
        <w:rPr>
          <w:rFonts w:hint="eastAsia"/>
          <w:color w:val="auto"/>
          <w:vertAlign w:val="subscript"/>
        </w:rPr>
        <w:t>n</w:t>
      </w:r>
      <w:r>
        <w:rPr>
          <w:rFonts w:hint="eastAsia"/>
          <w:color w:val="auto"/>
        </w:rPr>
        <w:t>等。经调查，施工现场均在野外，因废气污染源具有间歇性和流动性，</w:t>
      </w:r>
      <w:r>
        <w:rPr>
          <w:color w:val="auto"/>
        </w:rPr>
        <w:t>有利于大气污染物的消散</w:t>
      </w:r>
      <w:r>
        <w:rPr>
          <w:rFonts w:hint="eastAsia"/>
          <w:color w:val="auto"/>
        </w:rPr>
        <w:t>，未对局部地区的大气环境</w:t>
      </w:r>
      <w:r>
        <w:rPr>
          <w:color w:val="auto"/>
        </w:rPr>
        <w:t>造成不利</w:t>
      </w:r>
      <w:r>
        <w:rPr>
          <w:rFonts w:hint="eastAsia"/>
          <w:color w:val="auto"/>
        </w:rPr>
        <w:t>影响，随着施工的结束，目前该影响已消失</w:t>
      </w:r>
      <w:r>
        <w:rPr>
          <w:rFonts w:hint="eastAsia" w:asciiTheme="minorEastAsia" w:hAnsiTheme="minorEastAsia"/>
          <w:color w:val="auto"/>
        </w:rPr>
        <w:t>。</w:t>
      </w:r>
    </w:p>
    <w:p w14:paraId="6B20A2E7">
      <w:pPr>
        <w:pStyle w:val="4"/>
        <w:ind w:firstLine="480"/>
        <w:outlineLvl w:val="3"/>
        <w:rPr>
          <w:color w:val="auto"/>
        </w:rPr>
      </w:pPr>
      <w:r>
        <w:rPr>
          <w:rFonts w:hint="eastAsia"/>
          <w:color w:val="auto"/>
        </w:rPr>
        <w:t>3）固体废物</w:t>
      </w:r>
    </w:p>
    <w:p w14:paraId="3E204FF0">
      <w:pPr>
        <w:pStyle w:val="4"/>
        <w:ind w:firstLine="480"/>
        <w:rPr>
          <w:color w:val="auto"/>
        </w:rPr>
      </w:pPr>
      <w:r>
        <w:rPr>
          <w:color w:val="auto"/>
        </w:rPr>
        <w:t>施工期</w:t>
      </w:r>
      <w:r>
        <w:rPr>
          <w:rFonts w:hint="eastAsia"/>
          <w:color w:val="auto"/>
        </w:rPr>
        <w:t>间</w:t>
      </w:r>
      <w:r>
        <w:rPr>
          <w:color w:val="auto"/>
        </w:rPr>
        <w:t>产生的固体废物主要是</w:t>
      </w:r>
      <w:r>
        <w:rPr>
          <w:rFonts w:hint="eastAsia"/>
          <w:color w:val="auto"/>
        </w:rPr>
        <w:t>泥饼、</w:t>
      </w:r>
      <w:r>
        <w:rPr>
          <w:color w:val="auto"/>
        </w:rPr>
        <w:t>施工</w:t>
      </w:r>
      <w:r>
        <w:rPr>
          <w:rFonts w:hint="eastAsia"/>
          <w:color w:val="auto"/>
        </w:rPr>
        <w:t>废料及建筑垃圾、定向钻泥浆、废弃设备和</w:t>
      </w:r>
      <w:r>
        <w:rPr>
          <w:color w:val="auto"/>
        </w:rPr>
        <w:t>生活垃圾。</w:t>
      </w:r>
    </w:p>
    <w:p w14:paraId="01C146B7">
      <w:pPr>
        <w:pStyle w:val="4"/>
        <w:ind w:firstLine="480"/>
        <w:rPr>
          <w:color w:val="auto"/>
        </w:rPr>
      </w:pPr>
      <w:r>
        <w:rPr>
          <w:rFonts w:hint="eastAsia"/>
          <w:color w:val="auto"/>
        </w:rPr>
        <w:t>（1）泥饼</w:t>
      </w:r>
    </w:p>
    <w:p w14:paraId="1F76F672">
      <w:pPr>
        <w:pStyle w:val="4"/>
        <w:ind w:firstLine="480"/>
        <w:rPr>
          <w:color w:val="auto"/>
        </w:rPr>
      </w:pPr>
      <w:r>
        <w:rPr>
          <w:rFonts w:hint="eastAsia"/>
          <w:color w:val="auto"/>
        </w:rPr>
        <w:t>本期工程钻井采用水基钻井液。</w:t>
      </w:r>
      <w:r>
        <w:rPr>
          <w:color w:val="auto"/>
        </w:rPr>
        <w:t>根据《危险废物排除管理清单（2026年版）》（公告 2026年 第2号），废弃水基钻井泥浆及岩屑为一般固废，</w:t>
      </w:r>
      <w:r>
        <w:rPr>
          <w:rFonts w:hint="eastAsia"/>
          <w:color w:val="auto"/>
        </w:rPr>
        <w:t>施工期</w:t>
      </w:r>
      <w:r>
        <w:rPr>
          <w:color w:val="auto"/>
        </w:rPr>
        <w:t>按照《一般工业固体废物贮存和填埋污染控制标准》（GB 18599-2020）要求进行了管理</w:t>
      </w:r>
      <w:r>
        <w:rPr>
          <w:rFonts w:hint="eastAsia"/>
          <w:color w:val="auto"/>
        </w:rPr>
        <w:t>。</w:t>
      </w:r>
    </w:p>
    <w:p w14:paraId="564C8E9F">
      <w:pPr>
        <w:pStyle w:val="4"/>
        <w:ind w:firstLine="480"/>
        <w:rPr>
          <w:color w:val="auto"/>
        </w:rPr>
      </w:pPr>
      <w:bookmarkStart w:id="260" w:name="OLE_LINK82"/>
      <w:bookmarkStart w:id="261" w:name="OLE_LINK81"/>
      <w:bookmarkStart w:id="262" w:name="OLE_LINK36"/>
      <w:r>
        <w:rPr>
          <w:rFonts w:hint="eastAsia"/>
          <w:color w:val="auto"/>
        </w:rPr>
        <w:t>施工结束</w:t>
      </w:r>
      <w:r>
        <w:rPr>
          <w:color w:val="auto"/>
        </w:rPr>
        <w:t>后</w:t>
      </w:r>
      <w:r>
        <w:rPr>
          <w:rFonts w:hint="eastAsia"/>
          <w:color w:val="auto"/>
        </w:rPr>
        <w:t>分别由钻井施工单位委托“泥浆</w:t>
      </w:r>
      <w:r>
        <w:rPr>
          <w:color w:val="auto"/>
        </w:rPr>
        <w:t>不落地</w:t>
      </w:r>
      <w:r>
        <w:rPr>
          <w:rFonts w:hint="eastAsia"/>
          <w:color w:val="auto"/>
        </w:rPr>
        <w:t>”服务</w:t>
      </w:r>
      <w:r>
        <w:rPr>
          <w:color w:val="auto"/>
        </w:rPr>
        <w:t>单位</w:t>
      </w:r>
      <w:bookmarkStart w:id="263" w:name="OLE_LINK128"/>
      <w:r>
        <w:rPr>
          <w:rFonts w:hint="eastAsia"/>
          <w:color w:val="auto"/>
        </w:rPr>
        <w:t>天正浚源环保科技有限公司、东营丰实钻井工程有限公司、山东胜兴特种材料有限公司拉运后进行固液分离，分离出的固相（</w:t>
      </w:r>
      <w:r>
        <w:rPr>
          <w:color w:val="auto"/>
        </w:rPr>
        <w:t>8752m</w:t>
      </w:r>
      <w:r>
        <w:rPr>
          <w:color w:val="auto"/>
          <w:vertAlign w:val="superscript"/>
        </w:rPr>
        <w:t>3</w:t>
      </w:r>
      <w:r>
        <w:rPr>
          <w:rFonts w:hint="eastAsia"/>
          <w:color w:val="auto"/>
        </w:rPr>
        <w:t>）</w:t>
      </w:r>
      <w:bookmarkStart w:id="264" w:name="OLE_LINK60"/>
      <w:bookmarkStart w:id="265" w:name="OLE_LINK59"/>
      <w:r>
        <w:rPr>
          <w:rFonts w:hint="eastAsia"/>
          <w:color w:val="auto"/>
        </w:rPr>
        <w:t>由东营市垦利区永安镇、山东天龙红木家具股份有限公司、山东法恩生物科技有限公司、东营成寨土石方工程有限公司进行</w:t>
      </w:r>
      <w:r>
        <w:rPr>
          <w:color w:val="auto"/>
        </w:rPr>
        <w:t>了</w:t>
      </w:r>
      <w:r>
        <w:rPr>
          <w:rFonts w:hint="eastAsia"/>
          <w:color w:val="auto"/>
        </w:rPr>
        <w:t>综合利用</w:t>
      </w:r>
      <w:r>
        <w:rPr>
          <w:color w:val="auto"/>
        </w:rPr>
        <w:t>。</w:t>
      </w:r>
      <w:r>
        <w:rPr>
          <w:rFonts w:hint="eastAsia"/>
          <w:color w:val="auto"/>
        </w:rPr>
        <w:t>验收调查期间，现场无</w:t>
      </w:r>
      <w:r>
        <w:rPr>
          <w:color w:val="auto"/>
        </w:rPr>
        <w:t>固废遗留</w:t>
      </w:r>
      <w:bookmarkEnd w:id="260"/>
      <w:bookmarkEnd w:id="261"/>
      <w:bookmarkEnd w:id="262"/>
      <w:bookmarkEnd w:id="263"/>
      <w:bookmarkEnd w:id="264"/>
      <w:bookmarkEnd w:id="265"/>
      <w:r>
        <w:rPr>
          <w:rFonts w:hint="eastAsia"/>
          <w:color w:val="auto"/>
        </w:rPr>
        <w:t>。各井泥饼产生情况及去向见</w:t>
      </w:r>
      <w:r>
        <w:rPr>
          <w:color w:val="auto"/>
        </w:rPr>
        <w:fldChar w:fldCharType="begin"/>
      </w:r>
      <w:r>
        <w:instrText xml:space="preserve"> REF _Ref225868274 \h  \* MERGEFORMAT</w:instrText>
      </w:r>
      <w:r>
        <w:rPr>
          <w:color w:val="auto"/>
        </w:rPr>
        <w:fldChar w:fldCharType="separate"/>
      </w:r>
      <w:r>
        <w:rPr>
          <w:color w:val="auto"/>
        </w:rPr>
        <w:t>表 3.4</w:t>
      </w:r>
      <w:r>
        <w:rPr>
          <w:color w:val="auto"/>
        </w:rPr>
        <w:noBreakHyphen/>
      </w:r>
      <w:r>
        <w:rPr>
          <w:color w:val="auto"/>
        </w:rPr>
        <w:t>2</w:t>
      </w:r>
      <w:r>
        <w:rPr>
          <w:color w:val="auto"/>
        </w:rPr>
        <w:fldChar w:fldCharType="end"/>
      </w:r>
      <w:r>
        <w:rPr>
          <w:rFonts w:hint="eastAsia"/>
          <w:color w:val="auto"/>
        </w:rPr>
        <w:t>。</w:t>
      </w:r>
    </w:p>
    <w:p w14:paraId="26097875">
      <w:pPr>
        <w:pStyle w:val="15"/>
        <w:spacing w:before="120"/>
        <w:rPr>
          <w:color w:val="auto"/>
        </w:rPr>
      </w:pPr>
      <w:bookmarkStart w:id="266" w:name="_Ref225868274"/>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2</w:t>
      </w:r>
      <w:r>
        <w:rPr>
          <w:color w:val="auto"/>
        </w:rPr>
        <w:fldChar w:fldCharType="end"/>
      </w:r>
      <w:bookmarkEnd w:id="266"/>
      <w:r>
        <w:rPr>
          <w:color w:val="auto"/>
        </w:rPr>
        <w:t xml:space="preserve"> </w:t>
      </w:r>
      <w:r>
        <w:rPr>
          <w:rFonts w:hint="eastAsia"/>
          <w:color w:val="auto"/>
        </w:rPr>
        <w:t>泥饼产生情况一览表</w:t>
      </w:r>
    </w:p>
    <w:tbl>
      <w:tblPr>
        <w:tblStyle w:val="46"/>
        <w:tblW w:w="4415"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15"/>
        <w:gridCol w:w="1215"/>
        <w:gridCol w:w="2613"/>
        <w:gridCol w:w="1265"/>
        <w:gridCol w:w="3012"/>
      </w:tblGrid>
      <w:tr w14:paraId="6FB1FE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vMerge w:val="restart"/>
            <w:shd w:val="clear" w:color="auto" w:fill="auto"/>
            <w:noWrap/>
            <w:vAlign w:val="center"/>
          </w:tcPr>
          <w:p w14:paraId="5C3035E0">
            <w:pPr>
              <w:widowControl/>
              <w:jc w:val="center"/>
              <w:rPr>
                <w:rFonts w:ascii="宋体" w:hAnsi="宋体" w:cs="宋体"/>
                <w:color w:val="auto"/>
                <w:kern w:val="0"/>
                <w:szCs w:val="24"/>
              </w:rPr>
            </w:pPr>
            <w:r>
              <w:rPr>
                <w:rFonts w:hint="eastAsia" w:ascii="宋体" w:hAnsi="宋体" w:cs="宋体"/>
                <w:color w:val="auto"/>
                <w:kern w:val="0"/>
                <w:szCs w:val="24"/>
              </w:rPr>
              <w:t>序号</w:t>
            </w:r>
          </w:p>
        </w:tc>
        <w:tc>
          <w:tcPr>
            <w:tcW w:w="637" w:type="pct"/>
            <w:vMerge w:val="restart"/>
            <w:shd w:val="clear" w:color="auto" w:fill="auto"/>
            <w:noWrap/>
            <w:vAlign w:val="center"/>
          </w:tcPr>
          <w:p w14:paraId="6797EADD">
            <w:pPr>
              <w:widowControl/>
              <w:jc w:val="center"/>
              <w:rPr>
                <w:rFonts w:ascii="宋体" w:hAnsi="宋体" w:cs="宋体"/>
                <w:color w:val="auto"/>
                <w:kern w:val="0"/>
                <w:szCs w:val="24"/>
              </w:rPr>
            </w:pPr>
            <w:r>
              <w:rPr>
                <w:rFonts w:hint="eastAsia" w:ascii="宋体" w:hAnsi="宋体" w:cs="宋体"/>
                <w:color w:val="auto"/>
                <w:kern w:val="0"/>
                <w:szCs w:val="24"/>
              </w:rPr>
              <w:t>井号</w:t>
            </w:r>
          </w:p>
        </w:tc>
        <w:tc>
          <w:tcPr>
            <w:tcW w:w="1333" w:type="pct"/>
            <w:vMerge w:val="restart"/>
            <w:shd w:val="clear" w:color="auto" w:fill="auto"/>
            <w:noWrap/>
            <w:vAlign w:val="center"/>
          </w:tcPr>
          <w:p w14:paraId="6846F9E9">
            <w:pPr>
              <w:widowControl/>
              <w:jc w:val="center"/>
              <w:rPr>
                <w:rFonts w:ascii="宋体" w:hAnsi="宋体" w:cs="宋体"/>
                <w:color w:val="auto"/>
                <w:kern w:val="0"/>
                <w:szCs w:val="24"/>
              </w:rPr>
            </w:pPr>
            <w:r>
              <w:rPr>
                <w:rFonts w:hint="eastAsia" w:ascii="宋体" w:hAnsi="宋体" w:cs="宋体"/>
                <w:color w:val="auto"/>
                <w:kern w:val="0"/>
                <w:szCs w:val="24"/>
              </w:rPr>
              <w:t>泥浆不落地服务单位</w:t>
            </w:r>
          </w:p>
        </w:tc>
        <w:tc>
          <w:tcPr>
            <w:tcW w:w="2691" w:type="pct"/>
            <w:gridSpan w:val="2"/>
            <w:shd w:val="clear" w:color="auto" w:fill="auto"/>
            <w:noWrap/>
            <w:vAlign w:val="center"/>
          </w:tcPr>
          <w:p w14:paraId="7AD589B2">
            <w:pPr>
              <w:widowControl/>
              <w:jc w:val="center"/>
              <w:rPr>
                <w:rFonts w:ascii="宋体" w:hAnsi="宋体" w:cs="宋体"/>
                <w:color w:val="auto"/>
                <w:kern w:val="0"/>
                <w:szCs w:val="24"/>
              </w:rPr>
            </w:pPr>
            <w:r>
              <w:rPr>
                <w:rFonts w:hint="eastAsia" w:ascii="宋体" w:hAnsi="宋体" w:cs="宋体"/>
                <w:color w:val="auto"/>
                <w:kern w:val="0"/>
                <w:szCs w:val="24"/>
              </w:rPr>
              <w:t>固相（泥饼）</w:t>
            </w:r>
          </w:p>
        </w:tc>
      </w:tr>
      <w:tr w14:paraId="6A3B50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vMerge w:val="continue"/>
            <w:vAlign w:val="center"/>
          </w:tcPr>
          <w:p w14:paraId="7823D6A4">
            <w:pPr>
              <w:widowControl/>
              <w:jc w:val="center"/>
              <w:rPr>
                <w:rFonts w:ascii="宋体" w:hAnsi="宋体" w:cs="宋体"/>
                <w:color w:val="auto"/>
                <w:kern w:val="0"/>
                <w:szCs w:val="24"/>
              </w:rPr>
            </w:pPr>
          </w:p>
        </w:tc>
        <w:tc>
          <w:tcPr>
            <w:tcW w:w="637" w:type="pct"/>
            <w:vMerge w:val="continue"/>
            <w:vAlign w:val="center"/>
          </w:tcPr>
          <w:p w14:paraId="0B926C1E">
            <w:pPr>
              <w:widowControl/>
              <w:jc w:val="center"/>
              <w:rPr>
                <w:rFonts w:ascii="宋体" w:hAnsi="宋体" w:cs="宋体"/>
                <w:color w:val="auto"/>
                <w:kern w:val="0"/>
                <w:szCs w:val="24"/>
              </w:rPr>
            </w:pPr>
          </w:p>
        </w:tc>
        <w:tc>
          <w:tcPr>
            <w:tcW w:w="1333" w:type="pct"/>
            <w:vMerge w:val="continue"/>
            <w:vAlign w:val="center"/>
          </w:tcPr>
          <w:p w14:paraId="2D42A796">
            <w:pPr>
              <w:widowControl/>
              <w:jc w:val="center"/>
              <w:rPr>
                <w:rFonts w:ascii="宋体" w:hAnsi="宋体" w:cs="宋体"/>
                <w:color w:val="auto"/>
                <w:kern w:val="0"/>
                <w:szCs w:val="24"/>
              </w:rPr>
            </w:pPr>
          </w:p>
        </w:tc>
        <w:tc>
          <w:tcPr>
            <w:tcW w:w="663" w:type="pct"/>
            <w:shd w:val="clear" w:color="auto" w:fill="auto"/>
            <w:noWrap/>
            <w:vAlign w:val="center"/>
          </w:tcPr>
          <w:p w14:paraId="43A4DE32">
            <w:pPr>
              <w:widowControl/>
              <w:jc w:val="center"/>
              <w:rPr>
                <w:rFonts w:ascii="宋体" w:hAnsi="宋体" w:cs="宋体"/>
                <w:color w:val="auto"/>
                <w:kern w:val="0"/>
                <w:szCs w:val="24"/>
              </w:rPr>
            </w:pPr>
            <w:r>
              <w:rPr>
                <w:rFonts w:hint="eastAsia" w:ascii="宋体" w:hAnsi="宋体" w:cs="宋体"/>
                <w:color w:val="auto"/>
                <w:kern w:val="0"/>
                <w:szCs w:val="24"/>
              </w:rPr>
              <w:t>产生量（</w:t>
            </w:r>
            <w:r>
              <w:rPr>
                <w:rFonts w:hint="eastAsia" w:ascii="宋体" w:hAnsi="宋体"/>
                <w:color w:val="auto"/>
              </w:rPr>
              <w:t>m</w:t>
            </w:r>
            <w:r>
              <w:rPr>
                <w:rFonts w:ascii="宋体" w:hAnsi="宋体"/>
                <w:color w:val="auto"/>
                <w:vertAlign w:val="superscript"/>
              </w:rPr>
              <w:t>3</w:t>
            </w:r>
            <w:r>
              <w:rPr>
                <w:rFonts w:hint="eastAsia" w:ascii="宋体" w:hAnsi="宋体" w:cs="宋体"/>
                <w:color w:val="auto"/>
                <w:kern w:val="0"/>
                <w:szCs w:val="24"/>
              </w:rPr>
              <w:t>)</w:t>
            </w:r>
          </w:p>
        </w:tc>
        <w:tc>
          <w:tcPr>
            <w:tcW w:w="2028" w:type="pct"/>
            <w:shd w:val="clear" w:color="auto" w:fill="auto"/>
            <w:noWrap/>
            <w:vAlign w:val="center"/>
          </w:tcPr>
          <w:p w14:paraId="3753D1D0">
            <w:pPr>
              <w:widowControl/>
              <w:jc w:val="center"/>
              <w:rPr>
                <w:rFonts w:ascii="宋体" w:hAnsi="宋体" w:cs="宋体"/>
                <w:color w:val="auto"/>
                <w:kern w:val="0"/>
                <w:szCs w:val="24"/>
              </w:rPr>
            </w:pPr>
            <w:r>
              <w:rPr>
                <w:rFonts w:hint="eastAsia" w:ascii="宋体" w:hAnsi="宋体" w:cs="宋体"/>
                <w:color w:val="auto"/>
                <w:kern w:val="0"/>
                <w:szCs w:val="24"/>
              </w:rPr>
              <w:t>去向</w:t>
            </w:r>
          </w:p>
        </w:tc>
      </w:tr>
      <w:tr w14:paraId="057431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3BE1AC29">
            <w:pPr>
              <w:widowControl/>
              <w:jc w:val="center"/>
              <w:rPr>
                <w:rFonts w:ascii="宋体" w:hAnsi="宋体" w:cs="宋体"/>
                <w:color w:val="auto"/>
                <w:kern w:val="0"/>
                <w:szCs w:val="24"/>
              </w:rPr>
            </w:pPr>
            <w:r>
              <w:rPr>
                <w:rFonts w:hint="eastAsia" w:ascii="宋体" w:hAnsi="宋体" w:cs="宋体"/>
                <w:color w:val="auto"/>
                <w:kern w:val="0"/>
                <w:szCs w:val="24"/>
              </w:rPr>
              <w:t>1</w:t>
            </w:r>
          </w:p>
        </w:tc>
        <w:tc>
          <w:tcPr>
            <w:tcW w:w="637" w:type="pct"/>
            <w:shd w:val="clear" w:color="auto" w:fill="FFFFFF"/>
            <w:noWrap/>
            <w:vAlign w:val="center"/>
          </w:tcPr>
          <w:p w14:paraId="4F49A0D9">
            <w:pPr>
              <w:widowControl/>
              <w:jc w:val="center"/>
              <w:rPr>
                <w:rFonts w:ascii="宋体" w:hAnsi="宋体" w:cs="宋体"/>
                <w:color w:val="auto"/>
                <w:kern w:val="0"/>
              </w:rPr>
            </w:pPr>
            <w:r>
              <w:rPr>
                <w:rFonts w:hint="eastAsia" w:ascii="宋体" w:hAnsi="宋体" w:cs="宋体"/>
                <w:color w:val="auto"/>
                <w:kern w:val="0"/>
              </w:rPr>
              <w:t>FJF163-X27</w:t>
            </w:r>
          </w:p>
        </w:tc>
        <w:tc>
          <w:tcPr>
            <w:tcW w:w="1333" w:type="pct"/>
            <w:shd w:val="clear" w:color="auto" w:fill="auto"/>
            <w:noWrap/>
            <w:vAlign w:val="center"/>
          </w:tcPr>
          <w:p w14:paraId="7A7840E1">
            <w:pPr>
              <w:widowControl/>
              <w:jc w:val="center"/>
              <w:rPr>
                <w:rFonts w:ascii="宋体" w:hAnsi="宋体" w:cs="宋体"/>
                <w:color w:val="auto"/>
                <w:kern w:val="0"/>
                <w:szCs w:val="24"/>
              </w:rPr>
            </w:pPr>
            <w:r>
              <w:rPr>
                <w:rFonts w:hint="eastAsia" w:ascii="宋体" w:hAnsi="宋体" w:cs="宋体"/>
                <w:color w:val="auto"/>
                <w:kern w:val="0"/>
                <w:szCs w:val="24"/>
              </w:rPr>
              <w:t>山东胜兴特种材料有限公司</w:t>
            </w:r>
          </w:p>
        </w:tc>
        <w:tc>
          <w:tcPr>
            <w:tcW w:w="663" w:type="pct"/>
            <w:shd w:val="clear" w:color="auto" w:fill="auto"/>
            <w:noWrap/>
            <w:vAlign w:val="center"/>
          </w:tcPr>
          <w:p w14:paraId="2A0B90C5">
            <w:pPr>
              <w:widowControl/>
              <w:jc w:val="center"/>
              <w:rPr>
                <w:rFonts w:ascii="宋体" w:hAnsi="宋体" w:cs="宋体"/>
                <w:color w:val="auto"/>
                <w:kern w:val="0"/>
                <w:szCs w:val="24"/>
              </w:rPr>
            </w:pPr>
            <w:r>
              <w:rPr>
                <w:rFonts w:hint="eastAsia" w:ascii="宋体" w:hAnsi="宋体" w:cs="宋体"/>
                <w:color w:val="auto"/>
                <w:kern w:val="0"/>
                <w:szCs w:val="24"/>
              </w:rPr>
              <w:t>420</w:t>
            </w:r>
          </w:p>
        </w:tc>
        <w:tc>
          <w:tcPr>
            <w:tcW w:w="2028" w:type="pct"/>
            <w:shd w:val="clear" w:color="auto" w:fill="auto"/>
            <w:noWrap/>
            <w:vAlign w:val="center"/>
          </w:tcPr>
          <w:p w14:paraId="060E4BCD">
            <w:pPr>
              <w:widowControl/>
              <w:jc w:val="center"/>
              <w:rPr>
                <w:rFonts w:ascii="宋体" w:hAnsi="宋体" w:cs="宋体"/>
                <w:color w:val="auto"/>
                <w:kern w:val="0"/>
                <w:szCs w:val="24"/>
              </w:rPr>
            </w:pPr>
            <w:r>
              <w:rPr>
                <w:rFonts w:hint="eastAsia" w:ascii="宋体" w:hAnsi="宋体" w:cs="宋体"/>
                <w:color w:val="auto"/>
                <w:kern w:val="0"/>
                <w:szCs w:val="24"/>
              </w:rPr>
              <w:t>山东天龙红木家具股份有限公司</w:t>
            </w:r>
          </w:p>
        </w:tc>
      </w:tr>
      <w:tr w14:paraId="3C5CA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23B12673">
            <w:pPr>
              <w:widowControl/>
              <w:jc w:val="center"/>
              <w:rPr>
                <w:rFonts w:ascii="宋体" w:hAnsi="宋体" w:cs="宋体"/>
                <w:color w:val="auto"/>
                <w:kern w:val="0"/>
                <w:szCs w:val="24"/>
              </w:rPr>
            </w:pPr>
            <w:r>
              <w:rPr>
                <w:rFonts w:hint="eastAsia" w:ascii="宋体" w:hAnsi="宋体" w:cs="宋体"/>
                <w:color w:val="auto"/>
                <w:kern w:val="0"/>
                <w:szCs w:val="24"/>
              </w:rPr>
              <w:t>2</w:t>
            </w:r>
          </w:p>
        </w:tc>
        <w:tc>
          <w:tcPr>
            <w:tcW w:w="637" w:type="pct"/>
            <w:shd w:val="clear" w:color="auto" w:fill="FFFFFF"/>
            <w:noWrap/>
            <w:vAlign w:val="center"/>
          </w:tcPr>
          <w:p w14:paraId="7319D790">
            <w:pPr>
              <w:widowControl/>
              <w:jc w:val="center"/>
              <w:rPr>
                <w:rFonts w:ascii="宋体" w:hAnsi="宋体" w:cs="宋体"/>
                <w:color w:val="auto"/>
                <w:kern w:val="0"/>
              </w:rPr>
            </w:pPr>
            <w:r>
              <w:rPr>
                <w:rFonts w:hint="eastAsia" w:ascii="宋体" w:hAnsi="宋体" w:cs="宋体"/>
                <w:color w:val="auto"/>
                <w:kern w:val="0"/>
              </w:rPr>
              <w:t>FJF163-X18</w:t>
            </w:r>
          </w:p>
        </w:tc>
        <w:tc>
          <w:tcPr>
            <w:tcW w:w="1333" w:type="pct"/>
            <w:shd w:val="clear" w:color="auto" w:fill="auto"/>
            <w:noWrap/>
            <w:vAlign w:val="center"/>
          </w:tcPr>
          <w:p w14:paraId="6724BABB">
            <w:pPr>
              <w:widowControl/>
              <w:jc w:val="center"/>
              <w:rPr>
                <w:rFonts w:ascii="宋体" w:hAnsi="宋体" w:cs="宋体"/>
                <w:color w:val="auto"/>
                <w:kern w:val="0"/>
                <w:szCs w:val="24"/>
              </w:rPr>
            </w:pPr>
            <w:r>
              <w:rPr>
                <w:rFonts w:hint="eastAsia" w:ascii="宋体" w:hAnsi="宋体" w:cs="宋体"/>
                <w:color w:val="auto"/>
                <w:kern w:val="0"/>
                <w:szCs w:val="24"/>
              </w:rPr>
              <w:t>山东胜兴特种材料有限公司</w:t>
            </w:r>
          </w:p>
        </w:tc>
        <w:tc>
          <w:tcPr>
            <w:tcW w:w="663" w:type="pct"/>
            <w:shd w:val="clear" w:color="auto" w:fill="auto"/>
            <w:noWrap/>
            <w:vAlign w:val="center"/>
          </w:tcPr>
          <w:p w14:paraId="4E76A7CC">
            <w:pPr>
              <w:widowControl/>
              <w:jc w:val="center"/>
              <w:rPr>
                <w:rFonts w:ascii="宋体" w:hAnsi="宋体" w:cs="宋体"/>
                <w:color w:val="auto"/>
                <w:kern w:val="0"/>
                <w:szCs w:val="24"/>
              </w:rPr>
            </w:pPr>
            <w:r>
              <w:rPr>
                <w:rFonts w:hint="eastAsia" w:ascii="宋体" w:hAnsi="宋体" w:cs="宋体"/>
                <w:color w:val="auto"/>
                <w:kern w:val="0"/>
                <w:szCs w:val="24"/>
              </w:rPr>
              <w:t>360</w:t>
            </w:r>
          </w:p>
        </w:tc>
        <w:tc>
          <w:tcPr>
            <w:tcW w:w="2028" w:type="pct"/>
            <w:shd w:val="clear" w:color="auto" w:fill="auto"/>
            <w:noWrap/>
            <w:vAlign w:val="center"/>
          </w:tcPr>
          <w:p w14:paraId="7BBD98B4">
            <w:pPr>
              <w:widowControl/>
              <w:jc w:val="center"/>
              <w:rPr>
                <w:rFonts w:ascii="宋体" w:hAnsi="宋体" w:cs="宋体"/>
                <w:color w:val="auto"/>
                <w:kern w:val="0"/>
                <w:szCs w:val="24"/>
              </w:rPr>
            </w:pPr>
            <w:r>
              <w:rPr>
                <w:rFonts w:hint="eastAsia" w:ascii="宋体" w:hAnsi="宋体" w:cs="宋体"/>
                <w:color w:val="auto"/>
                <w:kern w:val="0"/>
                <w:szCs w:val="24"/>
              </w:rPr>
              <w:t>山东天龙红木家具股份有限公司</w:t>
            </w:r>
          </w:p>
        </w:tc>
      </w:tr>
      <w:tr w14:paraId="3B304D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092AA8E0">
            <w:pPr>
              <w:widowControl/>
              <w:jc w:val="center"/>
              <w:rPr>
                <w:rFonts w:ascii="宋体" w:hAnsi="宋体" w:cs="宋体"/>
                <w:color w:val="auto"/>
                <w:kern w:val="0"/>
                <w:szCs w:val="24"/>
              </w:rPr>
            </w:pPr>
            <w:r>
              <w:rPr>
                <w:rFonts w:hint="eastAsia" w:ascii="宋体" w:hAnsi="宋体" w:cs="宋体"/>
                <w:color w:val="auto"/>
                <w:kern w:val="0"/>
                <w:szCs w:val="24"/>
              </w:rPr>
              <w:t>3</w:t>
            </w:r>
          </w:p>
        </w:tc>
        <w:tc>
          <w:tcPr>
            <w:tcW w:w="637" w:type="pct"/>
            <w:shd w:val="clear" w:color="auto" w:fill="FFFFFF"/>
            <w:noWrap/>
            <w:vAlign w:val="center"/>
          </w:tcPr>
          <w:p w14:paraId="7A874C6C">
            <w:pPr>
              <w:widowControl/>
              <w:jc w:val="center"/>
              <w:rPr>
                <w:rFonts w:ascii="宋体" w:hAnsi="宋体" w:cs="宋体"/>
                <w:color w:val="auto"/>
                <w:kern w:val="0"/>
              </w:rPr>
            </w:pPr>
            <w:r>
              <w:rPr>
                <w:rFonts w:hint="eastAsia" w:ascii="宋体" w:hAnsi="宋体" w:cs="宋体"/>
                <w:color w:val="auto"/>
                <w:kern w:val="0"/>
              </w:rPr>
              <w:t>FJF163-X17</w:t>
            </w:r>
          </w:p>
        </w:tc>
        <w:tc>
          <w:tcPr>
            <w:tcW w:w="1333" w:type="pct"/>
            <w:shd w:val="clear" w:color="auto" w:fill="auto"/>
            <w:noWrap/>
            <w:vAlign w:val="center"/>
          </w:tcPr>
          <w:p w14:paraId="1EB45BB1">
            <w:pPr>
              <w:widowControl/>
              <w:jc w:val="center"/>
              <w:rPr>
                <w:rFonts w:ascii="宋体" w:hAnsi="宋体" w:cs="宋体"/>
                <w:color w:val="auto"/>
                <w:kern w:val="0"/>
                <w:szCs w:val="24"/>
              </w:rPr>
            </w:pPr>
            <w:r>
              <w:rPr>
                <w:rFonts w:hint="eastAsia" w:ascii="宋体" w:hAnsi="宋体" w:cs="宋体"/>
                <w:color w:val="auto"/>
                <w:kern w:val="0"/>
                <w:szCs w:val="24"/>
              </w:rPr>
              <w:t>山东胜兴特种材料有限公司</w:t>
            </w:r>
          </w:p>
        </w:tc>
        <w:tc>
          <w:tcPr>
            <w:tcW w:w="663" w:type="pct"/>
            <w:shd w:val="clear" w:color="auto" w:fill="auto"/>
            <w:noWrap/>
            <w:vAlign w:val="center"/>
          </w:tcPr>
          <w:p w14:paraId="124981FB">
            <w:pPr>
              <w:widowControl/>
              <w:jc w:val="center"/>
              <w:rPr>
                <w:rFonts w:ascii="宋体" w:hAnsi="宋体" w:cs="宋体"/>
                <w:color w:val="auto"/>
                <w:kern w:val="0"/>
                <w:szCs w:val="24"/>
              </w:rPr>
            </w:pPr>
            <w:r>
              <w:rPr>
                <w:rFonts w:hint="eastAsia" w:ascii="宋体" w:hAnsi="宋体" w:cs="宋体"/>
                <w:color w:val="auto"/>
                <w:kern w:val="0"/>
                <w:szCs w:val="24"/>
              </w:rPr>
              <w:t>420</w:t>
            </w:r>
          </w:p>
        </w:tc>
        <w:tc>
          <w:tcPr>
            <w:tcW w:w="2028" w:type="pct"/>
            <w:shd w:val="clear" w:color="auto" w:fill="auto"/>
            <w:noWrap/>
            <w:vAlign w:val="center"/>
          </w:tcPr>
          <w:p w14:paraId="03A0A11C">
            <w:pPr>
              <w:widowControl/>
              <w:jc w:val="center"/>
              <w:rPr>
                <w:rFonts w:ascii="宋体" w:hAnsi="宋体" w:cs="宋体"/>
                <w:color w:val="auto"/>
                <w:kern w:val="0"/>
                <w:szCs w:val="24"/>
              </w:rPr>
            </w:pPr>
            <w:r>
              <w:rPr>
                <w:rFonts w:hint="eastAsia" w:ascii="宋体" w:hAnsi="宋体" w:cs="宋体"/>
                <w:color w:val="auto"/>
                <w:kern w:val="0"/>
                <w:szCs w:val="24"/>
              </w:rPr>
              <w:t>山东法恩生物科技有限公司</w:t>
            </w:r>
          </w:p>
        </w:tc>
      </w:tr>
      <w:tr w14:paraId="68F26C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3C46FABF">
            <w:pPr>
              <w:widowControl/>
              <w:jc w:val="center"/>
              <w:rPr>
                <w:rFonts w:ascii="宋体" w:hAnsi="宋体" w:cs="宋体"/>
                <w:color w:val="auto"/>
                <w:kern w:val="0"/>
                <w:szCs w:val="24"/>
              </w:rPr>
            </w:pPr>
            <w:r>
              <w:rPr>
                <w:rFonts w:hint="eastAsia" w:ascii="宋体" w:hAnsi="宋体" w:cs="宋体"/>
                <w:color w:val="auto"/>
                <w:kern w:val="0"/>
                <w:szCs w:val="24"/>
              </w:rPr>
              <w:t>4</w:t>
            </w:r>
          </w:p>
        </w:tc>
        <w:tc>
          <w:tcPr>
            <w:tcW w:w="637" w:type="pct"/>
            <w:shd w:val="clear" w:color="auto" w:fill="FFFFFF"/>
            <w:noWrap/>
            <w:vAlign w:val="center"/>
          </w:tcPr>
          <w:p w14:paraId="64D57B62">
            <w:pPr>
              <w:widowControl/>
              <w:jc w:val="center"/>
              <w:rPr>
                <w:rFonts w:ascii="宋体" w:hAnsi="宋体" w:cs="宋体"/>
                <w:color w:val="auto"/>
                <w:kern w:val="0"/>
              </w:rPr>
            </w:pPr>
            <w:r>
              <w:rPr>
                <w:rFonts w:hint="eastAsia" w:ascii="宋体" w:hAnsi="宋体" w:cs="宋体"/>
                <w:color w:val="auto"/>
                <w:kern w:val="0"/>
              </w:rPr>
              <w:t>FJF18-X16</w:t>
            </w:r>
          </w:p>
        </w:tc>
        <w:tc>
          <w:tcPr>
            <w:tcW w:w="1333" w:type="pct"/>
            <w:shd w:val="clear" w:color="auto" w:fill="auto"/>
            <w:noWrap/>
            <w:vAlign w:val="center"/>
          </w:tcPr>
          <w:p w14:paraId="1201F48A">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663" w:type="pct"/>
            <w:shd w:val="clear" w:color="auto" w:fill="auto"/>
            <w:noWrap/>
            <w:vAlign w:val="center"/>
          </w:tcPr>
          <w:p w14:paraId="561240A5">
            <w:pPr>
              <w:widowControl/>
              <w:jc w:val="center"/>
              <w:rPr>
                <w:rFonts w:ascii="宋体" w:hAnsi="宋体" w:cs="宋体"/>
                <w:color w:val="auto"/>
                <w:kern w:val="0"/>
                <w:szCs w:val="24"/>
              </w:rPr>
            </w:pPr>
            <w:r>
              <w:rPr>
                <w:rFonts w:hint="eastAsia" w:ascii="宋体" w:hAnsi="宋体" w:cs="宋体"/>
                <w:color w:val="auto"/>
                <w:kern w:val="0"/>
                <w:szCs w:val="24"/>
              </w:rPr>
              <w:t>821</w:t>
            </w:r>
          </w:p>
        </w:tc>
        <w:tc>
          <w:tcPr>
            <w:tcW w:w="2028" w:type="pct"/>
            <w:shd w:val="clear" w:color="auto" w:fill="auto"/>
            <w:noWrap/>
            <w:vAlign w:val="center"/>
          </w:tcPr>
          <w:p w14:paraId="6FAB99C1">
            <w:pPr>
              <w:widowControl/>
              <w:jc w:val="center"/>
              <w:rPr>
                <w:rFonts w:ascii="宋体" w:hAnsi="宋体" w:cs="宋体"/>
                <w:color w:val="auto"/>
                <w:kern w:val="0"/>
                <w:szCs w:val="24"/>
              </w:rPr>
            </w:pPr>
            <w:r>
              <w:rPr>
                <w:rFonts w:hint="eastAsia" w:ascii="宋体" w:hAnsi="宋体" w:cs="宋体"/>
                <w:color w:val="auto"/>
                <w:kern w:val="0"/>
                <w:szCs w:val="24"/>
              </w:rPr>
              <w:t>东营成寨土石方工程有限公司</w:t>
            </w:r>
          </w:p>
        </w:tc>
      </w:tr>
      <w:tr w14:paraId="388F02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521CC0F5">
            <w:pPr>
              <w:widowControl/>
              <w:jc w:val="center"/>
              <w:rPr>
                <w:rFonts w:ascii="宋体" w:hAnsi="宋体" w:cs="宋体"/>
                <w:color w:val="auto"/>
                <w:kern w:val="0"/>
                <w:szCs w:val="24"/>
              </w:rPr>
            </w:pPr>
            <w:r>
              <w:rPr>
                <w:rFonts w:hint="eastAsia" w:ascii="宋体" w:hAnsi="宋体" w:cs="宋体"/>
                <w:color w:val="auto"/>
                <w:kern w:val="0"/>
                <w:szCs w:val="24"/>
              </w:rPr>
              <w:t>5</w:t>
            </w:r>
          </w:p>
        </w:tc>
        <w:tc>
          <w:tcPr>
            <w:tcW w:w="637" w:type="pct"/>
            <w:shd w:val="clear" w:color="auto" w:fill="FFFFFF"/>
            <w:noWrap/>
            <w:vAlign w:val="center"/>
          </w:tcPr>
          <w:p w14:paraId="0E81E0D1">
            <w:pPr>
              <w:widowControl/>
              <w:jc w:val="center"/>
              <w:rPr>
                <w:rFonts w:ascii="宋体" w:hAnsi="宋体" w:cs="宋体"/>
                <w:color w:val="auto"/>
                <w:kern w:val="0"/>
              </w:rPr>
            </w:pPr>
            <w:r>
              <w:rPr>
                <w:rFonts w:hint="eastAsia" w:ascii="宋体" w:hAnsi="宋体" w:cs="宋体"/>
                <w:color w:val="auto"/>
                <w:kern w:val="0"/>
              </w:rPr>
              <w:t>FJF18-X27</w:t>
            </w:r>
          </w:p>
        </w:tc>
        <w:tc>
          <w:tcPr>
            <w:tcW w:w="1333" w:type="pct"/>
            <w:shd w:val="clear" w:color="auto" w:fill="auto"/>
            <w:noWrap/>
            <w:vAlign w:val="center"/>
          </w:tcPr>
          <w:p w14:paraId="69032B5F">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663" w:type="pct"/>
            <w:shd w:val="clear" w:color="auto" w:fill="auto"/>
            <w:noWrap/>
            <w:vAlign w:val="center"/>
          </w:tcPr>
          <w:p w14:paraId="41A7704C">
            <w:pPr>
              <w:widowControl/>
              <w:jc w:val="center"/>
              <w:rPr>
                <w:rFonts w:ascii="宋体" w:hAnsi="宋体" w:cs="宋体"/>
                <w:color w:val="auto"/>
                <w:kern w:val="0"/>
                <w:szCs w:val="24"/>
              </w:rPr>
            </w:pPr>
            <w:r>
              <w:rPr>
                <w:rFonts w:hint="eastAsia" w:ascii="宋体" w:hAnsi="宋体" w:cs="宋体"/>
                <w:color w:val="auto"/>
                <w:kern w:val="0"/>
                <w:szCs w:val="24"/>
              </w:rPr>
              <w:t>531</w:t>
            </w:r>
          </w:p>
        </w:tc>
        <w:tc>
          <w:tcPr>
            <w:tcW w:w="2028" w:type="pct"/>
            <w:shd w:val="clear" w:color="auto" w:fill="auto"/>
            <w:noWrap/>
            <w:vAlign w:val="center"/>
          </w:tcPr>
          <w:p w14:paraId="3AF1F8D2">
            <w:pPr>
              <w:widowControl/>
              <w:jc w:val="center"/>
              <w:rPr>
                <w:rFonts w:ascii="宋体" w:hAnsi="宋体" w:cs="宋体"/>
                <w:color w:val="auto"/>
                <w:kern w:val="0"/>
                <w:szCs w:val="24"/>
              </w:rPr>
            </w:pPr>
            <w:r>
              <w:rPr>
                <w:rFonts w:hint="eastAsia" w:ascii="宋体" w:hAnsi="宋体" w:cs="宋体"/>
                <w:color w:val="auto"/>
                <w:kern w:val="0"/>
                <w:szCs w:val="24"/>
              </w:rPr>
              <w:t>东营成寨土石方工程有限公司</w:t>
            </w:r>
          </w:p>
        </w:tc>
      </w:tr>
      <w:tr w14:paraId="0CB719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07D32E59">
            <w:pPr>
              <w:widowControl/>
              <w:jc w:val="center"/>
              <w:rPr>
                <w:rFonts w:ascii="宋体" w:hAnsi="宋体" w:cs="宋体"/>
                <w:color w:val="auto"/>
                <w:kern w:val="0"/>
                <w:szCs w:val="24"/>
              </w:rPr>
            </w:pPr>
            <w:r>
              <w:rPr>
                <w:rFonts w:hint="eastAsia" w:ascii="宋体" w:hAnsi="宋体" w:cs="宋体"/>
                <w:color w:val="auto"/>
                <w:kern w:val="0"/>
                <w:szCs w:val="24"/>
              </w:rPr>
              <w:t>6</w:t>
            </w:r>
          </w:p>
        </w:tc>
        <w:tc>
          <w:tcPr>
            <w:tcW w:w="637" w:type="pct"/>
            <w:shd w:val="clear" w:color="auto" w:fill="FFFFFF"/>
            <w:noWrap/>
            <w:vAlign w:val="center"/>
          </w:tcPr>
          <w:p w14:paraId="21F530D5">
            <w:pPr>
              <w:widowControl/>
              <w:jc w:val="center"/>
              <w:rPr>
                <w:rFonts w:ascii="宋体" w:hAnsi="宋体" w:cs="宋体"/>
                <w:color w:val="auto"/>
                <w:kern w:val="0"/>
              </w:rPr>
            </w:pPr>
            <w:r>
              <w:rPr>
                <w:rFonts w:hint="eastAsia" w:ascii="宋体" w:hAnsi="宋体" w:cs="宋体"/>
                <w:color w:val="auto"/>
                <w:kern w:val="0"/>
              </w:rPr>
              <w:t>FJF18-X25</w:t>
            </w:r>
          </w:p>
        </w:tc>
        <w:tc>
          <w:tcPr>
            <w:tcW w:w="1333" w:type="pct"/>
            <w:shd w:val="clear" w:color="auto" w:fill="auto"/>
            <w:noWrap/>
            <w:vAlign w:val="center"/>
          </w:tcPr>
          <w:p w14:paraId="2588F026">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663" w:type="pct"/>
            <w:shd w:val="clear" w:color="auto" w:fill="auto"/>
            <w:noWrap/>
            <w:vAlign w:val="center"/>
          </w:tcPr>
          <w:p w14:paraId="36E1EA88">
            <w:pPr>
              <w:widowControl/>
              <w:jc w:val="center"/>
              <w:rPr>
                <w:rFonts w:ascii="宋体" w:hAnsi="宋体" w:cs="宋体"/>
                <w:color w:val="auto"/>
                <w:kern w:val="0"/>
                <w:szCs w:val="24"/>
              </w:rPr>
            </w:pPr>
            <w:r>
              <w:rPr>
                <w:rFonts w:hint="eastAsia" w:ascii="宋体" w:hAnsi="宋体" w:cs="宋体"/>
                <w:color w:val="auto"/>
                <w:kern w:val="0"/>
                <w:szCs w:val="24"/>
              </w:rPr>
              <w:t>524</w:t>
            </w:r>
          </w:p>
        </w:tc>
        <w:tc>
          <w:tcPr>
            <w:tcW w:w="2028" w:type="pct"/>
            <w:shd w:val="clear" w:color="auto" w:fill="auto"/>
            <w:noWrap/>
            <w:vAlign w:val="center"/>
          </w:tcPr>
          <w:p w14:paraId="06756305">
            <w:pPr>
              <w:widowControl/>
              <w:jc w:val="center"/>
              <w:rPr>
                <w:rFonts w:ascii="宋体" w:hAnsi="宋体" w:cs="宋体"/>
                <w:color w:val="auto"/>
                <w:kern w:val="0"/>
                <w:szCs w:val="24"/>
              </w:rPr>
            </w:pPr>
            <w:r>
              <w:rPr>
                <w:rFonts w:hint="eastAsia" w:ascii="宋体" w:hAnsi="宋体" w:cs="宋体"/>
                <w:color w:val="auto"/>
                <w:kern w:val="0"/>
                <w:szCs w:val="24"/>
              </w:rPr>
              <w:t>东营成寨土石方工程有限公司</w:t>
            </w:r>
          </w:p>
        </w:tc>
      </w:tr>
      <w:tr w14:paraId="28B87F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4611341C">
            <w:pPr>
              <w:widowControl/>
              <w:jc w:val="center"/>
              <w:rPr>
                <w:rFonts w:ascii="宋体" w:hAnsi="宋体" w:cs="宋体"/>
                <w:color w:val="auto"/>
                <w:kern w:val="0"/>
                <w:szCs w:val="24"/>
              </w:rPr>
            </w:pPr>
            <w:r>
              <w:rPr>
                <w:rFonts w:hint="eastAsia" w:ascii="宋体" w:hAnsi="宋体" w:cs="宋体"/>
                <w:color w:val="auto"/>
                <w:kern w:val="0"/>
                <w:szCs w:val="24"/>
              </w:rPr>
              <w:t>7</w:t>
            </w:r>
          </w:p>
        </w:tc>
        <w:tc>
          <w:tcPr>
            <w:tcW w:w="637" w:type="pct"/>
            <w:shd w:val="clear" w:color="auto" w:fill="FFFFFF"/>
            <w:noWrap/>
            <w:vAlign w:val="center"/>
          </w:tcPr>
          <w:p w14:paraId="350D1703">
            <w:pPr>
              <w:widowControl/>
              <w:jc w:val="center"/>
              <w:rPr>
                <w:rFonts w:ascii="宋体" w:hAnsi="宋体" w:cs="宋体"/>
                <w:color w:val="auto"/>
                <w:kern w:val="0"/>
              </w:rPr>
            </w:pPr>
            <w:r>
              <w:rPr>
                <w:rFonts w:hint="eastAsia" w:ascii="宋体" w:hAnsi="宋体" w:cs="宋体"/>
                <w:color w:val="auto"/>
                <w:kern w:val="0"/>
              </w:rPr>
              <w:t>FJF18-X24</w:t>
            </w:r>
          </w:p>
        </w:tc>
        <w:tc>
          <w:tcPr>
            <w:tcW w:w="1333" w:type="pct"/>
            <w:shd w:val="clear" w:color="auto" w:fill="auto"/>
            <w:noWrap/>
            <w:vAlign w:val="center"/>
          </w:tcPr>
          <w:p w14:paraId="7AC0D8E5">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663" w:type="pct"/>
            <w:shd w:val="clear" w:color="auto" w:fill="auto"/>
            <w:noWrap/>
            <w:vAlign w:val="center"/>
          </w:tcPr>
          <w:p w14:paraId="395979C2">
            <w:pPr>
              <w:widowControl/>
              <w:jc w:val="center"/>
              <w:rPr>
                <w:rFonts w:ascii="宋体" w:hAnsi="宋体" w:cs="宋体"/>
                <w:color w:val="auto"/>
                <w:kern w:val="0"/>
                <w:szCs w:val="24"/>
              </w:rPr>
            </w:pPr>
            <w:r>
              <w:rPr>
                <w:rFonts w:hint="eastAsia" w:ascii="宋体" w:hAnsi="宋体" w:cs="宋体"/>
                <w:color w:val="auto"/>
                <w:kern w:val="0"/>
                <w:szCs w:val="24"/>
              </w:rPr>
              <w:t>601</w:t>
            </w:r>
          </w:p>
        </w:tc>
        <w:tc>
          <w:tcPr>
            <w:tcW w:w="2028" w:type="pct"/>
            <w:shd w:val="clear" w:color="auto" w:fill="auto"/>
            <w:noWrap/>
            <w:vAlign w:val="center"/>
          </w:tcPr>
          <w:p w14:paraId="47569B4E">
            <w:pPr>
              <w:widowControl/>
              <w:jc w:val="center"/>
              <w:rPr>
                <w:rFonts w:ascii="宋体" w:hAnsi="宋体" w:cs="宋体"/>
                <w:color w:val="auto"/>
                <w:kern w:val="0"/>
                <w:szCs w:val="24"/>
              </w:rPr>
            </w:pPr>
            <w:r>
              <w:rPr>
                <w:rFonts w:hint="eastAsia" w:ascii="宋体" w:hAnsi="宋体" w:cs="宋体"/>
                <w:color w:val="auto"/>
                <w:kern w:val="0"/>
                <w:szCs w:val="24"/>
              </w:rPr>
              <w:t>东营成寨土石方工程有限公司</w:t>
            </w:r>
          </w:p>
        </w:tc>
      </w:tr>
      <w:tr w14:paraId="269BAF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720ED1A0">
            <w:pPr>
              <w:widowControl/>
              <w:jc w:val="center"/>
              <w:rPr>
                <w:rFonts w:ascii="宋体" w:hAnsi="宋体" w:cs="宋体"/>
                <w:color w:val="auto"/>
                <w:kern w:val="0"/>
                <w:szCs w:val="24"/>
              </w:rPr>
            </w:pPr>
            <w:r>
              <w:rPr>
                <w:rFonts w:hint="eastAsia" w:ascii="宋体" w:hAnsi="宋体" w:cs="宋体"/>
                <w:color w:val="auto"/>
                <w:kern w:val="0"/>
                <w:szCs w:val="24"/>
              </w:rPr>
              <w:t>8</w:t>
            </w:r>
          </w:p>
        </w:tc>
        <w:tc>
          <w:tcPr>
            <w:tcW w:w="637" w:type="pct"/>
            <w:shd w:val="clear" w:color="auto" w:fill="FFFFFF"/>
            <w:noWrap/>
            <w:vAlign w:val="center"/>
          </w:tcPr>
          <w:p w14:paraId="6A2BC52A">
            <w:pPr>
              <w:widowControl/>
              <w:jc w:val="center"/>
              <w:rPr>
                <w:rFonts w:ascii="宋体" w:hAnsi="宋体" w:cs="宋体"/>
                <w:color w:val="auto"/>
                <w:kern w:val="0"/>
              </w:rPr>
            </w:pPr>
            <w:r>
              <w:rPr>
                <w:rFonts w:hint="eastAsia" w:ascii="宋体" w:hAnsi="宋体" w:cs="宋体"/>
                <w:color w:val="auto"/>
                <w:kern w:val="0"/>
              </w:rPr>
              <w:t>FJF18-X23</w:t>
            </w:r>
          </w:p>
        </w:tc>
        <w:tc>
          <w:tcPr>
            <w:tcW w:w="1333" w:type="pct"/>
            <w:shd w:val="clear" w:color="auto" w:fill="auto"/>
            <w:noWrap/>
            <w:vAlign w:val="center"/>
          </w:tcPr>
          <w:p w14:paraId="5361BA38">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663" w:type="pct"/>
            <w:shd w:val="clear" w:color="auto" w:fill="auto"/>
            <w:noWrap/>
            <w:vAlign w:val="center"/>
          </w:tcPr>
          <w:p w14:paraId="24AE1CE3">
            <w:pPr>
              <w:widowControl/>
              <w:jc w:val="center"/>
              <w:rPr>
                <w:rFonts w:ascii="宋体" w:hAnsi="宋体" w:cs="宋体"/>
                <w:color w:val="auto"/>
                <w:kern w:val="0"/>
                <w:szCs w:val="24"/>
              </w:rPr>
            </w:pPr>
            <w:r>
              <w:rPr>
                <w:rFonts w:hint="eastAsia" w:ascii="宋体" w:hAnsi="宋体" w:cs="宋体"/>
                <w:color w:val="auto"/>
                <w:kern w:val="0"/>
                <w:szCs w:val="24"/>
              </w:rPr>
              <w:t>587</w:t>
            </w:r>
          </w:p>
        </w:tc>
        <w:tc>
          <w:tcPr>
            <w:tcW w:w="2028" w:type="pct"/>
            <w:shd w:val="clear" w:color="auto" w:fill="auto"/>
            <w:noWrap/>
            <w:vAlign w:val="center"/>
          </w:tcPr>
          <w:p w14:paraId="7975C030">
            <w:pPr>
              <w:widowControl/>
              <w:jc w:val="center"/>
              <w:rPr>
                <w:rFonts w:ascii="宋体" w:hAnsi="宋体" w:cs="宋体"/>
                <w:color w:val="auto"/>
                <w:kern w:val="0"/>
                <w:szCs w:val="24"/>
              </w:rPr>
            </w:pPr>
            <w:r>
              <w:rPr>
                <w:rFonts w:hint="eastAsia" w:ascii="宋体" w:hAnsi="宋体" w:cs="宋体"/>
                <w:color w:val="auto"/>
                <w:kern w:val="0"/>
                <w:szCs w:val="24"/>
              </w:rPr>
              <w:t>东营成寨土石方工程有限公司</w:t>
            </w:r>
          </w:p>
        </w:tc>
      </w:tr>
      <w:tr w14:paraId="4A9B75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398F2E78">
            <w:pPr>
              <w:widowControl/>
              <w:jc w:val="center"/>
              <w:rPr>
                <w:rFonts w:ascii="宋体" w:hAnsi="宋体" w:cs="宋体"/>
                <w:color w:val="auto"/>
                <w:kern w:val="0"/>
                <w:szCs w:val="24"/>
              </w:rPr>
            </w:pPr>
            <w:r>
              <w:rPr>
                <w:rFonts w:hint="eastAsia" w:ascii="宋体" w:hAnsi="宋体" w:cs="宋体"/>
                <w:color w:val="auto"/>
                <w:kern w:val="0"/>
                <w:szCs w:val="24"/>
              </w:rPr>
              <w:t>9</w:t>
            </w:r>
          </w:p>
        </w:tc>
        <w:tc>
          <w:tcPr>
            <w:tcW w:w="637" w:type="pct"/>
            <w:shd w:val="clear" w:color="auto" w:fill="FFFFFF"/>
            <w:noWrap/>
            <w:vAlign w:val="center"/>
          </w:tcPr>
          <w:p w14:paraId="217834FB">
            <w:pPr>
              <w:widowControl/>
              <w:jc w:val="center"/>
              <w:rPr>
                <w:rFonts w:ascii="宋体" w:hAnsi="宋体" w:cs="宋体"/>
                <w:color w:val="auto"/>
                <w:kern w:val="0"/>
              </w:rPr>
            </w:pPr>
            <w:r>
              <w:rPr>
                <w:rFonts w:hint="eastAsia" w:ascii="宋体" w:hAnsi="宋体" w:cs="宋体"/>
                <w:color w:val="auto"/>
                <w:kern w:val="0"/>
              </w:rPr>
              <w:t>FJF11-X123</w:t>
            </w:r>
          </w:p>
        </w:tc>
        <w:tc>
          <w:tcPr>
            <w:tcW w:w="1333" w:type="pct"/>
            <w:shd w:val="clear" w:color="auto" w:fill="auto"/>
            <w:noWrap/>
            <w:vAlign w:val="center"/>
          </w:tcPr>
          <w:p w14:paraId="049DC813">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663" w:type="pct"/>
            <w:shd w:val="clear" w:color="auto" w:fill="auto"/>
            <w:noWrap/>
            <w:vAlign w:val="center"/>
          </w:tcPr>
          <w:p w14:paraId="1062684F">
            <w:pPr>
              <w:widowControl/>
              <w:jc w:val="center"/>
              <w:rPr>
                <w:rFonts w:ascii="宋体" w:hAnsi="宋体" w:cs="宋体"/>
                <w:color w:val="auto"/>
                <w:kern w:val="0"/>
                <w:szCs w:val="24"/>
              </w:rPr>
            </w:pPr>
            <w:r>
              <w:rPr>
                <w:rFonts w:hint="eastAsia" w:ascii="宋体" w:hAnsi="宋体" w:cs="宋体"/>
                <w:color w:val="auto"/>
                <w:kern w:val="0"/>
                <w:szCs w:val="24"/>
              </w:rPr>
              <w:t>515</w:t>
            </w:r>
          </w:p>
        </w:tc>
        <w:tc>
          <w:tcPr>
            <w:tcW w:w="2028" w:type="pct"/>
            <w:shd w:val="clear" w:color="auto" w:fill="auto"/>
            <w:noWrap/>
            <w:vAlign w:val="center"/>
          </w:tcPr>
          <w:p w14:paraId="1AE4BC43">
            <w:pPr>
              <w:widowControl/>
              <w:jc w:val="center"/>
              <w:rPr>
                <w:rFonts w:ascii="宋体" w:hAnsi="宋体" w:cs="宋体"/>
                <w:color w:val="auto"/>
                <w:kern w:val="0"/>
                <w:szCs w:val="24"/>
              </w:rPr>
            </w:pPr>
            <w:r>
              <w:rPr>
                <w:rFonts w:hint="eastAsia" w:ascii="宋体" w:hAnsi="宋体" w:cs="宋体"/>
                <w:color w:val="auto"/>
                <w:kern w:val="0"/>
                <w:szCs w:val="24"/>
              </w:rPr>
              <w:t>东营市垦利区永安镇</w:t>
            </w:r>
          </w:p>
        </w:tc>
      </w:tr>
      <w:tr w14:paraId="286003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431F3F6A">
            <w:pPr>
              <w:widowControl/>
              <w:jc w:val="center"/>
              <w:rPr>
                <w:rFonts w:ascii="宋体" w:hAnsi="宋体" w:cs="宋体"/>
                <w:color w:val="auto"/>
                <w:kern w:val="0"/>
                <w:szCs w:val="24"/>
              </w:rPr>
            </w:pPr>
            <w:r>
              <w:rPr>
                <w:rFonts w:hint="eastAsia" w:ascii="宋体" w:hAnsi="宋体" w:cs="宋体"/>
                <w:color w:val="auto"/>
                <w:kern w:val="0"/>
                <w:szCs w:val="24"/>
              </w:rPr>
              <w:t>10</w:t>
            </w:r>
          </w:p>
        </w:tc>
        <w:tc>
          <w:tcPr>
            <w:tcW w:w="637" w:type="pct"/>
            <w:shd w:val="clear" w:color="auto" w:fill="FFFFFF"/>
            <w:noWrap/>
            <w:vAlign w:val="center"/>
          </w:tcPr>
          <w:p w14:paraId="1375AC69">
            <w:pPr>
              <w:widowControl/>
              <w:jc w:val="center"/>
              <w:rPr>
                <w:rFonts w:ascii="宋体" w:hAnsi="宋体" w:cs="宋体"/>
                <w:color w:val="auto"/>
                <w:kern w:val="0"/>
              </w:rPr>
            </w:pPr>
            <w:r>
              <w:rPr>
                <w:rFonts w:hint="eastAsia" w:ascii="宋体" w:hAnsi="宋体" w:cs="宋体"/>
                <w:color w:val="auto"/>
                <w:kern w:val="0"/>
              </w:rPr>
              <w:t>FJF11-X122</w:t>
            </w:r>
          </w:p>
        </w:tc>
        <w:tc>
          <w:tcPr>
            <w:tcW w:w="1333" w:type="pct"/>
            <w:shd w:val="clear" w:color="auto" w:fill="auto"/>
            <w:noWrap/>
            <w:vAlign w:val="center"/>
          </w:tcPr>
          <w:p w14:paraId="0B164061">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663" w:type="pct"/>
            <w:shd w:val="clear" w:color="auto" w:fill="auto"/>
            <w:noWrap/>
            <w:vAlign w:val="center"/>
          </w:tcPr>
          <w:p w14:paraId="7AD0E08D">
            <w:pPr>
              <w:widowControl/>
              <w:jc w:val="center"/>
              <w:rPr>
                <w:rFonts w:ascii="宋体" w:hAnsi="宋体" w:cs="宋体"/>
                <w:color w:val="auto"/>
                <w:kern w:val="0"/>
                <w:szCs w:val="24"/>
              </w:rPr>
            </w:pPr>
            <w:r>
              <w:rPr>
                <w:rFonts w:hint="eastAsia" w:ascii="宋体" w:hAnsi="宋体" w:cs="宋体"/>
                <w:color w:val="auto"/>
                <w:kern w:val="0"/>
                <w:szCs w:val="24"/>
              </w:rPr>
              <w:t>445</w:t>
            </w:r>
          </w:p>
        </w:tc>
        <w:tc>
          <w:tcPr>
            <w:tcW w:w="2028" w:type="pct"/>
            <w:shd w:val="clear" w:color="auto" w:fill="auto"/>
            <w:noWrap/>
            <w:vAlign w:val="center"/>
          </w:tcPr>
          <w:p w14:paraId="4E1C22FD">
            <w:pPr>
              <w:widowControl/>
              <w:jc w:val="center"/>
              <w:rPr>
                <w:rFonts w:ascii="宋体" w:hAnsi="宋体" w:cs="宋体"/>
                <w:color w:val="auto"/>
                <w:kern w:val="0"/>
                <w:szCs w:val="24"/>
              </w:rPr>
            </w:pPr>
            <w:r>
              <w:rPr>
                <w:rFonts w:hint="eastAsia" w:ascii="宋体" w:hAnsi="宋体" w:cs="宋体"/>
                <w:color w:val="auto"/>
                <w:kern w:val="0"/>
                <w:szCs w:val="24"/>
              </w:rPr>
              <w:t>东营市垦利区永安镇</w:t>
            </w:r>
          </w:p>
        </w:tc>
      </w:tr>
      <w:tr w14:paraId="1877D9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35F16523">
            <w:pPr>
              <w:widowControl/>
              <w:jc w:val="center"/>
              <w:rPr>
                <w:rFonts w:ascii="宋体" w:hAnsi="宋体" w:cs="宋体"/>
                <w:color w:val="auto"/>
                <w:kern w:val="0"/>
                <w:szCs w:val="24"/>
              </w:rPr>
            </w:pPr>
            <w:r>
              <w:rPr>
                <w:rFonts w:hint="eastAsia" w:ascii="宋体" w:hAnsi="宋体" w:cs="宋体"/>
                <w:color w:val="auto"/>
                <w:kern w:val="0"/>
                <w:szCs w:val="24"/>
              </w:rPr>
              <w:t>11</w:t>
            </w:r>
          </w:p>
        </w:tc>
        <w:tc>
          <w:tcPr>
            <w:tcW w:w="637" w:type="pct"/>
            <w:shd w:val="clear" w:color="auto" w:fill="FFFFFF"/>
            <w:noWrap/>
            <w:vAlign w:val="center"/>
          </w:tcPr>
          <w:p w14:paraId="71283A77">
            <w:pPr>
              <w:widowControl/>
              <w:jc w:val="center"/>
              <w:rPr>
                <w:rFonts w:ascii="宋体" w:hAnsi="宋体" w:cs="宋体"/>
                <w:color w:val="auto"/>
                <w:kern w:val="0"/>
              </w:rPr>
            </w:pPr>
            <w:r>
              <w:rPr>
                <w:rFonts w:hint="eastAsia" w:ascii="宋体" w:hAnsi="宋体" w:cs="宋体"/>
                <w:color w:val="auto"/>
                <w:kern w:val="0"/>
              </w:rPr>
              <w:t>FJF11-X120</w:t>
            </w:r>
          </w:p>
        </w:tc>
        <w:tc>
          <w:tcPr>
            <w:tcW w:w="1333" w:type="pct"/>
            <w:shd w:val="clear" w:color="auto" w:fill="auto"/>
            <w:noWrap/>
            <w:vAlign w:val="center"/>
          </w:tcPr>
          <w:p w14:paraId="094B8871">
            <w:pPr>
              <w:widowControl/>
              <w:jc w:val="center"/>
              <w:rPr>
                <w:rFonts w:ascii="宋体" w:hAnsi="宋体" w:cs="宋体"/>
                <w:color w:val="auto"/>
                <w:kern w:val="0"/>
                <w:szCs w:val="24"/>
              </w:rPr>
            </w:pPr>
            <w:r>
              <w:rPr>
                <w:rFonts w:hint="eastAsia" w:ascii="宋体" w:hAnsi="宋体" w:cs="宋体"/>
                <w:color w:val="auto"/>
                <w:kern w:val="0"/>
                <w:szCs w:val="24"/>
              </w:rPr>
              <w:t>天正俊源环保科技有限公司</w:t>
            </w:r>
          </w:p>
        </w:tc>
        <w:tc>
          <w:tcPr>
            <w:tcW w:w="663" w:type="pct"/>
            <w:shd w:val="clear" w:color="auto" w:fill="auto"/>
            <w:noWrap/>
            <w:vAlign w:val="center"/>
          </w:tcPr>
          <w:p w14:paraId="100376D2">
            <w:pPr>
              <w:widowControl/>
              <w:jc w:val="center"/>
              <w:rPr>
                <w:rFonts w:ascii="宋体" w:hAnsi="宋体" w:cs="宋体"/>
                <w:color w:val="auto"/>
                <w:kern w:val="0"/>
                <w:szCs w:val="24"/>
              </w:rPr>
            </w:pPr>
            <w:r>
              <w:rPr>
                <w:rFonts w:hint="eastAsia" w:ascii="宋体" w:hAnsi="宋体" w:cs="宋体"/>
                <w:color w:val="auto"/>
                <w:kern w:val="0"/>
                <w:szCs w:val="24"/>
              </w:rPr>
              <w:t>561</w:t>
            </w:r>
          </w:p>
        </w:tc>
        <w:tc>
          <w:tcPr>
            <w:tcW w:w="2028" w:type="pct"/>
            <w:shd w:val="clear" w:color="auto" w:fill="auto"/>
            <w:noWrap/>
            <w:vAlign w:val="center"/>
          </w:tcPr>
          <w:p w14:paraId="1271B206">
            <w:pPr>
              <w:widowControl/>
              <w:jc w:val="center"/>
              <w:rPr>
                <w:rFonts w:ascii="宋体" w:hAnsi="宋体" w:cs="宋体"/>
                <w:color w:val="auto"/>
                <w:kern w:val="0"/>
                <w:szCs w:val="24"/>
              </w:rPr>
            </w:pPr>
            <w:r>
              <w:rPr>
                <w:rFonts w:hint="eastAsia" w:ascii="宋体" w:hAnsi="宋体" w:cs="宋体"/>
                <w:color w:val="auto"/>
                <w:kern w:val="0"/>
                <w:szCs w:val="24"/>
              </w:rPr>
              <w:t>东营市垦利区永安镇</w:t>
            </w:r>
          </w:p>
        </w:tc>
      </w:tr>
      <w:tr w14:paraId="73623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1CB27774">
            <w:pPr>
              <w:widowControl/>
              <w:jc w:val="center"/>
              <w:rPr>
                <w:rFonts w:ascii="宋体" w:hAnsi="宋体" w:cs="宋体"/>
                <w:color w:val="auto"/>
                <w:kern w:val="0"/>
                <w:szCs w:val="24"/>
              </w:rPr>
            </w:pPr>
            <w:r>
              <w:rPr>
                <w:rFonts w:hint="eastAsia" w:ascii="宋体" w:hAnsi="宋体" w:cs="宋体"/>
                <w:color w:val="auto"/>
                <w:kern w:val="0"/>
                <w:szCs w:val="24"/>
              </w:rPr>
              <w:t>12</w:t>
            </w:r>
          </w:p>
        </w:tc>
        <w:tc>
          <w:tcPr>
            <w:tcW w:w="637" w:type="pct"/>
            <w:shd w:val="clear" w:color="auto" w:fill="FFFFFF"/>
            <w:noWrap/>
            <w:vAlign w:val="center"/>
          </w:tcPr>
          <w:p w14:paraId="30269A13">
            <w:pPr>
              <w:widowControl/>
              <w:jc w:val="center"/>
              <w:rPr>
                <w:rFonts w:ascii="宋体" w:hAnsi="宋体" w:cs="宋体"/>
                <w:color w:val="auto"/>
                <w:kern w:val="0"/>
              </w:rPr>
            </w:pPr>
            <w:r>
              <w:rPr>
                <w:rFonts w:hint="eastAsia" w:ascii="宋体" w:hAnsi="宋体" w:cs="宋体"/>
                <w:color w:val="auto"/>
                <w:kern w:val="0"/>
              </w:rPr>
              <w:t>FJF11-X117</w:t>
            </w:r>
          </w:p>
        </w:tc>
        <w:tc>
          <w:tcPr>
            <w:tcW w:w="1333" w:type="pct"/>
            <w:shd w:val="clear" w:color="auto" w:fill="auto"/>
            <w:noWrap/>
            <w:vAlign w:val="center"/>
          </w:tcPr>
          <w:p w14:paraId="095274E9">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663" w:type="pct"/>
            <w:shd w:val="clear" w:color="auto" w:fill="auto"/>
            <w:noWrap/>
            <w:vAlign w:val="center"/>
          </w:tcPr>
          <w:p w14:paraId="36CD5495">
            <w:pPr>
              <w:widowControl/>
              <w:jc w:val="center"/>
              <w:rPr>
                <w:rFonts w:ascii="宋体" w:hAnsi="宋体" w:cs="宋体"/>
                <w:color w:val="auto"/>
                <w:kern w:val="0"/>
                <w:szCs w:val="24"/>
              </w:rPr>
            </w:pPr>
            <w:r>
              <w:rPr>
                <w:rFonts w:hint="eastAsia" w:ascii="宋体" w:hAnsi="宋体" w:cs="宋体"/>
                <w:color w:val="auto"/>
                <w:kern w:val="0"/>
                <w:szCs w:val="24"/>
              </w:rPr>
              <w:t>611</w:t>
            </w:r>
          </w:p>
        </w:tc>
        <w:tc>
          <w:tcPr>
            <w:tcW w:w="2028" w:type="pct"/>
            <w:shd w:val="clear" w:color="auto" w:fill="auto"/>
            <w:noWrap/>
            <w:vAlign w:val="center"/>
          </w:tcPr>
          <w:p w14:paraId="05EC0EEB">
            <w:pPr>
              <w:widowControl/>
              <w:jc w:val="center"/>
              <w:rPr>
                <w:rFonts w:ascii="宋体" w:hAnsi="宋体" w:cs="宋体"/>
                <w:color w:val="auto"/>
                <w:kern w:val="0"/>
                <w:szCs w:val="24"/>
              </w:rPr>
            </w:pPr>
            <w:r>
              <w:rPr>
                <w:rFonts w:hint="eastAsia" w:ascii="宋体" w:hAnsi="宋体" w:cs="宋体"/>
                <w:color w:val="auto"/>
                <w:kern w:val="0"/>
                <w:szCs w:val="24"/>
              </w:rPr>
              <w:t>东营市垦利区永安镇</w:t>
            </w:r>
          </w:p>
        </w:tc>
      </w:tr>
      <w:tr w14:paraId="1896C8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1EB118D4">
            <w:pPr>
              <w:widowControl/>
              <w:jc w:val="center"/>
              <w:rPr>
                <w:rFonts w:ascii="宋体" w:hAnsi="宋体" w:cs="宋体"/>
                <w:color w:val="auto"/>
                <w:kern w:val="0"/>
                <w:szCs w:val="24"/>
              </w:rPr>
            </w:pPr>
            <w:r>
              <w:rPr>
                <w:rFonts w:hint="eastAsia" w:ascii="宋体" w:hAnsi="宋体" w:cs="宋体"/>
                <w:color w:val="auto"/>
                <w:kern w:val="0"/>
                <w:szCs w:val="24"/>
              </w:rPr>
              <w:t>13</w:t>
            </w:r>
          </w:p>
        </w:tc>
        <w:tc>
          <w:tcPr>
            <w:tcW w:w="637" w:type="pct"/>
            <w:shd w:val="clear" w:color="auto" w:fill="FFFFFF"/>
            <w:noWrap/>
            <w:vAlign w:val="center"/>
          </w:tcPr>
          <w:p w14:paraId="28391906">
            <w:pPr>
              <w:widowControl/>
              <w:jc w:val="center"/>
              <w:rPr>
                <w:rFonts w:ascii="宋体" w:hAnsi="宋体" w:cs="宋体"/>
                <w:color w:val="auto"/>
                <w:kern w:val="0"/>
              </w:rPr>
            </w:pPr>
            <w:r>
              <w:rPr>
                <w:rFonts w:hint="eastAsia" w:ascii="宋体" w:hAnsi="宋体" w:cs="宋体"/>
                <w:color w:val="auto"/>
                <w:kern w:val="0"/>
              </w:rPr>
              <w:t>FJF11-X118</w:t>
            </w:r>
          </w:p>
        </w:tc>
        <w:tc>
          <w:tcPr>
            <w:tcW w:w="1333" w:type="pct"/>
            <w:shd w:val="clear" w:color="auto" w:fill="auto"/>
            <w:noWrap/>
            <w:vAlign w:val="center"/>
          </w:tcPr>
          <w:p w14:paraId="1B05B78B">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663" w:type="pct"/>
            <w:shd w:val="clear" w:color="auto" w:fill="auto"/>
            <w:noWrap/>
            <w:vAlign w:val="center"/>
          </w:tcPr>
          <w:p w14:paraId="52A11CB7">
            <w:pPr>
              <w:widowControl/>
              <w:jc w:val="center"/>
              <w:rPr>
                <w:rFonts w:ascii="宋体" w:hAnsi="宋体" w:cs="宋体"/>
                <w:color w:val="auto"/>
                <w:kern w:val="0"/>
                <w:szCs w:val="24"/>
              </w:rPr>
            </w:pPr>
            <w:r>
              <w:rPr>
                <w:rFonts w:hint="eastAsia" w:ascii="宋体" w:hAnsi="宋体" w:cs="宋体"/>
                <w:color w:val="auto"/>
                <w:kern w:val="0"/>
                <w:szCs w:val="24"/>
              </w:rPr>
              <w:t>470</w:t>
            </w:r>
          </w:p>
        </w:tc>
        <w:tc>
          <w:tcPr>
            <w:tcW w:w="2028" w:type="pct"/>
            <w:shd w:val="clear" w:color="auto" w:fill="auto"/>
            <w:noWrap/>
            <w:vAlign w:val="center"/>
          </w:tcPr>
          <w:p w14:paraId="0CAEC9BF">
            <w:pPr>
              <w:widowControl/>
              <w:jc w:val="center"/>
              <w:rPr>
                <w:rFonts w:ascii="宋体" w:hAnsi="宋体" w:cs="宋体"/>
                <w:color w:val="auto"/>
                <w:kern w:val="0"/>
                <w:szCs w:val="24"/>
              </w:rPr>
            </w:pPr>
            <w:r>
              <w:rPr>
                <w:rFonts w:hint="eastAsia" w:ascii="宋体" w:hAnsi="宋体" w:cs="宋体"/>
                <w:color w:val="auto"/>
                <w:kern w:val="0"/>
                <w:szCs w:val="24"/>
              </w:rPr>
              <w:t>东营市垦利区永安镇</w:t>
            </w:r>
          </w:p>
        </w:tc>
      </w:tr>
      <w:tr w14:paraId="2E6D28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426CD2F6">
            <w:pPr>
              <w:widowControl/>
              <w:jc w:val="center"/>
              <w:rPr>
                <w:rFonts w:ascii="宋体" w:hAnsi="宋体" w:cs="宋体"/>
                <w:color w:val="auto"/>
                <w:kern w:val="0"/>
                <w:szCs w:val="24"/>
              </w:rPr>
            </w:pPr>
            <w:r>
              <w:rPr>
                <w:rFonts w:hint="eastAsia" w:ascii="宋体" w:hAnsi="宋体" w:cs="宋体"/>
                <w:color w:val="auto"/>
                <w:kern w:val="0"/>
                <w:szCs w:val="24"/>
              </w:rPr>
              <w:t>14</w:t>
            </w:r>
          </w:p>
        </w:tc>
        <w:tc>
          <w:tcPr>
            <w:tcW w:w="637" w:type="pct"/>
            <w:shd w:val="clear" w:color="auto" w:fill="FFFFFF"/>
            <w:noWrap/>
            <w:vAlign w:val="center"/>
          </w:tcPr>
          <w:p w14:paraId="4C34D3F6">
            <w:pPr>
              <w:widowControl/>
              <w:jc w:val="center"/>
              <w:rPr>
                <w:rFonts w:ascii="宋体" w:hAnsi="宋体" w:cs="宋体"/>
                <w:color w:val="auto"/>
                <w:kern w:val="0"/>
              </w:rPr>
            </w:pPr>
            <w:r>
              <w:rPr>
                <w:rFonts w:hint="eastAsia" w:ascii="宋体" w:hAnsi="宋体" w:cs="宋体"/>
                <w:color w:val="auto"/>
                <w:kern w:val="0"/>
              </w:rPr>
              <w:t>FJF11-X115</w:t>
            </w:r>
          </w:p>
        </w:tc>
        <w:tc>
          <w:tcPr>
            <w:tcW w:w="1333" w:type="pct"/>
            <w:shd w:val="clear" w:color="auto" w:fill="auto"/>
            <w:noWrap/>
            <w:vAlign w:val="center"/>
          </w:tcPr>
          <w:p w14:paraId="37F24880">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663" w:type="pct"/>
            <w:shd w:val="clear" w:color="auto" w:fill="auto"/>
            <w:noWrap/>
            <w:vAlign w:val="center"/>
          </w:tcPr>
          <w:p w14:paraId="5F4FBB60">
            <w:pPr>
              <w:widowControl/>
              <w:jc w:val="center"/>
              <w:rPr>
                <w:rFonts w:ascii="宋体" w:hAnsi="宋体" w:cs="宋体"/>
                <w:color w:val="auto"/>
                <w:kern w:val="0"/>
                <w:szCs w:val="24"/>
              </w:rPr>
            </w:pPr>
            <w:r>
              <w:rPr>
                <w:rFonts w:hint="eastAsia" w:ascii="宋体" w:hAnsi="宋体" w:cs="宋体"/>
                <w:color w:val="auto"/>
                <w:kern w:val="0"/>
                <w:szCs w:val="24"/>
              </w:rPr>
              <w:t>586</w:t>
            </w:r>
          </w:p>
        </w:tc>
        <w:tc>
          <w:tcPr>
            <w:tcW w:w="2028" w:type="pct"/>
            <w:shd w:val="clear" w:color="auto" w:fill="auto"/>
            <w:noWrap/>
            <w:vAlign w:val="center"/>
          </w:tcPr>
          <w:p w14:paraId="0C3DF1DD">
            <w:pPr>
              <w:widowControl/>
              <w:jc w:val="center"/>
              <w:rPr>
                <w:rFonts w:ascii="宋体" w:hAnsi="宋体" w:cs="宋体"/>
                <w:color w:val="auto"/>
                <w:kern w:val="0"/>
                <w:szCs w:val="24"/>
              </w:rPr>
            </w:pPr>
            <w:r>
              <w:rPr>
                <w:rFonts w:hint="eastAsia" w:ascii="宋体" w:hAnsi="宋体" w:cs="宋体"/>
                <w:color w:val="auto"/>
                <w:kern w:val="0"/>
                <w:szCs w:val="24"/>
              </w:rPr>
              <w:t>东营市垦利区永安镇</w:t>
            </w:r>
          </w:p>
        </w:tc>
      </w:tr>
      <w:tr w14:paraId="7CA6D4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4C73FB56">
            <w:pPr>
              <w:widowControl/>
              <w:jc w:val="center"/>
              <w:rPr>
                <w:rFonts w:ascii="宋体" w:hAnsi="宋体" w:cs="宋体"/>
                <w:color w:val="auto"/>
                <w:kern w:val="0"/>
                <w:szCs w:val="24"/>
              </w:rPr>
            </w:pPr>
            <w:r>
              <w:rPr>
                <w:rFonts w:hint="eastAsia" w:ascii="宋体" w:hAnsi="宋体" w:cs="宋体"/>
                <w:color w:val="auto"/>
                <w:kern w:val="0"/>
                <w:szCs w:val="24"/>
              </w:rPr>
              <w:t>15</w:t>
            </w:r>
          </w:p>
        </w:tc>
        <w:tc>
          <w:tcPr>
            <w:tcW w:w="637" w:type="pct"/>
            <w:shd w:val="clear" w:color="auto" w:fill="FFFFFF"/>
            <w:noWrap/>
            <w:vAlign w:val="center"/>
          </w:tcPr>
          <w:p w14:paraId="2B28865E">
            <w:pPr>
              <w:widowControl/>
              <w:jc w:val="center"/>
              <w:rPr>
                <w:rFonts w:ascii="宋体" w:hAnsi="宋体" w:cs="宋体"/>
                <w:color w:val="auto"/>
                <w:kern w:val="0"/>
              </w:rPr>
            </w:pPr>
            <w:r>
              <w:rPr>
                <w:rFonts w:hint="eastAsia" w:ascii="宋体" w:hAnsi="宋体" w:cs="宋体"/>
                <w:color w:val="auto"/>
                <w:kern w:val="0"/>
              </w:rPr>
              <w:t>FJF121-X95</w:t>
            </w:r>
          </w:p>
        </w:tc>
        <w:tc>
          <w:tcPr>
            <w:tcW w:w="1333" w:type="pct"/>
            <w:shd w:val="clear" w:color="auto" w:fill="auto"/>
            <w:noWrap/>
            <w:vAlign w:val="center"/>
          </w:tcPr>
          <w:p w14:paraId="77C84E29">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663" w:type="pct"/>
            <w:shd w:val="clear" w:color="auto" w:fill="auto"/>
            <w:noWrap/>
            <w:vAlign w:val="center"/>
          </w:tcPr>
          <w:p w14:paraId="3EECEB8D">
            <w:pPr>
              <w:widowControl/>
              <w:jc w:val="center"/>
              <w:rPr>
                <w:rFonts w:ascii="宋体" w:hAnsi="宋体" w:cs="宋体"/>
                <w:color w:val="auto"/>
                <w:kern w:val="0"/>
                <w:szCs w:val="24"/>
              </w:rPr>
            </w:pPr>
            <w:r>
              <w:rPr>
                <w:rFonts w:hint="eastAsia" w:ascii="宋体" w:hAnsi="宋体" w:cs="宋体"/>
                <w:color w:val="auto"/>
                <w:kern w:val="0"/>
                <w:szCs w:val="24"/>
              </w:rPr>
              <w:t>708</w:t>
            </w:r>
          </w:p>
        </w:tc>
        <w:tc>
          <w:tcPr>
            <w:tcW w:w="2028" w:type="pct"/>
            <w:shd w:val="clear" w:color="auto" w:fill="auto"/>
            <w:noWrap/>
            <w:vAlign w:val="center"/>
          </w:tcPr>
          <w:p w14:paraId="63F185EE">
            <w:pPr>
              <w:widowControl/>
              <w:jc w:val="center"/>
              <w:rPr>
                <w:rFonts w:ascii="宋体" w:hAnsi="宋体" w:cs="宋体"/>
                <w:color w:val="auto"/>
                <w:kern w:val="0"/>
                <w:szCs w:val="24"/>
              </w:rPr>
            </w:pPr>
            <w:r>
              <w:rPr>
                <w:rFonts w:hint="eastAsia" w:ascii="宋体" w:hAnsi="宋体" w:cs="宋体"/>
                <w:color w:val="auto"/>
                <w:kern w:val="0"/>
                <w:szCs w:val="24"/>
              </w:rPr>
              <w:t>东营成寨土石方工程有限公司</w:t>
            </w:r>
          </w:p>
        </w:tc>
      </w:tr>
      <w:tr w14:paraId="4FB142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7937C6E7">
            <w:pPr>
              <w:widowControl/>
              <w:jc w:val="center"/>
              <w:rPr>
                <w:rFonts w:ascii="宋体" w:hAnsi="宋体" w:cs="宋体"/>
                <w:color w:val="auto"/>
                <w:kern w:val="0"/>
                <w:szCs w:val="24"/>
              </w:rPr>
            </w:pPr>
            <w:r>
              <w:rPr>
                <w:rFonts w:hint="eastAsia" w:ascii="宋体" w:hAnsi="宋体" w:cs="宋体"/>
                <w:color w:val="auto"/>
                <w:kern w:val="0"/>
                <w:szCs w:val="24"/>
              </w:rPr>
              <w:t>16</w:t>
            </w:r>
          </w:p>
        </w:tc>
        <w:tc>
          <w:tcPr>
            <w:tcW w:w="637" w:type="pct"/>
            <w:shd w:val="clear" w:color="auto" w:fill="FFFFFF"/>
            <w:noWrap/>
            <w:vAlign w:val="center"/>
          </w:tcPr>
          <w:p w14:paraId="24382003">
            <w:pPr>
              <w:widowControl/>
              <w:jc w:val="center"/>
              <w:rPr>
                <w:rFonts w:ascii="宋体" w:hAnsi="宋体" w:cs="宋体"/>
                <w:color w:val="auto"/>
                <w:kern w:val="0"/>
              </w:rPr>
            </w:pPr>
            <w:r>
              <w:rPr>
                <w:rFonts w:hint="eastAsia" w:ascii="宋体" w:hAnsi="宋体" w:cs="宋体"/>
                <w:color w:val="auto"/>
                <w:kern w:val="0"/>
              </w:rPr>
              <w:t>FJF121-X97</w:t>
            </w:r>
          </w:p>
        </w:tc>
        <w:tc>
          <w:tcPr>
            <w:tcW w:w="1333" w:type="pct"/>
            <w:shd w:val="clear" w:color="auto" w:fill="auto"/>
            <w:noWrap/>
            <w:vAlign w:val="center"/>
          </w:tcPr>
          <w:p w14:paraId="5E9E00D3">
            <w:pPr>
              <w:widowControl/>
              <w:jc w:val="center"/>
              <w:rPr>
                <w:rFonts w:ascii="宋体" w:hAnsi="宋体" w:cs="宋体"/>
                <w:color w:val="auto"/>
                <w:kern w:val="0"/>
                <w:szCs w:val="24"/>
              </w:rPr>
            </w:pPr>
            <w:r>
              <w:rPr>
                <w:rFonts w:hint="eastAsia" w:ascii="宋体" w:hAnsi="宋体" w:cs="宋体"/>
                <w:color w:val="auto"/>
                <w:kern w:val="0"/>
                <w:szCs w:val="24"/>
              </w:rPr>
              <w:t>东营丰实钻井工程有限公司</w:t>
            </w:r>
          </w:p>
        </w:tc>
        <w:tc>
          <w:tcPr>
            <w:tcW w:w="663" w:type="pct"/>
            <w:shd w:val="clear" w:color="auto" w:fill="auto"/>
            <w:noWrap/>
            <w:vAlign w:val="center"/>
          </w:tcPr>
          <w:p w14:paraId="5D159DC2">
            <w:pPr>
              <w:widowControl/>
              <w:jc w:val="center"/>
              <w:rPr>
                <w:rFonts w:ascii="宋体" w:hAnsi="宋体" w:cs="宋体"/>
                <w:color w:val="auto"/>
                <w:kern w:val="0"/>
                <w:szCs w:val="24"/>
              </w:rPr>
            </w:pPr>
            <w:r>
              <w:rPr>
                <w:rFonts w:hint="eastAsia" w:ascii="宋体" w:hAnsi="宋体" w:cs="宋体"/>
                <w:color w:val="auto"/>
                <w:kern w:val="0"/>
                <w:szCs w:val="24"/>
              </w:rPr>
              <w:t>592</w:t>
            </w:r>
          </w:p>
        </w:tc>
        <w:tc>
          <w:tcPr>
            <w:tcW w:w="2028" w:type="pct"/>
            <w:shd w:val="clear" w:color="auto" w:fill="auto"/>
            <w:noWrap/>
            <w:vAlign w:val="center"/>
          </w:tcPr>
          <w:p w14:paraId="20AD3309">
            <w:pPr>
              <w:widowControl/>
              <w:jc w:val="center"/>
              <w:rPr>
                <w:rFonts w:ascii="宋体" w:hAnsi="宋体" w:cs="宋体"/>
                <w:color w:val="auto"/>
                <w:kern w:val="0"/>
                <w:szCs w:val="24"/>
              </w:rPr>
            </w:pPr>
            <w:r>
              <w:rPr>
                <w:rFonts w:hint="eastAsia" w:ascii="宋体" w:hAnsi="宋体" w:cs="宋体"/>
                <w:color w:val="auto"/>
                <w:kern w:val="0"/>
                <w:szCs w:val="24"/>
              </w:rPr>
              <w:t>东营成寨土石方工程有限公司</w:t>
            </w:r>
          </w:p>
        </w:tc>
      </w:tr>
      <w:tr w14:paraId="7551C1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39" w:type="pct"/>
            <w:shd w:val="clear" w:color="auto" w:fill="auto"/>
            <w:noWrap/>
            <w:vAlign w:val="center"/>
          </w:tcPr>
          <w:p w14:paraId="7568250D">
            <w:pPr>
              <w:widowControl/>
              <w:jc w:val="center"/>
              <w:rPr>
                <w:rFonts w:ascii="宋体" w:hAnsi="宋体" w:cs="宋体"/>
                <w:color w:val="auto"/>
                <w:kern w:val="0"/>
                <w:szCs w:val="24"/>
              </w:rPr>
            </w:pPr>
          </w:p>
        </w:tc>
        <w:tc>
          <w:tcPr>
            <w:tcW w:w="637" w:type="pct"/>
            <w:shd w:val="clear" w:color="auto" w:fill="auto"/>
            <w:noWrap/>
            <w:vAlign w:val="center"/>
          </w:tcPr>
          <w:p w14:paraId="44FD93D2">
            <w:pPr>
              <w:widowControl/>
              <w:jc w:val="center"/>
              <w:rPr>
                <w:rFonts w:ascii="宋体" w:hAnsi="宋体" w:cs="宋体"/>
                <w:color w:val="auto"/>
                <w:kern w:val="0"/>
                <w:szCs w:val="24"/>
              </w:rPr>
            </w:pPr>
            <w:r>
              <w:rPr>
                <w:rFonts w:hint="eastAsia" w:ascii="宋体" w:hAnsi="宋体" w:cs="宋体"/>
                <w:color w:val="auto"/>
                <w:kern w:val="0"/>
                <w:szCs w:val="24"/>
              </w:rPr>
              <w:t>合计</w:t>
            </w:r>
          </w:p>
        </w:tc>
        <w:tc>
          <w:tcPr>
            <w:tcW w:w="1333" w:type="pct"/>
            <w:shd w:val="clear" w:color="auto" w:fill="auto"/>
            <w:noWrap/>
            <w:vAlign w:val="center"/>
          </w:tcPr>
          <w:p w14:paraId="03B4432B">
            <w:pPr>
              <w:widowControl/>
              <w:jc w:val="center"/>
              <w:rPr>
                <w:rFonts w:ascii="宋体" w:hAnsi="宋体" w:cs="宋体"/>
                <w:color w:val="auto"/>
                <w:kern w:val="0"/>
                <w:szCs w:val="24"/>
              </w:rPr>
            </w:pPr>
          </w:p>
        </w:tc>
        <w:tc>
          <w:tcPr>
            <w:tcW w:w="663" w:type="pct"/>
            <w:shd w:val="clear" w:color="auto" w:fill="auto"/>
            <w:noWrap/>
            <w:vAlign w:val="center"/>
          </w:tcPr>
          <w:p w14:paraId="49000810">
            <w:pPr>
              <w:widowControl/>
              <w:jc w:val="center"/>
              <w:rPr>
                <w:rFonts w:ascii="宋体" w:hAnsi="宋体" w:cs="宋体"/>
                <w:color w:val="auto"/>
                <w:kern w:val="0"/>
                <w:szCs w:val="24"/>
              </w:rPr>
            </w:pPr>
            <w:r>
              <w:rPr>
                <w:rFonts w:hint="eastAsia" w:ascii="宋体" w:hAnsi="宋体" w:cs="宋体"/>
                <w:color w:val="auto"/>
                <w:kern w:val="0"/>
                <w:szCs w:val="24"/>
              </w:rPr>
              <w:t>8752</w:t>
            </w:r>
          </w:p>
        </w:tc>
        <w:tc>
          <w:tcPr>
            <w:tcW w:w="2028" w:type="pct"/>
            <w:shd w:val="clear" w:color="auto" w:fill="auto"/>
            <w:noWrap/>
            <w:vAlign w:val="center"/>
          </w:tcPr>
          <w:p w14:paraId="51974CBC">
            <w:pPr>
              <w:widowControl/>
              <w:jc w:val="center"/>
              <w:rPr>
                <w:rFonts w:ascii="宋体" w:hAnsi="宋体" w:cs="宋体"/>
                <w:color w:val="auto"/>
                <w:kern w:val="0"/>
                <w:szCs w:val="24"/>
              </w:rPr>
            </w:pPr>
          </w:p>
        </w:tc>
      </w:tr>
    </w:tbl>
    <w:p w14:paraId="00DDC7E7">
      <w:pPr>
        <w:rPr>
          <w:color w:val="auto"/>
        </w:rPr>
      </w:pPr>
    </w:p>
    <w:p w14:paraId="4D1CEBB2">
      <w:pPr>
        <w:pStyle w:val="4"/>
        <w:ind w:firstLine="480" w:firstLineChars="0"/>
        <w:rPr>
          <w:color w:val="auto"/>
        </w:rPr>
      </w:pPr>
      <w:r>
        <w:rPr>
          <w:rFonts w:hint="eastAsia"/>
          <w:color w:val="auto"/>
        </w:rPr>
        <w:t>（2）定向钻泥浆</w:t>
      </w:r>
    </w:p>
    <w:p w14:paraId="64DCF5AD">
      <w:pPr>
        <w:pStyle w:val="4"/>
        <w:ind w:firstLine="480" w:firstLineChars="0"/>
        <w:rPr>
          <w:color w:val="auto"/>
        </w:rPr>
      </w:pPr>
      <w:r>
        <w:rPr>
          <w:rFonts w:hint="eastAsia"/>
          <w:color w:val="auto"/>
        </w:rPr>
        <w:t>经调查，</w:t>
      </w:r>
      <w:bookmarkStart w:id="267" w:name="OLE_LINK273"/>
      <w:bookmarkStart w:id="268" w:name="OLE_LINK272"/>
      <w:r>
        <w:rPr>
          <w:rFonts w:hint="eastAsia"/>
          <w:color w:val="auto"/>
        </w:rPr>
        <w:t>定向钻穿越期间产生的泥浆已委托专业单位拉运处置，泥浆池回填，进行地貌和植被恢复</w:t>
      </w:r>
      <w:bookmarkEnd w:id="267"/>
      <w:bookmarkEnd w:id="268"/>
      <w:r>
        <w:rPr>
          <w:rFonts w:hint="eastAsia"/>
          <w:color w:val="auto"/>
        </w:rPr>
        <w:t>。</w:t>
      </w:r>
    </w:p>
    <w:p w14:paraId="3025AEAE">
      <w:pPr>
        <w:pStyle w:val="4"/>
        <w:ind w:firstLine="480"/>
        <w:rPr>
          <w:color w:val="auto"/>
        </w:rPr>
      </w:pPr>
      <w:r>
        <w:rPr>
          <w:rFonts w:hint="eastAsia"/>
          <w:color w:val="auto"/>
        </w:rPr>
        <w:t>（3）施工废料及建筑垃圾</w:t>
      </w:r>
    </w:p>
    <w:p w14:paraId="6AE09630">
      <w:pPr>
        <w:pStyle w:val="4"/>
        <w:ind w:firstLine="480"/>
        <w:rPr>
          <w:color w:val="auto"/>
        </w:rPr>
      </w:pPr>
      <w:bookmarkStart w:id="269" w:name="OLE_LINK66"/>
      <w:r>
        <w:rPr>
          <w:rFonts w:hint="eastAsia"/>
          <w:color w:val="auto"/>
        </w:rPr>
        <w:t>施工废料大部分回收利用，无法利用的已拉运至环卫部门指定地点处理</w:t>
      </w:r>
      <w:bookmarkEnd w:id="269"/>
      <w:r>
        <w:rPr>
          <w:rFonts w:hint="eastAsia"/>
          <w:color w:val="auto"/>
        </w:rPr>
        <w:t>，建筑垃圾用于井场及道路铺设</w:t>
      </w:r>
      <w:r>
        <w:rPr>
          <w:color w:val="auto"/>
        </w:rPr>
        <w:t>。</w:t>
      </w:r>
    </w:p>
    <w:p w14:paraId="0A38581F">
      <w:pPr>
        <w:pStyle w:val="4"/>
        <w:ind w:firstLine="480" w:firstLineChars="0"/>
        <w:rPr>
          <w:color w:val="auto"/>
        </w:rPr>
      </w:pPr>
      <w:r>
        <w:rPr>
          <w:rFonts w:hint="eastAsia"/>
          <w:color w:val="auto"/>
        </w:rPr>
        <w:t>（4）废弃设备</w:t>
      </w:r>
    </w:p>
    <w:p w14:paraId="2C619937">
      <w:pPr>
        <w:pStyle w:val="4"/>
        <w:ind w:firstLine="480" w:firstLineChars="0"/>
        <w:rPr>
          <w:color w:val="auto"/>
        </w:rPr>
      </w:pPr>
      <w:r>
        <w:rPr>
          <w:rFonts w:hint="eastAsia"/>
          <w:color w:val="auto"/>
        </w:rPr>
        <w:t>本期工程主要拆除旧加热炉、拉改输工程替换的旧多功能罐等设备，</w:t>
      </w:r>
      <w:bookmarkStart w:id="270" w:name="OLE_LINK322"/>
      <w:bookmarkStart w:id="271" w:name="OLE_LINK321"/>
      <w:r>
        <w:rPr>
          <w:rFonts w:hint="eastAsia"/>
          <w:color w:val="auto"/>
        </w:rPr>
        <w:t>已按照资产报废程序由胜利油田东胜精攻石油开发集团股份有限公司物资管理部门统一处理</w:t>
      </w:r>
      <w:bookmarkEnd w:id="270"/>
      <w:bookmarkEnd w:id="271"/>
      <w:r>
        <w:rPr>
          <w:rFonts w:hint="eastAsia"/>
          <w:color w:val="auto"/>
        </w:rPr>
        <w:t>。</w:t>
      </w:r>
    </w:p>
    <w:p w14:paraId="5BDFACE9">
      <w:pPr>
        <w:pStyle w:val="4"/>
        <w:ind w:firstLine="480"/>
        <w:rPr>
          <w:color w:val="auto"/>
        </w:rPr>
      </w:pPr>
      <w:r>
        <w:rPr>
          <w:rFonts w:hint="eastAsia"/>
          <w:color w:val="auto"/>
        </w:rPr>
        <w:t>（</w:t>
      </w:r>
      <w:r>
        <w:rPr>
          <w:color w:val="auto"/>
        </w:rPr>
        <w:t>5</w:t>
      </w:r>
      <w:r>
        <w:rPr>
          <w:rFonts w:hint="eastAsia"/>
          <w:color w:val="auto"/>
        </w:rPr>
        <w:t>）生活垃圾</w:t>
      </w:r>
    </w:p>
    <w:p w14:paraId="774E9C06">
      <w:pPr>
        <w:pStyle w:val="4"/>
        <w:ind w:firstLine="480"/>
        <w:rPr>
          <w:color w:val="auto"/>
        </w:rPr>
      </w:pPr>
      <w:r>
        <w:rPr>
          <w:rFonts w:hint="eastAsia"/>
          <w:color w:val="auto"/>
        </w:rPr>
        <w:t>施工</w:t>
      </w:r>
      <w:r>
        <w:rPr>
          <w:color w:val="auto"/>
        </w:rPr>
        <w:t>期间</w:t>
      </w:r>
      <w:r>
        <w:rPr>
          <w:rFonts w:hint="eastAsia"/>
          <w:color w:val="auto"/>
        </w:rPr>
        <w:t>产生的</w:t>
      </w:r>
      <w:r>
        <w:rPr>
          <w:color w:val="auto"/>
        </w:rPr>
        <w:t>生活垃圾均</w:t>
      </w:r>
      <w:r>
        <w:rPr>
          <w:rFonts w:hint="eastAsia"/>
          <w:color w:val="auto"/>
        </w:rPr>
        <w:t>暂存</w:t>
      </w:r>
      <w:r>
        <w:rPr>
          <w:color w:val="auto"/>
        </w:rPr>
        <w:t>于施工场地内</w:t>
      </w:r>
      <w:r>
        <w:rPr>
          <w:rFonts w:hint="eastAsia"/>
          <w:color w:val="auto"/>
        </w:rPr>
        <w:t>临时</w:t>
      </w:r>
      <w:r>
        <w:rPr>
          <w:color w:val="auto"/>
        </w:rPr>
        <w:t>垃圾桶中，</w:t>
      </w:r>
      <w:r>
        <w:rPr>
          <w:rFonts w:hint="eastAsia"/>
          <w:color w:val="auto"/>
        </w:rPr>
        <w:t>后由</w:t>
      </w:r>
      <w:r>
        <w:rPr>
          <w:color w:val="auto"/>
        </w:rPr>
        <w:t>施工单位统一</w:t>
      </w:r>
      <w:r>
        <w:rPr>
          <w:rFonts w:hint="eastAsia"/>
          <w:color w:val="auto"/>
        </w:rPr>
        <w:t>拉运至</w:t>
      </w:r>
      <w:r>
        <w:rPr>
          <w:color w:val="auto"/>
        </w:rPr>
        <w:t>市政部门指定地点</w:t>
      </w:r>
      <w:r>
        <w:rPr>
          <w:rFonts w:hint="eastAsia"/>
          <w:color w:val="auto"/>
        </w:rPr>
        <w:t>处理</w:t>
      </w:r>
      <w:r>
        <w:rPr>
          <w:color w:val="auto"/>
        </w:rPr>
        <w:t>，</w:t>
      </w:r>
      <w:r>
        <w:rPr>
          <w:rFonts w:hint="eastAsia"/>
          <w:color w:val="auto"/>
        </w:rPr>
        <w:t>验收</w:t>
      </w:r>
      <w:r>
        <w:rPr>
          <w:color w:val="auto"/>
        </w:rPr>
        <w:t>调查期间，现场未</w:t>
      </w:r>
      <w:r>
        <w:rPr>
          <w:rFonts w:hint="eastAsia"/>
          <w:color w:val="auto"/>
        </w:rPr>
        <w:t>发现生活垃圾遗留</w:t>
      </w:r>
      <w:r>
        <w:rPr>
          <w:color w:val="auto"/>
        </w:rPr>
        <w:t>，</w:t>
      </w:r>
      <w:r>
        <w:rPr>
          <w:rFonts w:hint="eastAsia"/>
          <w:color w:val="auto"/>
        </w:rPr>
        <w:t>未</w:t>
      </w:r>
      <w:r>
        <w:rPr>
          <w:color w:val="auto"/>
        </w:rPr>
        <w:t>对周围环境</w:t>
      </w:r>
      <w:r>
        <w:rPr>
          <w:rFonts w:hint="eastAsia"/>
          <w:color w:val="auto"/>
        </w:rPr>
        <w:t>产生</w:t>
      </w:r>
      <w:r>
        <w:rPr>
          <w:color w:val="auto"/>
        </w:rPr>
        <w:t>不利影响。</w:t>
      </w:r>
    </w:p>
    <w:p w14:paraId="73879922">
      <w:pPr>
        <w:pStyle w:val="4"/>
        <w:ind w:firstLine="480"/>
        <w:rPr>
          <w:rFonts w:cs="宋体"/>
          <w:color w:val="auto"/>
        </w:rPr>
      </w:pPr>
      <w:r>
        <w:rPr>
          <w:rFonts w:hint="eastAsia"/>
          <w:color w:val="auto"/>
          <w:szCs w:val="21"/>
        </w:rPr>
        <w:t>经调查，</w:t>
      </w:r>
      <w:r>
        <w:rPr>
          <w:color w:val="auto"/>
          <w:szCs w:val="21"/>
        </w:rPr>
        <w:t>本期工程</w:t>
      </w:r>
      <w:r>
        <w:rPr>
          <w:rFonts w:hint="eastAsia"/>
          <w:color w:val="auto"/>
          <w:szCs w:val="21"/>
        </w:rPr>
        <w:t>施工过程中</w:t>
      </w:r>
      <w:r>
        <w:rPr>
          <w:color w:val="auto"/>
          <w:szCs w:val="21"/>
        </w:rPr>
        <w:t>产生的固体废物均得到了妥善处置，</w:t>
      </w:r>
      <w:r>
        <w:rPr>
          <w:rFonts w:hint="eastAsia"/>
          <w:color w:val="auto"/>
          <w:szCs w:val="21"/>
        </w:rPr>
        <w:t>不存在施工</w:t>
      </w:r>
      <w:r>
        <w:rPr>
          <w:color w:val="auto"/>
          <w:szCs w:val="21"/>
        </w:rPr>
        <w:t>现场</w:t>
      </w:r>
      <w:r>
        <w:rPr>
          <w:rFonts w:hint="eastAsia"/>
          <w:color w:val="auto"/>
          <w:szCs w:val="21"/>
        </w:rPr>
        <w:t>堆放</w:t>
      </w:r>
      <w:r>
        <w:rPr>
          <w:color w:val="auto"/>
          <w:szCs w:val="21"/>
        </w:rPr>
        <w:t>现象，且</w:t>
      </w:r>
      <w:r>
        <w:rPr>
          <w:rFonts w:hint="eastAsia"/>
          <w:color w:val="auto"/>
          <w:szCs w:val="21"/>
        </w:rPr>
        <w:t>施工场地得到了恢复，未对周围生态环境造成</w:t>
      </w:r>
      <w:r>
        <w:rPr>
          <w:color w:val="auto"/>
          <w:szCs w:val="21"/>
        </w:rPr>
        <w:t>不利</w:t>
      </w:r>
      <w:r>
        <w:rPr>
          <w:rFonts w:hint="eastAsia"/>
          <w:color w:val="auto"/>
          <w:szCs w:val="21"/>
        </w:rPr>
        <w:t>影响</w:t>
      </w:r>
      <w:r>
        <w:rPr>
          <w:rFonts w:hint="eastAsia" w:cs="宋体"/>
          <w:color w:val="auto"/>
        </w:rPr>
        <w:t>。</w:t>
      </w:r>
    </w:p>
    <w:p w14:paraId="7D01B32C">
      <w:pPr>
        <w:pStyle w:val="4"/>
        <w:ind w:firstLine="480"/>
        <w:outlineLvl w:val="3"/>
        <w:rPr>
          <w:color w:val="auto"/>
        </w:rPr>
      </w:pPr>
      <w:r>
        <w:rPr>
          <w:rFonts w:hint="eastAsia"/>
          <w:color w:val="auto"/>
        </w:rPr>
        <w:t>4）噪声</w:t>
      </w:r>
    </w:p>
    <w:p w14:paraId="2A44840A">
      <w:pPr>
        <w:pStyle w:val="4"/>
        <w:ind w:firstLine="480"/>
        <w:rPr>
          <w:color w:val="auto"/>
          <w:szCs w:val="20"/>
        </w:rPr>
      </w:pPr>
      <w:r>
        <w:rPr>
          <w:rFonts w:hint="eastAsia"/>
          <w:color w:val="auto"/>
        </w:rPr>
        <w:t>施工期产生</w:t>
      </w:r>
      <w:r>
        <w:rPr>
          <w:color w:val="auto"/>
        </w:rPr>
        <w:t>的噪声主要是</w:t>
      </w:r>
      <w:r>
        <w:rPr>
          <w:rFonts w:hint="eastAsia"/>
          <w:color w:val="auto"/>
        </w:rPr>
        <w:t>施工</w:t>
      </w:r>
      <w:r>
        <w:rPr>
          <w:color w:val="auto"/>
        </w:rPr>
        <w:t>机械运转</w:t>
      </w:r>
      <w:r>
        <w:rPr>
          <w:rFonts w:hint="eastAsia"/>
          <w:color w:val="auto"/>
        </w:rPr>
        <w:t>、柴油机</w:t>
      </w:r>
      <w:r>
        <w:rPr>
          <w:color w:val="auto"/>
        </w:rPr>
        <w:t>噪声</w:t>
      </w:r>
      <w:r>
        <w:rPr>
          <w:rFonts w:hint="eastAsia"/>
          <w:color w:val="auto"/>
        </w:rPr>
        <w:t>，</w:t>
      </w:r>
      <w:r>
        <w:rPr>
          <w:rFonts w:hint="eastAsia"/>
          <w:color w:val="auto"/>
          <w:szCs w:val="20"/>
        </w:rPr>
        <w:t>本期工程钻井选用了低噪声</w:t>
      </w:r>
      <w:r>
        <w:rPr>
          <w:color w:val="auto"/>
          <w:szCs w:val="20"/>
        </w:rPr>
        <w:t>设备，</w:t>
      </w:r>
      <w:r>
        <w:rPr>
          <w:rFonts w:hint="eastAsia"/>
          <w:color w:val="auto"/>
          <w:szCs w:val="20"/>
        </w:rPr>
        <w:t>随着</w:t>
      </w:r>
      <w:r>
        <w:rPr>
          <w:color w:val="auto"/>
          <w:szCs w:val="20"/>
        </w:rPr>
        <w:t>施工的结束，</w:t>
      </w:r>
      <w:r>
        <w:rPr>
          <w:rFonts w:hint="eastAsia"/>
          <w:color w:val="auto"/>
          <w:szCs w:val="20"/>
        </w:rPr>
        <w:t>对周边环境</w:t>
      </w:r>
      <w:r>
        <w:rPr>
          <w:color w:val="auto"/>
          <w:szCs w:val="20"/>
        </w:rPr>
        <w:t>的影响已消失</w:t>
      </w:r>
      <w:r>
        <w:rPr>
          <w:rFonts w:hint="eastAsia"/>
          <w:color w:val="auto"/>
          <w:szCs w:val="20"/>
        </w:rPr>
        <w:t>。</w:t>
      </w:r>
      <w:r>
        <w:rPr>
          <w:rFonts w:hint="eastAsia"/>
          <w:color w:val="auto"/>
        </w:rPr>
        <w:t>根据调查，施工期间未收到举报、投诉</w:t>
      </w:r>
      <w:r>
        <w:rPr>
          <w:rFonts w:hint="eastAsia"/>
          <w:color w:val="auto"/>
          <w:szCs w:val="20"/>
        </w:rPr>
        <w:t>。</w:t>
      </w:r>
    </w:p>
    <w:p w14:paraId="7FD7EF6D">
      <w:pPr>
        <w:pStyle w:val="4"/>
        <w:ind w:firstLine="480"/>
        <w:rPr>
          <w:color w:val="auto"/>
        </w:rPr>
      </w:pPr>
      <w:r>
        <w:rPr>
          <w:rFonts w:hint="eastAsia"/>
          <w:color w:val="auto"/>
        </w:rPr>
        <w:t>5）生态</w:t>
      </w:r>
    </w:p>
    <w:p w14:paraId="17A1393B">
      <w:pPr>
        <w:pStyle w:val="4"/>
        <w:ind w:firstLine="480"/>
        <w:rPr>
          <w:color w:val="auto"/>
          <w:kern w:val="0"/>
        </w:rPr>
      </w:pPr>
      <w:r>
        <w:rPr>
          <w:rFonts w:hint="eastAsia"/>
          <w:color w:val="auto"/>
        </w:rPr>
        <w:t>据统计</w:t>
      </w:r>
      <w:r>
        <w:rPr>
          <w:color w:val="auto"/>
        </w:rPr>
        <w:t>，</w:t>
      </w:r>
      <w:r>
        <w:rPr>
          <w:rFonts w:hint="eastAsia"/>
          <w:color w:val="auto"/>
        </w:rPr>
        <w:t>本期工程</w:t>
      </w:r>
      <w:r>
        <w:rPr>
          <w:rFonts w:hint="eastAsia"/>
          <w:color w:val="auto"/>
        </w:rPr>
        <w:t>临时占地面积</w:t>
      </w:r>
      <w:r>
        <w:rPr>
          <w:color w:val="auto"/>
        </w:rPr>
        <w:t>20.08hm</w:t>
      </w:r>
      <w:r>
        <w:rPr>
          <w:color w:val="auto"/>
          <w:vertAlign w:val="superscript"/>
        </w:rPr>
        <w:t>2</w:t>
      </w:r>
      <w:r>
        <w:rPr>
          <w:rFonts w:hint="eastAsia"/>
          <w:color w:val="auto"/>
        </w:rPr>
        <w:t>，永久占地面积</w:t>
      </w:r>
      <w:r>
        <w:rPr>
          <w:color w:val="auto"/>
        </w:rPr>
        <w:t>9.71hm</w:t>
      </w:r>
      <w:r>
        <w:rPr>
          <w:color w:val="auto"/>
          <w:vertAlign w:val="superscript"/>
        </w:rPr>
        <w:t>2</w:t>
      </w:r>
      <w:r>
        <w:rPr>
          <w:rFonts w:hint="eastAsia"/>
          <w:color w:val="auto"/>
        </w:rPr>
        <w:t>，本期工程占地类型主要</w:t>
      </w:r>
      <w:r>
        <w:rPr>
          <w:color w:val="auto"/>
        </w:rPr>
        <w:t>为</w:t>
      </w:r>
      <w:r>
        <w:rPr>
          <w:rFonts w:hint="eastAsia"/>
          <w:color w:val="auto"/>
        </w:rPr>
        <w:t>未利用</w:t>
      </w:r>
      <w:r>
        <w:rPr>
          <w:color w:val="auto"/>
        </w:rPr>
        <w:t>地</w:t>
      </w:r>
      <w:r>
        <w:rPr>
          <w:rFonts w:hint="eastAsia"/>
          <w:color w:val="auto"/>
        </w:rPr>
        <w:t>、</w:t>
      </w:r>
      <w:r>
        <w:rPr>
          <w:color w:val="auto"/>
        </w:rPr>
        <w:t>工矿</w:t>
      </w:r>
      <w:r>
        <w:rPr>
          <w:rFonts w:hint="eastAsia"/>
          <w:color w:val="auto"/>
        </w:rPr>
        <w:t>仓储</w:t>
      </w:r>
      <w:r>
        <w:rPr>
          <w:color w:val="auto"/>
        </w:rPr>
        <w:t>用地</w:t>
      </w:r>
      <w:r>
        <w:rPr>
          <w:rFonts w:hint="eastAsia"/>
          <w:color w:val="auto"/>
        </w:rPr>
        <w:t>、草地、耕地等</w:t>
      </w:r>
      <w:r>
        <w:rPr>
          <w:color w:val="auto"/>
        </w:rPr>
        <w:t>。</w:t>
      </w:r>
      <w:r>
        <w:rPr>
          <w:rFonts w:hint="eastAsia"/>
          <w:color w:val="auto"/>
        </w:rPr>
        <w:t>随着施工的结束，临时占地已进行了</w:t>
      </w:r>
      <w:r>
        <w:rPr>
          <w:color w:val="auto"/>
        </w:rPr>
        <w:t>地貌恢复</w:t>
      </w:r>
      <w:r>
        <w:rPr>
          <w:rFonts w:hint="eastAsia"/>
          <w:color w:val="auto"/>
          <w:lang w:val="en-GB"/>
        </w:rPr>
        <w:t>，</w:t>
      </w:r>
      <w:r>
        <w:rPr>
          <w:color w:val="auto"/>
          <w:lang w:val="en-GB"/>
        </w:rPr>
        <w:t>未改变土地利用性质</w:t>
      </w:r>
      <w:r>
        <w:rPr>
          <w:color w:val="auto"/>
        </w:rPr>
        <w:t>，</w:t>
      </w:r>
      <w:r>
        <w:rPr>
          <w:rFonts w:hint="eastAsia"/>
          <w:color w:val="auto"/>
        </w:rPr>
        <w:t>对生态环境</w:t>
      </w:r>
      <w:r>
        <w:rPr>
          <w:color w:val="auto"/>
        </w:rPr>
        <w:t>的影响</w:t>
      </w:r>
      <w:r>
        <w:rPr>
          <w:rFonts w:hint="eastAsia"/>
          <w:color w:val="auto"/>
        </w:rPr>
        <w:t>较小</w:t>
      </w:r>
      <w:r>
        <w:rPr>
          <w:rFonts w:hint="eastAsia"/>
          <w:color w:val="auto"/>
          <w:kern w:val="0"/>
        </w:rPr>
        <w:t>。</w:t>
      </w:r>
    </w:p>
    <w:p w14:paraId="0FDE69EF">
      <w:pPr>
        <w:pStyle w:val="6"/>
        <w:rPr>
          <w:color w:val="auto"/>
        </w:rPr>
      </w:pPr>
      <w:r>
        <w:rPr>
          <w:rFonts w:hint="eastAsia"/>
          <w:color w:val="auto"/>
        </w:rPr>
        <w:t>运营期</w:t>
      </w:r>
    </w:p>
    <w:p w14:paraId="69F9361D">
      <w:pPr>
        <w:pStyle w:val="4"/>
        <w:ind w:firstLine="480"/>
        <w:outlineLvl w:val="3"/>
        <w:rPr>
          <w:color w:val="auto"/>
        </w:rPr>
      </w:pPr>
      <w:r>
        <w:rPr>
          <w:rFonts w:hint="eastAsia"/>
          <w:color w:val="auto"/>
        </w:rPr>
        <w:t>1）废气</w:t>
      </w:r>
    </w:p>
    <w:p w14:paraId="5182BAB8">
      <w:pPr>
        <w:pStyle w:val="143"/>
        <w:spacing w:line="331" w:lineRule="auto"/>
        <w:ind w:firstLine="480" w:firstLineChars="200"/>
        <w:rPr>
          <w:color w:val="auto"/>
        </w:rPr>
      </w:pPr>
      <w:r>
        <w:rPr>
          <w:rFonts w:hint="eastAsia"/>
          <w:color w:val="auto"/>
        </w:rPr>
        <w:t>本期工程运营期排放的废气主要为采油井场无组织挥发烃类废气和加热炉燃气废气。</w:t>
      </w:r>
    </w:p>
    <w:p w14:paraId="70BDA393">
      <w:pPr>
        <w:pStyle w:val="143"/>
        <w:spacing w:line="331" w:lineRule="auto"/>
        <w:ind w:firstLine="480" w:firstLineChars="200"/>
        <w:outlineLvl w:val="3"/>
        <w:rPr>
          <w:color w:val="auto"/>
        </w:rPr>
      </w:pPr>
      <w:r>
        <w:rPr>
          <w:rFonts w:hint="eastAsia"/>
          <w:color w:val="auto"/>
        </w:rPr>
        <w:t>（1）无组织废气</w:t>
      </w:r>
    </w:p>
    <w:p w14:paraId="65513E36">
      <w:pPr>
        <w:pStyle w:val="143"/>
        <w:spacing w:line="331" w:lineRule="auto"/>
        <w:outlineLvl w:val="4"/>
        <w:rPr>
          <w:color w:val="auto"/>
        </w:rPr>
      </w:pPr>
      <w:bookmarkStart w:id="272" w:name="OLE_LINK22"/>
      <w:r>
        <w:rPr>
          <w:rFonts w:hint="eastAsia"/>
          <w:color w:val="auto"/>
        </w:rPr>
        <w:t>①滚动开发工程井场</w:t>
      </w:r>
      <w:bookmarkEnd w:id="272"/>
      <w:r>
        <w:rPr>
          <w:rFonts w:hint="eastAsia"/>
          <w:color w:val="auto"/>
        </w:rPr>
        <w:t>无组织挥发废气</w:t>
      </w:r>
    </w:p>
    <w:p w14:paraId="19C89D48">
      <w:pPr>
        <w:pStyle w:val="4"/>
        <w:ind w:firstLine="480"/>
        <w:rPr>
          <w:color w:val="auto"/>
        </w:rPr>
      </w:pPr>
      <w:r>
        <w:rPr>
          <w:rFonts w:hint="eastAsia"/>
          <w:color w:val="auto"/>
        </w:rPr>
        <w:t>本期工程运营期包含9口油井，</w:t>
      </w:r>
      <w:r>
        <w:rPr>
          <w:color w:val="auto"/>
        </w:rPr>
        <w:t>8</w:t>
      </w:r>
      <w:r>
        <w:rPr>
          <w:rFonts w:hint="eastAsia"/>
          <w:color w:val="auto"/>
        </w:rPr>
        <w:t>口探井转开发井，共</w:t>
      </w:r>
      <w:r>
        <w:rPr>
          <w:color w:val="auto"/>
        </w:rPr>
        <w:t>17</w:t>
      </w:r>
      <w:r>
        <w:rPr>
          <w:rFonts w:hint="eastAsia"/>
          <w:color w:val="auto"/>
        </w:rPr>
        <w:t>口</w:t>
      </w:r>
      <w:r>
        <w:rPr>
          <w:rFonts w:hint="eastAsia"/>
          <w:color w:val="auto"/>
        </w:rPr>
        <w:t>。其中7口拉油井、</w:t>
      </w:r>
      <w:r>
        <w:rPr>
          <w:color w:val="auto"/>
        </w:rPr>
        <w:t>10</w:t>
      </w:r>
      <w:r>
        <w:rPr>
          <w:rFonts w:hint="eastAsia"/>
          <w:color w:val="auto"/>
        </w:rPr>
        <w:t>口管输井</w:t>
      </w:r>
      <w:r>
        <w:rPr>
          <w:rFonts w:hint="eastAsia"/>
          <w:color w:val="auto"/>
        </w:rPr>
        <w:t>。</w:t>
      </w:r>
    </w:p>
    <w:p w14:paraId="68DCDA84">
      <w:pPr>
        <w:pStyle w:val="4"/>
        <w:ind w:firstLine="480"/>
        <w:rPr>
          <w:color w:val="auto"/>
        </w:rPr>
      </w:pPr>
      <w:bookmarkStart w:id="273" w:name="OLE_LINK271"/>
      <w:bookmarkStart w:id="274" w:name="OLE_LINK270"/>
      <w:r>
        <w:rPr>
          <w:rFonts w:hint="eastAsia"/>
          <w:color w:val="auto"/>
        </w:rPr>
        <w:t>经调查，</w:t>
      </w:r>
      <w:r>
        <w:rPr>
          <w:rFonts w:hint="eastAsia" w:cs="宋体"/>
          <w:color w:val="auto"/>
          <w:kern w:val="0"/>
        </w:rPr>
        <w:t>油井井口均安装套管气回收装置（自喷井后期安装）</w:t>
      </w:r>
      <w:r>
        <w:rPr>
          <w:rFonts w:hint="eastAsia"/>
          <w:color w:val="auto"/>
          <w:kern w:val="0"/>
        </w:rPr>
        <w:t>，起到加强密封作用，</w:t>
      </w:r>
      <w:r>
        <w:rPr>
          <w:rFonts w:hint="eastAsia"/>
          <w:color w:val="auto"/>
        </w:rPr>
        <w:t>可有效降低轻烃无组织挥发量</w:t>
      </w:r>
      <w:bookmarkEnd w:id="273"/>
      <w:bookmarkEnd w:id="274"/>
      <w:r>
        <w:rPr>
          <w:rFonts w:hint="eastAsia"/>
          <w:color w:val="auto"/>
        </w:rPr>
        <w:t>。</w:t>
      </w:r>
    </w:p>
    <w:p w14:paraId="11E97A4D">
      <w:pPr>
        <w:pStyle w:val="143"/>
        <w:spacing w:line="331" w:lineRule="auto"/>
        <w:ind w:firstLine="480" w:firstLineChars="200"/>
        <w:rPr>
          <w:color w:val="auto"/>
        </w:rPr>
      </w:pPr>
      <w:r>
        <w:rPr>
          <w:rFonts w:hint="eastAsia"/>
          <w:color w:val="auto"/>
        </w:rPr>
        <w:t>根据</w:t>
      </w:r>
      <w:r>
        <w:rPr>
          <w:color w:val="auto"/>
        </w:rPr>
        <w:t>经验公式</w:t>
      </w:r>
      <w:r>
        <w:rPr>
          <w:rFonts w:hint="eastAsia"/>
          <w:color w:val="auto"/>
        </w:rPr>
        <w:t>，无组织挥发烃类废气量计算公式如下</w:t>
      </w:r>
      <w:r>
        <w:rPr>
          <w:color w:val="auto"/>
        </w:rPr>
        <w:t>：</w:t>
      </w:r>
    </w:p>
    <w:p w14:paraId="4698D5DC">
      <w:pPr>
        <w:pStyle w:val="149"/>
        <w:ind w:firstLine="960" w:firstLineChars="400"/>
        <w:jc w:val="center"/>
        <w:rPr>
          <w:color w:val="auto"/>
        </w:rPr>
      </w:pPr>
      <w:r>
        <w:rPr>
          <w:rFonts w:hint="eastAsia"/>
          <w:color w:val="auto"/>
        </w:rPr>
        <w:t>G</w:t>
      </w:r>
      <w:r>
        <w:rPr>
          <w:rFonts w:hint="eastAsia"/>
          <w:color w:val="auto"/>
          <w:vertAlign w:val="subscript"/>
        </w:rPr>
        <w:t>伴生气损耗</w:t>
      </w:r>
      <w:r>
        <w:rPr>
          <w:rFonts w:hint="eastAsia"/>
          <w:color w:val="auto"/>
        </w:rPr>
        <w:t>=M</w:t>
      </w:r>
      <w:r>
        <w:rPr>
          <w:color w:val="auto"/>
        </w:rPr>
        <w:t>×</w:t>
      </w:r>
      <w:r>
        <w:rPr>
          <w:rFonts w:hint="eastAsia"/>
          <w:color w:val="auto"/>
        </w:rPr>
        <w:t>λ</w:t>
      </w:r>
      <w:r>
        <w:rPr>
          <w:color w:val="auto"/>
        </w:rPr>
        <w:t>×</w:t>
      </w:r>
      <w:r>
        <w:rPr>
          <w:rFonts w:hint="eastAsia"/>
          <w:color w:val="auto"/>
        </w:rPr>
        <w:t>ρ</w:t>
      </w:r>
      <w:r>
        <w:rPr>
          <w:color w:val="auto"/>
        </w:rPr>
        <w:t>×</w:t>
      </w:r>
      <w:r>
        <w:rPr>
          <w:rFonts w:hint="eastAsia"/>
          <w:color w:val="auto"/>
        </w:rPr>
        <w:t>η</w:t>
      </w:r>
      <w:r>
        <w:rPr>
          <w:color w:val="auto"/>
        </w:rPr>
        <w:t>×</w:t>
      </w:r>
      <w:r>
        <w:rPr>
          <w:rFonts w:hint="eastAsia"/>
          <w:color w:val="auto"/>
        </w:rPr>
        <w:t>β</w:t>
      </w:r>
      <w:r>
        <w:rPr>
          <w:color w:val="auto"/>
        </w:rPr>
        <w:t>×α</w:t>
      </w:r>
    </w:p>
    <w:p w14:paraId="7D077AFA">
      <w:pPr>
        <w:pStyle w:val="149"/>
        <w:ind w:firstLine="960" w:firstLineChars="400"/>
        <w:jc w:val="left"/>
        <w:rPr>
          <w:color w:val="auto"/>
        </w:rPr>
      </w:pPr>
      <w:r>
        <w:rPr>
          <w:rFonts w:hint="eastAsia"/>
          <w:color w:val="auto"/>
        </w:rPr>
        <w:t>式中：G</w:t>
      </w:r>
      <w:r>
        <w:rPr>
          <w:rFonts w:hint="eastAsia"/>
          <w:color w:val="auto"/>
          <w:vertAlign w:val="subscript"/>
        </w:rPr>
        <w:t>伴生气损耗</w:t>
      </w:r>
      <w:r>
        <w:rPr>
          <w:rFonts w:hint="eastAsia"/>
          <w:color w:val="auto"/>
        </w:rPr>
        <w:t>——伴生气损耗量，kg/a；</w:t>
      </w:r>
    </w:p>
    <w:p w14:paraId="4DE1CB9A">
      <w:pPr>
        <w:pStyle w:val="149"/>
        <w:ind w:firstLine="960" w:firstLineChars="400"/>
        <w:jc w:val="left"/>
        <w:rPr>
          <w:color w:val="auto"/>
        </w:rPr>
      </w:pPr>
      <w:r>
        <w:rPr>
          <w:rFonts w:hint="eastAsia"/>
          <w:color w:val="auto"/>
        </w:rPr>
        <w:t>M——油井产油能力，t/a；</w:t>
      </w:r>
    </w:p>
    <w:p w14:paraId="1703F6DF">
      <w:pPr>
        <w:pStyle w:val="149"/>
        <w:ind w:firstLine="960" w:firstLineChars="400"/>
        <w:jc w:val="left"/>
        <w:rPr>
          <w:color w:val="auto"/>
        </w:rPr>
      </w:pPr>
      <w:r>
        <w:rPr>
          <w:rFonts w:hint="eastAsia"/>
          <w:color w:val="auto"/>
        </w:rPr>
        <w:t>λ——气油比，</w:t>
      </w:r>
      <w:r>
        <w:rPr>
          <w:color w:val="auto"/>
        </w:rPr>
        <w:t>m</w:t>
      </w:r>
      <w:r>
        <w:rPr>
          <w:color w:val="auto"/>
          <w:vertAlign w:val="superscript"/>
        </w:rPr>
        <w:t>3</w:t>
      </w:r>
      <w:r>
        <w:rPr>
          <w:rFonts w:hint="eastAsia"/>
          <w:color w:val="auto"/>
        </w:rPr>
        <w:t>/t，根据大芦湖油田原油性质表，取1</w:t>
      </w:r>
      <w:r>
        <w:rPr>
          <w:color w:val="auto"/>
        </w:rPr>
        <w:t>8</w:t>
      </w:r>
      <w:r>
        <w:rPr>
          <w:rFonts w:hint="eastAsia"/>
          <w:color w:val="auto"/>
        </w:rPr>
        <w:t>；</w:t>
      </w:r>
    </w:p>
    <w:p w14:paraId="2D2F2318">
      <w:pPr>
        <w:pStyle w:val="149"/>
        <w:ind w:firstLine="960" w:firstLineChars="400"/>
        <w:jc w:val="left"/>
        <w:rPr>
          <w:color w:val="auto"/>
        </w:rPr>
      </w:pPr>
      <w:r>
        <w:rPr>
          <w:rFonts w:hint="eastAsia"/>
          <w:color w:val="auto"/>
        </w:rPr>
        <w:t>ρ——伴生气的密度，kg/</w:t>
      </w:r>
      <w:r>
        <w:rPr>
          <w:color w:val="auto"/>
        </w:rPr>
        <w:t>m</w:t>
      </w:r>
      <w:r>
        <w:rPr>
          <w:color w:val="auto"/>
          <w:vertAlign w:val="superscript"/>
        </w:rPr>
        <w:t>3</w:t>
      </w:r>
      <w:r>
        <w:rPr>
          <w:rFonts w:hint="eastAsia"/>
          <w:color w:val="auto"/>
        </w:rPr>
        <w:t>；</w:t>
      </w:r>
    </w:p>
    <w:p w14:paraId="48A586D8">
      <w:pPr>
        <w:pStyle w:val="149"/>
        <w:ind w:firstLine="960" w:firstLineChars="400"/>
        <w:jc w:val="left"/>
        <w:rPr>
          <w:color w:val="auto"/>
        </w:rPr>
      </w:pPr>
      <w:r>
        <w:rPr>
          <w:rFonts w:hint="eastAsia"/>
          <w:color w:val="auto"/>
        </w:rPr>
        <w:t>η——油气集输系统损耗率，取5</w:t>
      </w:r>
      <w:r>
        <w:rPr>
          <w:color w:val="auto"/>
        </w:rPr>
        <w:t>‰</w:t>
      </w:r>
      <w:r>
        <w:rPr>
          <w:rFonts w:hint="eastAsia"/>
          <w:color w:val="auto"/>
        </w:rPr>
        <w:t>；</w:t>
      </w:r>
    </w:p>
    <w:p w14:paraId="1E3C8402">
      <w:pPr>
        <w:pStyle w:val="149"/>
        <w:ind w:firstLine="960" w:firstLineChars="400"/>
        <w:jc w:val="left"/>
        <w:rPr>
          <w:color w:val="auto"/>
        </w:rPr>
      </w:pPr>
      <w:r>
        <w:rPr>
          <w:rFonts w:hint="eastAsia"/>
          <w:color w:val="auto"/>
        </w:rPr>
        <w:t>β——井场挥发伴生气占油气总损耗的百分比</w:t>
      </w:r>
      <w:r>
        <w:rPr>
          <w:color w:val="auto"/>
        </w:rPr>
        <w:t>，</w:t>
      </w:r>
      <w:r>
        <w:rPr>
          <w:rFonts w:hint="eastAsia"/>
          <w:color w:val="auto"/>
        </w:rPr>
        <w:t>拉油井场取</w:t>
      </w:r>
      <w:r>
        <w:rPr>
          <w:color w:val="auto"/>
        </w:rPr>
        <w:t>100</w:t>
      </w:r>
      <w:r>
        <w:rPr>
          <w:rFonts w:hint="eastAsia"/>
          <w:color w:val="auto"/>
        </w:rPr>
        <w:t>%，管输井场取20%；</w:t>
      </w:r>
    </w:p>
    <w:p w14:paraId="0F7F7C75">
      <w:pPr>
        <w:pStyle w:val="149"/>
        <w:ind w:firstLine="960" w:firstLineChars="400"/>
        <w:jc w:val="left"/>
        <w:rPr>
          <w:color w:val="auto"/>
        </w:rPr>
      </w:pPr>
      <w:r>
        <w:rPr>
          <w:color w:val="auto"/>
        </w:rPr>
        <w:t>α—伴生气中非甲烷总烃的</w:t>
      </w:r>
      <w:r>
        <w:rPr>
          <w:rFonts w:hint="eastAsia"/>
          <w:color w:val="auto"/>
        </w:rPr>
        <w:t>质量</w:t>
      </w:r>
      <w:r>
        <w:rPr>
          <w:color w:val="auto"/>
        </w:rPr>
        <w:t>百分</w:t>
      </w:r>
      <w:r>
        <w:rPr>
          <w:rFonts w:hint="eastAsia"/>
          <w:color w:val="auto"/>
        </w:rPr>
        <w:t>比</w:t>
      </w:r>
      <w:r>
        <w:rPr>
          <w:color w:val="auto"/>
        </w:rPr>
        <w:t>含量</w:t>
      </w:r>
      <w:r>
        <w:rPr>
          <w:rFonts w:hint="eastAsia"/>
          <w:color w:val="auto"/>
        </w:rPr>
        <w:t>/硫化氢浓度，根据大芦湖油田伴生气成分表，非甲烷总烃质量百分比取2</w:t>
      </w:r>
      <w:r>
        <w:rPr>
          <w:color w:val="auto"/>
        </w:rPr>
        <w:t>1.4%</w:t>
      </w:r>
      <w:r>
        <w:rPr>
          <w:rFonts w:hint="eastAsia"/>
          <w:color w:val="auto"/>
        </w:rPr>
        <w:t>，硫化氢浓度1</w:t>
      </w:r>
      <w:r>
        <w:rPr>
          <w:color w:val="auto"/>
        </w:rPr>
        <w:t>5</w:t>
      </w:r>
      <w:r>
        <w:rPr>
          <w:rFonts w:hint="eastAsia"/>
          <w:color w:val="auto"/>
        </w:rPr>
        <w:t>mg/m</w:t>
      </w:r>
      <w:r>
        <w:rPr>
          <w:rFonts w:hint="eastAsia"/>
          <w:color w:val="auto"/>
          <w:vertAlign w:val="superscript"/>
        </w:rPr>
        <w:t>3</w:t>
      </w:r>
      <w:r>
        <w:rPr>
          <w:rFonts w:hint="eastAsia"/>
          <w:color w:val="auto"/>
        </w:rPr>
        <w:t>。</w:t>
      </w:r>
    </w:p>
    <w:p w14:paraId="625E0F4C">
      <w:pPr>
        <w:pStyle w:val="143"/>
        <w:adjustRightInd w:val="0"/>
        <w:snapToGrid w:val="0"/>
        <w:spacing w:line="331" w:lineRule="auto"/>
        <w:ind w:firstLine="480" w:firstLineChars="200"/>
        <w:rPr>
          <w:color w:val="auto"/>
        </w:rPr>
      </w:pPr>
      <w:r>
        <w:rPr>
          <w:rFonts w:hint="eastAsia"/>
          <w:color w:val="auto"/>
        </w:rPr>
        <w:t>本期工程无组织废气排放量统计结果见</w:t>
      </w:r>
      <w:r>
        <w:rPr>
          <w:color w:val="auto"/>
        </w:rPr>
        <w:fldChar w:fldCharType="begin"/>
      </w:r>
      <w:r>
        <w:rPr>
          <w:color w:val="auto"/>
        </w:rPr>
        <w:instrText xml:space="preserve"> </w:instrText>
      </w:r>
      <w:r>
        <w:rPr>
          <w:rFonts w:hint="eastAsia"/>
          <w:color w:val="auto"/>
        </w:rPr>
        <w:instrText xml:space="preserve">REF _Ref146548805 \h</w:instrText>
      </w:r>
      <w:r>
        <w:rPr>
          <w:color w:val="auto"/>
        </w:rPr>
        <w:instrText xml:space="preserve">  \* MERGEFORMAT </w:instrText>
      </w:r>
      <w:r>
        <w:rPr>
          <w:color w:val="auto"/>
        </w:rPr>
        <w:fldChar w:fldCharType="separate"/>
      </w:r>
      <w:r>
        <w:rPr>
          <w:rFonts w:hint="eastAsia"/>
          <w:color w:val="auto"/>
        </w:rPr>
        <w:t xml:space="preserve">表 </w:t>
      </w:r>
      <w:r>
        <w:rPr>
          <w:color w:val="auto"/>
        </w:rPr>
        <w:t>3.4</w:t>
      </w:r>
      <w:r>
        <w:rPr>
          <w:color w:val="auto"/>
        </w:rPr>
        <w:noBreakHyphen/>
      </w:r>
      <w:r>
        <w:rPr>
          <w:color w:val="auto"/>
        </w:rPr>
        <w:t>3</w:t>
      </w:r>
      <w:r>
        <w:rPr>
          <w:color w:val="auto"/>
        </w:rPr>
        <w:fldChar w:fldCharType="end"/>
      </w:r>
      <w:r>
        <w:rPr>
          <w:rFonts w:hint="eastAsia"/>
          <w:color w:val="auto"/>
        </w:rPr>
        <w:t>。</w:t>
      </w:r>
      <w:bookmarkStart w:id="275" w:name="_Ref496022240"/>
      <w:bookmarkStart w:id="276" w:name="_Ref59432353"/>
    </w:p>
    <w:p w14:paraId="0A2CAE8D">
      <w:pPr>
        <w:pStyle w:val="15"/>
        <w:spacing w:before="120"/>
        <w:rPr>
          <w:rFonts w:hAnsi="宋体"/>
          <w:color w:val="auto"/>
        </w:rPr>
      </w:pPr>
      <w:bookmarkStart w:id="277" w:name="_Ref146548805"/>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3</w:t>
      </w:r>
      <w:r>
        <w:rPr>
          <w:rFonts w:hAnsi="宋体"/>
          <w:color w:val="auto"/>
        </w:rPr>
        <w:fldChar w:fldCharType="end"/>
      </w:r>
      <w:bookmarkEnd w:id="275"/>
      <w:bookmarkEnd w:id="276"/>
      <w:bookmarkEnd w:id="277"/>
      <w:r>
        <w:rPr>
          <w:rFonts w:hint="eastAsia" w:hAnsi="宋体"/>
          <w:color w:val="auto"/>
        </w:rPr>
        <w:t xml:space="preserve">  本期工程无组织废气排放量统计表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28"/>
        <w:gridCol w:w="846"/>
        <w:gridCol w:w="1214"/>
        <w:gridCol w:w="1004"/>
        <w:gridCol w:w="1109"/>
        <w:gridCol w:w="845"/>
        <w:gridCol w:w="741"/>
        <w:gridCol w:w="951"/>
        <w:gridCol w:w="1056"/>
      </w:tblGrid>
      <w:tr w14:paraId="3C17A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 w:type="pct"/>
            <w:vAlign w:val="center"/>
          </w:tcPr>
          <w:p w14:paraId="1D5386DB">
            <w:pPr>
              <w:jc w:val="center"/>
              <w:rPr>
                <w:rFonts w:ascii="宋体" w:hAnsi="宋体"/>
                <w:color w:val="auto"/>
              </w:rPr>
            </w:pPr>
            <w:r>
              <w:rPr>
                <w:rFonts w:hint="eastAsia" w:ascii="宋体" w:hAnsi="宋体"/>
                <w:color w:val="auto"/>
              </w:rPr>
              <w:t>序号</w:t>
            </w:r>
          </w:p>
        </w:tc>
        <w:tc>
          <w:tcPr>
            <w:tcW w:w="322" w:type="pct"/>
            <w:vAlign w:val="center"/>
          </w:tcPr>
          <w:p w14:paraId="63C640D8">
            <w:pPr>
              <w:jc w:val="center"/>
              <w:rPr>
                <w:rFonts w:ascii="宋体" w:hAnsi="宋体"/>
                <w:color w:val="auto"/>
              </w:rPr>
            </w:pPr>
            <w:r>
              <w:rPr>
                <w:rFonts w:hint="eastAsia" w:ascii="宋体" w:hAnsi="宋体"/>
                <w:color w:val="auto"/>
              </w:rPr>
              <w:t>油田</w:t>
            </w:r>
          </w:p>
        </w:tc>
        <w:tc>
          <w:tcPr>
            <w:tcW w:w="407" w:type="pct"/>
            <w:vAlign w:val="center"/>
          </w:tcPr>
          <w:p w14:paraId="2C671AF9">
            <w:pPr>
              <w:jc w:val="center"/>
              <w:rPr>
                <w:rFonts w:ascii="宋体" w:hAnsi="宋体"/>
                <w:color w:val="auto"/>
              </w:rPr>
            </w:pPr>
            <w:r>
              <w:rPr>
                <w:rFonts w:hint="eastAsia" w:ascii="宋体" w:hAnsi="宋体"/>
                <w:color w:val="auto"/>
              </w:rPr>
              <w:t>油井（口）</w:t>
            </w:r>
          </w:p>
        </w:tc>
        <w:tc>
          <w:tcPr>
            <w:tcW w:w="697" w:type="pct"/>
            <w:vAlign w:val="center"/>
          </w:tcPr>
          <w:p w14:paraId="68E9A24A">
            <w:pPr>
              <w:jc w:val="center"/>
              <w:rPr>
                <w:rFonts w:ascii="宋体" w:hAnsi="宋体"/>
                <w:color w:val="auto"/>
              </w:rPr>
            </w:pPr>
            <w:r>
              <w:rPr>
                <w:rFonts w:hint="eastAsia" w:ascii="宋体" w:hAnsi="宋体"/>
                <w:color w:val="auto"/>
              </w:rPr>
              <w:t>最大产油能力（10</w:t>
            </w:r>
            <w:r>
              <w:rPr>
                <w:rFonts w:hint="eastAsia" w:ascii="宋体" w:hAnsi="宋体"/>
                <w:color w:val="auto"/>
                <w:vertAlign w:val="superscript"/>
              </w:rPr>
              <w:t>4</w:t>
            </w:r>
            <w:r>
              <w:rPr>
                <w:rFonts w:hint="eastAsia" w:ascii="宋体" w:hAnsi="宋体"/>
                <w:color w:val="auto"/>
              </w:rPr>
              <w:t>t/a）</w:t>
            </w:r>
          </w:p>
        </w:tc>
        <w:tc>
          <w:tcPr>
            <w:tcW w:w="577" w:type="pct"/>
            <w:vAlign w:val="center"/>
          </w:tcPr>
          <w:p w14:paraId="0D5163D6">
            <w:pPr>
              <w:jc w:val="center"/>
              <w:rPr>
                <w:rFonts w:ascii="宋体" w:hAnsi="宋体"/>
                <w:color w:val="auto"/>
              </w:rPr>
            </w:pPr>
            <w:r>
              <w:rPr>
                <w:rFonts w:hint="eastAsia" w:ascii="宋体" w:hAnsi="宋体"/>
                <w:color w:val="auto"/>
              </w:rPr>
              <w:t>气油比（m</w:t>
            </w:r>
            <w:r>
              <w:rPr>
                <w:rFonts w:hint="eastAsia" w:ascii="宋体" w:hAnsi="宋体"/>
                <w:color w:val="auto"/>
                <w:vertAlign w:val="superscript"/>
              </w:rPr>
              <w:t>3</w:t>
            </w:r>
            <w:r>
              <w:rPr>
                <w:rFonts w:hint="eastAsia" w:ascii="宋体" w:hAnsi="宋体"/>
                <w:color w:val="auto"/>
              </w:rPr>
              <w:t>/t）</w:t>
            </w:r>
          </w:p>
        </w:tc>
        <w:tc>
          <w:tcPr>
            <w:tcW w:w="637" w:type="pct"/>
            <w:vAlign w:val="center"/>
          </w:tcPr>
          <w:p w14:paraId="35D71945">
            <w:pPr>
              <w:jc w:val="center"/>
              <w:rPr>
                <w:rFonts w:ascii="宋体" w:hAnsi="宋体"/>
                <w:color w:val="auto"/>
              </w:rPr>
            </w:pPr>
            <w:r>
              <w:rPr>
                <w:rFonts w:hint="eastAsia" w:ascii="宋体" w:hAnsi="宋体"/>
                <w:color w:val="auto"/>
              </w:rPr>
              <w:t>轻烃密度</w:t>
            </w:r>
          </w:p>
          <w:p w14:paraId="09EA16D6">
            <w:pPr>
              <w:jc w:val="center"/>
              <w:rPr>
                <w:rFonts w:ascii="宋体" w:hAnsi="宋体"/>
                <w:color w:val="auto"/>
              </w:rPr>
            </w:pPr>
            <w:r>
              <w:rPr>
                <w:rFonts w:hint="eastAsia" w:ascii="宋体" w:hAnsi="宋体"/>
                <w:color w:val="auto"/>
              </w:rPr>
              <w:t>（kg/m</w:t>
            </w:r>
            <w:r>
              <w:rPr>
                <w:rFonts w:hint="eastAsia" w:ascii="宋体" w:hAnsi="宋体"/>
                <w:color w:val="auto"/>
                <w:vertAlign w:val="superscript"/>
              </w:rPr>
              <w:t>3</w:t>
            </w:r>
            <w:r>
              <w:rPr>
                <w:rFonts w:hint="eastAsia" w:ascii="宋体" w:hAnsi="宋体"/>
                <w:color w:val="auto"/>
              </w:rPr>
              <w:t>）</w:t>
            </w:r>
          </w:p>
        </w:tc>
        <w:tc>
          <w:tcPr>
            <w:tcW w:w="540" w:type="pct"/>
            <w:vAlign w:val="center"/>
          </w:tcPr>
          <w:p w14:paraId="3075095D">
            <w:pPr>
              <w:jc w:val="center"/>
              <w:rPr>
                <w:rFonts w:ascii="宋体" w:hAnsi="宋体"/>
                <w:color w:val="auto"/>
              </w:rPr>
            </w:pPr>
            <w:r>
              <w:rPr>
                <w:rFonts w:hint="eastAsia" w:ascii="宋体" w:hAnsi="宋体"/>
                <w:color w:val="auto"/>
              </w:rPr>
              <w:t>非甲烷总烃含量（%）</w:t>
            </w:r>
          </w:p>
        </w:tc>
        <w:tc>
          <w:tcPr>
            <w:tcW w:w="425" w:type="pct"/>
            <w:vAlign w:val="center"/>
          </w:tcPr>
          <w:p w14:paraId="22CBD3AC">
            <w:pPr>
              <w:jc w:val="center"/>
              <w:rPr>
                <w:rFonts w:ascii="宋体" w:hAnsi="宋体"/>
                <w:color w:val="auto"/>
              </w:rPr>
            </w:pPr>
            <w:r>
              <w:rPr>
                <w:rFonts w:hint="eastAsia" w:ascii="宋体" w:hAnsi="宋体"/>
                <w:color w:val="auto"/>
              </w:rPr>
              <w:t>硫化</w:t>
            </w:r>
          </w:p>
          <w:p w14:paraId="6806189E">
            <w:pPr>
              <w:jc w:val="center"/>
              <w:rPr>
                <w:rFonts w:ascii="宋体" w:hAnsi="宋体"/>
                <w:color w:val="auto"/>
              </w:rPr>
            </w:pPr>
            <w:r>
              <w:rPr>
                <w:rFonts w:hint="eastAsia" w:ascii="宋体" w:hAnsi="宋体"/>
                <w:color w:val="auto"/>
              </w:rPr>
              <w:t>氢含</w:t>
            </w:r>
          </w:p>
          <w:p w14:paraId="48EE5994">
            <w:pPr>
              <w:jc w:val="center"/>
              <w:rPr>
                <w:rFonts w:ascii="宋体" w:hAnsi="宋体"/>
                <w:color w:val="auto"/>
              </w:rPr>
            </w:pPr>
            <w:r>
              <w:rPr>
                <w:rFonts w:hint="eastAsia" w:ascii="宋体" w:hAnsi="宋体"/>
                <w:color w:val="auto"/>
              </w:rPr>
              <w:t>量（mg/</w:t>
            </w:r>
          </w:p>
          <w:p w14:paraId="1DD5A669">
            <w:pPr>
              <w:jc w:val="center"/>
              <w:rPr>
                <w:rFonts w:ascii="宋体" w:hAnsi="宋体"/>
                <w:color w:val="auto"/>
              </w:rPr>
            </w:pPr>
            <w:r>
              <w:rPr>
                <w:rFonts w:hint="eastAsia" w:ascii="宋体" w:hAnsi="宋体"/>
                <w:color w:val="auto"/>
              </w:rPr>
              <w:t>m</w:t>
            </w:r>
            <w:r>
              <w:rPr>
                <w:rFonts w:hint="eastAsia" w:ascii="宋体" w:hAnsi="宋体"/>
                <w:color w:val="auto"/>
                <w:vertAlign w:val="superscript"/>
              </w:rPr>
              <w:t>3</w:t>
            </w:r>
            <w:r>
              <w:rPr>
                <w:rFonts w:hint="eastAsia" w:ascii="宋体" w:hAnsi="宋体"/>
                <w:color w:val="auto"/>
              </w:rPr>
              <w:t>）</w:t>
            </w:r>
          </w:p>
        </w:tc>
        <w:tc>
          <w:tcPr>
            <w:tcW w:w="545" w:type="pct"/>
            <w:vAlign w:val="center"/>
          </w:tcPr>
          <w:p w14:paraId="6F103371">
            <w:pPr>
              <w:jc w:val="center"/>
              <w:rPr>
                <w:rFonts w:ascii="宋体" w:hAnsi="宋体"/>
                <w:color w:val="auto"/>
              </w:rPr>
            </w:pPr>
            <w:r>
              <w:rPr>
                <w:rFonts w:hint="eastAsia" w:ascii="宋体" w:hAnsi="宋体"/>
                <w:color w:val="auto"/>
              </w:rPr>
              <w:t>非甲烷总烃挥发量（t/a）</w:t>
            </w:r>
          </w:p>
        </w:tc>
        <w:tc>
          <w:tcPr>
            <w:tcW w:w="606" w:type="pct"/>
            <w:vAlign w:val="center"/>
          </w:tcPr>
          <w:p w14:paraId="0B43A518">
            <w:pPr>
              <w:jc w:val="center"/>
              <w:rPr>
                <w:rFonts w:ascii="宋体" w:hAnsi="宋体"/>
                <w:color w:val="auto"/>
              </w:rPr>
            </w:pPr>
            <w:r>
              <w:rPr>
                <w:rFonts w:hint="eastAsia" w:ascii="宋体" w:hAnsi="宋体"/>
                <w:color w:val="auto"/>
              </w:rPr>
              <w:t>硫化氢挥发量（</w:t>
            </w:r>
            <w:bookmarkStart w:id="278" w:name="OLE_LINK75"/>
            <w:r>
              <w:rPr>
                <w:rFonts w:hint="eastAsia" w:ascii="宋体" w:hAnsi="宋体"/>
                <w:color w:val="auto"/>
              </w:rPr>
              <w:t>kg/a</w:t>
            </w:r>
            <w:bookmarkEnd w:id="278"/>
            <w:r>
              <w:rPr>
                <w:rFonts w:hint="eastAsia" w:ascii="宋体" w:hAnsi="宋体"/>
                <w:color w:val="auto"/>
              </w:rPr>
              <w:t>）</w:t>
            </w:r>
          </w:p>
        </w:tc>
      </w:tr>
      <w:tr w14:paraId="6DE8F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 w:type="pct"/>
            <w:vAlign w:val="center"/>
          </w:tcPr>
          <w:p w14:paraId="127940EC">
            <w:pPr>
              <w:jc w:val="center"/>
              <w:rPr>
                <w:rFonts w:ascii="宋体" w:hAnsi="宋体"/>
                <w:color w:val="auto"/>
              </w:rPr>
            </w:pPr>
            <w:r>
              <w:rPr>
                <w:rFonts w:hint="eastAsia" w:ascii="宋体" w:hAnsi="宋体"/>
                <w:color w:val="auto"/>
              </w:rPr>
              <w:t>1</w:t>
            </w:r>
          </w:p>
        </w:tc>
        <w:tc>
          <w:tcPr>
            <w:tcW w:w="322" w:type="pct"/>
            <w:vAlign w:val="center"/>
          </w:tcPr>
          <w:p w14:paraId="7EC47632">
            <w:pPr>
              <w:jc w:val="center"/>
              <w:rPr>
                <w:rFonts w:ascii="宋体" w:hAnsi="宋体"/>
                <w:color w:val="auto"/>
              </w:rPr>
            </w:pPr>
            <w:r>
              <w:rPr>
                <w:rFonts w:hint="eastAsia" w:ascii="宋体" w:hAnsi="宋体"/>
                <w:color w:val="auto"/>
              </w:rPr>
              <w:t>管输井</w:t>
            </w:r>
          </w:p>
        </w:tc>
        <w:tc>
          <w:tcPr>
            <w:tcW w:w="407" w:type="pct"/>
            <w:vAlign w:val="center"/>
          </w:tcPr>
          <w:p w14:paraId="41AFD77D">
            <w:pPr>
              <w:jc w:val="center"/>
              <w:rPr>
                <w:rFonts w:ascii="宋体" w:hAnsi="宋体"/>
                <w:color w:val="auto"/>
              </w:rPr>
            </w:pPr>
            <w:r>
              <w:rPr>
                <w:rFonts w:ascii="宋体" w:hAnsi="宋体"/>
                <w:color w:val="auto"/>
              </w:rPr>
              <w:t>10</w:t>
            </w:r>
          </w:p>
        </w:tc>
        <w:tc>
          <w:tcPr>
            <w:tcW w:w="697" w:type="pct"/>
            <w:vAlign w:val="center"/>
          </w:tcPr>
          <w:p w14:paraId="3034DC71">
            <w:pPr>
              <w:jc w:val="center"/>
              <w:rPr>
                <w:rFonts w:ascii="宋体" w:hAnsi="宋体"/>
                <w:color w:val="auto"/>
              </w:rPr>
            </w:pPr>
            <w:r>
              <w:rPr>
                <w:rFonts w:ascii="宋体" w:hAnsi="宋体"/>
                <w:color w:val="auto"/>
              </w:rPr>
              <w:t>2.94</w:t>
            </w:r>
          </w:p>
        </w:tc>
        <w:tc>
          <w:tcPr>
            <w:tcW w:w="577" w:type="pct"/>
            <w:vAlign w:val="center"/>
          </w:tcPr>
          <w:p w14:paraId="70165E30">
            <w:pPr>
              <w:jc w:val="center"/>
              <w:rPr>
                <w:rFonts w:ascii="宋体" w:hAnsi="宋体"/>
                <w:color w:val="auto"/>
              </w:rPr>
            </w:pPr>
            <w:r>
              <w:rPr>
                <w:rFonts w:hint="eastAsia" w:ascii="宋体" w:hAnsi="宋体"/>
                <w:color w:val="auto"/>
              </w:rPr>
              <w:t>18</w:t>
            </w:r>
          </w:p>
        </w:tc>
        <w:tc>
          <w:tcPr>
            <w:tcW w:w="637" w:type="pct"/>
            <w:vAlign w:val="center"/>
          </w:tcPr>
          <w:p w14:paraId="163B7D96">
            <w:pPr>
              <w:jc w:val="center"/>
              <w:rPr>
                <w:rFonts w:ascii="宋体" w:hAnsi="宋体"/>
                <w:color w:val="auto"/>
              </w:rPr>
            </w:pPr>
            <w:r>
              <w:rPr>
                <w:rFonts w:hint="eastAsia" w:ascii="宋体" w:hAnsi="宋体"/>
                <w:color w:val="auto"/>
              </w:rPr>
              <w:t>0.76</w:t>
            </w:r>
          </w:p>
        </w:tc>
        <w:tc>
          <w:tcPr>
            <w:tcW w:w="540" w:type="pct"/>
            <w:vAlign w:val="center"/>
          </w:tcPr>
          <w:p w14:paraId="4E5DA690">
            <w:pPr>
              <w:jc w:val="center"/>
              <w:rPr>
                <w:rFonts w:ascii="宋体" w:hAnsi="宋体"/>
                <w:color w:val="auto"/>
              </w:rPr>
            </w:pPr>
            <w:r>
              <w:rPr>
                <w:rFonts w:hint="eastAsia" w:ascii="宋体" w:hAnsi="宋体"/>
                <w:color w:val="auto"/>
              </w:rPr>
              <w:t>21.4</w:t>
            </w:r>
          </w:p>
        </w:tc>
        <w:tc>
          <w:tcPr>
            <w:tcW w:w="425" w:type="pct"/>
            <w:vAlign w:val="center"/>
          </w:tcPr>
          <w:p w14:paraId="3DFDA46E">
            <w:pPr>
              <w:jc w:val="center"/>
              <w:rPr>
                <w:rFonts w:ascii="宋体" w:hAnsi="宋体"/>
                <w:color w:val="auto"/>
              </w:rPr>
            </w:pPr>
            <w:r>
              <w:rPr>
                <w:rFonts w:hint="eastAsia" w:ascii="宋体" w:hAnsi="宋体"/>
                <w:color w:val="auto"/>
              </w:rPr>
              <w:t>15</w:t>
            </w:r>
          </w:p>
        </w:tc>
        <w:tc>
          <w:tcPr>
            <w:tcW w:w="545" w:type="pct"/>
            <w:vAlign w:val="center"/>
          </w:tcPr>
          <w:p w14:paraId="464FFAE5">
            <w:pPr>
              <w:jc w:val="center"/>
              <w:rPr>
                <w:rFonts w:ascii="宋体" w:hAnsi="宋体"/>
                <w:color w:val="auto"/>
              </w:rPr>
            </w:pPr>
            <w:r>
              <w:rPr>
                <w:rFonts w:hint="eastAsia" w:ascii="宋体" w:hAnsi="宋体"/>
                <w:color w:val="auto"/>
              </w:rPr>
              <w:t>0.0</w:t>
            </w:r>
            <w:r>
              <w:rPr>
                <w:rFonts w:ascii="宋体" w:hAnsi="宋体"/>
                <w:color w:val="auto"/>
              </w:rPr>
              <w:t>86</w:t>
            </w:r>
          </w:p>
        </w:tc>
        <w:tc>
          <w:tcPr>
            <w:tcW w:w="606" w:type="pct"/>
            <w:vAlign w:val="center"/>
          </w:tcPr>
          <w:p w14:paraId="192AF544">
            <w:pPr>
              <w:jc w:val="center"/>
              <w:rPr>
                <w:rFonts w:ascii="宋体" w:hAnsi="宋体"/>
                <w:color w:val="auto"/>
              </w:rPr>
            </w:pPr>
            <w:r>
              <w:rPr>
                <w:rFonts w:hint="eastAsia" w:ascii="宋体" w:hAnsi="宋体"/>
                <w:color w:val="auto"/>
              </w:rPr>
              <w:t>0.0</w:t>
            </w:r>
            <w:r>
              <w:rPr>
                <w:rFonts w:ascii="宋体" w:hAnsi="宋体"/>
                <w:color w:val="auto"/>
              </w:rPr>
              <w:t>40</w:t>
            </w:r>
          </w:p>
        </w:tc>
      </w:tr>
      <w:tr w14:paraId="1F759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 w:type="pct"/>
            <w:vAlign w:val="center"/>
          </w:tcPr>
          <w:p w14:paraId="44900115">
            <w:pPr>
              <w:jc w:val="center"/>
              <w:rPr>
                <w:rFonts w:ascii="宋体" w:hAnsi="宋体"/>
                <w:color w:val="auto"/>
              </w:rPr>
            </w:pPr>
            <w:r>
              <w:rPr>
                <w:rFonts w:hint="eastAsia" w:ascii="宋体" w:hAnsi="宋体"/>
                <w:color w:val="auto"/>
              </w:rPr>
              <w:t>2</w:t>
            </w:r>
          </w:p>
        </w:tc>
        <w:tc>
          <w:tcPr>
            <w:tcW w:w="322" w:type="pct"/>
            <w:vAlign w:val="center"/>
          </w:tcPr>
          <w:p w14:paraId="53005C19">
            <w:pPr>
              <w:jc w:val="center"/>
              <w:rPr>
                <w:rFonts w:ascii="宋体" w:hAnsi="宋体"/>
                <w:color w:val="auto"/>
              </w:rPr>
            </w:pPr>
            <w:r>
              <w:rPr>
                <w:rFonts w:hint="eastAsia" w:ascii="宋体" w:hAnsi="宋体"/>
                <w:color w:val="auto"/>
              </w:rPr>
              <w:t>拉油井</w:t>
            </w:r>
          </w:p>
        </w:tc>
        <w:tc>
          <w:tcPr>
            <w:tcW w:w="407" w:type="pct"/>
            <w:vAlign w:val="center"/>
          </w:tcPr>
          <w:p w14:paraId="4E908306">
            <w:pPr>
              <w:jc w:val="center"/>
              <w:rPr>
                <w:rFonts w:ascii="宋体" w:hAnsi="宋体"/>
                <w:color w:val="auto"/>
              </w:rPr>
            </w:pPr>
            <w:r>
              <w:rPr>
                <w:rFonts w:hint="eastAsia" w:ascii="宋体" w:hAnsi="宋体"/>
                <w:color w:val="auto"/>
              </w:rPr>
              <w:t>7</w:t>
            </w:r>
          </w:p>
        </w:tc>
        <w:tc>
          <w:tcPr>
            <w:tcW w:w="697" w:type="pct"/>
            <w:vAlign w:val="center"/>
          </w:tcPr>
          <w:p w14:paraId="7B242963">
            <w:pPr>
              <w:jc w:val="center"/>
              <w:rPr>
                <w:rFonts w:ascii="宋体" w:hAnsi="宋体"/>
                <w:color w:val="auto"/>
              </w:rPr>
            </w:pPr>
            <w:r>
              <w:rPr>
                <w:rFonts w:hint="eastAsia" w:ascii="宋体" w:hAnsi="宋体"/>
                <w:color w:val="auto"/>
              </w:rPr>
              <w:t>1.36</w:t>
            </w:r>
          </w:p>
        </w:tc>
        <w:tc>
          <w:tcPr>
            <w:tcW w:w="577" w:type="pct"/>
            <w:vAlign w:val="center"/>
          </w:tcPr>
          <w:p w14:paraId="4E8A7974">
            <w:pPr>
              <w:jc w:val="center"/>
              <w:rPr>
                <w:rFonts w:ascii="宋体" w:hAnsi="宋体"/>
                <w:color w:val="auto"/>
              </w:rPr>
            </w:pPr>
            <w:r>
              <w:rPr>
                <w:rFonts w:hint="eastAsia" w:ascii="宋体" w:hAnsi="宋体"/>
                <w:color w:val="auto"/>
              </w:rPr>
              <w:t>18</w:t>
            </w:r>
          </w:p>
        </w:tc>
        <w:tc>
          <w:tcPr>
            <w:tcW w:w="637" w:type="pct"/>
            <w:vAlign w:val="center"/>
          </w:tcPr>
          <w:p w14:paraId="5C3BD5B7">
            <w:pPr>
              <w:jc w:val="center"/>
              <w:rPr>
                <w:rFonts w:ascii="宋体" w:hAnsi="宋体"/>
                <w:color w:val="auto"/>
              </w:rPr>
            </w:pPr>
            <w:r>
              <w:rPr>
                <w:rFonts w:hint="eastAsia" w:ascii="宋体" w:hAnsi="宋体"/>
                <w:color w:val="auto"/>
              </w:rPr>
              <w:t>0.76</w:t>
            </w:r>
          </w:p>
        </w:tc>
        <w:tc>
          <w:tcPr>
            <w:tcW w:w="540" w:type="pct"/>
            <w:vAlign w:val="center"/>
          </w:tcPr>
          <w:p w14:paraId="45E2ACA1">
            <w:pPr>
              <w:jc w:val="center"/>
              <w:rPr>
                <w:rFonts w:ascii="宋体" w:hAnsi="宋体"/>
                <w:color w:val="auto"/>
              </w:rPr>
            </w:pPr>
            <w:r>
              <w:rPr>
                <w:rFonts w:hint="eastAsia" w:ascii="宋体" w:hAnsi="宋体"/>
                <w:color w:val="auto"/>
              </w:rPr>
              <w:t>21.4</w:t>
            </w:r>
          </w:p>
        </w:tc>
        <w:tc>
          <w:tcPr>
            <w:tcW w:w="425" w:type="pct"/>
            <w:vAlign w:val="center"/>
          </w:tcPr>
          <w:p w14:paraId="5B0D83D0">
            <w:pPr>
              <w:jc w:val="center"/>
              <w:rPr>
                <w:rFonts w:ascii="宋体" w:hAnsi="宋体"/>
                <w:color w:val="auto"/>
              </w:rPr>
            </w:pPr>
            <w:r>
              <w:rPr>
                <w:rFonts w:hint="eastAsia" w:ascii="宋体" w:hAnsi="宋体"/>
                <w:color w:val="auto"/>
              </w:rPr>
              <w:t>15</w:t>
            </w:r>
          </w:p>
        </w:tc>
        <w:tc>
          <w:tcPr>
            <w:tcW w:w="545" w:type="pct"/>
            <w:vAlign w:val="center"/>
          </w:tcPr>
          <w:p w14:paraId="02AA2E46">
            <w:pPr>
              <w:jc w:val="center"/>
              <w:rPr>
                <w:rFonts w:ascii="宋体" w:hAnsi="宋体"/>
                <w:color w:val="auto"/>
              </w:rPr>
            </w:pPr>
            <w:r>
              <w:rPr>
                <w:rFonts w:hint="eastAsia" w:ascii="宋体" w:hAnsi="宋体"/>
                <w:color w:val="auto"/>
              </w:rPr>
              <w:t>0.199</w:t>
            </w:r>
          </w:p>
        </w:tc>
        <w:tc>
          <w:tcPr>
            <w:tcW w:w="606" w:type="pct"/>
            <w:vAlign w:val="center"/>
          </w:tcPr>
          <w:p w14:paraId="6801200A">
            <w:pPr>
              <w:jc w:val="center"/>
              <w:rPr>
                <w:rFonts w:ascii="宋体" w:hAnsi="宋体"/>
                <w:color w:val="auto"/>
              </w:rPr>
            </w:pPr>
            <w:r>
              <w:rPr>
                <w:rFonts w:hint="eastAsia" w:ascii="宋体" w:hAnsi="宋体"/>
                <w:color w:val="auto"/>
              </w:rPr>
              <w:t>0.018</w:t>
            </w:r>
          </w:p>
        </w:tc>
      </w:tr>
      <w:tr w14:paraId="10306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 w:type="pct"/>
            <w:vAlign w:val="center"/>
          </w:tcPr>
          <w:p w14:paraId="6A786B4D">
            <w:pPr>
              <w:jc w:val="center"/>
              <w:rPr>
                <w:rFonts w:ascii="宋体" w:hAnsi="宋体"/>
                <w:color w:val="auto"/>
              </w:rPr>
            </w:pPr>
            <w:r>
              <w:rPr>
                <w:rFonts w:hint="eastAsia" w:ascii="宋体" w:hAnsi="宋体"/>
                <w:color w:val="auto"/>
              </w:rPr>
              <w:t>合计</w:t>
            </w:r>
          </w:p>
        </w:tc>
        <w:tc>
          <w:tcPr>
            <w:tcW w:w="322" w:type="pct"/>
            <w:vAlign w:val="center"/>
          </w:tcPr>
          <w:p w14:paraId="7E1D68D0">
            <w:pPr>
              <w:jc w:val="center"/>
              <w:rPr>
                <w:rFonts w:ascii="宋体" w:hAnsi="宋体"/>
                <w:color w:val="auto"/>
              </w:rPr>
            </w:pPr>
          </w:p>
        </w:tc>
        <w:tc>
          <w:tcPr>
            <w:tcW w:w="407" w:type="pct"/>
            <w:vAlign w:val="center"/>
          </w:tcPr>
          <w:p w14:paraId="1BFBD3FE">
            <w:pPr>
              <w:jc w:val="center"/>
              <w:rPr>
                <w:rFonts w:ascii="宋体" w:hAnsi="宋体"/>
                <w:color w:val="auto"/>
              </w:rPr>
            </w:pPr>
            <w:r>
              <w:rPr>
                <w:rFonts w:ascii="宋体" w:hAnsi="宋体"/>
                <w:color w:val="auto"/>
              </w:rPr>
              <w:t>17</w:t>
            </w:r>
          </w:p>
        </w:tc>
        <w:tc>
          <w:tcPr>
            <w:tcW w:w="697" w:type="pct"/>
            <w:vAlign w:val="center"/>
          </w:tcPr>
          <w:p w14:paraId="58D6EDD9">
            <w:pPr>
              <w:jc w:val="center"/>
              <w:rPr>
                <w:rFonts w:ascii="宋体" w:hAnsi="宋体"/>
                <w:color w:val="auto"/>
              </w:rPr>
            </w:pPr>
            <w:r>
              <w:rPr>
                <w:rFonts w:hint="eastAsia" w:ascii="宋体" w:hAnsi="宋体"/>
                <w:color w:val="auto"/>
              </w:rPr>
              <w:t>4.30</w:t>
            </w:r>
          </w:p>
        </w:tc>
        <w:tc>
          <w:tcPr>
            <w:tcW w:w="577" w:type="pct"/>
            <w:vAlign w:val="center"/>
          </w:tcPr>
          <w:p w14:paraId="6A5095D3">
            <w:pPr>
              <w:jc w:val="center"/>
              <w:rPr>
                <w:rFonts w:ascii="宋体" w:hAnsi="宋体"/>
                <w:color w:val="auto"/>
              </w:rPr>
            </w:pPr>
            <w:r>
              <w:rPr>
                <w:rFonts w:hint="eastAsia" w:ascii="宋体" w:hAnsi="宋体"/>
                <w:color w:val="auto"/>
              </w:rPr>
              <w:t>/</w:t>
            </w:r>
          </w:p>
        </w:tc>
        <w:tc>
          <w:tcPr>
            <w:tcW w:w="637" w:type="pct"/>
            <w:vAlign w:val="center"/>
          </w:tcPr>
          <w:p w14:paraId="6A20FB83">
            <w:pPr>
              <w:jc w:val="center"/>
              <w:rPr>
                <w:rFonts w:ascii="宋体" w:hAnsi="宋体"/>
                <w:color w:val="auto"/>
              </w:rPr>
            </w:pPr>
            <w:r>
              <w:rPr>
                <w:rFonts w:hint="eastAsia" w:ascii="宋体" w:hAnsi="宋体"/>
                <w:color w:val="auto"/>
              </w:rPr>
              <w:t>/</w:t>
            </w:r>
          </w:p>
        </w:tc>
        <w:tc>
          <w:tcPr>
            <w:tcW w:w="540" w:type="pct"/>
            <w:vAlign w:val="center"/>
          </w:tcPr>
          <w:p w14:paraId="7172F2EF">
            <w:pPr>
              <w:jc w:val="center"/>
              <w:rPr>
                <w:rFonts w:ascii="宋体" w:hAnsi="宋体"/>
                <w:color w:val="auto"/>
              </w:rPr>
            </w:pPr>
            <w:r>
              <w:rPr>
                <w:rFonts w:hint="eastAsia" w:ascii="宋体" w:hAnsi="宋体"/>
                <w:color w:val="auto"/>
              </w:rPr>
              <w:t>/</w:t>
            </w:r>
          </w:p>
        </w:tc>
        <w:tc>
          <w:tcPr>
            <w:tcW w:w="425" w:type="pct"/>
            <w:vAlign w:val="center"/>
          </w:tcPr>
          <w:p w14:paraId="653FEA76">
            <w:pPr>
              <w:jc w:val="center"/>
              <w:rPr>
                <w:rFonts w:ascii="宋体" w:hAnsi="宋体"/>
                <w:color w:val="auto"/>
              </w:rPr>
            </w:pPr>
            <w:r>
              <w:rPr>
                <w:rFonts w:hint="eastAsia" w:ascii="宋体" w:hAnsi="宋体"/>
                <w:color w:val="auto"/>
              </w:rPr>
              <w:t>/</w:t>
            </w:r>
          </w:p>
        </w:tc>
        <w:tc>
          <w:tcPr>
            <w:tcW w:w="545" w:type="pct"/>
            <w:vAlign w:val="center"/>
          </w:tcPr>
          <w:p w14:paraId="4DEA612F">
            <w:pPr>
              <w:jc w:val="center"/>
              <w:rPr>
                <w:rFonts w:ascii="宋体" w:hAnsi="宋体"/>
                <w:color w:val="auto"/>
              </w:rPr>
            </w:pPr>
            <w:r>
              <w:rPr>
                <w:rFonts w:hint="eastAsia" w:ascii="宋体" w:hAnsi="宋体"/>
                <w:color w:val="auto"/>
              </w:rPr>
              <w:t>0.</w:t>
            </w:r>
            <w:r>
              <w:rPr>
                <w:rFonts w:ascii="宋体" w:hAnsi="宋体"/>
                <w:color w:val="auto"/>
              </w:rPr>
              <w:t>285</w:t>
            </w:r>
          </w:p>
        </w:tc>
        <w:tc>
          <w:tcPr>
            <w:tcW w:w="606" w:type="pct"/>
            <w:vAlign w:val="center"/>
          </w:tcPr>
          <w:p w14:paraId="394E3F04">
            <w:pPr>
              <w:jc w:val="center"/>
              <w:rPr>
                <w:rFonts w:ascii="宋体" w:hAnsi="宋体"/>
                <w:color w:val="auto"/>
              </w:rPr>
            </w:pPr>
            <w:r>
              <w:rPr>
                <w:rFonts w:hint="eastAsia" w:ascii="宋体" w:hAnsi="宋体"/>
                <w:color w:val="auto"/>
              </w:rPr>
              <w:t>0.0</w:t>
            </w:r>
            <w:r>
              <w:rPr>
                <w:rFonts w:ascii="宋体" w:hAnsi="宋体"/>
                <w:color w:val="auto"/>
              </w:rPr>
              <w:t>58</w:t>
            </w:r>
          </w:p>
        </w:tc>
      </w:tr>
    </w:tbl>
    <w:p w14:paraId="7B9E79C5">
      <w:pPr>
        <w:rPr>
          <w:color w:val="auto"/>
        </w:rPr>
      </w:pPr>
    </w:p>
    <w:p w14:paraId="4E496774">
      <w:pPr>
        <w:pStyle w:val="4"/>
        <w:ind w:firstLine="480"/>
        <w:rPr>
          <w:color w:val="auto"/>
        </w:rPr>
      </w:pPr>
      <w:r>
        <w:rPr>
          <w:rFonts w:hint="eastAsia"/>
          <w:color w:val="auto"/>
        </w:rPr>
        <w:t>估算井场</w:t>
      </w:r>
      <w:r>
        <w:rPr>
          <w:color w:val="auto"/>
        </w:rPr>
        <w:t>非甲烷总烃</w:t>
      </w:r>
      <w:r>
        <w:rPr>
          <w:rFonts w:hint="eastAsia"/>
          <w:color w:val="auto"/>
        </w:rPr>
        <w:t>约</w:t>
      </w:r>
      <w:r>
        <w:rPr>
          <w:color w:val="auto"/>
        </w:rPr>
        <w:t>为</w:t>
      </w:r>
      <w:r>
        <w:rPr>
          <w:rFonts w:hint="eastAsia"/>
          <w:color w:val="auto"/>
        </w:rPr>
        <w:t>0.</w:t>
      </w:r>
      <w:r>
        <w:rPr>
          <w:color w:val="auto"/>
        </w:rPr>
        <w:t>285t/a</w:t>
      </w:r>
      <w:r>
        <w:rPr>
          <w:rFonts w:hint="eastAsia"/>
          <w:color w:val="auto"/>
        </w:rPr>
        <w:t>，硫化氢0</w:t>
      </w:r>
      <w:r>
        <w:rPr>
          <w:color w:val="auto"/>
        </w:rPr>
        <w:t>.058</w:t>
      </w:r>
      <w:r>
        <w:rPr>
          <w:rFonts w:hint="eastAsia"/>
          <w:color w:val="auto"/>
        </w:rPr>
        <w:t>kg/a</w:t>
      </w:r>
      <w:r>
        <w:rPr>
          <w:rFonts w:hint="eastAsia"/>
          <w:color w:val="auto"/>
        </w:rPr>
        <w:t>。根据</w:t>
      </w:r>
      <w:r>
        <w:rPr>
          <w:color w:val="auto"/>
        </w:rPr>
        <w:t>验收监测结果，</w:t>
      </w:r>
      <w:r>
        <w:rPr>
          <w:rFonts w:hint="eastAsia"/>
          <w:color w:val="auto"/>
        </w:rPr>
        <w:t>井场厂界非甲烷总烃能够满足《挥发性有机物排放标准 第7部分：其他行业》（DB37/ 2801.7-2019）中VOCs厂界监控点浓度限值（2.0mg/m</w:t>
      </w:r>
      <w:r>
        <w:rPr>
          <w:rFonts w:hint="eastAsia"/>
          <w:color w:val="auto"/>
          <w:vertAlign w:val="superscript"/>
        </w:rPr>
        <w:t>3</w:t>
      </w:r>
      <w:r>
        <w:rPr>
          <w:rFonts w:hint="eastAsia"/>
          <w:color w:val="auto"/>
        </w:rPr>
        <w:t>）要求；硫化氢浓度能够满足</w:t>
      </w:r>
      <w:r>
        <w:rPr>
          <w:rFonts w:hint="eastAsia"/>
          <w:color w:val="auto"/>
          <w:szCs w:val="21"/>
        </w:rPr>
        <w:t>《恶臭污染物排放标准》（</w:t>
      </w:r>
      <w:r>
        <w:rPr>
          <w:color w:val="auto"/>
          <w:szCs w:val="21"/>
        </w:rPr>
        <w:t>GB 14554-1993）厂界标准值</w:t>
      </w:r>
      <w:r>
        <w:rPr>
          <w:rFonts w:hint="eastAsia"/>
          <w:color w:val="auto"/>
        </w:rPr>
        <w:t>。</w:t>
      </w:r>
    </w:p>
    <w:p w14:paraId="53304361">
      <w:pPr>
        <w:pStyle w:val="4"/>
        <w:ind w:firstLine="480"/>
        <w:outlineLvl w:val="4"/>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高青管理区地面系统优化建设工程</w:t>
      </w:r>
    </w:p>
    <w:p w14:paraId="75A8647C">
      <w:pPr>
        <w:pStyle w:val="4"/>
        <w:ind w:firstLine="480"/>
        <w:rPr>
          <w:color w:val="auto"/>
        </w:rPr>
      </w:pPr>
      <w:r>
        <w:rPr>
          <w:rFonts w:hint="eastAsia"/>
          <w:color w:val="auto"/>
        </w:rPr>
        <w:t>高青管理区地面系统优化建设工程不新增无组织废气的排放。</w:t>
      </w:r>
    </w:p>
    <w:p w14:paraId="3A111F07">
      <w:pPr>
        <w:pStyle w:val="4"/>
        <w:ind w:firstLine="480"/>
        <w:rPr>
          <w:color w:val="auto"/>
        </w:rPr>
      </w:pPr>
      <w:r>
        <w:rPr>
          <w:rFonts w:hint="eastAsia"/>
          <w:color w:val="auto"/>
        </w:rPr>
        <w:t>该工程实施后，樊18、樊26区块10口油井采出液由拉油改为管输，3#计量站集油拉油改为管输生产涉及17口井，取消多功能罐10台。改造后非甲烷总烃无组织排放量0.046t/a。</w:t>
      </w:r>
    </w:p>
    <w:p w14:paraId="45B2F4CF">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4</w:t>
      </w:r>
      <w:r>
        <w:rPr>
          <w:color w:val="auto"/>
        </w:rPr>
        <w:fldChar w:fldCharType="end"/>
      </w:r>
      <w:r>
        <w:rPr>
          <w:rFonts w:hint="eastAsia"/>
          <w:color w:val="auto"/>
        </w:rPr>
        <w:t xml:space="preserve"> 工程实施后污染物排放量</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33"/>
        <w:gridCol w:w="2143"/>
        <w:gridCol w:w="2144"/>
      </w:tblGrid>
      <w:tr w14:paraId="0C148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2" w:type="pct"/>
            <w:shd w:val="clear" w:color="auto" w:fill="auto"/>
            <w:vAlign w:val="center"/>
          </w:tcPr>
          <w:p w14:paraId="3250335D">
            <w:pPr>
              <w:adjustRightInd w:val="0"/>
              <w:snapToGrid w:val="0"/>
              <w:jc w:val="center"/>
              <w:rPr>
                <w:rFonts w:ascii="宋体" w:hAnsi="宋体"/>
                <w:color w:val="auto"/>
              </w:rPr>
            </w:pPr>
            <w:r>
              <w:rPr>
                <w:rFonts w:hint="eastAsia" w:ascii="宋体" w:hAnsi="宋体"/>
                <w:color w:val="auto"/>
              </w:rPr>
              <w:t>油田</w:t>
            </w:r>
          </w:p>
        </w:tc>
        <w:tc>
          <w:tcPr>
            <w:tcW w:w="1229" w:type="pct"/>
            <w:shd w:val="clear" w:color="auto" w:fill="auto"/>
            <w:vAlign w:val="center"/>
          </w:tcPr>
          <w:p w14:paraId="70C96363">
            <w:pPr>
              <w:adjustRightInd w:val="0"/>
              <w:snapToGrid w:val="0"/>
              <w:jc w:val="center"/>
              <w:rPr>
                <w:rFonts w:ascii="宋体" w:hAnsi="宋体"/>
                <w:color w:val="auto"/>
              </w:rPr>
            </w:pPr>
            <w:r>
              <w:rPr>
                <w:rFonts w:hint="eastAsia" w:ascii="宋体" w:hAnsi="宋体"/>
                <w:color w:val="auto"/>
              </w:rPr>
              <w:t>改造前</w:t>
            </w:r>
          </w:p>
        </w:tc>
        <w:tc>
          <w:tcPr>
            <w:tcW w:w="1229" w:type="pct"/>
            <w:shd w:val="clear" w:color="auto" w:fill="auto"/>
            <w:vAlign w:val="center"/>
          </w:tcPr>
          <w:p w14:paraId="31C0ABF0">
            <w:pPr>
              <w:adjustRightInd w:val="0"/>
              <w:snapToGrid w:val="0"/>
              <w:jc w:val="center"/>
              <w:rPr>
                <w:rFonts w:ascii="宋体" w:hAnsi="宋体"/>
                <w:color w:val="auto"/>
              </w:rPr>
            </w:pPr>
            <w:r>
              <w:rPr>
                <w:rFonts w:hint="eastAsia" w:ascii="宋体" w:hAnsi="宋体"/>
                <w:color w:val="auto"/>
              </w:rPr>
              <w:t>改造后</w:t>
            </w:r>
          </w:p>
        </w:tc>
      </w:tr>
      <w:tr w14:paraId="741B0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2" w:type="pct"/>
            <w:shd w:val="clear" w:color="auto" w:fill="auto"/>
            <w:vAlign w:val="center"/>
          </w:tcPr>
          <w:p w14:paraId="66258049">
            <w:pPr>
              <w:adjustRightInd w:val="0"/>
              <w:snapToGrid w:val="0"/>
              <w:jc w:val="center"/>
              <w:rPr>
                <w:rFonts w:ascii="宋体" w:hAnsi="宋体"/>
                <w:color w:val="auto"/>
              </w:rPr>
            </w:pPr>
            <w:r>
              <w:rPr>
                <w:rFonts w:hint="eastAsia" w:ascii="宋体" w:hAnsi="宋体"/>
                <w:color w:val="auto"/>
              </w:rPr>
              <w:t>油井（口）</w:t>
            </w:r>
          </w:p>
        </w:tc>
        <w:tc>
          <w:tcPr>
            <w:tcW w:w="1229" w:type="pct"/>
            <w:shd w:val="clear" w:color="auto" w:fill="auto"/>
            <w:vAlign w:val="center"/>
          </w:tcPr>
          <w:p w14:paraId="0B895FEB">
            <w:pPr>
              <w:pStyle w:val="81"/>
              <w:rPr>
                <w:rFonts w:hAnsi="宋体"/>
                <w:color w:val="auto"/>
              </w:rPr>
            </w:pPr>
            <w:r>
              <w:rPr>
                <w:rFonts w:hint="eastAsia" w:hAnsi="宋体"/>
                <w:color w:val="auto"/>
              </w:rPr>
              <w:t>27</w:t>
            </w:r>
          </w:p>
        </w:tc>
        <w:tc>
          <w:tcPr>
            <w:tcW w:w="1229" w:type="pct"/>
            <w:shd w:val="clear" w:color="auto" w:fill="auto"/>
            <w:vAlign w:val="center"/>
          </w:tcPr>
          <w:p w14:paraId="35FC43F8">
            <w:pPr>
              <w:adjustRightInd w:val="0"/>
              <w:snapToGrid w:val="0"/>
              <w:jc w:val="center"/>
              <w:rPr>
                <w:rFonts w:ascii="宋体" w:hAnsi="宋体"/>
                <w:color w:val="auto"/>
              </w:rPr>
            </w:pPr>
            <w:r>
              <w:rPr>
                <w:rFonts w:hint="eastAsia" w:ascii="宋体" w:hAnsi="宋体"/>
                <w:color w:val="auto"/>
              </w:rPr>
              <w:t>27</w:t>
            </w:r>
          </w:p>
        </w:tc>
      </w:tr>
      <w:tr w14:paraId="5C4B3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2" w:type="pct"/>
            <w:shd w:val="clear" w:color="auto" w:fill="auto"/>
            <w:vAlign w:val="center"/>
          </w:tcPr>
          <w:p w14:paraId="71116999">
            <w:pPr>
              <w:adjustRightInd w:val="0"/>
              <w:snapToGrid w:val="0"/>
              <w:jc w:val="center"/>
              <w:rPr>
                <w:rFonts w:ascii="宋体" w:hAnsi="宋体"/>
                <w:color w:val="auto"/>
              </w:rPr>
            </w:pPr>
            <w:r>
              <w:rPr>
                <w:rFonts w:hint="eastAsia" w:ascii="宋体" w:hAnsi="宋体"/>
                <w:color w:val="auto"/>
              </w:rPr>
              <w:t>产油量（t/a）</w:t>
            </w:r>
          </w:p>
        </w:tc>
        <w:tc>
          <w:tcPr>
            <w:tcW w:w="1229" w:type="pct"/>
            <w:shd w:val="clear" w:color="auto" w:fill="auto"/>
            <w:vAlign w:val="center"/>
          </w:tcPr>
          <w:p w14:paraId="655A664A">
            <w:pPr>
              <w:pStyle w:val="81"/>
              <w:rPr>
                <w:rFonts w:hAnsi="宋体"/>
                <w:color w:val="auto"/>
              </w:rPr>
            </w:pPr>
            <w:r>
              <w:rPr>
                <w:rFonts w:hint="eastAsia" w:hAnsi="宋体"/>
                <w:color w:val="auto"/>
              </w:rPr>
              <w:t>16020</w:t>
            </w:r>
          </w:p>
        </w:tc>
        <w:tc>
          <w:tcPr>
            <w:tcW w:w="1229" w:type="pct"/>
            <w:shd w:val="clear" w:color="auto" w:fill="auto"/>
            <w:vAlign w:val="center"/>
          </w:tcPr>
          <w:p w14:paraId="0ADADA07">
            <w:pPr>
              <w:adjustRightInd w:val="0"/>
              <w:snapToGrid w:val="0"/>
              <w:jc w:val="center"/>
              <w:rPr>
                <w:rFonts w:ascii="宋体" w:hAnsi="宋体"/>
                <w:color w:val="auto"/>
              </w:rPr>
            </w:pPr>
            <w:r>
              <w:rPr>
                <w:rFonts w:hint="eastAsia" w:ascii="宋体" w:hAnsi="宋体"/>
                <w:color w:val="auto"/>
              </w:rPr>
              <w:t>16020</w:t>
            </w:r>
          </w:p>
        </w:tc>
      </w:tr>
      <w:tr w14:paraId="1388E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2" w:type="pct"/>
            <w:shd w:val="clear" w:color="auto" w:fill="auto"/>
            <w:vAlign w:val="center"/>
          </w:tcPr>
          <w:p w14:paraId="27D0489C">
            <w:pPr>
              <w:adjustRightInd w:val="0"/>
              <w:snapToGrid w:val="0"/>
              <w:jc w:val="center"/>
              <w:rPr>
                <w:rFonts w:ascii="宋体" w:hAnsi="宋体"/>
                <w:color w:val="auto"/>
              </w:rPr>
            </w:pPr>
            <w:r>
              <w:rPr>
                <w:rFonts w:hint="eastAsia" w:ascii="宋体" w:hAnsi="宋体"/>
                <w:color w:val="auto"/>
              </w:rPr>
              <w:t>气油比（m</w:t>
            </w:r>
            <w:r>
              <w:rPr>
                <w:rFonts w:hint="eastAsia" w:ascii="宋体" w:hAnsi="宋体"/>
                <w:color w:val="auto"/>
                <w:vertAlign w:val="superscript"/>
              </w:rPr>
              <w:t>3</w:t>
            </w:r>
            <w:r>
              <w:rPr>
                <w:rFonts w:hint="eastAsia" w:ascii="宋体" w:hAnsi="宋体"/>
                <w:color w:val="auto"/>
              </w:rPr>
              <w:t>/t）</w:t>
            </w:r>
          </w:p>
        </w:tc>
        <w:tc>
          <w:tcPr>
            <w:tcW w:w="1229" w:type="pct"/>
            <w:shd w:val="clear" w:color="auto" w:fill="auto"/>
            <w:vAlign w:val="center"/>
          </w:tcPr>
          <w:p w14:paraId="46AC5E43">
            <w:pPr>
              <w:pStyle w:val="81"/>
              <w:rPr>
                <w:rFonts w:hAnsi="宋体"/>
                <w:color w:val="auto"/>
              </w:rPr>
            </w:pPr>
            <w:r>
              <w:rPr>
                <w:rFonts w:hint="eastAsia" w:hAnsi="宋体"/>
                <w:color w:val="auto"/>
              </w:rPr>
              <w:t>18</w:t>
            </w:r>
          </w:p>
        </w:tc>
        <w:tc>
          <w:tcPr>
            <w:tcW w:w="1229" w:type="pct"/>
            <w:shd w:val="clear" w:color="auto" w:fill="auto"/>
            <w:vAlign w:val="center"/>
          </w:tcPr>
          <w:p w14:paraId="4AEFB80D">
            <w:pPr>
              <w:adjustRightInd w:val="0"/>
              <w:snapToGrid w:val="0"/>
              <w:jc w:val="center"/>
              <w:rPr>
                <w:rFonts w:ascii="宋体" w:hAnsi="宋体"/>
                <w:color w:val="auto"/>
              </w:rPr>
            </w:pPr>
            <w:r>
              <w:rPr>
                <w:rFonts w:hint="eastAsia" w:ascii="宋体" w:hAnsi="宋体"/>
                <w:color w:val="auto"/>
              </w:rPr>
              <w:t>18</w:t>
            </w:r>
          </w:p>
        </w:tc>
      </w:tr>
      <w:tr w14:paraId="0D19A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2" w:type="pct"/>
            <w:shd w:val="clear" w:color="auto" w:fill="auto"/>
            <w:vAlign w:val="center"/>
          </w:tcPr>
          <w:p w14:paraId="47055EE2">
            <w:pPr>
              <w:adjustRightInd w:val="0"/>
              <w:snapToGrid w:val="0"/>
              <w:jc w:val="center"/>
              <w:rPr>
                <w:rFonts w:ascii="宋体" w:hAnsi="宋体"/>
                <w:color w:val="auto"/>
              </w:rPr>
            </w:pPr>
            <w:r>
              <w:rPr>
                <w:rFonts w:hint="eastAsia" w:ascii="宋体" w:hAnsi="宋体"/>
                <w:color w:val="auto"/>
              </w:rPr>
              <w:t>轻烃密度（kg/m</w:t>
            </w:r>
            <w:r>
              <w:rPr>
                <w:rFonts w:hint="eastAsia" w:ascii="宋体" w:hAnsi="宋体"/>
                <w:color w:val="auto"/>
                <w:vertAlign w:val="superscript"/>
              </w:rPr>
              <w:t>3</w:t>
            </w:r>
            <w:r>
              <w:rPr>
                <w:rFonts w:hint="eastAsia" w:ascii="宋体" w:hAnsi="宋体"/>
                <w:color w:val="auto"/>
              </w:rPr>
              <w:t>）</w:t>
            </w:r>
          </w:p>
        </w:tc>
        <w:tc>
          <w:tcPr>
            <w:tcW w:w="1229" w:type="pct"/>
            <w:shd w:val="clear" w:color="auto" w:fill="auto"/>
            <w:vAlign w:val="center"/>
          </w:tcPr>
          <w:p w14:paraId="3FD1B794">
            <w:pPr>
              <w:pStyle w:val="81"/>
              <w:rPr>
                <w:rFonts w:hAnsi="宋体"/>
                <w:color w:val="auto"/>
              </w:rPr>
            </w:pPr>
            <w:r>
              <w:rPr>
                <w:rFonts w:hint="eastAsia" w:hAnsi="宋体"/>
                <w:color w:val="auto"/>
              </w:rPr>
              <w:t>0.76</w:t>
            </w:r>
          </w:p>
        </w:tc>
        <w:tc>
          <w:tcPr>
            <w:tcW w:w="1229" w:type="pct"/>
            <w:shd w:val="clear" w:color="auto" w:fill="auto"/>
            <w:vAlign w:val="center"/>
          </w:tcPr>
          <w:p w14:paraId="12E22557">
            <w:pPr>
              <w:adjustRightInd w:val="0"/>
              <w:snapToGrid w:val="0"/>
              <w:jc w:val="center"/>
              <w:rPr>
                <w:rFonts w:ascii="宋体" w:hAnsi="宋体"/>
                <w:color w:val="auto"/>
              </w:rPr>
            </w:pPr>
            <w:r>
              <w:rPr>
                <w:rFonts w:hint="eastAsia" w:ascii="宋体" w:hAnsi="宋体"/>
                <w:color w:val="auto"/>
              </w:rPr>
              <w:t>0.76</w:t>
            </w:r>
          </w:p>
        </w:tc>
      </w:tr>
      <w:tr w14:paraId="46697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2" w:type="pct"/>
            <w:shd w:val="clear" w:color="auto" w:fill="auto"/>
            <w:vAlign w:val="center"/>
          </w:tcPr>
          <w:p w14:paraId="2B0FC3FE">
            <w:pPr>
              <w:adjustRightInd w:val="0"/>
              <w:snapToGrid w:val="0"/>
              <w:jc w:val="center"/>
              <w:rPr>
                <w:rFonts w:ascii="宋体" w:hAnsi="宋体"/>
                <w:color w:val="auto"/>
              </w:rPr>
            </w:pPr>
            <w:r>
              <w:rPr>
                <w:rFonts w:hint="eastAsia" w:ascii="宋体" w:hAnsi="宋体"/>
                <w:color w:val="auto"/>
              </w:rPr>
              <w:t>非甲烷总烃含量（%）</w:t>
            </w:r>
          </w:p>
        </w:tc>
        <w:tc>
          <w:tcPr>
            <w:tcW w:w="1229" w:type="pct"/>
            <w:shd w:val="clear" w:color="auto" w:fill="auto"/>
            <w:vAlign w:val="center"/>
          </w:tcPr>
          <w:p w14:paraId="7C88E00F">
            <w:pPr>
              <w:pStyle w:val="81"/>
              <w:rPr>
                <w:rFonts w:hAnsi="宋体"/>
                <w:color w:val="auto"/>
              </w:rPr>
            </w:pPr>
            <w:r>
              <w:rPr>
                <w:rFonts w:hint="eastAsia" w:hAnsi="宋体"/>
                <w:color w:val="auto"/>
              </w:rPr>
              <w:t>21.4</w:t>
            </w:r>
          </w:p>
        </w:tc>
        <w:tc>
          <w:tcPr>
            <w:tcW w:w="1229" w:type="pct"/>
            <w:shd w:val="clear" w:color="auto" w:fill="auto"/>
            <w:vAlign w:val="center"/>
          </w:tcPr>
          <w:p w14:paraId="251D6B06">
            <w:pPr>
              <w:adjustRightInd w:val="0"/>
              <w:snapToGrid w:val="0"/>
              <w:jc w:val="center"/>
              <w:rPr>
                <w:rFonts w:ascii="宋体" w:hAnsi="宋体"/>
                <w:color w:val="auto"/>
              </w:rPr>
            </w:pPr>
            <w:r>
              <w:rPr>
                <w:rFonts w:hint="eastAsia" w:ascii="宋体" w:hAnsi="宋体"/>
                <w:color w:val="auto"/>
              </w:rPr>
              <w:t>21.4</w:t>
            </w:r>
          </w:p>
        </w:tc>
      </w:tr>
      <w:tr w14:paraId="52CAE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2" w:type="pct"/>
            <w:shd w:val="clear" w:color="auto" w:fill="auto"/>
            <w:vAlign w:val="center"/>
          </w:tcPr>
          <w:p w14:paraId="05AF7ECC">
            <w:pPr>
              <w:adjustRightInd w:val="0"/>
              <w:snapToGrid w:val="0"/>
              <w:jc w:val="center"/>
              <w:rPr>
                <w:rFonts w:ascii="宋体" w:hAnsi="宋体"/>
                <w:color w:val="auto"/>
              </w:rPr>
            </w:pPr>
            <w:r>
              <w:rPr>
                <w:rFonts w:hint="eastAsia" w:ascii="宋体" w:hAnsi="宋体"/>
                <w:color w:val="auto"/>
              </w:rPr>
              <w:t>非甲烷总烃挥发量（t/a）</w:t>
            </w:r>
          </w:p>
        </w:tc>
        <w:tc>
          <w:tcPr>
            <w:tcW w:w="1229" w:type="pct"/>
            <w:shd w:val="clear" w:color="auto" w:fill="auto"/>
            <w:vAlign w:val="center"/>
          </w:tcPr>
          <w:p w14:paraId="04613208">
            <w:pPr>
              <w:pStyle w:val="81"/>
              <w:rPr>
                <w:rFonts w:hAnsi="宋体"/>
                <w:color w:val="auto"/>
              </w:rPr>
            </w:pPr>
            <w:r>
              <w:rPr>
                <w:rFonts w:hint="eastAsia" w:hAnsi="宋体"/>
                <w:color w:val="auto"/>
              </w:rPr>
              <w:t>0.234</w:t>
            </w:r>
          </w:p>
        </w:tc>
        <w:tc>
          <w:tcPr>
            <w:tcW w:w="1229" w:type="pct"/>
            <w:shd w:val="clear" w:color="auto" w:fill="auto"/>
            <w:vAlign w:val="center"/>
          </w:tcPr>
          <w:p w14:paraId="3D6AA5A3">
            <w:pPr>
              <w:adjustRightInd w:val="0"/>
              <w:snapToGrid w:val="0"/>
              <w:jc w:val="center"/>
              <w:rPr>
                <w:rFonts w:ascii="宋体" w:hAnsi="宋体"/>
                <w:color w:val="auto"/>
              </w:rPr>
            </w:pPr>
            <w:r>
              <w:rPr>
                <w:rFonts w:hint="eastAsia" w:ascii="宋体" w:hAnsi="宋体"/>
                <w:color w:val="auto"/>
              </w:rPr>
              <w:t>0.046</w:t>
            </w:r>
          </w:p>
        </w:tc>
      </w:tr>
    </w:tbl>
    <w:p w14:paraId="610882B7">
      <w:pPr>
        <w:rPr>
          <w:color w:val="auto"/>
        </w:rPr>
      </w:pPr>
    </w:p>
    <w:p w14:paraId="60A3C570">
      <w:pPr>
        <w:pStyle w:val="4"/>
        <w:ind w:firstLine="480"/>
        <w:outlineLvl w:val="3"/>
        <w:rPr>
          <w:color w:val="auto"/>
        </w:rPr>
      </w:pPr>
      <w:r>
        <w:rPr>
          <w:color w:val="auto"/>
        </w:rPr>
        <w:t>（</w:t>
      </w:r>
      <w:r>
        <w:rPr>
          <w:rFonts w:hint="eastAsia"/>
          <w:color w:val="auto"/>
        </w:rPr>
        <w:t>2</w:t>
      </w:r>
      <w:r>
        <w:rPr>
          <w:color w:val="auto"/>
        </w:rPr>
        <w:t>）</w:t>
      </w:r>
      <w:r>
        <w:rPr>
          <w:rFonts w:hint="eastAsia"/>
          <w:color w:val="auto"/>
        </w:rPr>
        <w:t>有组织</w:t>
      </w:r>
      <w:r>
        <w:rPr>
          <w:color w:val="auto"/>
        </w:rPr>
        <w:t>废气</w:t>
      </w:r>
    </w:p>
    <w:p w14:paraId="767E6F6C">
      <w:pPr>
        <w:pStyle w:val="149"/>
        <w:ind w:firstLine="480"/>
        <w:outlineLvl w:val="4"/>
        <w:rPr>
          <w:color w:val="auto"/>
        </w:rPr>
      </w:pPr>
      <w:r>
        <w:rPr>
          <w:rFonts w:hint="eastAsia"/>
          <w:color w:val="auto"/>
        </w:rPr>
        <w:t>①滚动开发工程井场水套加热炉废气</w:t>
      </w:r>
    </w:p>
    <w:p w14:paraId="0F8A3C9F">
      <w:pPr>
        <w:pStyle w:val="149"/>
        <w:ind w:firstLine="480"/>
        <w:rPr>
          <w:color w:val="auto"/>
        </w:rPr>
      </w:pPr>
      <w:r>
        <w:rPr>
          <w:rFonts w:hint="eastAsia"/>
          <w:color w:val="auto"/>
        </w:rPr>
        <w:t>本期工程于6#、8#、9#、11#井场新建加热炉各1台。各井场加热炉规格见</w:t>
      </w:r>
      <w:r>
        <w:rPr>
          <w:rFonts w:hint="eastAsia"/>
          <w:color w:val="auto"/>
        </w:rPr>
        <w:fldChar w:fldCharType="begin"/>
      </w:r>
      <w:r>
        <w:instrText xml:space="preserve"> REF _Ref60755351 \h  \* MERGEFORMAT</w:instrText>
      </w:r>
      <w:r>
        <w:rPr>
          <w:rFonts w:hint="eastAsia"/>
          <w:color w:val="auto"/>
        </w:rPr>
        <w:fldChar w:fldCharType="separate"/>
      </w:r>
      <w:r>
        <w:rPr>
          <w:color w:val="auto"/>
        </w:rPr>
        <w:t>表 3.4</w:t>
      </w:r>
      <w:r>
        <w:rPr>
          <w:color w:val="auto"/>
        </w:rPr>
        <w:noBreakHyphen/>
      </w:r>
      <w:r>
        <w:rPr>
          <w:color w:val="auto"/>
        </w:rPr>
        <w:t>5</w:t>
      </w:r>
      <w:r>
        <w:rPr>
          <w:rFonts w:hint="eastAsia"/>
          <w:color w:val="auto"/>
        </w:rPr>
        <w:fldChar w:fldCharType="end"/>
      </w:r>
      <w:r>
        <w:rPr>
          <w:rFonts w:hint="eastAsia"/>
          <w:color w:val="auto"/>
        </w:rPr>
        <w:t>。</w:t>
      </w:r>
    </w:p>
    <w:p w14:paraId="3C26565C">
      <w:pPr>
        <w:pStyle w:val="4"/>
        <w:ind w:firstLine="480"/>
        <w:rPr>
          <w:color w:val="auto"/>
        </w:rPr>
      </w:pPr>
      <w:r>
        <w:rPr>
          <w:rStyle w:val="73"/>
          <w:rFonts w:hint="eastAsia"/>
          <w:color w:val="auto"/>
        </w:rPr>
        <w:t>根据本期工程</w:t>
      </w:r>
      <w:r>
        <w:rPr>
          <w:rFonts w:hint="eastAsia"/>
          <w:color w:val="auto"/>
        </w:rPr>
        <w:t>燃气</w:t>
      </w:r>
      <w:r>
        <w:rPr>
          <w:rStyle w:val="73"/>
          <w:rFonts w:hint="eastAsia"/>
          <w:color w:val="auto"/>
        </w:rPr>
        <w:t>加热炉的监测数据，</w:t>
      </w:r>
      <w:r>
        <w:rPr>
          <w:rFonts w:hint="eastAsia"/>
          <w:color w:val="auto"/>
        </w:rPr>
        <w:t>排放废气情况见</w:t>
      </w:r>
      <w:r>
        <w:rPr>
          <w:color w:val="auto"/>
        </w:rPr>
        <w:fldChar w:fldCharType="begin"/>
      </w:r>
      <w:r>
        <w:instrText xml:space="preserve"> REF _Ref60755351 \h  \* MERGEFORMAT</w:instrText>
      </w:r>
      <w:r>
        <w:rPr>
          <w:color w:val="auto"/>
        </w:rPr>
        <w:fldChar w:fldCharType="separate"/>
      </w:r>
      <w:r>
        <w:rPr>
          <w:color w:val="auto"/>
        </w:rPr>
        <w:t>表 3.4</w:t>
      </w:r>
      <w:r>
        <w:rPr>
          <w:color w:val="auto"/>
        </w:rPr>
        <w:noBreakHyphen/>
      </w:r>
      <w:r>
        <w:rPr>
          <w:color w:val="auto"/>
        </w:rPr>
        <w:t>5</w:t>
      </w:r>
      <w:r>
        <w:rPr>
          <w:color w:val="auto"/>
        </w:rPr>
        <w:fldChar w:fldCharType="end"/>
      </w:r>
      <w:r>
        <w:rPr>
          <w:rFonts w:hint="eastAsia"/>
          <w:color w:val="auto"/>
        </w:rPr>
        <w:t>。</w:t>
      </w:r>
    </w:p>
    <w:p w14:paraId="4C07364A">
      <w:pPr>
        <w:pStyle w:val="15"/>
        <w:spacing w:before="120"/>
        <w:rPr>
          <w:rFonts w:hAnsi="宋体"/>
          <w:color w:val="auto"/>
          <w:szCs w:val="21"/>
        </w:rPr>
      </w:pPr>
      <w:bookmarkStart w:id="279" w:name="_Ref60755351"/>
      <w:r>
        <w:rPr>
          <w:rFonts w:hAnsi="宋体"/>
          <w:color w:val="auto"/>
        </w:rPr>
        <w:t xml:space="preserve">表 </w:t>
      </w:r>
      <w:r>
        <w:rPr>
          <w:rFonts w:hAnsi="宋体"/>
          <w:color w:val="auto"/>
        </w:rPr>
        <w:fldChar w:fldCharType="begin"/>
      </w:r>
      <w:r>
        <w:rPr>
          <w:rFonts w:hAnsi="宋体"/>
          <w:color w:val="auto"/>
        </w:rPr>
        <w:instrText xml:space="preserve"> STYLEREF 2 \s </w:instrText>
      </w:r>
      <w:r>
        <w:rPr>
          <w:rFonts w:hAnsi="宋体"/>
          <w:color w:val="auto"/>
        </w:rPr>
        <w:fldChar w:fldCharType="separate"/>
      </w:r>
      <w:r>
        <w:rPr>
          <w:rFonts w:hAnsi="宋体"/>
          <w:color w:val="auto"/>
        </w:rPr>
        <w:t>3.4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SEQ 表 \* ARABIC \s 2 </w:instrText>
      </w:r>
      <w:r>
        <w:rPr>
          <w:rFonts w:hAnsi="宋体"/>
          <w:color w:val="auto"/>
        </w:rPr>
        <w:fldChar w:fldCharType="separate"/>
      </w:r>
      <w:r>
        <w:rPr>
          <w:rFonts w:hAnsi="宋体"/>
          <w:color w:val="auto"/>
        </w:rPr>
        <w:t>5</w:t>
      </w:r>
      <w:r>
        <w:rPr>
          <w:rFonts w:hAnsi="宋体"/>
          <w:color w:val="auto"/>
        </w:rPr>
        <w:fldChar w:fldCharType="end"/>
      </w:r>
      <w:bookmarkEnd w:id="279"/>
      <w:r>
        <w:rPr>
          <w:rFonts w:hAnsi="宋体"/>
          <w:color w:val="auto"/>
        </w:rPr>
        <w:t xml:space="preserve">  </w:t>
      </w:r>
      <w:r>
        <w:rPr>
          <w:rFonts w:hint="eastAsia" w:hAnsi="宋体"/>
          <w:color w:val="auto"/>
          <w:szCs w:val="21"/>
        </w:rPr>
        <w:t>本期工程水套加热炉燃气废气排放情况</w:t>
      </w:r>
    </w:p>
    <w:tbl>
      <w:tblPr>
        <w:tblStyle w:val="4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1427"/>
        <w:gridCol w:w="1675"/>
        <w:gridCol w:w="1400"/>
        <w:gridCol w:w="1400"/>
        <w:gridCol w:w="1358"/>
        <w:gridCol w:w="1466"/>
      </w:tblGrid>
      <w:tr w14:paraId="3B060C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818" w:type="pct"/>
            <w:vAlign w:val="center"/>
          </w:tcPr>
          <w:p w14:paraId="324296F0">
            <w:pPr>
              <w:pStyle w:val="291"/>
              <w:rPr>
                <w:color w:val="auto"/>
                <w:kern w:val="2"/>
              </w:rPr>
            </w:pPr>
            <w:r>
              <w:rPr>
                <w:rFonts w:hint="eastAsia"/>
                <w:color w:val="auto"/>
                <w:kern w:val="2"/>
              </w:rPr>
              <w:t>井场编号</w:t>
            </w:r>
          </w:p>
        </w:tc>
        <w:tc>
          <w:tcPr>
            <w:tcW w:w="960" w:type="pct"/>
            <w:vAlign w:val="center"/>
          </w:tcPr>
          <w:p w14:paraId="08136329">
            <w:pPr>
              <w:pStyle w:val="291"/>
              <w:rPr>
                <w:color w:val="auto"/>
                <w:kern w:val="2"/>
              </w:rPr>
            </w:pPr>
            <w:r>
              <w:rPr>
                <w:rFonts w:hint="eastAsia"/>
                <w:color w:val="auto"/>
                <w:kern w:val="2"/>
              </w:rPr>
              <w:t>名称</w:t>
            </w:r>
          </w:p>
        </w:tc>
        <w:tc>
          <w:tcPr>
            <w:tcW w:w="802" w:type="pct"/>
            <w:vAlign w:val="center"/>
          </w:tcPr>
          <w:p w14:paraId="34D0D187">
            <w:pPr>
              <w:pStyle w:val="291"/>
              <w:rPr>
                <w:color w:val="auto"/>
              </w:rPr>
            </w:pPr>
            <w:r>
              <w:rPr>
                <w:rFonts w:hint="eastAsia"/>
                <w:color w:val="auto"/>
              </w:rPr>
              <w:t>燃烧介质</w:t>
            </w:r>
          </w:p>
        </w:tc>
        <w:tc>
          <w:tcPr>
            <w:tcW w:w="802" w:type="pct"/>
            <w:vAlign w:val="center"/>
          </w:tcPr>
          <w:p w14:paraId="29B7BDF1">
            <w:pPr>
              <w:pStyle w:val="291"/>
              <w:rPr>
                <w:color w:val="auto"/>
                <w:kern w:val="2"/>
              </w:rPr>
            </w:pPr>
            <w:r>
              <w:rPr>
                <w:rFonts w:hint="eastAsia"/>
                <w:color w:val="auto"/>
              </w:rPr>
              <w:t>数量</w:t>
            </w:r>
          </w:p>
        </w:tc>
        <w:tc>
          <w:tcPr>
            <w:tcW w:w="778" w:type="pct"/>
            <w:vAlign w:val="center"/>
          </w:tcPr>
          <w:p w14:paraId="61F1CC43">
            <w:pPr>
              <w:pStyle w:val="291"/>
              <w:rPr>
                <w:color w:val="auto"/>
                <w:kern w:val="2"/>
              </w:rPr>
            </w:pPr>
            <w:r>
              <w:rPr>
                <w:rFonts w:hint="eastAsia"/>
                <w:color w:val="auto"/>
              </w:rPr>
              <w:t>规格kW</w:t>
            </w:r>
          </w:p>
        </w:tc>
        <w:tc>
          <w:tcPr>
            <w:tcW w:w="840" w:type="pct"/>
            <w:vAlign w:val="center"/>
          </w:tcPr>
          <w:p w14:paraId="5155DBB3">
            <w:pPr>
              <w:pStyle w:val="291"/>
              <w:rPr>
                <w:color w:val="auto"/>
                <w:kern w:val="2"/>
              </w:rPr>
            </w:pPr>
            <w:r>
              <w:rPr>
                <w:rFonts w:hint="eastAsia"/>
                <w:color w:val="auto"/>
                <w:kern w:val="2"/>
              </w:rPr>
              <w:t>是否新建</w:t>
            </w:r>
          </w:p>
        </w:tc>
      </w:tr>
      <w:tr w14:paraId="1D3C61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818" w:type="pct"/>
            <w:vAlign w:val="center"/>
          </w:tcPr>
          <w:p w14:paraId="6A817E87">
            <w:pPr>
              <w:pStyle w:val="291"/>
              <w:rPr>
                <w:color w:val="auto"/>
                <w:kern w:val="2"/>
              </w:rPr>
            </w:pPr>
            <w:r>
              <w:rPr>
                <w:rFonts w:hint="eastAsia"/>
                <w:color w:val="auto"/>
                <w:kern w:val="2"/>
              </w:rPr>
              <w:t>6#</w:t>
            </w:r>
          </w:p>
        </w:tc>
        <w:tc>
          <w:tcPr>
            <w:tcW w:w="960" w:type="pct"/>
            <w:vAlign w:val="center"/>
          </w:tcPr>
          <w:p w14:paraId="46B389A3">
            <w:pPr>
              <w:pStyle w:val="291"/>
              <w:rPr>
                <w:color w:val="auto"/>
                <w:kern w:val="2"/>
              </w:rPr>
            </w:pPr>
            <w:bookmarkStart w:id="280" w:name="OLE_LINK23"/>
            <w:r>
              <w:rPr>
                <w:rFonts w:hint="eastAsia"/>
                <w:color w:val="auto"/>
                <w:kern w:val="2"/>
              </w:rPr>
              <w:t>水套加热炉</w:t>
            </w:r>
            <w:bookmarkEnd w:id="280"/>
          </w:p>
        </w:tc>
        <w:tc>
          <w:tcPr>
            <w:tcW w:w="802" w:type="pct"/>
            <w:vMerge w:val="restart"/>
            <w:vAlign w:val="center"/>
          </w:tcPr>
          <w:p w14:paraId="5091760D">
            <w:pPr>
              <w:pStyle w:val="291"/>
              <w:rPr>
                <w:color w:val="auto"/>
              </w:rPr>
            </w:pPr>
            <w:r>
              <w:rPr>
                <w:rFonts w:hint="eastAsia"/>
                <w:color w:val="auto"/>
              </w:rPr>
              <w:t>伴生气</w:t>
            </w:r>
          </w:p>
        </w:tc>
        <w:tc>
          <w:tcPr>
            <w:tcW w:w="802" w:type="pct"/>
            <w:vAlign w:val="center"/>
          </w:tcPr>
          <w:p w14:paraId="2F91CF1C">
            <w:pPr>
              <w:pStyle w:val="291"/>
              <w:rPr>
                <w:color w:val="auto"/>
              </w:rPr>
            </w:pPr>
            <w:r>
              <w:rPr>
                <w:rFonts w:hint="eastAsia"/>
                <w:color w:val="auto"/>
              </w:rPr>
              <w:t>1</w:t>
            </w:r>
          </w:p>
        </w:tc>
        <w:tc>
          <w:tcPr>
            <w:tcW w:w="778" w:type="pct"/>
            <w:vAlign w:val="center"/>
          </w:tcPr>
          <w:p w14:paraId="01B426D5">
            <w:pPr>
              <w:pStyle w:val="291"/>
              <w:rPr>
                <w:color w:val="auto"/>
              </w:rPr>
            </w:pPr>
            <w:r>
              <w:rPr>
                <w:rFonts w:hint="eastAsia"/>
                <w:color w:val="auto"/>
              </w:rPr>
              <w:t>150</w:t>
            </w:r>
          </w:p>
        </w:tc>
        <w:tc>
          <w:tcPr>
            <w:tcW w:w="840" w:type="pct"/>
            <w:vAlign w:val="center"/>
          </w:tcPr>
          <w:p w14:paraId="253BC79D">
            <w:pPr>
              <w:pStyle w:val="291"/>
              <w:rPr>
                <w:color w:val="auto"/>
                <w:kern w:val="2"/>
              </w:rPr>
            </w:pPr>
            <w:bookmarkStart w:id="281" w:name="OLE_LINK24"/>
            <w:r>
              <w:rPr>
                <w:rFonts w:hint="eastAsia"/>
                <w:color w:val="auto"/>
                <w:kern w:val="2"/>
              </w:rPr>
              <w:t>是</w:t>
            </w:r>
            <w:bookmarkEnd w:id="281"/>
          </w:p>
        </w:tc>
      </w:tr>
      <w:tr w14:paraId="0458E1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818" w:type="pct"/>
            <w:vAlign w:val="center"/>
          </w:tcPr>
          <w:p w14:paraId="1973C258">
            <w:pPr>
              <w:pStyle w:val="291"/>
              <w:rPr>
                <w:color w:val="auto"/>
                <w:kern w:val="2"/>
              </w:rPr>
            </w:pPr>
            <w:r>
              <w:rPr>
                <w:rFonts w:hint="eastAsia"/>
                <w:color w:val="auto"/>
                <w:kern w:val="2"/>
              </w:rPr>
              <w:t>8#</w:t>
            </w:r>
          </w:p>
        </w:tc>
        <w:tc>
          <w:tcPr>
            <w:tcW w:w="960" w:type="pct"/>
            <w:vAlign w:val="center"/>
          </w:tcPr>
          <w:p w14:paraId="4F6EFB77">
            <w:pPr>
              <w:pStyle w:val="291"/>
              <w:rPr>
                <w:color w:val="auto"/>
                <w:kern w:val="2"/>
              </w:rPr>
            </w:pPr>
            <w:r>
              <w:rPr>
                <w:rFonts w:hint="eastAsia"/>
                <w:color w:val="auto"/>
                <w:kern w:val="2"/>
              </w:rPr>
              <w:t>水套加热炉</w:t>
            </w:r>
          </w:p>
        </w:tc>
        <w:tc>
          <w:tcPr>
            <w:tcW w:w="802" w:type="pct"/>
            <w:vMerge w:val="continue"/>
            <w:vAlign w:val="center"/>
          </w:tcPr>
          <w:p w14:paraId="1867CD22">
            <w:pPr>
              <w:pStyle w:val="291"/>
              <w:rPr>
                <w:color w:val="auto"/>
              </w:rPr>
            </w:pPr>
          </w:p>
        </w:tc>
        <w:tc>
          <w:tcPr>
            <w:tcW w:w="802" w:type="pct"/>
            <w:vAlign w:val="center"/>
          </w:tcPr>
          <w:p w14:paraId="189F1161">
            <w:pPr>
              <w:pStyle w:val="291"/>
              <w:rPr>
                <w:color w:val="auto"/>
              </w:rPr>
            </w:pPr>
            <w:r>
              <w:rPr>
                <w:rFonts w:hint="eastAsia"/>
                <w:color w:val="auto"/>
              </w:rPr>
              <w:t>1</w:t>
            </w:r>
          </w:p>
        </w:tc>
        <w:tc>
          <w:tcPr>
            <w:tcW w:w="778" w:type="pct"/>
            <w:vAlign w:val="center"/>
          </w:tcPr>
          <w:p w14:paraId="6B622CD6">
            <w:pPr>
              <w:pStyle w:val="291"/>
              <w:rPr>
                <w:color w:val="auto"/>
              </w:rPr>
            </w:pPr>
            <w:r>
              <w:rPr>
                <w:rFonts w:hint="eastAsia"/>
                <w:color w:val="auto"/>
              </w:rPr>
              <w:t>100</w:t>
            </w:r>
          </w:p>
        </w:tc>
        <w:tc>
          <w:tcPr>
            <w:tcW w:w="840" w:type="pct"/>
            <w:vAlign w:val="center"/>
          </w:tcPr>
          <w:p w14:paraId="74AC5AC9">
            <w:pPr>
              <w:pStyle w:val="291"/>
              <w:rPr>
                <w:color w:val="auto"/>
                <w:kern w:val="2"/>
              </w:rPr>
            </w:pPr>
            <w:r>
              <w:rPr>
                <w:rFonts w:hint="eastAsia"/>
                <w:color w:val="auto"/>
                <w:kern w:val="2"/>
              </w:rPr>
              <w:t>是</w:t>
            </w:r>
          </w:p>
        </w:tc>
      </w:tr>
      <w:tr w14:paraId="17BDB6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818" w:type="pct"/>
            <w:vAlign w:val="center"/>
          </w:tcPr>
          <w:p w14:paraId="5AF3CF43">
            <w:pPr>
              <w:pStyle w:val="291"/>
              <w:rPr>
                <w:color w:val="auto"/>
                <w:kern w:val="2"/>
              </w:rPr>
            </w:pPr>
            <w:r>
              <w:rPr>
                <w:rFonts w:hint="eastAsia"/>
                <w:color w:val="auto"/>
                <w:kern w:val="2"/>
              </w:rPr>
              <w:t>9#</w:t>
            </w:r>
          </w:p>
        </w:tc>
        <w:tc>
          <w:tcPr>
            <w:tcW w:w="960" w:type="pct"/>
            <w:vAlign w:val="center"/>
          </w:tcPr>
          <w:p w14:paraId="2FDF0CE9">
            <w:pPr>
              <w:pStyle w:val="291"/>
              <w:rPr>
                <w:color w:val="auto"/>
                <w:kern w:val="2"/>
              </w:rPr>
            </w:pPr>
            <w:r>
              <w:rPr>
                <w:rFonts w:hint="eastAsia"/>
                <w:color w:val="auto"/>
                <w:kern w:val="2"/>
              </w:rPr>
              <w:t>水套加热炉</w:t>
            </w:r>
          </w:p>
        </w:tc>
        <w:tc>
          <w:tcPr>
            <w:tcW w:w="802" w:type="pct"/>
            <w:vMerge w:val="continue"/>
            <w:vAlign w:val="center"/>
          </w:tcPr>
          <w:p w14:paraId="0F45EB22">
            <w:pPr>
              <w:pStyle w:val="291"/>
              <w:rPr>
                <w:color w:val="auto"/>
              </w:rPr>
            </w:pPr>
          </w:p>
        </w:tc>
        <w:tc>
          <w:tcPr>
            <w:tcW w:w="802" w:type="pct"/>
            <w:vAlign w:val="center"/>
          </w:tcPr>
          <w:p w14:paraId="5DDFB26D">
            <w:pPr>
              <w:pStyle w:val="291"/>
              <w:rPr>
                <w:color w:val="auto"/>
              </w:rPr>
            </w:pPr>
            <w:r>
              <w:rPr>
                <w:rFonts w:hint="eastAsia"/>
                <w:color w:val="auto"/>
              </w:rPr>
              <w:t>1</w:t>
            </w:r>
          </w:p>
        </w:tc>
        <w:tc>
          <w:tcPr>
            <w:tcW w:w="778" w:type="pct"/>
            <w:vAlign w:val="center"/>
          </w:tcPr>
          <w:p w14:paraId="59C39073">
            <w:pPr>
              <w:pStyle w:val="291"/>
              <w:rPr>
                <w:color w:val="auto"/>
              </w:rPr>
            </w:pPr>
            <w:r>
              <w:rPr>
                <w:rFonts w:hint="eastAsia"/>
                <w:color w:val="auto"/>
              </w:rPr>
              <w:t>150</w:t>
            </w:r>
          </w:p>
        </w:tc>
        <w:tc>
          <w:tcPr>
            <w:tcW w:w="840" w:type="pct"/>
            <w:vAlign w:val="center"/>
          </w:tcPr>
          <w:p w14:paraId="7310121A">
            <w:pPr>
              <w:pStyle w:val="291"/>
              <w:rPr>
                <w:color w:val="auto"/>
                <w:kern w:val="2"/>
              </w:rPr>
            </w:pPr>
            <w:r>
              <w:rPr>
                <w:rFonts w:hint="eastAsia"/>
                <w:color w:val="auto"/>
                <w:kern w:val="2"/>
              </w:rPr>
              <w:t>是</w:t>
            </w:r>
          </w:p>
        </w:tc>
      </w:tr>
      <w:tr w14:paraId="252BC6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818" w:type="pct"/>
            <w:vAlign w:val="center"/>
          </w:tcPr>
          <w:p w14:paraId="2D9959D9">
            <w:pPr>
              <w:pStyle w:val="291"/>
              <w:rPr>
                <w:color w:val="auto"/>
                <w:kern w:val="2"/>
              </w:rPr>
            </w:pPr>
            <w:r>
              <w:rPr>
                <w:rFonts w:hint="eastAsia"/>
                <w:color w:val="auto"/>
                <w:kern w:val="2"/>
              </w:rPr>
              <w:t>11#</w:t>
            </w:r>
          </w:p>
        </w:tc>
        <w:tc>
          <w:tcPr>
            <w:tcW w:w="960" w:type="pct"/>
            <w:vAlign w:val="center"/>
          </w:tcPr>
          <w:p w14:paraId="0C41713E">
            <w:pPr>
              <w:pStyle w:val="291"/>
              <w:rPr>
                <w:color w:val="auto"/>
                <w:kern w:val="2"/>
              </w:rPr>
            </w:pPr>
            <w:r>
              <w:rPr>
                <w:rFonts w:hint="eastAsia"/>
                <w:color w:val="auto"/>
                <w:kern w:val="2"/>
              </w:rPr>
              <w:t>水套加热炉</w:t>
            </w:r>
          </w:p>
        </w:tc>
        <w:tc>
          <w:tcPr>
            <w:tcW w:w="802" w:type="pct"/>
            <w:vMerge w:val="continue"/>
            <w:vAlign w:val="center"/>
          </w:tcPr>
          <w:p w14:paraId="13E64C94">
            <w:pPr>
              <w:pStyle w:val="291"/>
              <w:rPr>
                <w:color w:val="auto"/>
              </w:rPr>
            </w:pPr>
          </w:p>
        </w:tc>
        <w:tc>
          <w:tcPr>
            <w:tcW w:w="802" w:type="pct"/>
            <w:vAlign w:val="center"/>
          </w:tcPr>
          <w:p w14:paraId="45A485A3">
            <w:pPr>
              <w:pStyle w:val="291"/>
              <w:rPr>
                <w:color w:val="auto"/>
              </w:rPr>
            </w:pPr>
            <w:r>
              <w:rPr>
                <w:rFonts w:hint="eastAsia"/>
                <w:color w:val="auto"/>
              </w:rPr>
              <w:t>1</w:t>
            </w:r>
          </w:p>
        </w:tc>
        <w:tc>
          <w:tcPr>
            <w:tcW w:w="778" w:type="pct"/>
            <w:vAlign w:val="center"/>
          </w:tcPr>
          <w:p w14:paraId="67852B1D">
            <w:pPr>
              <w:pStyle w:val="291"/>
              <w:rPr>
                <w:color w:val="auto"/>
              </w:rPr>
            </w:pPr>
            <w:r>
              <w:rPr>
                <w:rFonts w:hint="eastAsia"/>
                <w:color w:val="auto"/>
              </w:rPr>
              <w:t>80</w:t>
            </w:r>
          </w:p>
        </w:tc>
        <w:tc>
          <w:tcPr>
            <w:tcW w:w="840" w:type="pct"/>
            <w:vAlign w:val="center"/>
          </w:tcPr>
          <w:p w14:paraId="05B3FCC7">
            <w:pPr>
              <w:pStyle w:val="291"/>
              <w:rPr>
                <w:color w:val="auto"/>
                <w:kern w:val="2"/>
              </w:rPr>
            </w:pPr>
            <w:r>
              <w:rPr>
                <w:rFonts w:hint="eastAsia"/>
                <w:color w:val="auto"/>
                <w:kern w:val="2"/>
              </w:rPr>
              <w:t>是</w:t>
            </w:r>
          </w:p>
        </w:tc>
      </w:tr>
      <w:tr w14:paraId="21B10A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818" w:type="pct"/>
            <w:vAlign w:val="center"/>
          </w:tcPr>
          <w:p w14:paraId="42884243">
            <w:pPr>
              <w:pStyle w:val="291"/>
              <w:rPr>
                <w:color w:val="auto"/>
                <w:kern w:val="2"/>
              </w:rPr>
            </w:pPr>
            <w:r>
              <w:rPr>
                <w:rFonts w:hint="eastAsia"/>
                <w:color w:val="auto"/>
                <w:kern w:val="2"/>
              </w:rPr>
              <w:t>合计</w:t>
            </w:r>
          </w:p>
        </w:tc>
        <w:tc>
          <w:tcPr>
            <w:tcW w:w="960" w:type="pct"/>
            <w:vAlign w:val="center"/>
          </w:tcPr>
          <w:p w14:paraId="5792DC7C">
            <w:pPr>
              <w:pStyle w:val="291"/>
              <w:rPr>
                <w:color w:val="auto"/>
                <w:kern w:val="2"/>
              </w:rPr>
            </w:pPr>
            <w:r>
              <w:rPr>
                <w:rFonts w:hint="eastAsia"/>
                <w:color w:val="auto"/>
                <w:kern w:val="2"/>
              </w:rPr>
              <w:t>/</w:t>
            </w:r>
          </w:p>
        </w:tc>
        <w:tc>
          <w:tcPr>
            <w:tcW w:w="802" w:type="pct"/>
            <w:vAlign w:val="center"/>
          </w:tcPr>
          <w:p w14:paraId="76DEB274">
            <w:pPr>
              <w:pStyle w:val="291"/>
              <w:rPr>
                <w:color w:val="auto"/>
              </w:rPr>
            </w:pPr>
            <w:r>
              <w:rPr>
                <w:rFonts w:hint="eastAsia"/>
                <w:color w:val="auto"/>
              </w:rPr>
              <w:t>/</w:t>
            </w:r>
          </w:p>
        </w:tc>
        <w:tc>
          <w:tcPr>
            <w:tcW w:w="802" w:type="pct"/>
            <w:vAlign w:val="center"/>
          </w:tcPr>
          <w:p w14:paraId="567DB9FF">
            <w:pPr>
              <w:pStyle w:val="291"/>
              <w:rPr>
                <w:color w:val="auto"/>
              </w:rPr>
            </w:pPr>
            <w:r>
              <w:rPr>
                <w:rFonts w:hint="eastAsia"/>
                <w:color w:val="auto"/>
              </w:rPr>
              <w:t>4</w:t>
            </w:r>
          </w:p>
        </w:tc>
        <w:tc>
          <w:tcPr>
            <w:tcW w:w="778" w:type="pct"/>
            <w:vAlign w:val="center"/>
          </w:tcPr>
          <w:p w14:paraId="42AB7C67">
            <w:pPr>
              <w:pStyle w:val="291"/>
              <w:rPr>
                <w:color w:val="auto"/>
              </w:rPr>
            </w:pPr>
            <w:r>
              <w:rPr>
                <w:rFonts w:hint="eastAsia"/>
                <w:color w:val="auto"/>
              </w:rPr>
              <w:t>480</w:t>
            </w:r>
          </w:p>
        </w:tc>
        <w:tc>
          <w:tcPr>
            <w:tcW w:w="840" w:type="pct"/>
            <w:vAlign w:val="center"/>
          </w:tcPr>
          <w:p w14:paraId="7B53E7F2">
            <w:pPr>
              <w:pStyle w:val="291"/>
              <w:rPr>
                <w:color w:val="auto"/>
                <w:kern w:val="2"/>
              </w:rPr>
            </w:pPr>
            <w:r>
              <w:rPr>
                <w:rFonts w:hint="eastAsia"/>
                <w:color w:val="auto"/>
                <w:kern w:val="2"/>
              </w:rPr>
              <w:t>/</w:t>
            </w:r>
          </w:p>
        </w:tc>
      </w:tr>
    </w:tbl>
    <w:p w14:paraId="4C8C9B3A">
      <w:pPr>
        <w:rPr>
          <w:color w:val="auto"/>
        </w:rPr>
      </w:pPr>
    </w:p>
    <w:p w14:paraId="74EE3829">
      <w:pPr>
        <w:pStyle w:val="4"/>
        <w:ind w:firstLine="480"/>
        <w:rPr>
          <w:color w:val="auto"/>
        </w:rPr>
      </w:pPr>
      <w:r>
        <w:rPr>
          <w:rFonts w:hint="eastAsia"/>
          <w:color w:val="auto"/>
        </w:rPr>
        <w:t>类比高青公司现有井场加热炉运行300d，加热炉热效率85%、井口伴生气平均低位发热量为35146kJ/m</w:t>
      </w:r>
      <w:r>
        <w:rPr>
          <w:rFonts w:hint="eastAsia"/>
          <w:color w:val="auto"/>
          <w:vertAlign w:val="superscript"/>
        </w:rPr>
        <w:t>3</w:t>
      </w:r>
      <w:r>
        <w:rPr>
          <w:rFonts w:hint="eastAsia"/>
          <w:color w:val="auto"/>
        </w:rPr>
        <w:t>计算，本次新建的加热炉满负荷工况下伴生气年均消耗量约</w:t>
      </w:r>
      <w:r>
        <w:rPr>
          <w:rFonts w:hint="eastAsia" w:cs="宋体"/>
          <w:color w:val="auto"/>
          <w:kern w:val="0"/>
          <w:szCs w:val="22"/>
        </w:rPr>
        <w:t>41.</w:t>
      </w:r>
      <w:r>
        <w:rPr>
          <w:rFonts w:cs="宋体"/>
          <w:color w:val="auto"/>
          <w:kern w:val="0"/>
          <w:szCs w:val="22"/>
        </w:rPr>
        <w:t>64</w:t>
      </w:r>
      <w:r>
        <w:rPr>
          <w:rFonts w:hint="eastAsia"/>
          <w:color w:val="auto"/>
        </w:rPr>
        <w:t>×10</w:t>
      </w:r>
      <w:r>
        <w:rPr>
          <w:rFonts w:hint="eastAsia"/>
          <w:color w:val="auto"/>
          <w:vertAlign w:val="superscript"/>
        </w:rPr>
        <w:t>4</w:t>
      </w:r>
      <w:r>
        <w:rPr>
          <w:rFonts w:hint="eastAsia"/>
          <w:color w:val="auto"/>
        </w:rPr>
        <w:t>m</w:t>
      </w:r>
      <w:r>
        <w:rPr>
          <w:rFonts w:hint="eastAsia"/>
          <w:color w:val="auto"/>
          <w:vertAlign w:val="superscript"/>
        </w:rPr>
        <w:t>3</w:t>
      </w:r>
      <w:r>
        <w:rPr>
          <w:rFonts w:hint="eastAsia"/>
          <w:color w:val="auto"/>
        </w:rPr>
        <w:t>/a，依据《排放源统计调查产排污核算方法和系数手册》中“4430工业锅炉（热力供应）行业系数手册”，燃烧1×10</w:t>
      </w:r>
      <w:r>
        <w:rPr>
          <w:rFonts w:hint="eastAsia"/>
          <w:color w:val="auto"/>
          <w:vertAlign w:val="superscript"/>
        </w:rPr>
        <w:t>4</w:t>
      </w:r>
      <w:r>
        <w:rPr>
          <w:rFonts w:hint="eastAsia"/>
          <w:color w:val="auto"/>
        </w:rPr>
        <w:t>m</w:t>
      </w:r>
      <w:r>
        <w:rPr>
          <w:rFonts w:hint="eastAsia"/>
          <w:color w:val="auto"/>
          <w:vertAlign w:val="superscript"/>
        </w:rPr>
        <w:t>3</w:t>
      </w:r>
      <w:r>
        <w:rPr>
          <w:rFonts w:hint="eastAsia"/>
          <w:color w:val="auto"/>
        </w:rPr>
        <w:t>天然气约产生107753Nm</w:t>
      </w:r>
      <w:r>
        <w:rPr>
          <w:rFonts w:hint="eastAsia"/>
          <w:color w:val="auto"/>
          <w:vertAlign w:val="superscript"/>
        </w:rPr>
        <w:t>3</w:t>
      </w:r>
      <w:r>
        <w:rPr>
          <w:rFonts w:hint="eastAsia"/>
          <w:color w:val="auto"/>
        </w:rPr>
        <w:t>的烟气，则加热炉废气产生量为</w:t>
      </w:r>
      <w:r>
        <w:rPr>
          <w:rFonts w:hint="eastAsia" w:cs="宋体"/>
          <w:color w:val="auto"/>
          <w:kern w:val="0"/>
          <w:szCs w:val="22"/>
        </w:rPr>
        <w:t>448.67</w:t>
      </w:r>
      <w:r>
        <w:rPr>
          <w:rFonts w:hint="eastAsia"/>
          <w:color w:val="auto"/>
        </w:rPr>
        <w:t>×10</w:t>
      </w:r>
      <w:r>
        <w:rPr>
          <w:rFonts w:hint="eastAsia"/>
          <w:color w:val="auto"/>
          <w:vertAlign w:val="superscript"/>
        </w:rPr>
        <w:t>4</w:t>
      </w:r>
      <w:r>
        <w:rPr>
          <w:rFonts w:hint="eastAsia"/>
          <w:color w:val="auto"/>
        </w:rPr>
        <w:t>m</w:t>
      </w:r>
      <w:r>
        <w:rPr>
          <w:rFonts w:hint="eastAsia"/>
          <w:color w:val="auto"/>
          <w:vertAlign w:val="superscript"/>
        </w:rPr>
        <w:t>3</w:t>
      </w:r>
      <w:r>
        <w:rPr>
          <w:rFonts w:hint="eastAsia"/>
          <w:color w:val="auto"/>
        </w:rPr>
        <w:t>/a。</w:t>
      </w:r>
    </w:p>
    <w:p w14:paraId="42A319CE">
      <w:pPr>
        <w:pStyle w:val="4"/>
        <w:ind w:firstLine="480"/>
        <w:rPr>
          <w:color w:val="auto"/>
        </w:rPr>
      </w:pPr>
      <w:r>
        <w:rPr>
          <w:rFonts w:hint="eastAsia"/>
          <w:color w:val="auto"/>
        </w:rPr>
        <w:t>本次验收监测期间，各加热炉平稳运行，加热炉烟气中颗粒物、SO</w:t>
      </w:r>
      <w:r>
        <w:rPr>
          <w:rFonts w:hint="eastAsia"/>
          <w:color w:val="auto"/>
          <w:vertAlign w:val="subscript"/>
        </w:rPr>
        <w:t>2</w:t>
      </w:r>
      <w:r>
        <w:rPr>
          <w:rFonts w:hint="eastAsia"/>
          <w:color w:val="auto"/>
        </w:rPr>
        <w:t>、NO</w:t>
      </w:r>
      <w:r>
        <w:rPr>
          <w:rFonts w:hint="eastAsia"/>
          <w:color w:val="auto"/>
          <w:vertAlign w:val="subscript"/>
        </w:rPr>
        <w:t>x</w:t>
      </w:r>
      <w:r>
        <w:rPr>
          <w:rFonts w:hint="eastAsia"/>
          <w:color w:val="auto"/>
        </w:rPr>
        <w:t>浓度采用本次监测数据中最大值。</w:t>
      </w:r>
    </w:p>
    <w:p w14:paraId="67EDDA64">
      <w:pPr>
        <w:pStyle w:val="4"/>
        <w:ind w:firstLine="480"/>
        <w:rPr>
          <w:color w:val="auto"/>
        </w:rPr>
        <w:sectPr>
          <w:pgSz w:w="11906" w:h="16838"/>
          <w:pgMar w:top="1418" w:right="1588" w:bottom="1418" w:left="1588" w:header="1134" w:footer="851" w:gutter="0"/>
          <w:cols w:space="720" w:num="1"/>
          <w:docGrid w:linePitch="312" w:charSpace="0"/>
        </w:sectPr>
      </w:pPr>
      <w:r>
        <w:rPr>
          <w:rFonts w:hint="eastAsia"/>
          <w:color w:val="auto"/>
        </w:rPr>
        <w:t>本项目加热炉废气污染物排放情况见</w:t>
      </w:r>
      <w:r>
        <w:rPr>
          <w:rFonts w:hint="eastAsia"/>
          <w:color w:val="auto"/>
        </w:rPr>
        <w:fldChar w:fldCharType="begin"/>
      </w:r>
      <w:r>
        <w:instrText xml:space="preserve"> REF _Ref225582471 \h  \* MERGEFORMAT</w:instrText>
      </w:r>
      <w:r>
        <w:rPr>
          <w:rFonts w:hint="eastAsia"/>
          <w:color w:val="auto"/>
        </w:rPr>
        <w:fldChar w:fldCharType="separate"/>
      </w:r>
      <w:r>
        <w:rPr>
          <w:rFonts w:hint="eastAsia"/>
          <w:color w:val="auto"/>
        </w:rPr>
        <w:t xml:space="preserve">表 </w:t>
      </w:r>
      <w:r>
        <w:rPr>
          <w:color w:val="auto"/>
        </w:rPr>
        <w:t>3.4</w:t>
      </w:r>
      <w:r>
        <w:rPr>
          <w:color w:val="auto"/>
        </w:rPr>
        <w:noBreakHyphen/>
      </w:r>
      <w:r>
        <w:rPr>
          <w:color w:val="auto"/>
        </w:rPr>
        <w:t>6</w:t>
      </w:r>
      <w:r>
        <w:rPr>
          <w:rFonts w:hint="eastAsia"/>
          <w:color w:val="auto"/>
        </w:rPr>
        <w:fldChar w:fldCharType="end"/>
      </w:r>
      <w:r>
        <w:rPr>
          <w:rFonts w:hint="eastAsia"/>
          <w:color w:val="auto"/>
        </w:rPr>
        <w:t>。</w:t>
      </w:r>
    </w:p>
    <w:p w14:paraId="41429B25">
      <w:pPr>
        <w:pStyle w:val="15"/>
        <w:spacing w:before="120"/>
        <w:rPr>
          <w:color w:val="auto"/>
        </w:rPr>
      </w:pPr>
      <w:bookmarkStart w:id="282" w:name="_Ref225582471"/>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6</w:t>
      </w:r>
      <w:r>
        <w:rPr>
          <w:color w:val="auto"/>
        </w:rPr>
        <w:fldChar w:fldCharType="end"/>
      </w:r>
      <w:bookmarkEnd w:id="282"/>
      <w:r>
        <w:rPr>
          <w:rFonts w:hint="eastAsia"/>
          <w:color w:val="auto"/>
        </w:rPr>
        <w:t xml:space="preserve"> 本项目加热炉废气污染物排放情况一览表</w:t>
      </w:r>
    </w:p>
    <w:tbl>
      <w:tblPr>
        <w:tblStyle w:val="4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827"/>
        <w:gridCol w:w="1827"/>
        <w:gridCol w:w="937"/>
        <w:gridCol w:w="1231"/>
        <w:gridCol w:w="1231"/>
        <w:gridCol w:w="1013"/>
        <w:gridCol w:w="1086"/>
        <w:gridCol w:w="1013"/>
        <w:gridCol w:w="1086"/>
        <w:gridCol w:w="1013"/>
        <w:gridCol w:w="1086"/>
        <w:gridCol w:w="642"/>
      </w:tblGrid>
      <w:tr w14:paraId="65200D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53" w:type="pct"/>
            <w:vMerge w:val="restart"/>
            <w:noWrap/>
            <w:vAlign w:val="center"/>
          </w:tcPr>
          <w:p w14:paraId="40441B17">
            <w:pPr>
              <w:widowControl/>
              <w:jc w:val="center"/>
              <w:rPr>
                <w:rFonts w:ascii="宋体" w:hAnsi="宋体" w:cs="宋体"/>
                <w:color w:val="auto"/>
                <w:kern w:val="0"/>
              </w:rPr>
            </w:pPr>
            <w:r>
              <w:rPr>
                <w:rFonts w:hint="eastAsia" w:ascii="宋体" w:hAnsi="宋体" w:cs="宋体"/>
                <w:color w:val="auto"/>
                <w:kern w:val="0"/>
              </w:rPr>
              <w:t>加热炉名称</w:t>
            </w:r>
          </w:p>
        </w:tc>
        <w:tc>
          <w:tcPr>
            <w:tcW w:w="653" w:type="pct"/>
            <w:noWrap/>
            <w:vAlign w:val="center"/>
          </w:tcPr>
          <w:p w14:paraId="4D29F668">
            <w:pPr>
              <w:widowControl/>
              <w:jc w:val="center"/>
              <w:rPr>
                <w:rFonts w:ascii="宋体" w:hAnsi="宋体" w:cs="宋体"/>
                <w:color w:val="auto"/>
                <w:kern w:val="0"/>
              </w:rPr>
            </w:pPr>
            <w:r>
              <w:rPr>
                <w:rFonts w:hint="eastAsia" w:ascii="宋体" w:hAnsi="宋体" w:cs="宋体"/>
                <w:color w:val="auto"/>
                <w:kern w:val="0"/>
              </w:rPr>
              <w:t>加热炉功率</w:t>
            </w:r>
          </w:p>
        </w:tc>
        <w:tc>
          <w:tcPr>
            <w:tcW w:w="335" w:type="pct"/>
            <w:noWrap/>
            <w:vAlign w:val="center"/>
          </w:tcPr>
          <w:p w14:paraId="1F840457">
            <w:pPr>
              <w:widowControl/>
              <w:jc w:val="center"/>
              <w:rPr>
                <w:rFonts w:ascii="宋体" w:hAnsi="宋体" w:cs="宋体"/>
                <w:color w:val="auto"/>
                <w:kern w:val="0"/>
              </w:rPr>
            </w:pPr>
            <w:r>
              <w:rPr>
                <w:rFonts w:hint="eastAsia" w:ascii="宋体" w:hAnsi="宋体" w:cs="宋体"/>
                <w:color w:val="auto"/>
                <w:kern w:val="0"/>
              </w:rPr>
              <w:t>数量</w:t>
            </w:r>
          </w:p>
        </w:tc>
        <w:tc>
          <w:tcPr>
            <w:tcW w:w="440" w:type="pct"/>
            <w:noWrap/>
            <w:vAlign w:val="center"/>
          </w:tcPr>
          <w:p w14:paraId="786D9A7D">
            <w:pPr>
              <w:widowControl/>
              <w:jc w:val="center"/>
              <w:rPr>
                <w:rFonts w:ascii="宋体" w:hAnsi="宋体" w:cs="宋体"/>
                <w:color w:val="auto"/>
                <w:kern w:val="0"/>
              </w:rPr>
            </w:pPr>
            <w:r>
              <w:rPr>
                <w:rFonts w:hint="eastAsia" w:ascii="宋体" w:hAnsi="宋体" w:cs="宋体"/>
                <w:color w:val="auto"/>
                <w:kern w:val="0"/>
              </w:rPr>
              <w:t>燃气量</w:t>
            </w:r>
          </w:p>
        </w:tc>
        <w:tc>
          <w:tcPr>
            <w:tcW w:w="440" w:type="pct"/>
            <w:noWrap/>
            <w:vAlign w:val="center"/>
          </w:tcPr>
          <w:p w14:paraId="6861CBCC">
            <w:pPr>
              <w:widowControl/>
              <w:jc w:val="center"/>
              <w:rPr>
                <w:rFonts w:ascii="宋体" w:hAnsi="宋体" w:cs="宋体"/>
                <w:color w:val="auto"/>
                <w:kern w:val="0"/>
              </w:rPr>
            </w:pPr>
            <w:r>
              <w:rPr>
                <w:rFonts w:hint="eastAsia" w:ascii="宋体" w:hAnsi="宋体" w:cs="宋体"/>
                <w:color w:val="auto"/>
                <w:kern w:val="0"/>
              </w:rPr>
              <w:t>废气量</w:t>
            </w:r>
          </w:p>
        </w:tc>
        <w:tc>
          <w:tcPr>
            <w:tcW w:w="750" w:type="pct"/>
            <w:gridSpan w:val="2"/>
            <w:vAlign w:val="center"/>
          </w:tcPr>
          <w:p w14:paraId="2750F2E5">
            <w:pPr>
              <w:widowControl/>
              <w:jc w:val="center"/>
              <w:rPr>
                <w:rFonts w:ascii="宋体" w:hAnsi="宋体" w:cs="宋体"/>
                <w:color w:val="auto"/>
                <w:kern w:val="0"/>
              </w:rPr>
            </w:pPr>
            <w:r>
              <w:rPr>
                <w:rFonts w:hint="eastAsia" w:ascii="宋体" w:hAnsi="宋体" w:cs="宋体"/>
                <w:color w:val="auto"/>
                <w:kern w:val="0"/>
              </w:rPr>
              <w:t>SO</w:t>
            </w:r>
            <w:r>
              <w:rPr>
                <w:rFonts w:ascii="宋体" w:hAnsi="宋体" w:cs="宋体"/>
                <w:color w:val="auto"/>
                <w:kern w:val="0"/>
                <w:vertAlign w:val="subscript"/>
              </w:rPr>
              <w:t>2</w:t>
            </w:r>
            <w:r>
              <w:rPr>
                <w:rFonts w:ascii="宋体" w:hAnsi="宋体" w:cs="宋体"/>
                <w:color w:val="auto"/>
                <w:kern w:val="0"/>
              </w:rPr>
              <w:t>排放量</w:t>
            </w:r>
          </w:p>
        </w:tc>
        <w:tc>
          <w:tcPr>
            <w:tcW w:w="750" w:type="pct"/>
            <w:gridSpan w:val="2"/>
            <w:vAlign w:val="center"/>
          </w:tcPr>
          <w:p w14:paraId="6946DBA8">
            <w:pPr>
              <w:widowControl/>
              <w:jc w:val="center"/>
              <w:rPr>
                <w:rFonts w:ascii="宋体" w:hAnsi="宋体" w:cs="宋体"/>
                <w:color w:val="auto"/>
                <w:kern w:val="0"/>
              </w:rPr>
            </w:pPr>
            <w:r>
              <w:rPr>
                <w:rFonts w:hint="eastAsia" w:ascii="宋体" w:hAnsi="宋体" w:cs="宋体"/>
                <w:color w:val="auto"/>
                <w:kern w:val="0"/>
              </w:rPr>
              <w:t>颗粒物排放量</w:t>
            </w:r>
          </w:p>
        </w:tc>
        <w:tc>
          <w:tcPr>
            <w:tcW w:w="750" w:type="pct"/>
            <w:gridSpan w:val="2"/>
            <w:vAlign w:val="center"/>
          </w:tcPr>
          <w:p w14:paraId="6B6E5B9A">
            <w:pPr>
              <w:widowControl/>
              <w:jc w:val="center"/>
              <w:rPr>
                <w:rFonts w:ascii="宋体" w:hAnsi="宋体" w:cs="宋体"/>
                <w:color w:val="auto"/>
                <w:kern w:val="0"/>
              </w:rPr>
            </w:pPr>
            <w:r>
              <w:rPr>
                <w:rFonts w:hint="eastAsia" w:ascii="宋体" w:hAnsi="宋体" w:cs="宋体"/>
                <w:color w:val="auto"/>
                <w:kern w:val="0"/>
              </w:rPr>
              <w:t>NO</w:t>
            </w:r>
            <w:r>
              <w:rPr>
                <w:rFonts w:ascii="宋体" w:hAnsi="宋体" w:cs="宋体"/>
                <w:color w:val="auto"/>
                <w:kern w:val="0"/>
                <w:vertAlign w:val="subscript"/>
              </w:rPr>
              <w:t>X</w:t>
            </w:r>
            <w:r>
              <w:rPr>
                <w:rFonts w:ascii="宋体" w:hAnsi="宋体" w:cs="宋体"/>
                <w:color w:val="auto"/>
                <w:kern w:val="0"/>
              </w:rPr>
              <w:t>排放量</w:t>
            </w:r>
          </w:p>
        </w:tc>
        <w:tc>
          <w:tcPr>
            <w:tcW w:w="229" w:type="pct"/>
            <w:vMerge w:val="restart"/>
            <w:vAlign w:val="center"/>
          </w:tcPr>
          <w:p w14:paraId="59711367">
            <w:pPr>
              <w:widowControl/>
              <w:jc w:val="center"/>
              <w:rPr>
                <w:rFonts w:ascii="宋体" w:hAnsi="宋体" w:cs="宋体"/>
                <w:color w:val="auto"/>
                <w:kern w:val="0"/>
              </w:rPr>
            </w:pPr>
            <w:r>
              <w:rPr>
                <w:rFonts w:hint="eastAsia" w:ascii="宋体" w:hAnsi="宋体" w:cs="宋体"/>
                <w:color w:val="auto"/>
                <w:kern w:val="0"/>
              </w:rPr>
              <w:t>排气筒参数</w:t>
            </w:r>
          </w:p>
        </w:tc>
      </w:tr>
      <w:tr w14:paraId="431D32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53" w:type="pct"/>
            <w:vMerge w:val="continue"/>
            <w:vAlign w:val="center"/>
          </w:tcPr>
          <w:p w14:paraId="406A373F">
            <w:pPr>
              <w:widowControl/>
              <w:jc w:val="center"/>
              <w:rPr>
                <w:rFonts w:ascii="宋体" w:hAnsi="宋体" w:cs="宋体"/>
                <w:color w:val="auto"/>
                <w:kern w:val="0"/>
              </w:rPr>
            </w:pPr>
          </w:p>
        </w:tc>
        <w:tc>
          <w:tcPr>
            <w:tcW w:w="653" w:type="pct"/>
            <w:noWrap/>
            <w:vAlign w:val="center"/>
          </w:tcPr>
          <w:p w14:paraId="04EF19BD">
            <w:pPr>
              <w:widowControl/>
              <w:jc w:val="center"/>
              <w:rPr>
                <w:rFonts w:ascii="宋体" w:hAnsi="宋体" w:cs="宋体"/>
                <w:color w:val="auto"/>
                <w:kern w:val="0"/>
              </w:rPr>
            </w:pPr>
            <w:r>
              <w:rPr>
                <w:rFonts w:hint="eastAsia" w:ascii="宋体" w:hAnsi="宋体" w:cs="宋体"/>
                <w:color w:val="auto"/>
                <w:kern w:val="0"/>
              </w:rPr>
              <w:t>kW</w:t>
            </w:r>
          </w:p>
        </w:tc>
        <w:tc>
          <w:tcPr>
            <w:tcW w:w="335" w:type="pct"/>
            <w:noWrap/>
            <w:vAlign w:val="center"/>
          </w:tcPr>
          <w:p w14:paraId="63F7FA13">
            <w:pPr>
              <w:widowControl/>
              <w:jc w:val="center"/>
              <w:rPr>
                <w:rFonts w:ascii="宋体" w:hAnsi="宋体" w:cs="宋体"/>
                <w:color w:val="auto"/>
                <w:kern w:val="0"/>
              </w:rPr>
            </w:pPr>
            <w:r>
              <w:rPr>
                <w:rFonts w:hint="eastAsia" w:ascii="宋体" w:hAnsi="宋体" w:cs="宋体"/>
                <w:color w:val="auto"/>
                <w:kern w:val="0"/>
              </w:rPr>
              <w:t>台</w:t>
            </w:r>
          </w:p>
        </w:tc>
        <w:tc>
          <w:tcPr>
            <w:tcW w:w="440" w:type="pct"/>
            <w:noWrap/>
            <w:vAlign w:val="center"/>
          </w:tcPr>
          <w:p w14:paraId="08872C50">
            <w:pPr>
              <w:widowControl/>
              <w:jc w:val="center"/>
              <w:rPr>
                <w:rFonts w:ascii="宋体" w:hAnsi="宋体" w:cs="宋体"/>
                <w:color w:val="auto"/>
                <w:kern w:val="0"/>
              </w:rPr>
            </w:pPr>
            <w:r>
              <w:rPr>
                <w:rFonts w:hint="eastAsia" w:ascii="宋体" w:hAnsi="宋体" w:cs="宋体"/>
                <w:color w:val="auto"/>
                <w:kern w:val="0"/>
              </w:rPr>
              <w:t>10</w:t>
            </w:r>
            <w:r>
              <w:rPr>
                <w:rFonts w:ascii="宋体" w:hAnsi="宋体" w:cs="宋体"/>
                <w:color w:val="auto"/>
                <w:kern w:val="0"/>
                <w:vertAlign w:val="superscript"/>
              </w:rPr>
              <w:t>4</w:t>
            </w:r>
            <w:r>
              <w:rPr>
                <w:rFonts w:ascii="宋体" w:hAnsi="宋体" w:cs="宋体"/>
                <w:color w:val="auto"/>
                <w:kern w:val="0"/>
              </w:rPr>
              <w:t>m</w:t>
            </w:r>
            <w:r>
              <w:rPr>
                <w:rFonts w:ascii="宋体" w:hAnsi="宋体" w:cs="宋体"/>
                <w:color w:val="auto"/>
                <w:kern w:val="0"/>
                <w:vertAlign w:val="superscript"/>
              </w:rPr>
              <w:t>3</w:t>
            </w:r>
          </w:p>
        </w:tc>
        <w:tc>
          <w:tcPr>
            <w:tcW w:w="440" w:type="pct"/>
            <w:noWrap/>
            <w:vAlign w:val="center"/>
          </w:tcPr>
          <w:p w14:paraId="5A19755E">
            <w:pPr>
              <w:widowControl/>
              <w:jc w:val="center"/>
              <w:rPr>
                <w:rFonts w:ascii="宋体" w:hAnsi="宋体" w:cs="宋体"/>
                <w:color w:val="auto"/>
                <w:kern w:val="0"/>
              </w:rPr>
            </w:pPr>
            <w:r>
              <w:rPr>
                <w:rFonts w:hint="eastAsia" w:ascii="宋体" w:hAnsi="宋体" w:cs="宋体"/>
                <w:color w:val="auto"/>
                <w:kern w:val="0"/>
              </w:rPr>
              <w:t>10</w:t>
            </w:r>
            <w:r>
              <w:rPr>
                <w:rFonts w:ascii="宋体" w:hAnsi="宋体" w:cs="宋体"/>
                <w:color w:val="auto"/>
                <w:kern w:val="0"/>
                <w:vertAlign w:val="superscript"/>
              </w:rPr>
              <w:t>4</w:t>
            </w:r>
            <w:r>
              <w:rPr>
                <w:rFonts w:ascii="宋体" w:hAnsi="宋体" w:cs="宋体"/>
                <w:color w:val="auto"/>
                <w:kern w:val="0"/>
              </w:rPr>
              <w:t>m</w:t>
            </w:r>
            <w:r>
              <w:rPr>
                <w:rFonts w:ascii="宋体" w:hAnsi="宋体" w:cs="宋体"/>
                <w:color w:val="auto"/>
                <w:kern w:val="0"/>
                <w:vertAlign w:val="superscript"/>
              </w:rPr>
              <w:t>3</w:t>
            </w:r>
          </w:p>
        </w:tc>
        <w:tc>
          <w:tcPr>
            <w:tcW w:w="362" w:type="pct"/>
            <w:vAlign w:val="center"/>
          </w:tcPr>
          <w:p w14:paraId="46530148">
            <w:pPr>
              <w:widowControl/>
              <w:jc w:val="center"/>
              <w:rPr>
                <w:rFonts w:ascii="宋体" w:hAnsi="宋体" w:cs="宋体"/>
                <w:color w:val="auto"/>
                <w:kern w:val="0"/>
              </w:rPr>
            </w:pPr>
            <w:r>
              <w:rPr>
                <w:rFonts w:hint="eastAsia" w:ascii="宋体" w:hAnsi="宋体" w:cs="宋体"/>
                <w:color w:val="auto"/>
                <w:kern w:val="0"/>
              </w:rPr>
              <w:t>mg/m</w:t>
            </w:r>
            <w:r>
              <w:rPr>
                <w:rFonts w:ascii="宋体" w:hAnsi="宋体" w:cs="宋体"/>
                <w:color w:val="auto"/>
                <w:kern w:val="0"/>
                <w:vertAlign w:val="superscript"/>
              </w:rPr>
              <w:t>3</w:t>
            </w:r>
          </w:p>
        </w:tc>
        <w:tc>
          <w:tcPr>
            <w:tcW w:w="388" w:type="pct"/>
            <w:vAlign w:val="center"/>
          </w:tcPr>
          <w:p w14:paraId="4D7B90AC">
            <w:pPr>
              <w:widowControl/>
              <w:jc w:val="center"/>
              <w:rPr>
                <w:rFonts w:ascii="宋体" w:hAnsi="宋体" w:cs="宋体"/>
                <w:color w:val="auto"/>
                <w:kern w:val="0"/>
              </w:rPr>
            </w:pPr>
            <w:r>
              <w:rPr>
                <w:rFonts w:hint="eastAsia" w:ascii="宋体" w:hAnsi="宋体" w:cs="宋体"/>
                <w:color w:val="auto"/>
                <w:kern w:val="0"/>
              </w:rPr>
              <w:t>t/a</w:t>
            </w:r>
          </w:p>
        </w:tc>
        <w:tc>
          <w:tcPr>
            <w:tcW w:w="362" w:type="pct"/>
            <w:vAlign w:val="center"/>
          </w:tcPr>
          <w:p w14:paraId="39747D17">
            <w:pPr>
              <w:widowControl/>
              <w:jc w:val="center"/>
              <w:rPr>
                <w:rFonts w:ascii="宋体" w:hAnsi="宋体" w:cs="宋体"/>
                <w:color w:val="auto"/>
                <w:kern w:val="0"/>
              </w:rPr>
            </w:pPr>
            <w:r>
              <w:rPr>
                <w:rFonts w:hint="eastAsia" w:ascii="宋体" w:hAnsi="宋体" w:cs="宋体"/>
                <w:color w:val="auto"/>
                <w:kern w:val="0"/>
              </w:rPr>
              <w:t>mg/m</w:t>
            </w:r>
            <w:r>
              <w:rPr>
                <w:rFonts w:ascii="宋体" w:hAnsi="宋体" w:cs="宋体"/>
                <w:color w:val="auto"/>
                <w:kern w:val="0"/>
                <w:vertAlign w:val="superscript"/>
              </w:rPr>
              <w:t>3</w:t>
            </w:r>
          </w:p>
        </w:tc>
        <w:tc>
          <w:tcPr>
            <w:tcW w:w="388" w:type="pct"/>
            <w:vAlign w:val="center"/>
          </w:tcPr>
          <w:p w14:paraId="4B6F4AD9">
            <w:pPr>
              <w:widowControl/>
              <w:jc w:val="center"/>
              <w:rPr>
                <w:rFonts w:ascii="宋体" w:hAnsi="宋体" w:cs="宋体"/>
                <w:color w:val="auto"/>
                <w:kern w:val="0"/>
              </w:rPr>
            </w:pPr>
            <w:r>
              <w:rPr>
                <w:rFonts w:hint="eastAsia" w:ascii="宋体" w:hAnsi="宋体" w:cs="宋体"/>
                <w:color w:val="auto"/>
                <w:kern w:val="0"/>
              </w:rPr>
              <w:t>t/a</w:t>
            </w:r>
          </w:p>
        </w:tc>
        <w:tc>
          <w:tcPr>
            <w:tcW w:w="362" w:type="pct"/>
            <w:vAlign w:val="center"/>
          </w:tcPr>
          <w:p w14:paraId="2CB28BB1">
            <w:pPr>
              <w:widowControl/>
              <w:jc w:val="center"/>
              <w:rPr>
                <w:rFonts w:ascii="宋体" w:hAnsi="宋体" w:cs="宋体"/>
                <w:color w:val="auto"/>
                <w:kern w:val="0"/>
              </w:rPr>
            </w:pPr>
            <w:r>
              <w:rPr>
                <w:rFonts w:hint="eastAsia" w:ascii="宋体" w:hAnsi="宋体" w:cs="宋体"/>
                <w:color w:val="auto"/>
                <w:kern w:val="0"/>
              </w:rPr>
              <w:t>mg/m</w:t>
            </w:r>
            <w:r>
              <w:rPr>
                <w:rFonts w:ascii="宋体" w:hAnsi="宋体" w:cs="宋体"/>
                <w:color w:val="auto"/>
                <w:kern w:val="0"/>
                <w:vertAlign w:val="superscript"/>
              </w:rPr>
              <w:t>3</w:t>
            </w:r>
          </w:p>
        </w:tc>
        <w:tc>
          <w:tcPr>
            <w:tcW w:w="388" w:type="pct"/>
            <w:vAlign w:val="center"/>
          </w:tcPr>
          <w:p w14:paraId="15CB6F69">
            <w:pPr>
              <w:widowControl/>
              <w:jc w:val="center"/>
              <w:rPr>
                <w:rFonts w:ascii="宋体" w:hAnsi="宋体" w:cs="宋体"/>
                <w:color w:val="auto"/>
                <w:kern w:val="0"/>
              </w:rPr>
            </w:pPr>
            <w:r>
              <w:rPr>
                <w:rFonts w:hint="eastAsia" w:ascii="宋体" w:hAnsi="宋体" w:cs="宋体"/>
                <w:color w:val="auto"/>
                <w:kern w:val="0"/>
              </w:rPr>
              <w:t>t/a</w:t>
            </w:r>
          </w:p>
        </w:tc>
        <w:tc>
          <w:tcPr>
            <w:tcW w:w="229" w:type="pct"/>
            <w:vMerge w:val="continue"/>
            <w:vAlign w:val="center"/>
          </w:tcPr>
          <w:p w14:paraId="2216FA67">
            <w:pPr>
              <w:widowControl/>
              <w:jc w:val="center"/>
              <w:rPr>
                <w:rFonts w:ascii="宋体" w:hAnsi="宋体" w:cs="宋体"/>
                <w:color w:val="auto"/>
                <w:kern w:val="0"/>
              </w:rPr>
            </w:pPr>
          </w:p>
        </w:tc>
      </w:tr>
      <w:tr w14:paraId="4CD926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53" w:type="pct"/>
            <w:vAlign w:val="center"/>
          </w:tcPr>
          <w:p w14:paraId="3206BEE1">
            <w:pPr>
              <w:widowControl/>
              <w:jc w:val="center"/>
              <w:rPr>
                <w:rFonts w:ascii="宋体" w:hAnsi="宋体" w:cs="宋体"/>
                <w:color w:val="auto"/>
                <w:kern w:val="0"/>
              </w:rPr>
            </w:pPr>
            <w:r>
              <w:rPr>
                <w:rFonts w:hint="eastAsia" w:ascii="宋体" w:hAnsi="宋体" w:cs="宋体"/>
                <w:color w:val="auto"/>
                <w:kern w:val="0"/>
              </w:rPr>
              <w:t>6#井场加热炉</w:t>
            </w:r>
          </w:p>
        </w:tc>
        <w:tc>
          <w:tcPr>
            <w:tcW w:w="653" w:type="pct"/>
            <w:vAlign w:val="center"/>
          </w:tcPr>
          <w:p w14:paraId="7C138D13">
            <w:pPr>
              <w:widowControl/>
              <w:jc w:val="center"/>
              <w:rPr>
                <w:rFonts w:ascii="宋体" w:hAnsi="宋体" w:cs="宋体"/>
                <w:color w:val="auto"/>
                <w:kern w:val="0"/>
              </w:rPr>
            </w:pPr>
            <w:r>
              <w:rPr>
                <w:rFonts w:hint="eastAsia" w:ascii="宋体" w:hAnsi="宋体" w:cs="宋体"/>
                <w:color w:val="auto"/>
                <w:kern w:val="0"/>
              </w:rPr>
              <w:t>150kW</w:t>
            </w:r>
          </w:p>
        </w:tc>
        <w:tc>
          <w:tcPr>
            <w:tcW w:w="335" w:type="pct"/>
            <w:noWrap/>
            <w:vAlign w:val="center"/>
          </w:tcPr>
          <w:p w14:paraId="41CAAE88">
            <w:pPr>
              <w:widowControl/>
              <w:jc w:val="center"/>
              <w:rPr>
                <w:rFonts w:ascii="宋体" w:hAnsi="宋体" w:cs="宋体"/>
                <w:color w:val="auto"/>
                <w:kern w:val="0"/>
              </w:rPr>
            </w:pPr>
            <w:r>
              <w:rPr>
                <w:rFonts w:hint="eastAsia" w:ascii="宋体" w:hAnsi="宋体" w:cs="宋体"/>
                <w:color w:val="auto"/>
                <w:kern w:val="0"/>
              </w:rPr>
              <w:t>1</w:t>
            </w:r>
          </w:p>
        </w:tc>
        <w:tc>
          <w:tcPr>
            <w:tcW w:w="440" w:type="pct"/>
            <w:noWrap/>
            <w:vAlign w:val="center"/>
          </w:tcPr>
          <w:p w14:paraId="5E8FDFF0">
            <w:pPr>
              <w:widowControl/>
              <w:jc w:val="center"/>
              <w:rPr>
                <w:rFonts w:ascii="宋体" w:hAnsi="宋体" w:cs="宋体"/>
                <w:color w:val="auto"/>
                <w:kern w:val="0"/>
              </w:rPr>
            </w:pPr>
            <w:r>
              <w:rPr>
                <w:rFonts w:hint="eastAsia" w:ascii="宋体" w:hAnsi="宋体" w:cs="宋体"/>
                <w:color w:val="auto"/>
                <w:kern w:val="0"/>
              </w:rPr>
              <w:t xml:space="preserve">13.01 </w:t>
            </w:r>
          </w:p>
        </w:tc>
        <w:tc>
          <w:tcPr>
            <w:tcW w:w="440" w:type="pct"/>
            <w:noWrap/>
            <w:vAlign w:val="center"/>
          </w:tcPr>
          <w:p w14:paraId="2A74D4BE">
            <w:pPr>
              <w:widowControl/>
              <w:jc w:val="center"/>
              <w:rPr>
                <w:rFonts w:ascii="宋体" w:hAnsi="宋体" w:cs="宋体"/>
                <w:color w:val="auto"/>
                <w:kern w:val="0"/>
              </w:rPr>
            </w:pPr>
            <w:r>
              <w:rPr>
                <w:rFonts w:hint="eastAsia" w:ascii="宋体" w:hAnsi="宋体" w:cs="宋体"/>
                <w:color w:val="auto"/>
                <w:kern w:val="0"/>
              </w:rPr>
              <w:t xml:space="preserve">140.24 </w:t>
            </w:r>
          </w:p>
        </w:tc>
        <w:tc>
          <w:tcPr>
            <w:tcW w:w="362" w:type="pct"/>
            <w:vAlign w:val="center"/>
          </w:tcPr>
          <w:p w14:paraId="4AE20881">
            <w:pPr>
              <w:widowControl/>
              <w:jc w:val="center"/>
              <w:rPr>
                <w:rFonts w:ascii="宋体" w:hAnsi="宋体" w:cs="宋体"/>
                <w:color w:val="auto"/>
                <w:kern w:val="0"/>
              </w:rPr>
            </w:pPr>
            <w:r>
              <w:rPr>
                <w:rFonts w:hint="eastAsia" w:ascii="宋体" w:hAnsi="宋体" w:cs="宋体"/>
                <w:color w:val="auto"/>
                <w:kern w:val="0"/>
              </w:rPr>
              <w:t>1.5</w:t>
            </w:r>
          </w:p>
        </w:tc>
        <w:tc>
          <w:tcPr>
            <w:tcW w:w="388" w:type="pct"/>
            <w:vAlign w:val="center"/>
          </w:tcPr>
          <w:p w14:paraId="27BCF09E">
            <w:pPr>
              <w:widowControl/>
              <w:jc w:val="center"/>
              <w:rPr>
                <w:rFonts w:ascii="宋体" w:hAnsi="宋体" w:cs="宋体"/>
                <w:color w:val="auto"/>
                <w:kern w:val="0"/>
              </w:rPr>
            </w:pPr>
            <w:r>
              <w:rPr>
                <w:rFonts w:hint="eastAsia" w:ascii="宋体" w:hAnsi="宋体" w:cs="宋体"/>
                <w:color w:val="auto"/>
                <w:kern w:val="0"/>
              </w:rPr>
              <w:t xml:space="preserve">0.002 </w:t>
            </w:r>
          </w:p>
        </w:tc>
        <w:tc>
          <w:tcPr>
            <w:tcW w:w="362" w:type="pct"/>
            <w:vAlign w:val="center"/>
          </w:tcPr>
          <w:p w14:paraId="395AB664">
            <w:pPr>
              <w:widowControl/>
              <w:jc w:val="center"/>
              <w:rPr>
                <w:rFonts w:ascii="宋体" w:hAnsi="宋体" w:cs="宋体"/>
                <w:color w:val="auto"/>
                <w:kern w:val="0"/>
              </w:rPr>
            </w:pPr>
            <w:r>
              <w:rPr>
                <w:rFonts w:hint="eastAsia" w:ascii="宋体" w:hAnsi="宋体" w:cs="宋体"/>
                <w:color w:val="auto"/>
                <w:kern w:val="0"/>
              </w:rPr>
              <w:t>2.2</w:t>
            </w:r>
          </w:p>
        </w:tc>
        <w:tc>
          <w:tcPr>
            <w:tcW w:w="388" w:type="pct"/>
            <w:vAlign w:val="center"/>
          </w:tcPr>
          <w:p w14:paraId="053EE144">
            <w:pPr>
              <w:widowControl/>
              <w:jc w:val="center"/>
              <w:rPr>
                <w:rFonts w:ascii="宋体" w:hAnsi="宋体" w:cs="宋体"/>
                <w:color w:val="auto"/>
                <w:kern w:val="0"/>
              </w:rPr>
            </w:pPr>
            <w:r>
              <w:rPr>
                <w:rFonts w:hint="eastAsia" w:ascii="宋体" w:hAnsi="宋体" w:cs="宋体"/>
                <w:color w:val="auto"/>
                <w:kern w:val="0"/>
              </w:rPr>
              <w:t xml:space="preserve">0.003 </w:t>
            </w:r>
          </w:p>
        </w:tc>
        <w:tc>
          <w:tcPr>
            <w:tcW w:w="362" w:type="pct"/>
            <w:vAlign w:val="center"/>
          </w:tcPr>
          <w:p w14:paraId="70DD5B33">
            <w:pPr>
              <w:widowControl/>
              <w:jc w:val="center"/>
              <w:rPr>
                <w:rFonts w:ascii="宋体" w:hAnsi="宋体" w:cs="宋体"/>
                <w:color w:val="auto"/>
                <w:kern w:val="0"/>
              </w:rPr>
            </w:pPr>
            <w:r>
              <w:rPr>
                <w:rFonts w:hint="eastAsia" w:ascii="宋体" w:hAnsi="宋体" w:cs="宋体"/>
                <w:color w:val="auto"/>
                <w:kern w:val="0"/>
              </w:rPr>
              <w:t>35</w:t>
            </w:r>
          </w:p>
        </w:tc>
        <w:tc>
          <w:tcPr>
            <w:tcW w:w="388" w:type="pct"/>
            <w:vAlign w:val="center"/>
          </w:tcPr>
          <w:p w14:paraId="33F86889">
            <w:pPr>
              <w:widowControl/>
              <w:jc w:val="center"/>
              <w:rPr>
                <w:rFonts w:ascii="宋体" w:hAnsi="宋体" w:cs="宋体"/>
                <w:color w:val="auto"/>
                <w:kern w:val="0"/>
              </w:rPr>
            </w:pPr>
            <w:r>
              <w:rPr>
                <w:rFonts w:hint="eastAsia" w:ascii="宋体" w:hAnsi="宋体" w:cs="宋体"/>
                <w:color w:val="auto"/>
                <w:kern w:val="0"/>
              </w:rPr>
              <w:t xml:space="preserve">0.049 </w:t>
            </w:r>
          </w:p>
        </w:tc>
        <w:tc>
          <w:tcPr>
            <w:tcW w:w="229" w:type="pct"/>
            <w:vAlign w:val="center"/>
          </w:tcPr>
          <w:p w14:paraId="40131B68">
            <w:pPr>
              <w:widowControl/>
              <w:jc w:val="center"/>
              <w:rPr>
                <w:rFonts w:ascii="宋体" w:hAnsi="宋体" w:cs="宋体"/>
                <w:color w:val="auto"/>
                <w:kern w:val="0"/>
              </w:rPr>
            </w:pPr>
            <w:r>
              <w:rPr>
                <w:rFonts w:hint="eastAsia" w:ascii="宋体" w:hAnsi="宋体" w:cs="宋体"/>
                <w:color w:val="auto"/>
                <w:kern w:val="0"/>
              </w:rPr>
              <w:t>高8m</w:t>
            </w:r>
          </w:p>
        </w:tc>
      </w:tr>
      <w:tr w14:paraId="0E4B5B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53" w:type="pct"/>
            <w:vAlign w:val="center"/>
          </w:tcPr>
          <w:p w14:paraId="6E7D1E34">
            <w:pPr>
              <w:widowControl/>
              <w:jc w:val="center"/>
              <w:rPr>
                <w:rFonts w:ascii="宋体" w:hAnsi="宋体" w:cs="宋体"/>
                <w:color w:val="auto"/>
                <w:kern w:val="0"/>
              </w:rPr>
            </w:pPr>
            <w:r>
              <w:rPr>
                <w:rFonts w:hint="eastAsia" w:ascii="宋体" w:hAnsi="宋体" w:cs="宋体"/>
                <w:color w:val="auto"/>
                <w:kern w:val="0"/>
              </w:rPr>
              <w:t>8#井场加热炉</w:t>
            </w:r>
          </w:p>
        </w:tc>
        <w:tc>
          <w:tcPr>
            <w:tcW w:w="653" w:type="pct"/>
            <w:vAlign w:val="center"/>
          </w:tcPr>
          <w:p w14:paraId="00B4BA6E">
            <w:pPr>
              <w:widowControl/>
              <w:jc w:val="center"/>
              <w:rPr>
                <w:rFonts w:ascii="宋体" w:hAnsi="宋体" w:cs="宋体"/>
                <w:color w:val="auto"/>
                <w:kern w:val="0"/>
              </w:rPr>
            </w:pPr>
            <w:r>
              <w:rPr>
                <w:rFonts w:hint="eastAsia" w:ascii="宋体" w:hAnsi="宋体" w:cs="宋体"/>
                <w:color w:val="auto"/>
                <w:kern w:val="0"/>
              </w:rPr>
              <w:t>100kW</w:t>
            </w:r>
          </w:p>
        </w:tc>
        <w:tc>
          <w:tcPr>
            <w:tcW w:w="335" w:type="pct"/>
            <w:noWrap/>
            <w:vAlign w:val="center"/>
          </w:tcPr>
          <w:p w14:paraId="186F5B80">
            <w:pPr>
              <w:widowControl/>
              <w:jc w:val="center"/>
              <w:rPr>
                <w:rFonts w:ascii="宋体" w:hAnsi="宋体" w:cs="宋体"/>
                <w:color w:val="auto"/>
                <w:kern w:val="0"/>
                <w:szCs w:val="22"/>
              </w:rPr>
            </w:pPr>
            <w:r>
              <w:rPr>
                <w:rFonts w:hint="eastAsia" w:ascii="宋体" w:hAnsi="宋体" w:cs="宋体"/>
                <w:color w:val="auto"/>
                <w:kern w:val="0"/>
                <w:szCs w:val="22"/>
              </w:rPr>
              <w:t>1</w:t>
            </w:r>
          </w:p>
        </w:tc>
        <w:tc>
          <w:tcPr>
            <w:tcW w:w="440" w:type="pct"/>
            <w:noWrap/>
            <w:vAlign w:val="center"/>
          </w:tcPr>
          <w:p w14:paraId="3057964C">
            <w:pPr>
              <w:widowControl/>
              <w:jc w:val="center"/>
              <w:rPr>
                <w:rFonts w:ascii="宋体" w:hAnsi="宋体" w:cs="宋体"/>
                <w:color w:val="auto"/>
                <w:kern w:val="0"/>
                <w:szCs w:val="22"/>
              </w:rPr>
            </w:pPr>
            <w:r>
              <w:rPr>
                <w:rFonts w:hint="eastAsia" w:ascii="宋体" w:hAnsi="宋体" w:cs="宋体"/>
                <w:color w:val="auto"/>
                <w:kern w:val="0"/>
                <w:szCs w:val="22"/>
              </w:rPr>
              <w:t xml:space="preserve">8.68 </w:t>
            </w:r>
          </w:p>
        </w:tc>
        <w:tc>
          <w:tcPr>
            <w:tcW w:w="440" w:type="pct"/>
            <w:noWrap/>
            <w:vAlign w:val="center"/>
          </w:tcPr>
          <w:p w14:paraId="21322678">
            <w:pPr>
              <w:widowControl/>
              <w:jc w:val="center"/>
              <w:rPr>
                <w:rFonts w:ascii="宋体" w:hAnsi="宋体" w:cs="宋体"/>
                <w:color w:val="auto"/>
                <w:kern w:val="0"/>
                <w:szCs w:val="22"/>
              </w:rPr>
            </w:pPr>
            <w:r>
              <w:rPr>
                <w:rFonts w:hint="eastAsia" w:ascii="宋体" w:hAnsi="宋体" w:cs="宋体"/>
                <w:color w:val="auto"/>
                <w:kern w:val="0"/>
                <w:szCs w:val="22"/>
              </w:rPr>
              <w:t xml:space="preserve">93.44 </w:t>
            </w:r>
          </w:p>
        </w:tc>
        <w:tc>
          <w:tcPr>
            <w:tcW w:w="362" w:type="pct"/>
            <w:noWrap/>
            <w:vAlign w:val="center"/>
          </w:tcPr>
          <w:p w14:paraId="0CF35BF8">
            <w:pPr>
              <w:widowControl/>
              <w:jc w:val="center"/>
              <w:rPr>
                <w:rFonts w:ascii="宋体" w:hAnsi="宋体" w:cs="宋体"/>
                <w:color w:val="auto"/>
                <w:kern w:val="0"/>
                <w:szCs w:val="22"/>
              </w:rPr>
            </w:pPr>
            <w:r>
              <w:rPr>
                <w:rFonts w:hint="eastAsia" w:ascii="宋体" w:hAnsi="宋体" w:cs="宋体"/>
                <w:color w:val="auto"/>
                <w:kern w:val="0"/>
                <w:szCs w:val="22"/>
              </w:rPr>
              <w:t>1.5</w:t>
            </w:r>
          </w:p>
        </w:tc>
        <w:tc>
          <w:tcPr>
            <w:tcW w:w="388" w:type="pct"/>
            <w:vAlign w:val="center"/>
          </w:tcPr>
          <w:p w14:paraId="4D36C3AF">
            <w:pPr>
              <w:widowControl/>
              <w:jc w:val="center"/>
              <w:rPr>
                <w:rFonts w:ascii="宋体" w:hAnsi="宋体" w:cs="宋体"/>
                <w:color w:val="auto"/>
                <w:kern w:val="0"/>
              </w:rPr>
            </w:pPr>
            <w:r>
              <w:rPr>
                <w:rFonts w:hint="eastAsia" w:ascii="宋体" w:hAnsi="宋体" w:cs="宋体"/>
                <w:color w:val="auto"/>
                <w:kern w:val="0"/>
              </w:rPr>
              <w:t xml:space="preserve">0.001 </w:t>
            </w:r>
          </w:p>
        </w:tc>
        <w:tc>
          <w:tcPr>
            <w:tcW w:w="362" w:type="pct"/>
            <w:noWrap/>
            <w:vAlign w:val="center"/>
          </w:tcPr>
          <w:p w14:paraId="2B751D76">
            <w:pPr>
              <w:widowControl/>
              <w:jc w:val="center"/>
              <w:rPr>
                <w:rFonts w:ascii="宋体" w:hAnsi="宋体" w:cs="宋体"/>
                <w:color w:val="auto"/>
                <w:kern w:val="0"/>
                <w:szCs w:val="22"/>
              </w:rPr>
            </w:pPr>
            <w:r>
              <w:rPr>
                <w:rFonts w:hint="eastAsia" w:ascii="宋体" w:hAnsi="宋体" w:cs="宋体"/>
                <w:color w:val="auto"/>
                <w:kern w:val="0"/>
                <w:szCs w:val="22"/>
              </w:rPr>
              <w:t>4.7</w:t>
            </w:r>
          </w:p>
        </w:tc>
        <w:tc>
          <w:tcPr>
            <w:tcW w:w="388" w:type="pct"/>
            <w:vAlign w:val="center"/>
          </w:tcPr>
          <w:p w14:paraId="18D93D63">
            <w:pPr>
              <w:widowControl/>
              <w:jc w:val="center"/>
              <w:rPr>
                <w:rFonts w:ascii="宋体" w:hAnsi="宋体" w:cs="宋体"/>
                <w:color w:val="auto"/>
                <w:kern w:val="0"/>
              </w:rPr>
            </w:pPr>
            <w:r>
              <w:rPr>
                <w:rFonts w:hint="eastAsia" w:ascii="宋体" w:hAnsi="宋体" w:cs="宋体"/>
                <w:color w:val="auto"/>
                <w:kern w:val="0"/>
              </w:rPr>
              <w:t xml:space="preserve">0.004 </w:t>
            </w:r>
          </w:p>
        </w:tc>
        <w:tc>
          <w:tcPr>
            <w:tcW w:w="362" w:type="pct"/>
            <w:noWrap/>
            <w:vAlign w:val="center"/>
          </w:tcPr>
          <w:p w14:paraId="46173506">
            <w:pPr>
              <w:widowControl/>
              <w:jc w:val="center"/>
              <w:rPr>
                <w:rFonts w:ascii="宋体" w:hAnsi="宋体" w:cs="宋体"/>
                <w:color w:val="auto"/>
                <w:kern w:val="0"/>
                <w:szCs w:val="22"/>
              </w:rPr>
            </w:pPr>
            <w:r>
              <w:rPr>
                <w:rFonts w:hint="eastAsia" w:ascii="宋体" w:hAnsi="宋体" w:cs="宋体"/>
                <w:color w:val="auto"/>
                <w:kern w:val="0"/>
                <w:szCs w:val="22"/>
              </w:rPr>
              <w:t>39</w:t>
            </w:r>
          </w:p>
        </w:tc>
        <w:tc>
          <w:tcPr>
            <w:tcW w:w="388" w:type="pct"/>
            <w:vAlign w:val="center"/>
          </w:tcPr>
          <w:p w14:paraId="01AFC8B0">
            <w:pPr>
              <w:widowControl/>
              <w:jc w:val="center"/>
              <w:rPr>
                <w:rFonts w:ascii="宋体" w:hAnsi="宋体" w:cs="宋体"/>
                <w:color w:val="auto"/>
                <w:kern w:val="0"/>
              </w:rPr>
            </w:pPr>
            <w:r>
              <w:rPr>
                <w:rFonts w:hint="eastAsia" w:ascii="宋体" w:hAnsi="宋体" w:cs="宋体"/>
                <w:color w:val="auto"/>
                <w:kern w:val="0"/>
              </w:rPr>
              <w:t xml:space="preserve">0.036 </w:t>
            </w:r>
          </w:p>
        </w:tc>
        <w:tc>
          <w:tcPr>
            <w:tcW w:w="229" w:type="pct"/>
            <w:vAlign w:val="center"/>
          </w:tcPr>
          <w:p w14:paraId="261E78B8">
            <w:pPr>
              <w:widowControl/>
              <w:jc w:val="center"/>
              <w:rPr>
                <w:rFonts w:ascii="宋体" w:hAnsi="宋体" w:cs="宋体"/>
                <w:color w:val="auto"/>
                <w:kern w:val="0"/>
              </w:rPr>
            </w:pPr>
            <w:r>
              <w:rPr>
                <w:rFonts w:hint="eastAsia" w:ascii="宋体" w:hAnsi="宋体" w:cs="宋体"/>
                <w:color w:val="auto"/>
                <w:kern w:val="0"/>
              </w:rPr>
              <w:t>高8m</w:t>
            </w:r>
          </w:p>
        </w:tc>
      </w:tr>
      <w:tr w14:paraId="11D400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53" w:type="pct"/>
            <w:vAlign w:val="center"/>
          </w:tcPr>
          <w:p w14:paraId="374196B3">
            <w:pPr>
              <w:widowControl/>
              <w:jc w:val="center"/>
              <w:rPr>
                <w:rFonts w:ascii="宋体" w:hAnsi="宋体" w:cs="宋体"/>
                <w:color w:val="auto"/>
                <w:kern w:val="0"/>
              </w:rPr>
            </w:pPr>
            <w:r>
              <w:rPr>
                <w:rFonts w:hint="eastAsia" w:ascii="宋体" w:hAnsi="宋体" w:cs="宋体"/>
                <w:color w:val="auto"/>
                <w:kern w:val="0"/>
              </w:rPr>
              <w:t>9#井场加热炉</w:t>
            </w:r>
          </w:p>
        </w:tc>
        <w:tc>
          <w:tcPr>
            <w:tcW w:w="653" w:type="pct"/>
            <w:vAlign w:val="center"/>
          </w:tcPr>
          <w:p w14:paraId="073944B4">
            <w:pPr>
              <w:widowControl/>
              <w:jc w:val="center"/>
              <w:rPr>
                <w:rFonts w:ascii="宋体" w:hAnsi="宋体" w:cs="宋体"/>
                <w:color w:val="auto"/>
                <w:kern w:val="0"/>
              </w:rPr>
            </w:pPr>
            <w:r>
              <w:rPr>
                <w:rFonts w:hint="eastAsia" w:ascii="宋体" w:hAnsi="宋体" w:cs="宋体"/>
                <w:color w:val="auto"/>
                <w:kern w:val="0"/>
              </w:rPr>
              <w:t>150kW</w:t>
            </w:r>
          </w:p>
        </w:tc>
        <w:tc>
          <w:tcPr>
            <w:tcW w:w="335" w:type="pct"/>
            <w:noWrap/>
            <w:vAlign w:val="center"/>
          </w:tcPr>
          <w:p w14:paraId="7F7A0FFA">
            <w:pPr>
              <w:widowControl/>
              <w:jc w:val="center"/>
              <w:rPr>
                <w:rFonts w:ascii="宋体" w:hAnsi="宋体" w:cs="宋体"/>
                <w:color w:val="auto"/>
                <w:kern w:val="0"/>
              </w:rPr>
            </w:pPr>
            <w:r>
              <w:rPr>
                <w:rFonts w:hint="eastAsia" w:ascii="宋体" w:hAnsi="宋体" w:cs="宋体"/>
                <w:color w:val="auto"/>
                <w:kern w:val="0"/>
              </w:rPr>
              <w:t>1</w:t>
            </w:r>
          </w:p>
        </w:tc>
        <w:tc>
          <w:tcPr>
            <w:tcW w:w="440" w:type="pct"/>
            <w:noWrap/>
            <w:vAlign w:val="center"/>
          </w:tcPr>
          <w:p w14:paraId="67769189">
            <w:pPr>
              <w:widowControl/>
              <w:jc w:val="center"/>
              <w:rPr>
                <w:rFonts w:ascii="宋体" w:hAnsi="宋体" w:cs="宋体"/>
                <w:color w:val="auto"/>
                <w:kern w:val="0"/>
                <w:szCs w:val="22"/>
              </w:rPr>
            </w:pPr>
            <w:r>
              <w:rPr>
                <w:rFonts w:hint="eastAsia" w:ascii="宋体" w:hAnsi="宋体" w:cs="宋体"/>
                <w:color w:val="auto"/>
                <w:kern w:val="0"/>
                <w:szCs w:val="22"/>
              </w:rPr>
              <w:t xml:space="preserve">13.01 </w:t>
            </w:r>
          </w:p>
        </w:tc>
        <w:tc>
          <w:tcPr>
            <w:tcW w:w="440" w:type="pct"/>
            <w:noWrap/>
            <w:vAlign w:val="center"/>
          </w:tcPr>
          <w:p w14:paraId="05698956">
            <w:pPr>
              <w:widowControl/>
              <w:jc w:val="center"/>
              <w:rPr>
                <w:rFonts w:ascii="宋体" w:hAnsi="宋体" w:cs="宋体"/>
                <w:color w:val="auto"/>
                <w:kern w:val="0"/>
                <w:szCs w:val="22"/>
              </w:rPr>
            </w:pPr>
            <w:r>
              <w:rPr>
                <w:rFonts w:hint="eastAsia" w:ascii="宋体" w:hAnsi="宋体" w:cs="宋体"/>
                <w:color w:val="auto"/>
                <w:kern w:val="0"/>
                <w:szCs w:val="22"/>
              </w:rPr>
              <w:t xml:space="preserve">140.24 </w:t>
            </w:r>
          </w:p>
        </w:tc>
        <w:tc>
          <w:tcPr>
            <w:tcW w:w="362" w:type="pct"/>
            <w:noWrap/>
            <w:vAlign w:val="center"/>
          </w:tcPr>
          <w:p w14:paraId="526F4FA6">
            <w:pPr>
              <w:widowControl/>
              <w:jc w:val="center"/>
              <w:rPr>
                <w:rFonts w:ascii="宋体" w:hAnsi="宋体" w:cs="宋体"/>
                <w:color w:val="auto"/>
                <w:kern w:val="0"/>
                <w:szCs w:val="22"/>
              </w:rPr>
            </w:pPr>
            <w:r>
              <w:rPr>
                <w:rFonts w:hint="eastAsia" w:ascii="宋体" w:hAnsi="宋体" w:cs="宋体"/>
                <w:color w:val="auto"/>
                <w:kern w:val="0"/>
                <w:szCs w:val="22"/>
              </w:rPr>
              <w:t>1.5</w:t>
            </w:r>
          </w:p>
        </w:tc>
        <w:tc>
          <w:tcPr>
            <w:tcW w:w="388" w:type="pct"/>
            <w:vAlign w:val="center"/>
          </w:tcPr>
          <w:p w14:paraId="42857D0E">
            <w:pPr>
              <w:widowControl/>
              <w:jc w:val="center"/>
              <w:rPr>
                <w:rFonts w:ascii="宋体" w:hAnsi="宋体" w:cs="宋体"/>
                <w:color w:val="auto"/>
                <w:kern w:val="0"/>
              </w:rPr>
            </w:pPr>
            <w:r>
              <w:rPr>
                <w:rFonts w:hint="eastAsia" w:ascii="宋体" w:hAnsi="宋体" w:cs="宋体"/>
                <w:color w:val="auto"/>
                <w:kern w:val="0"/>
              </w:rPr>
              <w:t xml:space="preserve">0.002 </w:t>
            </w:r>
          </w:p>
        </w:tc>
        <w:tc>
          <w:tcPr>
            <w:tcW w:w="362" w:type="pct"/>
            <w:noWrap/>
            <w:vAlign w:val="center"/>
          </w:tcPr>
          <w:p w14:paraId="6D97873B">
            <w:pPr>
              <w:widowControl/>
              <w:jc w:val="center"/>
              <w:rPr>
                <w:rFonts w:ascii="宋体" w:hAnsi="宋体" w:cs="宋体"/>
                <w:color w:val="auto"/>
                <w:kern w:val="0"/>
                <w:szCs w:val="22"/>
              </w:rPr>
            </w:pPr>
            <w:r>
              <w:rPr>
                <w:rFonts w:hint="eastAsia" w:ascii="宋体" w:hAnsi="宋体" w:cs="宋体"/>
                <w:color w:val="auto"/>
                <w:kern w:val="0"/>
                <w:szCs w:val="22"/>
              </w:rPr>
              <w:t>4.7</w:t>
            </w:r>
          </w:p>
        </w:tc>
        <w:tc>
          <w:tcPr>
            <w:tcW w:w="388" w:type="pct"/>
            <w:vAlign w:val="center"/>
          </w:tcPr>
          <w:p w14:paraId="0AADF044">
            <w:pPr>
              <w:widowControl/>
              <w:jc w:val="center"/>
              <w:rPr>
                <w:rFonts w:ascii="宋体" w:hAnsi="宋体" w:cs="宋体"/>
                <w:color w:val="auto"/>
                <w:kern w:val="0"/>
              </w:rPr>
            </w:pPr>
            <w:r>
              <w:rPr>
                <w:rFonts w:hint="eastAsia" w:ascii="宋体" w:hAnsi="宋体" w:cs="宋体"/>
                <w:color w:val="auto"/>
                <w:kern w:val="0"/>
              </w:rPr>
              <w:t xml:space="preserve">0.007 </w:t>
            </w:r>
          </w:p>
        </w:tc>
        <w:tc>
          <w:tcPr>
            <w:tcW w:w="362" w:type="pct"/>
            <w:noWrap/>
            <w:vAlign w:val="center"/>
          </w:tcPr>
          <w:p w14:paraId="5CCDB6F1">
            <w:pPr>
              <w:widowControl/>
              <w:jc w:val="center"/>
              <w:rPr>
                <w:rFonts w:ascii="宋体" w:hAnsi="宋体" w:cs="宋体"/>
                <w:color w:val="auto"/>
                <w:kern w:val="0"/>
                <w:szCs w:val="22"/>
              </w:rPr>
            </w:pPr>
            <w:r>
              <w:rPr>
                <w:rFonts w:hint="eastAsia" w:ascii="宋体" w:hAnsi="宋体" w:cs="宋体"/>
                <w:color w:val="auto"/>
                <w:kern w:val="0"/>
                <w:szCs w:val="22"/>
              </w:rPr>
              <w:t>51</w:t>
            </w:r>
          </w:p>
        </w:tc>
        <w:tc>
          <w:tcPr>
            <w:tcW w:w="388" w:type="pct"/>
            <w:vAlign w:val="center"/>
          </w:tcPr>
          <w:p w14:paraId="175559E8">
            <w:pPr>
              <w:widowControl/>
              <w:jc w:val="center"/>
              <w:rPr>
                <w:rFonts w:ascii="宋体" w:hAnsi="宋体" w:cs="宋体"/>
                <w:color w:val="auto"/>
                <w:kern w:val="0"/>
              </w:rPr>
            </w:pPr>
            <w:r>
              <w:rPr>
                <w:rFonts w:hint="eastAsia" w:ascii="宋体" w:hAnsi="宋体" w:cs="宋体"/>
                <w:color w:val="auto"/>
                <w:kern w:val="0"/>
              </w:rPr>
              <w:t xml:space="preserve">0.072 </w:t>
            </w:r>
          </w:p>
        </w:tc>
        <w:tc>
          <w:tcPr>
            <w:tcW w:w="229" w:type="pct"/>
            <w:vAlign w:val="center"/>
          </w:tcPr>
          <w:p w14:paraId="65AA5AEF">
            <w:pPr>
              <w:widowControl/>
              <w:jc w:val="center"/>
              <w:rPr>
                <w:rFonts w:ascii="宋体" w:hAnsi="宋体" w:cs="宋体"/>
                <w:color w:val="auto"/>
                <w:kern w:val="0"/>
              </w:rPr>
            </w:pPr>
            <w:r>
              <w:rPr>
                <w:rFonts w:hint="eastAsia" w:ascii="宋体" w:hAnsi="宋体" w:cs="宋体"/>
                <w:color w:val="auto"/>
                <w:kern w:val="0"/>
              </w:rPr>
              <w:t>高</w:t>
            </w:r>
            <w:r>
              <w:rPr>
                <w:rFonts w:ascii="宋体" w:hAnsi="宋体" w:cs="宋体"/>
                <w:color w:val="auto"/>
                <w:kern w:val="0"/>
              </w:rPr>
              <w:t>9.4</w:t>
            </w:r>
            <w:r>
              <w:rPr>
                <w:rFonts w:hint="eastAsia" w:ascii="宋体" w:hAnsi="宋体" w:cs="宋体"/>
                <w:color w:val="auto"/>
                <w:kern w:val="0"/>
              </w:rPr>
              <w:t>m</w:t>
            </w:r>
          </w:p>
        </w:tc>
      </w:tr>
      <w:tr w14:paraId="1E5F8B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53" w:type="pct"/>
            <w:vAlign w:val="center"/>
          </w:tcPr>
          <w:p w14:paraId="5B4A4E6C">
            <w:pPr>
              <w:widowControl/>
              <w:jc w:val="center"/>
              <w:rPr>
                <w:rFonts w:ascii="宋体" w:hAnsi="宋体" w:cs="宋体"/>
                <w:color w:val="auto"/>
                <w:kern w:val="0"/>
              </w:rPr>
            </w:pPr>
            <w:r>
              <w:rPr>
                <w:rFonts w:hint="eastAsia" w:ascii="宋体" w:hAnsi="宋体" w:cs="宋体"/>
                <w:color w:val="auto"/>
                <w:kern w:val="0"/>
              </w:rPr>
              <w:t>11#井场加热炉</w:t>
            </w:r>
          </w:p>
        </w:tc>
        <w:tc>
          <w:tcPr>
            <w:tcW w:w="653" w:type="pct"/>
            <w:vAlign w:val="center"/>
          </w:tcPr>
          <w:p w14:paraId="5C5697A7">
            <w:pPr>
              <w:widowControl/>
              <w:jc w:val="center"/>
              <w:rPr>
                <w:rFonts w:ascii="宋体" w:hAnsi="宋体" w:cs="宋体"/>
                <w:color w:val="auto"/>
                <w:kern w:val="0"/>
              </w:rPr>
            </w:pPr>
            <w:r>
              <w:rPr>
                <w:rFonts w:hint="eastAsia" w:ascii="宋体" w:hAnsi="宋体" w:cs="宋体"/>
                <w:color w:val="auto"/>
                <w:kern w:val="0"/>
              </w:rPr>
              <w:t>80kW</w:t>
            </w:r>
          </w:p>
        </w:tc>
        <w:tc>
          <w:tcPr>
            <w:tcW w:w="335" w:type="pct"/>
            <w:noWrap/>
            <w:vAlign w:val="center"/>
          </w:tcPr>
          <w:p w14:paraId="19FF77B5">
            <w:pPr>
              <w:widowControl/>
              <w:jc w:val="center"/>
              <w:rPr>
                <w:rFonts w:ascii="宋体" w:hAnsi="宋体" w:cs="宋体"/>
                <w:color w:val="auto"/>
                <w:kern w:val="0"/>
                <w:szCs w:val="22"/>
              </w:rPr>
            </w:pPr>
            <w:r>
              <w:rPr>
                <w:rFonts w:hint="eastAsia" w:ascii="宋体" w:hAnsi="宋体" w:cs="宋体"/>
                <w:color w:val="auto"/>
                <w:kern w:val="0"/>
                <w:szCs w:val="22"/>
              </w:rPr>
              <w:t>1</w:t>
            </w:r>
          </w:p>
        </w:tc>
        <w:tc>
          <w:tcPr>
            <w:tcW w:w="440" w:type="pct"/>
            <w:noWrap/>
            <w:vAlign w:val="center"/>
          </w:tcPr>
          <w:p w14:paraId="1A8A3C09">
            <w:pPr>
              <w:widowControl/>
              <w:jc w:val="center"/>
              <w:rPr>
                <w:rFonts w:ascii="宋体" w:hAnsi="宋体" w:cs="宋体"/>
                <w:color w:val="auto"/>
                <w:kern w:val="0"/>
                <w:szCs w:val="22"/>
              </w:rPr>
            </w:pPr>
            <w:r>
              <w:rPr>
                <w:rFonts w:hint="eastAsia" w:ascii="宋体" w:hAnsi="宋体" w:cs="宋体"/>
                <w:color w:val="auto"/>
                <w:kern w:val="0"/>
                <w:szCs w:val="22"/>
              </w:rPr>
              <w:t xml:space="preserve">6.94 </w:t>
            </w:r>
          </w:p>
        </w:tc>
        <w:tc>
          <w:tcPr>
            <w:tcW w:w="440" w:type="pct"/>
            <w:noWrap/>
            <w:vAlign w:val="center"/>
          </w:tcPr>
          <w:p w14:paraId="236078AF">
            <w:pPr>
              <w:widowControl/>
              <w:jc w:val="center"/>
              <w:rPr>
                <w:rFonts w:ascii="宋体" w:hAnsi="宋体" w:cs="宋体"/>
                <w:color w:val="auto"/>
                <w:kern w:val="0"/>
                <w:szCs w:val="22"/>
              </w:rPr>
            </w:pPr>
            <w:r>
              <w:rPr>
                <w:rFonts w:hint="eastAsia" w:ascii="宋体" w:hAnsi="宋体" w:cs="宋体"/>
                <w:color w:val="auto"/>
                <w:kern w:val="0"/>
                <w:szCs w:val="22"/>
              </w:rPr>
              <w:t xml:space="preserve">74.76 </w:t>
            </w:r>
          </w:p>
        </w:tc>
        <w:tc>
          <w:tcPr>
            <w:tcW w:w="362" w:type="pct"/>
            <w:noWrap/>
            <w:vAlign w:val="center"/>
          </w:tcPr>
          <w:p w14:paraId="79A185DC">
            <w:pPr>
              <w:widowControl/>
              <w:jc w:val="center"/>
              <w:rPr>
                <w:rFonts w:ascii="宋体" w:hAnsi="宋体" w:cs="宋体"/>
                <w:color w:val="auto"/>
                <w:kern w:val="0"/>
                <w:szCs w:val="22"/>
              </w:rPr>
            </w:pPr>
            <w:r>
              <w:rPr>
                <w:rFonts w:hint="eastAsia" w:ascii="宋体" w:hAnsi="宋体" w:cs="宋体"/>
                <w:color w:val="auto"/>
                <w:kern w:val="0"/>
                <w:szCs w:val="22"/>
              </w:rPr>
              <w:t>1.5</w:t>
            </w:r>
          </w:p>
        </w:tc>
        <w:tc>
          <w:tcPr>
            <w:tcW w:w="388" w:type="pct"/>
            <w:vAlign w:val="center"/>
          </w:tcPr>
          <w:p w14:paraId="6A382D71">
            <w:pPr>
              <w:widowControl/>
              <w:jc w:val="center"/>
              <w:rPr>
                <w:rFonts w:ascii="宋体" w:hAnsi="宋体" w:cs="宋体"/>
                <w:color w:val="auto"/>
                <w:kern w:val="0"/>
              </w:rPr>
            </w:pPr>
            <w:r>
              <w:rPr>
                <w:rFonts w:hint="eastAsia" w:ascii="宋体" w:hAnsi="宋体" w:cs="宋体"/>
                <w:color w:val="auto"/>
                <w:kern w:val="0"/>
              </w:rPr>
              <w:t xml:space="preserve">0.001 </w:t>
            </w:r>
          </w:p>
        </w:tc>
        <w:tc>
          <w:tcPr>
            <w:tcW w:w="362" w:type="pct"/>
            <w:noWrap/>
            <w:vAlign w:val="center"/>
          </w:tcPr>
          <w:p w14:paraId="43B1A5A9">
            <w:pPr>
              <w:widowControl/>
              <w:jc w:val="center"/>
              <w:rPr>
                <w:rFonts w:ascii="宋体" w:hAnsi="宋体" w:cs="宋体"/>
                <w:color w:val="auto"/>
                <w:kern w:val="0"/>
                <w:szCs w:val="22"/>
              </w:rPr>
            </w:pPr>
            <w:r>
              <w:rPr>
                <w:rFonts w:hint="eastAsia" w:ascii="宋体" w:hAnsi="宋体" w:cs="宋体"/>
                <w:color w:val="auto"/>
                <w:kern w:val="0"/>
                <w:szCs w:val="22"/>
              </w:rPr>
              <w:t>4.7</w:t>
            </w:r>
          </w:p>
        </w:tc>
        <w:tc>
          <w:tcPr>
            <w:tcW w:w="388" w:type="pct"/>
            <w:vAlign w:val="center"/>
          </w:tcPr>
          <w:p w14:paraId="2178AF24">
            <w:pPr>
              <w:widowControl/>
              <w:jc w:val="center"/>
              <w:rPr>
                <w:rFonts w:ascii="宋体" w:hAnsi="宋体" w:cs="宋体"/>
                <w:color w:val="auto"/>
                <w:kern w:val="0"/>
              </w:rPr>
            </w:pPr>
            <w:r>
              <w:rPr>
                <w:rFonts w:hint="eastAsia" w:ascii="宋体" w:hAnsi="宋体" w:cs="宋体"/>
                <w:color w:val="auto"/>
                <w:kern w:val="0"/>
              </w:rPr>
              <w:t xml:space="preserve">0.004 </w:t>
            </w:r>
          </w:p>
        </w:tc>
        <w:tc>
          <w:tcPr>
            <w:tcW w:w="362" w:type="pct"/>
            <w:noWrap/>
            <w:vAlign w:val="center"/>
          </w:tcPr>
          <w:p w14:paraId="08DF7A36">
            <w:pPr>
              <w:widowControl/>
              <w:jc w:val="center"/>
              <w:rPr>
                <w:rFonts w:ascii="宋体" w:hAnsi="宋体" w:cs="宋体"/>
                <w:color w:val="auto"/>
                <w:kern w:val="0"/>
                <w:szCs w:val="22"/>
              </w:rPr>
            </w:pPr>
            <w:r>
              <w:rPr>
                <w:rFonts w:hint="eastAsia" w:ascii="宋体" w:hAnsi="宋体" w:cs="宋体"/>
                <w:color w:val="auto"/>
                <w:kern w:val="0"/>
                <w:szCs w:val="22"/>
              </w:rPr>
              <w:t>45</w:t>
            </w:r>
          </w:p>
        </w:tc>
        <w:tc>
          <w:tcPr>
            <w:tcW w:w="388" w:type="pct"/>
            <w:vAlign w:val="center"/>
          </w:tcPr>
          <w:p w14:paraId="69C51467">
            <w:pPr>
              <w:widowControl/>
              <w:jc w:val="center"/>
              <w:rPr>
                <w:rFonts w:ascii="宋体" w:hAnsi="宋体" w:cs="宋体"/>
                <w:color w:val="auto"/>
                <w:kern w:val="0"/>
              </w:rPr>
            </w:pPr>
            <w:r>
              <w:rPr>
                <w:rFonts w:hint="eastAsia" w:ascii="宋体" w:hAnsi="宋体" w:cs="宋体"/>
                <w:color w:val="auto"/>
                <w:kern w:val="0"/>
              </w:rPr>
              <w:t xml:space="preserve">0.034 </w:t>
            </w:r>
          </w:p>
        </w:tc>
        <w:tc>
          <w:tcPr>
            <w:tcW w:w="229" w:type="pct"/>
            <w:vAlign w:val="center"/>
          </w:tcPr>
          <w:p w14:paraId="0A890E1E">
            <w:pPr>
              <w:widowControl/>
              <w:jc w:val="center"/>
              <w:rPr>
                <w:rFonts w:ascii="宋体" w:hAnsi="宋体" w:cs="宋体"/>
                <w:color w:val="auto"/>
                <w:kern w:val="0"/>
              </w:rPr>
            </w:pPr>
            <w:r>
              <w:rPr>
                <w:rFonts w:hint="eastAsia" w:ascii="宋体" w:hAnsi="宋体" w:cs="宋体"/>
                <w:color w:val="auto"/>
                <w:kern w:val="0"/>
              </w:rPr>
              <w:t>高</w:t>
            </w:r>
            <w:r>
              <w:rPr>
                <w:rFonts w:ascii="宋体" w:hAnsi="宋体" w:cs="宋体"/>
                <w:color w:val="auto"/>
                <w:kern w:val="0"/>
              </w:rPr>
              <w:t>9.4</w:t>
            </w:r>
            <w:r>
              <w:rPr>
                <w:rFonts w:hint="eastAsia" w:ascii="宋体" w:hAnsi="宋体" w:cs="宋体"/>
                <w:color w:val="auto"/>
                <w:kern w:val="0"/>
              </w:rPr>
              <w:t>m</w:t>
            </w:r>
          </w:p>
        </w:tc>
      </w:tr>
      <w:tr w14:paraId="1C0146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53" w:type="pct"/>
            <w:noWrap/>
            <w:vAlign w:val="center"/>
          </w:tcPr>
          <w:p w14:paraId="182B2DE0">
            <w:pPr>
              <w:widowControl/>
              <w:jc w:val="center"/>
              <w:rPr>
                <w:rFonts w:ascii="宋体" w:hAnsi="宋体" w:cs="宋体"/>
                <w:color w:val="auto"/>
                <w:kern w:val="0"/>
                <w:szCs w:val="22"/>
              </w:rPr>
            </w:pPr>
            <w:r>
              <w:rPr>
                <w:rFonts w:hint="eastAsia" w:ascii="宋体" w:hAnsi="宋体" w:cs="宋体"/>
                <w:color w:val="auto"/>
                <w:kern w:val="0"/>
                <w:szCs w:val="22"/>
              </w:rPr>
              <w:t>合计</w:t>
            </w:r>
          </w:p>
        </w:tc>
        <w:tc>
          <w:tcPr>
            <w:tcW w:w="653" w:type="pct"/>
            <w:noWrap/>
            <w:vAlign w:val="center"/>
          </w:tcPr>
          <w:p w14:paraId="160583EC">
            <w:pPr>
              <w:widowControl/>
              <w:jc w:val="center"/>
              <w:rPr>
                <w:rFonts w:ascii="宋体" w:hAnsi="宋体" w:cs="宋体"/>
                <w:color w:val="auto"/>
                <w:kern w:val="0"/>
                <w:szCs w:val="22"/>
              </w:rPr>
            </w:pPr>
            <w:r>
              <w:rPr>
                <w:rFonts w:hint="eastAsia" w:ascii="宋体" w:hAnsi="宋体" w:cs="宋体"/>
                <w:color w:val="auto"/>
                <w:kern w:val="0"/>
                <w:szCs w:val="22"/>
              </w:rPr>
              <w:t>/</w:t>
            </w:r>
          </w:p>
        </w:tc>
        <w:tc>
          <w:tcPr>
            <w:tcW w:w="335" w:type="pct"/>
            <w:noWrap/>
            <w:vAlign w:val="center"/>
          </w:tcPr>
          <w:p w14:paraId="4E6AAEA4">
            <w:pPr>
              <w:widowControl/>
              <w:jc w:val="center"/>
              <w:rPr>
                <w:rFonts w:ascii="宋体" w:hAnsi="宋体" w:cs="宋体"/>
                <w:color w:val="auto"/>
                <w:kern w:val="0"/>
                <w:szCs w:val="22"/>
              </w:rPr>
            </w:pPr>
            <w:r>
              <w:rPr>
                <w:rFonts w:hint="eastAsia" w:ascii="宋体" w:hAnsi="宋体" w:cs="宋体"/>
                <w:color w:val="auto"/>
                <w:kern w:val="0"/>
                <w:szCs w:val="22"/>
              </w:rPr>
              <w:t>4</w:t>
            </w:r>
          </w:p>
        </w:tc>
        <w:tc>
          <w:tcPr>
            <w:tcW w:w="440" w:type="pct"/>
            <w:noWrap/>
            <w:vAlign w:val="center"/>
          </w:tcPr>
          <w:p w14:paraId="602FD8F5">
            <w:pPr>
              <w:widowControl/>
              <w:jc w:val="center"/>
              <w:rPr>
                <w:rFonts w:ascii="宋体" w:hAnsi="宋体" w:cs="宋体"/>
                <w:color w:val="auto"/>
                <w:kern w:val="0"/>
                <w:szCs w:val="22"/>
              </w:rPr>
            </w:pPr>
            <w:r>
              <w:rPr>
                <w:rFonts w:hint="eastAsia" w:ascii="宋体" w:hAnsi="宋体" w:cs="宋体"/>
                <w:color w:val="auto"/>
                <w:kern w:val="0"/>
                <w:szCs w:val="22"/>
              </w:rPr>
              <w:t>41.</w:t>
            </w:r>
            <w:r>
              <w:rPr>
                <w:rFonts w:ascii="宋体" w:hAnsi="宋体" w:cs="宋体"/>
                <w:color w:val="auto"/>
                <w:kern w:val="0"/>
                <w:szCs w:val="22"/>
              </w:rPr>
              <w:t>64</w:t>
            </w:r>
          </w:p>
        </w:tc>
        <w:tc>
          <w:tcPr>
            <w:tcW w:w="440" w:type="pct"/>
            <w:noWrap/>
            <w:vAlign w:val="center"/>
          </w:tcPr>
          <w:p w14:paraId="63296249">
            <w:pPr>
              <w:widowControl/>
              <w:jc w:val="center"/>
              <w:rPr>
                <w:rFonts w:ascii="宋体" w:hAnsi="宋体" w:cs="宋体"/>
                <w:color w:val="auto"/>
                <w:kern w:val="0"/>
                <w:szCs w:val="22"/>
              </w:rPr>
            </w:pPr>
            <w:bookmarkStart w:id="283" w:name="OLE_LINK92"/>
            <w:bookmarkStart w:id="284" w:name="OLE_LINK93"/>
            <w:r>
              <w:rPr>
                <w:rFonts w:hint="eastAsia" w:ascii="宋体" w:hAnsi="宋体" w:cs="宋体"/>
                <w:color w:val="auto"/>
                <w:kern w:val="0"/>
                <w:szCs w:val="22"/>
              </w:rPr>
              <w:t>448.6</w:t>
            </w:r>
            <w:bookmarkEnd w:id="283"/>
            <w:bookmarkEnd w:id="284"/>
            <w:r>
              <w:rPr>
                <w:rFonts w:ascii="宋体" w:hAnsi="宋体" w:cs="宋体"/>
                <w:color w:val="auto"/>
                <w:kern w:val="0"/>
                <w:szCs w:val="22"/>
              </w:rPr>
              <w:t>8</w:t>
            </w:r>
            <w:r>
              <w:rPr>
                <w:rFonts w:hint="eastAsia" w:ascii="宋体" w:hAnsi="宋体" w:cs="宋体"/>
                <w:color w:val="auto"/>
                <w:kern w:val="0"/>
                <w:szCs w:val="22"/>
              </w:rPr>
              <w:t xml:space="preserve"> </w:t>
            </w:r>
          </w:p>
        </w:tc>
        <w:tc>
          <w:tcPr>
            <w:tcW w:w="362" w:type="pct"/>
            <w:noWrap/>
            <w:vAlign w:val="center"/>
          </w:tcPr>
          <w:p w14:paraId="3BA7816C">
            <w:pPr>
              <w:widowControl/>
              <w:jc w:val="center"/>
              <w:rPr>
                <w:rFonts w:ascii="宋体" w:hAnsi="宋体" w:cs="宋体"/>
                <w:color w:val="auto"/>
                <w:kern w:val="0"/>
                <w:szCs w:val="22"/>
              </w:rPr>
            </w:pPr>
            <w:r>
              <w:rPr>
                <w:rFonts w:hint="eastAsia" w:ascii="宋体" w:hAnsi="宋体" w:cs="宋体"/>
                <w:color w:val="auto"/>
                <w:kern w:val="0"/>
                <w:szCs w:val="22"/>
              </w:rPr>
              <w:t>/</w:t>
            </w:r>
          </w:p>
        </w:tc>
        <w:tc>
          <w:tcPr>
            <w:tcW w:w="388" w:type="pct"/>
            <w:noWrap/>
            <w:vAlign w:val="center"/>
          </w:tcPr>
          <w:p w14:paraId="1A097E26">
            <w:pPr>
              <w:widowControl/>
              <w:jc w:val="center"/>
              <w:rPr>
                <w:rFonts w:ascii="宋体" w:hAnsi="宋体" w:cs="宋体"/>
                <w:color w:val="auto"/>
                <w:kern w:val="0"/>
                <w:szCs w:val="22"/>
              </w:rPr>
            </w:pPr>
            <w:r>
              <w:rPr>
                <w:rFonts w:hint="eastAsia" w:ascii="宋体" w:hAnsi="宋体" w:cs="宋体"/>
                <w:color w:val="auto"/>
                <w:kern w:val="0"/>
                <w:szCs w:val="22"/>
              </w:rPr>
              <w:t>0.00</w:t>
            </w:r>
            <w:r>
              <w:rPr>
                <w:rFonts w:ascii="宋体" w:hAnsi="宋体" w:cs="宋体"/>
                <w:color w:val="auto"/>
                <w:kern w:val="0"/>
                <w:szCs w:val="22"/>
              </w:rPr>
              <w:t>6</w:t>
            </w:r>
            <w:r>
              <w:rPr>
                <w:rFonts w:hint="eastAsia" w:ascii="宋体" w:hAnsi="宋体" w:cs="宋体"/>
                <w:color w:val="auto"/>
                <w:kern w:val="0"/>
                <w:szCs w:val="22"/>
              </w:rPr>
              <w:t xml:space="preserve"> </w:t>
            </w:r>
          </w:p>
        </w:tc>
        <w:tc>
          <w:tcPr>
            <w:tcW w:w="362" w:type="pct"/>
            <w:noWrap/>
            <w:vAlign w:val="center"/>
          </w:tcPr>
          <w:p w14:paraId="6BB36740">
            <w:pPr>
              <w:widowControl/>
              <w:jc w:val="center"/>
              <w:rPr>
                <w:rFonts w:ascii="宋体" w:hAnsi="宋体" w:cs="宋体"/>
                <w:color w:val="auto"/>
                <w:kern w:val="0"/>
                <w:szCs w:val="22"/>
              </w:rPr>
            </w:pPr>
            <w:r>
              <w:rPr>
                <w:rFonts w:hint="eastAsia" w:ascii="宋体" w:hAnsi="宋体" w:cs="宋体"/>
                <w:color w:val="auto"/>
                <w:kern w:val="0"/>
                <w:szCs w:val="22"/>
              </w:rPr>
              <w:t>/</w:t>
            </w:r>
          </w:p>
        </w:tc>
        <w:tc>
          <w:tcPr>
            <w:tcW w:w="388" w:type="pct"/>
            <w:noWrap/>
            <w:vAlign w:val="center"/>
          </w:tcPr>
          <w:p w14:paraId="693B7AE1">
            <w:pPr>
              <w:widowControl/>
              <w:jc w:val="center"/>
              <w:rPr>
                <w:rFonts w:ascii="宋体" w:hAnsi="宋体" w:cs="宋体"/>
                <w:color w:val="auto"/>
                <w:kern w:val="0"/>
                <w:szCs w:val="22"/>
              </w:rPr>
            </w:pPr>
            <w:r>
              <w:rPr>
                <w:rFonts w:hint="eastAsia" w:ascii="宋体" w:hAnsi="宋体" w:cs="宋体"/>
                <w:color w:val="auto"/>
                <w:kern w:val="0"/>
                <w:szCs w:val="22"/>
              </w:rPr>
              <w:t xml:space="preserve">0.018 </w:t>
            </w:r>
          </w:p>
        </w:tc>
        <w:tc>
          <w:tcPr>
            <w:tcW w:w="362" w:type="pct"/>
            <w:noWrap/>
            <w:vAlign w:val="center"/>
          </w:tcPr>
          <w:p w14:paraId="6EFEB203">
            <w:pPr>
              <w:widowControl/>
              <w:jc w:val="center"/>
              <w:rPr>
                <w:rFonts w:ascii="宋体" w:hAnsi="宋体" w:cs="宋体"/>
                <w:color w:val="auto"/>
                <w:kern w:val="0"/>
                <w:szCs w:val="22"/>
              </w:rPr>
            </w:pPr>
            <w:r>
              <w:rPr>
                <w:rFonts w:hint="eastAsia" w:ascii="宋体" w:hAnsi="宋体" w:cs="宋体"/>
                <w:color w:val="auto"/>
                <w:kern w:val="0"/>
                <w:szCs w:val="22"/>
              </w:rPr>
              <w:t>/</w:t>
            </w:r>
          </w:p>
        </w:tc>
        <w:tc>
          <w:tcPr>
            <w:tcW w:w="388" w:type="pct"/>
            <w:noWrap/>
            <w:vAlign w:val="center"/>
          </w:tcPr>
          <w:p w14:paraId="68041405">
            <w:pPr>
              <w:widowControl/>
              <w:jc w:val="center"/>
              <w:rPr>
                <w:rFonts w:ascii="宋体" w:hAnsi="宋体" w:cs="宋体"/>
                <w:color w:val="auto"/>
                <w:kern w:val="0"/>
                <w:szCs w:val="22"/>
              </w:rPr>
            </w:pPr>
            <w:r>
              <w:rPr>
                <w:rFonts w:hint="eastAsia" w:ascii="宋体" w:hAnsi="宋体" w:cs="宋体"/>
                <w:color w:val="auto"/>
                <w:kern w:val="0"/>
                <w:szCs w:val="22"/>
              </w:rPr>
              <w:t xml:space="preserve">0.191 </w:t>
            </w:r>
          </w:p>
        </w:tc>
        <w:tc>
          <w:tcPr>
            <w:tcW w:w="229" w:type="pct"/>
            <w:noWrap/>
            <w:vAlign w:val="center"/>
          </w:tcPr>
          <w:p w14:paraId="0058F2F2">
            <w:pPr>
              <w:widowControl/>
              <w:jc w:val="center"/>
              <w:rPr>
                <w:rFonts w:ascii="宋体" w:hAnsi="宋体" w:cs="宋体"/>
                <w:color w:val="auto"/>
                <w:kern w:val="0"/>
                <w:szCs w:val="22"/>
              </w:rPr>
            </w:pPr>
            <w:r>
              <w:rPr>
                <w:rFonts w:hint="eastAsia" w:ascii="宋体" w:hAnsi="宋体" w:cs="宋体"/>
                <w:color w:val="auto"/>
                <w:kern w:val="0"/>
                <w:szCs w:val="22"/>
              </w:rPr>
              <w:t>/</w:t>
            </w:r>
          </w:p>
        </w:tc>
      </w:tr>
    </w:tbl>
    <w:p w14:paraId="18B15A1A">
      <w:pPr>
        <w:pStyle w:val="320"/>
        <w:adjustRightInd w:val="0"/>
        <w:snapToGrid w:val="0"/>
        <w:ind w:firstLine="420"/>
        <w:rPr>
          <w:color w:val="auto"/>
          <w:sz w:val="21"/>
        </w:rPr>
      </w:pPr>
      <w:r>
        <w:rPr>
          <w:rFonts w:hint="eastAsia"/>
          <w:color w:val="auto"/>
          <w:sz w:val="21"/>
        </w:rPr>
        <w:t xml:space="preserve"> 备注：SO</w:t>
      </w:r>
      <w:r>
        <w:rPr>
          <w:color w:val="auto"/>
          <w:sz w:val="21"/>
          <w:vertAlign w:val="subscript"/>
        </w:rPr>
        <w:t>2</w:t>
      </w:r>
      <w:r>
        <w:rPr>
          <w:rFonts w:hint="eastAsia"/>
          <w:color w:val="auto"/>
          <w:sz w:val="21"/>
        </w:rPr>
        <w:t>未检出，按照检出限的一半1</w:t>
      </w:r>
      <w:r>
        <w:rPr>
          <w:color w:val="auto"/>
          <w:sz w:val="21"/>
        </w:rPr>
        <w:t>.5</w:t>
      </w:r>
      <w:r>
        <w:rPr>
          <w:rFonts w:hint="eastAsia"/>
          <w:color w:val="auto"/>
          <w:sz w:val="21"/>
        </w:rPr>
        <w:t xml:space="preserve"> mg/m</w:t>
      </w:r>
      <w:r>
        <w:rPr>
          <w:color w:val="auto"/>
          <w:sz w:val="21"/>
          <w:vertAlign w:val="superscript"/>
        </w:rPr>
        <w:t>3</w:t>
      </w:r>
      <w:r>
        <w:rPr>
          <w:rFonts w:hint="eastAsia"/>
          <w:color w:val="auto"/>
          <w:sz w:val="21"/>
        </w:rPr>
        <w:t>计算</w:t>
      </w:r>
    </w:p>
    <w:p w14:paraId="195F6900">
      <w:pPr>
        <w:pStyle w:val="320"/>
        <w:adjustRightInd w:val="0"/>
        <w:snapToGrid w:val="0"/>
        <w:rPr>
          <w:color w:val="auto"/>
        </w:rPr>
      </w:pPr>
    </w:p>
    <w:p w14:paraId="0A0477E5">
      <w:pPr>
        <w:pStyle w:val="4"/>
        <w:ind w:firstLine="480"/>
        <w:rPr>
          <w:color w:val="auto"/>
        </w:rPr>
        <w:sectPr>
          <w:pgSz w:w="16838" w:h="11906" w:orient="landscape"/>
          <w:pgMar w:top="1588" w:right="1418" w:bottom="1588" w:left="1418" w:header="1134" w:footer="851" w:gutter="0"/>
          <w:cols w:space="720" w:num="1"/>
          <w:docGrid w:linePitch="312" w:charSpace="0"/>
        </w:sectPr>
      </w:pPr>
      <w:r>
        <w:rPr>
          <w:rFonts w:hint="eastAsia"/>
          <w:color w:val="auto"/>
        </w:rPr>
        <w:t>由上表可得，本项目井场加热炉烟气污染物浓度均能满足《锅炉大气污染物排放标准》（DB37/ 2374-2018）表2中重点控制区限值要求（颗粒物：10mg/m</w:t>
      </w:r>
      <w:r>
        <w:rPr>
          <w:rFonts w:hint="eastAsia"/>
          <w:color w:val="auto"/>
          <w:vertAlign w:val="superscript"/>
        </w:rPr>
        <w:t>3</w:t>
      </w:r>
      <w:r>
        <w:rPr>
          <w:rFonts w:hint="eastAsia"/>
          <w:color w:val="auto"/>
        </w:rPr>
        <w:t>、SO</w:t>
      </w:r>
      <w:r>
        <w:rPr>
          <w:rFonts w:hint="eastAsia"/>
          <w:color w:val="auto"/>
          <w:vertAlign w:val="subscript"/>
        </w:rPr>
        <w:t>2</w:t>
      </w:r>
      <w:r>
        <w:rPr>
          <w:rFonts w:hint="eastAsia"/>
          <w:color w:val="auto"/>
        </w:rPr>
        <w:t>：50mg/m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：100mg/m</w:t>
      </w:r>
      <w:r>
        <w:rPr>
          <w:rFonts w:hint="eastAsia"/>
          <w:color w:val="auto"/>
          <w:vertAlign w:val="superscript"/>
        </w:rPr>
        <w:t>3</w:t>
      </w:r>
      <w:r>
        <w:rPr>
          <w:rFonts w:hint="eastAsia"/>
          <w:color w:val="auto"/>
        </w:rPr>
        <w:t>），颗粒物、SO</w:t>
      </w:r>
      <w:r>
        <w:rPr>
          <w:rFonts w:hint="eastAsia"/>
          <w:color w:val="auto"/>
          <w:vertAlign w:val="subscript"/>
        </w:rPr>
        <w:t>2</w:t>
      </w:r>
      <w:r>
        <w:rPr>
          <w:rFonts w:hint="eastAsia"/>
          <w:color w:val="auto"/>
        </w:rPr>
        <w:t>、NO</w:t>
      </w:r>
      <w:r>
        <w:rPr>
          <w:rFonts w:hint="eastAsia"/>
          <w:color w:val="auto"/>
          <w:vertAlign w:val="subscript"/>
        </w:rPr>
        <w:t>x</w:t>
      </w:r>
      <w:r>
        <w:rPr>
          <w:rFonts w:hint="eastAsia"/>
          <w:color w:val="auto"/>
        </w:rPr>
        <w:t>外排总量分别为0.018t/a、0.007t/a、0.191t/a。</w:t>
      </w:r>
    </w:p>
    <w:p w14:paraId="130F708B">
      <w:pPr>
        <w:pStyle w:val="4"/>
        <w:ind w:firstLine="480"/>
        <w:outlineLvl w:val="4"/>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高青管理区地面系统优化建设工程</w:t>
      </w:r>
    </w:p>
    <w:p w14:paraId="449BE509">
      <w:pPr>
        <w:pStyle w:val="4"/>
        <w:numPr>
          <w:ilvl w:val="0"/>
          <w:numId w:val="20"/>
        </w:numPr>
        <w:ind w:firstLineChars="0"/>
        <w:rPr>
          <w:color w:val="auto"/>
        </w:rPr>
      </w:pPr>
      <w:bookmarkStart w:id="285" w:name="OLE_LINK349"/>
      <w:bookmarkStart w:id="286" w:name="OLE_LINK350"/>
      <w:r>
        <w:rPr>
          <w:rFonts w:hint="eastAsia"/>
          <w:color w:val="auto"/>
        </w:rPr>
        <w:t>高青联合站内加热炉</w:t>
      </w:r>
      <w:bookmarkEnd w:id="285"/>
      <w:bookmarkEnd w:id="286"/>
      <w:r>
        <w:rPr>
          <w:rFonts w:hint="eastAsia"/>
          <w:color w:val="auto"/>
        </w:rPr>
        <w:t>更换</w:t>
      </w:r>
    </w:p>
    <w:p w14:paraId="5D6AE58B">
      <w:pPr>
        <w:pStyle w:val="4"/>
        <w:ind w:firstLine="480"/>
        <w:rPr>
          <w:color w:val="auto"/>
        </w:rPr>
      </w:pPr>
      <w:r>
        <w:rPr>
          <w:rFonts w:hint="eastAsia"/>
          <w:color w:val="auto"/>
        </w:rPr>
        <w:t>该地面优化工程中涉及加热炉更换。原联合站内共有1#～4#加热炉4台，均为800kW,本期工程将3#、4#加热炉拆除，更换为2500kW加热炉1台。</w:t>
      </w:r>
    </w:p>
    <w:p w14:paraId="3489095C">
      <w:pPr>
        <w:pStyle w:val="4"/>
        <w:ind w:firstLine="480"/>
        <w:rPr>
          <w:color w:val="auto"/>
        </w:rPr>
      </w:pPr>
      <w:r>
        <w:rPr>
          <w:rFonts w:hint="eastAsia"/>
          <w:color w:val="auto"/>
        </w:rPr>
        <w:t>根据本次验收期间收集的生产运行数据，改造前高青联合站耗气量约66×10</w:t>
      </w:r>
      <w:r>
        <w:rPr>
          <w:rFonts w:hint="eastAsia"/>
          <w:color w:val="auto"/>
          <w:vertAlign w:val="superscript"/>
        </w:rPr>
        <w:t>4</w:t>
      </w:r>
      <w:r>
        <w:rPr>
          <w:rFonts w:hint="eastAsia"/>
          <w:color w:val="auto"/>
        </w:rPr>
        <w:t>m</w:t>
      </w:r>
      <w:r>
        <w:rPr>
          <w:rFonts w:hint="eastAsia"/>
          <w:color w:val="auto"/>
          <w:vertAlign w:val="superscript"/>
        </w:rPr>
        <w:t>3</w:t>
      </w:r>
      <w:r>
        <w:rPr>
          <w:rFonts w:hint="eastAsia"/>
          <w:color w:val="auto"/>
        </w:rPr>
        <w:t>/a，改造后站内加热炉用气量为31.41×10</w:t>
      </w:r>
      <w:r>
        <w:rPr>
          <w:rFonts w:hint="eastAsia"/>
          <w:color w:val="auto"/>
          <w:vertAlign w:val="superscript"/>
        </w:rPr>
        <w:t>4</w:t>
      </w:r>
      <w:r>
        <w:rPr>
          <w:rFonts w:hint="eastAsia"/>
          <w:color w:val="auto"/>
        </w:rPr>
        <w:t>Nm</w:t>
      </w:r>
      <w:r>
        <w:rPr>
          <w:rFonts w:hint="eastAsia"/>
          <w:color w:val="auto"/>
          <w:vertAlign w:val="superscript"/>
        </w:rPr>
        <w:t>3</w:t>
      </w:r>
      <w:r>
        <w:rPr>
          <w:rFonts w:hint="eastAsia"/>
          <w:color w:val="auto"/>
        </w:rPr>
        <w:t>/a。改造后站内加热炉运行负荷为8</w:t>
      </w:r>
      <w:r>
        <w:rPr>
          <w:color w:val="auto"/>
        </w:rPr>
        <w:t>8%</w:t>
      </w:r>
      <w:r>
        <w:rPr>
          <w:rFonts w:hint="eastAsia"/>
          <w:color w:val="auto"/>
        </w:rPr>
        <w:t>，折算满负荷后站内加热炉用气量为</w:t>
      </w:r>
      <w:r>
        <w:rPr>
          <w:color w:val="auto"/>
        </w:rPr>
        <w:t>35.69</w:t>
      </w:r>
      <w:r>
        <w:rPr>
          <w:rFonts w:hint="eastAsia"/>
          <w:color w:val="auto"/>
        </w:rPr>
        <w:t>×10</w:t>
      </w:r>
      <w:r>
        <w:rPr>
          <w:rFonts w:hint="eastAsia"/>
          <w:color w:val="auto"/>
          <w:vertAlign w:val="superscript"/>
        </w:rPr>
        <w:t>4</w:t>
      </w:r>
      <w:r>
        <w:rPr>
          <w:rFonts w:hint="eastAsia"/>
          <w:color w:val="auto"/>
        </w:rPr>
        <w:t>Nm</w:t>
      </w:r>
      <w:r>
        <w:rPr>
          <w:rFonts w:hint="eastAsia"/>
          <w:color w:val="auto"/>
          <w:vertAlign w:val="superscript"/>
        </w:rPr>
        <w:t>3</w:t>
      </w:r>
      <w:r>
        <w:rPr>
          <w:rFonts w:hint="eastAsia"/>
          <w:color w:val="auto"/>
        </w:rPr>
        <w:t>/a。新建加热炉热效率提高，能起到节约用气的效果。燃气废气中污染物浓度取自加热炉更换后监测数据。折算满负荷得污染物前后变化情况如下。</w:t>
      </w:r>
    </w:p>
    <w:p w14:paraId="6B5F4355">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7</w:t>
      </w:r>
      <w:r>
        <w:rPr>
          <w:color w:val="auto"/>
        </w:rPr>
        <w:fldChar w:fldCharType="end"/>
      </w:r>
      <w:r>
        <w:rPr>
          <w:rFonts w:hint="eastAsia"/>
          <w:color w:val="auto"/>
        </w:rPr>
        <w:t xml:space="preserve"> 工程实施前后污染物变化情况</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8"/>
        <w:gridCol w:w="1671"/>
        <w:gridCol w:w="2179"/>
        <w:gridCol w:w="2179"/>
      </w:tblGrid>
      <w:tr w14:paraId="6BBC4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pct"/>
            <w:vAlign w:val="center"/>
          </w:tcPr>
          <w:p w14:paraId="6717F95F">
            <w:pPr>
              <w:pStyle w:val="15"/>
              <w:spacing w:before="120" w:line="240" w:lineRule="auto"/>
              <w:rPr>
                <w:rFonts w:hAnsi="宋体"/>
                <w:color w:val="auto"/>
              </w:rPr>
            </w:pPr>
            <w:r>
              <w:rPr>
                <w:rFonts w:hint="eastAsia" w:hAnsi="宋体"/>
                <w:color w:val="auto"/>
              </w:rPr>
              <w:t>项目</w:t>
            </w:r>
          </w:p>
        </w:tc>
        <w:tc>
          <w:tcPr>
            <w:tcW w:w="958" w:type="pct"/>
            <w:vAlign w:val="center"/>
          </w:tcPr>
          <w:p w14:paraId="5892DC14">
            <w:pPr>
              <w:pStyle w:val="15"/>
              <w:spacing w:before="120" w:line="240" w:lineRule="auto"/>
              <w:rPr>
                <w:rFonts w:hAnsi="宋体"/>
                <w:color w:val="auto"/>
              </w:rPr>
            </w:pPr>
            <w:r>
              <w:rPr>
                <w:rFonts w:hint="eastAsia" w:hAnsi="宋体"/>
                <w:color w:val="auto"/>
              </w:rPr>
              <w:t>实施前</w:t>
            </w:r>
          </w:p>
        </w:tc>
        <w:tc>
          <w:tcPr>
            <w:tcW w:w="1249" w:type="pct"/>
            <w:vAlign w:val="center"/>
          </w:tcPr>
          <w:p w14:paraId="02347A8A">
            <w:pPr>
              <w:pStyle w:val="15"/>
              <w:spacing w:before="120" w:line="240" w:lineRule="auto"/>
              <w:rPr>
                <w:rFonts w:hAnsi="宋体"/>
                <w:color w:val="auto"/>
              </w:rPr>
            </w:pPr>
            <w:r>
              <w:rPr>
                <w:rFonts w:hint="eastAsia" w:hAnsi="宋体"/>
                <w:color w:val="auto"/>
              </w:rPr>
              <w:t>实施后</w:t>
            </w:r>
          </w:p>
        </w:tc>
        <w:tc>
          <w:tcPr>
            <w:tcW w:w="1249" w:type="pct"/>
            <w:vAlign w:val="center"/>
          </w:tcPr>
          <w:p w14:paraId="7FD7822E">
            <w:pPr>
              <w:pStyle w:val="15"/>
              <w:spacing w:before="120" w:line="240" w:lineRule="auto"/>
              <w:rPr>
                <w:rFonts w:hAnsi="宋体"/>
                <w:color w:val="auto"/>
              </w:rPr>
            </w:pPr>
            <w:r>
              <w:rPr>
                <w:rFonts w:hint="eastAsia" w:hAnsi="宋体"/>
                <w:color w:val="auto"/>
              </w:rPr>
              <w:t>削减量</w:t>
            </w:r>
          </w:p>
        </w:tc>
      </w:tr>
      <w:tr w14:paraId="65ADA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pct"/>
            <w:vAlign w:val="center"/>
          </w:tcPr>
          <w:p w14:paraId="7E46AD54">
            <w:pPr>
              <w:pStyle w:val="15"/>
              <w:spacing w:before="120" w:line="240" w:lineRule="auto"/>
              <w:rPr>
                <w:rFonts w:hAnsi="宋体"/>
                <w:color w:val="auto"/>
              </w:rPr>
            </w:pPr>
            <w:r>
              <w:rPr>
                <w:rFonts w:hint="eastAsia" w:hAnsi="宋体"/>
                <w:color w:val="auto"/>
              </w:rPr>
              <w:t>燃气量（10</w:t>
            </w:r>
            <w:r>
              <w:rPr>
                <w:rFonts w:hint="eastAsia" w:hAnsi="宋体"/>
                <w:color w:val="auto"/>
                <w:vertAlign w:val="superscript"/>
              </w:rPr>
              <w:t>4</w:t>
            </w:r>
            <w:r>
              <w:rPr>
                <w:rFonts w:hint="eastAsia" w:hAnsi="宋体"/>
                <w:color w:val="auto"/>
              </w:rPr>
              <w:t>m</w:t>
            </w:r>
            <w:r>
              <w:rPr>
                <w:rFonts w:hint="eastAsia" w:hAnsi="宋体"/>
                <w:color w:val="auto"/>
                <w:vertAlign w:val="superscript"/>
              </w:rPr>
              <w:t>3</w:t>
            </w:r>
            <w:r>
              <w:rPr>
                <w:rFonts w:hint="eastAsia" w:hAnsi="宋体"/>
                <w:color w:val="auto"/>
              </w:rPr>
              <w:t>/a）</w:t>
            </w:r>
          </w:p>
        </w:tc>
        <w:tc>
          <w:tcPr>
            <w:tcW w:w="958" w:type="pct"/>
            <w:vAlign w:val="center"/>
          </w:tcPr>
          <w:p w14:paraId="6F3B3D23">
            <w:pPr>
              <w:pStyle w:val="15"/>
              <w:spacing w:before="120" w:line="240" w:lineRule="auto"/>
              <w:rPr>
                <w:rFonts w:hAnsi="宋体"/>
                <w:color w:val="auto"/>
              </w:rPr>
            </w:pPr>
            <w:r>
              <w:rPr>
                <w:rFonts w:hint="eastAsia" w:hAnsi="宋体"/>
                <w:color w:val="auto"/>
              </w:rPr>
              <w:t>66</w:t>
            </w:r>
          </w:p>
        </w:tc>
        <w:tc>
          <w:tcPr>
            <w:tcW w:w="1249" w:type="pct"/>
            <w:vAlign w:val="center"/>
          </w:tcPr>
          <w:p w14:paraId="38B68AEC">
            <w:pPr>
              <w:pStyle w:val="15"/>
              <w:spacing w:before="120" w:line="240" w:lineRule="auto"/>
              <w:rPr>
                <w:rFonts w:hAnsi="宋体"/>
                <w:color w:val="auto"/>
              </w:rPr>
            </w:pPr>
            <w:bookmarkStart w:id="287" w:name="OLE_LINK353"/>
            <w:bookmarkStart w:id="288" w:name="OLE_LINK354"/>
            <w:r>
              <w:rPr>
                <w:rFonts w:hAnsi="宋体"/>
                <w:color w:val="auto"/>
              </w:rPr>
              <w:t>35.69</w:t>
            </w:r>
            <w:bookmarkEnd w:id="287"/>
            <w:bookmarkEnd w:id="288"/>
          </w:p>
        </w:tc>
        <w:tc>
          <w:tcPr>
            <w:tcW w:w="1249" w:type="pct"/>
            <w:vAlign w:val="center"/>
          </w:tcPr>
          <w:p w14:paraId="51E6EF25">
            <w:pPr>
              <w:pStyle w:val="15"/>
              <w:spacing w:before="120" w:line="240" w:lineRule="auto"/>
              <w:rPr>
                <w:rFonts w:hAnsi="宋体"/>
                <w:color w:val="auto"/>
              </w:rPr>
            </w:pPr>
            <w:r>
              <w:rPr>
                <w:rFonts w:hint="eastAsia" w:hAnsi="宋体"/>
                <w:color w:val="auto"/>
              </w:rPr>
              <w:t>3</w:t>
            </w:r>
            <w:r>
              <w:rPr>
                <w:rFonts w:hAnsi="宋体"/>
                <w:color w:val="auto"/>
              </w:rPr>
              <w:t>0.31</w:t>
            </w:r>
          </w:p>
        </w:tc>
      </w:tr>
      <w:tr w14:paraId="04B39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pct"/>
            <w:vAlign w:val="center"/>
          </w:tcPr>
          <w:p w14:paraId="4C180F0E">
            <w:pPr>
              <w:pStyle w:val="15"/>
              <w:spacing w:before="120" w:line="240" w:lineRule="auto"/>
              <w:rPr>
                <w:rFonts w:hAnsi="宋体"/>
                <w:color w:val="auto"/>
              </w:rPr>
            </w:pPr>
            <w:r>
              <w:rPr>
                <w:rFonts w:hint="eastAsia" w:hAnsi="宋体"/>
                <w:color w:val="auto"/>
              </w:rPr>
              <w:t>颗粒物排放量（t/a）</w:t>
            </w:r>
          </w:p>
        </w:tc>
        <w:tc>
          <w:tcPr>
            <w:tcW w:w="958" w:type="pct"/>
            <w:vAlign w:val="center"/>
          </w:tcPr>
          <w:p w14:paraId="259354A9">
            <w:pPr>
              <w:pStyle w:val="15"/>
              <w:spacing w:before="120" w:line="240" w:lineRule="auto"/>
              <w:rPr>
                <w:rFonts w:hAnsi="宋体"/>
                <w:color w:val="auto"/>
              </w:rPr>
            </w:pPr>
            <w:r>
              <w:rPr>
                <w:rFonts w:hint="eastAsia" w:hAnsi="宋体"/>
                <w:color w:val="auto"/>
              </w:rPr>
              <w:t>0.033</w:t>
            </w:r>
          </w:p>
        </w:tc>
        <w:tc>
          <w:tcPr>
            <w:tcW w:w="1249" w:type="pct"/>
            <w:vAlign w:val="center"/>
          </w:tcPr>
          <w:p w14:paraId="2C42811E">
            <w:pPr>
              <w:pStyle w:val="15"/>
              <w:spacing w:before="120" w:line="240" w:lineRule="auto"/>
              <w:rPr>
                <w:rFonts w:hAnsi="宋体"/>
                <w:color w:val="auto"/>
              </w:rPr>
            </w:pPr>
            <w:r>
              <w:rPr>
                <w:rFonts w:hint="eastAsia" w:hAnsi="宋体"/>
                <w:color w:val="auto"/>
              </w:rPr>
              <w:t>0.00</w:t>
            </w:r>
            <w:r>
              <w:rPr>
                <w:rFonts w:hAnsi="宋体"/>
                <w:color w:val="auto"/>
              </w:rPr>
              <w:t>9</w:t>
            </w:r>
          </w:p>
        </w:tc>
        <w:tc>
          <w:tcPr>
            <w:tcW w:w="1249" w:type="pct"/>
            <w:vAlign w:val="center"/>
          </w:tcPr>
          <w:p w14:paraId="4414B5D8">
            <w:pPr>
              <w:pStyle w:val="15"/>
              <w:spacing w:before="120" w:line="240" w:lineRule="auto"/>
              <w:rPr>
                <w:rFonts w:hAnsi="宋体"/>
                <w:color w:val="auto"/>
              </w:rPr>
            </w:pPr>
            <w:r>
              <w:rPr>
                <w:rFonts w:hint="eastAsia" w:hAnsi="宋体"/>
                <w:color w:val="auto"/>
              </w:rPr>
              <w:t>0.02</w:t>
            </w:r>
            <w:r>
              <w:rPr>
                <w:rFonts w:hAnsi="宋体"/>
                <w:color w:val="auto"/>
              </w:rPr>
              <w:t>7</w:t>
            </w:r>
          </w:p>
        </w:tc>
      </w:tr>
      <w:tr w14:paraId="212D9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pct"/>
            <w:vAlign w:val="center"/>
          </w:tcPr>
          <w:p w14:paraId="48FC3A09">
            <w:pPr>
              <w:pStyle w:val="15"/>
              <w:spacing w:before="120" w:line="240" w:lineRule="auto"/>
              <w:rPr>
                <w:rFonts w:hAnsi="宋体"/>
                <w:color w:val="auto"/>
              </w:rPr>
            </w:pPr>
            <w:r>
              <w:rPr>
                <w:rFonts w:hint="eastAsia" w:hAnsi="宋体"/>
                <w:color w:val="auto"/>
              </w:rPr>
              <w:t>二氧化硫排放量（t/a）</w:t>
            </w:r>
          </w:p>
        </w:tc>
        <w:tc>
          <w:tcPr>
            <w:tcW w:w="958" w:type="pct"/>
            <w:vAlign w:val="center"/>
          </w:tcPr>
          <w:p w14:paraId="536ADEF7">
            <w:pPr>
              <w:pStyle w:val="15"/>
              <w:spacing w:before="120" w:line="240" w:lineRule="auto"/>
              <w:rPr>
                <w:rFonts w:hAnsi="宋体"/>
                <w:color w:val="auto"/>
              </w:rPr>
            </w:pPr>
            <w:r>
              <w:rPr>
                <w:rFonts w:hint="eastAsia" w:hAnsi="宋体"/>
                <w:color w:val="auto"/>
              </w:rPr>
              <w:t>0.021</w:t>
            </w:r>
          </w:p>
        </w:tc>
        <w:tc>
          <w:tcPr>
            <w:tcW w:w="1249" w:type="pct"/>
            <w:vAlign w:val="center"/>
          </w:tcPr>
          <w:p w14:paraId="1D7086A6">
            <w:pPr>
              <w:pStyle w:val="15"/>
              <w:spacing w:before="120" w:line="240" w:lineRule="auto"/>
              <w:rPr>
                <w:rFonts w:hAnsi="宋体"/>
                <w:color w:val="auto"/>
              </w:rPr>
            </w:pPr>
            <w:r>
              <w:rPr>
                <w:rFonts w:hint="eastAsia" w:hAnsi="宋体"/>
                <w:color w:val="auto"/>
              </w:rPr>
              <w:t>0.00</w:t>
            </w:r>
            <w:r>
              <w:rPr>
                <w:rFonts w:hAnsi="宋体"/>
                <w:color w:val="auto"/>
              </w:rPr>
              <w:t>6</w:t>
            </w:r>
          </w:p>
        </w:tc>
        <w:tc>
          <w:tcPr>
            <w:tcW w:w="1249" w:type="pct"/>
            <w:vAlign w:val="center"/>
          </w:tcPr>
          <w:p w14:paraId="0E769F4B">
            <w:pPr>
              <w:pStyle w:val="15"/>
              <w:spacing w:before="120" w:line="240" w:lineRule="auto"/>
              <w:rPr>
                <w:rFonts w:hAnsi="宋体"/>
                <w:color w:val="auto"/>
              </w:rPr>
            </w:pPr>
            <w:r>
              <w:rPr>
                <w:rFonts w:hint="eastAsia" w:hAnsi="宋体"/>
                <w:color w:val="auto"/>
              </w:rPr>
              <w:t>0.015</w:t>
            </w:r>
          </w:p>
        </w:tc>
      </w:tr>
      <w:tr w14:paraId="7B760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pct"/>
            <w:vAlign w:val="center"/>
          </w:tcPr>
          <w:p w14:paraId="0CFC9BD2">
            <w:pPr>
              <w:pStyle w:val="15"/>
              <w:spacing w:before="120" w:line="240" w:lineRule="auto"/>
              <w:rPr>
                <w:rFonts w:hAnsi="宋体"/>
                <w:color w:val="auto"/>
              </w:rPr>
            </w:pPr>
            <w:r>
              <w:rPr>
                <w:rFonts w:hint="eastAsia" w:hAnsi="宋体"/>
                <w:color w:val="auto"/>
              </w:rPr>
              <w:t>氮氧化物排放量（t/a）</w:t>
            </w:r>
          </w:p>
        </w:tc>
        <w:tc>
          <w:tcPr>
            <w:tcW w:w="958" w:type="pct"/>
            <w:vAlign w:val="center"/>
          </w:tcPr>
          <w:p w14:paraId="0FE6E0AA">
            <w:pPr>
              <w:pStyle w:val="15"/>
              <w:spacing w:before="120" w:line="240" w:lineRule="auto"/>
              <w:rPr>
                <w:rFonts w:hAnsi="宋体"/>
                <w:color w:val="auto"/>
              </w:rPr>
            </w:pPr>
            <w:r>
              <w:rPr>
                <w:rFonts w:hint="eastAsia" w:hAnsi="宋体"/>
                <w:color w:val="auto"/>
              </w:rPr>
              <w:t>0.327</w:t>
            </w:r>
          </w:p>
        </w:tc>
        <w:tc>
          <w:tcPr>
            <w:tcW w:w="1249" w:type="pct"/>
            <w:vAlign w:val="center"/>
          </w:tcPr>
          <w:p w14:paraId="0B3A9D3C">
            <w:pPr>
              <w:pStyle w:val="15"/>
              <w:spacing w:before="120" w:line="240" w:lineRule="auto"/>
              <w:rPr>
                <w:rFonts w:hAnsi="宋体"/>
                <w:color w:val="auto"/>
              </w:rPr>
            </w:pPr>
            <w:r>
              <w:rPr>
                <w:rFonts w:hint="eastAsia" w:hAnsi="宋体"/>
                <w:color w:val="auto"/>
              </w:rPr>
              <w:t>0.1</w:t>
            </w:r>
            <w:r>
              <w:rPr>
                <w:rFonts w:hAnsi="宋体"/>
                <w:color w:val="auto"/>
              </w:rPr>
              <w:t>38</w:t>
            </w:r>
          </w:p>
        </w:tc>
        <w:tc>
          <w:tcPr>
            <w:tcW w:w="1249" w:type="pct"/>
            <w:vAlign w:val="center"/>
          </w:tcPr>
          <w:p w14:paraId="2D81A862">
            <w:pPr>
              <w:pStyle w:val="15"/>
              <w:spacing w:before="120" w:line="240" w:lineRule="auto"/>
              <w:rPr>
                <w:rFonts w:hAnsi="宋体"/>
                <w:color w:val="auto"/>
              </w:rPr>
            </w:pPr>
            <w:r>
              <w:rPr>
                <w:rFonts w:hint="eastAsia" w:hAnsi="宋体"/>
                <w:color w:val="auto"/>
              </w:rPr>
              <w:t>0.18</w:t>
            </w:r>
            <w:r>
              <w:rPr>
                <w:rFonts w:hAnsi="宋体"/>
                <w:color w:val="auto"/>
              </w:rPr>
              <w:t>9</w:t>
            </w:r>
          </w:p>
        </w:tc>
      </w:tr>
      <w:tr w14:paraId="71A9E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pct"/>
            <w:vAlign w:val="center"/>
          </w:tcPr>
          <w:p w14:paraId="5B1A8BD1">
            <w:pPr>
              <w:pStyle w:val="15"/>
              <w:spacing w:before="120" w:line="240" w:lineRule="auto"/>
              <w:rPr>
                <w:rFonts w:hAnsi="宋体"/>
                <w:color w:val="auto"/>
              </w:rPr>
            </w:pPr>
            <w:r>
              <w:rPr>
                <w:rFonts w:hint="eastAsia" w:hAnsi="宋体"/>
                <w:color w:val="auto"/>
              </w:rPr>
              <w:t>烟气量（10</w:t>
            </w:r>
            <w:r>
              <w:rPr>
                <w:rFonts w:hint="eastAsia" w:hAnsi="宋体"/>
                <w:color w:val="auto"/>
                <w:vertAlign w:val="superscript"/>
              </w:rPr>
              <w:t>4</w:t>
            </w:r>
            <w:r>
              <w:rPr>
                <w:rFonts w:hint="eastAsia" w:hAnsi="宋体"/>
                <w:color w:val="auto"/>
              </w:rPr>
              <w:t>m</w:t>
            </w:r>
            <w:r>
              <w:rPr>
                <w:rFonts w:hint="eastAsia" w:hAnsi="宋体"/>
                <w:color w:val="auto"/>
                <w:vertAlign w:val="superscript"/>
              </w:rPr>
              <w:t>3</w:t>
            </w:r>
            <w:r>
              <w:rPr>
                <w:rFonts w:hint="eastAsia" w:hAnsi="宋体"/>
                <w:color w:val="auto"/>
              </w:rPr>
              <w:t>/a）</w:t>
            </w:r>
          </w:p>
        </w:tc>
        <w:tc>
          <w:tcPr>
            <w:tcW w:w="958" w:type="pct"/>
            <w:vAlign w:val="center"/>
          </w:tcPr>
          <w:p w14:paraId="1C24DA69">
            <w:pPr>
              <w:pStyle w:val="15"/>
              <w:spacing w:before="120" w:line="240" w:lineRule="auto"/>
              <w:rPr>
                <w:rFonts w:hAnsi="宋体"/>
                <w:color w:val="auto"/>
              </w:rPr>
            </w:pPr>
            <w:r>
              <w:rPr>
                <w:rFonts w:hint="eastAsia" w:hAnsi="宋体"/>
                <w:color w:val="auto"/>
              </w:rPr>
              <w:t>710.82</w:t>
            </w:r>
          </w:p>
        </w:tc>
        <w:tc>
          <w:tcPr>
            <w:tcW w:w="1249" w:type="pct"/>
            <w:vAlign w:val="center"/>
          </w:tcPr>
          <w:p w14:paraId="09D1B87A">
            <w:pPr>
              <w:pStyle w:val="15"/>
              <w:spacing w:before="120" w:line="240" w:lineRule="auto"/>
              <w:rPr>
                <w:rFonts w:hAnsi="宋体"/>
                <w:color w:val="auto"/>
              </w:rPr>
            </w:pPr>
            <w:r>
              <w:rPr>
                <w:rFonts w:hAnsi="宋体"/>
                <w:color w:val="auto"/>
              </w:rPr>
              <w:t>384.42</w:t>
            </w:r>
          </w:p>
        </w:tc>
        <w:tc>
          <w:tcPr>
            <w:tcW w:w="1249" w:type="pct"/>
            <w:vAlign w:val="center"/>
          </w:tcPr>
          <w:p w14:paraId="600C9990">
            <w:pPr>
              <w:pStyle w:val="15"/>
              <w:spacing w:before="120" w:line="240" w:lineRule="auto"/>
              <w:rPr>
                <w:rFonts w:hAnsi="宋体"/>
                <w:color w:val="auto"/>
              </w:rPr>
            </w:pPr>
            <w:r>
              <w:rPr>
                <w:rFonts w:hint="eastAsia" w:hAnsi="宋体"/>
                <w:color w:val="auto"/>
              </w:rPr>
              <w:t>3</w:t>
            </w:r>
            <w:r>
              <w:rPr>
                <w:rFonts w:hAnsi="宋体"/>
                <w:color w:val="auto"/>
              </w:rPr>
              <w:t>26.4</w:t>
            </w:r>
          </w:p>
        </w:tc>
      </w:tr>
    </w:tbl>
    <w:p w14:paraId="795AF240">
      <w:pPr>
        <w:pStyle w:val="15"/>
        <w:spacing w:before="120"/>
        <w:jc w:val="left"/>
        <w:rPr>
          <w:color w:val="auto"/>
        </w:rPr>
      </w:pPr>
      <w:r>
        <w:rPr>
          <w:rFonts w:hint="eastAsia"/>
          <w:color w:val="auto"/>
        </w:rPr>
        <w:t>备注：加热炉烟气污染物浓度取2500kW加热炉监测数据最大值（颗粒物：2.3mg/m</w:t>
      </w:r>
      <w:r>
        <w:rPr>
          <w:rFonts w:hint="eastAsia"/>
          <w:color w:val="auto"/>
          <w:vertAlign w:val="superscript"/>
        </w:rPr>
        <w:t>3</w:t>
      </w:r>
      <w:r>
        <w:rPr>
          <w:rFonts w:hint="eastAsia"/>
          <w:color w:val="auto"/>
        </w:rPr>
        <w:t>、SO</w:t>
      </w:r>
      <w:r>
        <w:rPr>
          <w:rFonts w:hint="eastAsia"/>
          <w:color w:val="auto"/>
          <w:vertAlign w:val="subscript"/>
        </w:rPr>
        <w:t>2</w:t>
      </w:r>
      <w:r>
        <w:rPr>
          <w:rFonts w:hint="eastAsia"/>
          <w:color w:val="auto"/>
        </w:rPr>
        <w:t>：未检出，取检出限的一半1.5mg/m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：36mg/m</w:t>
      </w:r>
      <w:r>
        <w:rPr>
          <w:rFonts w:hint="eastAsia"/>
          <w:color w:val="auto"/>
          <w:vertAlign w:val="superscript"/>
        </w:rPr>
        <w:t>3</w:t>
      </w:r>
      <w:r>
        <w:rPr>
          <w:rFonts w:hint="eastAsia"/>
          <w:color w:val="auto"/>
        </w:rPr>
        <w:t>）</w:t>
      </w:r>
    </w:p>
    <w:p w14:paraId="37D1A1D2">
      <w:pPr>
        <w:pStyle w:val="4"/>
        <w:numPr>
          <w:ilvl w:val="0"/>
          <w:numId w:val="20"/>
        </w:numPr>
        <w:ind w:firstLineChars="0"/>
        <w:rPr>
          <w:color w:val="auto"/>
        </w:rPr>
      </w:pPr>
      <w:bookmarkStart w:id="289" w:name="OLE_LINK352"/>
      <w:bookmarkStart w:id="290" w:name="OLE_LINK351"/>
      <w:r>
        <w:rPr>
          <w:rFonts w:hint="eastAsia"/>
          <w:color w:val="auto"/>
        </w:rPr>
        <w:t>高青管理区地面系统优化建设工程</w:t>
      </w:r>
      <w:bookmarkEnd w:id="289"/>
      <w:bookmarkEnd w:id="290"/>
    </w:p>
    <w:p w14:paraId="5373F01D">
      <w:pPr>
        <w:pStyle w:val="4"/>
        <w:ind w:firstLine="480"/>
        <w:rPr>
          <w:color w:val="auto"/>
        </w:rPr>
      </w:pPr>
      <w:r>
        <w:rPr>
          <w:rFonts w:hint="eastAsia"/>
          <w:color w:val="auto"/>
        </w:rPr>
        <w:t>高青管理区地面系统优化建设工程实施后，27口油井采出液由拉油改为管输，取消燃气多功能罐10台。</w:t>
      </w:r>
    </w:p>
    <w:p w14:paraId="2D8D9661">
      <w:pPr>
        <w:pStyle w:val="15"/>
        <w:spacing w:before="120"/>
        <w:ind w:firstLine="480"/>
        <w:rPr>
          <w:rFonts w:hAnsi="等线 Light"/>
          <w:color w:val="auto"/>
          <w:szCs w:val="21"/>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8</w:t>
      </w:r>
      <w:r>
        <w:rPr>
          <w:color w:val="auto"/>
        </w:rPr>
        <w:fldChar w:fldCharType="end"/>
      </w:r>
      <w:r>
        <w:rPr>
          <w:color w:val="auto"/>
        </w:rPr>
        <w:t xml:space="preserve"> </w:t>
      </w:r>
      <w:r>
        <w:rPr>
          <w:rFonts w:hint="eastAsia" w:hAnsi="宋体"/>
          <w:color w:val="auto"/>
        </w:rPr>
        <w:t>工程实施前后多功能罐污染物排放量</w:t>
      </w:r>
    </w:p>
    <w:tbl>
      <w:tblPr>
        <w:tblStyle w:val="8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85"/>
        <w:gridCol w:w="2229"/>
        <w:gridCol w:w="2906"/>
      </w:tblGrid>
      <w:tr w14:paraId="73DA0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pct"/>
            <w:tcBorders>
              <w:top w:val="single" w:color="auto" w:sz="4" w:space="0"/>
              <w:left w:val="single" w:color="auto" w:sz="4" w:space="0"/>
              <w:bottom w:val="single" w:color="auto" w:sz="4" w:space="0"/>
              <w:right w:val="single" w:color="auto" w:sz="4" w:space="0"/>
            </w:tcBorders>
            <w:vAlign w:val="center"/>
          </w:tcPr>
          <w:p w14:paraId="1CAB4D32">
            <w:pPr>
              <w:pStyle w:val="81"/>
              <w:rPr>
                <w:color w:val="auto"/>
              </w:rPr>
            </w:pPr>
            <w:r>
              <w:rPr>
                <w:rFonts w:hint="eastAsia" w:hAnsi="宋体"/>
                <w:color w:val="auto"/>
              </w:rPr>
              <w:t>项目</w:t>
            </w:r>
          </w:p>
        </w:tc>
        <w:tc>
          <w:tcPr>
            <w:tcW w:w="1278" w:type="pct"/>
            <w:tcBorders>
              <w:top w:val="single" w:color="auto" w:sz="4" w:space="0"/>
              <w:left w:val="single" w:color="auto" w:sz="4" w:space="0"/>
              <w:bottom w:val="single" w:color="auto" w:sz="4" w:space="0"/>
              <w:right w:val="single" w:color="auto" w:sz="4" w:space="0"/>
            </w:tcBorders>
            <w:vAlign w:val="center"/>
          </w:tcPr>
          <w:p w14:paraId="5F863A7A">
            <w:pPr>
              <w:pStyle w:val="81"/>
              <w:rPr>
                <w:color w:val="auto"/>
              </w:rPr>
            </w:pPr>
            <w:r>
              <w:rPr>
                <w:rFonts w:hint="eastAsia" w:hAnsi="宋体"/>
                <w:color w:val="auto"/>
              </w:rPr>
              <w:t>实施前</w:t>
            </w:r>
          </w:p>
        </w:tc>
        <w:tc>
          <w:tcPr>
            <w:tcW w:w="1666" w:type="pct"/>
            <w:tcBorders>
              <w:top w:val="single" w:color="auto" w:sz="4" w:space="0"/>
              <w:left w:val="single" w:color="auto" w:sz="4" w:space="0"/>
              <w:bottom w:val="single" w:color="auto" w:sz="4" w:space="0"/>
              <w:right w:val="single" w:color="auto" w:sz="4" w:space="0"/>
            </w:tcBorders>
            <w:vAlign w:val="center"/>
          </w:tcPr>
          <w:p w14:paraId="2F40CFAB">
            <w:pPr>
              <w:pStyle w:val="81"/>
              <w:rPr>
                <w:color w:val="auto"/>
              </w:rPr>
            </w:pPr>
            <w:r>
              <w:rPr>
                <w:rFonts w:hint="eastAsia" w:hAnsi="宋体"/>
                <w:color w:val="auto"/>
              </w:rPr>
              <w:t>实施后</w:t>
            </w:r>
          </w:p>
        </w:tc>
      </w:tr>
      <w:tr w14:paraId="2AE0D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pct"/>
            <w:tcBorders>
              <w:top w:val="single" w:color="auto" w:sz="4" w:space="0"/>
              <w:left w:val="single" w:color="auto" w:sz="4" w:space="0"/>
              <w:bottom w:val="single" w:color="auto" w:sz="4" w:space="0"/>
              <w:right w:val="single" w:color="auto" w:sz="4" w:space="0"/>
            </w:tcBorders>
            <w:vAlign w:val="center"/>
          </w:tcPr>
          <w:p w14:paraId="618FE2BE">
            <w:pPr>
              <w:pStyle w:val="81"/>
              <w:rPr>
                <w:color w:val="auto"/>
              </w:rPr>
            </w:pPr>
            <w:r>
              <w:rPr>
                <w:rFonts w:hint="eastAsia" w:hAnsi="宋体"/>
                <w:color w:val="auto"/>
              </w:rPr>
              <w:t>多功能罐数量（台）</w:t>
            </w:r>
          </w:p>
        </w:tc>
        <w:tc>
          <w:tcPr>
            <w:tcW w:w="1278" w:type="pct"/>
            <w:tcBorders>
              <w:top w:val="single" w:color="auto" w:sz="4" w:space="0"/>
              <w:left w:val="single" w:color="auto" w:sz="4" w:space="0"/>
              <w:bottom w:val="single" w:color="auto" w:sz="4" w:space="0"/>
              <w:right w:val="single" w:color="auto" w:sz="4" w:space="0"/>
            </w:tcBorders>
            <w:vAlign w:val="center"/>
          </w:tcPr>
          <w:p w14:paraId="716547CF">
            <w:pPr>
              <w:pStyle w:val="81"/>
              <w:rPr>
                <w:color w:val="auto"/>
              </w:rPr>
            </w:pPr>
            <w:r>
              <w:rPr>
                <w:rFonts w:hint="eastAsia"/>
                <w:color w:val="auto"/>
              </w:rPr>
              <w:t>10</w:t>
            </w:r>
          </w:p>
        </w:tc>
        <w:tc>
          <w:tcPr>
            <w:tcW w:w="1666" w:type="pct"/>
            <w:tcBorders>
              <w:top w:val="single" w:color="auto" w:sz="4" w:space="0"/>
              <w:left w:val="single" w:color="auto" w:sz="4" w:space="0"/>
              <w:bottom w:val="single" w:color="auto" w:sz="4" w:space="0"/>
              <w:right w:val="single" w:color="auto" w:sz="4" w:space="0"/>
            </w:tcBorders>
            <w:vAlign w:val="center"/>
          </w:tcPr>
          <w:p w14:paraId="53C8E79A">
            <w:pPr>
              <w:pStyle w:val="81"/>
              <w:rPr>
                <w:color w:val="auto"/>
              </w:rPr>
            </w:pPr>
            <w:r>
              <w:rPr>
                <w:rFonts w:hint="eastAsia"/>
                <w:color w:val="auto"/>
              </w:rPr>
              <w:t>0</w:t>
            </w:r>
          </w:p>
        </w:tc>
      </w:tr>
      <w:tr w14:paraId="654A2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pct"/>
            <w:tcBorders>
              <w:top w:val="single" w:color="auto" w:sz="4" w:space="0"/>
              <w:left w:val="single" w:color="auto" w:sz="4" w:space="0"/>
              <w:bottom w:val="single" w:color="auto" w:sz="4" w:space="0"/>
              <w:right w:val="single" w:color="auto" w:sz="4" w:space="0"/>
            </w:tcBorders>
            <w:vAlign w:val="center"/>
          </w:tcPr>
          <w:p w14:paraId="2A9A234D">
            <w:pPr>
              <w:pStyle w:val="81"/>
              <w:rPr>
                <w:color w:val="auto"/>
              </w:rPr>
            </w:pPr>
            <w:r>
              <w:rPr>
                <w:rFonts w:hint="eastAsia" w:hAnsi="宋体"/>
                <w:color w:val="auto"/>
              </w:rPr>
              <w:t>多功能罐耗气量（m</w:t>
            </w:r>
            <w:r>
              <w:rPr>
                <w:rFonts w:hint="eastAsia" w:hAnsi="宋体"/>
                <w:color w:val="auto"/>
                <w:vertAlign w:val="superscript"/>
              </w:rPr>
              <w:t>3</w:t>
            </w:r>
            <w:r>
              <w:rPr>
                <w:rFonts w:hint="eastAsia"/>
                <w:color w:val="auto"/>
              </w:rPr>
              <w:t>/a</w:t>
            </w:r>
            <w:r>
              <w:rPr>
                <w:rFonts w:hint="eastAsia" w:hAnsi="宋体"/>
                <w:color w:val="auto"/>
              </w:rPr>
              <w:t>）</w:t>
            </w:r>
          </w:p>
        </w:tc>
        <w:tc>
          <w:tcPr>
            <w:tcW w:w="1278" w:type="pct"/>
            <w:tcBorders>
              <w:top w:val="single" w:color="auto" w:sz="4" w:space="0"/>
              <w:left w:val="single" w:color="auto" w:sz="4" w:space="0"/>
              <w:bottom w:val="single" w:color="auto" w:sz="4" w:space="0"/>
              <w:right w:val="single" w:color="auto" w:sz="4" w:space="0"/>
            </w:tcBorders>
            <w:vAlign w:val="center"/>
          </w:tcPr>
          <w:p w14:paraId="121FA8EE">
            <w:pPr>
              <w:pStyle w:val="81"/>
              <w:rPr>
                <w:color w:val="auto"/>
              </w:rPr>
            </w:pPr>
            <w:r>
              <w:rPr>
                <w:rFonts w:hint="eastAsia"/>
                <w:color w:val="auto"/>
              </w:rPr>
              <w:t>303240</w:t>
            </w:r>
          </w:p>
        </w:tc>
        <w:tc>
          <w:tcPr>
            <w:tcW w:w="1666" w:type="pct"/>
            <w:tcBorders>
              <w:top w:val="single" w:color="auto" w:sz="4" w:space="0"/>
              <w:left w:val="single" w:color="auto" w:sz="4" w:space="0"/>
              <w:bottom w:val="single" w:color="auto" w:sz="4" w:space="0"/>
              <w:right w:val="single" w:color="auto" w:sz="4" w:space="0"/>
            </w:tcBorders>
            <w:vAlign w:val="center"/>
          </w:tcPr>
          <w:p w14:paraId="4E00DA08">
            <w:pPr>
              <w:pStyle w:val="81"/>
              <w:rPr>
                <w:color w:val="auto"/>
              </w:rPr>
            </w:pPr>
            <w:r>
              <w:rPr>
                <w:rFonts w:hint="eastAsia"/>
                <w:color w:val="auto"/>
              </w:rPr>
              <w:t>0</w:t>
            </w:r>
          </w:p>
        </w:tc>
      </w:tr>
      <w:tr w14:paraId="367BF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pct"/>
            <w:tcBorders>
              <w:top w:val="single" w:color="auto" w:sz="4" w:space="0"/>
              <w:left w:val="single" w:color="auto" w:sz="4" w:space="0"/>
              <w:bottom w:val="single" w:color="auto" w:sz="4" w:space="0"/>
              <w:right w:val="single" w:color="auto" w:sz="4" w:space="0"/>
            </w:tcBorders>
            <w:vAlign w:val="center"/>
          </w:tcPr>
          <w:p w14:paraId="3C90E842">
            <w:pPr>
              <w:pStyle w:val="81"/>
              <w:rPr>
                <w:color w:val="auto"/>
              </w:rPr>
            </w:pPr>
            <w:r>
              <w:rPr>
                <w:rFonts w:hint="eastAsia" w:hAnsi="宋体"/>
                <w:color w:val="auto"/>
              </w:rPr>
              <w:t>颗粒物排放量（t</w:t>
            </w:r>
            <w:r>
              <w:rPr>
                <w:rFonts w:hint="eastAsia"/>
                <w:color w:val="auto"/>
              </w:rPr>
              <w:t>/a</w:t>
            </w:r>
            <w:r>
              <w:rPr>
                <w:rFonts w:hint="eastAsia" w:hAnsi="宋体"/>
                <w:color w:val="auto"/>
              </w:rPr>
              <w:t>）</w:t>
            </w:r>
          </w:p>
        </w:tc>
        <w:tc>
          <w:tcPr>
            <w:tcW w:w="1278" w:type="pct"/>
            <w:tcBorders>
              <w:top w:val="single" w:color="auto" w:sz="4" w:space="0"/>
              <w:left w:val="single" w:color="auto" w:sz="4" w:space="0"/>
              <w:bottom w:val="single" w:color="auto" w:sz="4" w:space="0"/>
              <w:right w:val="single" w:color="auto" w:sz="4" w:space="0"/>
            </w:tcBorders>
            <w:vAlign w:val="center"/>
          </w:tcPr>
          <w:p w14:paraId="546CE133">
            <w:pPr>
              <w:pStyle w:val="81"/>
              <w:rPr>
                <w:color w:val="auto"/>
              </w:rPr>
            </w:pPr>
            <w:r>
              <w:rPr>
                <w:rFonts w:hint="eastAsia"/>
                <w:color w:val="auto"/>
              </w:rPr>
              <w:t>0.0003</w:t>
            </w:r>
          </w:p>
        </w:tc>
        <w:tc>
          <w:tcPr>
            <w:tcW w:w="1666" w:type="pct"/>
            <w:tcBorders>
              <w:top w:val="single" w:color="auto" w:sz="4" w:space="0"/>
              <w:left w:val="single" w:color="auto" w:sz="4" w:space="0"/>
              <w:bottom w:val="single" w:color="auto" w:sz="4" w:space="0"/>
              <w:right w:val="single" w:color="auto" w:sz="4" w:space="0"/>
            </w:tcBorders>
            <w:vAlign w:val="center"/>
          </w:tcPr>
          <w:p w14:paraId="07039303">
            <w:pPr>
              <w:pStyle w:val="81"/>
              <w:rPr>
                <w:color w:val="auto"/>
              </w:rPr>
            </w:pPr>
            <w:r>
              <w:rPr>
                <w:rFonts w:hint="eastAsia"/>
                <w:color w:val="auto"/>
              </w:rPr>
              <w:t>0</w:t>
            </w:r>
          </w:p>
        </w:tc>
      </w:tr>
      <w:tr w14:paraId="682CA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pct"/>
            <w:tcBorders>
              <w:top w:val="single" w:color="auto" w:sz="4" w:space="0"/>
              <w:left w:val="single" w:color="auto" w:sz="4" w:space="0"/>
              <w:bottom w:val="single" w:color="auto" w:sz="4" w:space="0"/>
              <w:right w:val="single" w:color="auto" w:sz="4" w:space="0"/>
            </w:tcBorders>
            <w:vAlign w:val="center"/>
          </w:tcPr>
          <w:p w14:paraId="68CA3FC9">
            <w:pPr>
              <w:pStyle w:val="81"/>
              <w:rPr>
                <w:color w:val="auto"/>
              </w:rPr>
            </w:pPr>
            <w:r>
              <w:rPr>
                <w:rFonts w:hint="eastAsia" w:hAnsi="宋体"/>
                <w:color w:val="auto"/>
              </w:rPr>
              <w:t>二氧化硫排放量（t</w:t>
            </w:r>
            <w:r>
              <w:rPr>
                <w:rFonts w:hint="eastAsia"/>
                <w:color w:val="auto"/>
              </w:rPr>
              <w:t>/a</w:t>
            </w:r>
            <w:r>
              <w:rPr>
                <w:rFonts w:hint="eastAsia" w:hAnsi="宋体"/>
                <w:color w:val="auto"/>
              </w:rPr>
              <w:t>）</w:t>
            </w:r>
          </w:p>
        </w:tc>
        <w:tc>
          <w:tcPr>
            <w:tcW w:w="1278" w:type="pct"/>
            <w:tcBorders>
              <w:top w:val="single" w:color="auto" w:sz="4" w:space="0"/>
              <w:left w:val="single" w:color="auto" w:sz="4" w:space="0"/>
              <w:bottom w:val="single" w:color="auto" w:sz="4" w:space="0"/>
              <w:right w:val="single" w:color="auto" w:sz="4" w:space="0"/>
            </w:tcBorders>
            <w:vAlign w:val="center"/>
          </w:tcPr>
          <w:p w14:paraId="05F14A09">
            <w:pPr>
              <w:pStyle w:val="81"/>
              <w:rPr>
                <w:color w:val="auto"/>
              </w:rPr>
            </w:pPr>
            <w:r>
              <w:rPr>
                <w:rFonts w:hint="eastAsia"/>
                <w:color w:val="auto"/>
              </w:rPr>
              <w:t>0.0009</w:t>
            </w:r>
          </w:p>
        </w:tc>
        <w:tc>
          <w:tcPr>
            <w:tcW w:w="1666" w:type="pct"/>
            <w:tcBorders>
              <w:top w:val="single" w:color="auto" w:sz="4" w:space="0"/>
              <w:left w:val="single" w:color="auto" w:sz="4" w:space="0"/>
              <w:bottom w:val="single" w:color="auto" w:sz="4" w:space="0"/>
              <w:right w:val="single" w:color="auto" w:sz="4" w:space="0"/>
            </w:tcBorders>
            <w:vAlign w:val="center"/>
          </w:tcPr>
          <w:p w14:paraId="5A6D7AEC">
            <w:pPr>
              <w:pStyle w:val="81"/>
              <w:rPr>
                <w:color w:val="auto"/>
              </w:rPr>
            </w:pPr>
            <w:r>
              <w:rPr>
                <w:rFonts w:hint="eastAsia"/>
                <w:color w:val="auto"/>
              </w:rPr>
              <w:t>0</w:t>
            </w:r>
          </w:p>
        </w:tc>
      </w:tr>
      <w:tr w14:paraId="51567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pct"/>
            <w:tcBorders>
              <w:top w:val="single" w:color="auto" w:sz="4" w:space="0"/>
              <w:left w:val="single" w:color="auto" w:sz="4" w:space="0"/>
              <w:bottom w:val="single" w:color="auto" w:sz="4" w:space="0"/>
              <w:right w:val="single" w:color="auto" w:sz="4" w:space="0"/>
            </w:tcBorders>
            <w:vAlign w:val="center"/>
          </w:tcPr>
          <w:p w14:paraId="599D370C">
            <w:pPr>
              <w:pStyle w:val="81"/>
              <w:rPr>
                <w:color w:val="auto"/>
              </w:rPr>
            </w:pPr>
            <w:r>
              <w:rPr>
                <w:rFonts w:hint="eastAsia" w:hAnsi="宋体"/>
                <w:color w:val="auto"/>
              </w:rPr>
              <w:t>氮氧化物排放量（t</w:t>
            </w:r>
            <w:r>
              <w:rPr>
                <w:rFonts w:hint="eastAsia"/>
                <w:color w:val="auto"/>
              </w:rPr>
              <w:t>/a</w:t>
            </w:r>
            <w:r>
              <w:rPr>
                <w:rFonts w:hint="eastAsia" w:hAnsi="宋体"/>
                <w:color w:val="auto"/>
              </w:rPr>
              <w:t>）</w:t>
            </w:r>
          </w:p>
        </w:tc>
        <w:tc>
          <w:tcPr>
            <w:tcW w:w="1278" w:type="pct"/>
            <w:tcBorders>
              <w:top w:val="single" w:color="auto" w:sz="4" w:space="0"/>
              <w:left w:val="single" w:color="auto" w:sz="4" w:space="0"/>
              <w:bottom w:val="single" w:color="auto" w:sz="4" w:space="0"/>
              <w:right w:val="single" w:color="auto" w:sz="4" w:space="0"/>
            </w:tcBorders>
            <w:vAlign w:val="center"/>
          </w:tcPr>
          <w:p w14:paraId="04DB8A48">
            <w:pPr>
              <w:pStyle w:val="81"/>
              <w:rPr>
                <w:color w:val="auto"/>
              </w:rPr>
            </w:pPr>
            <w:r>
              <w:rPr>
                <w:rFonts w:hint="eastAsia"/>
                <w:color w:val="auto"/>
              </w:rPr>
              <w:t>0.0146</w:t>
            </w:r>
          </w:p>
        </w:tc>
        <w:tc>
          <w:tcPr>
            <w:tcW w:w="1666" w:type="pct"/>
            <w:tcBorders>
              <w:top w:val="single" w:color="auto" w:sz="4" w:space="0"/>
              <w:left w:val="single" w:color="auto" w:sz="4" w:space="0"/>
              <w:bottom w:val="single" w:color="auto" w:sz="4" w:space="0"/>
              <w:right w:val="single" w:color="auto" w:sz="4" w:space="0"/>
            </w:tcBorders>
            <w:vAlign w:val="center"/>
          </w:tcPr>
          <w:p w14:paraId="0EBB932C">
            <w:pPr>
              <w:pStyle w:val="81"/>
              <w:rPr>
                <w:color w:val="auto"/>
              </w:rPr>
            </w:pPr>
            <w:r>
              <w:rPr>
                <w:rFonts w:hint="eastAsia"/>
                <w:color w:val="auto"/>
              </w:rPr>
              <w:t>0</w:t>
            </w:r>
          </w:p>
        </w:tc>
      </w:tr>
      <w:tr w14:paraId="63BEF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pct"/>
            <w:tcBorders>
              <w:top w:val="single" w:color="auto" w:sz="4" w:space="0"/>
              <w:left w:val="single" w:color="auto" w:sz="4" w:space="0"/>
              <w:bottom w:val="single" w:color="auto" w:sz="4" w:space="0"/>
              <w:right w:val="single" w:color="auto" w:sz="4" w:space="0"/>
            </w:tcBorders>
            <w:vAlign w:val="center"/>
          </w:tcPr>
          <w:p w14:paraId="7046AFC9">
            <w:pPr>
              <w:pStyle w:val="81"/>
              <w:rPr>
                <w:color w:val="auto"/>
              </w:rPr>
            </w:pPr>
            <w:bookmarkStart w:id="291" w:name="_Hlk70522052"/>
            <w:r>
              <w:rPr>
                <w:rFonts w:hint="eastAsia" w:hAnsi="宋体"/>
                <w:color w:val="auto"/>
              </w:rPr>
              <w:t>烟气量（m</w:t>
            </w:r>
            <w:bookmarkEnd w:id="291"/>
            <w:r>
              <w:rPr>
                <w:rFonts w:hint="eastAsia" w:hAnsi="宋体"/>
                <w:color w:val="auto"/>
                <w:vertAlign w:val="superscript"/>
              </w:rPr>
              <w:t>3</w:t>
            </w:r>
            <w:r>
              <w:rPr>
                <w:rFonts w:hint="eastAsia"/>
                <w:color w:val="auto"/>
              </w:rPr>
              <w:t>/a</w:t>
            </w:r>
            <w:r>
              <w:rPr>
                <w:rFonts w:hint="eastAsia" w:hAnsi="宋体"/>
                <w:color w:val="auto"/>
              </w:rPr>
              <w:t>）</w:t>
            </w:r>
          </w:p>
        </w:tc>
        <w:tc>
          <w:tcPr>
            <w:tcW w:w="1278" w:type="pct"/>
            <w:tcBorders>
              <w:top w:val="single" w:color="auto" w:sz="4" w:space="0"/>
              <w:left w:val="single" w:color="auto" w:sz="4" w:space="0"/>
              <w:bottom w:val="single" w:color="auto" w:sz="4" w:space="0"/>
              <w:right w:val="single" w:color="auto" w:sz="4" w:space="0"/>
            </w:tcBorders>
            <w:vAlign w:val="center"/>
          </w:tcPr>
          <w:p w14:paraId="6FC15B0A">
            <w:pPr>
              <w:pStyle w:val="81"/>
              <w:rPr>
                <w:color w:val="auto"/>
              </w:rPr>
            </w:pPr>
            <w:r>
              <w:rPr>
                <w:rFonts w:hint="eastAsia"/>
                <w:color w:val="auto"/>
              </w:rPr>
              <w:t>326.59</w:t>
            </w:r>
          </w:p>
        </w:tc>
        <w:tc>
          <w:tcPr>
            <w:tcW w:w="1666" w:type="pct"/>
            <w:tcBorders>
              <w:top w:val="single" w:color="auto" w:sz="4" w:space="0"/>
              <w:left w:val="single" w:color="auto" w:sz="4" w:space="0"/>
              <w:bottom w:val="single" w:color="auto" w:sz="4" w:space="0"/>
              <w:right w:val="single" w:color="auto" w:sz="4" w:space="0"/>
            </w:tcBorders>
            <w:vAlign w:val="center"/>
          </w:tcPr>
          <w:p w14:paraId="7163FEB4">
            <w:pPr>
              <w:pStyle w:val="81"/>
              <w:rPr>
                <w:color w:val="auto"/>
              </w:rPr>
            </w:pPr>
            <w:r>
              <w:rPr>
                <w:rFonts w:hint="eastAsia"/>
                <w:color w:val="auto"/>
              </w:rPr>
              <w:t>0</w:t>
            </w:r>
          </w:p>
        </w:tc>
      </w:tr>
    </w:tbl>
    <w:p w14:paraId="1C1816F1">
      <w:pPr>
        <w:pStyle w:val="15"/>
        <w:spacing w:before="120"/>
        <w:jc w:val="left"/>
        <w:rPr>
          <w:color w:val="auto"/>
        </w:rPr>
      </w:pPr>
      <w:r>
        <w:rPr>
          <w:rFonts w:hint="eastAsia"/>
          <w:color w:val="auto"/>
        </w:rPr>
        <w:t>注：多功能罐烟气污染物浓度取现有工程各多功能罐烟气污染物浓度中的最大值计算（颗粒物：1mg/m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：48mg/m</w:t>
      </w:r>
      <w:r>
        <w:rPr>
          <w:rFonts w:hint="eastAsia"/>
          <w:color w:val="auto"/>
          <w:vertAlign w:val="superscript"/>
        </w:rPr>
        <w:t>3</w:t>
      </w:r>
      <w:r>
        <w:rPr>
          <w:rFonts w:hint="eastAsia"/>
          <w:color w:val="auto"/>
        </w:rPr>
        <w:t>，SO</w:t>
      </w:r>
      <w:r>
        <w:rPr>
          <w:rFonts w:hint="eastAsia"/>
          <w:color w:val="auto"/>
          <w:vertAlign w:val="subscript"/>
        </w:rPr>
        <w:t>2</w:t>
      </w:r>
      <w:r>
        <w:rPr>
          <w:rFonts w:hint="eastAsia"/>
          <w:color w:val="auto"/>
        </w:rPr>
        <w:t xml:space="preserve"> 3mg/m</w:t>
      </w:r>
      <w:r>
        <w:rPr>
          <w:rFonts w:hint="eastAsia"/>
          <w:color w:val="auto"/>
          <w:vertAlign w:val="superscript"/>
        </w:rPr>
        <w:t>3</w:t>
      </w:r>
      <w:r>
        <w:rPr>
          <w:rFonts w:hint="eastAsia"/>
          <w:color w:val="auto"/>
        </w:rPr>
        <w:t>）。</w:t>
      </w:r>
    </w:p>
    <w:p w14:paraId="74ADB0AA">
      <w:pPr>
        <w:pStyle w:val="4"/>
        <w:ind w:firstLine="480"/>
        <w:rPr>
          <w:color w:val="auto"/>
        </w:rPr>
      </w:pPr>
      <w:r>
        <w:rPr>
          <w:rFonts w:hint="eastAsia"/>
          <w:color w:val="auto"/>
        </w:rPr>
        <w:t>综上，本期工程实施后，有组织废气排放情况见</w:t>
      </w:r>
      <w:r>
        <w:rPr>
          <w:color w:val="auto"/>
        </w:rPr>
        <w:fldChar w:fldCharType="begin"/>
      </w:r>
      <w:r>
        <w:instrText xml:space="preserve"> REF _Ref231281194 \h  \* MERGEFORMAT</w:instrText>
      </w:r>
      <w:r>
        <w:rPr>
          <w:color w:val="auto"/>
        </w:rPr>
        <w:fldChar w:fldCharType="separate"/>
      </w:r>
      <w:r>
        <w:rPr>
          <w:color w:val="auto"/>
        </w:rPr>
        <w:t>表 3.4</w:t>
      </w:r>
      <w:r>
        <w:rPr>
          <w:color w:val="auto"/>
        </w:rPr>
        <w:noBreakHyphen/>
      </w:r>
      <w:r>
        <w:rPr>
          <w:color w:val="auto"/>
        </w:rPr>
        <w:t>9</w:t>
      </w:r>
      <w:r>
        <w:rPr>
          <w:color w:val="auto"/>
        </w:rPr>
        <w:fldChar w:fldCharType="end"/>
      </w:r>
      <w:r>
        <w:rPr>
          <w:rFonts w:hint="eastAsia"/>
          <w:color w:val="auto"/>
        </w:rPr>
        <w:t>。</w:t>
      </w:r>
    </w:p>
    <w:p w14:paraId="06CBA90F">
      <w:pPr>
        <w:pStyle w:val="15"/>
        <w:spacing w:before="120"/>
        <w:rPr>
          <w:color w:val="auto"/>
        </w:rPr>
      </w:pPr>
    </w:p>
    <w:p w14:paraId="2E9B89FD">
      <w:pPr>
        <w:pStyle w:val="15"/>
        <w:spacing w:before="120"/>
        <w:rPr>
          <w:color w:val="auto"/>
        </w:rPr>
      </w:pPr>
    </w:p>
    <w:p w14:paraId="3DA239BF">
      <w:pPr>
        <w:pStyle w:val="15"/>
        <w:spacing w:before="120"/>
        <w:rPr>
          <w:color w:val="auto"/>
        </w:rPr>
      </w:pPr>
      <w:bookmarkStart w:id="292" w:name="_Ref231281194"/>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9</w:t>
      </w:r>
      <w:r>
        <w:rPr>
          <w:color w:val="auto"/>
        </w:rPr>
        <w:fldChar w:fldCharType="end"/>
      </w:r>
      <w:bookmarkEnd w:id="292"/>
      <w:r>
        <w:rPr>
          <w:color w:val="auto"/>
        </w:rPr>
        <w:t xml:space="preserve"> </w:t>
      </w:r>
      <w:r>
        <w:rPr>
          <w:rFonts w:hint="eastAsia"/>
          <w:color w:val="auto"/>
        </w:rPr>
        <w:t>本期工程有组织废气排放情况一览表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2102"/>
        <w:gridCol w:w="1849"/>
        <w:gridCol w:w="1849"/>
        <w:gridCol w:w="1849"/>
      </w:tblGrid>
      <w:tr w14:paraId="0FE29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shd w:val="clear" w:color="auto" w:fill="auto"/>
            <w:tcMar>
              <w:top w:w="0" w:type="dxa"/>
              <w:left w:w="0" w:type="dxa"/>
              <w:bottom w:w="0" w:type="dxa"/>
              <w:right w:w="0" w:type="dxa"/>
            </w:tcMar>
            <w:vAlign w:val="center"/>
          </w:tcPr>
          <w:p w14:paraId="03B1B8B9">
            <w:pPr>
              <w:adjustRightInd w:val="0"/>
              <w:snapToGrid w:val="0"/>
              <w:jc w:val="center"/>
              <w:textAlignment w:val="center"/>
              <w:rPr>
                <w:rFonts w:ascii="宋体" w:hAnsi="宋体"/>
                <w:color w:val="auto"/>
              </w:rPr>
            </w:pPr>
            <w:r>
              <w:rPr>
                <w:rFonts w:hint="eastAsia" w:ascii="宋体" w:hAnsi="宋体"/>
                <w:color w:val="auto"/>
              </w:rPr>
              <w:t>污染物</w:t>
            </w:r>
          </w:p>
        </w:tc>
        <w:tc>
          <w:tcPr>
            <w:tcW w:w="1205" w:type="pct"/>
            <w:shd w:val="clear" w:color="auto" w:fill="auto"/>
            <w:vAlign w:val="center"/>
          </w:tcPr>
          <w:p w14:paraId="51921F15">
            <w:pPr>
              <w:widowControl/>
              <w:jc w:val="center"/>
              <w:rPr>
                <w:rFonts w:ascii="宋体" w:hAnsi="宋体"/>
                <w:color w:val="auto"/>
              </w:rPr>
            </w:pPr>
            <w:r>
              <w:rPr>
                <w:rFonts w:hint="eastAsia" w:ascii="宋体" w:hAnsi="宋体"/>
                <w:color w:val="auto"/>
              </w:rPr>
              <w:t>井场加热炉</w:t>
            </w:r>
          </w:p>
        </w:tc>
        <w:tc>
          <w:tcPr>
            <w:tcW w:w="1060" w:type="pct"/>
            <w:shd w:val="clear" w:color="auto" w:fill="auto"/>
            <w:tcMar>
              <w:top w:w="0" w:type="dxa"/>
              <w:left w:w="0" w:type="dxa"/>
              <w:bottom w:w="0" w:type="dxa"/>
              <w:right w:w="0" w:type="dxa"/>
            </w:tcMar>
            <w:vAlign w:val="center"/>
          </w:tcPr>
          <w:p w14:paraId="0E76963C">
            <w:pPr>
              <w:widowControl/>
              <w:jc w:val="center"/>
              <w:rPr>
                <w:rFonts w:ascii="宋体" w:hAnsi="宋体"/>
                <w:color w:val="auto"/>
              </w:rPr>
            </w:pPr>
            <w:r>
              <w:rPr>
                <w:rFonts w:hint="eastAsia" w:ascii="宋体" w:hAnsi="宋体"/>
                <w:color w:val="auto"/>
              </w:rPr>
              <w:t>高青联合站内加热炉</w:t>
            </w:r>
          </w:p>
        </w:tc>
        <w:tc>
          <w:tcPr>
            <w:tcW w:w="1060" w:type="pct"/>
            <w:shd w:val="clear" w:color="auto" w:fill="auto"/>
            <w:vAlign w:val="center"/>
          </w:tcPr>
          <w:p w14:paraId="56945CD6">
            <w:pPr>
              <w:widowControl/>
              <w:jc w:val="center"/>
              <w:rPr>
                <w:rFonts w:ascii="宋体" w:hAnsi="宋体"/>
                <w:color w:val="auto"/>
              </w:rPr>
            </w:pPr>
            <w:r>
              <w:rPr>
                <w:rFonts w:hint="eastAsia" w:ascii="宋体" w:hAnsi="宋体"/>
                <w:color w:val="auto"/>
              </w:rPr>
              <w:t>高青管理区地面系统优化建设工程-多功能罐</w:t>
            </w:r>
          </w:p>
        </w:tc>
        <w:tc>
          <w:tcPr>
            <w:tcW w:w="1060" w:type="pct"/>
            <w:shd w:val="clear" w:color="auto" w:fill="auto"/>
            <w:vAlign w:val="center"/>
          </w:tcPr>
          <w:p w14:paraId="6DA19AF3">
            <w:pPr>
              <w:widowControl/>
              <w:jc w:val="center"/>
              <w:rPr>
                <w:rFonts w:ascii="宋体" w:hAnsi="宋体"/>
                <w:color w:val="auto"/>
              </w:rPr>
            </w:pPr>
            <w:r>
              <w:rPr>
                <w:rFonts w:hint="eastAsia" w:ascii="宋体" w:hAnsi="宋体"/>
                <w:color w:val="auto"/>
              </w:rPr>
              <w:t>合计</w:t>
            </w:r>
          </w:p>
        </w:tc>
      </w:tr>
      <w:tr w14:paraId="21D47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shd w:val="clear" w:color="auto" w:fill="auto"/>
            <w:tcMar>
              <w:top w:w="0" w:type="dxa"/>
              <w:left w:w="0" w:type="dxa"/>
              <w:bottom w:w="0" w:type="dxa"/>
              <w:right w:w="0" w:type="dxa"/>
            </w:tcMar>
            <w:vAlign w:val="center"/>
          </w:tcPr>
          <w:p w14:paraId="2E5508E2">
            <w:pPr>
              <w:adjustRightInd w:val="0"/>
              <w:snapToGrid w:val="0"/>
              <w:jc w:val="center"/>
              <w:textAlignment w:val="center"/>
              <w:rPr>
                <w:rFonts w:ascii="宋体" w:hAnsi="宋体"/>
                <w:color w:val="auto"/>
              </w:rPr>
            </w:pPr>
            <w:r>
              <w:rPr>
                <w:rFonts w:hint="eastAsia" w:ascii="宋体" w:hAnsi="宋体"/>
                <w:color w:val="auto"/>
              </w:rPr>
              <w:t>废气量</w:t>
            </w:r>
          </w:p>
        </w:tc>
        <w:tc>
          <w:tcPr>
            <w:tcW w:w="1205" w:type="pct"/>
            <w:shd w:val="clear" w:color="auto" w:fill="auto"/>
            <w:vAlign w:val="center"/>
          </w:tcPr>
          <w:p w14:paraId="3424D0CB">
            <w:pPr>
              <w:widowControl/>
              <w:jc w:val="center"/>
              <w:rPr>
                <w:rFonts w:ascii="宋体" w:hAnsi="宋体"/>
                <w:color w:val="auto"/>
              </w:rPr>
            </w:pPr>
            <w:r>
              <w:rPr>
                <w:rFonts w:hint="eastAsia" w:ascii="宋体" w:hAnsi="宋体" w:cs="宋体"/>
                <w:color w:val="auto"/>
                <w:kern w:val="0"/>
                <w:szCs w:val="22"/>
              </w:rPr>
              <w:t>448.6</w:t>
            </w:r>
            <w:r>
              <w:rPr>
                <w:rFonts w:ascii="宋体" w:hAnsi="宋体" w:cs="宋体"/>
                <w:color w:val="auto"/>
                <w:kern w:val="0"/>
                <w:szCs w:val="22"/>
              </w:rPr>
              <w:t>8</w:t>
            </w:r>
            <w:r>
              <w:rPr>
                <w:rFonts w:hint="eastAsia" w:ascii="宋体" w:hAnsi="宋体"/>
                <w:color w:val="auto"/>
              </w:rPr>
              <w:t>×10</w:t>
            </w:r>
            <w:r>
              <w:rPr>
                <w:rFonts w:hint="eastAsia" w:ascii="宋体" w:hAnsi="宋体"/>
                <w:color w:val="auto"/>
                <w:vertAlign w:val="superscript"/>
              </w:rPr>
              <w:t>4</w:t>
            </w:r>
            <w:r>
              <w:rPr>
                <w:rFonts w:hint="eastAsia" w:ascii="宋体" w:hAnsi="宋体"/>
                <w:color w:val="auto"/>
              </w:rPr>
              <w:t>m</w:t>
            </w:r>
            <w:r>
              <w:rPr>
                <w:rFonts w:hint="eastAsia" w:ascii="宋体" w:hAnsi="宋体"/>
                <w:color w:val="auto"/>
                <w:vertAlign w:val="superscript"/>
              </w:rPr>
              <w:t>3</w:t>
            </w:r>
          </w:p>
        </w:tc>
        <w:tc>
          <w:tcPr>
            <w:tcW w:w="1060" w:type="pct"/>
            <w:shd w:val="clear" w:color="auto" w:fill="auto"/>
            <w:tcMar>
              <w:top w:w="0" w:type="dxa"/>
              <w:left w:w="0" w:type="dxa"/>
              <w:bottom w:w="0" w:type="dxa"/>
              <w:right w:w="0" w:type="dxa"/>
            </w:tcMar>
            <w:vAlign w:val="center"/>
          </w:tcPr>
          <w:p w14:paraId="719A7F06">
            <w:pPr>
              <w:widowControl/>
              <w:jc w:val="center"/>
              <w:rPr>
                <w:rFonts w:ascii="宋体" w:hAnsi="宋体"/>
                <w:color w:val="auto"/>
              </w:rPr>
            </w:pPr>
            <w:r>
              <w:rPr>
                <w:rFonts w:ascii="宋体" w:hAnsi="宋体"/>
                <w:color w:val="auto"/>
              </w:rPr>
              <w:t>35.69</w:t>
            </w:r>
            <w:r>
              <w:rPr>
                <w:rFonts w:hint="eastAsia" w:ascii="宋体" w:hAnsi="宋体"/>
                <w:color w:val="auto"/>
              </w:rPr>
              <w:t>×10</w:t>
            </w:r>
            <w:r>
              <w:rPr>
                <w:rFonts w:hint="eastAsia" w:ascii="宋体" w:hAnsi="宋体"/>
                <w:color w:val="auto"/>
                <w:vertAlign w:val="superscript"/>
              </w:rPr>
              <w:t>4</w:t>
            </w:r>
            <w:r>
              <w:rPr>
                <w:rFonts w:hint="eastAsia" w:ascii="宋体" w:hAnsi="宋体"/>
                <w:color w:val="auto"/>
              </w:rPr>
              <w:t>m</w:t>
            </w:r>
            <w:r>
              <w:rPr>
                <w:rFonts w:hint="eastAsia" w:ascii="宋体" w:hAnsi="宋体"/>
                <w:color w:val="auto"/>
                <w:vertAlign w:val="superscript"/>
              </w:rPr>
              <w:t>3</w:t>
            </w:r>
          </w:p>
        </w:tc>
        <w:tc>
          <w:tcPr>
            <w:tcW w:w="1060" w:type="pct"/>
            <w:shd w:val="clear" w:color="auto" w:fill="auto"/>
            <w:vAlign w:val="center"/>
          </w:tcPr>
          <w:p w14:paraId="0FE0F996">
            <w:pPr>
              <w:widowControl/>
              <w:jc w:val="center"/>
              <w:rPr>
                <w:rFonts w:ascii="宋体" w:hAnsi="宋体"/>
                <w:color w:val="auto"/>
              </w:rPr>
            </w:pPr>
            <w:r>
              <w:rPr>
                <w:rFonts w:hint="eastAsia" w:ascii="宋体" w:hAnsi="宋体"/>
                <w:color w:val="auto"/>
              </w:rPr>
              <w:t>0</w:t>
            </w:r>
          </w:p>
        </w:tc>
        <w:tc>
          <w:tcPr>
            <w:tcW w:w="1060" w:type="pct"/>
            <w:shd w:val="clear" w:color="auto" w:fill="auto"/>
            <w:vAlign w:val="center"/>
          </w:tcPr>
          <w:p w14:paraId="7CCF5199">
            <w:pPr>
              <w:widowControl/>
              <w:jc w:val="center"/>
              <w:rPr>
                <w:rFonts w:ascii="宋体" w:hAnsi="宋体"/>
                <w:color w:val="auto"/>
              </w:rPr>
            </w:pPr>
            <w:r>
              <w:rPr>
                <w:rFonts w:hint="eastAsia" w:ascii="宋体" w:hAnsi="宋体"/>
                <w:color w:val="auto"/>
              </w:rPr>
              <w:t>4</w:t>
            </w:r>
            <w:r>
              <w:rPr>
                <w:rFonts w:ascii="宋体" w:hAnsi="宋体"/>
                <w:color w:val="auto"/>
              </w:rPr>
              <w:t>84.37</w:t>
            </w:r>
          </w:p>
        </w:tc>
      </w:tr>
      <w:tr w14:paraId="71662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shd w:val="clear" w:color="auto" w:fill="auto"/>
            <w:tcMar>
              <w:top w:w="0" w:type="dxa"/>
              <w:left w:w="0" w:type="dxa"/>
              <w:bottom w:w="0" w:type="dxa"/>
              <w:right w:w="0" w:type="dxa"/>
            </w:tcMar>
            <w:vAlign w:val="center"/>
          </w:tcPr>
          <w:p w14:paraId="780AFA41">
            <w:pPr>
              <w:adjustRightInd w:val="0"/>
              <w:snapToGrid w:val="0"/>
              <w:jc w:val="center"/>
              <w:textAlignment w:val="center"/>
              <w:rPr>
                <w:rFonts w:ascii="宋体" w:hAnsi="宋体"/>
                <w:color w:val="auto"/>
              </w:rPr>
            </w:pPr>
            <w:r>
              <w:rPr>
                <w:rFonts w:hint="eastAsia" w:ascii="宋体" w:hAnsi="宋体"/>
                <w:color w:val="auto"/>
              </w:rPr>
              <w:t>颗粒物</w:t>
            </w:r>
          </w:p>
        </w:tc>
        <w:tc>
          <w:tcPr>
            <w:tcW w:w="1205" w:type="pct"/>
            <w:shd w:val="clear" w:color="auto" w:fill="auto"/>
            <w:vAlign w:val="center"/>
          </w:tcPr>
          <w:p w14:paraId="25ED2842">
            <w:pPr>
              <w:widowControl/>
              <w:jc w:val="center"/>
              <w:rPr>
                <w:rFonts w:ascii="宋体" w:hAnsi="宋体"/>
                <w:color w:val="auto"/>
              </w:rPr>
            </w:pPr>
            <w:r>
              <w:rPr>
                <w:rFonts w:ascii="宋体" w:hAnsi="宋体"/>
                <w:color w:val="auto"/>
              </w:rPr>
              <w:t>0.018</w:t>
            </w:r>
            <w:r>
              <w:rPr>
                <w:rFonts w:hint="eastAsia" w:ascii="宋体" w:hAnsi="宋体"/>
                <w:color w:val="auto"/>
              </w:rPr>
              <w:t>t/a</w:t>
            </w:r>
          </w:p>
        </w:tc>
        <w:tc>
          <w:tcPr>
            <w:tcW w:w="1060" w:type="pct"/>
            <w:shd w:val="clear" w:color="auto" w:fill="auto"/>
            <w:tcMar>
              <w:top w:w="0" w:type="dxa"/>
              <w:left w:w="0" w:type="dxa"/>
              <w:bottom w:w="0" w:type="dxa"/>
              <w:right w:w="0" w:type="dxa"/>
            </w:tcMar>
            <w:vAlign w:val="center"/>
          </w:tcPr>
          <w:p w14:paraId="6F3AF1C4">
            <w:pPr>
              <w:widowControl/>
              <w:jc w:val="center"/>
              <w:rPr>
                <w:rFonts w:ascii="宋体" w:hAnsi="宋体"/>
                <w:color w:val="auto"/>
              </w:rPr>
            </w:pPr>
            <w:r>
              <w:rPr>
                <w:rFonts w:ascii="宋体" w:hAnsi="宋体"/>
                <w:color w:val="auto"/>
              </w:rPr>
              <w:t>0.009</w:t>
            </w:r>
            <w:r>
              <w:rPr>
                <w:rFonts w:hint="eastAsia" w:ascii="宋体" w:hAnsi="宋体"/>
                <w:color w:val="auto"/>
              </w:rPr>
              <w:t>t/a</w:t>
            </w:r>
          </w:p>
        </w:tc>
        <w:tc>
          <w:tcPr>
            <w:tcW w:w="1060" w:type="pct"/>
            <w:shd w:val="clear" w:color="auto" w:fill="auto"/>
            <w:vAlign w:val="center"/>
          </w:tcPr>
          <w:p w14:paraId="5EC9724B">
            <w:pPr>
              <w:widowControl/>
              <w:jc w:val="center"/>
              <w:rPr>
                <w:rFonts w:ascii="宋体" w:hAnsi="宋体"/>
                <w:color w:val="auto"/>
              </w:rPr>
            </w:pPr>
            <w:r>
              <w:rPr>
                <w:rFonts w:hint="eastAsia" w:ascii="宋体" w:hAnsi="宋体"/>
                <w:color w:val="auto"/>
              </w:rPr>
              <w:t>0</w:t>
            </w:r>
          </w:p>
        </w:tc>
        <w:tc>
          <w:tcPr>
            <w:tcW w:w="1060" w:type="pct"/>
            <w:shd w:val="clear" w:color="auto" w:fill="auto"/>
            <w:vAlign w:val="center"/>
          </w:tcPr>
          <w:p w14:paraId="6E3068DA">
            <w:pPr>
              <w:widowControl/>
              <w:jc w:val="center"/>
              <w:rPr>
                <w:rFonts w:ascii="宋体" w:hAnsi="宋体"/>
                <w:color w:val="auto"/>
              </w:rPr>
            </w:pPr>
            <w:r>
              <w:rPr>
                <w:rFonts w:hint="eastAsia" w:ascii="宋体" w:hAnsi="宋体"/>
                <w:color w:val="auto"/>
              </w:rPr>
              <w:t>0.027</w:t>
            </w:r>
          </w:p>
        </w:tc>
      </w:tr>
      <w:tr w14:paraId="4220F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shd w:val="clear" w:color="auto" w:fill="auto"/>
            <w:tcMar>
              <w:top w:w="0" w:type="dxa"/>
              <w:left w:w="0" w:type="dxa"/>
              <w:bottom w:w="0" w:type="dxa"/>
              <w:right w:w="0" w:type="dxa"/>
            </w:tcMar>
            <w:vAlign w:val="center"/>
          </w:tcPr>
          <w:p w14:paraId="4FC38F58">
            <w:pPr>
              <w:adjustRightInd w:val="0"/>
              <w:snapToGrid w:val="0"/>
              <w:jc w:val="center"/>
              <w:textAlignment w:val="center"/>
              <w:rPr>
                <w:rFonts w:ascii="宋体" w:hAnsi="宋体"/>
                <w:color w:val="auto"/>
              </w:rPr>
            </w:pPr>
            <w:r>
              <w:rPr>
                <w:rFonts w:hint="eastAsia" w:ascii="宋体" w:hAnsi="宋体"/>
                <w:color w:val="auto"/>
              </w:rPr>
              <w:t>NOx</w:t>
            </w:r>
          </w:p>
        </w:tc>
        <w:tc>
          <w:tcPr>
            <w:tcW w:w="1205" w:type="pct"/>
            <w:shd w:val="clear" w:color="auto" w:fill="auto"/>
            <w:vAlign w:val="center"/>
          </w:tcPr>
          <w:p w14:paraId="0B12E946">
            <w:pPr>
              <w:widowControl/>
              <w:jc w:val="center"/>
              <w:rPr>
                <w:rFonts w:ascii="宋体" w:hAnsi="宋体"/>
                <w:color w:val="auto"/>
              </w:rPr>
            </w:pPr>
            <w:r>
              <w:rPr>
                <w:rFonts w:ascii="宋体" w:hAnsi="宋体"/>
                <w:color w:val="auto"/>
              </w:rPr>
              <w:t>0.119</w:t>
            </w:r>
            <w:r>
              <w:rPr>
                <w:rFonts w:hint="eastAsia" w:ascii="宋体" w:hAnsi="宋体"/>
                <w:color w:val="auto"/>
              </w:rPr>
              <w:t>t/a</w:t>
            </w:r>
          </w:p>
        </w:tc>
        <w:tc>
          <w:tcPr>
            <w:tcW w:w="1060" w:type="pct"/>
            <w:shd w:val="clear" w:color="auto" w:fill="auto"/>
            <w:tcMar>
              <w:top w:w="0" w:type="dxa"/>
              <w:left w:w="0" w:type="dxa"/>
              <w:bottom w:w="0" w:type="dxa"/>
              <w:right w:w="0" w:type="dxa"/>
            </w:tcMar>
            <w:vAlign w:val="center"/>
          </w:tcPr>
          <w:p w14:paraId="423DD9FC">
            <w:pPr>
              <w:widowControl/>
              <w:jc w:val="center"/>
              <w:rPr>
                <w:rFonts w:ascii="宋体" w:hAnsi="宋体"/>
                <w:color w:val="auto"/>
              </w:rPr>
            </w:pPr>
            <w:r>
              <w:rPr>
                <w:rFonts w:ascii="宋体" w:hAnsi="宋体"/>
                <w:color w:val="auto"/>
              </w:rPr>
              <w:t>0.138</w:t>
            </w:r>
            <w:r>
              <w:rPr>
                <w:rFonts w:hint="eastAsia" w:ascii="宋体" w:hAnsi="宋体"/>
                <w:color w:val="auto"/>
              </w:rPr>
              <w:t>t/a</w:t>
            </w:r>
          </w:p>
        </w:tc>
        <w:tc>
          <w:tcPr>
            <w:tcW w:w="1060" w:type="pct"/>
            <w:shd w:val="clear" w:color="auto" w:fill="auto"/>
            <w:vAlign w:val="center"/>
          </w:tcPr>
          <w:p w14:paraId="318B8196">
            <w:pPr>
              <w:widowControl/>
              <w:jc w:val="center"/>
              <w:rPr>
                <w:rFonts w:ascii="宋体" w:hAnsi="宋体"/>
                <w:color w:val="auto"/>
              </w:rPr>
            </w:pPr>
            <w:r>
              <w:rPr>
                <w:rFonts w:hint="eastAsia" w:ascii="宋体" w:hAnsi="宋体"/>
                <w:color w:val="auto"/>
              </w:rPr>
              <w:t>0</w:t>
            </w:r>
          </w:p>
        </w:tc>
        <w:tc>
          <w:tcPr>
            <w:tcW w:w="1060" w:type="pct"/>
            <w:shd w:val="clear" w:color="auto" w:fill="auto"/>
            <w:vAlign w:val="center"/>
          </w:tcPr>
          <w:p w14:paraId="2BEAAF6C">
            <w:pPr>
              <w:widowControl/>
              <w:jc w:val="center"/>
              <w:rPr>
                <w:rFonts w:ascii="宋体" w:hAnsi="宋体"/>
                <w:color w:val="auto"/>
              </w:rPr>
            </w:pPr>
            <w:r>
              <w:rPr>
                <w:rFonts w:hint="eastAsia" w:ascii="宋体" w:hAnsi="宋体"/>
                <w:color w:val="auto"/>
              </w:rPr>
              <w:t>0.257</w:t>
            </w:r>
          </w:p>
        </w:tc>
      </w:tr>
      <w:tr w14:paraId="0F124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shd w:val="clear" w:color="auto" w:fill="auto"/>
            <w:tcMar>
              <w:top w:w="0" w:type="dxa"/>
              <w:left w:w="0" w:type="dxa"/>
              <w:bottom w:w="0" w:type="dxa"/>
              <w:right w:w="0" w:type="dxa"/>
            </w:tcMar>
            <w:vAlign w:val="center"/>
          </w:tcPr>
          <w:p w14:paraId="070C7FB9">
            <w:pPr>
              <w:adjustRightInd w:val="0"/>
              <w:snapToGrid w:val="0"/>
              <w:jc w:val="center"/>
              <w:textAlignment w:val="center"/>
              <w:rPr>
                <w:rFonts w:ascii="宋体" w:hAnsi="宋体"/>
                <w:color w:val="auto"/>
              </w:rPr>
            </w:pPr>
            <w:r>
              <w:rPr>
                <w:rFonts w:hint="eastAsia" w:ascii="宋体" w:hAnsi="宋体"/>
                <w:color w:val="auto"/>
              </w:rPr>
              <w:t>SO</w:t>
            </w:r>
            <w:r>
              <w:rPr>
                <w:rFonts w:hint="eastAsia" w:ascii="宋体" w:hAnsi="宋体"/>
                <w:color w:val="auto"/>
                <w:vertAlign w:val="subscript"/>
              </w:rPr>
              <w:t>2</w:t>
            </w:r>
          </w:p>
        </w:tc>
        <w:tc>
          <w:tcPr>
            <w:tcW w:w="1205" w:type="pct"/>
            <w:shd w:val="clear" w:color="auto" w:fill="auto"/>
            <w:vAlign w:val="center"/>
          </w:tcPr>
          <w:p w14:paraId="409164E8">
            <w:pPr>
              <w:widowControl/>
              <w:jc w:val="center"/>
              <w:rPr>
                <w:rFonts w:ascii="宋体" w:hAnsi="宋体"/>
                <w:color w:val="auto"/>
              </w:rPr>
            </w:pPr>
            <w:r>
              <w:rPr>
                <w:rFonts w:ascii="宋体" w:hAnsi="宋体"/>
                <w:color w:val="auto"/>
              </w:rPr>
              <w:t>0.006</w:t>
            </w:r>
            <w:r>
              <w:rPr>
                <w:rFonts w:hint="eastAsia" w:ascii="宋体" w:hAnsi="宋体"/>
                <w:color w:val="auto"/>
              </w:rPr>
              <w:t>t/a</w:t>
            </w:r>
          </w:p>
        </w:tc>
        <w:tc>
          <w:tcPr>
            <w:tcW w:w="1060" w:type="pct"/>
            <w:shd w:val="clear" w:color="auto" w:fill="auto"/>
            <w:tcMar>
              <w:top w:w="0" w:type="dxa"/>
              <w:left w:w="0" w:type="dxa"/>
              <w:bottom w:w="0" w:type="dxa"/>
              <w:right w:w="0" w:type="dxa"/>
            </w:tcMar>
            <w:vAlign w:val="center"/>
          </w:tcPr>
          <w:p w14:paraId="73C1A2F4">
            <w:pPr>
              <w:widowControl/>
              <w:jc w:val="center"/>
              <w:rPr>
                <w:rFonts w:ascii="宋体" w:hAnsi="宋体"/>
                <w:color w:val="auto"/>
              </w:rPr>
            </w:pPr>
            <w:r>
              <w:rPr>
                <w:rFonts w:ascii="宋体" w:hAnsi="宋体"/>
                <w:color w:val="auto"/>
              </w:rPr>
              <w:t>0.006</w:t>
            </w:r>
            <w:r>
              <w:rPr>
                <w:rFonts w:hint="eastAsia" w:ascii="宋体" w:hAnsi="宋体"/>
                <w:color w:val="auto"/>
              </w:rPr>
              <w:t>t/a</w:t>
            </w:r>
          </w:p>
        </w:tc>
        <w:tc>
          <w:tcPr>
            <w:tcW w:w="1060" w:type="pct"/>
            <w:shd w:val="clear" w:color="auto" w:fill="auto"/>
            <w:vAlign w:val="center"/>
          </w:tcPr>
          <w:p w14:paraId="0183D761">
            <w:pPr>
              <w:widowControl/>
              <w:jc w:val="center"/>
              <w:rPr>
                <w:rFonts w:ascii="宋体" w:hAnsi="宋体"/>
                <w:color w:val="auto"/>
              </w:rPr>
            </w:pPr>
            <w:r>
              <w:rPr>
                <w:rFonts w:hint="eastAsia" w:ascii="宋体" w:hAnsi="宋体"/>
                <w:color w:val="auto"/>
              </w:rPr>
              <w:t>0</w:t>
            </w:r>
          </w:p>
        </w:tc>
        <w:tc>
          <w:tcPr>
            <w:tcW w:w="1060" w:type="pct"/>
            <w:shd w:val="clear" w:color="auto" w:fill="auto"/>
            <w:vAlign w:val="center"/>
          </w:tcPr>
          <w:p w14:paraId="13FFA91D">
            <w:pPr>
              <w:widowControl/>
              <w:jc w:val="center"/>
              <w:rPr>
                <w:rFonts w:ascii="宋体" w:hAnsi="宋体"/>
                <w:color w:val="auto"/>
              </w:rPr>
            </w:pPr>
            <w:r>
              <w:rPr>
                <w:rFonts w:hint="eastAsia" w:ascii="宋体" w:hAnsi="宋体"/>
                <w:color w:val="auto"/>
              </w:rPr>
              <w:t>0.012</w:t>
            </w:r>
          </w:p>
        </w:tc>
      </w:tr>
    </w:tbl>
    <w:p w14:paraId="18872A7F">
      <w:pPr>
        <w:rPr>
          <w:color w:val="auto"/>
        </w:rPr>
      </w:pPr>
    </w:p>
    <w:p w14:paraId="68C2FDEC">
      <w:pPr>
        <w:pStyle w:val="4"/>
        <w:ind w:firstLine="480"/>
        <w:outlineLvl w:val="3"/>
        <w:rPr>
          <w:color w:val="auto"/>
        </w:rPr>
      </w:pPr>
      <w:r>
        <w:rPr>
          <w:rFonts w:hint="eastAsia"/>
          <w:color w:val="auto"/>
        </w:rPr>
        <w:t>2）废水</w:t>
      </w:r>
    </w:p>
    <w:p w14:paraId="0FFF4B68">
      <w:pPr>
        <w:pStyle w:val="143"/>
        <w:spacing w:line="331" w:lineRule="auto"/>
        <w:ind w:firstLine="480" w:firstLineChars="200"/>
        <w:rPr>
          <w:color w:val="auto"/>
        </w:rPr>
      </w:pPr>
      <w:r>
        <w:rPr>
          <w:rFonts w:hint="eastAsia"/>
          <w:color w:val="auto"/>
        </w:rPr>
        <w:t>本期工程运营期产生的废水主要有采出水、井下作业废水。</w:t>
      </w:r>
      <w:r>
        <w:rPr>
          <w:rFonts w:hint="eastAsia"/>
          <w:color w:val="auto"/>
        </w:rPr>
        <w:t>本期工程验收期间未实施侧钻，未产生侧钻废水。</w:t>
      </w:r>
    </w:p>
    <w:p w14:paraId="46C6BCFA">
      <w:pPr>
        <w:pStyle w:val="4"/>
        <w:ind w:firstLine="480"/>
        <w:rPr>
          <w:color w:val="auto"/>
        </w:rPr>
      </w:pPr>
      <w:r>
        <w:rPr>
          <w:rFonts w:hint="eastAsia"/>
          <w:color w:val="auto"/>
        </w:rPr>
        <w:t>（1）采出水</w:t>
      </w:r>
    </w:p>
    <w:p w14:paraId="37FFC4E2">
      <w:pPr>
        <w:pStyle w:val="4"/>
        <w:ind w:firstLine="480"/>
        <w:rPr>
          <w:color w:val="auto"/>
        </w:rPr>
      </w:pPr>
      <w:r>
        <w:rPr>
          <w:rFonts w:hint="eastAsia"/>
          <w:color w:val="auto"/>
        </w:rPr>
        <w:t>经核实</w:t>
      </w:r>
      <w:r>
        <w:rPr>
          <w:color w:val="auto"/>
        </w:rPr>
        <w:t>，</w:t>
      </w:r>
      <w:r>
        <w:rPr>
          <w:rFonts w:hint="eastAsia"/>
          <w:color w:val="auto"/>
        </w:rPr>
        <w:t>根据当前生产数据，验收调查</w:t>
      </w:r>
      <w:r>
        <w:rPr>
          <w:color w:val="auto"/>
        </w:rPr>
        <w:t>期间17</w:t>
      </w:r>
      <w:r>
        <w:rPr>
          <w:rFonts w:hint="eastAsia"/>
          <w:color w:val="auto"/>
        </w:rPr>
        <w:t>口油井采出液日均</w:t>
      </w:r>
      <w:r>
        <w:rPr>
          <w:color w:val="auto"/>
        </w:rPr>
        <w:t>产量277.1t/d</w:t>
      </w:r>
      <w:r>
        <w:rPr>
          <w:rFonts w:hint="eastAsia"/>
          <w:color w:val="auto"/>
        </w:rPr>
        <w:t>，</w:t>
      </w:r>
      <w:r>
        <w:rPr>
          <w:color w:val="auto"/>
        </w:rPr>
        <w:t>原油</w:t>
      </w:r>
      <w:r>
        <w:rPr>
          <w:rFonts w:hint="eastAsia"/>
          <w:color w:val="auto"/>
        </w:rPr>
        <w:t>日均</w:t>
      </w:r>
      <w:r>
        <w:rPr>
          <w:color w:val="auto"/>
        </w:rPr>
        <w:t>产量143.4t/d</w:t>
      </w:r>
      <w:r>
        <w:rPr>
          <w:rFonts w:hint="eastAsia"/>
          <w:color w:val="auto"/>
        </w:rPr>
        <w:t>，</w:t>
      </w:r>
      <w:r>
        <w:rPr>
          <w:color w:val="auto"/>
        </w:rPr>
        <w:t>则采出水</w:t>
      </w:r>
      <w:r>
        <w:rPr>
          <w:rFonts w:hint="eastAsia"/>
          <w:color w:val="auto"/>
        </w:rPr>
        <w:t>产生</w:t>
      </w:r>
      <w:r>
        <w:rPr>
          <w:color w:val="auto"/>
        </w:rPr>
        <w:t>量约133.7t/d</w:t>
      </w:r>
      <w:r>
        <w:rPr>
          <w:rFonts w:hint="eastAsia"/>
          <w:color w:val="auto"/>
        </w:rPr>
        <w:t>，油井</w:t>
      </w:r>
      <w:r>
        <w:rPr>
          <w:color w:val="auto"/>
        </w:rPr>
        <w:t>按全年生产300</w:t>
      </w:r>
      <w:r>
        <w:rPr>
          <w:rFonts w:hint="eastAsia"/>
          <w:color w:val="auto"/>
        </w:rPr>
        <w:t>d估算</w:t>
      </w:r>
      <w:r>
        <w:rPr>
          <w:color w:val="auto"/>
        </w:rPr>
        <w:t>，采出水产量约4.0</w:t>
      </w:r>
      <w:r>
        <w:rPr>
          <w:rFonts w:hint="eastAsia"/>
          <w:color w:val="auto"/>
        </w:rPr>
        <w:t>×</w:t>
      </w:r>
      <w:r>
        <w:rPr>
          <w:color w:val="auto"/>
        </w:rPr>
        <w:t>10</w:t>
      </w:r>
      <w:r>
        <w:rPr>
          <w:color w:val="auto"/>
          <w:vertAlign w:val="superscript"/>
        </w:rPr>
        <w:t>4</w:t>
      </w:r>
      <w:r>
        <w:rPr>
          <w:color w:val="auto"/>
        </w:rPr>
        <w:t>t/a</w:t>
      </w:r>
      <w:r>
        <w:rPr>
          <w:rFonts w:hint="eastAsia"/>
          <w:color w:val="auto"/>
        </w:rPr>
        <w:t>。</w:t>
      </w:r>
      <w:bookmarkStart w:id="293" w:name="OLE_LINK63"/>
      <w:r>
        <w:rPr>
          <w:rFonts w:hint="eastAsia"/>
          <w:color w:val="auto"/>
        </w:rPr>
        <w:t>采出水</w:t>
      </w:r>
      <w:bookmarkStart w:id="294" w:name="OLE_LINK88"/>
      <w:bookmarkStart w:id="295" w:name="OLE_LINK89"/>
      <w:r>
        <w:rPr>
          <w:rFonts w:hint="eastAsia"/>
          <w:color w:val="auto"/>
        </w:rPr>
        <w:t>经依托的高青联合站、滨博接转站</w:t>
      </w:r>
      <w:r>
        <w:rPr>
          <w:color w:val="auto"/>
        </w:rPr>
        <w:t>采出水处理</w:t>
      </w:r>
      <w:r>
        <w:rPr>
          <w:rFonts w:hint="eastAsia"/>
          <w:color w:val="auto"/>
        </w:rPr>
        <w:t>系统</w:t>
      </w:r>
      <w:r>
        <w:rPr>
          <w:color w:val="auto"/>
        </w:rPr>
        <w:t>处理满足</w:t>
      </w:r>
      <w:r>
        <w:rPr>
          <w:rFonts w:hint="eastAsia"/>
          <w:color w:val="auto"/>
        </w:rPr>
        <w:t>《碎屑岩油藏注水水质指标技术要求及分析方法》（</w:t>
      </w:r>
      <w:r>
        <w:rPr>
          <w:color w:val="auto"/>
        </w:rPr>
        <w:t>SY/T5329-2022）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回注</w:t>
      </w:r>
      <w:r>
        <w:rPr>
          <w:color w:val="auto"/>
        </w:rPr>
        <w:t>地层，用于油田注水开发，</w:t>
      </w:r>
      <w:r>
        <w:rPr>
          <w:rFonts w:hint="eastAsia"/>
          <w:color w:val="auto"/>
        </w:rPr>
        <w:t>未</w:t>
      </w:r>
      <w:r>
        <w:rPr>
          <w:color w:val="auto"/>
        </w:rPr>
        <w:t>外排</w:t>
      </w:r>
      <w:bookmarkEnd w:id="293"/>
      <w:bookmarkEnd w:id="294"/>
      <w:bookmarkEnd w:id="295"/>
      <w:r>
        <w:rPr>
          <w:rFonts w:hint="eastAsia"/>
          <w:color w:val="auto"/>
        </w:rPr>
        <w:t>。</w:t>
      </w:r>
    </w:p>
    <w:p w14:paraId="775C934B">
      <w:pPr>
        <w:pStyle w:val="4"/>
        <w:ind w:firstLine="480"/>
        <w:rPr>
          <w:color w:val="auto"/>
        </w:rPr>
      </w:pPr>
      <w:r>
        <w:rPr>
          <w:rFonts w:hint="eastAsia"/>
          <w:color w:val="auto"/>
        </w:rPr>
        <w:t>（2）井下</w:t>
      </w:r>
      <w:r>
        <w:rPr>
          <w:color w:val="auto"/>
        </w:rPr>
        <w:t>作业废水</w:t>
      </w:r>
    </w:p>
    <w:p w14:paraId="4C7CD19F">
      <w:pPr>
        <w:pStyle w:val="4"/>
        <w:ind w:firstLine="480"/>
        <w:rPr>
          <w:color w:val="auto"/>
        </w:rPr>
      </w:pPr>
      <w:r>
        <w:rPr>
          <w:rFonts w:hint="eastAsia"/>
          <w:color w:val="auto"/>
        </w:rPr>
        <w:t>井下作业废水主要包括修井作业产生的井筒循环液、井口返排水、冲洗水、冷却水（机械污水）。</w:t>
      </w:r>
      <w:bookmarkStart w:id="296" w:name="OLE_LINK76"/>
      <w:bookmarkStart w:id="297" w:name="OLE_LINK77"/>
      <w:r>
        <w:rPr>
          <w:rFonts w:hint="eastAsia"/>
          <w:color w:val="auto"/>
        </w:rPr>
        <w:t>本次验收调查期间尚未开展井下作业，经现场调查，实施井下作业过程时，废水收集后均经收集后由罐车拉运至</w:t>
      </w:r>
      <w:r>
        <w:rPr>
          <w:rFonts w:hint="eastAsia"/>
          <w:color w:val="auto"/>
          <w:kern w:val="0"/>
        </w:rPr>
        <w:t>高青联合站、滨博接转站内采出水处理系统，</w:t>
      </w:r>
      <w:r>
        <w:rPr>
          <w:color w:val="auto"/>
        </w:rPr>
        <w:t>满足</w:t>
      </w:r>
      <w:r>
        <w:rPr>
          <w:rFonts w:hint="eastAsia"/>
          <w:color w:val="auto"/>
        </w:rPr>
        <w:t>《碎屑岩油藏注水水质指标技术要求及分析方法》（</w:t>
      </w:r>
      <w:r>
        <w:rPr>
          <w:color w:val="auto"/>
        </w:rPr>
        <w:t>SY/T5329-2022）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回注</w:t>
      </w:r>
      <w:r>
        <w:rPr>
          <w:color w:val="auto"/>
        </w:rPr>
        <w:t>地层，用于油田注水开发，</w:t>
      </w:r>
      <w:r>
        <w:rPr>
          <w:rFonts w:hint="eastAsia"/>
          <w:color w:val="auto"/>
        </w:rPr>
        <w:t>不</w:t>
      </w:r>
      <w:r>
        <w:rPr>
          <w:color w:val="auto"/>
        </w:rPr>
        <w:t>外排</w:t>
      </w:r>
      <w:bookmarkEnd w:id="296"/>
      <w:bookmarkEnd w:id="297"/>
      <w:r>
        <w:rPr>
          <w:rFonts w:hint="eastAsia"/>
          <w:color w:val="auto"/>
        </w:rPr>
        <w:t>。</w:t>
      </w:r>
    </w:p>
    <w:p w14:paraId="64FEC6C4">
      <w:pPr>
        <w:pStyle w:val="4"/>
        <w:ind w:firstLine="480"/>
        <w:outlineLvl w:val="3"/>
        <w:rPr>
          <w:color w:val="auto"/>
        </w:rPr>
      </w:pPr>
      <w:r>
        <w:rPr>
          <w:rFonts w:hint="eastAsia"/>
          <w:color w:val="auto"/>
        </w:rPr>
        <w:t>3）固体废物</w:t>
      </w:r>
    </w:p>
    <w:p w14:paraId="531F6720">
      <w:pPr>
        <w:pStyle w:val="4"/>
        <w:ind w:firstLine="480"/>
        <w:rPr>
          <w:color w:val="auto"/>
        </w:rPr>
      </w:pPr>
      <w:bookmarkStart w:id="298" w:name="OLE_LINK69"/>
      <w:bookmarkStart w:id="299" w:name="OLE_LINK83"/>
      <w:r>
        <w:rPr>
          <w:rFonts w:hint="eastAsia"/>
          <w:color w:val="auto"/>
        </w:rPr>
        <w:t>本期工程验收期间未实施侧钻，未产生侧钻固废。</w:t>
      </w:r>
    </w:p>
    <w:p w14:paraId="7DDF33DF">
      <w:pPr>
        <w:pStyle w:val="4"/>
        <w:ind w:firstLine="480"/>
        <w:rPr>
          <w:rFonts w:cs="宋体"/>
          <w:color w:val="auto"/>
          <w:kern w:val="0"/>
        </w:rPr>
        <w:sectPr>
          <w:pgSz w:w="11906" w:h="16838"/>
          <w:pgMar w:top="1418" w:right="1588" w:bottom="1418" w:left="1588" w:header="1134" w:footer="851" w:gutter="0"/>
          <w:cols w:space="720" w:num="1"/>
          <w:docGrid w:linePitch="312" w:charSpace="0"/>
        </w:sectPr>
      </w:pPr>
      <w:r>
        <w:rPr>
          <w:rFonts w:hint="eastAsia"/>
          <w:color w:val="auto"/>
        </w:rPr>
        <w:t>本期工程验收调查期间未产生危险废物，</w:t>
      </w:r>
      <w:r>
        <w:rPr>
          <w:rFonts w:hint="eastAsia" w:cs="宋体"/>
          <w:color w:val="auto"/>
          <w:kern w:val="0"/>
        </w:rPr>
        <w:t>运营期</w:t>
      </w:r>
      <w:r>
        <w:rPr>
          <w:rFonts w:hint="eastAsia"/>
          <w:color w:val="auto"/>
          <w:kern w:val="0"/>
        </w:rPr>
        <w:t>井下作业目前均采用船型围堰代替铺设防渗材料，无废弃防渗膜产生；</w:t>
      </w:r>
      <w:r>
        <w:rPr>
          <w:rFonts w:hint="eastAsia"/>
          <w:color w:val="auto"/>
        </w:rPr>
        <w:t>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w:t>
      </w:r>
      <w:bookmarkEnd w:id="298"/>
      <w:bookmarkEnd w:id="299"/>
      <w:r>
        <w:rPr>
          <w:rFonts w:hint="eastAsia" w:cs="宋体"/>
          <w:color w:val="auto"/>
          <w:kern w:val="0"/>
        </w:rPr>
        <w:t>。本期工程危险废物汇总见</w:t>
      </w:r>
      <w:r>
        <w:rPr>
          <w:rFonts w:cs="宋体"/>
          <w:color w:val="auto"/>
          <w:kern w:val="0"/>
        </w:rPr>
        <w:fldChar w:fldCharType="begin"/>
      </w:r>
      <w:r>
        <w:instrText xml:space="preserve"> REF _Ref223688833 \h  \* MERGEFORMAT</w:instrText>
      </w:r>
      <w:r>
        <w:rPr>
          <w:rFonts w:cs="宋体"/>
          <w:color w:val="auto"/>
          <w:kern w:val="0"/>
        </w:rPr>
        <w:fldChar w:fldCharType="separate"/>
      </w:r>
      <w:r>
        <w:rPr>
          <w:color w:val="auto"/>
        </w:rPr>
        <w:t>表 3.4</w:t>
      </w:r>
      <w:r>
        <w:rPr>
          <w:color w:val="auto"/>
        </w:rPr>
        <w:noBreakHyphen/>
      </w:r>
      <w:r>
        <w:rPr>
          <w:color w:val="auto"/>
        </w:rPr>
        <w:t>10</w:t>
      </w:r>
      <w:r>
        <w:rPr>
          <w:rFonts w:cs="宋体"/>
          <w:color w:val="auto"/>
          <w:kern w:val="0"/>
        </w:rPr>
        <w:fldChar w:fldCharType="end"/>
      </w:r>
      <w:r>
        <w:rPr>
          <w:rFonts w:hint="eastAsia" w:cs="宋体"/>
          <w:color w:val="auto"/>
          <w:kern w:val="0"/>
        </w:rPr>
        <w:t>。</w:t>
      </w:r>
    </w:p>
    <w:p w14:paraId="1B728800">
      <w:pPr>
        <w:pStyle w:val="15"/>
        <w:spacing w:before="120"/>
        <w:rPr>
          <w:color w:val="auto"/>
        </w:rPr>
      </w:pPr>
      <w:bookmarkStart w:id="300" w:name="_Ref223688833"/>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10</w:t>
      </w:r>
      <w:r>
        <w:rPr>
          <w:color w:val="auto"/>
        </w:rPr>
        <w:fldChar w:fldCharType="end"/>
      </w:r>
      <w:bookmarkEnd w:id="300"/>
      <w:r>
        <w:rPr>
          <w:color w:val="auto"/>
        </w:rPr>
        <w:t xml:space="preserve"> </w:t>
      </w:r>
      <w:r>
        <w:rPr>
          <w:rFonts w:hint="eastAsia"/>
          <w:color w:val="auto"/>
        </w:rPr>
        <w:t>本期工程危险废物产生情况</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7"/>
        <w:gridCol w:w="2399"/>
        <w:gridCol w:w="2399"/>
        <w:gridCol w:w="2399"/>
        <w:gridCol w:w="2399"/>
        <w:gridCol w:w="2399"/>
      </w:tblGrid>
      <w:tr w14:paraId="6E114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14" w:type="pct"/>
            <w:shd w:val="clear" w:color="auto" w:fill="auto"/>
            <w:vAlign w:val="center"/>
          </w:tcPr>
          <w:p w14:paraId="4244CC13">
            <w:pPr>
              <w:pStyle w:val="81"/>
              <w:rPr>
                <w:rFonts w:hAnsi="宋体"/>
                <w:color w:val="auto"/>
              </w:rPr>
            </w:pPr>
            <w:bookmarkStart w:id="301" w:name="_Hlk231229132"/>
            <w:r>
              <w:rPr>
                <w:rFonts w:hint="eastAsia" w:hAnsi="宋体"/>
                <w:color w:val="auto"/>
              </w:rPr>
              <w:t>危险废物名称</w:t>
            </w:r>
          </w:p>
        </w:tc>
        <w:tc>
          <w:tcPr>
            <w:tcW w:w="857" w:type="pct"/>
            <w:shd w:val="clear" w:color="auto" w:fill="auto"/>
            <w:vAlign w:val="center"/>
          </w:tcPr>
          <w:p w14:paraId="1E06EC1E">
            <w:pPr>
              <w:pStyle w:val="81"/>
              <w:rPr>
                <w:rFonts w:hAnsi="宋体"/>
                <w:color w:val="auto"/>
              </w:rPr>
            </w:pPr>
            <w:r>
              <w:rPr>
                <w:rFonts w:hint="eastAsia" w:hAnsi="宋体"/>
                <w:color w:val="auto"/>
              </w:rPr>
              <w:t>落地油</w:t>
            </w:r>
          </w:p>
        </w:tc>
        <w:tc>
          <w:tcPr>
            <w:tcW w:w="857" w:type="pct"/>
            <w:shd w:val="clear" w:color="auto" w:fill="auto"/>
            <w:vAlign w:val="center"/>
          </w:tcPr>
          <w:p w14:paraId="19E2DC15">
            <w:pPr>
              <w:pStyle w:val="81"/>
              <w:rPr>
                <w:rFonts w:hAnsi="宋体"/>
                <w:color w:val="auto"/>
              </w:rPr>
            </w:pPr>
            <w:r>
              <w:rPr>
                <w:rFonts w:hint="eastAsia" w:hAnsi="宋体"/>
                <w:color w:val="auto"/>
              </w:rPr>
              <w:t>浮油、</w:t>
            </w:r>
            <w:r>
              <w:rPr>
                <w:rFonts w:hAnsi="宋体"/>
                <w:color w:val="auto"/>
              </w:rPr>
              <w:t>浮渣、污泥</w:t>
            </w:r>
          </w:p>
        </w:tc>
        <w:tc>
          <w:tcPr>
            <w:tcW w:w="857" w:type="pct"/>
            <w:shd w:val="clear" w:color="auto" w:fill="auto"/>
            <w:vAlign w:val="center"/>
          </w:tcPr>
          <w:p w14:paraId="36B71086">
            <w:pPr>
              <w:pStyle w:val="81"/>
              <w:rPr>
                <w:rFonts w:hAnsi="宋体"/>
                <w:color w:val="auto"/>
              </w:rPr>
            </w:pPr>
            <w:r>
              <w:rPr>
                <w:rFonts w:hint="eastAsia" w:hAnsi="宋体"/>
                <w:color w:val="auto"/>
              </w:rPr>
              <w:t>清罐</w:t>
            </w:r>
            <w:r>
              <w:rPr>
                <w:rFonts w:hAnsi="宋体"/>
                <w:color w:val="auto"/>
              </w:rPr>
              <w:t>底泥</w:t>
            </w:r>
          </w:p>
        </w:tc>
        <w:tc>
          <w:tcPr>
            <w:tcW w:w="857" w:type="pct"/>
            <w:shd w:val="clear" w:color="auto" w:fill="auto"/>
            <w:vAlign w:val="center"/>
          </w:tcPr>
          <w:p w14:paraId="55BF8662">
            <w:pPr>
              <w:pStyle w:val="81"/>
              <w:rPr>
                <w:rFonts w:hAnsi="宋体"/>
                <w:color w:val="auto"/>
              </w:rPr>
            </w:pPr>
            <w:r>
              <w:rPr>
                <w:rFonts w:hint="eastAsia" w:hAnsi="宋体"/>
                <w:color w:val="auto"/>
              </w:rPr>
              <w:t>废</w:t>
            </w:r>
            <w:r>
              <w:rPr>
                <w:rFonts w:hAnsi="宋体"/>
                <w:color w:val="auto"/>
              </w:rPr>
              <w:t>防渗材料</w:t>
            </w:r>
          </w:p>
        </w:tc>
        <w:tc>
          <w:tcPr>
            <w:tcW w:w="857" w:type="pct"/>
            <w:shd w:val="clear" w:color="auto" w:fill="auto"/>
            <w:vAlign w:val="center"/>
          </w:tcPr>
          <w:p w14:paraId="236516A0">
            <w:pPr>
              <w:pStyle w:val="81"/>
              <w:rPr>
                <w:rFonts w:hAnsi="宋体"/>
                <w:color w:val="auto"/>
              </w:rPr>
            </w:pPr>
            <w:r>
              <w:rPr>
                <w:rFonts w:hint="eastAsia" w:hAnsi="宋体"/>
                <w:color w:val="auto"/>
              </w:rPr>
              <w:t>废润滑油</w:t>
            </w:r>
          </w:p>
        </w:tc>
      </w:tr>
      <w:tr w14:paraId="05FBF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shd w:val="clear" w:color="auto" w:fill="auto"/>
            <w:vAlign w:val="center"/>
          </w:tcPr>
          <w:p w14:paraId="0851FC35">
            <w:pPr>
              <w:pStyle w:val="81"/>
              <w:rPr>
                <w:rFonts w:hAnsi="宋体"/>
                <w:color w:val="auto"/>
              </w:rPr>
            </w:pPr>
            <w:r>
              <w:rPr>
                <w:rFonts w:hint="eastAsia" w:hAnsi="宋体"/>
                <w:color w:val="auto"/>
              </w:rPr>
              <w:t>危险废物类别</w:t>
            </w:r>
          </w:p>
        </w:tc>
        <w:tc>
          <w:tcPr>
            <w:tcW w:w="857" w:type="pct"/>
            <w:shd w:val="clear" w:color="auto" w:fill="auto"/>
            <w:vAlign w:val="center"/>
          </w:tcPr>
          <w:p w14:paraId="72E3DD8E">
            <w:pPr>
              <w:pStyle w:val="81"/>
              <w:rPr>
                <w:rFonts w:hAnsi="宋体"/>
                <w:color w:val="auto"/>
              </w:rPr>
            </w:pPr>
            <w:r>
              <w:rPr>
                <w:rFonts w:hint="eastAsia" w:hAnsi="宋体"/>
                <w:color w:val="auto"/>
              </w:rPr>
              <w:t>HW08</w:t>
            </w:r>
          </w:p>
        </w:tc>
        <w:tc>
          <w:tcPr>
            <w:tcW w:w="857" w:type="pct"/>
            <w:shd w:val="clear" w:color="auto" w:fill="auto"/>
            <w:vAlign w:val="center"/>
          </w:tcPr>
          <w:p w14:paraId="33DC5980">
            <w:pPr>
              <w:pStyle w:val="81"/>
              <w:rPr>
                <w:rFonts w:hAnsi="宋体"/>
                <w:color w:val="auto"/>
              </w:rPr>
            </w:pPr>
            <w:r>
              <w:rPr>
                <w:rFonts w:hint="eastAsia" w:hAnsi="宋体"/>
                <w:color w:val="auto"/>
              </w:rPr>
              <w:t>HW08</w:t>
            </w:r>
          </w:p>
        </w:tc>
        <w:tc>
          <w:tcPr>
            <w:tcW w:w="857" w:type="pct"/>
            <w:shd w:val="clear" w:color="auto" w:fill="auto"/>
            <w:vAlign w:val="center"/>
          </w:tcPr>
          <w:p w14:paraId="698996F3">
            <w:pPr>
              <w:pStyle w:val="81"/>
              <w:rPr>
                <w:rFonts w:hAnsi="宋体"/>
                <w:color w:val="auto"/>
              </w:rPr>
            </w:pPr>
            <w:r>
              <w:rPr>
                <w:rFonts w:hint="eastAsia" w:hAnsi="宋体"/>
                <w:color w:val="auto"/>
              </w:rPr>
              <w:t>HW08</w:t>
            </w:r>
          </w:p>
        </w:tc>
        <w:tc>
          <w:tcPr>
            <w:tcW w:w="857" w:type="pct"/>
            <w:shd w:val="clear" w:color="auto" w:fill="auto"/>
            <w:vAlign w:val="center"/>
          </w:tcPr>
          <w:p w14:paraId="1CCCA137">
            <w:pPr>
              <w:pStyle w:val="81"/>
              <w:rPr>
                <w:rFonts w:hAnsi="宋体"/>
                <w:color w:val="auto"/>
              </w:rPr>
            </w:pPr>
            <w:r>
              <w:rPr>
                <w:rFonts w:hint="eastAsia" w:hAnsi="宋体"/>
                <w:color w:val="auto"/>
              </w:rPr>
              <w:t>HW08</w:t>
            </w:r>
          </w:p>
        </w:tc>
        <w:tc>
          <w:tcPr>
            <w:tcW w:w="857" w:type="pct"/>
            <w:shd w:val="clear" w:color="auto" w:fill="auto"/>
            <w:vAlign w:val="center"/>
          </w:tcPr>
          <w:p w14:paraId="2BFBB247">
            <w:pPr>
              <w:pStyle w:val="81"/>
              <w:rPr>
                <w:rFonts w:hAnsi="宋体"/>
                <w:color w:val="auto"/>
              </w:rPr>
            </w:pPr>
            <w:r>
              <w:rPr>
                <w:rFonts w:hint="eastAsia" w:hAnsi="宋体"/>
                <w:color w:val="auto"/>
              </w:rPr>
              <w:t>HW08</w:t>
            </w:r>
          </w:p>
        </w:tc>
      </w:tr>
      <w:tr w14:paraId="4A214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shd w:val="clear" w:color="auto" w:fill="auto"/>
            <w:vAlign w:val="center"/>
          </w:tcPr>
          <w:p w14:paraId="79FF1488">
            <w:pPr>
              <w:pStyle w:val="81"/>
              <w:rPr>
                <w:rFonts w:hAnsi="宋体"/>
                <w:color w:val="auto"/>
              </w:rPr>
            </w:pPr>
            <w:r>
              <w:rPr>
                <w:rFonts w:hint="eastAsia" w:hAnsi="宋体"/>
                <w:color w:val="auto"/>
              </w:rPr>
              <w:t>危险废物代码</w:t>
            </w:r>
          </w:p>
        </w:tc>
        <w:tc>
          <w:tcPr>
            <w:tcW w:w="857" w:type="pct"/>
            <w:shd w:val="clear" w:color="auto" w:fill="auto"/>
            <w:vAlign w:val="center"/>
          </w:tcPr>
          <w:p w14:paraId="3912AD71">
            <w:pPr>
              <w:pStyle w:val="81"/>
              <w:rPr>
                <w:rFonts w:hAnsi="宋体"/>
                <w:color w:val="auto"/>
              </w:rPr>
            </w:pPr>
            <w:r>
              <w:rPr>
                <w:rFonts w:hint="eastAsia" w:hAnsi="宋体"/>
                <w:color w:val="auto"/>
              </w:rPr>
              <w:t>071-001-08</w:t>
            </w:r>
          </w:p>
        </w:tc>
        <w:tc>
          <w:tcPr>
            <w:tcW w:w="857" w:type="pct"/>
            <w:shd w:val="clear" w:color="auto" w:fill="auto"/>
            <w:vAlign w:val="center"/>
          </w:tcPr>
          <w:p w14:paraId="7DEB0DF7">
            <w:pPr>
              <w:pStyle w:val="81"/>
              <w:rPr>
                <w:rFonts w:hAnsi="宋体"/>
                <w:color w:val="auto"/>
              </w:rPr>
            </w:pPr>
            <w:r>
              <w:rPr>
                <w:rFonts w:hint="eastAsia" w:hAnsi="宋体"/>
                <w:color w:val="auto"/>
              </w:rPr>
              <w:t>900-210-08</w:t>
            </w:r>
          </w:p>
        </w:tc>
        <w:tc>
          <w:tcPr>
            <w:tcW w:w="857" w:type="pct"/>
            <w:shd w:val="clear" w:color="auto" w:fill="auto"/>
            <w:vAlign w:val="center"/>
          </w:tcPr>
          <w:p w14:paraId="7FE9E832">
            <w:pPr>
              <w:pStyle w:val="81"/>
              <w:rPr>
                <w:rFonts w:hAnsi="宋体"/>
                <w:color w:val="auto"/>
              </w:rPr>
            </w:pPr>
            <w:r>
              <w:rPr>
                <w:rFonts w:hint="eastAsia" w:hAnsi="宋体"/>
                <w:color w:val="auto"/>
              </w:rPr>
              <w:t>071-001-08</w:t>
            </w:r>
          </w:p>
        </w:tc>
        <w:tc>
          <w:tcPr>
            <w:tcW w:w="857" w:type="pct"/>
            <w:shd w:val="clear" w:color="auto" w:fill="auto"/>
            <w:vAlign w:val="center"/>
          </w:tcPr>
          <w:p w14:paraId="3706208E">
            <w:pPr>
              <w:pStyle w:val="81"/>
              <w:rPr>
                <w:rFonts w:hAnsi="宋体"/>
                <w:color w:val="auto"/>
              </w:rPr>
            </w:pPr>
            <w:r>
              <w:rPr>
                <w:rFonts w:hAnsi="宋体"/>
                <w:color w:val="auto"/>
              </w:rPr>
              <w:t>900-249-08</w:t>
            </w:r>
          </w:p>
        </w:tc>
        <w:tc>
          <w:tcPr>
            <w:tcW w:w="857" w:type="pct"/>
            <w:shd w:val="clear" w:color="auto" w:fill="auto"/>
            <w:vAlign w:val="center"/>
          </w:tcPr>
          <w:p w14:paraId="28482872">
            <w:pPr>
              <w:pStyle w:val="81"/>
              <w:rPr>
                <w:rFonts w:hAnsi="宋体"/>
                <w:color w:val="auto"/>
              </w:rPr>
            </w:pPr>
            <w:r>
              <w:rPr>
                <w:rFonts w:hint="eastAsia" w:hAnsi="宋体"/>
                <w:color w:val="auto"/>
              </w:rPr>
              <w:t>900-217-08</w:t>
            </w:r>
          </w:p>
        </w:tc>
      </w:tr>
      <w:tr w14:paraId="337F5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shd w:val="clear" w:color="auto" w:fill="auto"/>
            <w:vAlign w:val="center"/>
          </w:tcPr>
          <w:p w14:paraId="103E2DAD">
            <w:pPr>
              <w:pStyle w:val="81"/>
              <w:rPr>
                <w:rFonts w:hAnsi="宋体"/>
                <w:color w:val="auto"/>
              </w:rPr>
            </w:pPr>
            <w:r>
              <w:rPr>
                <w:rFonts w:hint="eastAsia" w:hAnsi="宋体"/>
                <w:color w:val="auto"/>
              </w:rPr>
              <w:t>产生工序及装置</w:t>
            </w:r>
          </w:p>
        </w:tc>
        <w:tc>
          <w:tcPr>
            <w:tcW w:w="857" w:type="pct"/>
            <w:shd w:val="clear" w:color="auto" w:fill="auto"/>
            <w:vAlign w:val="center"/>
          </w:tcPr>
          <w:p w14:paraId="4DD21E36">
            <w:pPr>
              <w:pStyle w:val="81"/>
              <w:rPr>
                <w:rFonts w:hAnsi="宋体"/>
                <w:color w:val="auto"/>
              </w:rPr>
            </w:pPr>
            <w:r>
              <w:rPr>
                <w:rFonts w:hint="eastAsia" w:hAnsi="宋体"/>
                <w:color w:val="auto"/>
              </w:rPr>
              <w:t>井下作业现场、采出液及采出水处理环节产生</w:t>
            </w:r>
          </w:p>
        </w:tc>
        <w:tc>
          <w:tcPr>
            <w:tcW w:w="857" w:type="pct"/>
            <w:shd w:val="clear" w:color="auto" w:fill="auto"/>
            <w:vAlign w:val="center"/>
          </w:tcPr>
          <w:p w14:paraId="27D23B51">
            <w:pPr>
              <w:pStyle w:val="81"/>
              <w:rPr>
                <w:rFonts w:hAnsi="宋体"/>
                <w:color w:val="auto"/>
              </w:rPr>
            </w:pPr>
            <w:r>
              <w:rPr>
                <w:rFonts w:hint="eastAsia" w:hAnsi="宋体"/>
                <w:color w:val="auto"/>
              </w:rPr>
              <w:t>采出水处理设施运行、维护过程</w:t>
            </w:r>
          </w:p>
        </w:tc>
        <w:tc>
          <w:tcPr>
            <w:tcW w:w="857" w:type="pct"/>
            <w:shd w:val="clear" w:color="auto" w:fill="auto"/>
            <w:vAlign w:val="center"/>
          </w:tcPr>
          <w:p w14:paraId="6B3BCE4A">
            <w:pPr>
              <w:pStyle w:val="81"/>
              <w:rPr>
                <w:rFonts w:hAnsi="宋体"/>
                <w:color w:val="auto"/>
              </w:rPr>
            </w:pPr>
            <w:r>
              <w:rPr>
                <w:rFonts w:hint="eastAsia" w:hAnsi="宋体"/>
                <w:color w:val="auto"/>
              </w:rPr>
              <w:t>采出液及采出水处理过程中</w:t>
            </w:r>
          </w:p>
        </w:tc>
        <w:tc>
          <w:tcPr>
            <w:tcW w:w="857" w:type="pct"/>
            <w:shd w:val="clear" w:color="auto" w:fill="auto"/>
            <w:vAlign w:val="center"/>
          </w:tcPr>
          <w:p w14:paraId="537D9D61">
            <w:pPr>
              <w:pStyle w:val="81"/>
              <w:rPr>
                <w:rFonts w:hAnsi="宋体"/>
                <w:color w:val="auto"/>
              </w:rPr>
            </w:pPr>
            <w:r>
              <w:rPr>
                <w:rFonts w:hint="eastAsia" w:hAnsi="宋体"/>
                <w:color w:val="auto"/>
              </w:rPr>
              <w:t>井下作业现场</w:t>
            </w:r>
          </w:p>
        </w:tc>
        <w:tc>
          <w:tcPr>
            <w:tcW w:w="857" w:type="pct"/>
            <w:shd w:val="clear" w:color="auto" w:fill="auto"/>
            <w:vAlign w:val="center"/>
          </w:tcPr>
          <w:p w14:paraId="1F6C1FDC">
            <w:pPr>
              <w:pStyle w:val="81"/>
              <w:rPr>
                <w:rFonts w:hAnsi="宋体"/>
                <w:color w:val="auto"/>
              </w:rPr>
            </w:pPr>
            <w:r>
              <w:rPr>
                <w:rFonts w:hint="eastAsia" w:hAnsi="宋体"/>
                <w:color w:val="auto"/>
              </w:rPr>
              <w:t>设备维修环节</w:t>
            </w:r>
          </w:p>
        </w:tc>
      </w:tr>
      <w:tr w14:paraId="25F36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shd w:val="clear" w:color="auto" w:fill="auto"/>
            <w:vAlign w:val="center"/>
          </w:tcPr>
          <w:p w14:paraId="1A144E7B">
            <w:pPr>
              <w:pStyle w:val="81"/>
              <w:rPr>
                <w:rFonts w:hAnsi="宋体"/>
                <w:color w:val="auto"/>
              </w:rPr>
            </w:pPr>
            <w:r>
              <w:rPr>
                <w:rFonts w:hint="eastAsia" w:hAnsi="宋体"/>
                <w:color w:val="auto"/>
              </w:rPr>
              <w:t>形态</w:t>
            </w:r>
          </w:p>
        </w:tc>
        <w:tc>
          <w:tcPr>
            <w:tcW w:w="857" w:type="pct"/>
            <w:shd w:val="clear" w:color="auto" w:fill="auto"/>
            <w:vAlign w:val="center"/>
          </w:tcPr>
          <w:p w14:paraId="7100E325">
            <w:pPr>
              <w:pStyle w:val="81"/>
              <w:rPr>
                <w:rFonts w:hAnsi="宋体"/>
                <w:color w:val="auto"/>
              </w:rPr>
            </w:pPr>
            <w:r>
              <w:rPr>
                <w:rFonts w:hint="eastAsia" w:hAnsi="宋体"/>
                <w:color w:val="auto"/>
              </w:rPr>
              <w:t>固体、</w:t>
            </w:r>
            <w:r>
              <w:rPr>
                <w:rFonts w:hAnsi="宋体"/>
                <w:color w:val="auto"/>
              </w:rPr>
              <w:t>半固体</w:t>
            </w:r>
          </w:p>
        </w:tc>
        <w:tc>
          <w:tcPr>
            <w:tcW w:w="857" w:type="pct"/>
            <w:shd w:val="clear" w:color="auto" w:fill="auto"/>
            <w:vAlign w:val="center"/>
          </w:tcPr>
          <w:p w14:paraId="3F9EC7CA">
            <w:pPr>
              <w:pStyle w:val="81"/>
              <w:rPr>
                <w:rFonts w:hAnsi="宋体"/>
                <w:color w:val="auto"/>
              </w:rPr>
            </w:pPr>
            <w:r>
              <w:rPr>
                <w:rFonts w:hint="eastAsia" w:hAnsi="宋体"/>
                <w:color w:val="auto"/>
              </w:rPr>
              <w:t>半固体</w:t>
            </w:r>
          </w:p>
        </w:tc>
        <w:tc>
          <w:tcPr>
            <w:tcW w:w="857" w:type="pct"/>
            <w:shd w:val="clear" w:color="auto" w:fill="auto"/>
            <w:vAlign w:val="center"/>
          </w:tcPr>
          <w:p w14:paraId="34244902">
            <w:pPr>
              <w:pStyle w:val="81"/>
              <w:rPr>
                <w:rFonts w:hAnsi="宋体"/>
                <w:color w:val="auto"/>
              </w:rPr>
            </w:pPr>
            <w:r>
              <w:rPr>
                <w:rFonts w:hint="eastAsia" w:hAnsi="宋体"/>
                <w:color w:val="auto"/>
              </w:rPr>
              <w:t>固体、</w:t>
            </w:r>
            <w:r>
              <w:rPr>
                <w:rFonts w:hAnsi="宋体"/>
                <w:color w:val="auto"/>
              </w:rPr>
              <w:t>半固体</w:t>
            </w:r>
          </w:p>
        </w:tc>
        <w:tc>
          <w:tcPr>
            <w:tcW w:w="857" w:type="pct"/>
            <w:shd w:val="clear" w:color="auto" w:fill="auto"/>
            <w:vAlign w:val="center"/>
          </w:tcPr>
          <w:p w14:paraId="4C55A9C1">
            <w:pPr>
              <w:pStyle w:val="81"/>
              <w:rPr>
                <w:rFonts w:hAnsi="宋体"/>
                <w:color w:val="auto"/>
              </w:rPr>
            </w:pPr>
            <w:r>
              <w:rPr>
                <w:rFonts w:hint="eastAsia" w:hAnsi="宋体"/>
                <w:color w:val="auto"/>
              </w:rPr>
              <w:t>固体</w:t>
            </w:r>
          </w:p>
        </w:tc>
        <w:tc>
          <w:tcPr>
            <w:tcW w:w="857" w:type="pct"/>
            <w:shd w:val="clear" w:color="auto" w:fill="auto"/>
            <w:vAlign w:val="center"/>
          </w:tcPr>
          <w:p w14:paraId="78322578">
            <w:pPr>
              <w:pStyle w:val="81"/>
              <w:rPr>
                <w:rFonts w:hAnsi="宋体"/>
                <w:color w:val="auto"/>
              </w:rPr>
            </w:pPr>
            <w:r>
              <w:rPr>
                <w:rFonts w:hint="eastAsia" w:hAnsi="宋体"/>
                <w:color w:val="auto"/>
              </w:rPr>
              <w:t>半固体</w:t>
            </w:r>
          </w:p>
        </w:tc>
      </w:tr>
      <w:tr w14:paraId="307B9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shd w:val="clear" w:color="auto" w:fill="auto"/>
            <w:vAlign w:val="center"/>
          </w:tcPr>
          <w:p w14:paraId="483BD6BE">
            <w:pPr>
              <w:pStyle w:val="81"/>
              <w:rPr>
                <w:rFonts w:hAnsi="宋体"/>
                <w:color w:val="auto"/>
              </w:rPr>
            </w:pPr>
            <w:r>
              <w:rPr>
                <w:rFonts w:hint="eastAsia" w:hAnsi="宋体"/>
                <w:color w:val="auto"/>
              </w:rPr>
              <w:t>主要成分</w:t>
            </w:r>
          </w:p>
        </w:tc>
        <w:tc>
          <w:tcPr>
            <w:tcW w:w="857" w:type="pct"/>
            <w:shd w:val="clear" w:color="auto" w:fill="auto"/>
            <w:vAlign w:val="center"/>
          </w:tcPr>
          <w:p w14:paraId="5D556FDB">
            <w:pPr>
              <w:pStyle w:val="81"/>
              <w:rPr>
                <w:rFonts w:hAnsi="宋体"/>
                <w:color w:val="auto"/>
              </w:rPr>
            </w:pPr>
            <w:r>
              <w:rPr>
                <w:rFonts w:hint="eastAsia" w:hAnsi="宋体"/>
                <w:color w:val="auto"/>
              </w:rPr>
              <w:t>砂石、矿物油</w:t>
            </w:r>
          </w:p>
        </w:tc>
        <w:tc>
          <w:tcPr>
            <w:tcW w:w="857" w:type="pct"/>
            <w:shd w:val="clear" w:color="auto" w:fill="auto"/>
            <w:vAlign w:val="center"/>
          </w:tcPr>
          <w:p w14:paraId="502AF2CC">
            <w:pPr>
              <w:pStyle w:val="81"/>
              <w:rPr>
                <w:rFonts w:hAnsi="宋体"/>
                <w:color w:val="auto"/>
              </w:rPr>
            </w:pPr>
            <w:r>
              <w:rPr>
                <w:rFonts w:hint="eastAsia" w:hAnsi="宋体"/>
                <w:color w:val="auto"/>
              </w:rPr>
              <w:t>砂石、矿物油</w:t>
            </w:r>
          </w:p>
        </w:tc>
        <w:tc>
          <w:tcPr>
            <w:tcW w:w="857" w:type="pct"/>
            <w:shd w:val="clear" w:color="auto" w:fill="auto"/>
            <w:vAlign w:val="center"/>
          </w:tcPr>
          <w:p w14:paraId="17C683A4">
            <w:pPr>
              <w:pStyle w:val="81"/>
              <w:rPr>
                <w:rFonts w:hAnsi="宋体"/>
                <w:color w:val="auto"/>
              </w:rPr>
            </w:pPr>
            <w:r>
              <w:rPr>
                <w:rFonts w:hint="eastAsia" w:hAnsi="宋体"/>
                <w:color w:val="auto"/>
              </w:rPr>
              <w:t>砂石、矿物油</w:t>
            </w:r>
          </w:p>
        </w:tc>
        <w:tc>
          <w:tcPr>
            <w:tcW w:w="857" w:type="pct"/>
            <w:shd w:val="clear" w:color="auto" w:fill="auto"/>
            <w:vAlign w:val="center"/>
          </w:tcPr>
          <w:p w14:paraId="08369C89">
            <w:pPr>
              <w:pStyle w:val="81"/>
              <w:rPr>
                <w:rFonts w:hAnsi="宋体"/>
                <w:color w:val="auto"/>
              </w:rPr>
            </w:pPr>
            <w:r>
              <w:rPr>
                <w:rFonts w:hint="eastAsia" w:hAnsi="宋体"/>
                <w:color w:val="auto"/>
              </w:rPr>
              <w:t>防渗</w:t>
            </w:r>
            <w:r>
              <w:rPr>
                <w:rFonts w:hAnsi="宋体"/>
                <w:color w:val="auto"/>
              </w:rPr>
              <w:t>材料、矿物油</w:t>
            </w:r>
          </w:p>
        </w:tc>
        <w:tc>
          <w:tcPr>
            <w:tcW w:w="857" w:type="pct"/>
            <w:shd w:val="clear" w:color="auto" w:fill="auto"/>
            <w:vAlign w:val="center"/>
          </w:tcPr>
          <w:p w14:paraId="4BF89758">
            <w:pPr>
              <w:pStyle w:val="81"/>
              <w:rPr>
                <w:rFonts w:hAnsi="宋体"/>
                <w:color w:val="auto"/>
              </w:rPr>
            </w:pPr>
            <w:r>
              <w:rPr>
                <w:rFonts w:hint="eastAsia" w:hAnsi="宋体"/>
                <w:color w:val="auto"/>
              </w:rPr>
              <w:t>矿物油</w:t>
            </w:r>
          </w:p>
        </w:tc>
      </w:tr>
      <w:tr w14:paraId="0AEA1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shd w:val="clear" w:color="auto" w:fill="auto"/>
            <w:vAlign w:val="center"/>
          </w:tcPr>
          <w:p w14:paraId="6082F9D1">
            <w:pPr>
              <w:pStyle w:val="81"/>
              <w:rPr>
                <w:rFonts w:hAnsi="宋体"/>
                <w:color w:val="auto"/>
              </w:rPr>
            </w:pPr>
            <w:r>
              <w:rPr>
                <w:rFonts w:hint="eastAsia" w:hAnsi="宋体"/>
                <w:color w:val="auto"/>
              </w:rPr>
              <w:t>有害成分</w:t>
            </w:r>
          </w:p>
        </w:tc>
        <w:tc>
          <w:tcPr>
            <w:tcW w:w="857" w:type="pct"/>
            <w:shd w:val="clear" w:color="auto" w:fill="auto"/>
            <w:vAlign w:val="center"/>
          </w:tcPr>
          <w:p w14:paraId="2F923940">
            <w:pPr>
              <w:pStyle w:val="81"/>
              <w:rPr>
                <w:rFonts w:hAnsi="宋体"/>
                <w:color w:val="auto"/>
              </w:rPr>
            </w:pPr>
            <w:r>
              <w:rPr>
                <w:rFonts w:hint="eastAsia" w:hAnsi="宋体"/>
                <w:color w:val="auto"/>
              </w:rPr>
              <w:t>废矿物油</w:t>
            </w:r>
          </w:p>
        </w:tc>
        <w:tc>
          <w:tcPr>
            <w:tcW w:w="857" w:type="pct"/>
            <w:shd w:val="clear" w:color="auto" w:fill="auto"/>
            <w:vAlign w:val="center"/>
          </w:tcPr>
          <w:p w14:paraId="27ED2960">
            <w:pPr>
              <w:pStyle w:val="81"/>
              <w:rPr>
                <w:rFonts w:hAnsi="宋体"/>
                <w:color w:val="auto"/>
              </w:rPr>
            </w:pPr>
            <w:r>
              <w:rPr>
                <w:rFonts w:hint="eastAsia" w:hAnsi="宋体"/>
                <w:color w:val="auto"/>
              </w:rPr>
              <w:t>废矿物油</w:t>
            </w:r>
          </w:p>
        </w:tc>
        <w:tc>
          <w:tcPr>
            <w:tcW w:w="857" w:type="pct"/>
            <w:shd w:val="clear" w:color="auto" w:fill="auto"/>
            <w:vAlign w:val="center"/>
          </w:tcPr>
          <w:p w14:paraId="23F89C23">
            <w:pPr>
              <w:pStyle w:val="81"/>
              <w:rPr>
                <w:rFonts w:hAnsi="宋体"/>
                <w:color w:val="auto"/>
              </w:rPr>
            </w:pPr>
            <w:r>
              <w:rPr>
                <w:rFonts w:hint="eastAsia" w:hAnsi="宋体"/>
                <w:color w:val="auto"/>
              </w:rPr>
              <w:t>废矿物油</w:t>
            </w:r>
          </w:p>
        </w:tc>
        <w:tc>
          <w:tcPr>
            <w:tcW w:w="857" w:type="pct"/>
            <w:shd w:val="clear" w:color="auto" w:fill="auto"/>
            <w:vAlign w:val="center"/>
          </w:tcPr>
          <w:p w14:paraId="2E4E7C11">
            <w:pPr>
              <w:pStyle w:val="81"/>
              <w:rPr>
                <w:rFonts w:hAnsi="宋体"/>
                <w:color w:val="auto"/>
              </w:rPr>
            </w:pPr>
            <w:r>
              <w:rPr>
                <w:rFonts w:hint="eastAsia" w:hAnsi="宋体"/>
                <w:color w:val="auto"/>
              </w:rPr>
              <w:t>废</w:t>
            </w:r>
            <w:r>
              <w:rPr>
                <w:rFonts w:hAnsi="宋体"/>
                <w:color w:val="auto"/>
              </w:rPr>
              <w:t>矿物油</w:t>
            </w:r>
          </w:p>
        </w:tc>
        <w:tc>
          <w:tcPr>
            <w:tcW w:w="857" w:type="pct"/>
            <w:shd w:val="clear" w:color="auto" w:fill="auto"/>
            <w:vAlign w:val="center"/>
          </w:tcPr>
          <w:p w14:paraId="566A86ED">
            <w:pPr>
              <w:pStyle w:val="81"/>
              <w:rPr>
                <w:rFonts w:hAnsi="宋体"/>
                <w:color w:val="auto"/>
              </w:rPr>
            </w:pPr>
            <w:r>
              <w:rPr>
                <w:rFonts w:hint="eastAsia" w:hAnsi="宋体"/>
                <w:color w:val="auto"/>
              </w:rPr>
              <w:t>废</w:t>
            </w:r>
            <w:r>
              <w:rPr>
                <w:rFonts w:hAnsi="宋体"/>
                <w:color w:val="auto"/>
              </w:rPr>
              <w:t>矿物油</w:t>
            </w:r>
          </w:p>
        </w:tc>
      </w:tr>
      <w:tr w14:paraId="65E99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shd w:val="clear" w:color="auto" w:fill="auto"/>
            <w:vAlign w:val="center"/>
          </w:tcPr>
          <w:p w14:paraId="58F99AA5">
            <w:pPr>
              <w:pStyle w:val="81"/>
              <w:rPr>
                <w:rFonts w:hAnsi="宋体"/>
                <w:color w:val="auto"/>
              </w:rPr>
            </w:pPr>
            <w:r>
              <w:rPr>
                <w:rFonts w:hint="eastAsia" w:hAnsi="宋体"/>
                <w:color w:val="auto"/>
              </w:rPr>
              <w:t>产废周期</w:t>
            </w:r>
          </w:p>
        </w:tc>
        <w:tc>
          <w:tcPr>
            <w:tcW w:w="857" w:type="pct"/>
            <w:shd w:val="clear" w:color="auto" w:fill="auto"/>
            <w:vAlign w:val="center"/>
          </w:tcPr>
          <w:p w14:paraId="2B2E55EA">
            <w:pPr>
              <w:pStyle w:val="81"/>
              <w:rPr>
                <w:rFonts w:hAnsi="宋体"/>
                <w:color w:val="auto"/>
              </w:rPr>
            </w:pPr>
            <w:r>
              <w:rPr>
                <w:rFonts w:hint="eastAsia" w:hAnsi="宋体"/>
                <w:color w:val="auto"/>
              </w:rPr>
              <w:t>每次井下作业、清罐产生，无明显周期性</w:t>
            </w:r>
          </w:p>
        </w:tc>
        <w:tc>
          <w:tcPr>
            <w:tcW w:w="857" w:type="pct"/>
            <w:shd w:val="clear" w:color="auto" w:fill="auto"/>
            <w:vAlign w:val="center"/>
          </w:tcPr>
          <w:p w14:paraId="5A4B2FE9">
            <w:pPr>
              <w:pStyle w:val="81"/>
              <w:rPr>
                <w:rFonts w:hAnsi="宋体"/>
                <w:color w:val="auto"/>
              </w:rPr>
            </w:pPr>
            <w:r>
              <w:rPr>
                <w:rFonts w:hint="eastAsia" w:hAnsi="宋体"/>
                <w:color w:val="auto"/>
              </w:rPr>
              <w:t>水处理</w:t>
            </w:r>
            <w:r>
              <w:rPr>
                <w:rFonts w:hAnsi="宋体"/>
                <w:color w:val="auto"/>
              </w:rPr>
              <w:t>设施</w:t>
            </w:r>
            <w:r>
              <w:rPr>
                <w:rFonts w:hint="eastAsia" w:hAnsi="宋体"/>
                <w:color w:val="auto"/>
              </w:rPr>
              <w:t>清罐时产生</w:t>
            </w:r>
          </w:p>
        </w:tc>
        <w:tc>
          <w:tcPr>
            <w:tcW w:w="857" w:type="pct"/>
            <w:shd w:val="clear" w:color="auto" w:fill="auto"/>
            <w:vAlign w:val="center"/>
          </w:tcPr>
          <w:p w14:paraId="2572997B">
            <w:pPr>
              <w:pStyle w:val="81"/>
              <w:rPr>
                <w:rFonts w:hAnsi="宋体"/>
                <w:color w:val="auto"/>
              </w:rPr>
            </w:pPr>
            <w:r>
              <w:rPr>
                <w:rFonts w:hint="eastAsia" w:hAnsi="宋体"/>
                <w:color w:val="auto"/>
              </w:rPr>
              <w:t>清罐时产生，无明显周期性</w:t>
            </w:r>
          </w:p>
        </w:tc>
        <w:tc>
          <w:tcPr>
            <w:tcW w:w="857" w:type="pct"/>
            <w:shd w:val="clear" w:color="auto" w:fill="auto"/>
            <w:vAlign w:val="center"/>
          </w:tcPr>
          <w:p w14:paraId="4C507088">
            <w:pPr>
              <w:pStyle w:val="81"/>
              <w:rPr>
                <w:rFonts w:hAnsi="宋体"/>
                <w:color w:val="auto"/>
              </w:rPr>
            </w:pPr>
            <w:r>
              <w:rPr>
                <w:rFonts w:hint="eastAsia" w:hAnsi="宋体"/>
                <w:color w:val="auto"/>
              </w:rPr>
              <w:t>每次井下作业产生，无明显周期性</w:t>
            </w:r>
          </w:p>
        </w:tc>
        <w:tc>
          <w:tcPr>
            <w:tcW w:w="857" w:type="pct"/>
            <w:shd w:val="clear" w:color="auto" w:fill="auto"/>
            <w:vAlign w:val="center"/>
          </w:tcPr>
          <w:p w14:paraId="339C25C1">
            <w:pPr>
              <w:pStyle w:val="81"/>
              <w:rPr>
                <w:rFonts w:hAnsi="宋体"/>
                <w:color w:val="auto"/>
              </w:rPr>
            </w:pPr>
            <w:r>
              <w:rPr>
                <w:rFonts w:hint="eastAsia" w:hAnsi="宋体"/>
                <w:color w:val="auto"/>
              </w:rPr>
              <w:t>设备维修时产生，无明显周期性</w:t>
            </w:r>
          </w:p>
        </w:tc>
      </w:tr>
      <w:tr w14:paraId="7AB2A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shd w:val="clear" w:color="auto" w:fill="auto"/>
            <w:vAlign w:val="center"/>
          </w:tcPr>
          <w:p w14:paraId="37403917">
            <w:pPr>
              <w:pStyle w:val="81"/>
              <w:rPr>
                <w:rFonts w:hAnsi="宋体"/>
                <w:color w:val="auto"/>
              </w:rPr>
            </w:pPr>
            <w:r>
              <w:rPr>
                <w:rFonts w:hint="eastAsia" w:hAnsi="宋体"/>
                <w:color w:val="auto"/>
              </w:rPr>
              <w:t>危险特性</w:t>
            </w:r>
          </w:p>
        </w:tc>
        <w:tc>
          <w:tcPr>
            <w:tcW w:w="857" w:type="pct"/>
            <w:shd w:val="clear" w:color="auto" w:fill="auto"/>
            <w:vAlign w:val="center"/>
          </w:tcPr>
          <w:p w14:paraId="3D7DEDF7">
            <w:pPr>
              <w:pStyle w:val="81"/>
              <w:rPr>
                <w:rFonts w:hAnsi="宋体"/>
                <w:color w:val="auto"/>
              </w:rPr>
            </w:pPr>
            <w:r>
              <w:rPr>
                <w:rFonts w:hint="eastAsia" w:hAnsi="宋体"/>
                <w:color w:val="auto"/>
              </w:rPr>
              <w:t>T，I</w:t>
            </w:r>
          </w:p>
        </w:tc>
        <w:tc>
          <w:tcPr>
            <w:tcW w:w="857" w:type="pct"/>
            <w:shd w:val="clear" w:color="auto" w:fill="auto"/>
            <w:vAlign w:val="center"/>
          </w:tcPr>
          <w:p w14:paraId="58EDC60B">
            <w:pPr>
              <w:pStyle w:val="81"/>
              <w:rPr>
                <w:rFonts w:hAnsi="宋体"/>
                <w:color w:val="auto"/>
              </w:rPr>
            </w:pPr>
            <w:r>
              <w:rPr>
                <w:rFonts w:hint="eastAsia" w:hAnsi="宋体"/>
                <w:color w:val="auto"/>
              </w:rPr>
              <w:t>T，I</w:t>
            </w:r>
          </w:p>
        </w:tc>
        <w:tc>
          <w:tcPr>
            <w:tcW w:w="857" w:type="pct"/>
            <w:shd w:val="clear" w:color="auto" w:fill="auto"/>
            <w:vAlign w:val="center"/>
          </w:tcPr>
          <w:p w14:paraId="255D3E12">
            <w:pPr>
              <w:pStyle w:val="81"/>
              <w:rPr>
                <w:rFonts w:hAnsi="宋体"/>
                <w:color w:val="auto"/>
              </w:rPr>
            </w:pPr>
            <w:r>
              <w:rPr>
                <w:rFonts w:hint="eastAsia" w:hAnsi="宋体"/>
                <w:color w:val="auto"/>
              </w:rPr>
              <w:t>T，I</w:t>
            </w:r>
          </w:p>
        </w:tc>
        <w:tc>
          <w:tcPr>
            <w:tcW w:w="857" w:type="pct"/>
            <w:shd w:val="clear" w:color="auto" w:fill="auto"/>
            <w:vAlign w:val="center"/>
          </w:tcPr>
          <w:p w14:paraId="3D57BB0F">
            <w:pPr>
              <w:pStyle w:val="81"/>
              <w:rPr>
                <w:rFonts w:hAnsi="宋体"/>
                <w:color w:val="auto"/>
              </w:rPr>
            </w:pPr>
            <w:r>
              <w:rPr>
                <w:rFonts w:hint="eastAsia" w:hAnsi="宋体"/>
                <w:color w:val="auto"/>
              </w:rPr>
              <w:t>T，I</w:t>
            </w:r>
          </w:p>
        </w:tc>
        <w:tc>
          <w:tcPr>
            <w:tcW w:w="857" w:type="pct"/>
            <w:shd w:val="clear" w:color="auto" w:fill="auto"/>
            <w:vAlign w:val="center"/>
          </w:tcPr>
          <w:p w14:paraId="50F82069">
            <w:pPr>
              <w:pStyle w:val="81"/>
              <w:rPr>
                <w:rFonts w:hAnsi="宋体"/>
                <w:color w:val="auto"/>
              </w:rPr>
            </w:pPr>
            <w:r>
              <w:rPr>
                <w:rFonts w:hint="eastAsia" w:hAnsi="宋体" w:cs="Arial"/>
                <w:color w:val="auto"/>
                <w:kern w:val="0"/>
              </w:rPr>
              <w:t>T，I</w:t>
            </w:r>
          </w:p>
        </w:tc>
      </w:tr>
      <w:tr w14:paraId="62D27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shd w:val="clear" w:color="auto" w:fill="auto"/>
            <w:vAlign w:val="center"/>
          </w:tcPr>
          <w:p w14:paraId="7281FEED">
            <w:pPr>
              <w:pStyle w:val="81"/>
              <w:rPr>
                <w:rFonts w:hAnsi="宋体"/>
                <w:color w:val="auto"/>
              </w:rPr>
            </w:pPr>
            <w:r>
              <w:rPr>
                <w:rFonts w:hint="eastAsia" w:hAnsi="宋体"/>
                <w:color w:val="auto"/>
              </w:rPr>
              <w:t>污染防治措施</w:t>
            </w:r>
          </w:p>
        </w:tc>
        <w:tc>
          <w:tcPr>
            <w:tcW w:w="857" w:type="pct"/>
            <w:shd w:val="clear" w:color="auto" w:fill="auto"/>
            <w:vAlign w:val="center"/>
          </w:tcPr>
          <w:p w14:paraId="195545F0">
            <w:pPr>
              <w:pStyle w:val="81"/>
              <w:rPr>
                <w:rFonts w:hAnsi="宋体"/>
                <w:color w:val="auto"/>
              </w:rPr>
            </w:pPr>
            <w:r>
              <w:rPr>
                <w:rFonts w:hAnsi="宋体"/>
                <w:color w:val="auto"/>
              </w:rPr>
              <w:t>现</w:t>
            </w:r>
            <w:r>
              <w:rPr>
                <w:rFonts w:hint="eastAsia" w:hAnsi="宋体"/>
                <w:color w:val="auto"/>
              </w:rPr>
              <w:t>已</w:t>
            </w:r>
            <w:r>
              <w:rPr>
                <w:rFonts w:hAnsi="宋体"/>
                <w:color w:val="auto"/>
              </w:rPr>
              <w:t>实现</w:t>
            </w:r>
            <w:r>
              <w:rPr>
                <w:rFonts w:hint="eastAsia" w:hAnsi="宋体"/>
                <w:color w:val="auto"/>
              </w:rPr>
              <w:t>日产日清，委托有资质</w:t>
            </w:r>
            <w:r>
              <w:rPr>
                <w:rFonts w:hAnsi="宋体"/>
                <w:color w:val="auto"/>
              </w:rPr>
              <w:t>单位处置</w:t>
            </w:r>
          </w:p>
        </w:tc>
        <w:tc>
          <w:tcPr>
            <w:tcW w:w="857" w:type="pct"/>
            <w:shd w:val="clear" w:color="auto" w:fill="auto"/>
            <w:vAlign w:val="center"/>
          </w:tcPr>
          <w:p w14:paraId="013B81E2">
            <w:pPr>
              <w:pStyle w:val="81"/>
              <w:rPr>
                <w:rFonts w:hAnsi="宋体"/>
                <w:color w:val="auto"/>
              </w:rPr>
            </w:pPr>
            <w:r>
              <w:rPr>
                <w:rFonts w:hAnsi="宋体"/>
                <w:color w:val="auto"/>
              </w:rPr>
              <w:t>现</w:t>
            </w:r>
            <w:r>
              <w:rPr>
                <w:rFonts w:hint="eastAsia" w:hAnsi="宋体"/>
                <w:color w:val="auto"/>
              </w:rPr>
              <w:t>已</w:t>
            </w:r>
            <w:r>
              <w:rPr>
                <w:rFonts w:hAnsi="宋体"/>
                <w:color w:val="auto"/>
              </w:rPr>
              <w:t>实现</w:t>
            </w:r>
            <w:r>
              <w:rPr>
                <w:rFonts w:hint="eastAsia" w:hAnsi="宋体"/>
                <w:color w:val="auto"/>
              </w:rPr>
              <w:t>日产日清，委托有资质</w:t>
            </w:r>
            <w:r>
              <w:rPr>
                <w:rFonts w:hAnsi="宋体"/>
                <w:color w:val="auto"/>
              </w:rPr>
              <w:t>单位处置</w:t>
            </w:r>
          </w:p>
        </w:tc>
        <w:tc>
          <w:tcPr>
            <w:tcW w:w="857" w:type="pct"/>
            <w:shd w:val="clear" w:color="auto" w:fill="auto"/>
            <w:vAlign w:val="center"/>
          </w:tcPr>
          <w:p w14:paraId="1740C94A">
            <w:pPr>
              <w:pStyle w:val="81"/>
              <w:rPr>
                <w:rFonts w:hAnsi="宋体"/>
                <w:color w:val="auto"/>
              </w:rPr>
            </w:pPr>
            <w:r>
              <w:rPr>
                <w:rFonts w:hAnsi="宋体"/>
                <w:color w:val="auto"/>
              </w:rPr>
              <w:t>现</w:t>
            </w:r>
            <w:r>
              <w:rPr>
                <w:rFonts w:hint="eastAsia" w:hAnsi="宋体"/>
                <w:color w:val="auto"/>
              </w:rPr>
              <w:t>已</w:t>
            </w:r>
            <w:r>
              <w:rPr>
                <w:rFonts w:hAnsi="宋体"/>
                <w:color w:val="auto"/>
              </w:rPr>
              <w:t>实现</w:t>
            </w:r>
            <w:r>
              <w:rPr>
                <w:rFonts w:hint="eastAsia" w:hAnsi="宋体"/>
                <w:color w:val="auto"/>
              </w:rPr>
              <w:t>日产日清，委托有资质</w:t>
            </w:r>
            <w:r>
              <w:rPr>
                <w:rFonts w:hAnsi="宋体"/>
                <w:color w:val="auto"/>
              </w:rPr>
              <w:t>单位处置</w:t>
            </w:r>
          </w:p>
        </w:tc>
        <w:tc>
          <w:tcPr>
            <w:tcW w:w="857" w:type="pct"/>
            <w:shd w:val="clear" w:color="auto" w:fill="auto"/>
            <w:vAlign w:val="center"/>
          </w:tcPr>
          <w:p w14:paraId="1A2DF3EB">
            <w:pPr>
              <w:pStyle w:val="81"/>
              <w:rPr>
                <w:rFonts w:hAnsi="宋体"/>
                <w:color w:val="auto"/>
              </w:rPr>
            </w:pPr>
            <w:r>
              <w:rPr>
                <w:rFonts w:hint="eastAsia" w:hAnsi="宋体"/>
                <w:color w:val="auto"/>
              </w:rPr>
              <w:t>暂存于高青联合站内危废暂存间</w:t>
            </w:r>
            <w:r>
              <w:rPr>
                <w:rFonts w:hint="eastAsia" w:hAnsi="宋体"/>
                <w:color w:val="auto"/>
              </w:rPr>
              <w:t>，委托有资质</w:t>
            </w:r>
            <w:r>
              <w:rPr>
                <w:rFonts w:hAnsi="宋体"/>
                <w:color w:val="auto"/>
              </w:rPr>
              <w:t>单位处置</w:t>
            </w:r>
          </w:p>
        </w:tc>
        <w:tc>
          <w:tcPr>
            <w:tcW w:w="857" w:type="pct"/>
            <w:shd w:val="clear" w:color="auto" w:fill="auto"/>
            <w:vAlign w:val="center"/>
          </w:tcPr>
          <w:p w14:paraId="4C5A9B50">
            <w:pPr>
              <w:pStyle w:val="81"/>
              <w:rPr>
                <w:rFonts w:hAnsi="宋体"/>
                <w:color w:val="auto"/>
              </w:rPr>
            </w:pPr>
            <w:r>
              <w:rPr>
                <w:rFonts w:hint="eastAsia" w:hAnsi="宋体"/>
                <w:color w:val="auto"/>
              </w:rPr>
              <w:t>暂存于高青联合站内危废暂存间</w:t>
            </w:r>
            <w:r>
              <w:rPr>
                <w:rFonts w:hint="eastAsia" w:hAnsi="宋体"/>
                <w:color w:val="auto"/>
              </w:rPr>
              <w:t>，委托有资质</w:t>
            </w:r>
            <w:r>
              <w:rPr>
                <w:rFonts w:hAnsi="宋体"/>
                <w:color w:val="auto"/>
              </w:rPr>
              <w:t>单位处置</w:t>
            </w:r>
          </w:p>
        </w:tc>
      </w:tr>
      <w:bookmarkEnd w:id="301"/>
    </w:tbl>
    <w:p w14:paraId="006D5F74">
      <w:pPr>
        <w:rPr>
          <w:color w:val="auto"/>
        </w:rPr>
        <w:sectPr>
          <w:pgSz w:w="16838" w:h="11906" w:orient="landscape"/>
          <w:pgMar w:top="1588" w:right="1418" w:bottom="1588" w:left="1418" w:header="1134" w:footer="851" w:gutter="0"/>
          <w:cols w:space="720" w:num="1"/>
          <w:docGrid w:linePitch="312" w:charSpace="0"/>
        </w:sectPr>
      </w:pPr>
    </w:p>
    <w:p w14:paraId="297EADD4">
      <w:pPr>
        <w:pStyle w:val="4"/>
        <w:ind w:firstLine="480"/>
        <w:rPr>
          <w:color w:val="auto"/>
        </w:rPr>
      </w:pPr>
      <w:r>
        <w:rPr>
          <w:rFonts w:hint="eastAsia"/>
          <w:color w:val="auto"/>
        </w:rPr>
        <w:t>4）噪声</w:t>
      </w:r>
    </w:p>
    <w:p w14:paraId="369CBA04">
      <w:pPr>
        <w:pStyle w:val="4"/>
        <w:ind w:firstLine="480"/>
        <w:rPr>
          <w:color w:val="auto"/>
        </w:rPr>
      </w:pPr>
      <w:r>
        <w:rPr>
          <w:rFonts w:hint="eastAsia"/>
          <w:color w:val="auto"/>
        </w:rPr>
        <w:t>经调查</w:t>
      </w:r>
      <w:r>
        <w:rPr>
          <w:color w:val="auto"/>
        </w:rPr>
        <w:t>，本期工程</w:t>
      </w:r>
      <w:r>
        <w:rPr>
          <w:rFonts w:hint="eastAsia"/>
          <w:color w:val="auto"/>
        </w:rPr>
        <w:t>运营过程中</w:t>
      </w:r>
      <w:r>
        <w:rPr>
          <w:color w:val="auto"/>
        </w:rPr>
        <w:t>的噪声设备</w:t>
      </w:r>
      <w:r>
        <w:rPr>
          <w:rFonts w:hint="eastAsia"/>
          <w:color w:val="auto"/>
        </w:rPr>
        <w:t>主要有井场抽油机、井下作业设备（</w:t>
      </w:r>
      <w:r>
        <w:rPr>
          <w:color w:val="auto"/>
        </w:rPr>
        <w:t>通井机、机泵</w:t>
      </w:r>
      <w:r>
        <w:rPr>
          <w:rFonts w:hint="eastAsia"/>
          <w:color w:val="auto"/>
        </w:rPr>
        <w:t>等）</w:t>
      </w:r>
      <w:r>
        <w:rPr>
          <w:color w:val="auto"/>
        </w:rPr>
        <w:t>，</w:t>
      </w:r>
      <w:r>
        <w:rPr>
          <w:rFonts w:hint="eastAsia"/>
          <w:color w:val="auto"/>
        </w:rPr>
        <w:t>其运转噪声源强为</w:t>
      </w:r>
      <w:r>
        <w:rPr>
          <w:color w:val="auto"/>
        </w:rPr>
        <w:t>60</w:t>
      </w:r>
      <w:r>
        <w:rPr>
          <w:bCs/>
          <w:color w:val="auto"/>
        </w:rPr>
        <w:t>dB（A）</w:t>
      </w:r>
      <w:r>
        <w:rPr>
          <w:color w:val="auto"/>
        </w:rPr>
        <w:t>～</w:t>
      </w:r>
      <w:r>
        <w:rPr>
          <w:rFonts w:hint="eastAsia"/>
          <w:color w:val="auto"/>
        </w:rPr>
        <w:t>10</w:t>
      </w:r>
      <w:r>
        <w:rPr>
          <w:color w:val="auto"/>
        </w:rPr>
        <w:t>0</w:t>
      </w:r>
      <w:r>
        <w:rPr>
          <w:bCs/>
          <w:color w:val="auto"/>
        </w:rPr>
        <w:t>dB（A）</w:t>
      </w:r>
      <w:r>
        <w:rPr>
          <w:color w:val="auto"/>
        </w:rPr>
        <w:t>。</w:t>
      </w:r>
    </w:p>
    <w:p w14:paraId="0A1C93EE">
      <w:pPr>
        <w:pStyle w:val="4"/>
        <w:ind w:firstLine="480"/>
        <w:rPr>
          <w:color w:val="auto"/>
        </w:rPr>
      </w:pPr>
      <w:r>
        <w:rPr>
          <w:rFonts w:hint="eastAsia"/>
          <w:color w:val="auto"/>
        </w:rPr>
        <w:t>验收</w:t>
      </w:r>
      <w:r>
        <w:rPr>
          <w:color w:val="auto"/>
        </w:rPr>
        <w:t>调查期间未</w:t>
      </w:r>
      <w:r>
        <w:rPr>
          <w:rFonts w:hint="eastAsia"/>
          <w:color w:val="auto"/>
        </w:rPr>
        <w:t>进行</w:t>
      </w:r>
      <w:r>
        <w:rPr>
          <w:color w:val="auto"/>
        </w:rPr>
        <w:t>井下作业</w:t>
      </w:r>
      <w:r>
        <w:rPr>
          <w:rFonts w:hint="eastAsia"/>
          <w:color w:val="auto"/>
        </w:rPr>
        <w:t>，本期工程油井抽油机采取了底座加固、旋转设备加注润滑油等措施，能够有效降低采油噪声对周边环境的影响。根据验收</w:t>
      </w:r>
      <w:r>
        <w:rPr>
          <w:color w:val="auto"/>
        </w:rPr>
        <w:t>监测</w:t>
      </w:r>
      <w:r>
        <w:rPr>
          <w:rFonts w:hint="eastAsia"/>
          <w:color w:val="auto"/>
        </w:rPr>
        <w:t>结果</w:t>
      </w:r>
      <w:r>
        <w:rPr>
          <w:color w:val="auto"/>
        </w:rPr>
        <w:t>，</w:t>
      </w:r>
      <w:r>
        <w:rPr>
          <w:rFonts w:hint="eastAsia"/>
          <w:color w:val="auto"/>
        </w:rPr>
        <w:t>运营期</w:t>
      </w:r>
      <w:r>
        <w:rPr>
          <w:color w:val="auto"/>
        </w:rPr>
        <w:t>井场</w:t>
      </w:r>
      <w:r>
        <w:rPr>
          <w:rFonts w:hint="eastAsia"/>
          <w:color w:val="auto"/>
        </w:rPr>
        <w:t>厂界</w:t>
      </w:r>
      <w:r>
        <w:rPr>
          <w:color w:val="auto"/>
        </w:rPr>
        <w:t>噪声能够满足</w:t>
      </w:r>
      <w:r>
        <w:rPr>
          <w:rFonts w:hint="eastAsia"/>
          <w:color w:val="auto"/>
        </w:rPr>
        <w:t>《工业企业厂界环境噪声排放标准》（GB 12348-2008）中的2类区标准（昼间60dB（A），夜间50dB（A））的</w:t>
      </w:r>
      <w:r>
        <w:rPr>
          <w:color w:val="auto"/>
        </w:rPr>
        <w:t>要求</w:t>
      </w:r>
      <w:r>
        <w:rPr>
          <w:rFonts w:hint="eastAsia"/>
          <w:color w:val="auto"/>
        </w:rPr>
        <w:t>。</w:t>
      </w:r>
    </w:p>
    <w:p w14:paraId="152A031E">
      <w:pPr>
        <w:pStyle w:val="5"/>
        <w:rPr>
          <w:color w:val="auto"/>
        </w:rPr>
      </w:pPr>
      <w:bookmarkStart w:id="302" w:name="_Toc231283625"/>
      <w:r>
        <w:rPr>
          <w:rFonts w:hint="eastAsia"/>
          <w:color w:val="auto"/>
        </w:rPr>
        <w:t>环境敏感目标</w:t>
      </w:r>
      <w:r>
        <w:rPr>
          <w:color w:val="auto"/>
        </w:rPr>
        <w:t>变化情况调查</w:t>
      </w:r>
      <w:bookmarkEnd w:id="302"/>
    </w:p>
    <w:p w14:paraId="2A2607C9">
      <w:pPr>
        <w:pStyle w:val="4"/>
        <w:ind w:firstLine="480"/>
        <w:rPr>
          <w:color w:val="auto"/>
        </w:rPr>
      </w:pPr>
      <w:r>
        <w:rPr>
          <w:rFonts w:hint="eastAsia"/>
          <w:color w:val="auto"/>
        </w:rPr>
        <w:t>1）声环境敏感目标</w:t>
      </w:r>
    </w:p>
    <w:p w14:paraId="1270DA14">
      <w:pPr>
        <w:pStyle w:val="4"/>
        <w:ind w:firstLine="480"/>
        <w:rPr>
          <w:color w:val="auto"/>
        </w:rPr>
      </w:pPr>
      <w:r>
        <w:rPr>
          <w:rFonts w:hint="eastAsia"/>
          <w:color w:val="auto"/>
        </w:rPr>
        <w:t>环评阶段声环境评价范围为以井场为中心，2</w:t>
      </w:r>
      <w:r>
        <w:rPr>
          <w:color w:val="auto"/>
        </w:rPr>
        <w:t>00m</w:t>
      </w:r>
      <w:r>
        <w:rPr>
          <w:rFonts w:hint="eastAsia"/>
          <w:color w:val="auto"/>
        </w:rPr>
        <w:t>范围，共8个声环境保护目标。</w:t>
      </w:r>
    </w:p>
    <w:p w14:paraId="29062B98">
      <w:pPr>
        <w:pStyle w:val="4"/>
        <w:ind w:firstLine="480"/>
        <w:rPr>
          <w:color w:val="auto"/>
        </w:rPr>
      </w:pPr>
      <w:r>
        <w:rPr>
          <w:rFonts w:hint="eastAsia"/>
          <w:color w:val="auto"/>
        </w:rPr>
        <w:t>本期工程验收阶段，井场2</w:t>
      </w:r>
      <w:r>
        <w:rPr>
          <w:color w:val="auto"/>
        </w:rPr>
        <w:t>00m</w:t>
      </w:r>
      <w:r>
        <w:rPr>
          <w:rFonts w:hint="eastAsia"/>
          <w:color w:val="auto"/>
        </w:rPr>
        <w:t>范围内无声环境保护目标。声环境评价范围内敏感目标分布情况见</w:t>
      </w:r>
      <w:r>
        <w:rPr>
          <w:color w:val="auto"/>
        </w:rPr>
        <w:fldChar w:fldCharType="begin"/>
      </w:r>
      <w:r>
        <w:instrText xml:space="preserve"> REF _Ref225429056 \h  \* MERGEFORMAT</w:instrText>
      </w:r>
      <w:r>
        <w:rPr>
          <w:color w:val="auto"/>
        </w:rPr>
        <w:fldChar w:fldCharType="separate"/>
      </w:r>
      <w:r>
        <w:rPr>
          <w:rFonts w:hint="eastAsia"/>
          <w:color w:val="auto"/>
        </w:rPr>
        <w:t xml:space="preserve">图 </w:t>
      </w:r>
      <w:r>
        <w:rPr>
          <w:color w:val="auto"/>
        </w:rPr>
        <w:t>3.5</w:t>
      </w:r>
      <w:r>
        <w:rPr>
          <w:color w:val="auto"/>
        </w:rPr>
        <w:noBreakHyphen/>
      </w:r>
      <w:r>
        <w:rPr>
          <w:color w:val="auto"/>
        </w:rPr>
        <w:t>1</w:t>
      </w:r>
      <w:r>
        <w:rPr>
          <w:color w:val="auto"/>
        </w:rPr>
        <w:fldChar w:fldCharType="end"/>
      </w:r>
      <w:r>
        <w:rPr>
          <w:rFonts w:hint="eastAsia"/>
          <w:color w:val="auto"/>
        </w:rPr>
        <w:t>。</w:t>
      </w:r>
    </w:p>
    <w:p w14:paraId="3E8E0AA0">
      <w:pPr>
        <w:pStyle w:val="4"/>
        <w:ind w:firstLine="480"/>
        <w:rPr>
          <w:color w:val="auto"/>
        </w:rPr>
      </w:pPr>
      <w:r>
        <w:rPr>
          <w:rFonts w:hint="eastAsia"/>
          <w:color w:val="auto"/>
        </w:rPr>
        <w:t>2）大气环境敏感目标</w:t>
      </w:r>
    </w:p>
    <w:p w14:paraId="7335BA6E">
      <w:pPr>
        <w:pStyle w:val="4"/>
        <w:ind w:firstLine="480"/>
        <w:rPr>
          <w:color w:val="auto"/>
        </w:rPr>
      </w:pPr>
      <w:r>
        <w:rPr>
          <w:color w:val="auto"/>
        </w:rPr>
        <w:t>环评阶段</w:t>
      </w:r>
      <w:r>
        <w:rPr>
          <w:rFonts w:hint="eastAsia"/>
          <w:color w:val="auto"/>
        </w:rPr>
        <w:t>大气评价范围为以井口为中心，</w:t>
      </w:r>
      <w:bookmarkStart w:id="303" w:name="OLE_LINK71"/>
      <w:bookmarkStart w:id="304" w:name="OLE_LINK72"/>
      <w:r>
        <w:rPr>
          <w:rFonts w:hint="eastAsia"/>
          <w:color w:val="auto"/>
        </w:rPr>
        <w:t>5</w:t>
      </w:r>
      <w:bookmarkEnd w:id="303"/>
      <w:bookmarkEnd w:id="304"/>
      <w:r>
        <w:rPr>
          <w:rFonts w:hint="eastAsia"/>
          <w:color w:val="auto"/>
        </w:rPr>
        <w:t>×5km矩形</w:t>
      </w:r>
      <w:r>
        <w:rPr>
          <w:color w:val="auto"/>
        </w:rPr>
        <w:t>评价范围</w:t>
      </w:r>
      <w:r>
        <w:rPr>
          <w:rFonts w:hint="eastAsia"/>
          <w:color w:val="auto"/>
        </w:rPr>
        <w:t>，共1</w:t>
      </w:r>
      <w:r>
        <w:rPr>
          <w:color w:val="auto"/>
        </w:rPr>
        <w:t xml:space="preserve">02 </w:t>
      </w:r>
      <w:r>
        <w:rPr>
          <w:rFonts w:hint="eastAsia"/>
          <w:color w:val="auto"/>
        </w:rPr>
        <w:t>个环境敏感目标。本期工程实施井位较环评阶段有所调整，但实施井的数量较少，评价范围内敏感目标数量远远少于环评阶段，共5</w:t>
      </w:r>
      <w:r>
        <w:rPr>
          <w:color w:val="auto"/>
        </w:rPr>
        <w:t>8</w:t>
      </w:r>
      <w:r>
        <w:rPr>
          <w:rFonts w:hint="eastAsia"/>
          <w:color w:val="auto"/>
        </w:rPr>
        <w:t xml:space="preserve">个环境敏感目标。 </w:t>
      </w:r>
    </w:p>
    <w:p w14:paraId="4B72C809">
      <w:pPr>
        <w:pStyle w:val="4"/>
        <w:ind w:firstLine="480"/>
        <w:rPr>
          <w:rStyle w:val="312"/>
          <w:rFonts w:hint="default"/>
          <w:color w:val="auto"/>
        </w:rPr>
      </w:pPr>
      <w:r>
        <w:rPr>
          <w:rStyle w:val="312"/>
          <w:rFonts w:hint="default"/>
          <w:color w:val="auto"/>
        </w:rPr>
        <w:t>环评阶段、本期工程评价范围内环境敏感目</w:t>
      </w:r>
      <w:r>
        <w:rPr>
          <w:rStyle w:val="312"/>
          <w:rFonts w:hint="default" w:cs="宋体"/>
          <w:color w:val="auto"/>
        </w:rPr>
        <w:t>标对比情况</w:t>
      </w:r>
      <w:r>
        <w:rPr>
          <w:rFonts w:hint="eastAsia" w:cs="宋体"/>
          <w:color w:val="auto"/>
        </w:rPr>
        <w:t>见</w:t>
      </w:r>
      <w:r>
        <w:rPr>
          <w:rFonts w:cs="宋体"/>
          <w:color w:val="auto"/>
        </w:rPr>
        <w:fldChar w:fldCharType="begin"/>
      </w:r>
      <w:r>
        <w:instrText xml:space="preserve"> REF _Ref225431571 \h  \* MERGEFORMAT</w:instrText>
      </w:r>
      <w:r>
        <w:rPr>
          <w:rFonts w:cs="宋体"/>
          <w:color w:val="auto"/>
        </w:rPr>
        <w:fldChar w:fldCharType="separate"/>
      </w:r>
      <w:r>
        <w:rPr>
          <w:rFonts w:hint="eastAsia"/>
          <w:color w:val="auto"/>
        </w:rPr>
        <w:t xml:space="preserve">图 </w:t>
      </w:r>
      <w:r>
        <w:rPr>
          <w:color w:val="auto"/>
        </w:rPr>
        <w:t>3.5</w:t>
      </w:r>
      <w:r>
        <w:rPr>
          <w:color w:val="auto"/>
        </w:rPr>
        <w:noBreakHyphen/>
      </w:r>
      <w:r>
        <w:rPr>
          <w:color w:val="auto"/>
        </w:rPr>
        <w:t>2</w:t>
      </w:r>
      <w:r>
        <w:rPr>
          <w:rFonts w:cs="宋体"/>
          <w:color w:val="auto"/>
        </w:rPr>
        <w:fldChar w:fldCharType="end"/>
      </w:r>
      <w:r>
        <w:rPr>
          <w:rStyle w:val="312"/>
          <w:rFonts w:hint="default"/>
          <w:color w:val="auto"/>
        </w:rPr>
        <w:t>。</w:t>
      </w:r>
    </w:p>
    <w:p w14:paraId="2D7774E0">
      <w:pPr>
        <w:pStyle w:val="4"/>
        <w:ind w:firstLine="480"/>
        <w:rPr>
          <w:color w:val="auto"/>
        </w:rPr>
      </w:pPr>
      <w:r>
        <w:rPr>
          <w:rFonts w:hint="eastAsia"/>
          <w:color w:val="auto"/>
        </w:rPr>
        <w:t>本期工程</w:t>
      </w:r>
      <w:r>
        <w:rPr>
          <w:color w:val="auto"/>
        </w:rPr>
        <w:t>建设地点不涉及</w:t>
      </w:r>
      <w:r>
        <w:rPr>
          <w:rFonts w:hint="eastAsia"/>
          <w:color w:val="auto"/>
        </w:rPr>
        <w:t>生态保护红线，最近的生态保护红线为黄河三角洲生物多样性维护生态保护红线（大芦湖区块），位于本期工程</w:t>
      </w:r>
      <w:bookmarkStart w:id="305" w:name="OLE_LINK241"/>
      <w:bookmarkStart w:id="306" w:name="OLE_LINK240"/>
      <w:r>
        <w:rPr>
          <w:rFonts w:hint="eastAsia"/>
          <w:color w:val="auto"/>
        </w:rPr>
        <w:t>F</w:t>
      </w:r>
      <w:r>
        <w:rPr>
          <w:color w:val="auto"/>
        </w:rPr>
        <w:t>J</w:t>
      </w:r>
      <w:r>
        <w:rPr>
          <w:rFonts w:hint="eastAsia"/>
          <w:color w:val="auto"/>
        </w:rPr>
        <w:t>F</w:t>
      </w:r>
      <w:r>
        <w:rPr>
          <w:color w:val="auto"/>
        </w:rPr>
        <w:t>Y104HF</w:t>
      </w:r>
      <w:bookmarkEnd w:id="305"/>
      <w:bookmarkEnd w:id="306"/>
      <w:r>
        <w:rPr>
          <w:rFonts w:hint="eastAsia"/>
          <w:color w:val="auto"/>
        </w:rPr>
        <w:t>和F</w:t>
      </w:r>
      <w:r>
        <w:rPr>
          <w:color w:val="auto"/>
        </w:rPr>
        <w:t>J</w:t>
      </w:r>
      <w:r>
        <w:rPr>
          <w:rFonts w:hint="eastAsia"/>
          <w:color w:val="auto"/>
        </w:rPr>
        <w:t>F</w:t>
      </w:r>
      <w:r>
        <w:rPr>
          <w:color w:val="auto"/>
        </w:rPr>
        <w:t>Y104-1HF</w:t>
      </w:r>
      <w:r>
        <w:rPr>
          <w:rFonts w:hint="eastAsia"/>
          <w:color w:val="auto"/>
        </w:rPr>
        <w:t>井场西北侧1</w:t>
      </w:r>
      <w:r>
        <w:rPr>
          <w:color w:val="auto"/>
        </w:rPr>
        <w:t>72m</w:t>
      </w:r>
      <w:r>
        <w:rPr>
          <w:rFonts w:hint="eastAsia"/>
          <w:color w:val="auto"/>
        </w:rPr>
        <w:t>处。</w:t>
      </w:r>
    </w:p>
    <w:p w14:paraId="43D8D047">
      <w:pPr>
        <w:pStyle w:val="4"/>
        <w:ind w:firstLine="480" w:firstLineChars="0"/>
        <w:rPr>
          <w:color w:val="auto"/>
        </w:rPr>
      </w:pPr>
      <w:r>
        <w:rPr>
          <w:rFonts w:hint="eastAsia"/>
          <w:color w:val="auto"/>
        </w:rPr>
        <w:t>3）管线保护目标</w:t>
      </w:r>
    </w:p>
    <w:p w14:paraId="28CEA432">
      <w:pPr>
        <w:pStyle w:val="4"/>
        <w:ind w:firstLine="480" w:firstLineChars="0"/>
        <w:rPr>
          <w:rStyle w:val="312"/>
          <w:rFonts w:hint="default"/>
          <w:color w:val="auto"/>
        </w:rPr>
      </w:pPr>
      <w:r>
        <w:rPr>
          <w:rFonts w:hint="eastAsia"/>
          <w:color w:val="auto"/>
        </w:rPr>
        <w:t>环评阶段以管线两侧2</w:t>
      </w:r>
      <w:r>
        <w:rPr>
          <w:rFonts w:hint="eastAsia" w:hAnsi="Times New Roman"/>
          <w:color w:val="auto"/>
        </w:rPr>
        <w:t>00m</w:t>
      </w:r>
      <w:r>
        <w:rPr>
          <w:rFonts w:hint="eastAsia"/>
          <w:color w:val="auto"/>
        </w:rPr>
        <w:t>范围调查土壤环境保护目标。</w:t>
      </w:r>
    </w:p>
    <w:p w14:paraId="2BECECF8">
      <w:pPr>
        <w:pStyle w:val="4"/>
        <w:ind w:firstLine="480"/>
        <w:rPr>
          <w:rStyle w:val="312"/>
          <w:rFonts w:hint="default"/>
          <w:color w:val="auto"/>
        </w:rPr>
      </w:pPr>
      <w:r>
        <w:rPr>
          <w:rStyle w:val="312"/>
          <w:rFonts w:hint="default"/>
          <w:color w:val="auto"/>
        </w:rPr>
        <w:t>本期工程评价范围内敏感目标见</w:t>
      </w:r>
      <w:r>
        <w:rPr>
          <w:rStyle w:val="312"/>
          <w:rFonts w:hint="default"/>
          <w:color w:val="auto"/>
        </w:rPr>
        <w:fldChar w:fldCharType="begin"/>
      </w:r>
      <w:r>
        <w:rPr>
          <w:rStyle w:val="312"/>
          <w:rFonts w:hint="default"/>
          <w:color w:val="auto"/>
        </w:rPr>
        <w:instrText xml:space="preserve"> REF _Ref142759483 \h  \* MERGEFORMAT </w:instrText>
      </w:r>
      <w:r>
        <w:rPr>
          <w:rStyle w:val="312"/>
          <w:rFonts w:hint="default"/>
          <w:color w:val="auto"/>
        </w:rPr>
        <w:fldChar w:fldCharType="separate"/>
      </w:r>
      <w:r>
        <w:rPr>
          <w:rStyle w:val="312"/>
          <w:rFonts w:hint="default"/>
          <w:color w:val="auto"/>
        </w:rPr>
        <w:t>表 3.5</w:t>
      </w:r>
      <w:r>
        <w:rPr>
          <w:rStyle w:val="312"/>
          <w:rFonts w:hint="default"/>
          <w:color w:val="auto"/>
        </w:rPr>
        <w:noBreakHyphen/>
      </w:r>
      <w:r>
        <w:rPr>
          <w:rStyle w:val="312"/>
          <w:rFonts w:hint="default"/>
          <w:color w:val="auto"/>
        </w:rPr>
        <w:t>1</w:t>
      </w:r>
      <w:r>
        <w:rPr>
          <w:rStyle w:val="312"/>
          <w:rFonts w:hint="default"/>
          <w:color w:val="auto"/>
        </w:rPr>
        <w:fldChar w:fldCharType="end"/>
      </w:r>
      <w:r>
        <w:rPr>
          <w:rFonts w:hint="eastAsia" w:cs="宋体"/>
          <w:color w:val="auto"/>
        </w:rPr>
        <w:t>，评价范围内其他敏感目标分布情</w:t>
      </w:r>
      <w:r>
        <w:rPr>
          <w:rStyle w:val="312"/>
          <w:rFonts w:hint="default"/>
          <w:color w:val="auto"/>
        </w:rPr>
        <w:t>况见</w:t>
      </w:r>
      <w:r>
        <w:rPr>
          <w:rStyle w:val="312"/>
          <w:rFonts w:hint="default"/>
          <w:color w:val="auto"/>
        </w:rPr>
        <w:fldChar w:fldCharType="begin"/>
      </w:r>
      <w:r>
        <w:instrText xml:space="preserve"> REF _Ref231233679 \h  \* MERGEFORMAT</w:instrText>
      </w:r>
      <w:r>
        <w:rPr>
          <w:rStyle w:val="312"/>
          <w:rFonts w:hint="default"/>
          <w:color w:val="auto"/>
        </w:rPr>
        <w:fldChar w:fldCharType="separate"/>
      </w:r>
      <w:r>
        <w:rPr>
          <w:rFonts w:hint="eastAsia"/>
          <w:color w:val="auto"/>
        </w:rPr>
        <w:t xml:space="preserve">表 </w:t>
      </w:r>
      <w:r>
        <w:rPr>
          <w:color w:val="auto"/>
        </w:rPr>
        <w:t>3.5</w:t>
      </w:r>
      <w:r>
        <w:rPr>
          <w:color w:val="auto"/>
        </w:rPr>
        <w:noBreakHyphen/>
      </w:r>
      <w:r>
        <w:rPr>
          <w:color w:val="auto"/>
        </w:rPr>
        <w:t>2</w:t>
      </w:r>
      <w:r>
        <w:rPr>
          <w:rStyle w:val="312"/>
          <w:rFonts w:hint="default"/>
          <w:color w:val="auto"/>
        </w:rPr>
        <w:fldChar w:fldCharType="end"/>
      </w:r>
      <w:r>
        <w:rPr>
          <w:rStyle w:val="312"/>
          <w:rFonts w:hint="default"/>
          <w:color w:val="auto"/>
        </w:rPr>
        <w:t>。</w:t>
      </w:r>
    </w:p>
    <w:p w14:paraId="2DB3F5D9">
      <w:pPr>
        <w:pStyle w:val="15"/>
        <w:spacing w:before="120"/>
        <w:rPr>
          <w:rFonts w:hAnsi="宋体"/>
          <w:color w:val="auto"/>
        </w:rPr>
      </w:pPr>
      <w:bookmarkStart w:id="307" w:name="_Ref142759483"/>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3.5</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307"/>
      <w:r>
        <w:rPr>
          <w:rFonts w:hint="eastAsia" w:hAnsi="宋体"/>
          <w:color w:val="auto"/>
        </w:rPr>
        <w:t xml:space="preserve">  本期工程环境敏感目标统计表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056"/>
        <w:gridCol w:w="846"/>
        <w:gridCol w:w="575"/>
        <w:gridCol w:w="1814"/>
        <w:gridCol w:w="2107"/>
        <w:gridCol w:w="1686"/>
      </w:tblGrid>
      <w:tr w14:paraId="56FDD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5F73A606">
            <w:pPr>
              <w:widowControl/>
              <w:jc w:val="center"/>
              <w:rPr>
                <w:rFonts w:ascii="宋体" w:hAnsi="宋体"/>
                <w:color w:val="auto"/>
                <w:kern w:val="0"/>
              </w:rPr>
            </w:pPr>
            <w:r>
              <w:rPr>
                <w:rFonts w:hint="eastAsia" w:ascii="宋体" w:hAnsi="宋体"/>
                <w:color w:val="auto"/>
                <w:kern w:val="0"/>
              </w:rPr>
              <w:t>序号</w:t>
            </w:r>
          </w:p>
        </w:tc>
        <w:tc>
          <w:tcPr>
            <w:tcW w:w="606" w:type="pct"/>
            <w:vAlign w:val="center"/>
          </w:tcPr>
          <w:p w14:paraId="4653C86C">
            <w:pPr>
              <w:widowControl/>
              <w:jc w:val="center"/>
              <w:rPr>
                <w:rFonts w:ascii="宋体" w:hAnsi="宋体"/>
                <w:color w:val="auto"/>
                <w:kern w:val="0"/>
              </w:rPr>
            </w:pPr>
            <w:r>
              <w:rPr>
                <w:rFonts w:hint="eastAsia" w:ascii="宋体" w:hAnsi="宋体"/>
                <w:color w:val="auto"/>
                <w:kern w:val="0"/>
              </w:rPr>
              <w:t>保护对象</w:t>
            </w:r>
          </w:p>
        </w:tc>
        <w:tc>
          <w:tcPr>
            <w:tcW w:w="485" w:type="pct"/>
            <w:vAlign w:val="center"/>
          </w:tcPr>
          <w:p w14:paraId="266D533A">
            <w:pPr>
              <w:widowControl/>
              <w:jc w:val="center"/>
              <w:rPr>
                <w:rFonts w:ascii="宋体" w:hAnsi="宋体"/>
                <w:color w:val="auto"/>
                <w:kern w:val="0"/>
              </w:rPr>
            </w:pPr>
            <w:r>
              <w:rPr>
                <w:rFonts w:hint="eastAsia" w:ascii="宋体" w:hAnsi="宋体"/>
                <w:color w:val="auto"/>
                <w:kern w:val="0"/>
              </w:rPr>
              <w:t>保护内容（人）</w:t>
            </w:r>
          </w:p>
        </w:tc>
        <w:tc>
          <w:tcPr>
            <w:tcW w:w="330" w:type="pct"/>
            <w:vAlign w:val="center"/>
          </w:tcPr>
          <w:p w14:paraId="39112529">
            <w:pPr>
              <w:widowControl/>
              <w:jc w:val="center"/>
              <w:rPr>
                <w:rFonts w:ascii="宋体" w:hAnsi="宋体"/>
                <w:color w:val="auto"/>
                <w:kern w:val="0"/>
              </w:rPr>
            </w:pPr>
            <w:r>
              <w:rPr>
                <w:rFonts w:hint="eastAsia" w:ascii="宋体" w:hAnsi="宋体"/>
                <w:color w:val="auto"/>
                <w:kern w:val="0"/>
              </w:rPr>
              <w:t>环境功能区</w:t>
            </w:r>
          </w:p>
        </w:tc>
        <w:tc>
          <w:tcPr>
            <w:tcW w:w="1040" w:type="pct"/>
            <w:vAlign w:val="center"/>
          </w:tcPr>
          <w:p w14:paraId="290A13AA">
            <w:pPr>
              <w:widowControl/>
              <w:adjustRightInd w:val="0"/>
              <w:snapToGrid w:val="0"/>
              <w:jc w:val="center"/>
              <w:rPr>
                <w:rFonts w:ascii="宋体" w:hAnsi="宋体"/>
                <w:color w:val="auto"/>
                <w:kern w:val="0"/>
              </w:rPr>
            </w:pPr>
            <w:r>
              <w:rPr>
                <w:rFonts w:hint="eastAsia" w:ascii="宋体" w:hAnsi="宋体"/>
                <w:color w:val="auto"/>
                <w:kern w:val="0"/>
              </w:rPr>
              <w:t>参考污染源</w:t>
            </w:r>
          </w:p>
        </w:tc>
        <w:tc>
          <w:tcPr>
            <w:tcW w:w="1208" w:type="pct"/>
            <w:noWrap/>
            <w:vAlign w:val="center"/>
          </w:tcPr>
          <w:p w14:paraId="6B0A20F6">
            <w:pPr>
              <w:widowControl/>
              <w:jc w:val="center"/>
              <w:rPr>
                <w:rFonts w:ascii="宋体" w:hAnsi="宋体"/>
                <w:color w:val="auto"/>
                <w:kern w:val="0"/>
              </w:rPr>
            </w:pPr>
            <w:r>
              <w:rPr>
                <w:rFonts w:hint="eastAsia" w:ascii="宋体" w:hAnsi="宋体"/>
                <w:color w:val="auto"/>
                <w:kern w:val="0"/>
              </w:rPr>
              <w:t>相对污染源方位距离</w:t>
            </w:r>
          </w:p>
          <w:p w14:paraId="6C2E6717">
            <w:pPr>
              <w:widowControl/>
              <w:jc w:val="center"/>
              <w:rPr>
                <w:rFonts w:ascii="宋体" w:hAnsi="宋体"/>
                <w:color w:val="auto"/>
                <w:kern w:val="0"/>
              </w:rPr>
            </w:pPr>
            <w:r>
              <w:rPr>
                <w:rFonts w:hint="eastAsia" w:ascii="宋体" w:hAnsi="宋体"/>
                <w:color w:val="auto"/>
                <w:kern w:val="0"/>
              </w:rPr>
              <w:t>（m）</w:t>
            </w:r>
          </w:p>
        </w:tc>
        <w:tc>
          <w:tcPr>
            <w:tcW w:w="967" w:type="pct"/>
            <w:noWrap/>
            <w:vAlign w:val="center"/>
          </w:tcPr>
          <w:p w14:paraId="758B25BE">
            <w:pPr>
              <w:widowControl/>
              <w:jc w:val="center"/>
              <w:rPr>
                <w:rFonts w:ascii="宋体" w:hAnsi="宋体"/>
                <w:color w:val="auto"/>
                <w:kern w:val="0"/>
              </w:rPr>
            </w:pPr>
            <w:r>
              <w:rPr>
                <w:rFonts w:hint="eastAsia" w:ascii="宋体" w:hAnsi="宋体"/>
                <w:color w:val="auto"/>
                <w:kern w:val="0"/>
              </w:rPr>
              <w:t>相对污染源方位</w:t>
            </w:r>
          </w:p>
        </w:tc>
      </w:tr>
      <w:tr w14:paraId="20F2D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25F5F465">
            <w:pPr>
              <w:pStyle w:val="76"/>
              <w:numPr>
                <w:ilvl w:val="0"/>
                <w:numId w:val="21"/>
              </w:numPr>
              <w:rPr>
                <w:color w:val="auto"/>
              </w:rPr>
            </w:pPr>
          </w:p>
        </w:tc>
        <w:tc>
          <w:tcPr>
            <w:tcW w:w="606" w:type="pct"/>
            <w:noWrap/>
            <w:vAlign w:val="center"/>
          </w:tcPr>
          <w:p w14:paraId="36A6B12F">
            <w:pPr>
              <w:widowControl/>
              <w:jc w:val="center"/>
              <w:rPr>
                <w:rFonts w:ascii="宋体" w:hAnsi="宋体"/>
                <w:color w:val="auto"/>
              </w:rPr>
            </w:pPr>
            <w:r>
              <w:rPr>
                <w:rFonts w:hint="eastAsia" w:ascii="宋体" w:hAnsi="宋体"/>
                <w:color w:val="auto"/>
                <w:kern w:val="0"/>
              </w:rPr>
              <w:t>张道传村</w:t>
            </w:r>
          </w:p>
        </w:tc>
        <w:tc>
          <w:tcPr>
            <w:tcW w:w="485" w:type="pct"/>
            <w:vAlign w:val="center"/>
          </w:tcPr>
          <w:p w14:paraId="7B9DBB13">
            <w:pPr>
              <w:widowControl/>
              <w:jc w:val="center"/>
              <w:rPr>
                <w:rFonts w:ascii="宋体" w:hAnsi="宋体"/>
                <w:color w:val="auto"/>
              </w:rPr>
            </w:pPr>
            <w:r>
              <w:rPr>
                <w:rFonts w:hint="eastAsia" w:ascii="宋体" w:hAnsi="宋体"/>
                <w:color w:val="auto"/>
                <w:kern w:val="0"/>
              </w:rPr>
              <w:t>784</w:t>
            </w:r>
          </w:p>
        </w:tc>
        <w:tc>
          <w:tcPr>
            <w:tcW w:w="330" w:type="pct"/>
            <w:vMerge w:val="restart"/>
            <w:vAlign w:val="center"/>
          </w:tcPr>
          <w:p w14:paraId="51BCE348">
            <w:pPr>
              <w:jc w:val="center"/>
              <w:rPr>
                <w:rFonts w:ascii="宋体" w:hAnsi="宋体"/>
                <w:color w:val="auto"/>
                <w:kern w:val="0"/>
              </w:rPr>
            </w:pPr>
            <w:r>
              <w:rPr>
                <w:rFonts w:hint="eastAsia" w:ascii="宋体" w:hAnsi="宋体"/>
                <w:color w:val="auto"/>
                <w:kern w:val="0"/>
              </w:rPr>
              <w:t>环境空气二类区</w:t>
            </w:r>
          </w:p>
        </w:tc>
        <w:tc>
          <w:tcPr>
            <w:tcW w:w="1040" w:type="pct"/>
          </w:tcPr>
          <w:p w14:paraId="0839F5DD">
            <w:pPr>
              <w:jc w:val="center"/>
              <w:rPr>
                <w:rFonts w:ascii="宋体" w:hAnsi="宋体"/>
                <w:color w:val="auto"/>
              </w:rPr>
            </w:pPr>
            <w:r>
              <w:rPr>
                <w:rFonts w:hint="eastAsia" w:ascii="宋体" w:hAnsi="宋体"/>
                <w:color w:val="auto"/>
              </w:rPr>
              <w:t>2</w:t>
            </w:r>
            <w:r>
              <w:rPr>
                <w:rFonts w:ascii="宋体" w:hAnsi="宋体"/>
                <w:color w:val="auto"/>
              </w:rPr>
              <w:t>#</w:t>
            </w:r>
            <w:r>
              <w:rPr>
                <w:rFonts w:hint="eastAsia" w:ascii="宋体" w:hAnsi="宋体"/>
                <w:color w:val="auto"/>
              </w:rPr>
              <w:t>井场</w:t>
            </w:r>
          </w:p>
        </w:tc>
        <w:tc>
          <w:tcPr>
            <w:tcW w:w="1208" w:type="pct"/>
            <w:noWrap/>
            <w:vAlign w:val="center"/>
          </w:tcPr>
          <w:p w14:paraId="15ED5B1E">
            <w:pPr>
              <w:widowControl/>
              <w:jc w:val="center"/>
              <w:rPr>
                <w:rFonts w:ascii="宋体" w:hAnsi="宋体"/>
                <w:color w:val="auto"/>
              </w:rPr>
            </w:pPr>
            <w:r>
              <w:rPr>
                <w:rFonts w:hint="eastAsia" w:ascii="宋体" w:hAnsi="宋体"/>
                <w:color w:val="auto"/>
                <w:kern w:val="0"/>
              </w:rPr>
              <w:t>207</w:t>
            </w:r>
          </w:p>
        </w:tc>
        <w:tc>
          <w:tcPr>
            <w:tcW w:w="967" w:type="pct"/>
            <w:noWrap/>
            <w:vAlign w:val="center"/>
          </w:tcPr>
          <w:p w14:paraId="15C75217">
            <w:pPr>
              <w:widowControl/>
              <w:jc w:val="center"/>
              <w:rPr>
                <w:rFonts w:ascii="宋体" w:hAnsi="宋体"/>
                <w:color w:val="auto"/>
              </w:rPr>
            </w:pPr>
            <w:r>
              <w:rPr>
                <w:rFonts w:hint="eastAsia" w:ascii="宋体" w:hAnsi="宋体"/>
                <w:color w:val="auto"/>
                <w:kern w:val="0"/>
              </w:rPr>
              <w:t>W</w:t>
            </w:r>
          </w:p>
        </w:tc>
      </w:tr>
      <w:tr w14:paraId="1788A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0B047FE8">
            <w:pPr>
              <w:pStyle w:val="76"/>
              <w:rPr>
                <w:color w:val="auto"/>
              </w:rPr>
            </w:pPr>
          </w:p>
        </w:tc>
        <w:tc>
          <w:tcPr>
            <w:tcW w:w="606" w:type="pct"/>
            <w:noWrap/>
            <w:vAlign w:val="center"/>
          </w:tcPr>
          <w:p w14:paraId="6C714EDA">
            <w:pPr>
              <w:widowControl/>
              <w:jc w:val="center"/>
              <w:rPr>
                <w:rFonts w:ascii="宋体" w:hAnsi="宋体"/>
                <w:color w:val="auto"/>
              </w:rPr>
            </w:pPr>
            <w:r>
              <w:rPr>
                <w:rFonts w:hint="eastAsia" w:ascii="宋体" w:hAnsi="宋体"/>
                <w:color w:val="auto"/>
                <w:kern w:val="0"/>
              </w:rPr>
              <w:t>霍刘村</w:t>
            </w:r>
          </w:p>
        </w:tc>
        <w:tc>
          <w:tcPr>
            <w:tcW w:w="485" w:type="pct"/>
            <w:vAlign w:val="center"/>
          </w:tcPr>
          <w:p w14:paraId="112F2D34">
            <w:pPr>
              <w:widowControl/>
              <w:jc w:val="center"/>
              <w:rPr>
                <w:rFonts w:ascii="宋体" w:hAnsi="宋体"/>
                <w:color w:val="auto"/>
              </w:rPr>
            </w:pPr>
            <w:r>
              <w:rPr>
                <w:rFonts w:hint="eastAsia" w:ascii="宋体" w:hAnsi="宋体"/>
                <w:color w:val="auto"/>
                <w:kern w:val="0"/>
              </w:rPr>
              <w:t>654</w:t>
            </w:r>
          </w:p>
        </w:tc>
        <w:tc>
          <w:tcPr>
            <w:tcW w:w="330" w:type="pct"/>
            <w:vMerge w:val="continue"/>
            <w:vAlign w:val="center"/>
          </w:tcPr>
          <w:p w14:paraId="5D8DC1D7">
            <w:pPr>
              <w:widowControl/>
              <w:jc w:val="center"/>
              <w:rPr>
                <w:rFonts w:ascii="宋体" w:hAnsi="宋体"/>
                <w:color w:val="auto"/>
                <w:kern w:val="0"/>
              </w:rPr>
            </w:pPr>
          </w:p>
        </w:tc>
        <w:tc>
          <w:tcPr>
            <w:tcW w:w="1040" w:type="pct"/>
          </w:tcPr>
          <w:p w14:paraId="312C2FDC">
            <w:pPr>
              <w:jc w:val="center"/>
              <w:rPr>
                <w:rFonts w:ascii="宋体" w:hAnsi="宋体"/>
                <w:color w:val="auto"/>
              </w:rPr>
            </w:pPr>
            <w:r>
              <w:rPr>
                <w:rFonts w:hint="eastAsia" w:ascii="宋体" w:hAnsi="宋体"/>
                <w:color w:val="auto"/>
              </w:rPr>
              <w:t>2</w:t>
            </w:r>
            <w:r>
              <w:rPr>
                <w:rFonts w:ascii="宋体" w:hAnsi="宋体"/>
                <w:color w:val="auto"/>
              </w:rPr>
              <w:t>#</w:t>
            </w:r>
            <w:r>
              <w:rPr>
                <w:rFonts w:hint="eastAsia" w:ascii="宋体" w:hAnsi="宋体"/>
                <w:color w:val="auto"/>
              </w:rPr>
              <w:t>井场</w:t>
            </w:r>
          </w:p>
        </w:tc>
        <w:tc>
          <w:tcPr>
            <w:tcW w:w="1208" w:type="pct"/>
            <w:noWrap/>
            <w:vAlign w:val="center"/>
          </w:tcPr>
          <w:p w14:paraId="0B3EF590">
            <w:pPr>
              <w:widowControl/>
              <w:jc w:val="center"/>
              <w:rPr>
                <w:rFonts w:ascii="宋体" w:hAnsi="宋体"/>
                <w:color w:val="auto"/>
              </w:rPr>
            </w:pPr>
            <w:r>
              <w:rPr>
                <w:rFonts w:hint="eastAsia" w:ascii="宋体" w:hAnsi="宋体"/>
                <w:color w:val="auto"/>
                <w:kern w:val="0"/>
              </w:rPr>
              <w:t>209</w:t>
            </w:r>
          </w:p>
        </w:tc>
        <w:tc>
          <w:tcPr>
            <w:tcW w:w="967" w:type="pct"/>
            <w:noWrap/>
            <w:vAlign w:val="center"/>
          </w:tcPr>
          <w:p w14:paraId="45877D7D">
            <w:pPr>
              <w:widowControl/>
              <w:jc w:val="center"/>
              <w:rPr>
                <w:rFonts w:ascii="宋体" w:hAnsi="宋体"/>
                <w:color w:val="auto"/>
              </w:rPr>
            </w:pPr>
            <w:r>
              <w:rPr>
                <w:rFonts w:hint="eastAsia" w:ascii="宋体" w:hAnsi="宋体"/>
                <w:color w:val="auto"/>
                <w:kern w:val="0"/>
              </w:rPr>
              <w:t>S</w:t>
            </w:r>
          </w:p>
        </w:tc>
      </w:tr>
      <w:tr w14:paraId="69A97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0B1E8656">
            <w:pPr>
              <w:pStyle w:val="76"/>
              <w:rPr>
                <w:color w:val="auto"/>
              </w:rPr>
            </w:pPr>
          </w:p>
        </w:tc>
        <w:tc>
          <w:tcPr>
            <w:tcW w:w="606" w:type="pct"/>
            <w:noWrap/>
            <w:vAlign w:val="center"/>
          </w:tcPr>
          <w:p w14:paraId="15AB1D57">
            <w:pPr>
              <w:widowControl/>
              <w:jc w:val="center"/>
              <w:rPr>
                <w:rFonts w:ascii="宋体" w:hAnsi="宋体"/>
                <w:color w:val="auto"/>
              </w:rPr>
            </w:pPr>
            <w:r>
              <w:rPr>
                <w:rFonts w:hint="eastAsia" w:ascii="宋体" w:hAnsi="宋体"/>
                <w:color w:val="auto"/>
                <w:kern w:val="0"/>
              </w:rPr>
              <w:t>石家村</w:t>
            </w:r>
          </w:p>
        </w:tc>
        <w:tc>
          <w:tcPr>
            <w:tcW w:w="485" w:type="pct"/>
            <w:vAlign w:val="center"/>
          </w:tcPr>
          <w:p w14:paraId="22241FCA">
            <w:pPr>
              <w:widowControl/>
              <w:jc w:val="center"/>
              <w:rPr>
                <w:rFonts w:ascii="宋体" w:hAnsi="宋体"/>
                <w:color w:val="auto"/>
              </w:rPr>
            </w:pPr>
            <w:r>
              <w:rPr>
                <w:rFonts w:hint="eastAsia" w:ascii="宋体" w:hAnsi="宋体"/>
                <w:color w:val="auto"/>
                <w:kern w:val="0"/>
              </w:rPr>
              <w:t>558</w:t>
            </w:r>
          </w:p>
        </w:tc>
        <w:tc>
          <w:tcPr>
            <w:tcW w:w="330" w:type="pct"/>
            <w:vMerge w:val="continue"/>
            <w:vAlign w:val="center"/>
          </w:tcPr>
          <w:p w14:paraId="74D50C79">
            <w:pPr>
              <w:widowControl/>
              <w:jc w:val="center"/>
              <w:rPr>
                <w:rFonts w:ascii="宋体" w:hAnsi="宋体"/>
                <w:color w:val="auto"/>
                <w:kern w:val="0"/>
              </w:rPr>
            </w:pPr>
          </w:p>
        </w:tc>
        <w:tc>
          <w:tcPr>
            <w:tcW w:w="1040" w:type="pct"/>
            <w:vAlign w:val="center"/>
          </w:tcPr>
          <w:p w14:paraId="4EB2DB47">
            <w:pPr>
              <w:jc w:val="center"/>
              <w:rPr>
                <w:rFonts w:ascii="宋体" w:hAnsi="宋体"/>
                <w:color w:val="auto"/>
              </w:rPr>
            </w:pPr>
            <w:r>
              <w:rPr>
                <w:rFonts w:hint="eastAsia" w:ascii="宋体" w:hAnsi="宋体"/>
                <w:color w:val="auto"/>
              </w:rPr>
              <w:t>2</w:t>
            </w:r>
            <w:r>
              <w:rPr>
                <w:rFonts w:ascii="宋体" w:hAnsi="宋体"/>
                <w:color w:val="auto"/>
              </w:rPr>
              <w:t>#</w:t>
            </w:r>
            <w:r>
              <w:rPr>
                <w:rFonts w:hint="eastAsia" w:ascii="宋体" w:hAnsi="宋体"/>
                <w:color w:val="auto"/>
              </w:rPr>
              <w:t>井场</w:t>
            </w:r>
          </w:p>
        </w:tc>
        <w:tc>
          <w:tcPr>
            <w:tcW w:w="1208" w:type="pct"/>
            <w:noWrap/>
            <w:vAlign w:val="center"/>
          </w:tcPr>
          <w:p w14:paraId="4235BD89">
            <w:pPr>
              <w:widowControl/>
              <w:jc w:val="center"/>
              <w:rPr>
                <w:rFonts w:ascii="宋体" w:hAnsi="宋体"/>
                <w:color w:val="auto"/>
              </w:rPr>
            </w:pPr>
            <w:r>
              <w:rPr>
                <w:rFonts w:hint="eastAsia" w:ascii="宋体" w:hAnsi="宋体"/>
                <w:color w:val="auto"/>
                <w:kern w:val="0"/>
              </w:rPr>
              <w:t>215</w:t>
            </w:r>
          </w:p>
        </w:tc>
        <w:tc>
          <w:tcPr>
            <w:tcW w:w="967" w:type="pct"/>
            <w:noWrap/>
            <w:vAlign w:val="center"/>
          </w:tcPr>
          <w:p w14:paraId="7AA7836A">
            <w:pPr>
              <w:widowControl/>
              <w:jc w:val="center"/>
              <w:rPr>
                <w:rFonts w:ascii="宋体" w:hAnsi="宋体"/>
                <w:color w:val="auto"/>
              </w:rPr>
            </w:pPr>
            <w:r>
              <w:rPr>
                <w:rFonts w:hint="eastAsia" w:ascii="宋体" w:hAnsi="宋体"/>
                <w:color w:val="auto"/>
                <w:kern w:val="0"/>
              </w:rPr>
              <w:t>SE</w:t>
            </w:r>
          </w:p>
        </w:tc>
      </w:tr>
      <w:tr w14:paraId="2127E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74B5C170">
            <w:pPr>
              <w:pStyle w:val="76"/>
              <w:rPr>
                <w:color w:val="auto"/>
              </w:rPr>
            </w:pPr>
          </w:p>
        </w:tc>
        <w:tc>
          <w:tcPr>
            <w:tcW w:w="606" w:type="pct"/>
            <w:noWrap/>
            <w:vAlign w:val="center"/>
          </w:tcPr>
          <w:p w14:paraId="689486FC">
            <w:pPr>
              <w:widowControl/>
              <w:jc w:val="center"/>
              <w:rPr>
                <w:rFonts w:ascii="宋体" w:hAnsi="宋体"/>
                <w:color w:val="auto"/>
                <w:kern w:val="0"/>
              </w:rPr>
            </w:pPr>
            <w:r>
              <w:rPr>
                <w:rFonts w:hint="eastAsia" w:ascii="宋体" w:hAnsi="宋体"/>
                <w:color w:val="auto"/>
                <w:kern w:val="0"/>
              </w:rPr>
              <w:t>赵店镇</w:t>
            </w:r>
          </w:p>
        </w:tc>
        <w:tc>
          <w:tcPr>
            <w:tcW w:w="485" w:type="pct"/>
            <w:vAlign w:val="center"/>
          </w:tcPr>
          <w:p w14:paraId="5DA90962">
            <w:pPr>
              <w:widowControl/>
              <w:jc w:val="center"/>
              <w:rPr>
                <w:rFonts w:ascii="宋体" w:hAnsi="宋体"/>
                <w:color w:val="auto"/>
                <w:kern w:val="0"/>
              </w:rPr>
            </w:pPr>
            <w:r>
              <w:rPr>
                <w:rFonts w:hint="eastAsia" w:ascii="宋体" w:hAnsi="宋体"/>
                <w:color w:val="auto"/>
                <w:kern w:val="0"/>
              </w:rPr>
              <w:t>1588</w:t>
            </w:r>
          </w:p>
        </w:tc>
        <w:tc>
          <w:tcPr>
            <w:tcW w:w="330" w:type="pct"/>
            <w:vMerge w:val="continue"/>
            <w:vAlign w:val="center"/>
          </w:tcPr>
          <w:p w14:paraId="35B5BB8A">
            <w:pPr>
              <w:widowControl/>
              <w:jc w:val="center"/>
              <w:rPr>
                <w:rFonts w:ascii="宋体" w:hAnsi="宋体"/>
                <w:color w:val="auto"/>
                <w:kern w:val="0"/>
              </w:rPr>
            </w:pPr>
          </w:p>
        </w:tc>
        <w:tc>
          <w:tcPr>
            <w:tcW w:w="1040" w:type="pct"/>
          </w:tcPr>
          <w:p w14:paraId="2124452C">
            <w:pPr>
              <w:jc w:val="center"/>
              <w:rPr>
                <w:rFonts w:ascii="宋体" w:hAnsi="宋体"/>
                <w:b/>
                <w:color w:val="auto"/>
                <w:kern w:val="0"/>
              </w:rPr>
            </w:pPr>
            <w:r>
              <w:rPr>
                <w:rFonts w:hint="eastAsia" w:ascii="宋体" w:hAnsi="宋体"/>
                <w:color w:val="auto"/>
              </w:rPr>
              <w:t>2</w:t>
            </w:r>
            <w:r>
              <w:rPr>
                <w:rFonts w:ascii="宋体" w:hAnsi="宋体"/>
                <w:color w:val="auto"/>
              </w:rPr>
              <w:t>#</w:t>
            </w:r>
            <w:r>
              <w:rPr>
                <w:rFonts w:hint="eastAsia" w:ascii="宋体" w:hAnsi="宋体"/>
                <w:color w:val="auto"/>
              </w:rPr>
              <w:t>井场</w:t>
            </w:r>
          </w:p>
        </w:tc>
        <w:tc>
          <w:tcPr>
            <w:tcW w:w="1208" w:type="pct"/>
            <w:noWrap/>
            <w:vAlign w:val="center"/>
          </w:tcPr>
          <w:p w14:paraId="6C8F21A8">
            <w:pPr>
              <w:widowControl/>
              <w:jc w:val="center"/>
              <w:rPr>
                <w:rFonts w:ascii="宋体" w:hAnsi="宋体"/>
                <w:color w:val="auto"/>
                <w:kern w:val="0"/>
              </w:rPr>
            </w:pPr>
            <w:r>
              <w:rPr>
                <w:rFonts w:hint="eastAsia" w:ascii="宋体" w:hAnsi="宋体"/>
                <w:color w:val="auto"/>
                <w:kern w:val="0"/>
              </w:rPr>
              <w:t>250</w:t>
            </w:r>
          </w:p>
        </w:tc>
        <w:tc>
          <w:tcPr>
            <w:tcW w:w="967" w:type="pct"/>
            <w:noWrap/>
            <w:vAlign w:val="center"/>
          </w:tcPr>
          <w:p w14:paraId="05B551C5">
            <w:pPr>
              <w:widowControl/>
              <w:jc w:val="center"/>
              <w:rPr>
                <w:rFonts w:ascii="宋体" w:hAnsi="宋体"/>
                <w:color w:val="auto"/>
                <w:kern w:val="0"/>
              </w:rPr>
            </w:pPr>
            <w:r>
              <w:rPr>
                <w:rFonts w:hint="eastAsia" w:ascii="宋体" w:hAnsi="宋体"/>
                <w:color w:val="auto"/>
                <w:kern w:val="0"/>
              </w:rPr>
              <w:t>N</w:t>
            </w:r>
          </w:p>
        </w:tc>
      </w:tr>
      <w:tr w14:paraId="0A150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2561C656">
            <w:pPr>
              <w:pStyle w:val="76"/>
              <w:rPr>
                <w:color w:val="auto"/>
              </w:rPr>
            </w:pPr>
          </w:p>
        </w:tc>
        <w:tc>
          <w:tcPr>
            <w:tcW w:w="606" w:type="pct"/>
            <w:noWrap/>
            <w:vAlign w:val="center"/>
          </w:tcPr>
          <w:p w14:paraId="2F290EA9">
            <w:pPr>
              <w:widowControl/>
              <w:jc w:val="center"/>
              <w:rPr>
                <w:rFonts w:ascii="宋体" w:hAnsi="宋体"/>
                <w:color w:val="auto"/>
                <w:kern w:val="0"/>
              </w:rPr>
            </w:pPr>
            <w:r>
              <w:rPr>
                <w:rFonts w:hint="eastAsia" w:ascii="宋体" w:hAnsi="宋体"/>
                <w:color w:val="auto"/>
                <w:kern w:val="0"/>
              </w:rPr>
              <w:t>说约李村</w:t>
            </w:r>
          </w:p>
        </w:tc>
        <w:tc>
          <w:tcPr>
            <w:tcW w:w="485" w:type="pct"/>
            <w:vAlign w:val="center"/>
          </w:tcPr>
          <w:p w14:paraId="51F0C5FD">
            <w:pPr>
              <w:widowControl/>
              <w:jc w:val="center"/>
              <w:rPr>
                <w:rFonts w:ascii="宋体" w:hAnsi="宋体"/>
                <w:color w:val="auto"/>
                <w:kern w:val="0"/>
              </w:rPr>
            </w:pPr>
            <w:r>
              <w:rPr>
                <w:rFonts w:hint="eastAsia" w:ascii="宋体" w:hAnsi="宋体"/>
                <w:color w:val="auto"/>
                <w:kern w:val="0"/>
              </w:rPr>
              <w:t>320</w:t>
            </w:r>
          </w:p>
        </w:tc>
        <w:tc>
          <w:tcPr>
            <w:tcW w:w="330" w:type="pct"/>
            <w:vMerge w:val="continue"/>
            <w:vAlign w:val="center"/>
          </w:tcPr>
          <w:p w14:paraId="35B94686">
            <w:pPr>
              <w:widowControl/>
              <w:jc w:val="center"/>
              <w:rPr>
                <w:rFonts w:ascii="宋体" w:hAnsi="宋体"/>
                <w:color w:val="auto"/>
                <w:kern w:val="0"/>
              </w:rPr>
            </w:pPr>
          </w:p>
        </w:tc>
        <w:tc>
          <w:tcPr>
            <w:tcW w:w="1040" w:type="pct"/>
          </w:tcPr>
          <w:p w14:paraId="3B9BC3E0">
            <w:pPr>
              <w:jc w:val="center"/>
              <w:rPr>
                <w:rFonts w:ascii="宋体" w:hAnsi="宋体"/>
                <w:b/>
                <w:color w:val="auto"/>
                <w:kern w:val="0"/>
              </w:rPr>
            </w:pPr>
            <w:r>
              <w:rPr>
                <w:rFonts w:hint="eastAsia" w:ascii="宋体" w:hAnsi="宋体"/>
                <w:color w:val="auto"/>
              </w:rPr>
              <w:t>2</w:t>
            </w:r>
            <w:r>
              <w:rPr>
                <w:rFonts w:ascii="宋体" w:hAnsi="宋体"/>
                <w:color w:val="auto"/>
              </w:rPr>
              <w:t>#</w:t>
            </w:r>
            <w:r>
              <w:rPr>
                <w:rFonts w:hint="eastAsia" w:ascii="宋体" w:hAnsi="宋体"/>
                <w:color w:val="auto"/>
              </w:rPr>
              <w:t>井场</w:t>
            </w:r>
          </w:p>
        </w:tc>
        <w:tc>
          <w:tcPr>
            <w:tcW w:w="1208" w:type="pct"/>
            <w:noWrap/>
            <w:vAlign w:val="center"/>
          </w:tcPr>
          <w:p w14:paraId="589133C2">
            <w:pPr>
              <w:widowControl/>
              <w:jc w:val="center"/>
              <w:rPr>
                <w:rFonts w:ascii="宋体" w:hAnsi="宋体"/>
                <w:color w:val="auto"/>
                <w:kern w:val="0"/>
              </w:rPr>
            </w:pPr>
            <w:r>
              <w:rPr>
                <w:rFonts w:hint="eastAsia" w:ascii="宋体" w:hAnsi="宋体"/>
                <w:color w:val="auto"/>
                <w:kern w:val="0"/>
              </w:rPr>
              <w:t>262</w:t>
            </w:r>
          </w:p>
        </w:tc>
        <w:tc>
          <w:tcPr>
            <w:tcW w:w="967" w:type="pct"/>
            <w:noWrap/>
            <w:vAlign w:val="center"/>
          </w:tcPr>
          <w:p w14:paraId="5A86597B">
            <w:pPr>
              <w:widowControl/>
              <w:jc w:val="center"/>
              <w:rPr>
                <w:rFonts w:ascii="宋体" w:hAnsi="宋体"/>
                <w:color w:val="auto"/>
                <w:kern w:val="0"/>
              </w:rPr>
            </w:pPr>
            <w:r>
              <w:rPr>
                <w:rFonts w:hint="eastAsia" w:ascii="宋体" w:hAnsi="宋体"/>
                <w:color w:val="auto"/>
                <w:kern w:val="0"/>
              </w:rPr>
              <w:t>SE</w:t>
            </w:r>
          </w:p>
        </w:tc>
      </w:tr>
      <w:tr w14:paraId="74133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10DD7214">
            <w:pPr>
              <w:pStyle w:val="76"/>
              <w:rPr>
                <w:color w:val="auto"/>
              </w:rPr>
            </w:pPr>
          </w:p>
        </w:tc>
        <w:tc>
          <w:tcPr>
            <w:tcW w:w="606" w:type="pct"/>
            <w:noWrap/>
            <w:vAlign w:val="center"/>
          </w:tcPr>
          <w:p w14:paraId="54A231FA">
            <w:pPr>
              <w:widowControl/>
              <w:jc w:val="center"/>
              <w:rPr>
                <w:rFonts w:ascii="宋体" w:hAnsi="宋体"/>
                <w:color w:val="auto"/>
                <w:kern w:val="0"/>
              </w:rPr>
            </w:pPr>
            <w:r>
              <w:rPr>
                <w:rFonts w:hint="eastAsia" w:ascii="宋体" w:hAnsi="宋体"/>
                <w:color w:val="auto"/>
                <w:kern w:val="0"/>
              </w:rPr>
              <w:t>包福李村</w:t>
            </w:r>
          </w:p>
        </w:tc>
        <w:tc>
          <w:tcPr>
            <w:tcW w:w="485" w:type="pct"/>
            <w:vAlign w:val="center"/>
          </w:tcPr>
          <w:p w14:paraId="7AB8716B">
            <w:pPr>
              <w:widowControl/>
              <w:jc w:val="center"/>
              <w:rPr>
                <w:rFonts w:ascii="宋体" w:hAnsi="宋体"/>
                <w:color w:val="auto"/>
                <w:kern w:val="0"/>
              </w:rPr>
            </w:pPr>
            <w:r>
              <w:rPr>
                <w:rFonts w:hint="eastAsia" w:ascii="宋体" w:hAnsi="宋体"/>
                <w:color w:val="auto"/>
                <w:kern w:val="0"/>
              </w:rPr>
              <w:t>788</w:t>
            </w:r>
          </w:p>
        </w:tc>
        <w:tc>
          <w:tcPr>
            <w:tcW w:w="330" w:type="pct"/>
            <w:vMerge w:val="continue"/>
            <w:vAlign w:val="center"/>
          </w:tcPr>
          <w:p w14:paraId="1C89ACCF">
            <w:pPr>
              <w:widowControl/>
              <w:jc w:val="center"/>
              <w:rPr>
                <w:rFonts w:ascii="宋体" w:hAnsi="宋体"/>
                <w:color w:val="auto"/>
                <w:kern w:val="0"/>
              </w:rPr>
            </w:pPr>
          </w:p>
        </w:tc>
        <w:tc>
          <w:tcPr>
            <w:tcW w:w="1040" w:type="pct"/>
            <w:vAlign w:val="center"/>
          </w:tcPr>
          <w:p w14:paraId="77ABE272">
            <w:pPr>
              <w:jc w:val="center"/>
              <w:rPr>
                <w:rFonts w:ascii="宋体" w:hAnsi="宋体"/>
                <w:b/>
                <w:color w:val="auto"/>
                <w:kern w:val="0"/>
              </w:rPr>
            </w:pPr>
            <w:r>
              <w:rPr>
                <w:rFonts w:hint="eastAsia" w:ascii="宋体" w:hAnsi="宋体"/>
                <w:color w:val="auto"/>
              </w:rPr>
              <w:t>2</w:t>
            </w:r>
            <w:r>
              <w:rPr>
                <w:rFonts w:ascii="宋体" w:hAnsi="宋体"/>
                <w:color w:val="auto"/>
              </w:rPr>
              <w:t>#</w:t>
            </w:r>
            <w:r>
              <w:rPr>
                <w:rFonts w:hint="eastAsia" w:ascii="宋体" w:hAnsi="宋体"/>
                <w:color w:val="auto"/>
              </w:rPr>
              <w:t>井场</w:t>
            </w:r>
          </w:p>
        </w:tc>
        <w:tc>
          <w:tcPr>
            <w:tcW w:w="1208" w:type="pct"/>
            <w:noWrap/>
            <w:vAlign w:val="center"/>
          </w:tcPr>
          <w:p w14:paraId="6A8A76CF">
            <w:pPr>
              <w:widowControl/>
              <w:jc w:val="center"/>
              <w:rPr>
                <w:rFonts w:ascii="宋体" w:hAnsi="宋体"/>
                <w:color w:val="auto"/>
                <w:kern w:val="0"/>
              </w:rPr>
            </w:pPr>
            <w:r>
              <w:rPr>
                <w:rFonts w:hint="eastAsia" w:ascii="宋体" w:hAnsi="宋体"/>
                <w:color w:val="auto"/>
                <w:kern w:val="0"/>
              </w:rPr>
              <w:t>318</w:t>
            </w:r>
          </w:p>
        </w:tc>
        <w:tc>
          <w:tcPr>
            <w:tcW w:w="967" w:type="pct"/>
            <w:noWrap/>
            <w:vAlign w:val="center"/>
          </w:tcPr>
          <w:p w14:paraId="17FB1C93">
            <w:pPr>
              <w:widowControl/>
              <w:jc w:val="center"/>
              <w:rPr>
                <w:rFonts w:ascii="宋体" w:hAnsi="宋体"/>
                <w:color w:val="auto"/>
                <w:kern w:val="0"/>
              </w:rPr>
            </w:pPr>
            <w:r>
              <w:rPr>
                <w:rFonts w:hint="eastAsia" w:ascii="宋体" w:hAnsi="宋体"/>
                <w:color w:val="auto"/>
                <w:kern w:val="0"/>
              </w:rPr>
              <w:t>W</w:t>
            </w:r>
          </w:p>
        </w:tc>
      </w:tr>
      <w:tr w14:paraId="06B1F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2D692398">
            <w:pPr>
              <w:pStyle w:val="76"/>
              <w:rPr>
                <w:color w:val="auto"/>
              </w:rPr>
            </w:pPr>
          </w:p>
        </w:tc>
        <w:tc>
          <w:tcPr>
            <w:tcW w:w="606" w:type="pct"/>
            <w:noWrap/>
            <w:vAlign w:val="center"/>
          </w:tcPr>
          <w:p w14:paraId="297C67C6">
            <w:pPr>
              <w:widowControl/>
              <w:jc w:val="center"/>
              <w:rPr>
                <w:rFonts w:ascii="宋体" w:hAnsi="宋体"/>
                <w:color w:val="auto"/>
              </w:rPr>
            </w:pPr>
            <w:r>
              <w:rPr>
                <w:rFonts w:hint="eastAsia" w:ascii="宋体" w:hAnsi="宋体"/>
                <w:color w:val="auto"/>
                <w:kern w:val="0"/>
              </w:rPr>
              <w:t>奇士孙村</w:t>
            </w:r>
          </w:p>
        </w:tc>
        <w:tc>
          <w:tcPr>
            <w:tcW w:w="485" w:type="pct"/>
            <w:vAlign w:val="center"/>
          </w:tcPr>
          <w:p w14:paraId="3DBF49FE">
            <w:pPr>
              <w:widowControl/>
              <w:jc w:val="center"/>
              <w:rPr>
                <w:rFonts w:ascii="宋体" w:hAnsi="宋体"/>
                <w:color w:val="auto"/>
              </w:rPr>
            </w:pPr>
            <w:r>
              <w:rPr>
                <w:rFonts w:hint="eastAsia" w:ascii="宋体" w:hAnsi="宋体"/>
                <w:color w:val="auto"/>
                <w:kern w:val="0"/>
              </w:rPr>
              <w:t>1420</w:t>
            </w:r>
          </w:p>
        </w:tc>
        <w:tc>
          <w:tcPr>
            <w:tcW w:w="330" w:type="pct"/>
            <w:vMerge w:val="continue"/>
            <w:vAlign w:val="center"/>
          </w:tcPr>
          <w:p w14:paraId="69904851">
            <w:pPr>
              <w:widowControl/>
              <w:jc w:val="center"/>
              <w:rPr>
                <w:rFonts w:ascii="宋体" w:hAnsi="宋体"/>
                <w:color w:val="auto"/>
                <w:kern w:val="0"/>
              </w:rPr>
            </w:pPr>
          </w:p>
        </w:tc>
        <w:tc>
          <w:tcPr>
            <w:tcW w:w="1040" w:type="pct"/>
          </w:tcPr>
          <w:p w14:paraId="6EACE5C5">
            <w:pPr>
              <w:jc w:val="center"/>
              <w:rPr>
                <w:rFonts w:ascii="宋体" w:hAnsi="宋体"/>
                <w:b/>
                <w:color w:val="auto"/>
              </w:rPr>
            </w:pPr>
            <w:r>
              <w:rPr>
                <w:rFonts w:hint="eastAsia" w:ascii="宋体" w:hAnsi="宋体"/>
                <w:color w:val="auto"/>
              </w:rPr>
              <w:t>2</w:t>
            </w:r>
            <w:r>
              <w:rPr>
                <w:rFonts w:ascii="宋体" w:hAnsi="宋体"/>
                <w:color w:val="auto"/>
              </w:rPr>
              <w:t>#</w:t>
            </w:r>
            <w:r>
              <w:rPr>
                <w:rFonts w:hint="eastAsia" w:ascii="宋体" w:hAnsi="宋体"/>
                <w:color w:val="auto"/>
              </w:rPr>
              <w:t>井场</w:t>
            </w:r>
          </w:p>
        </w:tc>
        <w:tc>
          <w:tcPr>
            <w:tcW w:w="1208" w:type="pct"/>
            <w:noWrap/>
            <w:vAlign w:val="center"/>
          </w:tcPr>
          <w:p w14:paraId="35894BAF">
            <w:pPr>
              <w:widowControl/>
              <w:jc w:val="center"/>
              <w:rPr>
                <w:rFonts w:ascii="宋体" w:hAnsi="宋体"/>
                <w:color w:val="auto"/>
              </w:rPr>
            </w:pPr>
            <w:r>
              <w:rPr>
                <w:rFonts w:hint="eastAsia" w:ascii="宋体" w:hAnsi="宋体"/>
                <w:color w:val="auto"/>
                <w:kern w:val="0"/>
              </w:rPr>
              <w:t>320</w:t>
            </w:r>
          </w:p>
        </w:tc>
        <w:tc>
          <w:tcPr>
            <w:tcW w:w="967" w:type="pct"/>
            <w:noWrap/>
            <w:vAlign w:val="center"/>
          </w:tcPr>
          <w:p w14:paraId="3677CDC5">
            <w:pPr>
              <w:widowControl/>
              <w:jc w:val="center"/>
              <w:rPr>
                <w:rFonts w:ascii="宋体" w:hAnsi="宋体"/>
                <w:color w:val="auto"/>
              </w:rPr>
            </w:pPr>
            <w:r>
              <w:rPr>
                <w:rFonts w:hint="eastAsia" w:ascii="宋体" w:hAnsi="宋体"/>
                <w:color w:val="auto"/>
                <w:kern w:val="0"/>
              </w:rPr>
              <w:t>NE</w:t>
            </w:r>
          </w:p>
        </w:tc>
      </w:tr>
      <w:tr w14:paraId="69D27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4CD8F5EB">
            <w:pPr>
              <w:pStyle w:val="76"/>
              <w:rPr>
                <w:color w:val="auto"/>
              </w:rPr>
            </w:pPr>
          </w:p>
        </w:tc>
        <w:tc>
          <w:tcPr>
            <w:tcW w:w="606" w:type="pct"/>
            <w:noWrap/>
            <w:vAlign w:val="center"/>
          </w:tcPr>
          <w:p w14:paraId="6DBE4992">
            <w:pPr>
              <w:widowControl/>
              <w:jc w:val="center"/>
              <w:rPr>
                <w:rFonts w:ascii="宋体" w:hAnsi="宋体"/>
                <w:color w:val="auto"/>
                <w:kern w:val="0"/>
              </w:rPr>
            </w:pPr>
            <w:r>
              <w:rPr>
                <w:rFonts w:hint="eastAsia" w:ascii="宋体" w:hAnsi="宋体"/>
                <w:color w:val="auto"/>
                <w:kern w:val="0"/>
              </w:rPr>
              <w:t>贾家村</w:t>
            </w:r>
          </w:p>
        </w:tc>
        <w:tc>
          <w:tcPr>
            <w:tcW w:w="485" w:type="pct"/>
            <w:vAlign w:val="center"/>
          </w:tcPr>
          <w:p w14:paraId="7BAA2661">
            <w:pPr>
              <w:widowControl/>
              <w:jc w:val="center"/>
              <w:rPr>
                <w:rFonts w:ascii="宋体" w:hAnsi="宋体"/>
                <w:color w:val="auto"/>
                <w:kern w:val="0"/>
              </w:rPr>
            </w:pPr>
            <w:r>
              <w:rPr>
                <w:rFonts w:hint="eastAsia" w:ascii="宋体" w:hAnsi="宋体"/>
                <w:color w:val="auto"/>
                <w:kern w:val="0"/>
              </w:rPr>
              <w:t>312</w:t>
            </w:r>
          </w:p>
        </w:tc>
        <w:tc>
          <w:tcPr>
            <w:tcW w:w="330" w:type="pct"/>
            <w:vMerge w:val="continue"/>
            <w:vAlign w:val="center"/>
          </w:tcPr>
          <w:p w14:paraId="1F22F8BB">
            <w:pPr>
              <w:widowControl/>
              <w:jc w:val="center"/>
              <w:rPr>
                <w:rFonts w:ascii="宋体" w:hAnsi="宋体"/>
                <w:color w:val="auto"/>
                <w:kern w:val="0"/>
              </w:rPr>
            </w:pPr>
          </w:p>
        </w:tc>
        <w:tc>
          <w:tcPr>
            <w:tcW w:w="1040" w:type="pct"/>
          </w:tcPr>
          <w:p w14:paraId="50CA3E73">
            <w:pPr>
              <w:jc w:val="center"/>
              <w:rPr>
                <w:rFonts w:ascii="宋体" w:hAnsi="宋体"/>
                <w:b/>
                <w:color w:val="auto"/>
                <w:kern w:val="0"/>
              </w:rPr>
            </w:pPr>
            <w:r>
              <w:rPr>
                <w:rFonts w:hint="eastAsia" w:ascii="宋体" w:hAnsi="宋体"/>
                <w:color w:val="auto"/>
              </w:rPr>
              <w:t>2</w:t>
            </w:r>
            <w:r>
              <w:rPr>
                <w:rFonts w:ascii="宋体" w:hAnsi="宋体"/>
                <w:color w:val="auto"/>
              </w:rPr>
              <w:t>#</w:t>
            </w:r>
            <w:r>
              <w:rPr>
                <w:rFonts w:hint="eastAsia" w:ascii="宋体" w:hAnsi="宋体"/>
                <w:color w:val="auto"/>
              </w:rPr>
              <w:t>井场</w:t>
            </w:r>
          </w:p>
        </w:tc>
        <w:tc>
          <w:tcPr>
            <w:tcW w:w="1208" w:type="pct"/>
            <w:noWrap/>
            <w:vAlign w:val="center"/>
          </w:tcPr>
          <w:p w14:paraId="03C346DB">
            <w:pPr>
              <w:widowControl/>
              <w:jc w:val="center"/>
              <w:rPr>
                <w:rFonts w:ascii="宋体" w:hAnsi="宋体"/>
                <w:color w:val="auto"/>
                <w:kern w:val="0"/>
              </w:rPr>
            </w:pPr>
            <w:r>
              <w:rPr>
                <w:rFonts w:hint="eastAsia" w:ascii="宋体" w:hAnsi="宋体"/>
                <w:color w:val="auto"/>
                <w:kern w:val="0"/>
              </w:rPr>
              <w:t>330</w:t>
            </w:r>
          </w:p>
        </w:tc>
        <w:tc>
          <w:tcPr>
            <w:tcW w:w="967" w:type="pct"/>
            <w:noWrap/>
            <w:vAlign w:val="center"/>
          </w:tcPr>
          <w:p w14:paraId="6A096634">
            <w:pPr>
              <w:widowControl/>
              <w:jc w:val="center"/>
              <w:rPr>
                <w:rFonts w:ascii="宋体" w:hAnsi="宋体"/>
                <w:color w:val="auto"/>
                <w:kern w:val="0"/>
              </w:rPr>
            </w:pPr>
            <w:r>
              <w:rPr>
                <w:rFonts w:hint="eastAsia" w:ascii="宋体" w:hAnsi="宋体"/>
                <w:color w:val="auto"/>
                <w:kern w:val="0"/>
              </w:rPr>
              <w:t>SE</w:t>
            </w:r>
          </w:p>
        </w:tc>
      </w:tr>
      <w:tr w14:paraId="74B12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52E2D769">
            <w:pPr>
              <w:pStyle w:val="76"/>
              <w:rPr>
                <w:color w:val="auto"/>
              </w:rPr>
            </w:pPr>
          </w:p>
        </w:tc>
        <w:tc>
          <w:tcPr>
            <w:tcW w:w="606" w:type="pct"/>
            <w:noWrap/>
            <w:vAlign w:val="center"/>
          </w:tcPr>
          <w:p w14:paraId="7E6F6B68">
            <w:pPr>
              <w:widowControl/>
              <w:jc w:val="center"/>
              <w:rPr>
                <w:rFonts w:ascii="宋体" w:hAnsi="宋体"/>
                <w:color w:val="auto"/>
                <w:kern w:val="0"/>
              </w:rPr>
            </w:pPr>
            <w:r>
              <w:rPr>
                <w:rFonts w:hint="eastAsia" w:ascii="宋体" w:hAnsi="宋体"/>
                <w:color w:val="auto"/>
                <w:kern w:val="0"/>
              </w:rPr>
              <w:t>北新庄村</w:t>
            </w:r>
          </w:p>
        </w:tc>
        <w:tc>
          <w:tcPr>
            <w:tcW w:w="485" w:type="pct"/>
            <w:vAlign w:val="center"/>
          </w:tcPr>
          <w:p w14:paraId="1EE4FB5F">
            <w:pPr>
              <w:widowControl/>
              <w:jc w:val="center"/>
              <w:rPr>
                <w:rFonts w:ascii="宋体" w:hAnsi="宋体"/>
                <w:color w:val="auto"/>
                <w:kern w:val="0"/>
              </w:rPr>
            </w:pPr>
            <w:r>
              <w:rPr>
                <w:rFonts w:hint="eastAsia" w:ascii="宋体" w:hAnsi="宋体"/>
                <w:color w:val="auto"/>
                <w:kern w:val="0"/>
              </w:rPr>
              <w:t>549</w:t>
            </w:r>
          </w:p>
        </w:tc>
        <w:tc>
          <w:tcPr>
            <w:tcW w:w="330" w:type="pct"/>
            <w:vMerge w:val="continue"/>
            <w:vAlign w:val="center"/>
          </w:tcPr>
          <w:p w14:paraId="714BFA8C">
            <w:pPr>
              <w:widowControl/>
              <w:jc w:val="center"/>
              <w:rPr>
                <w:rFonts w:ascii="宋体" w:hAnsi="宋体"/>
                <w:color w:val="auto"/>
                <w:kern w:val="0"/>
              </w:rPr>
            </w:pPr>
          </w:p>
        </w:tc>
        <w:tc>
          <w:tcPr>
            <w:tcW w:w="1040" w:type="pct"/>
            <w:vAlign w:val="center"/>
          </w:tcPr>
          <w:p w14:paraId="2B74AEA5">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noWrap/>
            <w:vAlign w:val="center"/>
          </w:tcPr>
          <w:p w14:paraId="65021576">
            <w:pPr>
              <w:widowControl/>
              <w:jc w:val="center"/>
              <w:rPr>
                <w:rFonts w:ascii="宋体" w:hAnsi="宋体"/>
                <w:color w:val="auto"/>
                <w:kern w:val="0"/>
              </w:rPr>
            </w:pPr>
            <w:r>
              <w:rPr>
                <w:rFonts w:hint="eastAsia" w:ascii="宋体" w:hAnsi="宋体"/>
                <w:color w:val="auto"/>
                <w:kern w:val="0"/>
              </w:rPr>
              <w:t>359</w:t>
            </w:r>
          </w:p>
        </w:tc>
        <w:tc>
          <w:tcPr>
            <w:tcW w:w="967" w:type="pct"/>
            <w:noWrap/>
            <w:vAlign w:val="center"/>
          </w:tcPr>
          <w:p w14:paraId="53EE4704">
            <w:pPr>
              <w:widowControl/>
              <w:jc w:val="center"/>
              <w:rPr>
                <w:rFonts w:ascii="宋体" w:hAnsi="宋体"/>
                <w:color w:val="auto"/>
                <w:kern w:val="0"/>
              </w:rPr>
            </w:pPr>
            <w:r>
              <w:rPr>
                <w:rFonts w:hint="eastAsia" w:ascii="宋体" w:hAnsi="宋体"/>
                <w:color w:val="auto"/>
                <w:kern w:val="0"/>
              </w:rPr>
              <w:t>E</w:t>
            </w:r>
          </w:p>
        </w:tc>
      </w:tr>
      <w:tr w14:paraId="76BEE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68BE5BF4">
            <w:pPr>
              <w:pStyle w:val="76"/>
              <w:rPr>
                <w:color w:val="auto"/>
              </w:rPr>
            </w:pPr>
          </w:p>
        </w:tc>
        <w:tc>
          <w:tcPr>
            <w:tcW w:w="606" w:type="pct"/>
            <w:noWrap/>
            <w:vAlign w:val="center"/>
          </w:tcPr>
          <w:p w14:paraId="24C9C025">
            <w:pPr>
              <w:widowControl/>
              <w:jc w:val="center"/>
              <w:rPr>
                <w:rFonts w:ascii="宋体" w:hAnsi="宋体"/>
                <w:color w:val="auto"/>
                <w:kern w:val="0"/>
              </w:rPr>
            </w:pPr>
            <w:r>
              <w:rPr>
                <w:rFonts w:hint="eastAsia" w:ascii="宋体" w:hAnsi="宋体"/>
                <w:color w:val="auto"/>
                <w:kern w:val="0"/>
              </w:rPr>
              <w:t>苏家村</w:t>
            </w:r>
          </w:p>
        </w:tc>
        <w:tc>
          <w:tcPr>
            <w:tcW w:w="485" w:type="pct"/>
            <w:vAlign w:val="center"/>
          </w:tcPr>
          <w:p w14:paraId="5149DD56">
            <w:pPr>
              <w:widowControl/>
              <w:jc w:val="center"/>
              <w:rPr>
                <w:rFonts w:ascii="宋体" w:hAnsi="宋体"/>
                <w:color w:val="auto"/>
                <w:kern w:val="0"/>
              </w:rPr>
            </w:pPr>
            <w:r>
              <w:rPr>
                <w:rFonts w:hint="eastAsia" w:ascii="宋体" w:hAnsi="宋体"/>
                <w:color w:val="auto"/>
                <w:kern w:val="0"/>
              </w:rPr>
              <w:t>388</w:t>
            </w:r>
          </w:p>
        </w:tc>
        <w:tc>
          <w:tcPr>
            <w:tcW w:w="330" w:type="pct"/>
            <w:vMerge w:val="continue"/>
            <w:vAlign w:val="center"/>
          </w:tcPr>
          <w:p w14:paraId="4318A352">
            <w:pPr>
              <w:widowControl/>
              <w:jc w:val="center"/>
              <w:rPr>
                <w:rFonts w:ascii="宋体" w:hAnsi="宋体"/>
                <w:color w:val="auto"/>
                <w:kern w:val="0"/>
              </w:rPr>
            </w:pPr>
          </w:p>
        </w:tc>
        <w:tc>
          <w:tcPr>
            <w:tcW w:w="1040" w:type="pct"/>
          </w:tcPr>
          <w:p w14:paraId="481C3264">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noWrap/>
            <w:vAlign w:val="center"/>
          </w:tcPr>
          <w:p w14:paraId="5EC401D6">
            <w:pPr>
              <w:widowControl/>
              <w:jc w:val="center"/>
              <w:rPr>
                <w:rFonts w:ascii="宋体" w:hAnsi="宋体"/>
                <w:color w:val="auto"/>
                <w:kern w:val="0"/>
              </w:rPr>
            </w:pPr>
            <w:r>
              <w:rPr>
                <w:rFonts w:hint="eastAsia" w:ascii="宋体" w:hAnsi="宋体"/>
                <w:color w:val="auto"/>
                <w:kern w:val="0"/>
              </w:rPr>
              <w:t>380</w:t>
            </w:r>
          </w:p>
        </w:tc>
        <w:tc>
          <w:tcPr>
            <w:tcW w:w="967" w:type="pct"/>
            <w:noWrap/>
            <w:vAlign w:val="center"/>
          </w:tcPr>
          <w:p w14:paraId="125E95C0">
            <w:pPr>
              <w:widowControl/>
              <w:jc w:val="center"/>
              <w:rPr>
                <w:rFonts w:ascii="宋体" w:hAnsi="宋体"/>
                <w:color w:val="auto"/>
                <w:kern w:val="0"/>
              </w:rPr>
            </w:pPr>
            <w:r>
              <w:rPr>
                <w:rFonts w:hint="eastAsia" w:ascii="宋体" w:hAnsi="宋体"/>
                <w:color w:val="auto"/>
                <w:kern w:val="0"/>
              </w:rPr>
              <w:t>N</w:t>
            </w:r>
          </w:p>
        </w:tc>
      </w:tr>
      <w:tr w14:paraId="669DB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118FF7C7">
            <w:pPr>
              <w:pStyle w:val="76"/>
              <w:rPr>
                <w:color w:val="auto"/>
              </w:rPr>
            </w:pPr>
          </w:p>
        </w:tc>
        <w:tc>
          <w:tcPr>
            <w:tcW w:w="606" w:type="pct"/>
            <w:noWrap/>
            <w:vAlign w:val="center"/>
          </w:tcPr>
          <w:p w14:paraId="47BA32AA">
            <w:pPr>
              <w:widowControl/>
              <w:jc w:val="center"/>
              <w:rPr>
                <w:rFonts w:ascii="宋体" w:hAnsi="宋体"/>
                <w:color w:val="auto"/>
                <w:kern w:val="0"/>
              </w:rPr>
            </w:pPr>
            <w:r>
              <w:rPr>
                <w:rFonts w:hint="eastAsia" w:ascii="宋体" w:hAnsi="宋体"/>
                <w:color w:val="auto"/>
                <w:kern w:val="0"/>
              </w:rPr>
              <w:t>西马家村</w:t>
            </w:r>
          </w:p>
        </w:tc>
        <w:tc>
          <w:tcPr>
            <w:tcW w:w="485" w:type="pct"/>
            <w:vAlign w:val="center"/>
          </w:tcPr>
          <w:p w14:paraId="685853FB">
            <w:pPr>
              <w:widowControl/>
              <w:jc w:val="center"/>
              <w:rPr>
                <w:rFonts w:ascii="宋体" w:hAnsi="宋体"/>
                <w:color w:val="auto"/>
                <w:kern w:val="0"/>
              </w:rPr>
            </w:pPr>
            <w:r>
              <w:rPr>
                <w:rFonts w:hint="eastAsia" w:ascii="宋体" w:hAnsi="宋体"/>
                <w:color w:val="auto"/>
                <w:kern w:val="0"/>
              </w:rPr>
              <w:t>885</w:t>
            </w:r>
          </w:p>
        </w:tc>
        <w:tc>
          <w:tcPr>
            <w:tcW w:w="330" w:type="pct"/>
            <w:vMerge w:val="continue"/>
            <w:vAlign w:val="center"/>
          </w:tcPr>
          <w:p w14:paraId="0019E8FF">
            <w:pPr>
              <w:widowControl/>
              <w:jc w:val="center"/>
              <w:rPr>
                <w:rFonts w:ascii="宋体" w:hAnsi="宋体"/>
                <w:color w:val="auto"/>
                <w:kern w:val="0"/>
              </w:rPr>
            </w:pPr>
          </w:p>
        </w:tc>
        <w:tc>
          <w:tcPr>
            <w:tcW w:w="1040" w:type="pct"/>
          </w:tcPr>
          <w:p w14:paraId="12F10413">
            <w:pPr>
              <w:jc w:val="center"/>
              <w:rPr>
                <w:rFonts w:ascii="宋体" w:hAnsi="宋体"/>
                <w:color w:val="auto"/>
                <w:kern w:val="0"/>
              </w:rPr>
            </w:pPr>
            <w:r>
              <w:rPr>
                <w:rFonts w:ascii="宋体" w:hAnsi="宋体"/>
                <w:color w:val="auto"/>
              </w:rPr>
              <w:t>4#</w:t>
            </w:r>
            <w:r>
              <w:rPr>
                <w:rFonts w:hint="eastAsia" w:ascii="宋体" w:hAnsi="宋体"/>
                <w:color w:val="auto"/>
              </w:rPr>
              <w:t>井场</w:t>
            </w:r>
          </w:p>
        </w:tc>
        <w:tc>
          <w:tcPr>
            <w:tcW w:w="1208" w:type="pct"/>
            <w:noWrap/>
            <w:vAlign w:val="center"/>
          </w:tcPr>
          <w:p w14:paraId="692BDFD6">
            <w:pPr>
              <w:widowControl/>
              <w:jc w:val="center"/>
              <w:rPr>
                <w:rFonts w:ascii="宋体" w:hAnsi="宋体"/>
                <w:color w:val="auto"/>
                <w:kern w:val="0"/>
              </w:rPr>
            </w:pPr>
            <w:r>
              <w:rPr>
                <w:rFonts w:hint="eastAsia" w:ascii="宋体" w:hAnsi="宋体"/>
                <w:color w:val="auto"/>
                <w:kern w:val="0"/>
              </w:rPr>
              <w:t>380</w:t>
            </w:r>
          </w:p>
        </w:tc>
        <w:tc>
          <w:tcPr>
            <w:tcW w:w="967" w:type="pct"/>
            <w:noWrap/>
            <w:vAlign w:val="center"/>
          </w:tcPr>
          <w:p w14:paraId="2A685C32">
            <w:pPr>
              <w:widowControl/>
              <w:jc w:val="center"/>
              <w:rPr>
                <w:rFonts w:ascii="宋体" w:hAnsi="宋体"/>
                <w:color w:val="auto"/>
                <w:kern w:val="0"/>
              </w:rPr>
            </w:pPr>
            <w:r>
              <w:rPr>
                <w:rFonts w:hint="eastAsia" w:ascii="宋体" w:hAnsi="宋体"/>
                <w:color w:val="auto"/>
                <w:kern w:val="0"/>
              </w:rPr>
              <w:t>W</w:t>
            </w:r>
          </w:p>
        </w:tc>
      </w:tr>
      <w:tr w14:paraId="32AEB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67F0C5AA">
            <w:pPr>
              <w:pStyle w:val="76"/>
              <w:rPr>
                <w:color w:val="auto"/>
              </w:rPr>
            </w:pPr>
          </w:p>
        </w:tc>
        <w:tc>
          <w:tcPr>
            <w:tcW w:w="606" w:type="pct"/>
            <w:noWrap/>
            <w:vAlign w:val="center"/>
          </w:tcPr>
          <w:p w14:paraId="6463FEB3">
            <w:pPr>
              <w:widowControl/>
              <w:jc w:val="center"/>
              <w:rPr>
                <w:rFonts w:ascii="宋体" w:hAnsi="宋体"/>
                <w:color w:val="auto"/>
                <w:kern w:val="0"/>
              </w:rPr>
            </w:pPr>
            <w:r>
              <w:rPr>
                <w:rFonts w:hint="eastAsia" w:ascii="宋体" w:hAnsi="宋体"/>
                <w:color w:val="auto"/>
                <w:kern w:val="0"/>
              </w:rPr>
              <w:t>东曹村</w:t>
            </w:r>
          </w:p>
        </w:tc>
        <w:tc>
          <w:tcPr>
            <w:tcW w:w="485" w:type="pct"/>
            <w:vAlign w:val="center"/>
          </w:tcPr>
          <w:p w14:paraId="36F52A77">
            <w:pPr>
              <w:widowControl/>
              <w:jc w:val="center"/>
              <w:rPr>
                <w:rFonts w:ascii="宋体" w:hAnsi="宋体"/>
                <w:color w:val="auto"/>
                <w:kern w:val="0"/>
              </w:rPr>
            </w:pPr>
            <w:r>
              <w:rPr>
                <w:rFonts w:hint="eastAsia" w:ascii="宋体" w:hAnsi="宋体"/>
                <w:color w:val="auto"/>
                <w:kern w:val="0"/>
              </w:rPr>
              <w:t>220</w:t>
            </w:r>
          </w:p>
        </w:tc>
        <w:tc>
          <w:tcPr>
            <w:tcW w:w="330" w:type="pct"/>
            <w:vMerge w:val="continue"/>
            <w:vAlign w:val="center"/>
          </w:tcPr>
          <w:p w14:paraId="7B0EF0A4">
            <w:pPr>
              <w:widowControl/>
              <w:jc w:val="center"/>
              <w:rPr>
                <w:rFonts w:ascii="宋体" w:hAnsi="宋体"/>
                <w:color w:val="auto"/>
                <w:kern w:val="0"/>
              </w:rPr>
            </w:pPr>
          </w:p>
        </w:tc>
        <w:tc>
          <w:tcPr>
            <w:tcW w:w="1040" w:type="pct"/>
          </w:tcPr>
          <w:p w14:paraId="00BEEFB1">
            <w:pPr>
              <w:jc w:val="center"/>
              <w:rPr>
                <w:rFonts w:ascii="宋体" w:hAnsi="宋体"/>
                <w:color w:val="auto"/>
                <w:kern w:val="0"/>
              </w:rPr>
            </w:pPr>
            <w:r>
              <w:rPr>
                <w:rFonts w:ascii="宋体" w:hAnsi="宋体"/>
                <w:color w:val="auto"/>
              </w:rPr>
              <w:t>4#</w:t>
            </w:r>
            <w:r>
              <w:rPr>
                <w:rFonts w:hint="eastAsia" w:ascii="宋体" w:hAnsi="宋体"/>
                <w:color w:val="auto"/>
              </w:rPr>
              <w:t>井场</w:t>
            </w:r>
          </w:p>
        </w:tc>
        <w:tc>
          <w:tcPr>
            <w:tcW w:w="1208" w:type="pct"/>
            <w:noWrap/>
            <w:vAlign w:val="center"/>
          </w:tcPr>
          <w:p w14:paraId="4FDC481D">
            <w:pPr>
              <w:widowControl/>
              <w:jc w:val="center"/>
              <w:rPr>
                <w:rFonts w:ascii="宋体" w:hAnsi="宋体"/>
                <w:color w:val="auto"/>
                <w:kern w:val="0"/>
              </w:rPr>
            </w:pPr>
            <w:r>
              <w:rPr>
                <w:rFonts w:hint="eastAsia" w:ascii="宋体" w:hAnsi="宋体"/>
                <w:color w:val="auto"/>
                <w:kern w:val="0"/>
              </w:rPr>
              <w:t>447</w:t>
            </w:r>
          </w:p>
        </w:tc>
        <w:tc>
          <w:tcPr>
            <w:tcW w:w="967" w:type="pct"/>
            <w:noWrap/>
            <w:vAlign w:val="center"/>
          </w:tcPr>
          <w:p w14:paraId="5877C671">
            <w:pPr>
              <w:widowControl/>
              <w:jc w:val="center"/>
              <w:rPr>
                <w:rFonts w:ascii="宋体" w:hAnsi="宋体"/>
                <w:color w:val="auto"/>
                <w:kern w:val="0"/>
              </w:rPr>
            </w:pPr>
            <w:r>
              <w:rPr>
                <w:rFonts w:hint="eastAsia" w:ascii="宋体" w:hAnsi="宋体"/>
                <w:color w:val="auto"/>
                <w:kern w:val="0"/>
              </w:rPr>
              <w:t>W</w:t>
            </w:r>
          </w:p>
        </w:tc>
      </w:tr>
      <w:tr w14:paraId="08A41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28E0B988">
            <w:pPr>
              <w:pStyle w:val="76"/>
              <w:rPr>
                <w:color w:val="auto"/>
              </w:rPr>
            </w:pPr>
          </w:p>
        </w:tc>
        <w:tc>
          <w:tcPr>
            <w:tcW w:w="606" w:type="pct"/>
            <w:noWrap/>
            <w:vAlign w:val="center"/>
          </w:tcPr>
          <w:p w14:paraId="699DD3EC">
            <w:pPr>
              <w:widowControl/>
              <w:jc w:val="center"/>
              <w:rPr>
                <w:rFonts w:ascii="宋体" w:hAnsi="宋体"/>
                <w:color w:val="auto"/>
                <w:kern w:val="0"/>
              </w:rPr>
            </w:pPr>
            <w:r>
              <w:rPr>
                <w:rFonts w:hint="eastAsia" w:ascii="宋体" w:hAnsi="宋体"/>
                <w:color w:val="auto"/>
                <w:kern w:val="0"/>
              </w:rPr>
              <w:t>后展村</w:t>
            </w:r>
          </w:p>
        </w:tc>
        <w:tc>
          <w:tcPr>
            <w:tcW w:w="485" w:type="pct"/>
            <w:vAlign w:val="center"/>
          </w:tcPr>
          <w:p w14:paraId="755F972D">
            <w:pPr>
              <w:widowControl/>
              <w:jc w:val="center"/>
              <w:rPr>
                <w:rFonts w:ascii="宋体" w:hAnsi="宋体"/>
                <w:color w:val="auto"/>
                <w:kern w:val="0"/>
              </w:rPr>
            </w:pPr>
            <w:r>
              <w:rPr>
                <w:rFonts w:hint="eastAsia" w:ascii="宋体" w:hAnsi="宋体"/>
                <w:color w:val="auto"/>
                <w:kern w:val="0"/>
              </w:rPr>
              <w:t>478</w:t>
            </w:r>
          </w:p>
        </w:tc>
        <w:tc>
          <w:tcPr>
            <w:tcW w:w="330" w:type="pct"/>
            <w:vMerge w:val="continue"/>
            <w:vAlign w:val="center"/>
          </w:tcPr>
          <w:p w14:paraId="6399724C">
            <w:pPr>
              <w:widowControl/>
              <w:jc w:val="center"/>
              <w:rPr>
                <w:rFonts w:ascii="宋体" w:hAnsi="宋体"/>
                <w:color w:val="auto"/>
                <w:kern w:val="0"/>
              </w:rPr>
            </w:pPr>
          </w:p>
        </w:tc>
        <w:tc>
          <w:tcPr>
            <w:tcW w:w="1040" w:type="pct"/>
          </w:tcPr>
          <w:p w14:paraId="4845467A">
            <w:pPr>
              <w:jc w:val="center"/>
              <w:rPr>
                <w:rFonts w:ascii="宋体" w:hAnsi="宋体"/>
                <w:color w:val="auto"/>
                <w:kern w:val="0"/>
              </w:rPr>
            </w:pPr>
            <w:r>
              <w:rPr>
                <w:rFonts w:ascii="宋体" w:hAnsi="宋体"/>
                <w:color w:val="auto"/>
              </w:rPr>
              <w:t>4#</w:t>
            </w:r>
            <w:r>
              <w:rPr>
                <w:rFonts w:hint="eastAsia" w:ascii="宋体" w:hAnsi="宋体"/>
                <w:color w:val="auto"/>
              </w:rPr>
              <w:t>井场</w:t>
            </w:r>
          </w:p>
        </w:tc>
        <w:tc>
          <w:tcPr>
            <w:tcW w:w="1208" w:type="pct"/>
            <w:noWrap/>
            <w:vAlign w:val="center"/>
          </w:tcPr>
          <w:p w14:paraId="43EBE3FC">
            <w:pPr>
              <w:widowControl/>
              <w:jc w:val="center"/>
              <w:rPr>
                <w:rFonts w:ascii="宋体" w:hAnsi="宋体"/>
                <w:color w:val="auto"/>
                <w:kern w:val="0"/>
              </w:rPr>
            </w:pPr>
            <w:r>
              <w:rPr>
                <w:rFonts w:hint="eastAsia" w:ascii="宋体" w:hAnsi="宋体"/>
                <w:color w:val="auto"/>
                <w:kern w:val="0"/>
              </w:rPr>
              <w:t>448</w:t>
            </w:r>
          </w:p>
        </w:tc>
        <w:tc>
          <w:tcPr>
            <w:tcW w:w="967" w:type="pct"/>
            <w:noWrap/>
            <w:vAlign w:val="center"/>
          </w:tcPr>
          <w:p w14:paraId="117F6F3B">
            <w:pPr>
              <w:widowControl/>
              <w:jc w:val="center"/>
              <w:rPr>
                <w:rFonts w:ascii="宋体" w:hAnsi="宋体"/>
                <w:color w:val="auto"/>
                <w:kern w:val="0"/>
              </w:rPr>
            </w:pPr>
            <w:r>
              <w:rPr>
                <w:rFonts w:hint="eastAsia" w:ascii="宋体" w:hAnsi="宋体"/>
                <w:color w:val="auto"/>
                <w:kern w:val="0"/>
              </w:rPr>
              <w:t>E</w:t>
            </w:r>
          </w:p>
        </w:tc>
      </w:tr>
      <w:tr w14:paraId="56E53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125FFE09">
            <w:pPr>
              <w:pStyle w:val="76"/>
              <w:rPr>
                <w:color w:val="auto"/>
              </w:rPr>
            </w:pPr>
          </w:p>
        </w:tc>
        <w:tc>
          <w:tcPr>
            <w:tcW w:w="606" w:type="pct"/>
            <w:noWrap/>
            <w:vAlign w:val="center"/>
          </w:tcPr>
          <w:p w14:paraId="5E5F0B40">
            <w:pPr>
              <w:widowControl/>
              <w:jc w:val="center"/>
              <w:rPr>
                <w:rFonts w:ascii="宋体" w:hAnsi="宋体"/>
                <w:color w:val="auto"/>
                <w:kern w:val="0"/>
              </w:rPr>
            </w:pPr>
            <w:r>
              <w:rPr>
                <w:rFonts w:hint="eastAsia" w:ascii="宋体" w:hAnsi="宋体"/>
                <w:color w:val="auto"/>
                <w:kern w:val="0"/>
              </w:rPr>
              <w:t>西刘村</w:t>
            </w:r>
          </w:p>
        </w:tc>
        <w:tc>
          <w:tcPr>
            <w:tcW w:w="485" w:type="pct"/>
            <w:vAlign w:val="center"/>
          </w:tcPr>
          <w:p w14:paraId="6F9906A4">
            <w:pPr>
              <w:widowControl/>
              <w:jc w:val="center"/>
              <w:rPr>
                <w:rFonts w:ascii="宋体" w:hAnsi="宋体"/>
                <w:color w:val="auto"/>
                <w:kern w:val="0"/>
              </w:rPr>
            </w:pPr>
            <w:r>
              <w:rPr>
                <w:rFonts w:hint="eastAsia" w:ascii="宋体" w:hAnsi="宋体"/>
                <w:color w:val="auto"/>
                <w:kern w:val="0"/>
              </w:rPr>
              <w:t>315</w:t>
            </w:r>
          </w:p>
        </w:tc>
        <w:tc>
          <w:tcPr>
            <w:tcW w:w="330" w:type="pct"/>
            <w:vMerge w:val="continue"/>
            <w:vAlign w:val="center"/>
          </w:tcPr>
          <w:p w14:paraId="2AD0DCC2">
            <w:pPr>
              <w:widowControl/>
              <w:jc w:val="center"/>
              <w:rPr>
                <w:rFonts w:ascii="宋体" w:hAnsi="宋体"/>
                <w:color w:val="auto"/>
                <w:kern w:val="0"/>
              </w:rPr>
            </w:pPr>
          </w:p>
        </w:tc>
        <w:tc>
          <w:tcPr>
            <w:tcW w:w="1040" w:type="pct"/>
          </w:tcPr>
          <w:p w14:paraId="41916AC3">
            <w:pPr>
              <w:jc w:val="center"/>
              <w:rPr>
                <w:rFonts w:ascii="宋体" w:hAnsi="宋体"/>
                <w:color w:val="auto"/>
                <w:kern w:val="0"/>
              </w:rPr>
            </w:pPr>
            <w:r>
              <w:rPr>
                <w:rFonts w:ascii="宋体" w:hAnsi="宋体"/>
                <w:color w:val="auto"/>
              </w:rPr>
              <w:t>6#</w:t>
            </w:r>
            <w:r>
              <w:rPr>
                <w:rFonts w:hint="eastAsia" w:ascii="宋体" w:hAnsi="宋体"/>
                <w:color w:val="auto"/>
              </w:rPr>
              <w:t>井场</w:t>
            </w:r>
          </w:p>
        </w:tc>
        <w:tc>
          <w:tcPr>
            <w:tcW w:w="1208" w:type="pct"/>
            <w:noWrap/>
            <w:vAlign w:val="center"/>
          </w:tcPr>
          <w:p w14:paraId="7CBFC0B5">
            <w:pPr>
              <w:widowControl/>
              <w:jc w:val="center"/>
              <w:rPr>
                <w:rFonts w:ascii="宋体" w:hAnsi="宋体"/>
                <w:color w:val="auto"/>
                <w:kern w:val="0"/>
              </w:rPr>
            </w:pPr>
            <w:r>
              <w:rPr>
                <w:rFonts w:hint="eastAsia" w:ascii="宋体" w:hAnsi="宋体"/>
                <w:color w:val="auto"/>
                <w:kern w:val="0"/>
              </w:rPr>
              <w:t>475</w:t>
            </w:r>
          </w:p>
        </w:tc>
        <w:tc>
          <w:tcPr>
            <w:tcW w:w="967" w:type="pct"/>
            <w:noWrap/>
            <w:vAlign w:val="center"/>
          </w:tcPr>
          <w:p w14:paraId="0CF478F5">
            <w:pPr>
              <w:widowControl/>
              <w:jc w:val="center"/>
              <w:rPr>
                <w:rFonts w:ascii="宋体" w:hAnsi="宋体"/>
                <w:color w:val="auto"/>
                <w:kern w:val="0"/>
              </w:rPr>
            </w:pPr>
            <w:r>
              <w:rPr>
                <w:rFonts w:hint="eastAsia" w:ascii="宋体" w:hAnsi="宋体"/>
                <w:color w:val="auto"/>
                <w:kern w:val="0"/>
              </w:rPr>
              <w:t>NW</w:t>
            </w:r>
          </w:p>
        </w:tc>
      </w:tr>
      <w:tr w14:paraId="21C42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4EB104D3">
            <w:pPr>
              <w:pStyle w:val="76"/>
              <w:rPr>
                <w:color w:val="auto"/>
              </w:rPr>
            </w:pPr>
          </w:p>
        </w:tc>
        <w:tc>
          <w:tcPr>
            <w:tcW w:w="606" w:type="pct"/>
            <w:noWrap/>
            <w:vAlign w:val="center"/>
          </w:tcPr>
          <w:p w14:paraId="1825291D">
            <w:pPr>
              <w:widowControl/>
              <w:jc w:val="center"/>
              <w:rPr>
                <w:rFonts w:ascii="宋体" w:hAnsi="宋体"/>
                <w:color w:val="auto"/>
                <w:kern w:val="0"/>
              </w:rPr>
            </w:pPr>
            <w:r>
              <w:rPr>
                <w:rFonts w:hint="eastAsia" w:ascii="宋体" w:hAnsi="宋体"/>
                <w:color w:val="auto"/>
                <w:kern w:val="0"/>
              </w:rPr>
              <w:t>柴家村</w:t>
            </w:r>
          </w:p>
        </w:tc>
        <w:tc>
          <w:tcPr>
            <w:tcW w:w="485" w:type="pct"/>
            <w:vAlign w:val="center"/>
          </w:tcPr>
          <w:p w14:paraId="23838D2B">
            <w:pPr>
              <w:widowControl/>
              <w:jc w:val="center"/>
              <w:rPr>
                <w:rFonts w:ascii="宋体" w:hAnsi="宋体"/>
                <w:color w:val="auto"/>
                <w:kern w:val="0"/>
              </w:rPr>
            </w:pPr>
            <w:r>
              <w:rPr>
                <w:rFonts w:hint="eastAsia" w:ascii="宋体" w:hAnsi="宋体"/>
                <w:color w:val="auto"/>
                <w:kern w:val="0"/>
              </w:rPr>
              <w:t>112</w:t>
            </w:r>
          </w:p>
        </w:tc>
        <w:tc>
          <w:tcPr>
            <w:tcW w:w="330" w:type="pct"/>
            <w:vMerge w:val="continue"/>
            <w:vAlign w:val="center"/>
          </w:tcPr>
          <w:p w14:paraId="6DAF512B">
            <w:pPr>
              <w:widowControl/>
              <w:jc w:val="center"/>
              <w:rPr>
                <w:rFonts w:ascii="宋体" w:hAnsi="宋体"/>
                <w:color w:val="auto"/>
                <w:kern w:val="0"/>
              </w:rPr>
            </w:pPr>
          </w:p>
        </w:tc>
        <w:tc>
          <w:tcPr>
            <w:tcW w:w="1040" w:type="pct"/>
          </w:tcPr>
          <w:p w14:paraId="1FB55D88">
            <w:pPr>
              <w:jc w:val="center"/>
              <w:rPr>
                <w:rFonts w:ascii="宋体" w:hAnsi="宋体"/>
                <w:color w:val="auto"/>
                <w:kern w:val="0"/>
              </w:rPr>
            </w:pPr>
            <w:r>
              <w:rPr>
                <w:rFonts w:ascii="宋体" w:hAnsi="宋体"/>
                <w:color w:val="auto"/>
              </w:rPr>
              <w:t>6#</w:t>
            </w:r>
            <w:r>
              <w:rPr>
                <w:rFonts w:hint="eastAsia" w:ascii="宋体" w:hAnsi="宋体"/>
                <w:color w:val="auto"/>
              </w:rPr>
              <w:t>井场</w:t>
            </w:r>
          </w:p>
        </w:tc>
        <w:tc>
          <w:tcPr>
            <w:tcW w:w="1208" w:type="pct"/>
            <w:noWrap/>
            <w:vAlign w:val="center"/>
          </w:tcPr>
          <w:p w14:paraId="4471DB7D">
            <w:pPr>
              <w:widowControl/>
              <w:jc w:val="center"/>
              <w:rPr>
                <w:rFonts w:ascii="宋体" w:hAnsi="宋体"/>
                <w:color w:val="auto"/>
                <w:kern w:val="0"/>
              </w:rPr>
            </w:pPr>
            <w:r>
              <w:rPr>
                <w:rFonts w:hint="eastAsia" w:ascii="宋体" w:hAnsi="宋体"/>
                <w:color w:val="auto"/>
                <w:kern w:val="0"/>
              </w:rPr>
              <w:t>502</w:t>
            </w:r>
          </w:p>
        </w:tc>
        <w:tc>
          <w:tcPr>
            <w:tcW w:w="967" w:type="pct"/>
            <w:noWrap/>
            <w:vAlign w:val="center"/>
          </w:tcPr>
          <w:p w14:paraId="62DA6E90">
            <w:pPr>
              <w:widowControl/>
              <w:jc w:val="center"/>
              <w:rPr>
                <w:rFonts w:ascii="宋体" w:hAnsi="宋体"/>
                <w:color w:val="auto"/>
                <w:kern w:val="0"/>
              </w:rPr>
            </w:pPr>
            <w:r>
              <w:rPr>
                <w:rFonts w:hint="eastAsia" w:ascii="宋体" w:hAnsi="宋体"/>
                <w:color w:val="auto"/>
                <w:kern w:val="0"/>
              </w:rPr>
              <w:t>NW</w:t>
            </w:r>
          </w:p>
        </w:tc>
      </w:tr>
      <w:tr w14:paraId="51EC8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6E871EF7">
            <w:pPr>
              <w:pStyle w:val="76"/>
              <w:rPr>
                <w:color w:val="auto"/>
              </w:rPr>
            </w:pPr>
          </w:p>
        </w:tc>
        <w:tc>
          <w:tcPr>
            <w:tcW w:w="606" w:type="pct"/>
            <w:noWrap/>
            <w:vAlign w:val="center"/>
          </w:tcPr>
          <w:p w14:paraId="7ABB0736">
            <w:pPr>
              <w:widowControl/>
              <w:jc w:val="center"/>
              <w:rPr>
                <w:rFonts w:ascii="宋体" w:hAnsi="宋体"/>
                <w:color w:val="auto"/>
                <w:kern w:val="0"/>
              </w:rPr>
            </w:pPr>
            <w:r>
              <w:rPr>
                <w:rFonts w:hint="eastAsia" w:ascii="宋体" w:hAnsi="宋体"/>
                <w:color w:val="auto"/>
                <w:kern w:val="0"/>
              </w:rPr>
              <w:t>南杨村</w:t>
            </w:r>
          </w:p>
        </w:tc>
        <w:tc>
          <w:tcPr>
            <w:tcW w:w="485" w:type="pct"/>
            <w:vAlign w:val="center"/>
          </w:tcPr>
          <w:p w14:paraId="5B4F5EA6">
            <w:pPr>
              <w:widowControl/>
              <w:jc w:val="center"/>
              <w:rPr>
                <w:rFonts w:ascii="宋体" w:hAnsi="宋体"/>
                <w:color w:val="auto"/>
                <w:kern w:val="0"/>
              </w:rPr>
            </w:pPr>
            <w:r>
              <w:rPr>
                <w:rFonts w:hint="eastAsia" w:ascii="宋体" w:hAnsi="宋体"/>
                <w:color w:val="auto"/>
                <w:kern w:val="0"/>
              </w:rPr>
              <w:t>184</w:t>
            </w:r>
          </w:p>
        </w:tc>
        <w:tc>
          <w:tcPr>
            <w:tcW w:w="330" w:type="pct"/>
            <w:vMerge w:val="continue"/>
            <w:vAlign w:val="center"/>
          </w:tcPr>
          <w:p w14:paraId="46ADF170">
            <w:pPr>
              <w:widowControl/>
              <w:jc w:val="center"/>
              <w:rPr>
                <w:rFonts w:ascii="宋体" w:hAnsi="宋体"/>
                <w:color w:val="auto"/>
                <w:kern w:val="0"/>
              </w:rPr>
            </w:pPr>
          </w:p>
        </w:tc>
        <w:tc>
          <w:tcPr>
            <w:tcW w:w="1040" w:type="pct"/>
          </w:tcPr>
          <w:p w14:paraId="224558C1">
            <w:pPr>
              <w:jc w:val="center"/>
              <w:rPr>
                <w:rFonts w:ascii="宋体" w:hAnsi="宋体"/>
                <w:color w:val="auto"/>
                <w:kern w:val="0"/>
              </w:rPr>
            </w:pPr>
            <w:r>
              <w:rPr>
                <w:rFonts w:ascii="宋体" w:hAnsi="宋体"/>
                <w:color w:val="auto"/>
              </w:rPr>
              <w:t>6#</w:t>
            </w:r>
            <w:r>
              <w:rPr>
                <w:rFonts w:hint="eastAsia" w:ascii="宋体" w:hAnsi="宋体"/>
                <w:color w:val="auto"/>
              </w:rPr>
              <w:t>井场</w:t>
            </w:r>
          </w:p>
        </w:tc>
        <w:tc>
          <w:tcPr>
            <w:tcW w:w="1208" w:type="pct"/>
            <w:noWrap/>
            <w:vAlign w:val="center"/>
          </w:tcPr>
          <w:p w14:paraId="736BDA34">
            <w:pPr>
              <w:widowControl/>
              <w:jc w:val="center"/>
              <w:rPr>
                <w:rFonts w:ascii="宋体" w:hAnsi="宋体"/>
                <w:color w:val="auto"/>
                <w:kern w:val="0"/>
              </w:rPr>
            </w:pPr>
            <w:r>
              <w:rPr>
                <w:rFonts w:hint="eastAsia" w:ascii="宋体" w:hAnsi="宋体"/>
                <w:color w:val="auto"/>
                <w:kern w:val="0"/>
              </w:rPr>
              <w:t>517</w:t>
            </w:r>
          </w:p>
        </w:tc>
        <w:tc>
          <w:tcPr>
            <w:tcW w:w="967" w:type="pct"/>
            <w:noWrap/>
            <w:vAlign w:val="center"/>
          </w:tcPr>
          <w:p w14:paraId="6206FC75">
            <w:pPr>
              <w:widowControl/>
              <w:jc w:val="center"/>
              <w:rPr>
                <w:rFonts w:ascii="宋体" w:hAnsi="宋体"/>
                <w:color w:val="auto"/>
                <w:kern w:val="0"/>
              </w:rPr>
            </w:pPr>
            <w:r>
              <w:rPr>
                <w:rFonts w:hint="eastAsia" w:ascii="宋体" w:hAnsi="宋体"/>
                <w:color w:val="auto"/>
                <w:kern w:val="0"/>
              </w:rPr>
              <w:t>N</w:t>
            </w:r>
          </w:p>
        </w:tc>
      </w:tr>
      <w:tr w14:paraId="44CB4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4D5BF182">
            <w:pPr>
              <w:pStyle w:val="76"/>
              <w:rPr>
                <w:color w:val="auto"/>
              </w:rPr>
            </w:pPr>
          </w:p>
        </w:tc>
        <w:tc>
          <w:tcPr>
            <w:tcW w:w="606" w:type="pct"/>
            <w:noWrap/>
            <w:vAlign w:val="center"/>
          </w:tcPr>
          <w:p w14:paraId="0F5A53FD">
            <w:pPr>
              <w:widowControl/>
              <w:jc w:val="center"/>
              <w:rPr>
                <w:rFonts w:ascii="宋体" w:hAnsi="宋体"/>
                <w:color w:val="auto"/>
                <w:kern w:val="0"/>
              </w:rPr>
            </w:pPr>
            <w:r>
              <w:rPr>
                <w:rFonts w:hint="eastAsia" w:ascii="宋体" w:hAnsi="宋体"/>
                <w:color w:val="auto"/>
                <w:kern w:val="0"/>
              </w:rPr>
              <w:t>西王村</w:t>
            </w:r>
          </w:p>
        </w:tc>
        <w:tc>
          <w:tcPr>
            <w:tcW w:w="485" w:type="pct"/>
            <w:vAlign w:val="center"/>
          </w:tcPr>
          <w:p w14:paraId="60780278">
            <w:pPr>
              <w:widowControl/>
              <w:jc w:val="center"/>
              <w:rPr>
                <w:rFonts w:ascii="宋体" w:hAnsi="宋体"/>
                <w:color w:val="auto"/>
                <w:kern w:val="0"/>
              </w:rPr>
            </w:pPr>
            <w:r>
              <w:rPr>
                <w:rFonts w:hint="eastAsia" w:ascii="宋体" w:hAnsi="宋体"/>
                <w:color w:val="auto"/>
                <w:kern w:val="0"/>
              </w:rPr>
              <w:t>228</w:t>
            </w:r>
          </w:p>
        </w:tc>
        <w:tc>
          <w:tcPr>
            <w:tcW w:w="330" w:type="pct"/>
            <w:vMerge w:val="continue"/>
            <w:vAlign w:val="center"/>
          </w:tcPr>
          <w:p w14:paraId="17FFE8BA">
            <w:pPr>
              <w:widowControl/>
              <w:jc w:val="center"/>
              <w:rPr>
                <w:rFonts w:ascii="宋体" w:hAnsi="宋体"/>
                <w:color w:val="auto"/>
                <w:kern w:val="0"/>
              </w:rPr>
            </w:pPr>
          </w:p>
        </w:tc>
        <w:tc>
          <w:tcPr>
            <w:tcW w:w="1040" w:type="pct"/>
          </w:tcPr>
          <w:p w14:paraId="03DBAC1F">
            <w:pPr>
              <w:jc w:val="center"/>
              <w:rPr>
                <w:rFonts w:ascii="宋体" w:hAnsi="宋体"/>
                <w:color w:val="auto"/>
                <w:kern w:val="0"/>
              </w:rPr>
            </w:pPr>
            <w:r>
              <w:rPr>
                <w:rFonts w:ascii="宋体" w:hAnsi="宋体"/>
                <w:color w:val="auto"/>
              </w:rPr>
              <w:t>6#</w:t>
            </w:r>
            <w:r>
              <w:rPr>
                <w:rFonts w:hint="eastAsia" w:ascii="宋体" w:hAnsi="宋体"/>
                <w:color w:val="auto"/>
              </w:rPr>
              <w:t>井场</w:t>
            </w:r>
          </w:p>
        </w:tc>
        <w:tc>
          <w:tcPr>
            <w:tcW w:w="1208" w:type="pct"/>
            <w:noWrap/>
            <w:vAlign w:val="center"/>
          </w:tcPr>
          <w:p w14:paraId="79F9FFBA">
            <w:pPr>
              <w:widowControl/>
              <w:jc w:val="center"/>
              <w:rPr>
                <w:rFonts w:ascii="宋体" w:hAnsi="宋体"/>
                <w:color w:val="auto"/>
                <w:kern w:val="0"/>
              </w:rPr>
            </w:pPr>
            <w:r>
              <w:rPr>
                <w:rFonts w:hint="eastAsia" w:ascii="宋体" w:hAnsi="宋体"/>
                <w:color w:val="auto"/>
                <w:kern w:val="0"/>
              </w:rPr>
              <w:t>520</w:t>
            </w:r>
          </w:p>
        </w:tc>
        <w:tc>
          <w:tcPr>
            <w:tcW w:w="967" w:type="pct"/>
            <w:noWrap/>
            <w:vAlign w:val="center"/>
          </w:tcPr>
          <w:p w14:paraId="53C65323">
            <w:pPr>
              <w:widowControl/>
              <w:jc w:val="center"/>
              <w:rPr>
                <w:rFonts w:ascii="宋体" w:hAnsi="宋体"/>
                <w:color w:val="auto"/>
                <w:kern w:val="0"/>
              </w:rPr>
            </w:pPr>
            <w:r>
              <w:rPr>
                <w:rFonts w:hint="eastAsia" w:ascii="宋体" w:hAnsi="宋体"/>
                <w:color w:val="auto"/>
                <w:kern w:val="0"/>
              </w:rPr>
              <w:t>NW</w:t>
            </w:r>
          </w:p>
        </w:tc>
      </w:tr>
      <w:tr w14:paraId="55CC8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513938A5">
            <w:pPr>
              <w:pStyle w:val="76"/>
              <w:rPr>
                <w:color w:val="auto"/>
              </w:rPr>
            </w:pPr>
          </w:p>
        </w:tc>
        <w:tc>
          <w:tcPr>
            <w:tcW w:w="606" w:type="pct"/>
            <w:noWrap/>
            <w:vAlign w:val="center"/>
          </w:tcPr>
          <w:p w14:paraId="290319A2">
            <w:pPr>
              <w:widowControl/>
              <w:jc w:val="center"/>
              <w:rPr>
                <w:rFonts w:ascii="宋体" w:hAnsi="宋体"/>
                <w:color w:val="auto"/>
                <w:kern w:val="0"/>
              </w:rPr>
            </w:pPr>
            <w:r>
              <w:rPr>
                <w:rFonts w:hint="eastAsia" w:ascii="宋体" w:hAnsi="宋体"/>
                <w:color w:val="auto"/>
                <w:kern w:val="0"/>
              </w:rPr>
              <w:t>徐家村</w:t>
            </w:r>
          </w:p>
        </w:tc>
        <w:tc>
          <w:tcPr>
            <w:tcW w:w="485" w:type="pct"/>
            <w:vAlign w:val="center"/>
          </w:tcPr>
          <w:p w14:paraId="085CBB73">
            <w:pPr>
              <w:widowControl/>
              <w:jc w:val="center"/>
              <w:rPr>
                <w:rFonts w:ascii="宋体" w:hAnsi="宋体"/>
                <w:color w:val="auto"/>
                <w:kern w:val="0"/>
              </w:rPr>
            </w:pPr>
            <w:r>
              <w:rPr>
                <w:rFonts w:hint="eastAsia" w:ascii="宋体" w:hAnsi="宋体"/>
                <w:color w:val="auto"/>
                <w:kern w:val="0"/>
              </w:rPr>
              <w:t>398</w:t>
            </w:r>
          </w:p>
        </w:tc>
        <w:tc>
          <w:tcPr>
            <w:tcW w:w="330" w:type="pct"/>
            <w:vMerge w:val="continue"/>
            <w:vAlign w:val="center"/>
          </w:tcPr>
          <w:p w14:paraId="7B274548">
            <w:pPr>
              <w:widowControl/>
              <w:jc w:val="center"/>
              <w:rPr>
                <w:rFonts w:ascii="宋体" w:hAnsi="宋体"/>
                <w:color w:val="auto"/>
                <w:kern w:val="0"/>
              </w:rPr>
            </w:pPr>
          </w:p>
        </w:tc>
        <w:tc>
          <w:tcPr>
            <w:tcW w:w="1040" w:type="pct"/>
          </w:tcPr>
          <w:p w14:paraId="33CA46DF">
            <w:pPr>
              <w:jc w:val="center"/>
              <w:rPr>
                <w:rFonts w:ascii="宋体" w:hAnsi="宋体"/>
                <w:color w:val="auto"/>
                <w:kern w:val="0"/>
              </w:rPr>
            </w:pPr>
            <w:r>
              <w:rPr>
                <w:rFonts w:ascii="宋体" w:hAnsi="宋体"/>
                <w:color w:val="auto"/>
              </w:rPr>
              <w:t>8#</w:t>
            </w:r>
            <w:r>
              <w:rPr>
                <w:rFonts w:hint="eastAsia" w:ascii="宋体" w:hAnsi="宋体"/>
                <w:color w:val="auto"/>
              </w:rPr>
              <w:t>井场</w:t>
            </w:r>
          </w:p>
        </w:tc>
        <w:tc>
          <w:tcPr>
            <w:tcW w:w="1208" w:type="pct"/>
            <w:noWrap/>
            <w:vAlign w:val="center"/>
          </w:tcPr>
          <w:p w14:paraId="70660344">
            <w:pPr>
              <w:widowControl/>
              <w:jc w:val="center"/>
              <w:rPr>
                <w:rFonts w:ascii="宋体" w:hAnsi="宋体"/>
                <w:color w:val="auto"/>
                <w:kern w:val="0"/>
              </w:rPr>
            </w:pPr>
            <w:r>
              <w:rPr>
                <w:rFonts w:hint="eastAsia" w:ascii="宋体" w:hAnsi="宋体"/>
                <w:color w:val="auto"/>
                <w:kern w:val="0"/>
              </w:rPr>
              <w:t>524</w:t>
            </w:r>
          </w:p>
        </w:tc>
        <w:tc>
          <w:tcPr>
            <w:tcW w:w="967" w:type="pct"/>
            <w:noWrap/>
            <w:vAlign w:val="center"/>
          </w:tcPr>
          <w:p w14:paraId="71DC4685">
            <w:pPr>
              <w:widowControl/>
              <w:jc w:val="center"/>
              <w:rPr>
                <w:rFonts w:ascii="宋体" w:hAnsi="宋体"/>
                <w:color w:val="auto"/>
                <w:kern w:val="0"/>
              </w:rPr>
            </w:pPr>
            <w:r>
              <w:rPr>
                <w:rFonts w:hint="eastAsia" w:ascii="宋体" w:hAnsi="宋体"/>
                <w:color w:val="auto"/>
                <w:kern w:val="0"/>
              </w:rPr>
              <w:t>SE</w:t>
            </w:r>
          </w:p>
        </w:tc>
      </w:tr>
      <w:tr w14:paraId="05F0B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36C5A761">
            <w:pPr>
              <w:pStyle w:val="76"/>
              <w:rPr>
                <w:color w:val="auto"/>
              </w:rPr>
            </w:pPr>
          </w:p>
        </w:tc>
        <w:tc>
          <w:tcPr>
            <w:tcW w:w="606" w:type="pct"/>
            <w:noWrap/>
            <w:vAlign w:val="center"/>
          </w:tcPr>
          <w:p w14:paraId="176E48B8">
            <w:pPr>
              <w:widowControl/>
              <w:jc w:val="center"/>
              <w:rPr>
                <w:rFonts w:ascii="宋体" w:hAnsi="宋体"/>
                <w:color w:val="auto"/>
                <w:kern w:val="0"/>
              </w:rPr>
            </w:pPr>
            <w:r>
              <w:rPr>
                <w:rFonts w:hint="eastAsia" w:ascii="宋体" w:hAnsi="宋体"/>
                <w:color w:val="auto"/>
                <w:kern w:val="0"/>
              </w:rPr>
              <w:t>董家村</w:t>
            </w:r>
          </w:p>
        </w:tc>
        <w:tc>
          <w:tcPr>
            <w:tcW w:w="485" w:type="pct"/>
            <w:vAlign w:val="center"/>
          </w:tcPr>
          <w:p w14:paraId="7061208A">
            <w:pPr>
              <w:widowControl/>
              <w:jc w:val="center"/>
              <w:rPr>
                <w:rFonts w:ascii="宋体" w:hAnsi="宋体"/>
                <w:color w:val="auto"/>
                <w:kern w:val="0"/>
              </w:rPr>
            </w:pPr>
            <w:r>
              <w:rPr>
                <w:rFonts w:hint="eastAsia" w:ascii="宋体" w:hAnsi="宋体"/>
                <w:color w:val="auto"/>
                <w:kern w:val="0"/>
              </w:rPr>
              <w:t>324</w:t>
            </w:r>
          </w:p>
        </w:tc>
        <w:tc>
          <w:tcPr>
            <w:tcW w:w="330" w:type="pct"/>
            <w:vMerge w:val="continue"/>
            <w:vAlign w:val="center"/>
          </w:tcPr>
          <w:p w14:paraId="6E0610AF">
            <w:pPr>
              <w:widowControl/>
              <w:jc w:val="center"/>
              <w:rPr>
                <w:rFonts w:ascii="宋体" w:hAnsi="宋体"/>
                <w:color w:val="auto"/>
                <w:kern w:val="0"/>
              </w:rPr>
            </w:pPr>
          </w:p>
        </w:tc>
        <w:tc>
          <w:tcPr>
            <w:tcW w:w="1040" w:type="pct"/>
          </w:tcPr>
          <w:p w14:paraId="5F1CA269">
            <w:pPr>
              <w:jc w:val="center"/>
              <w:rPr>
                <w:rFonts w:ascii="宋体" w:hAnsi="宋体"/>
                <w:color w:val="auto"/>
                <w:kern w:val="0"/>
              </w:rPr>
            </w:pPr>
            <w:r>
              <w:rPr>
                <w:rFonts w:ascii="宋体" w:hAnsi="宋体"/>
                <w:color w:val="auto"/>
              </w:rPr>
              <w:t>8#</w:t>
            </w:r>
            <w:r>
              <w:rPr>
                <w:rFonts w:hint="eastAsia" w:ascii="宋体" w:hAnsi="宋体"/>
                <w:color w:val="auto"/>
              </w:rPr>
              <w:t>井场</w:t>
            </w:r>
          </w:p>
        </w:tc>
        <w:tc>
          <w:tcPr>
            <w:tcW w:w="1208" w:type="pct"/>
            <w:noWrap/>
            <w:vAlign w:val="center"/>
          </w:tcPr>
          <w:p w14:paraId="0742D191">
            <w:pPr>
              <w:widowControl/>
              <w:jc w:val="center"/>
              <w:rPr>
                <w:rFonts w:ascii="宋体" w:hAnsi="宋体"/>
                <w:color w:val="auto"/>
                <w:kern w:val="0"/>
              </w:rPr>
            </w:pPr>
            <w:r>
              <w:rPr>
                <w:rFonts w:hint="eastAsia" w:ascii="宋体" w:hAnsi="宋体"/>
                <w:color w:val="auto"/>
                <w:kern w:val="0"/>
              </w:rPr>
              <w:t>555</w:t>
            </w:r>
          </w:p>
        </w:tc>
        <w:tc>
          <w:tcPr>
            <w:tcW w:w="967" w:type="pct"/>
            <w:noWrap/>
            <w:vAlign w:val="center"/>
          </w:tcPr>
          <w:p w14:paraId="08683B49">
            <w:pPr>
              <w:widowControl/>
              <w:jc w:val="center"/>
              <w:rPr>
                <w:rFonts w:ascii="宋体" w:hAnsi="宋体"/>
                <w:color w:val="auto"/>
                <w:kern w:val="0"/>
              </w:rPr>
            </w:pPr>
            <w:r>
              <w:rPr>
                <w:rFonts w:hint="eastAsia" w:ascii="宋体" w:hAnsi="宋体"/>
                <w:color w:val="auto"/>
                <w:kern w:val="0"/>
              </w:rPr>
              <w:t>N</w:t>
            </w:r>
          </w:p>
        </w:tc>
      </w:tr>
      <w:tr w14:paraId="47787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3C7284C9">
            <w:pPr>
              <w:pStyle w:val="76"/>
              <w:rPr>
                <w:color w:val="auto"/>
              </w:rPr>
            </w:pPr>
          </w:p>
        </w:tc>
        <w:tc>
          <w:tcPr>
            <w:tcW w:w="606" w:type="pct"/>
            <w:noWrap/>
            <w:vAlign w:val="center"/>
          </w:tcPr>
          <w:p w14:paraId="5AA6540E">
            <w:pPr>
              <w:widowControl/>
              <w:jc w:val="center"/>
              <w:rPr>
                <w:rFonts w:ascii="宋体" w:hAnsi="宋体"/>
                <w:color w:val="auto"/>
                <w:kern w:val="0"/>
              </w:rPr>
            </w:pPr>
            <w:r>
              <w:rPr>
                <w:rFonts w:hint="eastAsia" w:ascii="宋体" w:hAnsi="宋体"/>
                <w:color w:val="auto"/>
                <w:kern w:val="0"/>
              </w:rPr>
              <w:t>付光辉村</w:t>
            </w:r>
          </w:p>
        </w:tc>
        <w:tc>
          <w:tcPr>
            <w:tcW w:w="485" w:type="pct"/>
            <w:vAlign w:val="center"/>
          </w:tcPr>
          <w:p w14:paraId="16C46B02">
            <w:pPr>
              <w:widowControl/>
              <w:jc w:val="center"/>
              <w:rPr>
                <w:rFonts w:ascii="宋体" w:hAnsi="宋体"/>
                <w:color w:val="auto"/>
                <w:kern w:val="0"/>
              </w:rPr>
            </w:pPr>
            <w:r>
              <w:rPr>
                <w:rFonts w:hint="eastAsia" w:ascii="宋体" w:hAnsi="宋体"/>
                <w:color w:val="auto"/>
                <w:kern w:val="0"/>
              </w:rPr>
              <w:t>322</w:t>
            </w:r>
          </w:p>
        </w:tc>
        <w:tc>
          <w:tcPr>
            <w:tcW w:w="330" w:type="pct"/>
            <w:vMerge w:val="continue"/>
            <w:vAlign w:val="center"/>
          </w:tcPr>
          <w:p w14:paraId="788CD611">
            <w:pPr>
              <w:widowControl/>
              <w:jc w:val="center"/>
              <w:rPr>
                <w:rFonts w:ascii="宋体" w:hAnsi="宋体"/>
                <w:color w:val="auto"/>
                <w:kern w:val="0"/>
              </w:rPr>
            </w:pPr>
          </w:p>
        </w:tc>
        <w:tc>
          <w:tcPr>
            <w:tcW w:w="1040" w:type="pct"/>
          </w:tcPr>
          <w:p w14:paraId="4FD6938C">
            <w:pPr>
              <w:jc w:val="center"/>
              <w:rPr>
                <w:rFonts w:ascii="宋体" w:hAnsi="宋体"/>
                <w:color w:val="auto"/>
                <w:kern w:val="0"/>
              </w:rPr>
            </w:pPr>
            <w:r>
              <w:rPr>
                <w:rFonts w:ascii="宋体" w:hAnsi="宋体"/>
                <w:color w:val="auto"/>
              </w:rPr>
              <w:t>10#</w:t>
            </w:r>
            <w:r>
              <w:rPr>
                <w:rFonts w:hint="eastAsia" w:ascii="宋体" w:hAnsi="宋体"/>
                <w:color w:val="auto"/>
              </w:rPr>
              <w:t>井场</w:t>
            </w:r>
          </w:p>
        </w:tc>
        <w:tc>
          <w:tcPr>
            <w:tcW w:w="1208" w:type="pct"/>
            <w:noWrap/>
            <w:vAlign w:val="center"/>
          </w:tcPr>
          <w:p w14:paraId="1A9B405F">
            <w:pPr>
              <w:widowControl/>
              <w:jc w:val="center"/>
              <w:rPr>
                <w:rFonts w:ascii="宋体" w:hAnsi="宋体"/>
                <w:color w:val="auto"/>
                <w:kern w:val="0"/>
              </w:rPr>
            </w:pPr>
            <w:r>
              <w:rPr>
                <w:rFonts w:hint="eastAsia" w:ascii="宋体" w:hAnsi="宋体"/>
                <w:color w:val="auto"/>
                <w:kern w:val="0"/>
              </w:rPr>
              <w:t>596</w:t>
            </w:r>
          </w:p>
        </w:tc>
        <w:tc>
          <w:tcPr>
            <w:tcW w:w="967" w:type="pct"/>
            <w:noWrap/>
            <w:vAlign w:val="center"/>
          </w:tcPr>
          <w:p w14:paraId="58C24EAD">
            <w:pPr>
              <w:widowControl/>
              <w:jc w:val="center"/>
              <w:rPr>
                <w:rFonts w:ascii="宋体" w:hAnsi="宋体"/>
                <w:color w:val="auto"/>
                <w:kern w:val="0"/>
              </w:rPr>
            </w:pPr>
            <w:r>
              <w:rPr>
                <w:rFonts w:hint="eastAsia" w:ascii="宋体" w:hAnsi="宋体"/>
                <w:color w:val="auto"/>
                <w:kern w:val="0"/>
              </w:rPr>
              <w:t>N</w:t>
            </w:r>
          </w:p>
        </w:tc>
      </w:tr>
      <w:tr w14:paraId="0F19E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09305F77">
            <w:pPr>
              <w:pStyle w:val="76"/>
              <w:rPr>
                <w:color w:val="auto"/>
              </w:rPr>
            </w:pPr>
          </w:p>
        </w:tc>
        <w:tc>
          <w:tcPr>
            <w:tcW w:w="606" w:type="pct"/>
            <w:noWrap/>
            <w:vAlign w:val="center"/>
          </w:tcPr>
          <w:p w14:paraId="4CE656FD">
            <w:pPr>
              <w:widowControl/>
              <w:jc w:val="center"/>
              <w:rPr>
                <w:rFonts w:ascii="宋体" w:hAnsi="宋体"/>
                <w:color w:val="auto"/>
                <w:kern w:val="0"/>
              </w:rPr>
            </w:pPr>
            <w:r>
              <w:rPr>
                <w:rFonts w:hint="eastAsia" w:ascii="宋体" w:hAnsi="宋体"/>
                <w:color w:val="auto"/>
                <w:kern w:val="0"/>
              </w:rPr>
              <w:t>寨里孙村</w:t>
            </w:r>
          </w:p>
        </w:tc>
        <w:tc>
          <w:tcPr>
            <w:tcW w:w="485" w:type="pct"/>
            <w:vAlign w:val="center"/>
          </w:tcPr>
          <w:p w14:paraId="1ABBBF53">
            <w:pPr>
              <w:widowControl/>
              <w:jc w:val="center"/>
              <w:rPr>
                <w:rFonts w:ascii="宋体" w:hAnsi="宋体"/>
                <w:color w:val="auto"/>
                <w:kern w:val="0"/>
              </w:rPr>
            </w:pPr>
            <w:r>
              <w:rPr>
                <w:rFonts w:hint="eastAsia" w:ascii="宋体" w:hAnsi="宋体"/>
                <w:color w:val="auto"/>
                <w:kern w:val="0"/>
              </w:rPr>
              <w:t>158</w:t>
            </w:r>
          </w:p>
        </w:tc>
        <w:tc>
          <w:tcPr>
            <w:tcW w:w="330" w:type="pct"/>
            <w:vMerge w:val="continue"/>
            <w:vAlign w:val="center"/>
          </w:tcPr>
          <w:p w14:paraId="1F217A3D">
            <w:pPr>
              <w:widowControl/>
              <w:jc w:val="center"/>
              <w:rPr>
                <w:rFonts w:ascii="宋体" w:hAnsi="宋体"/>
                <w:color w:val="auto"/>
                <w:kern w:val="0"/>
              </w:rPr>
            </w:pPr>
          </w:p>
        </w:tc>
        <w:tc>
          <w:tcPr>
            <w:tcW w:w="1040" w:type="pct"/>
          </w:tcPr>
          <w:p w14:paraId="638E6DCE">
            <w:pPr>
              <w:jc w:val="center"/>
              <w:rPr>
                <w:rFonts w:ascii="宋体" w:hAnsi="宋体"/>
                <w:color w:val="auto"/>
                <w:kern w:val="0"/>
              </w:rPr>
            </w:pPr>
            <w:r>
              <w:rPr>
                <w:rFonts w:ascii="宋体" w:hAnsi="宋体"/>
                <w:color w:val="auto"/>
              </w:rPr>
              <w:t>10#</w:t>
            </w:r>
            <w:r>
              <w:rPr>
                <w:rFonts w:hint="eastAsia" w:ascii="宋体" w:hAnsi="宋体"/>
                <w:color w:val="auto"/>
              </w:rPr>
              <w:t>井场</w:t>
            </w:r>
          </w:p>
        </w:tc>
        <w:tc>
          <w:tcPr>
            <w:tcW w:w="1208" w:type="pct"/>
            <w:noWrap/>
            <w:vAlign w:val="center"/>
          </w:tcPr>
          <w:p w14:paraId="788937C1">
            <w:pPr>
              <w:widowControl/>
              <w:jc w:val="center"/>
              <w:rPr>
                <w:rFonts w:ascii="宋体" w:hAnsi="宋体"/>
                <w:color w:val="auto"/>
                <w:kern w:val="0"/>
              </w:rPr>
            </w:pPr>
            <w:r>
              <w:rPr>
                <w:rFonts w:hint="eastAsia" w:ascii="宋体" w:hAnsi="宋体"/>
                <w:color w:val="auto"/>
                <w:kern w:val="0"/>
              </w:rPr>
              <w:t>620</w:t>
            </w:r>
          </w:p>
        </w:tc>
        <w:tc>
          <w:tcPr>
            <w:tcW w:w="967" w:type="pct"/>
            <w:noWrap/>
            <w:vAlign w:val="center"/>
          </w:tcPr>
          <w:p w14:paraId="512AC864">
            <w:pPr>
              <w:widowControl/>
              <w:jc w:val="center"/>
              <w:rPr>
                <w:rFonts w:ascii="宋体" w:hAnsi="宋体"/>
                <w:color w:val="auto"/>
                <w:kern w:val="0"/>
              </w:rPr>
            </w:pPr>
            <w:r>
              <w:rPr>
                <w:rFonts w:hint="eastAsia" w:ascii="宋体" w:hAnsi="宋体"/>
                <w:color w:val="auto"/>
                <w:kern w:val="0"/>
              </w:rPr>
              <w:t>W</w:t>
            </w:r>
          </w:p>
        </w:tc>
      </w:tr>
      <w:tr w14:paraId="1BF94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0CC264FE">
            <w:pPr>
              <w:pStyle w:val="76"/>
              <w:rPr>
                <w:color w:val="auto"/>
              </w:rPr>
            </w:pPr>
          </w:p>
        </w:tc>
        <w:tc>
          <w:tcPr>
            <w:tcW w:w="606" w:type="pct"/>
            <w:noWrap/>
            <w:vAlign w:val="center"/>
          </w:tcPr>
          <w:p w14:paraId="5BA09D9A">
            <w:pPr>
              <w:widowControl/>
              <w:jc w:val="center"/>
              <w:rPr>
                <w:rFonts w:ascii="宋体" w:hAnsi="宋体"/>
                <w:color w:val="auto"/>
                <w:kern w:val="0"/>
              </w:rPr>
            </w:pPr>
            <w:r>
              <w:rPr>
                <w:rFonts w:hint="eastAsia" w:ascii="宋体" w:hAnsi="宋体"/>
                <w:color w:val="auto"/>
                <w:kern w:val="0"/>
              </w:rPr>
              <w:t>刘三仁村</w:t>
            </w:r>
          </w:p>
        </w:tc>
        <w:tc>
          <w:tcPr>
            <w:tcW w:w="485" w:type="pct"/>
            <w:vAlign w:val="center"/>
          </w:tcPr>
          <w:p w14:paraId="2E618881">
            <w:pPr>
              <w:widowControl/>
              <w:jc w:val="center"/>
              <w:rPr>
                <w:rFonts w:ascii="宋体" w:hAnsi="宋体"/>
                <w:color w:val="auto"/>
                <w:kern w:val="0"/>
              </w:rPr>
            </w:pPr>
            <w:r>
              <w:rPr>
                <w:rFonts w:hint="eastAsia" w:ascii="宋体" w:hAnsi="宋体"/>
                <w:color w:val="auto"/>
                <w:kern w:val="0"/>
              </w:rPr>
              <w:t>385</w:t>
            </w:r>
          </w:p>
        </w:tc>
        <w:tc>
          <w:tcPr>
            <w:tcW w:w="330" w:type="pct"/>
            <w:vMerge w:val="continue"/>
            <w:vAlign w:val="center"/>
          </w:tcPr>
          <w:p w14:paraId="2D4B0B7A">
            <w:pPr>
              <w:widowControl/>
              <w:jc w:val="center"/>
              <w:rPr>
                <w:rFonts w:ascii="宋体" w:hAnsi="宋体"/>
                <w:color w:val="auto"/>
                <w:kern w:val="0"/>
              </w:rPr>
            </w:pPr>
          </w:p>
        </w:tc>
        <w:tc>
          <w:tcPr>
            <w:tcW w:w="1040" w:type="pct"/>
          </w:tcPr>
          <w:p w14:paraId="57EDCDD1">
            <w:pPr>
              <w:jc w:val="center"/>
              <w:rPr>
                <w:rFonts w:ascii="宋体" w:hAnsi="宋体"/>
                <w:color w:val="auto"/>
                <w:kern w:val="0"/>
              </w:rPr>
            </w:pPr>
            <w:r>
              <w:rPr>
                <w:rFonts w:ascii="宋体" w:hAnsi="宋体"/>
                <w:color w:val="auto"/>
              </w:rPr>
              <w:t>10#</w:t>
            </w:r>
            <w:r>
              <w:rPr>
                <w:rFonts w:hint="eastAsia" w:ascii="宋体" w:hAnsi="宋体"/>
                <w:color w:val="auto"/>
              </w:rPr>
              <w:t>井场</w:t>
            </w:r>
          </w:p>
        </w:tc>
        <w:tc>
          <w:tcPr>
            <w:tcW w:w="1208" w:type="pct"/>
            <w:noWrap/>
            <w:vAlign w:val="center"/>
          </w:tcPr>
          <w:p w14:paraId="6CF5AC61">
            <w:pPr>
              <w:widowControl/>
              <w:jc w:val="center"/>
              <w:rPr>
                <w:rFonts w:ascii="宋体" w:hAnsi="宋体"/>
                <w:color w:val="auto"/>
                <w:kern w:val="0"/>
              </w:rPr>
            </w:pPr>
            <w:r>
              <w:rPr>
                <w:rFonts w:hint="eastAsia" w:ascii="宋体" w:hAnsi="宋体"/>
                <w:color w:val="auto"/>
                <w:kern w:val="0"/>
              </w:rPr>
              <w:t>646</w:t>
            </w:r>
          </w:p>
        </w:tc>
        <w:tc>
          <w:tcPr>
            <w:tcW w:w="967" w:type="pct"/>
            <w:noWrap/>
            <w:vAlign w:val="center"/>
          </w:tcPr>
          <w:p w14:paraId="15B603EE">
            <w:pPr>
              <w:widowControl/>
              <w:jc w:val="center"/>
              <w:rPr>
                <w:rFonts w:ascii="宋体" w:hAnsi="宋体"/>
                <w:color w:val="auto"/>
                <w:kern w:val="0"/>
              </w:rPr>
            </w:pPr>
            <w:r>
              <w:rPr>
                <w:rFonts w:hint="eastAsia" w:ascii="宋体" w:hAnsi="宋体"/>
                <w:color w:val="auto"/>
                <w:kern w:val="0"/>
              </w:rPr>
              <w:t>SW</w:t>
            </w:r>
          </w:p>
        </w:tc>
      </w:tr>
      <w:tr w14:paraId="6112D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485EF616">
            <w:pPr>
              <w:pStyle w:val="76"/>
              <w:rPr>
                <w:color w:val="auto"/>
              </w:rPr>
            </w:pPr>
          </w:p>
        </w:tc>
        <w:tc>
          <w:tcPr>
            <w:tcW w:w="606" w:type="pct"/>
            <w:noWrap/>
            <w:vAlign w:val="center"/>
          </w:tcPr>
          <w:p w14:paraId="0E32BA75">
            <w:pPr>
              <w:widowControl/>
              <w:jc w:val="center"/>
              <w:rPr>
                <w:rFonts w:ascii="宋体" w:hAnsi="宋体"/>
                <w:color w:val="auto"/>
                <w:kern w:val="0"/>
              </w:rPr>
            </w:pPr>
            <w:r>
              <w:rPr>
                <w:rFonts w:hint="eastAsia" w:ascii="宋体" w:hAnsi="宋体"/>
                <w:color w:val="auto"/>
                <w:kern w:val="0"/>
              </w:rPr>
              <w:t>樊东村</w:t>
            </w:r>
          </w:p>
        </w:tc>
        <w:tc>
          <w:tcPr>
            <w:tcW w:w="485" w:type="pct"/>
            <w:vAlign w:val="center"/>
          </w:tcPr>
          <w:p w14:paraId="2890BE09">
            <w:pPr>
              <w:widowControl/>
              <w:jc w:val="center"/>
              <w:rPr>
                <w:rFonts w:ascii="宋体" w:hAnsi="宋体"/>
                <w:color w:val="auto"/>
                <w:kern w:val="0"/>
              </w:rPr>
            </w:pPr>
            <w:r>
              <w:rPr>
                <w:rFonts w:hint="eastAsia" w:ascii="宋体" w:hAnsi="宋体"/>
                <w:color w:val="auto"/>
                <w:kern w:val="0"/>
              </w:rPr>
              <w:t>658</w:t>
            </w:r>
          </w:p>
        </w:tc>
        <w:tc>
          <w:tcPr>
            <w:tcW w:w="330" w:type="pct"/>
            <w:vMerge w:val="continue"/>
            <w:vAlign w:val="center"/>
          </w:tcPr>
          <w:p w14:paraId="7F3FA55C">
            <w:pPr>
              <w:widowControl/>
              <w:jc w:val="center"/>
              <w:rPr>
                <w:rFonts w:ascii="宋体" w:hAnsi="宋体"/>
                <w:color w:val="auto"/>
                <w:kern w:val="0"/>
              </w:rPr>
            </w:pPr>
          </w:p>
        </w:tc>
        <w:tc>
          <w:tcPr>
            <w:tcW w:w="1040" w:type="pct"/>
          </w:tcPr>
          <w:p w14:paraId="11999A2F">
            <w:pPr>
              <w:jc w:val="center"/>
              <w:rPr>
                <w:rFonts w:ascii="宋体" w:hAnsi="宋体"/>
                <w:color w:val="auto"/>
                <w:kern w:val="0"/>
              </w:rPr>
            </w:pPr>
            <w:r>
              <w:rPr>
                <w:rFonts w:ascii="宋体" w:hAnsi="宋体"/>
                <w:color w:val="auto"/>
              </w:rPr>
              <w:t>7#</w:t>
            </w:r>
            <w:r>
              <w:rPr>
                <w:rFonts w:hint="eastAsia" w:ascii="宋体" w:hAnsi="宋体"/>
                <w:color w:val="auto"/>
              </w:rPr>
              <w:t>井场</w:t>
            </w:r>
          </w:p>
        </w:tc>
        <w:tc>
          <w:tcPr>
            <w:tcW w:w="1208" w:type="pct"/>
            <w:noWrap/>
            <w:vAlign w:val="center"/>
          </w:tcPr>
          <w:p w14:paraId="29D596C3">
            <w:pPr>
              <w:widowControl/>
              <w:jc w:val="center"/>
              <w:rPr>
                <w:rFonts w:ascii="宋体" w:hAnsi="宋体"/>
                <w:color w:val="auto"/>
                <w:kern w:val="0"/>
              </w:rPr>
            </w:pPr>
            <w:r>
              <w:rPr>
                <w:rFonts w:hint="eastAsia" w:ascii="宋体" w:hAnsi="宋体"/>
                <w:color w:val="auto"/>
                <w:kern w:val="0"/>
              </w:rPr>
              <w:t>665</w:t>
            </w:r>
          </w:p>
        </w:tc>
        <w:tc>
          <w:tcPr>
            <w:tcW w:w="967" w:type="pct"/>
            <w:noWrap/>
            <w:vAlign w:val="center"/>
          </w:tcPr>
          <w:p w14:paraId="062744FE">
            <w:pPr>
              <w:widowControl/>
              <w:jc w:val="center"/>
              <w:rPr>
                <w:rFonts w:ascii="宋体" w:hAnsi="宋体"/>
                <w:color w:val="auto"/>
                <w:kern w:val="0"/>
              </w:rPr>
            </w:pPr>
            <w:r>
              <w:rPr>
                <w:rFonts w:hint="eastAsia" w:ascii="宋体" w:hAnsi="宋体"/>
                <w:color w:val="auto"/>
                <w:kern w:val="0"/>
              </w:rPr>
              <w:t>E</w:t>
            </w:r>
          </w:p>
        </w:tc>
      </w:tr>
      <w:tr w14:paraId="34611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06906639">
            <w:pPr>
              <w:pStyle w:val="76"/>
              <w:rPr>
                <w:color w:val="auto"/>
              </w:rPr>
            </w:pPr>
          </w:p>
        </w:tc>
        <w:tc>
          <w:tcPr>
            <w:tcW w:w="606" w:type="pct"/>
            <w:noWrap/>
            <w:vAlign w:val="center"/>
          </w:tcPr>
          <w:p w14:paraId="084EC9F4">
            <w:pPr>
              <w:widowControl/>
              <w:jc w:val="center"/>
              <w:rPr>
                <w:rFonts w:ascii="宋体" w:hAnsi="宋体"/>
                <w:color w:val="auto"/>
                <w:kern w:val="0"/>
              </w:rPr>
            </w:pPr>
            <w:r>
              <w:rPr>
                <w:rFonts w:hint="eastAsia" w:ascii="宋体" w:hAnsi="宋体"/>
                <w:color w:val="auto"/>
                <w:kern w:val="0"/>
              </w:rPr>
              <w:t>蓑衣樊村</w:t>
            </w:r>
          </w:p>
        </w:tc>
        <w:tc>
          <w:tcPr>
            <w:tcW w:w="485" w:type="pct"/>
            <w:vAlign w:val="center"/>
          </w:tcPr>
          <w:p w14:paraId="03C93173">
            <w:pPr>
              <w:widowControl/>
              <w:jc w:val="center"/>
              <w:rPr>
                <w:rFonts w:ascii="宋体" w:hAnsi="宋体"/>
                <w:color w:val="auto"/>
                <w:kern w:val="0"/>
              </w:rPr>
            </w:pPr>
            <w:r>
              <w:rPr>
                <w:rFonts w:hint="eastAsia" w:ascii="宋体" w:hAnsi="宋体"/>
                <w:color w:val="auto"/>
                <w:kern w:val="0"/>
              </w:rPr>
              <w:t>380</w:t>
            </w:r>
          </w:p>
        </w:tc>
        <w:tc>
          <w:tcPr>
            <w:tcW w:w="330" w:type="pct"/>
            <w:vMerge w:val="continue"/>
            <w:vAlign w:val="center"/>
          </w:tcPr>
          <w:p w14:paraId="2D6AC17E">
            <w:pPr>
              <w:widowControl/>
              <w:jc w:val="center"/>
              <w:rPr>
                <w:rFonts w:ascii="宋体" w:hAnsi="宋体"/>
                <w:color w:val="auto"/>
                <w:kern w:val="0"/>
              </w:rPr>
            </w:pPr>
          </w:p>
        </w:tc>
        <w:tc>
          <w:tcPr>
            <w:tcW w:w="1040" w:type="pct"/>
          </w:tcPr>
          <w:p w14:paraId="42430053">
            <w:pPr>
              <w:jc w:val="center"/>
              <w:rPr>
                <w:rFonts w:ascii="宋体" w:hAnsi="宋体"/>
                <w:color w:val="auto"/>
                <w:kern w:val="0"/>
              </w:rPr>
            </w:pPr>
            <w:r>
              <w:rPr>
                <w:rFonts w:ascii="宋体" w:hAnsi="宋体"/>
                <w:color w:val="auto"/>
              </w:rPr>
              <w:t>7#</w:t>
            </w:r>
            <w:r>
              <w:rPr>
                <w:rFonts w:hint="eastAsia" w:ascii="宋体" w:hAnsi="宋体"/>
                <w:color w:val="auto"/>
              </w:rPr>
              <w:t>井场</w:t>
            </w:r>
          </w:p>
        </w:tc>
        <w:tc>
          <w:tcPr>
            <w:tcW w:w="1208" w:type="pct"/>
            <w:noWrap/>
            <w:vAlign w:val="center"/>
          </w:tcPr>
          <w:p w14:paraId="3917C78D">
            <w:pPr>
              <w:widowControl/>
              <w:jc w:val="center"/>
              <w:rPr>
                <w:rFonts w:ascii="宋体" w:hAnsi="宋体"/>
                <w:color w:val="auto"/>
                <w:kern w:val="0"/>
              </w:rPr>
            </w:pPr>
            <w:r>
              <w:rPr>
                <w:rFonts w:hint="eastAsia" w:ascii="宋体" w:hAnsi="宋体"/>
                <w:color w:val="auto"/>
                <w:kern w:val="0"/>
              </w:rPr>
              <w:t>678</w:t>
            </w:r>
          </w:p>
        </w:tc>
        <w:tc>
          <w:tcPr>
            <w:tcW w:w="967" w:type="pct"/>
            <w:noWrap/>
            <w:vAlign w:val="center"/>
          </w:tcPr>
          <w:p w14:paraId="08BAD2D3">
            <w:pPr>
              <w:widowControl/>
              <w:jc w:val="center"/>
              <w:rPr>
                <w:rFonts w:ascii="宋体" w:hAnsi="宋体"/>
                <w:color w:val="auto"/>
                <w:kern w:val="0"/>
              </w:rPr>
            </w:pPr>
            <w:r>
              <w:rPr>
                <w:rFonts w:hint="eastAsia" w:ascii="宋体" w:hAnsi="宋体"/>
                <w:color w:val="auto"/>
                <w:kern w:val="0"/>
              </w:rPr>
              <w:t>N</w:t>
            </w:r>
          </w:p>
        </w:tc>
      </w:tr>
      <w:tr w14:paraId="6290E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0DBD28AC">
            <w:pPr>
              <w:pStyle w:val="76"/>
              <w:rPr>
                <w:color w:val="auto"/>
              </w:rPr>
            </w:pPr>
          </w:p>
        </w:tc>
        <w:tc>
          <w:tcPr>
            <w:tcW w:w="606" w:type="pct"/>
            <w:noWrap/>
            <w:vAlign w:val="center"/>
          </w:tcPr>
          <w:p w14:paraId="04483FA2">
            <w:pPr>
              <w:widowControl/>
              <w:jc w:val="center"/>
              <w:rPr>
                <w:rFonts w:ascii="宋体" w:hAnsi="宋体"/>
                <w:color w:val="auto"/>
                <w:kern w:val="0"/>
              </w:rPr>
            </w:pPr>
            <w:r>
              <w:rPr>
                <w:rFonts w:hint="eastAsia" w:ascii="宋体" w:hAnsi="宋体"/>
                <w:color w:val="auto"/>
                <w:kern w:val="0"/>
              </w:rPr>
              <w:t>营盘村</w:t>
            </w:r>
          </w:p>
        </w:tc>
        <w:tc>
          <w:tcPr>
            <w:tcW w:w="485" w:type="pct"/>
            <w:vAlign w:val="center"/>
          </w:tcPr>
          <w:p w14:paraId="215DC5F0">
            <w:pPr>
              <w:widowControl/>
              <w:jc w:val="center"/>
              <w:rPr>
                <w:rFonts w:ascii="宋体" w:hAnsi="宋体"/>
                <w:color w:val="auto"/>
                <w:kern w:val="0"/>
              </w:rPr>
            </w:pPr>
            <w:r>
              <w:rPr>
                <w:rFonts w:hint="eastAsia" w:ascii="宋体" w:hAnsi="宋体"/>
                <w:color w:val="auto"/>
                <w:kern w:val="0"/>
              </w:rPr>
              <w:t>485</w:t>
            </w:r>
          </w:p>
        </w:tc>
        <w:tc>
          <w:tcPr>
            <w:tcW w:w="330" w:type="pct"/>
            <w:vMerge w:val="continue"/>
            <w:vAlign w:val="center"/>
          </w:tcPr>
          <w:p w14:paraId="1F0ACF73">
            <w:pPr>
              <w:widowControl/>
              <w:jc w:val="center"/>
              <w:rPr>
                <w:rFonts w:ascii="宋体" w:hAnsi="宋体"/>
                <w:color w:val="auto"/>
                <w:kern w:val="0"/>
              </w:rPr>
            </w:pPr>
          </w:p>
        </w:tc>
        <w:tc>
          <w:tcPr>
            <w:tcW w:w="1040" w:type="pct"/>
          </w:tcPr>
          <w:p w14:paraId="4F3F9BAF">
            <w:pPr>
              <w:jc w:val="center"/>
              <w:rPr>
                <w:rFonts w:ascii="宋体" w:hAnsi="宋体"/>
                <w:color w:val="auto"/>
                <w:kern w:val="0"/>
              </w:rPr>
            </w:pPr>
            <w:r>
              <w:rPr>
                <w:rFonts w:ascii="宋体" w:hAnsi="宋体"/>
                <w:color w:val="auto"/>
              </w:rPr>
              <w:t>7#</w:t>
            </w:r>
            <w:r>
              <w:rPr>
                <w:rFonts w:hint="eastAsia" w:ascii="宋体" w:hAnsi="宋体"/>
                <w:color w:val="auto"/>
              </w:rPr>
              <w:t>井场</w:t>
            </w:r>
          </w:p>
        </w:tc>
        <w:tc>
          <w:tcPr>
            <w:tcW w:w="1208" w:type="pct"/>
            <w:noWrap/>
            <w:vAlign w:val="center"/>
          </w:tcPr>
          <w:p w14:paraId="0D22F197">
            <w:pPr>
              <w:widowControl/>
              <w:jc w:val="center"/>
              <w:rPr>
                <w:rFonts w:ascii="宋体" w:hAnsi="宋体"/>
                <w:color w:val="auto"/>
                <w:kern w:val="0"/>
              </w:rPr>
            </w:pPr>
            <w:r>
              <w:rPr>
                <w:rFonts w:hint="eastAsia" w:ascii="宋体" w:hAnsi="宋体"/>
                <w:color w:val="auto"/>
                <w:kern w:val="0"/>
              </w:rPr>
              <w:t>700</w:t>
            </w:r>
          </w:p>
        </w:tc>
        <w:tc>
          <w:tcPr>
            <w:tcW w:w="967" w:type="pct"/>
            <w:noWrap/>
            <w:vAlign w:val="center"/>
          </w:tcPr>
          <w:p w14:paraId="637FC3E2">
            <w:pPr>
              <w:widowControl/>
              <w:jc w:val="center"/>
              <w:rPr>
                <w:rFonts w:ascii="宋体" w:hAnsi="宋体"/>
                <w:color w:val="auto"/>
                <w:kern w:val="0"/>
              </w:rPr>
            </w:pPr>
            <w:r>
              <w:rPr>
                <w:rFonts w:hint="eastAsia" w:ascii="宋体" w:hAnsi="宋体"/>
                <w:color w:val="auto"/>
                <w:kern w:val="0"/>
              </w:rPr>
              <w:t>S</w:t>
            </w:r>
          </w:p>
        </w:tc>
      </w:tr>
      <w:tr w14:paraId="21AE3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03B83FE6">
            <w:pPr>
              <w:pStyle w:val="76"/>
              <w:rPr>
                <w:color w:val="auto"/>
              </w:rPr>
            </w:pPr>
          </w:p>
        </w:tc>
        <w:tc>
          <w:tcPr>
            <w:tcW w:w="606" w:type="pct"/>
            <w:noWrap/>
            <w:vAlign w:val="center"/>
          </w:tcPr>
          <w:p w14:paraId="1BF6D7D0">
            <w:pPr>
              <w:widowControl/>
              <w:jc w:val="center"/>
              <w:rPr>
                <w:rFonts w:ascii="宋体" w:hAnsi="宋体"/>
                <w:color w:val="auto"/>
                <w:kern w:val="0"/>
              </w:rPr>
            </w:pPr>
            <w:r>
              <w:rPr>
                <w:rFonts w:hint="eastAsia" w:ascii="宋体" w:hAnsi="宋体"/>
                <w:color w:val="auto"/>
                <w:kern w:val="0"/>
              </w:rPr>
              <w:t>小付家</w:t>
            </w:r>
          </w:p>
        </w:tc>
        <w:tc>
          <w:tcPr>
            <w:tcW w:w="485" w:type="pct"/>
            <w:vAlign w:val="center"/>
          </w:tcPr>
          <w:p w14:paraId="2DC04912">
            <w:pPr>
              <w:widowControl/>
              <w:jc w:val="center"/>
              <w:rPr>
                <w:rFonts w:ascii="宋体" w:hAnsi="宋体"/>
                <w:color w:val="auto"/>
                <w:kern w:val="0"/>
              </w:rPr>
            </w:pPr>
            <w:r>
              <w:rPr>
                <w:rFonts w:hint="eastAsia" w:ascii="宋体" w:hAnsi="宋体"/>
                <w:color w:val="auto"/>
                <w:kern w:val="0"/>
              </w:rPr>
              <w:t>480</w:t>
            </w:r>
          </w:p>
        </w:tc>
        <w:tc>
          <w:tcPr>
            <w:tcW w:w="330" w:type="pct"/>
            <w:vMerge w:val="continue"/>
            <w:vAlign w:val="center"/>
          </w:tcPr>
          <w:p w14:paraId="0C81DDC0">
            <w:pPr>
              <w:widowControl/>
              <w:jc w:val="center"/>
              <w:rPr>
                <w:rFonts w:ascii="宋体" w:hAnsi="宋体"/>
                <w:color w:val="auto"/>
                <w:kern w:val="0"/>
              </w:rPr>
            </w:pPr>
          </w:p>
        </w:tc>
        <w:tc>
          <w:tcPr>
            <w:tcW w:w="1040" w:type="pct"/>
          </w:tcPr>
          <w:p w14:paraId="063AD1A8">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noWrap/>
            <w:vAlign w:val="center"/>
          </w:tcPr>
          <w:p w14:paraId="319C7C6D">
            <w:pPr>
              <w:widowControl/>
              <w:jc w:val="center"/>
              <w:rPr>
                <w:rFonts w:ascii="宋体" w:hAnsi="宋体"/>
                <w:color w:val="auto"/>
                <w:kern w:val="0"/>
              </w:rPr>
            </w:pPr>
            <w:r>
              <w:rPr>
                <w:rFonts w:hint="eastAsia" w:ascii="宋体" w:hAnsi="宋体"/>
                <w:color w:val="auto"/>
                <w:kern w:val="0"/>
              </w:rPr>
              <w:t>723</w:t>
            </w:r>
          </w:p>
        </w:tc>
        <w:tc>
          <w:tcPr>
            <w:tcW w:w="967" w:type="pct"/>
            <w:noWrap/>
            <w:vAlign w:val="center"/>
          </w:tcPr>
          <w:p w14:paraId="40A323C0">
            <w:pPr>
              <w:widowControl/>
              <w:jc w:val="center"/>
              <w:rPr>
                <w:rFonts w:ascii="宋体" w:hAnsi="宋体"/>
                <w:color w:val="auto"/>
                <w:kern w:val="0"/>
              </w:rPr>
            </w:pPr>
            <w:r>
              <w:rPr>
                <w:rFonts w:hint="eastAsia" w:ascii="宋体" w:hAnsi="宋体"/>
                <w:color w:val="auto"/>
                <w:kern w:val="0"/>
              </w:rPr>
              <w:t>SE</w:t>
            </w:r>
          </w:p>
        </w:tc>
      </w:tr>
      <w:tr w14:paraId="59A10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2CDCE3C4">
            <w:pPr>
              <w:pStyle w:val="76"/>
              <w:rPr>
                <w:color w:val="auto"/>
              </w:rPr>
            </w:pPr>
          </w:p>
        </w:tc>
        <w:tc>
          <w:tcPr>
            <w:tcW w:w="606" w:type="pct"/>
            <w:noWrap/>
            <w:vAlign w:val="center"/>
          </w:tcPr>
          <w:p w14:paraId="147096C7">
            <w:pPr>
              <w:widowControl/>
              <w:jc w:val="center"/>
              <w:rPr>
                <w:rFonts w:ascii="宋体" w:hAnsi="宋体"/>
                <w:color w:val="auto"/>
                <w:kern w:val="0"/>
              </w:rPr>
            </w:pPr>
            <w:r>
              <w:rPr>
                <w:rFonts w:hint="eastAsia" w:ascii="宋体" w:hAnsi="宋体"/>
                <w:color w:val="auto"/>
                <w:kern w:val="0"/>
              </w:rPr>
              <w:t>温家村</w:t>
            </w:r>
          </w:p>
        </w:tc>
        <w:tc>
          <w:tcPr>
            <w:tcW w:w="485" w:type="pct"/>
            <w:vAlign w:val="center"/>
          </w:tcPr>
          <w:p w14:paraId="63C8059E">
            <w:pPr>
              <w:widowControl/>
              <w:jc w:val="center"/>
              <w:rPr>
                <w:rFonts w:ascii="宋体" w:hAnsi="宋体"/>
                <w:color w:val="auto"/>
                <w:kern w:val="0"/>
              </w:rPr>
            </w:pPr>
            <w:r>
              <w:rPr>
                <w:rFonts w:hint="eastAsia" w:ascii="宋体" w:hAnsi="宋体"/>
                <w:color w:val="auto"/>
                <w:kern w:val="0"/>
              </w:rPr>
              <w:t>198</w:t>
            </w:r>
          </w:p>
        </w:tc>
        <w:tc>
          <w:tcPr>
            <w:tcW w:w="330" w:type="pct"/>
            <w:vMerge w:val="continue"/>
            <w:vAlign w:val="center"/>
          </w:tcPr>
          <w:p w14:paraId="374D0947">
            <w:pPr>
              <w:widowControl/>
              <w:jc w:val="center"/>
              <w:rPr>
                <w:rFonts w:ascii="宋体" w:hAnsi="宋体"/>
                <w:color w:val="auto"/>
                <w:kern w:val="0"/>
              </w:rPr>
            </w:pPr>
          </w:p>
        </w:tc>
        <w:tc>
          <w:tcPr>
            <w:tcW w:w="1040" w:type="pct"/>
          </w:tcPr>
          <w:p w14:paraId="672F5D3E">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noWrap/>
            <w:vAlign w:val="center"/>
          </w:tcPr>
          <w:p w14:paraId="1E4EC1EB">
            <w:pPr>
              <w:widowControl/>
              <w:jc w:val="center"/>
              <w:rPr>
                <w:rFonts w:ascii="宋体" w:hAnsi="宋体"/>
                <w:color w:val="auto"/>
                <w:kern w:val="0"/>
              </w:rPr>
            </w:pPr>
            <w:r>
              <w:rPr>
                <w:rFonts w:hint="eastAsia" w:ascii="宋体" w:hAnsi="宋体"/>
                <w:color w:val="auto"/>
                <w:kern w:val="0"/>
              </w:rPr>
              <w:t>733</w:t>
            </w:r>
          </w:p>
        </w:tc>
        <w:tc>
          <w:tcPr>
            <w:tcW w:w="967" w:type="pct"/>
            <w:noWrap/>
            <w:vAlign w:val="center"/>
          </w:tcPr>
          <w:p w14:paraId="44FE389A">
            <w:pPr>
              <w:widowControl/>
              <w:jc w:val="center"/>
              <w:rPr>
                <w:rFonts w:ascii="宋体" w:hAnsi="宋体"/>
                <w:color w:val="auto"/>
                <w:kern w:val="0"/>
              </w:rPr>
            </w:pPr>
            <w:r>
              <w:rPr>
                <w:rFonts w:hint="eastAsia" w:ascii="宋体" w:hAnsi="宋体"/>
                <w:color w:val="auto"/>
                <w:kern w:val="0"/>
              </w:rPr>
              <w:t>NW</w:t>
            </w:r>
          </w:p>
        </w:tc>
      </w:tr>
      <w:tr w14:paraId="21261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5150C058">
            <w:pPr>
              <w:pStyle w:val="76"/>
              <w:rPr>
                <w:color w:val="auto"/>
              </w:rPr>
            </w:pPr>
          </w:p>
        </w:tc>
        <w:tc>
          <w:tcPr>
            <w:tcW w:w="606" w:type="pct"/>
            <w:noWrap/>
            <w:vAlign w:val="center"/>
          </w:tcPr>
          <w:p w14:paraId="59415BED">
            <w:pPr>
              <w:widowControl/>
              <w:jc w:val="center"/>
              <w:rPr>
                <w:rFonts w:ascii="宋体" w:hAnsi="宋体"/>
                <w:color w:val="auto"/>
                <w:kern w:val="0"/>
              </w:rPr>
            </w:pPr>
            <w:r>
              <w:rPr>
                <w:rFonts w:hint="eastAsia" w:ascii="宋体" w:hAnsi="宋体"/>
                <w:color w:val="auto"/>
                <w:kern w:val="0"/>
              </w:rPr>
              <w:t>前展村</w:t>
            </w:r>
          </w:p>
        </w:tc>
        <w:tc>
          <w:tcPr>
            <w:tcW w:w="485" w:type="pct"/>
            <w:vAlign w:val="center"/>
          </w:tcPr>
          <w:p w14:paraId="05C2AD28">
            <w:pPr>
              <w:widowControl/>
              <w:jc w:val="center"/>
              <w:rPr>
                <w:rFonts w:ascii="宋体" w:hAnsi="宋体"/>
                <w:color w:val="auto"/>
                <w:kern w:val="0"/>
              </w:rPr>
            </w:pPr>
            <w:r>
              <w:rPr>
                <w:rFonts w:hint="eastAsia" w:ascii="宋体" w:hAnsi="宋体"/>
                <w:color w:val="auto"/>
                <w:kern w:val="0"/>
              </w:rPr>
              <w:t>328</w:t>
            </w:r>
          </w:p>
        </w:tc>
        <w:tc>
          <w:tcPr>
            <w:tcW w:w="330" w:type="pct"/>
            <w:vMerge w:val="continue"/>
            <w:vAlign w:val="center"/>
          </w:tcPr>
          <w:p w14:paraId="6A793598">
            <w:pPr>
              <w:widowControl/>
              <w:jc w:val="center"/>
              <w:rPr>
                <w:rFonts w:ascii="宋体" w:hAnsi="宋体"/>
                <w:color w:val="auto"/>
                <w:kern w:val="0"/>
              </w:rPr>
            </w:pPr>
          </w:p>
        </w:tc>
        <w:tc>
          <w:tcPr>
            <w:tcW w:w="1040" w:type="pct"/>
          </w:tcPr>
          <w:p w14:paraId="0A1B7D0E">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noWrap/>
            <w:vAlign w:val="center"/>
          </w:tcPr>
          <w:p w14:paraId="038EB7BA">
            <w:pPr>
              <w:widowControl/>
              <w:jc w:val="center"/>
              <w:rPr>
                <w:rFonts w:ascii="宋体" w:hAnsi="宋体"/>
                <w:color w:val="auto"/>
                <w:kern w:val="0"/>
              </w:rPr>
            </w:pPr>
            <w:r>
              <w:rPr>
                <w:rFonts w:hint="eastAsia" w:ascii="宋体" w:hAnsi="宋体"/>
                <w:color w:val="auto"/>
                <w:kern w:val="0"/>
              </w:rPr>
              <w:t>740</w:t>
            </w:r>
          </w:p>
        </w:tc>
        <w:tc>
          <w:tcPr>
            <w:tcW w:w="967" w:type="pct"/>
            <w:noWrap/>
            <w:vAlign w:val="center"/>
          </w:tcPr>
          <w:p w14:paraId="081B08D7">
            <w:pPr>
              <w:widowControl/>
              <w:jc w:val="center"/>
              <w:rPr>
                <w:rFonts w:ascii="宋体" w:hAnsi="宋体"/>
                <w:color w:val="auto"/>
                <w:kern w:val="0"/>
              </w:rPr>
            </w:pPr>
            <w:r>
              <w:rPr>
                <w:rFonts w:hint="eastAsia" w:ascii="宋体" w:hAnsi="宋体"/>
                <w:color w:val="auto"/>
                <w:kern w:val="0"/>
              </w:rPr>
              <w:t>SE</w:t>
            </w:r>
          </w:p>
        </w:tc>
      </w:tr>
      <w:tr w14:paraId="51CAB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79BC8D2C">
            <w:pPr>
              <w:pStyle w:val="76"/>
              <w:rPr>
                <w:color w:val="auto"/>
              </w:rPr>
            </w:pPr>
          </w:p>
        </w:tc>
        <w:tc>
          <w:tcPr>
            <w:tcW w:w="606" w:type="pct"/>
            <w:noWrap/>
            <w:vAlign w:val="center"/>
          </w:tcPr>
          <w:p w14:paraId="172E435A">
            <w:pPr>
              <w:widowControl/>
              <w:jc w:val="center"/>
              <w:rPr>
                <w:rFonts w:ascii="宋体" w:hAnsi="宋体"/>
                <w:color w:val="auto"/>
                <w:kern w:val="0"/>
              </w:rPr>
            </w:pPr>
            <w:r>
              <w:rPr>
                <w:rFonts w:hint="eastAsia" w:ascii="宋体" w:hAnsi="宋体"/>
                <w:color w:val="auto"/>
                <w:kern w:val="0"/>
              </w:rPr>
              <w:t>旧镇</w:t>
            </w:r>
          </w:p>
        </w:tc>
        <w:tc>
          <w:tcPr>
            <w:tcW w:w="485" w:type="pct"/>
            <w:vAlign w:val="center"/>
          </w:tcPr>
          <w:p w14:paraId="562DF96F">
            <w:pPr>
              <w:widowControl/>
              <w:jc w:val="center"/>
              <w:rPr>
                <w:rFonts w:ascii="宋体" w:hAnsi="宋体"/>
                <w:color w:val="auto"/>
                <w:kern w:val="0"/>
              </w:rPr>
            </w:pPr>
            <w:r>
              <w:rPr>
                <w:rFonts w:hint="eastAsia" w:ascii="宋体" w:hAnsi="宋体"/>
                <w:color w:val="auto"/>
                <w:kern w:val="0"/>
              </w:rPr>
              <w:t>1100</w:t>
            </w:r>
          </w:p>
        </w:tc>
        <w:tc>
          <w:tcPr>
            <w:tcW w:w="330" w:type="pct"/>
            <w:vMerge w:val="continue"/>
            <w:vAlign w:val="center"/>
          </w:tcPr>
          <w:p w14:paraId="61E05DD0">
            <w:pPr>
              <w:widowControl/>
              <w:jc w:val="center"/>
              <w:rPr>
                <w:rFonts w:ascii="宋体" w:hAnsi="宋体"/>
                <w:color w:val="auto"/>
                <w:kern w:val="0"/>
              </w:rPr>
            </w:pPr>
          </w:p>
        </w:tc>
        <w:tc>
          <w:tcPr>
            <w:tcW w:w="1040" w:type="pct"/>
          </w:tcPr>
          <w:p w14:paraId="0070FFC6">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noWrap/>
            <w:vAlign w:val="center"/>
          </w:tcPr>
          <w:p w14:paraId="1E5FF91C">
            <w:pPr>
              <w:widowControl/>
              <w:jc w:val="center"/>
              <w:rPr>
                <w:rFonts w:ascii="宋体" w:hAnsi="宋体"/>
                <w:color w:val="auto"/>
                <w:kern w:val="0"/>
              </w:rPr>
            </w:pPr>
            <w:r>
              <w:rPr>
                <w:rFonts w:hint="eastAsia" w:ascii="宋体" w:hAnsi="宋体"/>
                <w:color w:val="auto"/>
                <w:kern w:val="0"/>
              </w:rPr>
              <w:t>743</w:t>
            </w:r>
          </w:p>
        </w:tc>
        <w:tc>
          <w:tcPr>
            <w:tcW w:w="967" w:type="pct"/>
            <w:noWrap/>
            <w:vAlign w:val="center"/>
          </w:tcPr>
          <w:p w14:paraId="505AC1C7">
            <w:pPr>
              <w:widowControl/>
              <w:jc w:val="center"/>
              <w:rPr>
                <w:rFonts w:ascii="宋体" w:hAnsi="宋体"/>
                <w:color w:val="auto"/>
                <w:kern w:val="0"/>
              </w:rPr>
            </w:pPr>
            <w:r>
              <w:rPr>
                <w:rFonts w:hint="eastAsia" w:ascii="宋体" w:hAnsi="宋体"/>
                <w:color w:val="auto"/>
                <w:kern w:val="0"/>
              </w:rPr>
              <w:t>E</w:t>
            </w:r>
          </w:p>
        </w:tc>
      </w:tr>
      <w:tr w14:paraId="5D4E5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3FDF79B1">
            <w:pPr>
              <w:pStyle w:val="76"/>
              <w:rPr>
                <w:color w:val="auto"/>
              </w:rPr>
            </w:pPr>
          </w:p>
        </w:tc>
        <w:tc>
          <w:tcPr>
            <w:tcW w:w="606" w:type="pct"/>
            <w:noWrap/>
            <w:vAlign w:val="center"/>
          </w:tcPr>
          <w:p w14:paraId="1FE3FE00">
            <w:pPr>
              <w:widowControl/>
              <w:jc w:val="center"/>
              <w:rPr>
                <w:rFonts w:ascii="宋体" w:hAnsi="宋体"/>
                <w:color w:val="auto"/>
                <w:kern w:val="0"/>
              </w:rPr>
            </w:pPr>
            <w:r>
              <w:rPr>
                <w:rFonts w:hint="eastAsia" w:ascii="宋体" w:hAnsi="宋体"/>
                <w:color w:val="auto"/>
                <w:kern w:val="0"/>
              </w:rPr>
              <w:t>韩家村</w:t>
            </w:r>
          </w:p>
        </w:tc>
        <w:tc>
          <w:tcPr>
            <w:tcW w:w="485" w:type="pct"/>
            <w:vAlign w:val="center"/>
          </w:tcPr>
          <w:p w14:paraId="3CAA870D">
            <w:pPr>
              <w:widowControl/>
              <w:jc w:val="center"/>
              <w:rPr>
                <w:rFonts w:ascii="宋体" w:hAnsi="宋体"/>
                <w:color w:val="auto"/>
                <w:kern w:val="0"/>
              </w:rPr>
            </w:pPr>
            <w:r>
              <w:rPr>
                <w:rFonts w:hint="eastAsia" w:ascii="宋体" w:hAnsi="宋体"/>
                <w:color w:val="auto"/>
                <w:kern w:val="0"/>
              </w:rPr>
              <w:t>410</w:t>
            </w:r>
          </w:p>
        </w:tc>
        <w:tc>
          <w:tcPr>
            <w:tcW w:w="330" w:type="pct"/>
            <w:vMerge w:val="continue"/>
            <w:vAlign w:val="center"/>
          </w:tcPr>
          <w:p w14:paraId="5BD19F25">
            <w:pPr>
              <w:widowControl/>
              <w:jc w:val="center"/>
              <w:rPr>
                <w:rFonts w:ascii="宋体" w:hAnsi="宋体"/>
                <w:color w:val="auto"/>
                <w:kern w:val="0"/>
              </w:rPr>
            </w:pPr>
          </w:p>
        </w:tc>
        <w:tc>
          <w:tcPr>
            <w:tcW w:w="1040" w:type="pct"/>
            <w:vAlign w:val="center"/>
          </w:tcPr>
          <w:p w14:paraId="55088A98">
            <w:pPr>
              <w:jc w:val="center"/>
              <w:rPr>
                <w:rFonts w:ascii="宋体" w:hAnsi="宋体"/>
                <w:color w:val="auto"/>
                <w:kern w:val="0"/>
              </w:rPr>
            </w:pPr>
            <w:bookmarkStart w:id="308" w:name="OLE_LINK166"/>
            <w:bookmarkStart w:id="309" w:name="OLE_LINK165"/>
            <w:r>
              <w:rPr>
                <w:rFonts w:hint="eastAsia" w:ascii="宋体" w:hAnsi="宋体"/>
                <w:color w:val="auto"/>
              </w:rPr>
              <w:t>3</w:t>
            </w:r>
            <w:r>
              <w:rPr>
                <w:rFonts w:ascii="宋体" w:hAnsi="宋体"/>
                <w:color w:val="auto"/>
              </w:rPr>
              <w:t>#</w:t>
            </w:r>
            <w:r>
              <w:rPr>
                <w:rFonts w:hint="eastAsia" w:ascii="宋体" w:hAnsi="宋体"/>
                <w:color w:val="auto"/>
              </w:rPr>
              <w:t>井场</w:t>
            </w:r>
            <w:bookmarkEnd w:id="308"/>
            <w:bookmarkEnd w:id="309"/>
          </w:p>
        </w:tc>
        <w:tc>
          <w:tcPr>
            <w:tcW w:w="1208" w:type="pct"/>
            <w:noWrap/>
            <w:vAlign w:val="center"/>
          </w:tcPr>
          <w:p w14:paraId="44CCEF3E">
            <w:pPr>
              <w:widowControl/>
              <w:jc w:val="center"/>
              <w:rPr>
                <w:rFonts w:ascii="宋体" w:hAnsi="宋体"/>
                <w:color w:val="auto"/>
                <w:kern w:val="0"/>
              </w:rPr>
            </w:pPr>
            <w:r>
              <w:rPr>
                <w:rFonts w:hint="eastAsia" w:ascii="宋体" w:hAnsi="宋体"/>
                <w:color w:val="auto"/>
                <w:kern w:val="0"/>
              </w:rPr>
              <w:t>754</w:t>
            </w:r>
          </w:p>
        </w:tc>
        <w:tc>
          <w:tcPr>
            <w:tcW w:w="967" w:type="pct"/>
            <w:noWrap/>
            <w:vAlign w:val="center"/>
          </w:tcPr>
          <w:p w14:paraId="77CB2AA3">
            <w:pPr>
              <w:widowControl/>
              <w:jc w:val="center"/>
              <w:rPr>
                <w:rFonts w:ascii="宋体" w:hAnsi="宋体"/>
                <w:color w:val="auto"/>
                <w:kern w:val="0"/>
              </w:rPr>
            </w:pPr>
            <w:r>
              <w:rPr>
                <w:rFonts w:hint="eastAsia" w:ascii="宋体" w:hAnsi="宋体"/>
                <w:color w:val="auto"/>
                <w:kern w:val="0"/>
              </w:rPr>
              <w:t>N</w:t>
            </w:r>
          </w:p>
        </w:tc>
      </w:tr>
      <w:tr w14:paraId="3DFB7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16F71F06">
            <w:pPr>
              <w:pStyle w:val="76"/>
              <w:rPr>
                <w:color w:val="auto"/>
              </w:rPr>
            </w:pPr>
          </w:p>
        </w:tc>
        <w:tc>
          <w:tcPr>
            <w:tcW w:w="606" w:type="pct"/>
            <w:noWrap/>
            <w:vAlign w:val="center"/>
          </w:tcPr>
          <w:p w14:paraId="22913810">
            <w:pPr>
              <w:widowControl/>
              <w:jc w:val="center"/>
              <w:rPr>
                <w:rFonts w:ascii="宋体" w:hAnsi="宋体"/>
                <w:color w:val="auto"/>
                <w:kern w:val="0"/>
              </w:rPr>
            </w:pPr>
            <w:r>
              <w:rPr>
                <w:rFonts w:hint="eastAsia" w:ascii="宋体" w:hAnsi="宋体"/>
                <w:color w:val="auto"/>
                <w:kern w:val="0"/>
              </w:rPr>
              <w:t>大道王村</w:t>
            </w:r>
          </w:p>
        </w:tc>
        <w:tc>
          <w:tcPr>
            <w:tcW w:w="485" w:type="pct"/>
            <w:vAlign w:val="center"/>
          </w:tcPr>
          <w:p w14:paraId="7BA4F117">
            <w:pPr>
              <w:widowControl/>
              <w:jc w:val="center"/>
              <w:rPr>
                <w:rFonts w:ascii="宋体" w:hAnsi="宋体"/>
                <w:color w:val="auto"/>
                <w:kern w:val="0"/>
              </w:rPr>
            </w:pPr>
            <w:r>
              <w:rPr>
                <w:rFonts w:hint="eastAsia" w:ascii="宋体" w:hAnsi="宋体"/>
                <w:color w:val="auto"/>
                <w:kern w:val="0"/>
              </w:rPr>
              <w:t>510</w:t>
            </w:r>
          </w:p>
        </w:tc>
        <w:tc>
          <w:tcPr>
            <w:tcW w:w="330" w:type="pct"/>
            <w:vMerge w:val="continue"/>
            <w:vAlign w:val="center"/>
          </w:tcPr>
          <w:p w14:paraId="16DCC662">
            <w:pPr>
              <w:widowControl/>
              <w:jc w:val="center"/>
              <w:rPr>
                <w:rFonts w:ascii="宋体" w:hAnsi="宋体"/>
                <w:color w:val="auto"/>
                <w:kern w:val="0"/>
              </w:rPr>
            </w:pPr>
          </w:p>
        </w:tc>
        <w:tc>
          <w:tcPr>
            <w:tcW w:w="1040" w:type="pct"/>
          </w:tcPr>
          <w:p w14:paraId="72FB766B">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noWrap/>
            <w:vAlign w:val="center"/>
          </w:tcPr>
          <w:p w14:paraId="63F5308C">
            <w:pPr>
              <w:widowControl/>
              <w:jc w:val="center"/>
              <w:rPr>
                <w:rFonts w:ascii="宋体" w:hAnsi="宋体"/>
                <w:color w:val="auto"/>
                <w:kern w:val="0"/>
              </w:rPr>
            </w:pPr>
            <w:r>
              <w:rPr>
                <w:rFonts w:hint="eastAsia" w:ascii="宋体" w:hAnsi="宋体"/>
                <w:color w:val="auto"/>
                <w:kern w:val="0"/>
              </w:rPr>
              <w:t>782</w:t>
            </w:r>
          </w:p>
        </w:tc>
        <w:tc>
          <w:tcPr>
            <w:tcW w:w="967" w:type="pct"/>
            <w:noWrap/>
            <w:vAlign w:val="center"/>
          </w:tcPr>
          <w:p w14:paraId="38FE9219">
            <w:pPr>
              <w:widowControl/>
              <w:jc w:val="center"/>
              <w:rPr>
                <w:rFonts w:ascii="宋体" w:hAnsi="宋体"/>
                <w:color w:val="auto"/>
                <w:kern w:val="0"/>
              </w:rPr>
            </w:pPr>
            <w:r>
              <w:rPr>
                <w:rFonts w:hint="eastAsia" w:ascii="宋体" w:hAnsi="宋体"/>
                <w:color w:val="auto"/>
                <w:kern w:val="0"/>
              </w:rPr>
              <w:t>NW</w:t>
            </w:r>
          </w:p>
        </w:tc>
      </w:tr>
      <w:tr w14:paraId="22538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5311B2A8">
            <w:pPr>
              <w:pStyle w:val="76"/>
              <w:rPr>
                <w:color w:val="auto"/>
              </w:rPr>
            </w:pPr>
          </w:p>
        </w:tc>
        <w:tc>
          <w:tcPr>
            <w:tcW w:w="606" w:type="pct"/>
            <w:noWrap/>
            <w:vAlign w:val="center"/>
          </w:tcPr>
          <w:p w14:paraId="2D0BA639">
            <w:pPr>
              <w:widowControl/>
              <w:jc w:val="center"/>
              <w:rPr>
                <w:rFonts w:ascii="宋体" w:hAnsi="宋体"/>
                <w:color w:val="auto"/>
                <w:kern w:val="0"/>
              </w:rPr>
            </w:pPr>
            <w:r>
              <w:rPr>
                <w:rFonts w:hint="eastAsia" w:ascii="宋体" w:hAnsi="宋体"/>
                <w:color w:val="auto"/>
                <w:kern w:val="0"/>
              </w:rPr>
              <w:t>赵店村</w:t>
            </w:r>
          </w:p>
        </w:tc>
        <w:tc>
          <w:tcPr>
            <w:tcW w:w="485" w:type="pct"/>
            <w:vAlign w:val="center"/>
          </w:tcPr>
          <w:p w14:paraId="4D71A0FA">
            <w:pPr>
              <w:widowControl/>
              <w:jc w:val="center"/>
              <w:rPr>
                <w:rFonts w:ascii="宋体" w:hAnsi="宋体"/>
                <w:color w:val="auto"/>
                <w:kern w:val="0"/>
              </w:rPr>
            </w:pPr>
            <w:r>
              <w:rPr>
                <w:rFonts w:hint="eastAsia" w:ascii="宋体" w:hAnsi="宋体"/>
                <w:color w:val="auto"/>
                <w:kern w:val="0"/>
              </w:rPr>
              <w:t>487</w:t>
            </w:r>
          </w:p>
        </w:tc>
        <w:tc>
          <w:tcPr>
            <w:tcW w:w="330" w:type="pct"/>
            <w:vMerge w:val="continue"/>
            <w:vAlign w:val="center"/>
          </w:tcPr>
          <w:p w14:paraId="356E18FB">
            <w:pPr>
              <w:widowControl/>
              <w:jc w:val="center"/>
              <w:rPr>
                <w:rFonts w:ascii="宋体" w:hAnsi="宋体"/>
                <w:color w:val="auto"/>
                <w:kern w:val="0"/>
              </w:rPr>
            </w:pPr>
          </w:p>
        </w:tc>
        <w:tc>
          <w:tcPr>
            <w:tcW w:w="1040" w:type="pct"/>
          </w:tcPr>
          <w:p w14:paraId="1E317E3E">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noWrap/>
            <w:vAlign w:val="center"/>
          </w:tcPr>
          <w:p w14:paraId="71957406">
            <w:pPr>
              <w:widowControl/>
              <w:jc w:val="center"/>
              <w:rPr>
                <w:rFonts w:ascii="宋体" w:hAnsi="宋体"/>
                <w:color w:val="auto"/>
                <w:kern w:val="0"/>
              </w:rPr>
            </w:pPr>
            <w:r>
              <w:rPr>
                <w:rFonts w:hint="eastAsia" w:ascii="宋体" w:hAnsi="宋体"/>
                <w:color w:val="auto"/>
                <w:kern w:val="0"/>
              </w:rPr>
              <w:t>783</w:t>
            </w:r>
          </w:p>
        </w:tc>
        <w:tc>
          <w:tcPr>
            <w:tcW w:w="967" w:type="pct"/>
            <w:noWrap/>
            <w:vAlign w:val="center"/>
          </w:tcPr>
          <w:p w14:paraId="31B029E5">
            <w:pPr>
              <w:widowControl/>
              <w:jc w:val="center"/>
              <w:rPr>
                <w:rFonts w:ascii="宋体" w:hAnsi="宋体"/>
                <w:color w:val="auto"/>
                <w:kern w:val="0"/>
              </w:rPr>
            </w:pPr>
            <w:r>
              <w:rPr>
                <w:rFonts w:hint="eastAsia" w:ascii="宋体" w:hAnsi="宋体"/>
                <w:color w:val="auto"/>
                <w:kern w:val="0"/>
              </w:rPr>
              <w:t>NE</w:t>
            </w:r>
          </w:p>
        </w:tc>
      </w:tr>
      <w:tr w14:paraId="59EE2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6FA3CF93">
            <w:pPr>
              <w:pStyle w:val="76"/>
              <w:rPr>
                <w:color w:val="auto"/>
              </w:rPr>
            </w:pPr>
          </w:p>
        </w:tc>
        <w:tc>
          <w:tcPr>
            <w:tcW w:w="606" w:type="pct"/>
            <w:noWrap/>
            <w:vAlign w:val="center"/>
          </w:tcPr>
          <w:p w14:paraId="47E8D293">
            <w:pPr>
              <w:widowControl/>
              <w:jc w:val="center"/>
              <w:rPr>
                <w:rFonts w:ascii="宋体" w:hAnsi="宋体"/>
                <w:color w:val="auto"/>
                <w:kern w:val="0"/>
              </w:rPr>
            </w:pPr>
            <w:r>
              <w:rPr>
                <w:rFonts w:hint="eastAsia" w:ascii="宋体" w:hAnsi="宋体"/>
                <w:color w:val="auto"/>
                <w:kern w:val="0"/>
              </w:rPr>
              <w:t>崔家村</w:t>
            </w:r>
          </w:p>
        </w:tc>
        <w:tc>
          <w:tcPr>
            <w:tcW w:w="485" w:type="pct"/>
            <w:vAlign w:val="center"/>
          </w:tcPr>
          <w:p w14:paraId="754864DA">
            <w:pPr>
              <w:widowControl/>
              <w:jc w:val="center"/>
              <w:rPr>
                <w:rFonts w:ascii="宋体" w:hAnsi="宋体"/>
                <w:color w:val="auto"/>
                <w:kern w:val="0"/>
              </w:rPr>
            </w:pPr>
            <w:r>
              <w:rPr>
                <w:rFonts w:hint="eastAsia" w:ascii="宋体" w:hAnsi="宋体"/>
                <w:color w:val="auto"/>
                <w:kern w:val="0"/>
              </w:rPr>
              <w:t>410</w:t>
            </w:r>
          </w:p>
        </w:tc>
        <w:tc>
          <w:tcPr>
            <w:tcW w:w="330" w:type="pct"/>
            <w:vMerge w:val="continue"/>
            <w:vAlign w:val="center"/>
          </w:tcPr>
          <w:p w14:paraId="36EA3545">
            <w:pPr>
              <w:widowControl/>
              <w:jc w:val="center"/>
              <w:rPr>
                <w:rFonts w:ascii="宋体" w:hAnsi="宋体"/>
                <w:color w:val="auto"/>
                <w:kern w:val="0"/>
              </w:rPr>
            </w:pPr>
          </w:p>
        </w:tc>
        <w:tc>
          <w:tcPr>
            <w:tcW w:w="1040" w:type="pct"/>
          </w:tcPr>
          <w:p w14:paraId="610733F2">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noWrap/>
            <w:vAlign w:val="center"/>
          </w:tcPr>
          <w:p w14:paraId="622AE665">
            <w:pPr>
              <w:widowControl/>
              <w:jc w:val="center"/>
              <w:rPr>
                <w:rFonts w:ascii="宋体" w:hAnsi="宋体"/>
                <w:color w:val="auto"/>
                <w:kern w:val="0"/>
              </w:rPr>
            </w:pPr>
            <w:r>
              <w:rPr>
                <w:rFonts w:hint="eastAsia" w:ascii="宋体" w:hAnsi="宋体"/>
                <w:color w:val="auto"/>
                <w:kern w:val="0"/>
              </w:rPr>
              <w:t>816</w:t>
            </w:r>
          </w:p>
        </w:tc>
        <w:tc>
          <w:tcPr>
            <w:tcW w:w="967" w:type="pct"/>
            <w:noWrap/>
            <w:vAlign w:val="center"/>
          </w:tcPr>
          <w:p w14:paraId="26EF49FE">
            <w:pPr>
              <w:widowControl/>
              <w:jc w:val="center"/>
              <w:rPr>
                <w:rFonts w:ascii="宋体" w:hAnsi="宋体"/>
                <w:color w:val="auto"/>
                <w:kern w:val="0"/>
              </w:rPr>
            </w:pPr>
            <w:r>
              <w:rPr>
                <w:rFonts w:hint="eastAsia" w:ascii="宋体" w:hAnsi="宋体"/>
                <w:color w:val="auto"/>
                <w:kern w:val="0"/>
              </w:rPr>
              <w:t>E</w:t>
            </w:r>
          </w:p>
        </w:tc>
      </w:tr>
      <w:tr w14:paraId="42331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781A6380">
            <w:pPr>
              <w:pStyle w:val="76"/>
              <w:rPr>
                <w:color w:val="auto"/>
              </w:rPr>
            </w:pPr>
          </w:p>
        </w:tc>
        <w:tc>
          <w:tcPr>
            <w:tcW w:w="606" w:type="pct"/>
            <w:noWrap/>
            <w:vAlign w:val="center"/>
          </w:tcPr>
          <w:p w14:paraId="4048F166">
            <w:pPr>
              <w:widowControl/>
              <w:jc w:val="center"/>
              <w:rPr>
                <w:rFonts w:ascii="宋体" w:hAnsi="宋体"/>
                <w:color w:val="auto"/>
                <w:kern w:val="0"/>
              </w:rPr>
            </w:pPr>
            <w:r>
              <w:rPr>
                <w:rFonts w:hint="eastAsia" w:ascii="宋体" w:hAnsi="宋体"/>
                <w:color w:val="auto"/>
                <w:kern w:val="0"/>
              </w:rPr>
              <w:t>于张村</w:t>
            </w:r>
          </w:p>
        </w:tc>
        <w:tc>
          <w:tcPr>
            <w:tcW w:w="485" w:type="pct"/>
            <w:vAlign w:val="center"/>
          </w:tcPr>
          <w:p w14:paraId="23DA0D9F">
            <w:pPr>
              <w:widowControl/>
              <w:jc w:val="center"/>
              <w:rPr>
                <w:rFonts w:ascii="宋体" w:hAnsi="宋体"/>
                <w:color w:val="auto"/>
                <w:kern w:val="0"/>
              </w:rPr>
            </w:pPr>
            <w:r>
              <w:rPr>
                <w:rFonts w:hint="eastAsia" w:ascii="宋体" w:hAnsi="宋体"/>
                <w:color w:val="auto"/>
                <w:kern w:val="0"/>
              </w:rPr>
              <w:t>680</w:t>
            </w:r>
          </w:p>
        </w:tc>
        <w:tc>
          <w:tcPr>
            <w:tcW w:w="330" w:type="pct"/>
            <w:vMerge w:val="continue"/>
            <w:vAlign w:val="center"/>
          </w:tcPr>
          <w:p w14:paraId="219F371B">
            <w:pPr>
              <w:widowControl/>
              <w:jc w:val="center"/>
              <w:rPr>
                <w:rFonts w:ascii="宋体" w:hAnsi="宋体"/>
                <w:color w:val="auto"/>
                <w:kern w:val="0"/>
              </w:rPr>
            </w:pPr>
          </w:p>
        </w:tc>
        <w:tc>
          <w:tcPr>
            <w:tcW w:w="1040" w:type="pct"/>
          </w:tcPr>
          <w:p w14:paraId="5C688F88">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noWrap/>
            <w:vAlign w:val="center"/>
          </w:tcPr>
          <w:p w14:paraId="3E4F6B6C">
            <w:pPr>
              <w:widowControl/>
              <w:jc w:val="center"/>
              <w:rPr>
                <w:rFonts w:ascii="宋体" w:hAnsi="宋体"/>
                <w:color w:val="auto"/>
                <w:kern w:val="0"/>
              </w:rPr>
            </w:pPr>
            <w:r>
              <w:rPr>
                <w:rFonts w:hint="eastAsia" w:ascii="宋体" w:hAnsi="宋体"/>
                <w:color w:val="auto"/>
                <w:kern w:val="0"/>
              </w:rPr>
              <w:t>820</w:t>
            </w:r>
          </w:p>
        </w:tc>
        <w:tc>
          <w:tcPr>
            <w:tcW w:w="967" w:type="pct"/>
            <w:noWrap/>
            <w:vAlign w:val="center"/>
          </w:tcPr>
          <w:p w14:paraId="7CD874B1">
            <w:pPr>
              <w:widowControl/>
              <w:jc w:val="center"/>
              <w:rPr>
                <w:rFonts w:ascii="宋体" w:hAnsi="宋体"/>
                <w:color w:val="auto"/>
                <w:kern w:val="0"/>
              </w:rPr>
            </w:pPr>
            <w:r>
              <w:rPr>
                <w:rFonts w:hint="eastAsia" w:ascii="宋体" w:hAnsi="宋体"/>
                <w:color w:val="auto"/>
                <w:kern w:val="0"/>
              </w:rPr>
              <w:t>N</w:t>
            </w:r>
          </w:p>
        </w:tc>
      </w:tr>
      <w:tr w14:paraId="1D313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0F60E752">
            <w:pPr>
              <w:pStyle w:val="76"/>
              <w:rPr>
                <w:color w:val="auto"/>
              </w:rPr>
            </w:pPr>
          </w:p>
        </w:tc>
        <w:tc>
          <w:tcPr>
            <w:tcW w:w="606" w:type="pct"/>
            <w:noWrap/>
            <w:vAlign w:val="center"/>
          </w:tcPr>
          <w:p w14:paraId="509A2DF3">
            <w:pPr>
              <w:widowControl/>
              <w:jc w:val="center"/>
              <w:rPr>
                <w:rFonts w:ascii="宋体" w:hAnsi="宋体"/>
                <w:color w:val="auto"/>
                <w:kern w:val="0"/>
              </w:rPr>
            </w:pPr>
            <w:r>
              <w:rPr>
                <w:rFonts w:hint="eastAsia" w:ascii="宋体" w:hAnsi="宋体"/>
                <w:color w:val="auto"/>
                <w:kern w:val="0"/>
              </w:rPr>
              <w:t>店子村</w:t>
            </w:r>
          </w:p>
        </w:tc>
        <w:tc>
          <w:tcPr>
            <w:tcW w:w="485" w:type="pct"/>
            <w:vAlign w:val="center"/>
          </w:tcPr>
          <w:p w14:paraId="01D5D53F">
            <w:pPr>
              <w:widowControl/>
              <w:jc w:val="center"/>
              <w:rPr>
                <w:rFonts w:ascii="宋体" w:hAnsi="宋体"/>
                <w:color w:val="auto"/>
                <w:kern w:val="0"/>
              </w:rPr>
            </w:pPr>
            <w:r>
              <w:rPr>
                <w:rFonts w:hint="eastAsia" w:ascii="宋体" w:hAnsi="宋体"/>
                <w:color w:val="auto"/>
                <w:kern w:val="0"/>
              </w:rPr>
              <w:t>620</w:t>
            </w:r>
          </w:p>
        </w:tc>
        <w:tc>
          <w:tcPr>
            <w:tcW w:w="330" w:type="pct"/>
            <w:vMerge w:val="continue"/>
            <w:vAlign w:val="center"/>
          </w:tcPr>
          <w:p w14:paraId="02D2C5FB">
            <w:pPr>
              <w:widowControl/>
              <w:jc w:val="center"/>
              <w:rPr>
                <w:rFonts w:ascii="宋体" w:hAnsi="宋体"/>
                <w:color w:val="auto"/>
                <w:kern w:val="0"/>
              </w:rPr>
            </w:pPr>
          </w:p>
        </w:tc>
        <w:tc>
          <w:tcPr>
            <w:tcW w:w="1040" w:type="pct"/>
          </w:tcPr>
          <w:p w14:paraId="51942D2C">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noWrap/>
            <w:vAlign w:val="center"/>
          </w:tcPr>
          <w:p w14:paraId="2C480FF0">
            <w:pPr>
              <w:widowControl/>
              <w:jc w:val="center"/>
              <w:rPr>
                <w:rFonts w:ascii="宋体" w:hAnsi="宋体"/>
                <w:color w:val="auto"/>
                <w:kern w:val="0"/>
              </w:rPr>
            </w:pPr>
            <w:r>
              <w:rPr>
                <w:rFonts w:hint="eastAsia" w:ascii="宋体" w:hAnsi="宋体"/>
                <w:color w:val="auto"/>
                <w:kern w:val="0"/>
              </w:rPr>
              <w:t>835</w:t>
            </w:r>
          </w:p>
        </w:tc>
        <w:tc>
          <w:tcPr>
            <w:tcW w:w="967" w:type="pct"/>
            <w:noWrap/>
            <w:vAlign w:val="center"/>
          </w:tcPr>
          <w:p w14:paraId="3BD44F4D">
            <w:pPr>
              <w:widowControl/>
              <w:jc w:val="center"/>
              <w:rPr>
                <w:rFonts w:ascii="宋体" w:hAnsi="宋体"/>
                <w:color w:val="auto"/>
                <w:kern w:val="0"/>
              </w:rPr>
            </w:pPr>
            <w:r>
              <w:rPr>
                <w:rFonts w:hint="eastAsia" w:ascii="宋体" w:hAnsi="宋体"/>
                <w:color w:val="auto"/>
                <w:kern w:val="0"/>
              </w:rPr>
              <w:t>NW</w:t>
            </w:r>
          </w:p>
        </w:tc>
      </w:tr>
      <w:tr w14:paraId="4DB41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noWrap/>
            <w:vAlign w:val="center"/>
          </w:tcPr>
          <w:p w14:paraId="240182B4">
            <w:pPr>
              <w:pStyle w:val="76"/>
              <w:rPr>
                <w:color w:val="auto"/>
              </w:rPr>
            </w:pPr>
          </w:p>
        </w:tc>
        <w:tc>
          <w:tcPr>
            <w:tcW w:w="606" w:type="pct"/>
            <w:noWrap/>
            <w:vAlign w:val="center"/>
          </w:tcPr>
          <w:p w14:paraId="2DB2359A">
            <w:pPr>
              <w:widowControl/>
              <w:jc w:val="center"/>
              <w:rPr>
                <w:rFonts w:ascii="宋体" w:hAnsi="宋体"/>
                <w:color w:val="auto"/>
                <w:kern w:val="0"/>
              </w:rPr>
            </w:pPr>
            <w:r>
              <w:rPr>
                <w:rFonts w:hint="eastAsia" w:ascii="宋体" w:hAnsi="宋体"/>
                <w:color w:val="auto"/>
                <w:kern w:val="0"/>
              </w:rPr>
              <w:t>西官村</w:t>
            </w:r>
          </w:p>
        </w:tc>
        <w:tc>
          <w:tcPr>
            <w:tcW w:w="485" w:type="pct"/>
            <w:vAlign w:val="center"/>
          </w:tcPr>
          <w:p w14:paraId="6519E559">
            <w:pPr>
              <w:widowControl/>
              <w:jc w:val="center"/>
              <w:rPr>
                <w:rFonts w:ascii="宋体" w:hAnsi="宋体"/>
                <w:color w:val="auto"/>
                <w:kern w:val="0"/>
              </w:rPr>
            </w:pPr>
            <w:r>
              <w:rPr>
                <w:rFonts w:hint="eastAsia" w:ascii="宋体" w:hAnsi="宋体"/>
                <w:color w:val="auto"/>
                <w:kern w:val="0"/>
              </w:rPr>
              <w:t>324</w:t>
            </w:r>
          </w:p>
        </w:tc>
        <w:tc>
          <w:tcPr>
            <w:tcW w:w="330" w:type="pct"/>
            <w:vMerge w:val="continue"/>
            <w:vAlign w:val="center"/>
          </w:tcPr>
          <w:p w14:paraId="5315ABAA">
            <w:pPr>
              <w:widowControl/>
              <w:jc w:val="center"/>
              <w:rPr>
                <w:rFonts w:ascii="宋体" w:hAnsi="宋体"/>
                <w:color w:val="auto"/>
                <w:kern w:val="0"/>
              </w:rPr>
            </w:pPr>
          </w:p>
        </w:tc>
        <w:tc>
          <w:tcPr>
            <w:tcW w:w="1040" w:type="pct"/>
          </w:tcPr>
          <w:p w14:paraId="5728A772">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noWrap/>
            <w:vAlign w:val="center"/>
          </w:tcPr>
          <w:p w14:paraId="65AD7C16">
            <w:pPr>
              <w:widowControl/>
              <w:jc w:val="center"/>
              <w:rPr>
                <w:rFonts w:ascii="宋体" w:hAnsi="宋体"/>
                <w:color w:val="auto"/>
                <w:kern w:val="0"/>
              </w:rPr>
            </w:pPr>
            <w:r>
              <w:rPr>
                <w:rFonts w:hint="eastAsia" w:ascii="宋体" w:hAnsi="宋体"/>
                <w:color w:val="auto"/>
                <w:kern w:val="0"/>
              </w:rPr>
              <w:t>855</w:t>
            </w:r>
          </w:p>
        </w:tc>
        <w:tc>
          <w:tcPr>
            <w:tcW w:w="967" w:type="pct"/>
            <w:noWrap/>
            <w:vAlign w:val="center"/>
          </w:tcPr>
          <w:p w14:paraId="3EAD879A">
            <w:pPr>
              <w:widowControl/>
              <w:jc w:val="center"/>
              <w:rPr>
                <w:rFonts w:ascii="宋体" w:hAnsi="宋体"/>
                <w:color w:val="auto"/>
                <w:kern w:val="0"/>
              </w:rPr>
            </w:pPr>
            <w:r>
              <w:rPr>
                <w:rFonts w:hint="eastAsia" w:ascii="宋体" w:hAnsi="宋体"/>
                <w:color w:val="auto"/>
                <w:kern w:val="0"/>
              </w:rPr>
              <w:t>SW</w:t>
            </w:r>
          </w:p>
        </w:tc>
      </w:tr>
      <w:tr w14:paraId="3136F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3EB7C9D2">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7CC48329">
            <w:pPr>
              <w:widowControl/>
              <w:jc w:val="center"/>
              <w:rPr>
                <w:rFonts w:ascii="宋体" w:hAnsi="宋体"/>
                <w:color w:val="auto"/>
                <w:kern w:val="0"/>
              </w:rPr>
            </w:pPr>
            <w:r>
              <w:rPr>
                <w:rFonts w:hint="eastAsia" w:ascii="宋体" w:hAnsi="宋体"/>
                <w:color w:val="auto"/>
                <w:kern w:val="0"/>
              </w:rPr>
              <w:t>唐坊镇</w:t>
            </w:r>
          </w:p>
        </w:tc>
        <w:tc>
          <w:tcPr>
            <w:tcW w:w="485" w:type="pct"/>
            <w:tcBorders>
              <w:top w:val="single" w:color="auto" w:sz="4" w:space="0"/>
              <w:left w:val="single" w:color="auto" w:sz="4" w:space="0"/>
              <w:bottom w:val="single" w:color="auto" w:sz="4" w:space="0"/>
              <w:right w:val="single" w:color="auto" w:sz="4" w:space="0"/>
            </w:tcBorders>
            <w:vAlign w:val="center"/>
          </w:tcPr>
          <w:p w14:paraId="650B84F2">
            <w:pPr>
              <w:widowControl/>
              <w:jc w:val="center"/>
              <w:rPr>
                <w:rFonts w:ascii="宋体" w:hAnsi="宋体"/>
                <w:color w:val="auto"/>
              </w:rPr>
            </w:pPr>
            <w:r>
              <w:rPr>
                <w:rFonts w:hint="eastAsia" w:ascii="宋体" w:hAnsi="宋体"/>
                <w:color w:val="auto"/>
                <w:kern w:val="0"/>
              </w:rPr>
              <w:t>1580</w:t>
            </w:r>
          </w:p>
        </w:tc>
        <w:tc>
          <w:tcPr>
            <w:tcW w:w="330" w:type="pct"/>
            <w:vMerge w:val="continue"/>
            <w:vAlign w:val="center"/>
          </w:tcPr>
          <w:p w14:paraId="2CF6E452">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24CA5A65">
            <w:pPr>
              <w:jc w:val="center"/>
              <w:rPr>
                <w:rFonts w:ascii="宋体" w:hAnsi="宋体"/>
                <w:color w:val="auto"/>
                <w:kern w:val="0"/>
              </w:rPr>
            </w:pPr>
            <w:r>
              <w:rPr>
                <w:rFonts w:hint="eastAsia" w:ascii="宋体" w:hAnsi="宋体"/>
                <w:color w:val="auto"/>
                <w:kern w:val="0"/>
              </w:rPr>
              <w:t>1</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31067D86">
            <w:pPr>
              <w:jc w:val="center"/>
              <w:rPr>
                <w:rFonts w:ascii="宋体" w:hAnsi="宋体"/>
                <w:color w:val="auto"/>
              </w:rPr>
            </w:pPr>
            <w:r>
              <w:rPr>
                <w:rFonts w:hint="eastAsia" w:ascii="宋体" w:hAnsi="宋体"/>
                <w:color w:val="auto"/>
                <w:kern w:val="0"/>
              </w:rPr>
              <w:t>860</w:t>
            </w:r>
          </w:p>
        </w:tc>
        <w:tc>
          <w:tcPr>
            <w:tcW w:w="967" w:type="pct"/>
            <w:tcBorders>
              <w:top w:val="single" w:color="auto" w:sz="4" w:space="0"/>
              <w:left w:val="single" w:color="auto" w:sz="4" w:space="0"/>
              <w:bottom w:val="single" w:color="auto" w:sz="4" w:space="0"/>
              <w:right w:val="single" w:color="auto" w:sz="4" w:space="0"/>
            </w:tcBorders>
            <w:noWrap/>
            <w:vAlign w:val="center"/>
          </w:tcPr>
          <w:p w14:paraId="16FBC91C">
            <w:pPr>
              <w:widowControl/>
              <w:jc w:val="center"/>
              <w:rPr>
                <w:rFonts w:ascii="宋体" w:hAnsi="宋体"/>
                <w:color w:val="auto"/>
              </w:rPr>
            </w:pPr>
            <w:r>
              <w:rPr>
                <w:rFonts w:hint="eastAsia" w:ascii="宋体" w:hAnsi="宋体"/>
                <w:color w:val="auto"/>
                <w:kern w:val="0"/>
              </w:rPr>
              <w:t>N</w:t>
            </w:r>
          </w:p>
        </w:tc>
      </w:tr>
      <w:tr w14:paraId="65F7F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16A7A726">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32F9730E">
            <w:pPr>
              <w:widowControl/>
              <w:jc w:val="center"/>
              <w:rPr>
                <w:rFonts w:ascii="宋体" w:hAnsi="宋体"/>
                <w:color w:val="auto"/>
                <w:kern w:val="0"/>
              </w:rPr>
            </w:pPr>
            <w:r>
              <w:rPr>
                <w:rFonts w:hint="eastAsia" w:ascii="宋体" w:hAnsi="宋体"/>
                <w:color w:val="auto"/>
                <w:kern w:val="0"/>
              </w:rPr>
              <w:t>李常奇村</w:t>
            </w:r>
          </w:p>
        </w:tc>
        <w:tc>
          <w:tcPr>
            <w:tcW w:w="485" w:type="pct"/>
            <w:tcBorders>
              <w:top w:val="single" w:color="auto" w:sz="4" w:space="0"/>
              <w:left w:val="single" w:color="auto" w:sz="4" w:space="0"/>
              <w:bottom w:val="single" w:color="auto" w:sz="4" w:space="0"/>
              <w:right w:val="single" w:color="auto" w:sz="4" w:space="0"/>
            </w:tcBorders>
            <w:vAlign w:val="center"/>
          </w:tcPr>
          <w:p w14:paraId="321DE0A1">
            <w:pPr>
              <w:widowControl/>
              <w:jc w:val="center"/>
              <w:rPr>
                <w:rFonts w:ascii="宋体" w:hAnsi="宋体"/>
                <w:color w:val="auto"/>
              </w:rPr>
            </w:pPr>
            <w:r>
              <w:rPr>
                <w:rFonts w:hint="eastAsia" w:ascii="宋体" w:hAnsi="宋体"/>
                <w:color w:val="auto"/>
                <w:kern w:val="0"/>
              </w:rPr>
              <w:t>245</w:t>
            </w:r>
          </w:p>
        </w:tc>
        <w:tc>
          <w:tcPr>
            <w:tcW w:w="330" w:type="pct"/>
            <w:vMerge w:val="continue"/>
            <w:vAlign w:val="center"/>
          </w:tcPr>
          <w:p w14:paraId="76E7106F">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1CA85D86">
            <w:pPr>
              <w:jc w:val="center"/>
              <w:rPr>
                <w:rFonts w:ascii="宋体" w:hAnsi="宋体"/>
                <w:color w:val="auto"/>
                <w:kern w:val="0"/>
              </w:rPr>
            </w:pPr>
            <w:r>
              <w:rPr>
                <w:rFonts w:hint="eastAsia" w:ascii="宋体" w:hAnsi="宋体"/>
                <w:color w:val="auto"/>
                <w:kern w:val="0"/>
              </w:rPr>
              <w:t>1</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3BB521F9">
            <w:pPr>
              <w:jc w:val="center"/>
              <w:rPr>
                <w:rFonts w:ascii="宋体" w:hAnsi="宋体"/>
                <w:color w:val="auto"/>
              </w:rPr>
            </w:pPr>
            <w:r>
              <w:rPr>
                <w:rFonts w:hint="eastAsia" w:ascii="宋体" w:hAnsi="宋体"/>
                <w:color w:val="auto"/>
                <w:kern w:val="0"/>
              </w:rPr>
              <w:t>880</w:t>
            </w:r>
          </w:p>
        </w:tc>
        <w:tc>
          <w:tcPr>
            <w:tcW w:w="967" w:type="pct"/>
            <w:tcBorders>
              <w:top w:val="single" w:color="auto" w:sz="4" w:space="0"/>
              <w:left w:val="single" w:color="auto" w:sz="4" w:space="0"/>
              <w:bottom w:val="single" w:color="auto" w:sz="4" w:space="0"/>
              <w:right w:val="single" w:color="auto" w:sz="4" w:space="0"/>
            </w:tcBorders>
            <w:noWrap/>
            <w:vAlign w:val="center"/>
          </w:tcPr>
          <w:p w14:paraId="70442E26">
            <w:pPr>
              <w:widowControl/>
              <w:jc w:val="center"/>
              <w:rPr>
                <w:rFonts w:ascii="宋体" w:hAnsi="宋体"/>
                <w:color w:val="auto"/>
              </w:rPr>
            </w:pPr>
            <w:r>
              <w:rPr>
                <w:rFonts w:hint="eastAsia" w:ascii="宋体" w:hAnsi="宋体"/>
                <w:color w:val="auto"/>
                <w:kern w:val="0"/>
              </w:rPr>
              <w:t>SW</w:t>
            </w:r>
          </w:p>
        </w:tc>
      </w:tr>
      <w:tr w14:paraId="013F4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689F9FB5">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57FDDE00">
            <w:pPr>
              <w:widowControl/>
              <w:jc w:val="center"/>
              <w:rPr>
                <w:rFonts w:ascii="宋体" w:hAnsi="宋体"/>
                <w:color w:val="auto"/>
                <w:kern w:val="0"/>
              </w:rPr>
            </w:pPr>
            <w:r>
              <w:rPr>
                <w:rFonts w:hint="eastAsia" w:ascii="宋体" w:hAnsi="宋体"/>
                <w:color w:val="auto"/>
                <w:kern w:val="0"/>
              </w:rPr>
              <w:t>西曹村</w:t>
            </w:r>
          </w:p>
        </w:tc>
        <w:tc>
          <w:tcPr>
            <w:tcW w:w="485" w:type="pct"/>
            <w:tcBorders>
              <w:top w:val="single" w:color="auto" w:sz="4" w:space="0"/>
              <w:left w:val="single" w:color="auto" w:sz="4" w:space="0"/>
              <w:bottom w:val="single" w:color="auto" w:sz="4" w:space="0"/>
              <w:right w:val="single" w:color="auto" w:sz="4" w:space="0"/>
            </w:tcBorders>
            <w:vAlign w:val="center"/>
          </w:tcPr>
          <w:p w14:paraId="3037ED56">
            <w:pPr>
              <w:widowControl/>
              <w:jc w:val="center"/>
              <w:rPr>
                <w:rFonts w:ascii="宋体" w:hAnsi="宋体"/>
                <w:color w:val="auto"/>
              </w:rPr>
            </w:pPr>
            <w:r>
              <w:rPr>
                <w:rFonts w:hint="eastAsia" w:ascii="宋体" w:hAnsi="宋体"/>
                <w:color w:val="auto"/>
                <w:kern w:val="0"/>
              </w:rPr>
              <w:t>122</w:t>
            </w:r>
          </w:p>
        </w:tc>
        <w:tc>
          <w:tcPr>
            <w:tcW w:w="330" w:type="pct"/>
            <w:vMerge w:val="continue"/>
            <w:vAlign w:val="center"/>
          </w:tcPr>
          <w:p w14:paraId="41A8ACD8">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0C9F0EDD">
            <w:pPr>
              <w:jc w:val="center"/>
              <w:rPr>
                <w:rFonts w:ascii="宋体" w:hAnsi="宋体"/>
                <w:color w:val="auto"/>
                <w:kern w:val="0"/>
              </w:rPr>
            </w:pPr>
            <w:r>
              <w:rPr>
                <w:rFonts w:hint="eastAsia" w:ascii="宋体" w:hAnsi="宋体"/>
                <w:color w:val="auto"/>
                <w:kern w:val="0"/>
              </w:rPr>
              <w:t>1</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674DDC0E">
            <w:pPr>
              <w:jc w:val="center"/>
              <w:rPr>
                <w:rFonts w:ascii="宋体" w:hAnsi="宋体"/>
                <w:color w:val="auto"/>
              </w:rPr>
            </w:pPr>
            <w:r>
              <w:rPr>
                <w:rFonts w:hint="eastAsia" w:ascii="宋体" w:hAnsi="宋体"/>
                <w:color w:val="auto"/>
                <w:kern w:val="0"/>
              </w:rPr>
              <w:t>890</w:t>
            </w:r>
          </w:p>
        </w:tc>
        <w:tc>
          <w:tcPr>
            <w:tcW w:w="967" w:type="pct"/>
            <w:tcBorders>
              <w:top w:val="single" w:color="auto" w:sz="4" w:space="0"/>
              <w:left w:val="single" w:color="auto" w:sz="4" w:space="0"/>
              <w:bottom w:val="single" w:color="auto" w:sz="4" w:space="0"/>
              <w:right w:val="single" w:color="auto" w:sz="4" w:space="0"/>
            </w:tcBorders>
            <w:noWrap/>
            <w:vAlign w:val="center"/>
          </w:tcPr>
          <w:p w14:paraId="5D31553A">
            <w:pPr>
              <w:widowControl/>
              <w:jc w:val="center"/>
              <w:rPr>
                <w:rFonts w:ascii="宋体" w:hAnsi="宋体"/>
                <w:color w:val="auto"/>
              </w:rPr>
            </w:pPr>
            <w:r>
              <w:rPr>
                <w:rFonts w:hint="eastAsia" w:ascii="宋体" w:hAnsi="宋体"/>
                <w:color w:val="auto"/>
                <w:kern w:val="0"/>
              </w:rPr>
              <w:t>W</w:t>
            </w:r>
          </w:p>
        </w:tc>
      </w:tr>
      <w:tr w14:paraId="3F7F3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52440431">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402F4549">
            <w:pPr>
              <w:widowControl/>
              <w:jc w:val="center"/>
              <w:rPr>
                <w:rFonts w:ascii="宋体" w:hAnsi="宋体"/>
                <w:color w:val="auto"/>
                <w:kern w:val="0"/>
              </w:rPr>
            </w:pPr>
            <w:r>
              <w:rPr>
                <w:rFonts w:hint="eastAsia" w:ascii="宋体" w:hAnsi="宋体"/>
                <w:color w:val="auto"/>
                <w:kern w:val="0"/>
              </w:rPr>
              <w:t>三合店村</w:t>
            </w:r>
          </w:p>
        </w:tc>
        <w:tc>
          <w:tcPr>
            <w:tcW w:w="485" w:type="pct"/>
            <w:tcBorders>
              <w:top w:val="single" w:color="auto" w:sz="4" w:space="0"/>
              <w:left w:val="single" w:color="auto" w:sz="4" w:space="0"/>
              <w:bottom w:val="single" w:color="auto" w:sz="4" w:space="0"/>
              <w:right w:val="single" w:color="auto" w:sz="4" w:space="0"/>
            </w:tcBorders>
            <w:vAlign w:val="center"/>
          </w:tcPr>
          <w:p w14:paraId="38FA7979">
            <w:pPr>
              <w:widowControl/>
              <w:jc w:val="center"/>
              <w:rPr>
                <w:rFonts w:ascii="宋体" w:hAnsi="宋体"/>
                <w:color w:val="auto"/>
              </w:rPr>
            </w:pPr>
            <w:r>
              <w:rPr>
                <w:rFonts w:hint="eastAsia" w:ascii="宋体" w:hAnsi="宋体"/>
                <w:color w:val="auto"/>
                <w:kern w:val="0"/>
              </w:rPr>
              <w:t>498</w:t>
            </w:r>
          </w:p>
        </w:tc>
        <w:tc>
          <w:tcPr>
            <w:tcW w:w="330" w:type="pct"/>
            <w:vMerge w:val="continue"/>
            <w:vAlign w:val="center"/>
          </w:tcPr>
          <w:p w14:paraId="2FAA262B">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2FC1BA45">
            <w:pPr>
              <w:jc w:val="center"/>
              <w:rPr>
                <w:rFonts w:ascii="宋体" w:hAnsi="宋体"/>
                <w:color w:val="auto"/>
                <w:kern w:val="0"/>
              </w:rPr>
            </w:pPr>
            <w:r>
              <w:rPr>
                <w:rFonts w:hint="eastAsia" w:ascii="宋体" w:hAnsi="宋体"/>
                <w:color w:val="auto"/>
                <w:kern w:val="0"/>
              </w:rPr>
              <w:t>1</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0A04B9E7">
            <w:pPr>
              <w:jc w:val="center"/>
              <w:rPr>
                <w:rFonts w:ascii="宋体" w:hAnsi="宋体"/>
                <w:color w:val="auto"/>
              </w:rPr>
            </w:pPr>
            <w:r>
              <w:rPr>
                <w:rFonts w:hint="eastAsia" w:ascii="宋体" w:hAnsi="宋体"/>
                <w:color w:val="auto"/>
                <w:kern w:val="0"/>
              </w:rPr>
              <w:t>904</w:t>
            </w:r>
          </w:p>
        </w:tc>
        <w:tc>
          <w:tcPr>
            <w:tcW w:w="967" w:type="pct"/>
            <w:tcBorders>
              <w:top w:val="single" w:color="auto" w:sz="4" w:space="0"/>
              <w:left w:val="single" w:color="auto" w:sz="4" w:space="0"/>
              <w:bottom w:val="single" w:color="auto" w:sz="4" w:space="0"/>
              <w:right w:val="single" w:color="auto" w:sz="4" w:space="0"/>
            </w:tcBorders>
            <w:noWrap/>
            <w:vAlign w:val="center"/>
          </w:tcPr>
          <w:p w14:paraId="06EF99ED">
            <w:pPr>
              <w:widowControl/>
              <w:jc w:val="center"/>
              <w:rPr>
                <w:rFonts w:ascii="宋体" w:hAnsi="宋体"/>
                <w:color w:val="auto"/>
              </w:rPr>
            </w:pPr>
            <w:r>
              <w:rPr>
                <w:rFonts w:hint="eastAsia" w:ascii="宋体" w:hAnsi="宋体"/>
                <w:color w:val="auto"/>
                <w:kern w:val="0"/>
              </w:rPr>
              <w:t>W</w:t>
            </w:r>
          </w:p>
        </w:tc>
      </w:tr>
      <w:tr w14:paraId="31537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5B75078F">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3B7457AD">
            <w:pPr>
              <w:widowControl/>
              <w:jc w:val="center"/>
              <w:rPr>
                <w:rFonts w:ascii="宋体" w:hAnsi="宋体"/>
                <w:color w:val="auto"/>
                <w:kern w:val="0"/>
              </w:rPr>
            </w:pPr>
            <w:r>
              <w:rPr>
                <w:rFonts w:hint="eastAsia" w:ascii="宋体" w:hAnsi="宋体"/>
                <w:color w:val="auto"/>
                <w:kern w:val="0"/>
              </w:rPr>
              <w:t>梁孙村</w:t>
            </w:r>
          </w:p>
        </w:tc>
        <w:tc>
          <w:tcPr>
            <w:tcW w:w="485" w:type="pct"/>
            <w:tcBorders>
              <w:top w:val="single" w:color="auto" w:sz="4" w:space="0"/>
              <w:left w:val="single" w:color="auto" w:sz="4" w:space="0"/>
              <w:bottom w:val="single" w:color="auto" w:sz="4" w:space="0"/>
              <w:right w:val="single" w:color="auto" w:sz="4" w:space="0"/>
            </w:tcBorders>
            <w:vAlign w:val="center"/>
          </w:tcPr>
          <w:p w14:paraId="4C2F2D7F">
            <w:pPr>
              <w:widowControl/>
              <w:jc w:val="center"/>
              <w:rPr>
                <w:rFonts w:ascii="宋体" w:hAnsi="宋体"/>
                <w:color w:val="auto"/>
              </w:rPr>
            </w:pPr>
            <w:r>
              <w:rPr>
                <w:rFonts w:hint="eastAsia" w:ascii="宋体" w:hAnsi="宋体"/>
                <w:color w:val="auto"/>
                <w:kern w:val="0"/>
              </w:rPr>
              <w:t>358</w:t>
            </w:r>
          </w:p>
        </w:tc>
        <w:tc>
          <w:tcPr>
            <w:tcW w:w="330" w:type="pct"/>
            <w:vMerge w:val="continue"/>
            <w:vAlign w:val="center"/>
          </w:tcPr>
          <w:p w14:paraId="05EB7CDC">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5A77670C">
            <w:pPr>
              <w:jc w:val="center"/>
              <w:rPr>
                <w:rFonts w:ascii="宋体" w:hAnsi="宋体"/>
                <w:color w:val="auto"/>
                <w:kern w:val="0"/>
              </w:rPr>
            </w:pPr>
            <w:r>
              <w:rPr>
                <w:rFonts w:hint="eastAsia" w:ascii="宋体" w:hAnsi="宋体"/>
                <w:color w:val="auto"/>
                <w:kern w:val="0"/>
              </w:rPr>
              <w:t>1</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2954C39E">
            <w:pPr>
              <w:jc w:val="center"/>
              <w:rPr>
                <w:rFonts w:ascii="宋体" w:hAnsi="宋体"/>
                <w:color w:val="auto"/>
              </w:rPr>
            </w:pPr>
            <w:r>
              <w:rPr>
                <w:rFonts w:hint="eastAsia" w:ascii="宋体" w:hAnsi="宋体"/>
                <w:color w:val="auto"/>
                <w:kern w:val="0"/>
              </w:rPr>
              <w:t>926</w:t>
            </w:r>
          </w:p>
        </w:tc>
        <w:tc>
          <w:tcPr>
            <w:tcW w:w="967" w:type="pct"/>
            <w:tcBorders>
              <w:top w:val="single" w:color="auto" w:sz="4" w:space="0"/>
              <w:left w:val="single" w:color="auto" w:sz="4" w:space="0"/>
              <w:bottom w:val="single" w:color="auto" w:sz="4" w:space="0"/>
              <w:right w:val="single" w:color="auto" w:sz="4" w:space="0"/>
            </w:tcBorders>
            <w:noWrap/>
            <w:vAlign w:val="center"/>
          </w:tcPr>
          <w:p w14:paraId="58BEF4CE">
            <w:pPr>
              <w:widowControl/>
              <w:jc w:val="center"/>
              <w:rPr>
                <w:rFonts w:ascii="宋体" w:hAnsi="宋体"/>
                <w:color w:val="auto"/>
              </w:rPr>
            </w:pPr>
            <w:r>
              <w:rPr>
                <w:rFonts w:hint="eastAsia" w:ascii="宋体" w:hAnsi="宋体"/>
                <w:color w:val="auto"/>
                <w:kern w:val="0"/>
              </w:rPr>
              <w:t>SE</w:t>
            </w:r>
          </w:p>
        </w:tc>
      </w:tr>
      <w:tr w14:paraId="68324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6E83C794">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26840A48">
            <w:pPr>
              <w:widowControl/>
              <w:jc w:val="center"/>
              <w:rPr>
                <w:rFonts w:ascii="宋体" w:hAnsi="宋体"/>
                <w:color w:val="auto"/>
                <w:kern w:val="0"/>
              </w:rPr>
            </w:pPr>
            <w:r>
              <w:rPr>
                <w:rFonts w:hint="eastAsia" w:ascii="宋体" w:hAnsi="宋体"/>
                <w:color w:val="auto"/>
                <w:kern w:val="0"/>
              </w:rPr>
              <w:t>史家村</w:t>
            </w:r>
          </w:p>
        </w:tc>
        <w:tc>
          <w:tcPr>
            <w:tcW w:w="485" w:type="pct"/>
            <w:tcBorders>
              <w:top w:val="single" w:color="auto" w:sz="4" w:space="0"/>
              <w:left w:val="single" w:color="auto" w:sz="4" w:space="0"/>
              <w:bottom w:val="single" w:color="auto" w:sz="4" w:space="0"/>
              <w:right w:val="single" w:color="auto" w:sz="4" w:space="0"/>
            </w:tcBorders>
            <w:vAlign w:val="center"/>
          </w:tcPr>
          <w:p w14:paraId="4773ACFC">
            <w:pPr>
              <w:widowControl/>
              <w:jc w:val="center"/>
              <w:rPr>
                <w:rFonts w:ascii="宋体" w:hAnsi="宋体"/>
                <w:color w:val="auto"/>
              </w:rPr>
            </w:pPr>
            <w:r>
              <w:rPr>
                <w:rFonts w:hint="eastAsia" w:ascii="宋体" w:hAnsi="宋体"/>
                <w:color w:val="auto"/>
                <w:kern w:val="0"/>
              </w:rPr>
              <w:t>232</w:t>
            </w:r>
          </w:p>
        </w:tc>
        <w:tc>
          <w:tcPr>
            <w:tcW w:w="330" w:type="pct"/>
            <w:vMerge w:val="continue"/>
            <w:vAlign w:val="center"/>
          </w:tcPr>
          <w:p w14:paraId="45773BE5">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790140EC">
            <w:pPr>
              <w:jc w:val="center"/>
              <w:rPr>
                <w:rFonts w:ascii="宋体" w:hAnsi="宋体"/>
                <w:color w:val="auto"/>
                <w:kern w:val="0"/>
              </w:rPr>
            </w:pPr>
            <w:r>
              <w:rPr>
                <w:rFonts w:hint="eastAsia" w:ascii="宋体" w:hAnsi="宋体"/>
                <w:color w:val="auto"/>
                <w:kern w:val="0"/>
              </w:rPr>
              <w:t>1</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22CEFBCB">
            <w:pPr>
              <w:jc w:val="center"/>
              <w:rPr>
                <w:rFonts w:ascii="宋体" w:hAnsi="宋体"/>
                <w:color w:val="auto"/>
              </w:rPr>
            </w:pPr>
            <w:r>
              <w:rPr>
                <w:rFonts w:hint="eastAsia" w:ascii="宋体" w:hAnsi="宋体"/>
                <w:color w:val="auto"/>
                <w:kern w:val="0"/>
              </w:rPr>
              <w:t>932</w:t>
            </w:r>
          </w:p>
        </w:tc>
        <w:tc>
          <w:tcPr>
            <w:tcW w:w="967" w:type="pct"/>
            <w:tcBorders>
              <w:top w:val="single" w:color="auto" w:sz="4" w:space="0"/>
              <w:left w:val="single" w:color="auto" w:sz="4" w:space="0"/>
              <w:bottom w:val="single" w:color="auto" w:sz="4" w:space="0"/>
              <w:right w:val="single" w:color="auto" w:sz="4" w:space="0"/>
            </w:tcBorders>
            <w:noWrap/>
            <w:vAlign w:val="center"/>
          </w:tcPr>
          <w:p w14:paraId="19C0092A">
            <w:pPr>
              <w:widowControl/>
              <w:jc w:val="center"/>
              <w:rPr>
                <w:rFonts w:ascii="宋体" w:hAnsi="宋体"/>
                <w:color w:val="auto"/>
              </w:rPr>
            </w:pPr>
            <w:r>
              <w:rPr>
                <w:rFonts w:hint="eastAsia" w:ascii="宋体" w:hAnsi="宋体"/>
                <w:color w:val="auto"/>
                <w:kern w:val="0"/>
              </w:rPr>
              <w:t>W</w:t>
            </w:r>
          </w:p>
        </w:tc>
      </w:tr>
      <w:tr w14:paraId="39459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50C15EE5">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37BC76A1">
            <w:pPr>
              <w:widowControl/>
              <w:jc w:val="center"/>
              <w:rPr>
                <w:rFonts w:ascii="宋体" w:hAnsi="宋体"/>
                <w:color w:val="auto"/>
                <w:kern w:val="0"/>
              </w:rPr>
            </w:pPr>
            <w:r>
              <w:rPr>
                <w:rFonts w:hint="eastAsia" w:ascii="宋体" w:hAnsi="宋体"/>
                <w:color w:val="auto"/>
                <w:kern w:val="0"/>
              </w:rPr>
              <w:t>吴家村</w:t>
            </w:r>
          </w:p>
        </w:tc>
        <w:tc>
          <w:tcPr>
            <w:tcW w:w="485" w:type="pct"/>
            <w:tcBorders>
              <w:top w:val="single" w:color="auto" w:sz="4" w:space="0"/>
              <w:left w:val="single" w:color="auto" w:sz="4" w:space="0"/>
              <w:bottom w:val="single" w:color="auto" w:sz="4" w:space="0"/>
              <w:right w:val="single" w:color="auto" w:sz="4" w:space="0"/>
            </w:tcBorders>
            <w:vAlign w:val="center"/>
          </w:tcPr>
          <w:p w14:paraId="7D6D2DE4">
            <w:pPr>
              <w:widowControl/>
              <w:jc w:val="center"/>
              <w:rPr>
                <w:rFonts w:ascii="宋体" w:hAnsi="宋体"/>
                <w:color w:val="auto"/>
              </w:rPr>
            </w:pPr>
            <w:r>
              <w:rPr>
                <w:rFonts w:hint="eastAsia" w:ascii="宋体" w:hAnsi="宋体"/>
                <w:color w:val="auto"/>
                <w:kern w:val="0"/>
              </w:rPr>
              <w:t>688</w:t>
            </w:r>
          </w:p>
        </w:tc>
        <w:tc>
          <w:tcPr>
            <w:tcW w:w="330" w:type="pct"/>
            <w:vMerge w:val="continue"/>
            <w:vAlign w:val="center"/>
          </w:tcPr>
          <w:p w14:paraId="2D2209F4">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0063FF36">
            <w:pPr>
              <w:jc w:val="center"/>
              <w:rPr>
                <w:rFonts w:ascii="宋体" w:hAnsi="宋体"/>
                <w:color w:val="auto"/>
                <w:kern w:val="0"/>
              </w:rPr>
            </w:pPr>
            <w:r>
              <w:rPr>
                <w:rFonts w:hint="eastAsia" w:ascii="宋体" w:hAnsi="宋体"/>
                <w:color w:val="auto"/>
                <w:kern w:val="0"/>
              </w:rPr>
              <w:t>1</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70D8D128">
            <w:pPr>
              <w:jc w:val="center"/>
              <w:rPr>
                <w:rFonts w:ascii="宋体" w:hAnsi="宋体"/>
                <w:color w:val="auto"/>
              </w:rPr>
            </w:pPr>
            <w:r>
              <w:rPr>
                <w:rFonts w:hint="eastAsia" w:ascii="宋体" w:hAnsi="宋体"/>
                <w:color w:val="auto"/>
                <w:kern w:val="0"/>
              </w:rPr>
              <w:t>958</w:t>
            </w:r>
          </w:p>
        </w:tc>
        <w:tc>
          <w:tcPr>
            <w:tcW w:w="967" w:type="pct"/>
            <w:tcBorders>
              <w:top w:val="single" w:color="auto" w:sz="4" w:space="0"/>
              <w:left w:val="single" w:color="auto" w:sz="4" w:space="0"/>
              <w:bottom w:val="single" w:color="auto" w:sz="4" w:space="0"/>
              <w:right w:val="single" w:color="auto" w:sz="4" w:space="0"/>
            </w:tcBorders>
            <w:noWrap/>
            <w:vAlign w:val="center"/>
          </w:tcPr>
          <w:p w14:paraId="0AE5C99A">
            <w:pPr>
              <w:widowControl/>
              <w:jc w:val="center"/>
              <w:rPr>
                <w:rFonts w:ascii="宋体" w:hAnsi="宋体"/>
                <w:color w:val="auto"/>
              </w:rPr>
            </w:pPr>
            <w:r>
              <w:rPr>
                <w:rFonts w:hint="eastAsia" w:ascii="宋体" w:hAnsi="宋体"/>
                <w:color w:val="auto"/>
                <w:kern w:val="0"/>
              </w:rPr>
              <w:t>S</w:t>
            </w:r>
          </w:p>
        </w:tc>
      </w:tr>
      <w:tr w14:paraId="3D849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18B637E0">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35BA4756">
            <w:pPr>
              <w:widowControl/>
              <w:jc w:val="center"/>
              <w:rPr>
                <w:rFonts w:ascii="宋体" w:hAnsi="宋体"/>
                <w:color w:val="auto"/>
                <w:kern w:val="0"/>
              </w:rPr>
            </w:pPr>
            <w:r>
              <w:rPr>
                <w:rFonts w:hint="eastAsia" w:ascii="宋体" w:hAnsi="宋体"/>
                <w:color w:val="auto"/>
                <w:kern w:val="0"/>
              </w:rPr>
              <w:t>西张庄村</w:t>
            </w:r>
          </w:p>
        </w:tc>
        <w:tc>
          <w:tcPr>
            <w:tcW w:w="485" w:type="pct"/>
            <w:tcBorders>
              <w:top w:val="single" w:color="auto" w:sz="4" w:space="0"/>
              <w:left w:val="single" w:color="auto" w:sz="4" w:space="0"/>
              <w:bottom w:val="single" w:color="auto" w:sz="4" w:space="0"/>
              <w:right w:val="single" w:color="auto" w:sz="4" w:space="0"/>
            </w:tcBorders>
            <w:vAlign w:val="center"/>
          </w:tcPr>
          <w:p w14:paraId="236E5C2F">
            <w:pPr>
              <w:widowControl/>
              <w:jc w:val="center"/>
              <w:rPr>
                <w:rFonts w:ascii="宋体" w:hAnsi="宋体"/>
                <w:color w:val="auto"/>
              </w:rPr>
            </w:pPr>
            <w:r>
              <w:rPr>
                <w:rFonts w:hint="eastAsia" w:ascii="宋体" w:hAnsi="宋体"/>
                <w:color w:val="auto"/>
                <w:kern w:val="0"/>
              </w:rPr>
              <w:t>210</w:t>
            </w:r>
          </w:p>
        </w:tc>
        <w:tc>
          <w:tcPr>
            <w:tcW w:w="330" w:type="pct"/>
            <w:vMerge w:val="continue"/>
            <w:vAlign w:val="center"/>
          </w:tcPr>
          <w:p w14:paraId="14FC422F">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50E776A2">
            <w:pPr>
              <w:jc w:val="center"/>
              <w:rPr>
                <w:rFonts w:ascii="宋体" w:hAnsi="宋体"/>
                <w:color w:val="auto"/>
                <w:kern w:val="0"/>
              </w:rPr>
            </w:pPr>
            <w:r>
              <w:rPr>
                <w:rFonts w:hint="eastAsia" w:ascii="宋体" w:hAnsi="宋体"/>
                <w:color w:val="auto"/>
                <w:kern w:val="0"/>
              </w:rPr>
              <w:t>1</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45FA8BDB">
            <w:pPr>
              <w:jc w:val="center"/>
              <w:rPr>
                <w:rFonts w:ascii="宋体" w:hAnsi="宋体"/>
                <w:color w:val="auto"/>
              </w:rPr>
            </w:pPr>
            <w:r>
              <w:rPr>
                <w:rFonts w:hint="eastAsia" w:ascii="宋体" w:hAnsi="宋体"/>
                <w:color w:val="auto"/>
                <w:kern w:val="0"/>
              </w:rPr>
              <w:t>976</w:t>
            </w:r>
          </w:p>
        </w:tc>
        <w:tc>
          <w:tcPr>
            <w:tcW w:w="967" w:type="pct"/>
            <w:tcBorders>
              <w:top w:val="single" w:color="auto" w:sz="4" w:space="0"/>
              <w:left w:val="single" w:color="auto" w:sz="4" w:space="0"/>
              <w:bottom w:val="single" w:color="auto" w:sz="4" w:space="0"/>
              <w:right w:val="single" w:color="auto" w:sz="4" w:space="0"/>
            </w:tcBorders>
            <w:noWrap/>
            <w:vAlign w:val="center"/>
          </w:tcPr>
          <w:p w14:paraId="47908E29">
            <w:pPr>
              <w:widowControl/>
              <w:jc w:val="center"/>
              <w:rPr>
                <w:rFonts w:ascii="宋体" w:hAnsi="宋体"/>
                <w:color w:val="auto"/>
              </w:rPr>
            </w:pPr>
            <w:r>
              <w:rPr>
                <w:rFonts w:hint="eastAsia" w:ascii="宋体" w:hAnsi="宋体"/>
                <w:color w:val="auto"/>
                <w:kern w:val="0"/>
              </w:rPr>
              <w:t>SE</w:t>
            </w:r>
          </w:p>
        </w:tc>
      </w:tr>
      <w:tr w14:paraId="714ED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6403909B">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576B396A">
            <w:pPr>
              <w:widowControl/>
              <w:jc w:val="center"/>
              <w:rPr>
                <w:rFonts w:ascii="宋体" w:hAnsi="宋体"/>
                <w:color w:val="auto"/>
                <w:kern w:val="0"/>
              </w:rPr>
            </w:pPr>
            <w:r>
              <w:rPr>
                <w:rFonts w:hint="eastAsia" w:ascii="宋体" w:hAnsi="宋体"/>
                <w:color w:val="auto"/>
                <w:kern w:val="0"/>
              </w:rPr>
              <w:t>彭家沟村</w:t>
            </w:r>
          </w:p>
        </w:tc>
        <w:tc>
          <w:tcPr>
            <w:tcW w:w="485" w:type="pct"/>
            <w:tcBorders>
              <w:top w:val="single" w:color="auto" w:sz="4" w:space="0"/>
              <w:left w:val="single" w:color="auto" w:sz="4" w:space="0"/>
              <w:bottom w:val="single" w:color="auto" w:sz="4" w:space="0"/>
              <w:right w:val="single" w:color="auto" w:sz="4" w:space="0"/>
            </w:tcBorders>
            <w:vAlign w:val="center"/>
          </w:tcPr>
          <w:p w14:paraId="6A81F77F">
            <w:pPr>
              <w:widowControl/>
              <w:jc w:val="center"/>
              <w:rPr>
                <w:rFonts w:ascii="宋体" w:hAnsi="宋体"/>
                <w:color w:val="auto"/>
              </w:rPr>
            </w:pPr>
            <w:r>
              <w:rPr>
                <w:rFonts w:hint="eastAsia" w:ascii="宋体" w:hAnsi="宋体"/>
                <w:color w:val="auto"/>
                <w:kern w:val="0"/>
              </w:rPr>
              <w:t>78</w:t>
            </w:r>
          </w:p>
        </w:tc>
        <w:tc>
          <w:tcPr>
            <w:tcW w:w="330" w:type="pct"/>
            <w:vMerge w:val="continue"/>
            <w:vAlign w:val="center"/>
          </w:tcPr>
          <w:p w14:paraId="4FD18D65">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2D68E2EB">
            <w:pPr>
              <w:jc w:val="center"/>
              <w:rPr>
                <w:rFonts w:ascii="宋体" w:hAnsi="宋体"/>
                <w:color w:val="auto"/>
                <w:kern w:val="0"/>
              </w:rPr>
            </w:pPr>
            <w:r>
              <w:rPr>
                <w:rFonts w:hint="eastAsia" w:ascii="宋体" w:hAnsi="宋体"/>
                <w:color w:val="auto"/>
                <w:kern w:val="0"/>
              </w:rPr>
              <w:t>3</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428F10BE">
            <w:pPr>
              <w:jc w:val="center"/>
              <w:rPr>
                <w:rFonts w:ascii="宋体" w:hAnsi="宋体"/>
                <w:color w:val="auto"/>
              </w:rPr>
            </w:pPr>
            <w:r>
              <w:rPr>
                <w:rFonts w:hint="eastAsia" w:ascii="宋体" w:hAnsi="宋体"/>
                <w:color w:val="auto"/>
                <w:kern w:val="0"/>
              </w:rPr>
              <w:t>979</w:t>
            </w:r>
          </w:p>
        </w:tc>
        <w:tc>
          <w:tcPr>
            <w:tcW w:w="967" w:type="pct"/>
            <w:tcBorders>
              <w:top w:val="single" w:color="auto" w:sz="4" w:space="0"/>
              <w:left w:val="single" w:color="auto" w:sz="4" w:space="0"/>
              <w:bottom w:val="single" w:color="auto" w:sz="4" w:space="0"/>
              <w:right w:val="single" w:color="auto" w:sz="4" w:space="0"/>
            </w:tcBorders>
            <w:noWrap/>
            <w:vAlign w:val="center"/>
          </w:tcPr>
          <w:p w14:paraId="305FBA6A">
            <w:pPr>
              <w:widowControl/>
              <w:jc w:val="center"/>
              <w:rPr>
                <w:rFonts w:ascii="宋体" w:hAnsi="宋体"/>
                <w:color w:val="auto"/>
              </w:rPr>
            </w:pPr>
            <w:r>
              <w:rPr>
                <w:rFonts w:hint="eastAsia" w:ascii="宋体" w:hAnsi="宋体"/>
                <w:color w:val="auto"/>
                <w:kern w:val="0"/>
              </w:rPr>
              <w:t>NW</w:t>
            </w:r>
          </w:p>
        </w:tc>
      </w:tr>
      <w:tr w14:paraId="1F3AD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2A91C0A5">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09B82BA0">
            <w:pPr>
              <w:widowControl/>
              <w:jc w:val="center"/>
              <w:rPr>
                <w:rFonts w:ascii="宋体" w:hAnsi="宋体"/>
                <w:color w:val="auto"/>
                <w:kern w:val="0"/>
              </w:rPr>
            </w:pPr>
            <w:r>
              <w:rPr>
                <w:rFonts w:hint="eastAsia" w:ascii="宋体" w:hAnsi="宋体"/>
                <w:color w:val="auto"/>
                <w:kern w:val="0"/>
              </w:rPr>
              <w:t>朱家村</w:t>
            </w:r>
          </w:p>
        </w:tc>
        <w:tc>
          <w:tcPr>
            <w:tcW w:w="485" w:type="pct"/>
            <w:tcBorders>
              <w:top w:val="single" w:color="auto" w:sz="4" w:space="0"/>
              <w:left w:val="single" w:color="auto" w:sz="4" w:space="0"/>
              <w:bottom w:val="single" w:color="auto" w:sz="4" w:space="0"/>
              <w:right w:val="single" w:color="auto" w:sz="4" w:space="0"/>
            </w:tcBorders>
            <w:vAlign w:val="center"/>
          </w:tcPr>
          <w:p w14:paraId="3001D0BE">
            <w:pPr>
              <w:widowControl/>
              <w:jc w:val="center"/>
              <w:rPr>
                <w:rFonts w:ascii="宋体" w:hAnsi="宋体"/>
                <w:color w:val="auto"/>
              </w:rPr>
            </w:pPr>
            <w:r>
              <w:rPr>
                <w:rFonts w:hint="eastAsia" w:ascii="宋体" w:hAnsi="宋体"/>
                <w:color w:val="auto"/>
                <w:kern w:val="0"/>
              </w:rPr>
              <w:t>840</w:t>
            </w:r>
          </w:p>
        </w:tc>
        <w:tc>
          <w:tcPr>
            <w:tcW w:w="330" w:type="pct"/>
            <w:vMerge w:val="continue"/>
            <w:vAlign w:val="center"/>
          </w:tcPr>
          <w:p w14:paraId="2A759920">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7C06FB7D">
            <w:pPr>
              <w:jc w:val="center"/>
              <w:rPr>
                <w:rFonts w:ascii="宋体" w:hAnsi="宋体"/>
                <w:color w:val="auto"/>
                <w:kern w:val="0"/>
              </w:rPr>
            </w:pPr>
            <w:r>
              <w:rPr>
                <w:rFonts w:hint="eastAsia" w:ascii="宋体" w:hAnsi="宋体"/>
                <w:color w:val="auto"/>
                <w:kern w:val="0"/>
              </w:rPr>
              <w:t>3</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4B2F4A15">
            <w:pPr>
              <w:jc w:val="center"/>
              <w:rPr>
                <w:rFonts w:ascii="宋体" w:hAnsi="宋体"/>
                <w:color w:val="auto"/>
              </w:rPr>
            </w:pPr>
            <w:r>
              <w:rPr>
                <w:rFonts w:hint="eastAsia" w:ascii="宋体" w:hAnsi="宋体"/>
                <w:color w:val="auto"/>
                <w:kern w:val="0"/>
              </w:rPr>
              <w:t>979</w:t>
            </w:r>
          </w:p>
        </w:tc>
        <w:tc>
          <w:tcPr>
            <w:tcW w:w="967" w:type="pct"/>
            <w:tcBorders>
              <w:top w:val="single" w:color="auto" w:sz="4" w:space="0"/>
              <w:left w:val="single" w:color="auto" w:sz="4" w:space="0"/>
              <w:bottom w:val="single" w:color="auto" w:sz="4" w:space="0"/>
              <w:right w:val="single" w:color="auto" w:sz="4" w:space="0"/>
            </w:tcBorders>
            <w:noWrap/>
            <w:vAlign w:val="center"/>
          </w:tcPr>
          <w:p w14:paraId="3DE59F50">
            <w:pPr>
              <w:widowControl/>
              <w:jc w:val="center"/>
              <w:rPr>
                <w:rFonts w:ascii="宋体" w:hAnsi="宋体"/>
                <w:color w:val="auto"/>
              </w:rPr>
            </w:pPr>
            <w:r>
              <w:rPr>
                <w:rFonts w:hint="eastAsia" w:ascii="宋体" w:hAnsi="宋体"/>
                <w:color w:val="auto"/>
                <w:kern w:val="0"/>
              </w:rPr>
              <w:t>N</w:t>
            </w:r>
          </w:p>
        </w:tc>
      </w:tr>
      <w:tr w14:paraId="1F877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2F0748AA">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57CAB824">
            <w:pPr>
              <w:widowControl/>
              <w:jc w:val="center"/>
              <w:rPr>
                <w:rFonts w:ascii="宋体" w:hAnsi="宋体"/>
                <w:color w:val="auto"/>
                <w:kern w:val="0"/>
              </w:rPr>
            </w:pPr>
            <w:r>
              <w:rPr>
                <w:rFonts w:hint="eastAsia" w:ascii="宋体" w:hAnsi="宋体"/>
                <w:color w:val="auto"/>
                <w:kern w:val="0"/>
              </w:rPr>
              <w:t>达磨店村</w:t>
            </w:r>
          </w:p>
        </w:tc>
        <w:tc>
          <w:tcPr>
            <w:tcW w:w="485" w:type="pct"/>
            <w:tcBorders>
              <w:top w:val="single" w:color="auto" w:sz="4" w:space="0"/>
              <w:left w:val="single" w:color="auto" w:sz="4" w:space="0"/>
              <w:bottom w:val="single" w:color="auto" w:sz="4" w:space="0"/>
              <w:right w:val="single" w:color="auto" w:sz="4" w:space="0"/>
            </w:tcBorders>
            <w:vAlign w:val="center"/>
          </w:tcPr>
          <w:p w14:paraId="198CC86C">
            <w:pPr>
              <w:widowControl/>
              <w:jc w:val="center"/>
              <w:rPr>
                <w:rFonts w:ascii="宋体" w:hAnsi="宋体"/>
                <w:color w:val="auto"/>
              </w:rPr>
            </w:pPr>
            <w:r>
              <w:rPr>
                <w:rFonts w:hint="eastAsia" w:ascii="宋体" w:hAnsi="宋体"/>
                <w:color w:val="auto"/>
                <w:kern w:val="0"/>
              </w:rPr>
              <w:t>422</w:t>
            </w:r>
          </w:p>
        </w:tc>
        <w:tc>
          <w:tcPr>
            <w:tcW w:w="330" w:type="pct"/>
            <w:vMerge w:val="continue"/>
            <w:vAlign w:val="center"/>
          </w:tcPr>
          <w:p w14:paraId="75087DD4">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64A81D14">
            <w:pPr>
              <w:jc w:val="center"/>
              <w:rPr>
                <w:rFonts w:ascii="宋体" w:hAnsi="宋体"/>
                <w:color w:val="auto"/>
                <w:kern w:val="0"/>
              </w:rPr>
            </w:pPr>
            <w:r>
              <w:rPr>
                <w:rFonts w:hint="eastAsia" w:ascii="宋体" w:hAnsi="宋体"/>
                <w:color w:val="auto"/>
                <w:kern w:val="0"/>
              </w:rPr>
              <w:t>3</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1D5C81A7">
            <w:pPr>
              <w:jc w:val="center"/>
              <w:rPr>
                <w:rFonts w:ascii="宋体" w:hAnsi="宋体"/>
                <w:color w:val="auto"/>
              </w:rPr>
            </w:pPr>
            <w:r>
              <w:rPr>
                <w:rFonts w:hint="eastAsia" w:ascii="宋体" w:hAnsi="宋体"/>
                <w:color w:val="auto"/>
                <w:kern w:val="0"/>
              </w:rPr>
              <w:t>998</w:t>
            </w:r>
          </w:p>
        </w:tc>
        <w:tc>
          <w:tcPr>
            <w:tcW w:w="967" w:type="pct"/>
            <w:tcBorders>
              <w:top w:val="single" w:color="auto" w:sz="4" w:space="0"/>
              <w:left w:val="single" w:color="auto" w:sz="4" w:space="0"/>
              <w:bottom w:val="single" w:color="auto" w:sz="4" w:space="0"/>
              <w:right w:val="single" w:color="auto" w:sz="4" w:space="0"/>
            </w:tcBorders>
            <w:noWrap/>
            <w:vAlign w:val="center"/>
          </w:tcPr>
          <w:p w14:paraId="7251543B">
            <w:pPr>
              <w:widowControl/>
              <w:jc w:val="center"/>
              <w:rPr>
                <w:rFonts w:ascii="宋体" w:hAnsi="宋体"/>
                <w:color w:val="auto"/>
              </w:rPr>
            </w:pPr>
            <w:r>
              <w:rPr>
                <w:rFonts w:hint="eastAsia" w:ascii="宋体" w:hAnsi="宋体"/>
                <w:color w:val="auto"/>
                <w:kern w:val="0"/>
              </w:rPr>
              <w:t>SW</w:t>
            </w:r>
          </w:p>
        </w:tc>
      </w:tr>
      <w:tr w14:paraId="48A42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50628FBF">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42AE1B2F">
            <w:pPr>
              <w:widowControl/>
              <w:jc w:val="center"/>
              <w:rPr>
                <w:rFonts w:ascii="宋体" w:hAnsi="宋体"/>
                <w:color w:val="auto"/>
                <w:kern w:val="0"/>
              </w:rPr>
            </w:pPr>
            <w:r>
              <w:rPr>
                <w:rFonts w:hint="eastAsia" w:ascii="宋体" w:hAnsi="宋体"/>
                <w:color w:val="auto"/>
                <w:kern w:val="0"/>
              </w:rPr>
              <w:t>朱四皇村</w:t>
            </w:r>
          </w:p>
        </w:tc>
        <w:tc>
          <w:tcPr>
            <w:tcW w:w="485" w:type="pct"/>
            <w:tcBorders>
              <w:top w:val="single" w:color="auto" w:sz="4" w:space="0"/>
              <w:left w:val="single" w:color="auto" w:sz="4" w:space="0"/>
              <w:bottom w:val="single" w:color="auto" w:sz="4" w:space="0"/>
              <w:right w:val="single" w:color="auto" w:sz="4" w:space="0"/>
            </w:tcBorders>
            <w:vAlign w:val="center"/>
          </w:tcPr>
          <w:p w14:paraId="12D74C24">
            <w:pPr>
              <w:widowControl/>
              <w:jc w:val="center"/>
              <w:rPr>
                <w:rFonts w:ascii="宋体" w:hAnsi="宋体"/>
                <w:color w:val="auto"/>
              </w:rPr>
            </w:pPr>
            <w:r>
              <w:rPr>
                <w:rFonts w:hint="eastAsia" w:ascii="宋体" w:hAnsi="宋体"/>
                <w:color w:val="auto"/>
                <w:kern w:val="0"/>
              </w:rPr>
              <w:t>186</w:t>
            </w:r>
          </w:p>
        </w:tc>
        <w:tc>
          <w:tcPr>
            <w:tcW w:w="330" w:type="pct"/>
            <w:vMerge w:val="continue"/>
            <w:vAlign w:val="center"/>
          </w:tcPr>
          <w:p w14:paraId="619EEF00">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3A4A52B3">
            <w:pPr>
              <w:jc w:val="center"/>
              <w:rPr>
                <w:rFonts w:ascii="宋体" w:hAnsi="宋体"/>
                <w:color w:val="auto"/>
                <w:kern w:val="0"/>
              </w:rPr>
            </w:pPr>
            <w:r>
              <w:rPr>
                <w:rFonts w:hint="eastAsia" w:ascii="宋体" w:hAnsi="宋体"/>
                <w:color w:val="auto"/>
                <w:kern w:val="0"/>
              </w:rPr>
              <w:t>3</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3ACDEDC0">
            <w:pPr>
              <w:jc w:val="center"/>
              <w:rPr>
                <w:rFonts w:ascii="宋体" w:hAnsi="宋体"/>
                <w:color w:val="auto"/>
              </w:rPr>
            </w:pPr>
            <w:r>
              <w:rPr>
                <w:rFonts w:hint="eastAsia" w:ascii="宋体" w:hAnsi="宋体"/>
                <w:color w:val="auto"/>
                <w:kern w:val="0"/>
              </w:rPr>
              <w:t>1023</w:t>
            </w:r>
          </w:p>
        </w:tc>
        <w:tc>
          <w:tcPr>
            <w:tcW w:w="967" w:type="pct"/>
            <w:tcBorders>
              <w:top w:val="single" w:color="auto" w:sz="4" w:space="0"/>
              <w:left w:val="single" w:color="auto" w:sz="4" w:space="0"/>
              <w:bottom w:val="single" w:color="auto" w:sz="4" w:space="0"/>
              <w:right w:val="single" w:color="auto" w:sz="4" w:space="0"/>
            </w:tcBorders>
            <w:noWrap/>
            <w:vAlign w:val="center"/>
          </w:tcPr>
          <w:p w14:paraId="6D8513A5">
            <w:pPr>
              <w:widowControl/>
              <w:jc w:val="center"/>
              <w:rPr>
                <w:rFonts w:ascii="宋体" w:hAnsi="宋体"/>
                <w:color w:val="auto"/>
              </w:rPr>
            </w:pPr>
            <w:r>
              <w:rPr>
                <w:rFonts w:hint="eastAsia" w:ascii="宋体" w:hAnsi="宋体"/>
                <w:color w:val="auto"/>
                <w:kern w:val="0"/>
              </w:rPr>
              <w:t>S</w:t>
            </w:r>
          </w:p>
        </w:tc>
      </w:tr>
      <w:tr w14:paraId="3C16F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5CE0587E">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3EB4C139">
            <w:pPr>
              <w:widowControl/>
              <w:jc w:val="center"/>
              <w:rPr>
                <w:rFonts w:ascii="宋体" w:hAnsi="宋体"/>
                <w:color w:val="auto"/>
                <w:kern w:val="0"/>
              </w:rPr>
            </w:pPr>
            <w:r>
              <w:rPr>
                <w:rFonts w:hint="eastAsia" w:ascii="宋体" w:hAnsi="宋体"/>
                <w:color w:val="auto"/>
                <w:kern w:val="0"/>
              </w:rPr>
              <w:t>果园村</w:t>
            </w:r>
          </w:p>
        </w:tc>
        <w:tc>
          <w:tcPr>
            <w:tcW w:w="485" w:type="pct"/>
            <w:tcBorders>
              <w:top w:val="single" w:color="auto" w:sz="4" w:space="0"/>
              <w:left w:val="single" w:color="auto" w:sz="4" w:space="0"/>
              <w:bottom w:val="single" w:color="auto" w:sz="4" w:space="0"/>
              <w:right w:val="single" w:color="auto" w:sz="4" w:space="0"/>
            </w:tcBorders>
            <w:vAlign w:val="center"/>
          </w:tcPr>
          <w:p w14:paraId="5B0879AD">
            <w:pPr>
              <w:widowControl/>
              <w:jc w:val="center"/>
              <w:rPr>
                <w:rFonts w:ascii="宋体" w:hAnsi="宋体"/>
                <w:color w:val="auto"/>
              </w:rPr>
            </w:pPr>
            <w:r>
              <w:rPr>
                <w:rFonts w:hint="eastAsia" w:ascii="宋体" w:hAnsi="宋体"/>
                <w:color w:val="auto"/>
                <w:kern w:val="0"/>
              </w:rPr>
              <w:t>188</w:t>
            </w:r>
          </w:p>
        </w:tc>
        <w:tc>
          <w:tcPr>
            <w:tcW w:w="330" w:type="pct"/>
            <w:vMerge w:val="continue"/>
            <w:vAlign w:val="center"/>
          </w:tcPr>
          <w:p w14:paraId="3A751514">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7D770C0A">
            <w:pPr>
              <w:jc w:val="center"/>
              <w:rPr>
                <w:rFonts w:ascii="宋体" w:hAnsi="宋体"/>
                <w:color w:val="auto"/>
                <w:kern w:val="0"/>
              </w:rPr>
            </w:pPr>
            <w:r>
              <w:rPr>
                <w:rFonts w:hint="eastAsia" w:ascii="宋体" w:hAnsi="宋体"/>
                <w:color w:val="auto"/>
                <w:kern w:val="0"/>
              </w:rPr>
              <w:t>3</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689B4D64">
            <w:pPr>
              <w:jc w:val="center"/>
              <w:rPr>
                <w:rFonts w:ascii="宋体" w:hAnsi="宋体"/>
                <w:color w:val="auto"/>
              </w:rPr>
            </w:pPr>
            <w:r>
              <w:rPr>
                <w:rFonts w:hint="eastAsia" w:ascii="宋体" w:hAnsi="宋体"/>
                <w:color w:val="auto"/>
                <w:kern w:val="0"/>
              </w:rPr>
              <w:t>1046</w:t>
            </w:r>
          </w:p>
        </w:tc>
        <w:tc>
          <w:tcPr>
            <w:tcW w:w="967" w:type="pct"/>
            <w:tcBorders>
              <w:top w:val="single" w:color="auto" w:sz="4" w:space="0"/>
              <w:left w:val="single" w:color="auto" w:sz="4" w:space="0"/>
              <w:bottom w:val="single" w:color="auto" w:sz="4" w:space="0"/>
              <w:right w:val="single" w:color="auto" w:sz="4" w:space="0"/>
            </w:tcBorders>
            <w:noWrap/>
            <w:vAlign w:val="center"/>
          </w:tcPr>
          <w:p w14:paraId="63C4BEA4">
            <w:pPr>
              <w:widowControl/>
              <w:jc w:val="center"/>
              <w:rPr>
                <w:rFonts w:ascii="宋体" w:hAnsi="宋体"/>
                <w:color w:val="auto"/>
              </w:rPr>
            </w:pPr>
            <w:r>
              <w:rPr>
                <w:rFonts w:hint="eastAsia" w:ascii="宋体" w:hAnsi="宋体"/>
                <w:color w:val="auto"/>
                <w:kern w:val="0"/>
              </w:rPr>
              <w:t>NW</w:t>
            </w:r>
          </w:p>
        </w:tc>
      </w:tr>
      <w:tr w14:paraId="191D8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2E8C7A17">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513B4F86">
            <w:pPr>
              <w:widowControl/>
              <w:jc w:val="center"/>
              <w:rPr>
                <w:rFonts w:ascii="宋体" w:hAnsi="宋体"/>
                <w:color w:val="auto"/>
                <w:kern w:val="0"/>
              </w:rPr>
            </w:pPr>
            <w:r>
              <w:rPr>
                <w:rFonts w:hint="eastAsia" w:ascii="宋体" w:hAnsi="宋体"/>
                <w:color w:val="auto"/>
                <w:kern w:val="0"/>
              </w:rPr>
              <w:t>河店村</w:t>
            </w:r>
          </w:p>
        </w:tc>
        <w:tc>
          <w:tcPr>
            <w:tcW w:w="485" w:type="pct"/>
            <w:tcBorders>
              <w:top w:val="single" w:color="auto" w:sz="4" w:space="0"/>
              <w:left w:val="single" w:color="auto" w:sz="4" w:space="0"/>
              <w:bottom w:val="single" w:color="auto" w:sz="4" w:space="0"/>
              <w:right w:val="single" w:color="auto" w:sz="4" w:space="0"/>
            </w:tcBorders>
            <w:vAlign w:val="center"/>
          </w:tcPr>
          <w:p w14:paraId="282E02AD">
            <w:pPr>
              <w:widowControl/>
              <w:jc w:val="center"/>
              <w:rPr>
                <w:rFonts w:ascii="宋体" w:hAnsi="宋体"/>
                <w:color w:val="auto"/>
              </w:rPr>
            </w:pPr>
            <w:r>
              <w:rPr>
                <w:rFonts w:hint="eastAsia" w:ascii="宋体" w:hAnsi="宋体"/>
                <w:color w:val="auto"/>
                <w:kern w:val="0"/>
              </w:rPr>
              <w:t>785</w:t>
            </w:r>
          </w:p>
        </w:tc>
        <w:tc>
          <w:tcPr>
            <w:tcW w:w="330" w:type="pct"/>
            <w:vMerge w:val="continue"/>
            <w:vAlign w:val="center"/>
          </w:tcPr>
          <w:p w14:paraId="30C32AF1">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7FDDBCB2">
            <w:pPr>
              <w:jc w:val="center"/>
              <w:rPr>
                <w:rFonts w:ascii="宋体" w:hAnsi="宋体"/>
                <w:color w:val="auto"/>
                <w:kern w:val="0"/>
              </w:rPr>
            </w:pPr>
            <w:r>
              <w:rPr>
                <w:rFonts w:hint="eastAsia" w:ascii="宋体" w:hAnsi="宋体"/>
                <w:color w:val="auto"/>
                <w:kern w:val="0"/>
              </w:rPr>
              <w:t>3</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12D66B74">
            <w:pPr>
              <w:jc w:val="center"/>
              <w:rPr>
                <w:rFonts w:ascii="宋体" w:hAnsi="宋体"/>
                <w:color w:val="auto"/>
              </w:rPr>
            </w:pPr>
            <w:r>
              <w:rPr>
                <w:rFonts w:hint="eastAsia" w:ascii="宋体" w:hAnsi="宋体"/>
                <w:color w:val="auto"/>
                <w:kern w:val="0"/>
              </w:rPr>
              <w:t>1096</w:t>
            </w:r>
          </w:p>
        </w:tc>
        <w:tc>
          <w:tcPr>
            <w:tcW w:w="967" w:type="pct"/>
            <w:tcBorders>
              <w:top w:val="single" w:color="auto" w:sz="4" w:space="0"/>
              <w:left w:val="single" w:color="auto" w:sz="4" w:space="0"/>
              <w:bottom w:val="single" w:color="auto" w:sz="4" w:space="0"/>
              <w:right w:val="single" w:color="auto" w:sz="4" w:space="0"/>
            </w:tcBorders>
            <w:noWrap/>
            <w:vAlign w:val="center"/>
          </w:tcPr>
          <w:p w14:paraId="1CA38803">
            <w:pPr>
              <w:widowControl/>
              <w:jc w:val="center"/>
              <w:rPr>
                <w:rFonts w:ascii="宋体" w:hAnsi="宋体"/>
                <w:color w:val="auto"/>
              </w:rPr>
            </w:pPr>
            <w:r>
              <w:rPr>
                <w:rFonts w:hint="eastAsia" w:ascii="宋体" w:hAnsi="宋体"/>
                <w:color w:val="auto"/>
                <w:kern w:val="0"/>
              </w:rPr>
              <w:t>SE</w:t>
            </w:r>
          </w:p>
        </w:tc>
      </w:tr>
      <w:tr w14:paraId="09DDC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477D0E79">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6AFCD8ED">
            <w:pPr>
              <w:widowControl/>
              <w:jc w:val="center"/>
              <w:rPr>
                <w:rFonts w:ascii="宋体" w:hAnsi="宋体"/>
                <w:color w:val="auto"/>
                <w:kern w:val="0"/>
              </w:rPr>
            </w:pPr>
            <w:r>
              <w:rPr>
                <w:rFonts w:hint="eastAsia" w:ascii="宋体" w:hAnsi="宋体"/>
                <w:color w:val="auto"/>
                <w:kern w:val="0"/>
              </w:rPr>
              <w:t>夏家楼村</w:t>
            </w:r>
          </w:p>
        </w:tc>
        <w:tc>
          <w:tcPr>
            <w:tcW w:w="485" w:type="pct"/>
            <w:tcBorders>
              <w:top w:val="single" w:color="auto" w:sz="4" w:space="0"/>
              <w:left w:val="single" w:color="auto" w:sz="4" w:space="0"/>
              <w:bottom w:val="single" w:color="auto" w:sz="4" w:space="0"/>
              <w:right w:val="single" w:color="auto" w:sz="4" w:space="0"/>
            </w:tcBorders>
            <w:vAlign w:val="center"/>
          </w:tcPr>
          <w:p w14:paraId="02E50A97">
            <w:pPr>
              <w:widowControl/>
              <w:jc w:val="center"/>
              <w:rPr>
                <w:rFonts w:ascii="宋体" w:hAnsi="宋体"/>
                <w:color w:val="auto"/>
              </w:rPr>
            </w:pPr>
            <w:r>
              <w:rPr>
                <w:rFonts w:hint="eastAsia" w:ascii="宋体" w:hAnsi="宋体"/>
                <w:color w:val="auto"/>
                <w:kern w:val="0"/>
              </w:rPr>
              <w:t>740</w:t>
            </w:r>
          </w:p>
        </w:tc>
        <w:tc>
          <w:tcPr>
            <w:tcW w:w="330" w:type="pct"/>
            <w:vMerge w:val="continue"/>
            <w:vAlign w:val="center"/>
          </w:tcPr>
          <w:p w14:paraId="527219E9">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1CB3F13F">
            <w:pPr>
              <w:jc w:val="center"/>
              <w:rPr>
                <w:rFonts w:ascii="宋体" w:hAnsi="宋体"/>
                <w:color w:val="auto"/>
                <w:kern w:val="0"/>
              </w:rPr>
            </w:pPr>
            <w:r>
              <w:rPr>
                <w:rFonts w:hint="eastAsia" w:ascii="宋体" w:hAnsi="宋体"/>
                <w:color w:val="auto"/>
                <w:kern w:val="0"/>
              </w:rPr>
              <w:t>3</w:t>
            </w:r>
            <w:r>
              <w:rPr>
                <w:rFonts w:ascii="宋体" w:hAnsi="宋体"/>
                <w:color w:val="auto"/>
                <w:kern w:val="0"/>
              </w:rPr>
              <w:t>#</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67E5B3D2">
            <w:pPr>
              <w:jc w:val="center"/>
              <w:rPr>
                <w:rFonts w:ascii="宋体" w:hAnsi="宋体"/>
                <w:color w:val="auto"/>
              </w:rPr>
            </w:pPr>
            <w:r>
              <w:rPr>
                <w:rFonts w:hint="eastAsia" w:ascii="宋体" w:hAnsi="宋体"/>
                <w:color w:val="auto"/>
                <w:kern w:val="0"/>
              </w:rPr>
              <w:t>1124</w:t>
            </w:r>
          </w:p>
        </w:tc>
        <w:tc>
          <w:tcPr>
            <w:tcW w:w="967" w:type="pct"/>
            <w:tcBorders>
              <w:top w:val="single" w:color="auto" w:sz="4" w:space="0"/>
              <w:left w:val="single" w:color="auto" w:sz="4" w:space="0"/>
              <w:bottom w:val="single" w:color="auto" w:sz="4" w:space="0"/>
              <w:right w:val="single" w:color="auto" w:sz="4" w:space="0"/>
            </w:tcBorders>
            <w:noWrap/>
            <w:vAlign w:val="center"/>
          </w:tcPr>
          <w:p w14:paraId="06E98E72">
            <w:pPr>
              <w:widowControl/>
              <w:jc w:val="center"/>
              <w:rPr>
                <w:rFonts w:ascii="宋体" w:hAnsi="宋体"/>
                <w:color w:val="auto"/>
              </w:rPr>
            </w:pPr>
            <w:r>
              <w:rPr>
                <w:rFonts w:hint="eastAsia" w:ascii="宋体" w:hAnsi="宋体"/>
                <w:color w:val="auto"/>
                <w:kern w:val="0"/>
              </w:rPr>
              <w:t>NW</w:t>
            </w:r>
          </w:p>
        </w:tc>
      </w:tr>
      <w:tr w14:paraId="04784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6266EF48">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10500309">
            <w:pPr>
              <w:widowControl/>
              <w:jc w:val="center"/>
              <w:rPr>
                <w:rFonts w:ascii="宋体" w:hAnsi="宋体"/>
                <w:color w:val="auto"/>
                <w:kern w:val="0"/>
              </w:rPr>
            </w:pPr>
            <w:r>
              <w:rPr>
                <w:rFonts w:hint="eastAsia" w:ascii="宋体" w:hAnsi="宋体"/>
                <w:color w:val="auto"/>
                <w:kern w:val="0"/>
              </w:rPr>
              <w:t>徐一村</w:t>
            </w:r>
          </w:p>
        </w:tc>
        <w:tc>
          <w:tcPr>
            <w:tcW w:w="485" w:type="pct"/>
            <w:tcBorders>
              <w:top w:val="single" w:color="auto" w:sz="4" w:space="0"/>
              <w:left w:val="single" w:color="auto" w:sz="4" w:space="0"/>
              <w:bottom w:val="single" w:color="auto" w:sz="4" w:space="0"/>
              <w:right w:val="single" w:color="auto" w:sz="4" w:space="0"/>
            </w:tcBorders>
            <w:vAlign w:val="center"/>
          </w:tcPr>
          <w:p w14:paraId="613B5117">
            <w:pPr>
              <w:widowControl/>
              <w:jc w:val="center"/>
              <w:rPr>
                <w:rFonts w:ascii="宋体" w:hAnsi="宋体"/>
                <w:color w:val="auto"/>
              </w:rPr>
            </w:pPr>
            <w:r>
              <w:rPr>
                <w:rFonts w:hint="eastAsia" w:ascii="宋体" w:hAnsi="宋体"/>
                <w:color w:val="auto"/>
                <w:kern w:val="0"/>
              </w:rPr>
              <w:t>674</w:t>
            </w:r>
          </w:p>
        </w:tc>
        <w:tc>
          <w:tcPr>
            <w:tcW w:w="330" w:type="pct"/>
            <w:vMerge w:val="continue"/>
            <w:vAlign w:val="center"/>
          </w:tcPr>
          <w:p w14:paraId="44AB5405">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1409FF85">
            <w:pPr>
              <w:jc w:val="center"/>
              <w:rPr>
                <w:rFonts w:ascii="宋体" w:hAnsi="宋体"/>
                <w:color w:val="auto"/>
                <w:kern w:val="0"/>
              </w:rPr>
            </w:pPr>
            <w:r>
              <w:rPr>
                <w:rFonts w:ascii="宋体" w:hAnsi="宋体"/>
                <w:color w:val="auto"/>
                <w:kern w:val="0"/>
              </w:rPr>
              <w:t>9#</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08698EBD">
            <w:pPr>
              <w:jc w:val="center"/>
              <w:rPr>
                <w:rFonts w:ascii="宋体" w:hAnsi="宋体"/>
                <w:color w:val="auto"/>
              </w:rPr>
            </w:pPr>
            <w:r>
              <w:rPr>
                <w:rFonts w:hint="eastAsia" w:ascii="宋体" w:hAnsi="宋体"/>
                <w:color w:val="auto"/>
                <w:kern w:val="0"/>
              </w:rPr>
              <w:t>1126</w:t>
            </w:r>
          </w:p>
        </w:tc>
        <w:tc>
          <w:tcPr>
            <w:tcW w:w="967" w:type="pct"/>
            <w:tcBorders>
              <w:top w:val="single" w:color="auto" w:sz="4" w:space="0"/>
              <w:left w:val="single" w:color="auto" w:sz="4" w:space="0"/>
              <w:bottom w:val="single" w:color="auto" w:sz="4" w:space="0"/>
              <w:right w:val="single" w:color="auto" w:sz="4" w:space="0"/>
            </w:tcBorders>
            <w:noWrap/>
            <w:vAlign w:val="center"/>
          </w:tcPr>
          <w:p w14:paraId="4AD4A229">
            <w:pPr>
              <w:widowControl/>
              <w:jc w:val="center"/>
              <w:rPr>
                <w:rFonts w:ascii="宋体" w:hAnsi="宋体"/>
                <w:color w:val="auto"/>
              </w:rPr>
            </w:pPr>
            <w:r>
              <w:rPr>
                <w:rFonts w:hint="eastAsia" w:ascii="宋体" w:hAnsi="宋体"/>
                <w:color w:val="auto"/>
                <w:kern w:val="0"/>
              </w:rPr>
              <w:t>E</w:t>
            </w:r>
          </w:p>
        </w:tc>
      </w:tr>
      <w:tr w14:paraId="179B1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045A9FF5">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77E5FD1E">
            <w:pPr>
              <w:widowControl/>
              <w:jc w:val="center"/>
              <w:rPr>
                <w:rFonts w:ascii="宋体" w:hAnsi="宋体"/>
                <w:color w:val="auto"/>
                <w:kern w:val="0"/>
              </w:rPr>
            </w:pPr>
            <w:r>
              <w:rPr>
                <w:rFonts w:hint="eastAsia" w:ascii="宋体" w:hAnsi="宋体"/>
                <w:color w:val="auto"/>
                <w:kern w:val="0"/>
              </w:rPr>
              <w:t>中杨村</w:t>
            </w:r>
          </w:p>
        </w:tc>
        <w:tc>
          <w:tcPr>
            <w:tcW w:w="485" w:type="pct"/>
            <w:tcBorders>
              <w:top w:val="single" w:color="auto" w:sz="4" w:space="0"/>
              <w:left w:val="single" w:color="auto" w:sz="4" w:space="0"/>
              <w:bottom w:val="single" w:color="auto" w:sz="4" w:space="0"/>
              <w:right w:val="single" w:color="auto" w:sz="4" w:space="0"/>
            </w:tcBorders>
            <w:vAlign w:val="center"/>
          </w:tcPr>
          <w:p w14:paraId="5FF77486">
            <w:pPr>
              <w:widowControl/>
              <w:jc w:val="center"/>
              <w:rPr>
                <w:rFonts w:ascii="宋体" w:hAnsi="宋体"/>
                <w:color w:val="auto"/>
              </w:rPr>
            </w:pPr>
            <w:r>
              <w:rPr>
                <w:rFonts w:hint="eastAsia" w:ascii="宋体" w:hAnsi="宋体"/>
                <w:color w:val="auto"/>
                <w:kern w:val="0"/>
              </w:rPr>
              <w:t>355</w:t>
            </w:r>
          </w:p>
        </w:tc>
        <w:tc>
          <w:tcPr>
            <w:tcW w:w="330" w:type="pct"/>
            <w:vMerge w:val="continue"/>
            <w:vAlign w:val="center"/>
          </w:tcPr>
          <w:p w14:paraId="0524380B">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36CA72DE">
            <w:pPr>
              <w:jc w:val="center"/>
              <w:rPr>
                <w:rFonts w:ascii="宋体" w:hAnsi="宋体"/>
                <w:color w:val="auto"/>
                <w:kern w:val="0"/>
              </w:rPr>
            </w:pPr>
            <w:r>
              <w:rPr>
                <w:rFonts w:ascii="宋体" w:hAnsi="宋体"/>
                <w:color w:val="auto"/>
                <w:kern w:val="0"/>
              </w:rPr>
              <w:t>9#</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79ECC3C2">
            <w:pPr>
              <w:jc w:val="center"/>
              <w:rPr>
                <w:rFonts w:ascii="宋体" w:hAnsi="宋体"/>
                <w:color w:val="auto"/>
              </w:rPr>
            </w:pPr>
            <w:r>
              <w:rPr>
                <w:rFonts w:hint="eastAsia" w:ascii="宋体" w:hAnsi="宋体"/>
                <w:color w:val="auto"/>
                <w:kern w:val="0"/>
              </w:rPr>
              <w:t>1158</w:t>
            </w:r>
          </w:p>
        </w:tc>
        <w:tc>
          <w:tcPr>
            <w:tcW w:w="967" w:type="pct"/>
            <w:tcBorders>
              <w:top w:val="single" w:color="auto" w:sz="4" w:space="0"/>
              <w:left w:val="single" w:color="auto" w:sz="4" w:space="0"/>
              <w:bottom w:val="single" w:color="auto" w:sz="4" w:space="0"/>
              <w:right w:val="single" w:color="auto" w:sz="4" w:space="0"/>
            </w:tcBorders>
            <w:noWrap/>
            <w:vAlign w:val="center"/>
          </w:tcPr>
          <w:p w14:paraId="6D65B262">
            <w:pPr>
              <w:widowControl/>
              <w:jc w:val="center"/>
              <w:rPr>
                <w:rFonts w:ascii="宋体" w:hAnsi="宋体"/>
                <w:color w:val="auto"/>
              </w:rPr>
            </w:pPr>
            <w:r>
              <w:rPr>
                <w:rFonts w:hint="eastAsia" w:ascii="宋体" w:hAnsi="宋体"/>
                <w:color w:val="auto"/>
                <w:kern w:val="0"/>
              </w:rPr>
              <w:t>SE</w:t>
            </w:r>
          </w:p>
        </w:tc>
      </w:tr>
      <w:tr w14:paraId="78B0B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10A51878">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3AAEDD47">
            <w:pPr>
              <w:widowControl/>
              <w:jc w:val="center"/>
              <w:rPr>
                <w:rFonts w:ascii="宋体" w:hAnsi="宋体"/>
                <w:color w:val="auto"/>
                <w:kern w:val="0"/>
              </w:rPr>
            </w:pPr>
            <w:r>
              <w:rPr>
                <w:rFonts w:hint="eastAsia" w:ascii="宋体" w:hAnsi="宋体"/>
                <w:color w:val="auto"/>
                <w:kern w:val="0"/>
              </w:rPr>
              <w:t>永埠村</w:t>
            </w:r>
          </w:p>
        </w:tc>
        <w:tc>
          <w:tcPr>
            <w:tcW w:w="485" w:type="pct"/>
            <w:tcBorders>
              <w:top w:val="single" w:color="auto" w:sz="4" w:space="0"/>
              <w:left w:val="single" w:color="auto" w:sz="4" w:space="0"/>
              <w:bottom w:val="single" w:color="auto" w:sz="4" w:space="0"/>
              <w:right w:val="single" w:color="auto" w:sz="4" w:space="0"/>
            </w:tcBorders>
            <w:vAlign w:val="center"/>
          </w:tcPr>
          <w:p w14:paraId="23FB9228">
            <w:pPr>
              <w:widowControl/>
              <w:jc w:val="center"/>
              <w:rPr>
                <w:rFonts w:ascii="宋体" w:hAnsi="宋体"/>
                <w:color w:val="auto"/>
              </w:rPr>
            </w:pPr>
            <w:r>
              <w:rPr>
                <w:rFonts w:hint="eastAsia" w:ascii="宋体" w:hAnsi="宋体"/>
                <w:color w:val="auto"/>
                <w:kern w:val="0"/>
              </w:rPr>
              <w:t>328</w:t>
            </w:r>
          </w:p>
        </w:tc>
        <w:tc>
          <w:tcPr>
            <w:tcW w:w="330" w:type="pct"/>
            <w:vMerge w:val="continue"/>
            <w:vAlign w:val="center"/>
          </w:tcPr>
          <w:p w14:paraId="5E83A7E0">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6D7B6014">
            <w:pPr>
              <w:jc w:val="center"/>
              <w:rPr>
                <w:rFonts w:ascii="宋体" w:hAnsi="宋体"/>
                <w:color w:val="auto"/>
                <w:kern w:val="0"/>
              </w:rPr>
            </w:pPr>
            <w:r>
              <w:rPr>
                <w:rFonts w:ascii="宋体" w:hAnsi="宋体"/>
                <w:color w:val="auto"/>
                <w:kern w:val="0"/>
              </w:rPr>
              <w:t>9#</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458BFCDE">
            <w:pPr>
              <w:jc w:val="center"/>
              <w:rPr>
                <w:rFonts w:ascii="宋体" w:hAnsi="宋体"/>
                <w:color w:val="auto"/>
              </w:rPr>
            </w:pPr>
            <w:r>
              <w:rPr>
                <w:rFonts w:hint="eastAsia" w:ascii="宋体" w:hAnsi="宋体"/>
                <w:color w:val="auto"/>
                <w:kern w:val="0"/>
              </w:rPr>
              <w:t>1217</w:t>
            </w:r>
          </w:p>
        </w:tc>
        <w:tc>
          <w:tcPr>
            <w:tcW w:w="967" w:type="pct"/>
            <w:tcBorders>
              <w:top w:val="single" w:color="auto" w:sz="4" w:space="0"/>
              <w:left w:val="single" w:color="auto" w:sz="4" w:space="0"/>
              <w:bottom w:val="single" w:color="auto" w:sz="4" w:space="0"/>
              <w:right w:val="single" w:color="auto" w:sz="4" w:space="0"/>
            </w:tcBorders>
            <w:noWrap/>
            <w:vAlign w:val="center"/>
          </w:tcPr>
          <w:p w14:paraId="2E341FED">
            <w:pPr>
              <w:widowControl/>
              <w:jc w:val="center"/>
              <w:rPr>
                <w:rFonts w:ascii="宋体" w:hAnsi="宋体"/>
                <w:color w:val="auto"/>
              </w:rPr>
            </w:pPr>
            <w:r>
              <w:rPr>
                <w:rFonts w:hint="eastAsia" w:ascii="宋体" w:hAnsi="宋体"/>
                <w:color w:val="auto"/>
                <w:kern w:val="0"/>
              </w:rPr>
              <w:t>SE</w:t>
            </w:r>
          </w:p>
        </w:tc>
      </w:tr>
      <w:tr w14:paraId="77E0E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0A578F0E">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7FEA8D06">
            <w:pPr>
              <w:widowControl/>
              <w:jc w:val="center"/>
              <w:rPr>
                <w:rFonts w:ascii="宋体" w:hAnsi="宋体"/>
                <w:color w:val="auto"/>
                <w:kern w:val="0"/>
              </w:rPr>
            </w:pPr>
            <w:r>
              <w:rPr>
                <w:rFonts w:hint="eastAsia" w:ascii="宋体" w:hAnsi="宋体"/>
                <w:color w:val="auto"/>
                <w:kern w:val="0"/>
              </w:rPr>
              <w:t>屋子村</w:t>
            </w:r>
          </w:p>
        </w:tc>
        <w:tc>
          <w:tcPr>
            <w:tcW w:w="485" w:type="pct"/>
            <w:tcBorders>
              <w:top w:val="single" w:color="auto" w:sz="4" w:space="0"/>
              <w:left w:val="single" w:color="auto" w:sz="4" w:space="0"/>
              <w:bottom w:val="single" w:color="auto" w:sz="4" w:space="0"/>
              <w:right w:val="single" w:color="auto" w:sz="4" w:space="0"/>
            </w:tcBorders>
            <w:vAlign w:val="center"/>
          </w:tcPr>
          <w:p w14:paraId="0E1CCA1F">
            <w:pPr>
              <w:widowControl/>
              <w:jc w:val="center"/>
              <w:rPr>
                <w:rFonts w:ascii="宋体" w:hAnsi="宋体"/>
                <w:color w:val="auto"/>
              </w:rPr>
            </w:pPr>
            <w:r>
              <w:rPr>
                <w:rFonts w:hint="eastAsia" w:ascii="宋体" w:hAnsi="宋体"/>
                <w:color w:val="auto"/>
                <w:kern w:val="0"/>
              </w:rPr>
              <w:t>58</w:t>
            </w:r>
          </w:p>
        </w:tc>
        <w:tc>
          <w:tcPr>
            <w:tcW w:w="330" w:type="pct"/>
            <w:vMerge w:val="continue"/>
            <w:vAlign w:val="center"/>
          </w:tcPr>
          <w:p w14:paraId="0D5A5017">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68BFAC2C">
            <w:pPr>
              <w:jc w:val="center"/>
              <w:rPr>
                <w:rFonts w:ascii="宋体" w:hAnsi="宋体"/>
                <w:color w:val="auto"/>
                <w:kern w:val="0"/>
              </w:rPr>
            </w:pPr>
            <w:r>
              <w:rPr>
                <w:rFonts w:ascii="宋体" w:hAnsi="宋体"/>
                <w:color w:val="auto"/>
                <w:kern w:val="0"/>
              </w:rPr>
              <w:t>11#</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52E54B69">
            <w:pPr>
              <w:jc w:val="center"/>
              <w:rPr>
                <w:rFonts w:ascii="宋体" w:hAnsi="宋体"/>
                <w:color w:val="auto"/>
              </w:rPr>
            </w:pPr>
            <w:r>
              <w:rPr>
                <w:rFonts w:hint="eastAsia" w:ascii="宋体" w:hAnsi="宋体"/>
                <w:color w:val="auto"/>
                <w:kern w:val="0"/>
              </w:rPr>
              <w:t>1270</w:t>
            </w:r>
          </w:p>
        </w:tc>
        <w:tc>
          <w:tcPr>
            <w:tcW w:w="967" w:type="pct"/>
            <w:tcBorders>
              <w:top w:val="single" w:color="auto" w:sz="4" w:space="0"/>
              <w:left w:val="single" w:color="auto" w:sz="4" w:space="0"/>
              <w:bottom w:val="single" w:color="auto" w:sz="4" w:space="0"/>
              <w:right w:val="single" w:color="auto" w:sz="4" w:space="0"/>
            </w:tcBorders>
            <w:noWrap/>
            <w:vAlign w:val="center"/>
          </w:tcPr>
          <w:p w14:paraId="20A04D0F">
            <w:pPr>
              <w:widowControl/>
              <w:jc w:val="center"/>
              <w:rPr>
                <w:rFonts w:ascii="宋体" w:hAnsi="宋体"/>
                <w:color w:val="auto"/>
              </w:rPr>
            </w:pPr>
            <w:r>
              <w:rPr>
                <w:rFonts w:hint="eastAsia" w:ascii="宋体" w:hAnsi="宋体"/>
                <w:color w:val="auto"/>
                <w:kern w:val="0"/>
              </w:rPr>
              <w:t>SW</w:t>
            </w:r>
          </w:p>
        </w:tc>
      </w:tr>
      <w:tr w14:paraId="59A2F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2E305985">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7D576A16">
            <w:pPr>
              <w:widowControl/>
              <w:jc w:val="center"/>
              <w:rPr>
                <w:rFonts w:ascii="宋体" w:hAnsi="宋体"/>
                <w:color w:val="auto"/>
                <w:kern w:val="0"/>
              </w:rPr>
            </w:pPr>
            <w:r>
              <w:rPr>
                <w:rFonts w:hint="eastAsia" w:ascii="宋体" w:hAnsi="宋体"/>
                <w:color w:val="auto"/>
                <w:kern w:val="0"/>
              </w:rPr>
              <w:t>老官庄村</w:t>
            </w:r>
          </w:p>
        </w:tc>
        <w:tc>
          <w:tcPr>
            <w:tcW w:w="485" w:type="pct"/>
            <w:tcBorders>
              <w:top w:val="single" w:color="auto" w:sz="4" w:space="0"/>
              <w:left w:val="single" w:color="auto" w:sz="4" w:space="0"/>
              <w:bottom w:val="single" w:color="auto" w:sz="4" w:space="0"/>
              <w:right w:val="single" w:color="auto" w:sz="4" w:space="0"/>
            </w:tcBorders>
            <w:vAlign w:val="center"/>
          </w:tcPr>
          <w:p w14:paraId="4008068A">
            <w:pPr>
              <w:widowControl/>
              <w:jc w:val="center"/>
              <w:rPr>
                <w:rFonts w:ascii="宋体" w:hAnsi="宋体"/>
                <w:color w:val="auto"/>
              </w:rPr>
            </w:pPr>
            <w:r>
              <w:rPr>
                <w:rFonts w:hint="eastAsia" w:ascii="宋体" w:hAnsi="宋体"/>
                <w:color w:val="auto"/>
                <w:kern w:val="0"/>
              </w:rPr>
              <w:t>888</w:t>
            </w:r>
          </w:p>
        </w:tc>
        <w:tc>
          <w:tcPr>
            <w:tcW w:w="330" w:type="pct"/>
            <w:vMerge w:val="continue"/>
            <w:vAlign w:val="center"/>
          </w:tcPr>
          <w:p w14:paraId="2DC826F4">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4349849D">
            <w:pPr>
              <w:jc w:val="center"/>
              <w:rPr>
                <w:rFonts w:ascii="宋体" w:hAnsi="宋体"/>
                <w:color w:val="auto"/>
                <w:kern w:val="0"/>
              </w:rPr>
            </w:pPr>
            <w:r>
              <w:rPr>
                <w:rFonts w:ascii="宋体" w:hAnsi="宋体"/>
                <w:color w:val="auto"/>
                <w:kern w:val="0"/>
              </w:rPr>
              <w:t>11#</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5E3279BE">
            <w:pPr>
              <w:jc w:val="center"/>
              <w:rPr>
                <w:rFonts w:ascii="宋体" w:hAnsi="宋体"/>
                <w:color w:val="auto"/>
              </w:rPr>
            </w:pPr>
            <w:r>
              <w:rPr>
                <w:rFonts w:hint="eastAsia" w:ascii="宋体" w:hAnsi="宋体"/>
                <w:color w:val="auto"/>
                <w:kern w:val="0"/>
              </w:rPr>
              <w:t>1346</w:t>
            </w:r>
          </w:p>
        </w:tc>
        <w:tc>
          <w:tcPr>
            <w:tcW w:w="967" w:type="pct"/>
            <w:tcBorders>
              <w:top w:val="single" w:color="auto" w:sz="4" w:space="0"/>
              <w:left w:val="single" w:color="auto" w:sz="4" w:space="0"/>
              <w:bottom w:val="single" w:color="auto" w:sz="4" w:space="0"/>
              <w:right w:val="single" w:color="auto" w:sz="4" w:space="0"/>
            </w:tcBorders>
            <w:noWrap/>
            <w:vAlign w:val="center"/>
          </w:tcPr>
          <w:p w14:paraId="15913E5A">
            <w:pPr>
              <w:widowControl/>
              <w:jc w:val="center"/>
              <w:rPr>
                <w:rFonts w:ascii="宋体" w:hAnsi="宋体"/>
                <w:color w:val="auto"/>
              </w:rPr>
            </w:pPr>
            <w:r>
              <w:rPr>
                <w:rFonts w:hint="eastAsia" w:ascii="宋体" w:hAnsi="宋体"/>
                <w:color w:val="auto"/>
                <w:kern w:val="0"/>
              </w:rPr>
              <w:t>S</w:t>
            </w:r>
          </w:p>
        </w:tc>
      </w:tr>
      <w:tr w14:paraId="2F279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5092F130">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7024336C">
            <w:pPr>
              <w:widowControl/>
              <w:jc w:val="center"/>
              <w:rPr>
                <w:rFonts w:ascii="宋体" w:hAnsi="宋体"/>
                <w:color w:val="auto"/>
                <w:kern w:val="0"/>
              </w:rPr>
            </w:pPr>
            <w:r>
              <w:rPr>
                <w:rFonts w:hint="eastAsia" w:ascii="宋体" w:hAnsi="宋体"/>
                <w:color w:val="auto"/>
                <w:kern w:val="0"/>
              </w:rPr>
              <w:t>程家村</w:t>
            </w:r>
          </w:p>
        </w:tc>
        <w:tc>
          <w:tcPr>
            <w:tcW w:w="485" w:type="pct"/>
            <w:tcBorders>
              <w:top w:val="single" w:color="auto" w:sz="4" w:space="0"/>
              <w:left w:val="single" w:color="auto" w:sz="4" w:space="0"/>
              <w:bottom w:val="single" w:color="auto" w:sz="4" w:space="0"/>
              <w:right w:val="single" w:color="auto" w:sz="4" w:space="0"/>
            </w:tcBorders>
            <w:vAlign w:val="center"/>
          </w:tcPr>
          <w:p w14:paraId="29363E41">
            <w:pPr>
              <w:widowControl/>
              <w:jc w:val="center"/>
              <w:rPr>
                <w:rFonts w:ascii="宋体" w:hAnsi="宋体"/>
                <w:color w:val="auto"/>
              </w:rPr>
            </w:pPr>
            <w:r>
              <w:rPr>
                <w:rFonts w:hint="eastAsia" w:ascii="宋体" w:hAnsi="宋体"/>
                <w:color w:val="auto"/>
                <w:kern w:val="0"/>
              </w:rPr>
              <w:t>336</w:t>
            </w:r>
          </w:p>
        </w:tc>
        <w:tc>
          <w:tcPr>
            <w:tcW w:w="330" w:type="pct"/>
            <w:vMerge w:val="continue"/>
            <w:vAlign w:val="center"/>
          </w:tcPr>
          <w:p w14:paraId="7B139E76">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5C067171">
            <w:pPr>
              <w:jc w:val="center"/>
              <w:rPr>
                <w:rFonts w:ascii="宋体" w:hAnsi="宋体"/>
                <w:color w:val="auto"/>
                <w:kern w:val="0"/>
              </w:rPr>
            </w:pPr>
            <w:r>
              <w:rPr>
                <w:rFonts w:ascii="宋体" w:hAnsi="宋体"/>
                <w:color w:val="auto"/>
                <w:kern w:val="0"/>
              </w:rPr>
              <w:t>1#</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3B43EE9D">
            <w:pPr>
              <w:jc w:val="center"/>
              <w:rPr>
                <w:rFonts w:ascii="宋体" w:hAnsi="宋体"/>
                <w:color w:val="auto"/>
              </w:rPr>
            </w:pPr>
            <w:r>
              <w:rPr>
                <w:rFonts w:hint="eastAsia" w:ascii="宋体" w:hAnsi="宋体"/>
                <w:color w:val="auto"/>
                <w:kern w:val="0"/>
              </w:rPr>
              <w:t>1350</w:t>
            </w:r>
          </w:p>
        </w:tc>
        <w:tc>
          <w:tcPr>
            <w:tcW w:w="967" w:type="pct"/>
            <w:tcBorders>
              <w:top w:val="single" w:color="auto" w:sz="4" w:space="0"/>
              <w:left w:val="single" w:color="auto" w:sz="4" w:space="0"/>
              <w:bottom w:val="single" w:color="auto" w:sz="4" w:space="0"/>
              <w:right w:val="single" w:color="auto" w:sz="4" w:space="0"/>
            </w:tcBorders>
            <w:noWrap/>
            <w:vAlign w:val="center"/>
          </w:tcPr>
          <w:p w14:paraId="2DB4B2FA">
            <w:pPr>
              <w:widowControl/>
              <w:jc w:val="center"/>
              <w:rPr>
                <w:rFonts w:ascii="宋体" w:hAnsi="宋体"/>
                <w:color w:val="auto"/>
              </w:rPr>
            </w:pPr>
            <w:r>
              <w:rPr>
                <w:rFonts w:hint="eastAsia" w:ascii="宋体" w:hAnsi="宋体"/>
                <w:color w:val="auto"/>
                <w:kern w:val="0"/>
              </w:rPr>
              <w:t>SE</w:t>
            </w:r>
          </w:p>
        </w:tc>
      </w:tr>
      <w:tr w14:paraId="4B9F0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tcBorders>
              <w:top w:val="single" w:color="auto" w:sz="4" w:space="0"/>
              <w:left w:val="single" w:color="auto" w:sz="4" w:space="0"/>
              <w:bottom w:val="single" w:color="auto" w:sz="4" w:space="0"/>
              <w:right w:val="single" w:color="auto" w:sz="4" w:space="0"/>
            </w:tcBorders>
            <w:noWrap/>
            <w:vAlign w:val="center"/>
          </w:tcPr>
          <w:p w14:paraId="4EAAEA6B">
            <w:pPr>
              <w:pStyle w:val="76"/>
              <w:rPr>
                <w:color w:val="auto"/>
              </w:rPr>
            </w:pPr>
          </w:p>
        </w:tc>
        <w:tc>
          <w:tcPr>
            <w:tcW w:w="606" w:type="pct"/>
            <w:tcBorders>
              <w:top w:val="single" w:color="auto" w:sz="4" w:space="0"/>
              <w:left w:val="single" w:color="auto" w:sz="4" w:space="0"/>
              <w:bottom w:val="single" w:color="auto" w:sz="4" w:space="0"/>
              <w:right w:val="single" w:color="auto" w:sz="4" w:space="0"/>
            </w:tcBorders>
            <w:noWrap/>
            <w:vAlign w:val="center"/>
          </w:tcPr>
          <w:p w14:paraId="3E143E18">
            <w:pPr>
              <w:widowControl/>
              <w:jc w:val="center"/>
              <w:rPr>
                <w:rFonts w:ascii="宋体" w:hAnsi="宋体"/>
                <w:color w:val="auto"/>
                <w:kern w:val="0"/>
              </w:rPr>
            </w:pPr>
            <w:r>
              <w:rPr>
                <w:rFonts w:hint="eastAsia" w:ascii="宋体" w:hAnsi="宋体"/>
                <w:color w:val="auto"/>
                <w:kern w:val="0"/>
              </w:rPr>
              <w:t>付家村</w:t>
            </w:r>
          </w:p>
        </w:tc>
        <w:tc>
          <w:tcPr>
            <w:tcW w:w="485" w:type="pct"/>
            <w:tcBorders>
              <w:top w:val="single" w:color="auto" w:sz="4" w:space="0"/>
              <w:left w:val="single" w:color="auto" w:sz="4" w:space="0"/>
              <w:bottom w:val="single" w:color="auto" w:sz="4" w:space="0"/>
              <w:right w:val="single" w:color="auto" w:sz="4" w:space="0"/>
            </w:tcBorders>
            <w:vAlign w:val="center"/>
          </w:tcPr>
          <w:p w14:paraId="199B64EE">
            <w:pPr>
              <w:widowControl/>
              <w:jc w:val="center"/>
              <w:rPr>
                <w:rFonts w:ascii="宋体" w:hAnsi="宋体"/>
                <w:color w:val="auto"/>
              </w:rPr>
            </w:pPr>
            <w:r>
              <w:rPr>
                <w:rFonts w:hint="eastAsia" w:ascii="宋体" w:hAnsi="宋体"/>
                <w:color w:val="auto"/>
                <w:kern w:val="0"/>
              </w:rPr>
              <w:t>220</w:t>
            </w:r>
          </w:p>
        </w:tc>
        <w:tc>
          <w:tcPr>
            <w:tcW w:w="330" w:type="pct"/>
            <w:vMerge w:val="continue"/>
            <w:vAlign w:val="center"/>
          </w:tcPr>
          <w:p w14:paraId="6E6C510A">
            <w:pPr>
              <w:widowControl/>
              <w:jc w:val="center"/>
              <w:rPr>
                <w:rFonts w:ascii="宋体" w:hAnsi="宋体"/>
                <w:color w:val="auto"/>
                <w:kern w:val="0"/>
              </w:rPr>
            </w:pPr>
          </w:p>
        </w:tc>
        <w:tc>
          <w:tcPr>
            <w:tcW w:w="1040" w:type="pct"/>
            <w:tcBorders>
              <w:top w:val="single" w:color="auto" w:sz="4" w:space="0"/>
              <w:left w:val="single" w:color="auto" w:sz="4" w:space="0"/>
              <w:bottom w:val="single" w:color="auto" w:sz="4" w:space="0"/>
              <w:right w:val="single" w:color="auto" w:sz="4" w:space="0"/>
            </w:tcBorders>
          </w:tcPr>
          <w:p w14:paraId="6E7D0006">
            <w:pPr>
              <w:jc w:val="center"/>
              <w:rPr>
                <w:rFonts w:ascii="宋体" w:hAnsi="宋体"/>
                <w:color w:val="auto"/>
                <w:kern w:val="0"/>
              </w:rPr>
            </w:pPr>
            <w:r>
              <w:rPr>
                <w:rFonts w:ascii="宋体" w:hAnsi="宋体"/>
                <w:color w:val="auto"/>
                <w:kern w:val="0"/>
              </w:rPr>
              <w:t>11#</w:t>
            </w:r>
            <w:r>
              <w:rPr>
                <w:rFonts w:hint="eastAsia" w:ascii="宋体" w:hAnsi="宋体"/>
                <w:color w:val="auto"/>
                <w:kern w:val="0"/>
              </w:rPr>
              <w:t>井场</w:t>
            </w:r>
          </w:p>
        </w:tc>
        <w:tc>
          <w:tcPr>
            <w:tcW w:w="1208" w:type="pct"/>
            <w:tcBorders>
              <w:top w:val="single" w:color="auto" w:sz="4" w:space="0"/>
              <w:left w:val="single" w:color="auto" w:sz="4" w:space="0"/>
              <w:bottom w:val="single" w:color="auto" w:sz="4" w:space="0"/>
              <w:right w:val="single" w:color="auto" w:sz="4" w:space="0"/>
            </w:tcBorders>
            <w:noWrap/>
            <w:vAlign w:val="center"/>
          </w:tcPr>
          <w:p w14:paraId="5DA154BE">
            <w:pPr>
              <w:jc w:val="center"/>
              <w:rPr>
                <w:rFonts w:ascii="宋体" w:hAnsi="宋体"/>
                <w:color w:val="auto"/>
              </w:rPr>
            </w:pPr>
            <w:r>
              <w:rPr>
                <w:rFonts w:hint="eastAsia" w:ascii="宋体" w:hAnsi="宋体"/>
                <w:color w:val="auto"/>
                <w:kern w:val="0"/>
              </w:rPr>
              <w:t>1393</w:t>
            </w:r>
          </w:p>
        </w:tc>
        <w:tc>
          <w:tcPr>
            <w:tcW w:w="967" w:type="pct"/>
            <w:tcBorders>
              <w:top w:val="single" w:color="auto" w:sz="4" w:space="0"/>
              <w:left w:val="single" w:color="auto" w:sz="4" w:space="0"/>
              <w:bottom w:val="single" w:color="auto" w:sz="4" w:space="0"/>
              <w:right w:val="single" w:color="auto" w:sz="4" w:space="0"/>
            </w:tcBorders>
            <w:noWrap/>
            <w:vAlign w:val="center"/>
          </w:tcPr>
          <w:p w14:paraId="58A164E5">
            <w:pPr>
              <w:widowControl/>
              <w:jc w:val="center"/>
              <w:rPr>
                <w:rFonts w:ascii="宋体" w:hAnsi="宋体"/>
                <w:color w:val="auto"/>
              </w:rPr>
            </w:pPr>
            <w:r>
              <w:rPr>
                <w:rFonts w:hint="eastAsia" w:ascii="宋体" w:hAnsi="宋体"/>
                <w:color w:val="auto"/>
                <w:kern w:val="0"/>
              </w:rPr>
              <w:t>E</w:t>
            </w:r>
          </w:p>
        </w:tc>
      </w:tr>
    </w:tbl>
    <w:p w14:paraId="25803750">
      <w:pPr>
        <w:rPr>
          <w:rFonts w:ascii="宋体" w:hAnsi="宋体"/>
          <w:color w:val="auto"/>
        </w:rPr>
      </w:pPr>
    </w:p>
    <w:p w14:paraId="5A6AA9C3">
      <w:pPr>
        <w:pStyle w:val="15"/>
        <w:spacing w:before="120"/>
        <w:rPr>
          <w:rFonts w:hAnsi="宋体"/>
          <w:color w:val="auto"/>
        </w:rPr>
      </w:pPr>
      <w:bookmarkStart w:id="310" w:name="_Ref231233679"/>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3.5</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2</w:t>
      </w:r>
      <w:r>
        <w:rPr>
          <w:rFonts w:hAnsi="宋体"/>
          <w:color w:val="auto"/>
        </w:rPr>
        <w:fldChar w:fldCharType="end"/>
      </w:r>
      <w:bookmarkEnd w:id="310"/>
      <w:r>
        <w:rPr>
          <w:rFonts w:hint="eastAsia" w:hAnsi="宋体"/>
          <w:color w:val="auto"/>
        </w:rPr>
        <w:t xml:space="preserve">  本期工程其他环境敏感目标统计表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4"/>
        <w:gridCol w:w="706"/>
        <w:gridCol w:w="1149"/>
        <w:gridCol w:w="1988"/>
        <w:gridCol w:w="745"/>
        <w:gridCol w:w="1135"/>
        <w:gridCol w:w="2203"/>
      </w:tblGrid>
      <w:tr w14:paraId="18915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455" w:type="pct"/>
            <w:vAlign w:val="center"/>
          </w:tcPr>
          <w:p w14:paraId="57F0005B">
            <w:pPr>
              <w:widowControl/>
              <w:jc w:val="center"/>
              <w:rPr>
                <w:rFonts w:ascii="宋体" w:hAnsi="宋体" w:cs="宋体"/>
                <w:color w:val="auto"/>
                <w:kern w:val="0"/>
              </w:rPr>
            </w:pPr>
            <w:r>
              <w:rPr>
                <w:rFonts w:hint="eastAsia" w:ascii="宋体" w:hAnsi="宋体" w:cs="宋体"/>
                <w:color w:val="auto"/>
                <w:kern w:val="0"/>
              </w:rPr>
              <w:t>类别</w:t>
            </w:r>
          </w:p>
        </w:tc>
        <w:tc>
          <w:tcPr>
            <w:tcW w:w="405" w:type="pct"/>
            <w:vAlign w:val="center"/>
          </w:tcPr>
          <w:p w14:paraId="2EF52700">
            <w:pPr>
              <w:widowControl/>
              <w:jc w:val="center"/>
              <w:rPr>
                <w:rFonts w:ascii="宋体" w:hAnsi="宋体" w:cs="宋体"/>
                <w:color w:val="auto"/>
                <w:kern w:val="0"/>
              </w:rPr>
            </w:pPr>
            <w:r>
              <w:rPr>
                <w:rFonts w:hint="eastAsia" w:ascii="宋体" w:hAnsi="宋体" w:cs="宋体"/>
                <w:color w:val="auto"/>
                <w:kern w:val="0"/>
              </w:rPr>
              <w:t>序号</w:t>
            </w:r>
          </w:p>
        </w:tc>
        <w:tc>
          <w:tcPr>
            <w:tcW w:w="659" w:type="pct"/>
            <w:noWrap/>
            <w:vAlign w:val="center"/>
          </w:tcPr>
          <w:p w14:paraId="64C63B9D">
            <w:pPr>
              <w:widowControl/>
              <w:jc w:val="center"/>
              <w:rPr>
                <w:rFonts w:ascii="宋体" w:hAnsi="宋体" w:cs="宋体"/>
                <w:color w:val="auto"/>
                <w:kern w:val="0"/>
              </w:rPr>
            </w:pPr>
            <w:r>
              <w:rPr>
                <w:rFonts w:hint="eastAsia" w:ascii="宋体" w:hAnsi="宋体" w:cs="宋体"/>
                <w:color w:val="auto"/>
                <w:kern w:val="0"/>
              </w:rPr>
              <w:t>名称</w:t>
            </w:r>
          </w:p>
        </w:tc>
        <w:tc>
          <w:tcPr>
            <w:tcW w:w="1140" w:type="pct"/>
            <w:noWrap/>
            <w:vAlign w:val="center"/>
          </w:tcPr>
          <w:p w14:paraId="2C119EBA">
            <w:pPr>
              <w:widowControl/>
              <w:jc w:val="center"/>
              <w:rPr>
                <w:rFonts w:ascii="宋体" w:hAnsi="宋体" w:cs="宋体"/>
                <w:color w:val="auto"/>
                <w:kern w:val="0"/>
              </w:rPr>
            </w:pPr>
            <w:r>
              <w:rPr>
                <w:rFonts w:hint="eastAsia" w:ascii="宋体" w:hAnsi="宋体" w:cs="宋体"/>
                <w:color w:val="auto"/>
                <w:kern w:val="0"/>
              </w:rPr>
              <w:t>参考污染源</w:t>
            </w:r>
          </w:p>
        </w:tc>
        <w:tc>
          <w:tcPr>
            <w:tcW w:w="427" w:type="pct"/>
            <w:noWrap/>
            <w:vAlign w:val="center"/>
          </w:tcPr>
          <w:p w14:paraId="74BD2E52">
            <w:pPr>
              <w:widowControl/>
              <w:jc w:val="center"/>
              <w:rPr>
                <w:rFonts w:ascii="宋体" w:hAnsi="宋体" w:cs="宋体"/>
                <w:color w:val="auto"/>
                <w:kern w:val="0"/>
              </w:rPr>
            </w:pPr>
            <w:r>
              <w:rPr>
                <w:rFonts w:hint="eastAsia" w:ascii="宋体" w:hAnsi="宋体" w:cs="宋体"/>
                <w:color w:val="auto"/>
                <w:kern w:val="0"/>
              </w:rPr>
              <w:t>相对场址方位</w:t>
            </w:r>
          </w:p>
        </w:tc>
        <w:tc>
          <w:tcPr>
            <w:tcW w:w="651" w:type="pct"/>
            <w:noWrap/>
            <w:vAlign w:val="center"/>
          </w:tcPr>
          <w:p w14:paraId="503D1BC5">
            <w:pPr>
              <w:widowControl/>
              <w:jc w:val="center"/>
              <w:rPr>
                <w:rFonts w:ascii="宋体" w:hAnsi="宋体" w:cs="宋体"/>
                <w:color w:val="auto"/>
                <w:kern w:val="0"/>
              </w:rPr>
            </w:pPr>
            <w:r>
              <w:rPr>
                <w:rFonts w:hint="eastAsia" w:ascii="宋体" w:hAnsi="宋体" w:cs="宋体"/>
                <w:color w:val="auto"/>
                <w:kern w:val="0"/>
              </w:rPr>
              <w:t>相对场址距离（m）</w:t>
            </w:r>
          </w:p>
        </w:tc>
        <w:tc>
          <w:tcPr>
            <w:tcW w:w="1263" w:type="pct"/>
            <w:vAlign w:val="center"/>
          </w:tcPr>
          <w:p w14:paraId="37070078">
            <w:pPr>
              <w:widowControl/>
              <w:jc w:val="center"/>
              <w:rPr>
                <w:rFonts w:ascii="宋体" w:hAnsi="宋体" w:cs="宋体"/>
                <w:color w:val="auto"/>
                <w:kern w:val="0"/>
              </w:rPr>
            </w:pPr>
            <w:r>
              <w:rPr>
                <w:rFonts w:hint="eastAsia" w:ascii="宋体" w:hAnsi="宋体" w:cs="宋体"/>
                <w:color w:val="auto"/>
                <w:kern w:val="0"/>
              </w:rPr>
              <w:t>保护目标</w:t>
            </w:r>
          </w:p>
        </w:tc>
      </w:tr>
      <w:tr w14:paraId="6BC1C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Merge w:val="restart"/>
            <w:vAlign w:val="center"/>
          </w:tcPr>
          <w:p w14:paraId="6D407B3F">
            <w:pPr>
              <w:widowControl/>
              <w:jc w:val="center"/>
              <w:rPr>
                <w:rFonts w:ascii="宋体" w:hAnsi="宋体" w:cs="宋体"/>
                <w:color w:val="auto"/>
                <w:kern w:val="0"/>
              </w:rPr>
            </w:pPr>
            <w:r>
              <w:rPr>
                <w:rFonts w:hint="eastAsia" w:ascii="宋体" w:hAnsi="宋体" w:cs="宋体"/>
                <w:color w:val="auto"/>
                <w:kern w:val="0"/>
              </w:rPr>
              <w:t>地表水</w:t>
            </w:r>
          </w:p>
        </w:tc>
        <w:tc>
          <w:tcPr>
            <w:tcW w:w="405" w:type="pct"/>
            <w:vAlign w:val="center"/>
          </w:tcPr>
          <w:p w14:paraId="1547A16C">
            <w:pPr>
              <w:widowControl/>
              <w:jc w:val="center"/>
              <w:rPr>
                <w:rFonts w:ascii="宋体" w:hAnsi="宋体" w:cs="宋体"/>
                <w:color w:val="auto"/>
                <w:kern w:val="0"/>
              </w:rPr>
            </w:pPr>
            <w:r>
              <w:rPr>
                <w:rFonts w:hint="eastAsia" w:ascii="宋体" w:hAnsi="宋体" w:cs="宋体"/>
                <w:color w:val="auto"/>
                <w:kern w:val="0"/>
              </w:rPr>
              <w:t>1</w:t>
            </w:r>
          </w:p>
        </w:tc>
        <w:tc>
          <w:tcPr>
            <w:tcW w:w="659" w:type="pct"/>
            <w:noWrap/>
            <w:vAlign w:val="center"/>
          </w:tcPr>
          <w:p w14:paraId="0208607F">
            <w:pPr>
              <w:widowControl/>
              <w:jc w:val="center"/>
              <w:rPr>
                <w:rFonts w:ascii="宋体" w:hAnsi="宋体" w:cs="宋体"/>
                <w:color w:val="auto"/>
                <w:kern w:val="0"/>
              </w:rPr>
            </w:pPr>
            <w:r>
              <w:rPr>
                <w:rFonts w:hint="eastAsia" w:ascii="宋体" w:hAnsi="宋体" w:cs="宋体"/>
                <w:color w:val="auto"/>
                <w:kern w:val="0"/>
              </w:rPr>
              <w:t>大芦湖</w:t>
            </w:r>
          </w:p>
        </w:tc>
        <w:tc>
          <w:tcPr>
            <w:tcW w:w="1140" w:type="pct"/>
            <w:noWrap/>
            <w:vAlign w:val="center"/>
          </w:tcPr>
          <w:p w14:paraId="15B7682E">
            <w:pPr>
              <w:widowControl/>
              <w:jc w:val="center"/>
              <w:rPr>
                <w:rFonts w:ascii="宋体" w:hAnsi="宋体" w:cs="宋体"/>
                <w:color w:val="auto"/>
                <w:kern w:val="0"/>
              </w:rPr>
            </w:pPr>
            <w:r>
              <w:rPr>
                <w:rFonts w:ascii="宋体" w:hAnsi="宋体" w:cs="宋体"/>
                <w:color w:val="auto"/>
                <w:kern w:val="0"/>
              </w:rPr>
              <w:t>10#</w:t>
            </w:r>
            <w:r>
              <w:rPr>
                <w:rFonts w:hint="eastAsia" w:ascii="宋体" w:hAnsi="宋体" w:cs="宋体"/>
                <w:color w:val="auto"/>
                <w:kern w:val="0"/>
              </w:rPr>
              <w:t>井场</w:t>
            </w:r>
          </w:p>
        </w:tc>
        <w:tc>
          <w:tcPr>
            <w:tcW w:w="427" w:type="pct"/>
            <w:noWrap/>
            <w:vAlign w:val="center"/>
          </w:tcPr>
          <w:p w14:paraId="18189C46">
            <w:pPr>
              <w:widowControl/>
              <w:jc w:val="center"/>
              <w:rPr>
                <w:rFonts w:ascii="宋体" w:hAnsi="宋体" w:cs="宋体"/>
                <w:color w:val="auto"/>
                <w:kern w:val="0"/>
              </w:rPr>
            </w:pPr>
            <w:r>
              <w:rPr>
                <w:rFonts w:ascii="宋体" w:hAnsi="宋体" w:cs="宋体"/>
                <w:color w:val="auto"/>
                <w:kern w:val="0"/>
              </w:rPr>
              <w:t>SW</w:t>
            </w:r>
          </w:p>
        </w:tc>
        <w:tc>
          <w:tcPr>
            <w:tcW w:w="651" w:type="pct"/>
            <w:noWrap/>
            <w:vAlign w:val="center"/>
          </w:tcPr>
          <w:p w14:paraId="6CE281BF">
            <w:pPr>
              <w:widowControl/>
              <w:jc w:val="center"/>
              <w:rPr>
                <w:rFonts w:ascii="宋体" w:hAnsi="宋体" w:cs="宋体"/>
                <w:color w:val="auto"/>
                <w:kern w:val="0"/>
              </w:rPr>
            </w:pPr>
            <w:r>
              <w:rPr>
                <w:rFonts w:hint="eastAsia" w:ascii="宋体" w:hAnsi="宋体" w:cs="宋体"/>
                <w:color w:val="auto"/>
                <w:kern w:val="0"/>
              </w:rPr>
              <w:t>5</w:t>
            </w:r>
            <w:r>
              <w:rPr>
                <w:rFonts w:ascii="宋体" w:hAnsi="宋体" w:cs="宋体"/>
                <w:color w:val="auto"/>
                <w:kern w:val="0"/>
              </w:rPr>
              <w:t>20</w:t>
            </w:r>
          </w:p>
        </w:tc>
        <w:tc>
          <w:tcPr>
            <w:tcW w:w="1263" w:type="pct"/>
            <w:vAlign w:val="center"/>
          </w:tcPr>
          <w:p w14:paraId="7AFD9CAB">
            <w:pPr>
              <w:widowControl/>
              <w:jc w:val="center"/>
              <w:rPr>
                <w:rFonts w:ascii="宋体" w:hAnsi="宋体" w:cs="宋体"/>
                <w:color w:val="auto"/>
                <w:kern w:val="0"/>
              </w:rPr>
            </w:pPr>
            <w:r>
              <w:rPr>
                <w:rFonts w:hint="eastAsia" w:ascii="宋体" w:hAnsi="宋体"/>
                <w:snapToGrid w:val="0"/>
                <w:color w:val="auto"/>
                <w:kern w:val="0"/>
              </w:rPr>
              <w:t>《地表水环境质量标准》（GB 3838-2002）中的</w:t>
            </w:r>
            <w:r>
              <w:rPr>
                <w:rFonts w:hint="eastAsia" w:ascii="宋体" w:hAnsi="宋体" w:cs="宋体"/>
                <w:color w:val="auto"/>
              </w:rPr>
              <w:t>Ⅲ类</w:t>
            </w:r>
            <w:r>
              <w:rPr>
                <w:rFonts w:hint="eastAsia" w:ascii="宋体" w:hAnsi="宋体"/>
                <w:snapToGrid w:val="0"/>
                <w:color w:val="auto"/>
                <w:kern w:val="0"/>
              </w:rPr>
              <w:t>标准</w:t>
            </w:r>
          </w:p>
        </w:tc>
      </w:tr>
      <w:tr w14:paraId="01DBF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Merge w:val="continue"/>
            <w:vAlign w:val="center"/>
          </w:tcPr>
          <w:p w14:paraId="0BD5C937">
            <w:pPr>
              <w:widowControl/>
              <w:jc w:val="center"/>
              <w:rPr>
                <w:rFonts w:ascii="宋体" w:hAnsi="宋体" w:cs="宋体"/>
                <w:color w:val="auto"/>
                <w:kern w:val="0"/>
              </w:rPr>
            </w:pPr>
          </w:p>
        </w:tc>
        <w:tc>
          <w:tcPr>
            <w:tcW w:w="405" w:type="pct"/>
            <w:vAlign w:val="center"/>
          </w:tcPr>
          <w:p w14:paraId="35D767A1">
            <w:pPr>
              <w:widowControl/>
              <w:jc w:val="center"/>
              <w:rPr>
                <w:rFonts w:ascii="宋体" w:hAnsi="宋体" w:cs="宋体"/>
                <w:color w:val="auto"/>
                <w:kern w:val="0"/>
              </w:rPr>
            </w:pPr>
            <w:r>
              <w:rPr>
                <w:rFonts w:hint="eastAsia" w:ascii="宋体" w:hAnsi="宋体" w:cs="宋体"/>
                <w:color w:val="auto"/>
                <w:kern w:val="0"/>
              </w:rPr>
              <w:t>2</w:t>
            </w:r>
          </w:p>
        </w:tc>
        <w:tc>
          <w:tcPr>
            <w:tcW w:w="659" w:type="pct"/>
            <w:noWrap/>
            <w:vAlign w:val="center"/>
          </w:tcPr>
          <w:p w14:paraId="0C16EFC6">
            <w:pPr>
              <w:widowControl/>
              <w:jc w:val="center"/>
              <w:rPr>
                <w:rFonts w:ascii="宋体" w:hAnsi="宋体" w:cs="宋体"/>
                <w:color w:val="auto"/>
                <w:kern w:val="0"/>
              </w:rPr>
            </w:pPr>
            <w:r>
              <w:rPr>
                <w:rFonts w:hint="eastAsia" w:ascii="宋体" w:hAnsi="宋体" w:cs="宋体"/>
                <w:color w:val="auto"/>
                <w:kern w:val="0"/>
              </w:rPr>
              <w:t>北支新河</w:t>
            </w:r>
          </w:p>
        </w:tc>
        <w:tc>
          <w:tcPr>
            <w:tcW w:w="1140" w:type="pct"/>
            <w:noWrap/>
            <w:vAlign w:val="center"/>
          </w:tcPr>
          <w:p w14:paraId="7BF7DC79">
            <w:pPr>
              <w:widowControl/>
              <w:jc w:val="center"/>
              <w:rPr>
                <w:rFonts w:ascii="宋体" w:hAnsi="宋体" w:cs="宋体"/>
                <w:color w:val="auto"/>
                <w:kern w:val="0"/>
              </w:rPr>
            </w:pPr>
            <w:r>
              <w:rPr>
                <w:rFonts w:ascii="宋体" w:hAnsi="宋体" w:cs="宋体"/>
                <w:color w:val="auto"/>
                <w:kern w:val="0"/>
              </w:rPr>
              <w:t>2#</w:t>
            </w:r>
            <w:r>
              <w:rPr>
                <w:rFonts w:hint="eastAsia" w:ascii="宋体" w:hAnsi="宋体" w:cs="宋体"/>
                <w:color w:val="auto"/>
                <w:kern w:val="0"/>
              </w:rPr>
              <w:t>井场</w:t>
            </w:r>
          </w:p>
        </w:tc>
        <w:tc>
          <w:tcPr>
            <w:tcW w:w="427" w:type="pct"/>
            <w:noWrap/>
            <w:vAlign w:val="center"/>
          </w:tcPr>
          <w:p w14:paraId="2B4EB8E5">
            <w:pPr>
              <w:widowControl/>
              <w:jc w:val="center"/>
              <w:rPr>
                <w:rFonts w:ascii="宋体" w:hAnsi="宋体" w:cs="宋体"/>
                <w:color w:val="auto"/>
                <w:kern w:val="0"/>
              </w:rPr>
            </w:pPr>
            <w:r>
              <w:rPr>
                <w:rFonts w:ascii="宋体" w:hAnsi="宋体" w:cs="宋体"/>
                <w:color w:val="auto"/>
                <w:kern w:val="0"/>
              </w:rPr>
              <w:t>S</w:t>
            </w:r>
          </w:p>
        </w:tc>
        <w:tc>
          <w:tcPr>
            <w:tcW w:w="651" w:type="pct"/>
            <w:noWrap/>
            <w:vAlign w:val="center"/>
          </w:tcPr>
          <w:p w14:paraId="4CE1F5FD">
            <w:pPr>
              <w:widowControl/>
              <w:jc w:val="center"/>
              <w:rPr>
                <w:rFonts w:ascii="宋体" w:hAnsi="宋体" w:cs="宋体"/>
                <w:color w:val="auto"/>
                <w:kern w:val="0"/>
              </w:rPr>
            </w:pPr>
            <w:r>
              <w:rPr>
                <w:rFonts w:ascii="宋体" w:hAnsi="宋体" w:cs="宋体"/>
                <w:color w:val="auto"/>
                <w:kern w:val="0"/>
              </w:rPr>
              <w:t>1031</w:t>
            </w:r>
          </w:p>
        </w:tc>
        <w:tc>
          <w:tcPr>
            <w:tcW w:w="1263" w:type="pct"/>
            <w:vAlign w:val="center"/>
          </w:tcPr>
          <w:p w14:paraId="2DCEF2DF">
            <w:pPr>
              <w:widowControl/>
              <w:jc w:val="center"/>
              <w:rPr>
                <w:rFonts w:ascii="宋体" w:hAnsi="宋体"/>
                <w:snapToGrid w:val="0"/>
                <w:color w:val="auto"/>
                <w:kern w:val="0"/>
              </w:rPr>
            </w:pPr>
            <w:r>
              <w:rPr>
                <w:rFonts w:hint="eastAsia" w:ascii="宋体" w:hAnsi="宋体"/>
                <w:snapToGrid w:val="0"/>
                <w:color w:val="auto"/>
                <w:kern w:val="0"/>
              </w:rPr>
              <w:t>《地表水环境质量标准》（GB 3838-2002）中的</w:t>
            </w:r>
            <w:r>
              <w:rPr>
                <w:rFonts w:hint="eastAsia" w:ascii="宋体" w:hAnsi="宋体" w:cs="宋体"/>
                <w:color w:val="auto"/>
              </w:rPr>
              <w:t>Ⅴ类</w:t>
            </w:r>
            <w:r>
              <w:rPr>
                <w:rFonts w:hint="eastAsia" w:ascii="宋体" w:hAnsi="宋体"/>
                <w:snapToGrid w:val="0"/>
                <w:color w:val="auto"/>
                <w:kern w:val="0"/>
              </w:rPr>
              <w:t>标准</w:t>
            </w:r>
          </w:p>
        </w:tc>
      </w:tr>
      <w:tr w14:paraId="6FD2A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Align w:val="center"/>
          </w:tcPr>
          <w:p w14:paraId="4776E23B">
            <w:pPr>
              <w:widowControl/>
              <w:jc w:val="center"/>
              <w:rPr>
                <w:rFonts w:ascii="宋体" w:hAnsi="宋体" w:cs="宋体"/>
                <w:color w:val="auto"/>
                <w:kern w:val="0"/>
              </w:rPr>
            </w:pPr>
            <w:r>
              <w:rPr>
                <w:rFonts w:hint="eastAsia" w:ascii="宋体" w:hAnsi="宋体" w:cs="宋体"/>
                <w:color w:val="auto"/>
                <w:kern w:val="0"/>
              </w:rPr>
              <w:t>地下水</w:t>
            </w:r>
          </w:p>
        </w:tc>
        <w:tc>
          <w:tcPr>
            <w:tcW w:w="405" w:type="pct"/>
            <w:vAlign w:val="center"/>
          </w:tcPr>
          <w:p w14:paraId="203AAF7E">
            <w:pPr>
              <w:widowControl/>
              <w:jc w:val="center"/>
              <w:rPr>
                <w:rFonts w:ascii="宋体" w:hAnsi="宋体" w:cs="宋体"/>
                <w:color w:val="auto"/>
                <w:kern w:val="0"/>
              </w:rPr>
            </w:pPr>
            <w:r>
              <w:rPr>
                <w:rFonts w:hint="eastAsia" w:ascii="宋体" w:hAnsi="宋体" w:cs="宋体"/>
                <w:color w:val="auto"/>
                <w:kern w:val="0"/>
              </w:rPr>
              <w:t>1</w:t>
            </w:r>
          </w:p>
        </w:tc>
        <w:tc>
          <w:tcPr>
            <w:tcW w:w="659" w:type="pct"/>
            <w:noWrap/>
            <w:vAlign w:val="center"/>
          </w:tcPr>
          <w:p w14:paraId="101B4D2D">
            <w:pPr>
              <w:widowControl/>
              <w:jc w:val="center"/>
              <w:rPr>
                <w:rFonts w:ascii="宋体" w:hAnsi="宋体" w:cs="宋体"/>
                <w:color w:val="auto"/>
                <w:kern w:val="0"/>
              </w:rPr>
            </w:pPr>
            <w:r>
              <w:rPr>
                <w:rFonts w:hint="eastAsia" w:ascii="宋体" w:hAnsi="宋体" w:cs="宋体"/>
                <w:color w:val="auto"/>
                <w:kern w:val="0"/>
              </w:rPr>
              <w:t>——</w:t>
            </w:r>
          </w:p>
        </w:tc>
        <w:tc>
          <w:tcPr>
            <w:tcW w:w="1140" w:type="pct"/>
            <w:noWrap/>
            <w:vAlign w:val="center"/>
          </w:tcPr>
          <w:p w14:paraId="299E2070">
            <w:pPr>
              <w:widowControl/>
              <w:jc w:val="center"/>
              <w:rPr>
                <w:rFonts w:ascii="宋体" w:hAnsi="宋体" w:cs="宋体"/>
                <w:color w:val="auto"/>
                <w:kern w:val="0"/>
              </w:rPr>
            </w:pPr>
            <w:r>
              <w:rPr>
                <w:rFonts w:hint="eastAsia" w:ascii="宋体" w:hAnsi="宋体" w:cs="宋体"/>
                <w:color w:val="auto"/>
                <w:kern w:val="0"/>
              </w:rPr>
              <w:t>——</w:t>
            </w:r>
          </w:p>
        </w:tc>
        <w:tc>
          <w:tcPr>
            <w:tcW w:w="427" w:type="pct"/>
            <w:noWrap/>
            <w:vAlign w:val="center"/>
          </w:tcPr>
          <w:p w14:paraId="44693E6D">
            <w:pPr>
              <w:widowControl/>
              <w:jc w:val="center"/>
              <w:rPr>
                <w:rFonts w:ascii="宋体" w:hAnsi="宋体" w:cs="宋体"/>
                <w:color w:val="auto"/>
                <w:kern w:val="0"/>
              </w:rPr>
            </w:pPr>
            <w:r>
              <w:rPr>
                <w:rFonts w:hint="eastAsia" w:ascii="宋体" w:hAnsi="宋体" w:cs="宋体"/>
                <w:color w:val="auto"/>
                <w:kern w:val="0"/>
              </w:rPr>
              <w:t>——</w:t>
            </w:r>
          </w:p>
        </w:tc>
        <w:tc>
          <w:tcPr>
            <w:tcW w:w="651" w:type="pct"/>
            <w:noWrap/>
            <w:vAlign w:val="center"/>
          </w:tcPr>
          <w:p w14:paraId="76A5B56E">
            <w:pPr>
              <w:widowControl/>
              <w:jc w:val="center"/>
              <w:rPr>
                <w:rFonts w:ascii="宋体" w:hAnsi="宋体" w:cs="宋体"/>
                <w:color w:val="auto"/>
                <w:kern w:val="0"/>
              </w:rPr>
            </w:pPr>
            <w:r>
              <w:rPr>
                <w:rFonts w:hint="eastAsia" w:ascii="宋体" w:hAnsi="宋体" w:cs="宋体"/>
                <w:color w:val="auto"/>
                <w:kern w:val="0"/>
              </w:rPr>
              <w:t>——</w:t>
            </w:r>
          </w:p>
        </w:tc>
        <w:tc>
          <w:tcPr>
            <w:tcW w:w="1263" w:type="pct"/>
            <w:vAlign w:val="center"/>
          </w:tcPr>
          <w:p w14:paraId="50F0B06B">
            <w:pPr>
              <w:widowControl/>
              <w:jc w:val="center"/>
              <w:rPr>
                <w:rFonts w:ascii="宋体" w:hAnsi="宋体" w:cs="宋体"/>
                <w:color w:val="auto"/>
                <w:kern w:val="0"/>
              </w:rPr>
            </w:pPr>
            <w:r>
              <w:rPr>
                <w:rFonts w:hint="eastAsia" w:ascii="宋体" w:hAnsi="宋体" w:cs="宋体"/>
                <w:color w:val="auto"/>
              </w:rPr>
              <w:t>《地下水质量标准》（GB/T 14848-</w:t>
            </w:r>
            <w:r>
              <w:rPr>
                <w:rFonts w:ascii="宋体" w:hAnsi="宋体" w:cs="宋体"/>
                <w:color w:val="auto"/>
              </w:rPr>
              <w:t>2017</w:t>
            </w:r>
            <w:r>
              <w:rPr>
                <w:rFonts w:hint="eastAsia" w:ascii="宋体" w:hAnsi="宋体" w:cs="宋体"/>
                <w:color w:val="auto"/>
              </w:rPr>
              <w:t>）中的Ⅲ类标准</w:t>
            </w:r>
          </w:p>
        </w:tc>
      </w:tr>
      <w:tr w14:paraId="33073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Merge w:val="restart"/>
            <w:vAlign w:val="center"/>
          </w:tcPr>
          <w:p w14:paraId="7C0D7DF0">
            <w:pPr>
              <w:widowControl/>
              <w:jc w:val="center"/>
              <w:rPr>
                <w:rFonts w:ascii="宋体" w:hAnsi="宋体" w:cs="宋体"/>
                <w:color w:val="auto"/>
                <w:kern w:val="0"/>
              </w:rPr>
            </w:pPr>
            <w:r>
              <w:rPr>
                <w:rFonts w:hint="eastAsia" w:ascii="宋体" w:hAnsi="宋体" w:cs="宋体"/>
                <w:color w:val="auto"/>
                <w:kern w:val="0"/>
              </w:rPr>
              <w:t>土壤</w:t>
            </w:r>
          </w:p>
        </w:tc>
        <w:tc>
          <w:tcPr>
            <w:tcW w:w="405" w:type="pct"/>
            <w:vAlign w:val="center"/>
          </w:tcPr>
          <w:p w14:paraId="402B4E38">
            <w:pPr>
              <w:widowControl/>
              <w:jc w:val="center"/>
              <w:rPr>
                <w:rFonts w:ascii="宋体" w:hAnsi="宋体" w:cs="宋体"/>
                <w:color w:val="auto"/>
                <w:kern w:val="0"/>
              </w:rPr>
            </w:pPr>
            <w:r>
              <w:rPr>
                <w:rFonts w:hint="eastAsia" w:ascii="宋体" w:hAnsi="宋体" w:cs="宋体"/>
                <w:color w:val="auto"/>
                <w:kern w:val="0"/>
              </w:rPr>
              <w:t>1</w:t>
            </w:r>
          </w:p>
        </w:tc>
        <w:tc>
          <w:tcPr>
            <w:tcW w:w="659" w:type="pct"/>
            <w:noWrap/>
            <w:vAlign w:val="center"/>
          </w:tcPr>
          <w:p w14:paraId="3BCEBCDA">
            <w:pPr>
              <w:widowControl/>
              <w:jc w:val="center"/>
              <w:rPr>
                <w:rFonts w:ascii="宋体" w:hAnsi="宋体" w:cs="宋体"/>
                <w:color w:val="auto"/>
                <w:kern w:val="0"/>
              </w:rPr>
            </w:pPr>
            <w:r>
              <w:rPr>
                <w:rFonts w:hint="eastAsia" w:ascii="宋体" w:hAnsi="宋体" w:cs="宋体"/>
                <w:color w:val="auto"/>
                <w:kern w:val="0"/>
              </w:rPr>
              <w:t>许管村</w:t>
            </w:r>
          </w:p>
        </w:tc>
        <w:tc>
          <w:tcPr>
            <w:tcW w:w="1140" w:type="pct"/>
            <w:noWrap/>
            <w:vAlign w:val="center"/>
          </w:tcPr>
          <w:p w14:paraId="50F3D51D">
            <w:pPr>
              <w:widowControl/>
              <w:jc w:val="center"/>
              <w:rPr>
                <w:rFonts w:ascii="宋体" w:hAnsi="宋体" w:cs="宋体"/>
                <w:color w:val="auto"/>
                <w:kern w:val="0"/>
              </w:rPr>
            </w:pPr>
            <w:r>
              <w:rPr>
                <w:rFonts w:hint="eastAsia" w:ascii="宋体" w:hAnsi="宋体" w:cs="宋体"/>
                <w:color w:val="auto"/>
                <w:kern w:val="0"/>
              </w:rPr>
              <w:t>樊1</w:t>
            </w:r>
            <w:r>
              <w:rPr>
                <w:rFonts w:ascii="宋体" w:hAnsi="宋体" w:cs="宋体"/>
                <w:color w:val="auto"/>
                <w:kern w:val="0"/>
              </w:rPr>
              <w:t>8-</w:t>
            </w:r>
            <w:r>
              <w:rPr>
                <w:rFonts w:hint="eastAsia" w:ascii="宋体" w:hAnsi="宋体" w:cs="宋体"/>
                <w:color w:val="auto"/>
                <w:kern w:val="0"/>
              </w:rPr>
              <w:t>侧3</w:t>
            </w:r>
            <w:r>
              <w:rPr>
                <w:rFonts w:ascii="宋体" w:hAnsi="宋体" w:cs="宋体"/>
                <w:color w:val="auto"/>
                <w:kern w:val="0"/>
              </w:rPr>
              <w:t>5</w:t>
            </w:r>
            <w:r>
              <w:rPr>
                <w:rFonts w:hint="eastAsia" w:ascii="宋体" w:hAnsi="宋体" w:cs="宋体"/>
                <w:color w:val="auto"/>
                <w:kern w:val="0"/>
              </w:rPr>
              <w:t>拉改输管线</w:t>
            </w:r>
          </w:p>
        </w:tc>
        <w:tc>
          <w:tcPr>
            <w:tcW w:w="427" w:type="pct"/>
            <w:noWrap/>
            <w:vAlign w:val="center"/>
          </w:tcPr>
          <w:p w14:paraId="1AAAA0E7">
            <w:pPr>
              <w:widowControl/>
              <w:jc w:val="center"/>
              <w:rPr>
                <w:rFonts w:ascii="宋体" w:hAnsi="宋体" w:cs="宋体"/>
                <w:color w:val="auto"/>
                <w:kern w:val="0"/>
              </w:rPr>
            </w:pPr>
            <w:r>
              <w:rPr>
                <w:rFonts w:hint="eastAsia" w:ascii="宋体" w:hAnsi="宋体" w:cs="宋体"/>
                <w:color w:val="auto"/>
                <w:kern w:val="0"/>
              </w:rPr>
              <w:t>N</w:t>
            </w:r>
            <w:r>
              <w:rPr>
                <w:rFonts w:ascii="宋体" w:hAnsi="宋体" w:cs="宋体"/>
                <w:color w:val="auto"/>
                <w:kern w:val="0"/>
              </w:rPr>
              <w:t>W</w:t>
            </w:r>
          </w:p>
        </w:tc>
        <w:tc>
          <w:tcPr>
            <w:tcW w:w="651" w:type="pct"/>
            <w:noWrap/>
            <w:vAlign w:val="center"/>
          </w:tcPr>
          <w:p w14:paraId="54E05ABC">
            <w:pPr>
              <w:widowControl/>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90</w:t>
            </w:r>
          </w:p>
        </w:tc>
        <w:tc>
          <w:tcPr>
            <w:tcW w:w="1263" w:type="pct"/>
            <w:vMerge w:val="restart"/>
            <w:vAlign w:val="center"/>
          </w:tcPr>
          <w:p w14:paraId="34E62787">
            <w:pPr>
              <w:widowControl/>
              <w:jc w:val="center"/>
              <w:rPr>
                <w:rFonts w:ascii="宋体" w:hAnsi="宋体" w:cs="宋体"/>
                <w:color w:val="auto"/>
              </w:rPr>
            </w:pPr>
            <w:r>
              <w:rPr>
                <w:rFonts w:hint="eastAsia" w:ascii="宋体" w:hAnsi="宋体" w:cs="宋体"/>
                <w:color w:val="auto"/>
                <w:kern w:val="0"/>
              </w:rPr>
              <w:t>《土壤环境质量 建设用地土壤污染风险管控标准（试行）》（GB 36600-2018）一类区</w:t>
            </w:r>
          </w:p>
        </w:tc>
      </w:tr>
      <w:tr w14:paraId="56DD1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Merge w:val="continue"/>
            <w:vAlign w:val="center"/>
          </w:tcPr>
          <w:p w14:paraId="47481372">
            <w:pPr>
              <w:widowControl/>
              <w:jc w:val="center"/>
              <w:rPr>
                <w:rFonts w:ascii="宋体" w:hAnsi="宋体" w:cs="宋体"/>
                <w:color w:val="auto"/>
                <w:kern w:val="0"/>
              </w:rPr>
            </w:pPr>
          </w:p>
        </w:tc>
        <w:tc>
          <w:tcPr>
            <w:tcW w:w="405" w:type="pct"/>
            <w:vAlign w:val="center"/>
          </w:tcPr>
          <w:p w14:paraId="25F834FD">
            <w:pPr>
              <w:widowControl/>
              <w:jc w:val="center"/>
              <w:rPr>
                <w:rFonts w:ascii="宋体" w:hAnsi="宋体" w:cs="宋体"/>
                <w:color w:val="auto"/>
                <w:kern w:val="0"/>
              </w:rPr>
            </w:pPr>
            <w:r>
              <w:rPr>
                <w:rFonts w:hint="eastAsia" w:ascii="宋体" w:hAnsi="宋体" w:cs="宋体"/>
                <w:color w:val="auto"/>
                <w:kern w:val="0"/>
              </w:rPr>
              <w:t>2</w:t>
            </w:r>
          </w:p>
        </w:tc>
        <w:tc>
          <w:tcPr>
            <w:tcW w:w="659" w:type="pct"/>
            <w:noWrap/>
            <w:vAlign w:val="center"/>
          </w:tcPr>
          <w:p w14:paraId="01CD23D1">
            <w:pPr>
              <w:widowControl/>
              <w:jc w:val="center"/>
              <w:rPr>
                <w:rFonts w:ascii="宋体" w:hAnsi="宋体" w:cs="宋体"/>
                <w:color w:val="auto"/>
                <w:kern w:val="0"/>
              </w:rPr>
            </w:pPr>
            <w:r>
              <w:rPr>
                <w:rFonts w:hint="eastAsia" w:ascii="宋体" w:hAnsi="宋体" w:cs="宋体"/>
                <w:color w:val="auto"/>
                <w:kern w:val="0"/>
              </w:rPr>
              <w:t>新五合村</w:t>
            </w:r>
          </w:p>
        </w:tc>
        <w:tc>
          <w:tcPr>
            <w:tcW w:w="1140" w:type="pct"/>
            <w:noWrap/>
            <w:vAlign w:val="center"/>
          </w:tcPr>
          <w:p w14:paraId="4ADFC12F">
            <w:pPr>
              <w:widowControl/>
              <w:jc w:val="center"/>
              <w:rPr>
                <w:rFonts w:ascii="宋体" w:hAnsi="宋体" w:cs="宋体"/>
                <w:color w:val="auto"/>
                <w:kern w:val="0"/>
              </w:rPr>
            </w:pPr>
            <w:r>
              <w:rPr>
                <w:rFonts w:hint="eastAsia" w:ascii="宋体" w:hAnsi="宋体" w:cs="宋体"/>
                <w:color w:val="auto"/>
                <w:kern w:val="0"/>
              </w:rPr>
              <w:t>樊2</w:t>
            </w:r>
            <w:r>
              <w:rPr>
                <w:rFonts w:ascii="宋体" w:hAnsi="宋体" w:cs="宋体"/>
                <w:color w:val="auto"/>
                <w:kern w:val="0"/>
              </w:rPr>
              <w:t>6-18</w:t>
            </w:r>
            <w:r>
              <w:rPr>
                <w:rFonts w:hint="eastAsia" w:ascii="宋体" w:hAnsi="宋体" w:cs="宋体"/>
                <w:color w:val="auto"/>
                <w:kern w:val="0"/>
              </w:rPr>
              <w:t>至樊1</w:t>
            </w:r>
            <w:r>
              <w:rPr>
                <w:rFonts w:ascii="宋体" w:hAnsi="宋体" w:cs="宋体"/>
                <w:color w:val="auto"/>
                <w:kern w:val="0"/>
              </w:rPr>
              <w:t>21-X85</w:t>
            </w:r>
            <w:r>
              <w:rPr>
                <w:rFonts w:hint="eastAsia" w:ascii="宋体" w:hAnsi="宋体" w:cs="宋体"/>
                <w:color w:val="auto"/>
                <w:kern w:val="0"/>
              </w:rPr>
              <w:t>集油管线</w:t>
            </w:r>
          </w:p>
        </w:tc>
        <w:tc>
          <w:tcPr>
            <w:tcW w:w="427" w:type="pct"/>
            <w:noWrap/>
            <w:vAlign w:val="center"/>
          </w:tcPr>
          <w:p w14:paraId="1475D295">
            <w:pPr>
              <w:widowControl/>
              <w:jc w:val="center"/>
              <w:rPr>
                <w:rFonts w:ascii="宋体" w:hAnsi="宋体" w:cs="宋体"/>
                <w:color w:val="auto"/>
                <w:kern w:val="0"/>
              </w:rPr>
            </w:pPr>
            <w:r>
              <w:rPr>
                <w:rFonts w:hint="eastAsia" w:ascii="宋体" w:hAnsi="宋体" w:cs="宋体"/>
                <w:color w:val="auto"/>
                <w:kern w:val="0"/>
              </w:rPr>
              <w:t>S</w:t>
            </w:r>
          </w:p>
        </w:tc>
        <w:tc>
          <w:tcPr>
            <w:tcW w:w="651" w:type="pct"/>
            <w:noWrap/>
            <w:vAlign w:val="center"/>
          </w:tcPr>
          <w:p w14:paraId="28E28CD1">
            <w:pPr>
              <w:widowControl/>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80</w:t>
            </w:r>
          </w:p>
        </w:tc>
        <w:tc>
          <w:tcPr>
            <w:tcW w:w="1263" w:type="pct"/>
            <w:vMerge w:val="continue"/>
            <w:vAlign w:val="center"/>
          </w:tcPr>
          <w:p w14:paraId="435337F5">
            <w:pPr>
              <w:widowControl/>
              <w:jc w:val="center"/>
              <w:rPr>
                <w:rFonts w:ascii="宋体" w:hAnsi="宋体" w:cs="宋体"/>
                <w:color w:val="auto"/>
                <w:kern w:val="0"/>
              </w:rPr>
            </w:pPr>
          </w:p>
        </w:tc>
      </w:tr>
      <w:tr w14:paraId="295D5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Merge w:val="continue"/>
            <w:vAlign w:val="center"/>
          </w:tcPr>
          <w:p w14:paraId="0FE8AE4C">
            <w:pPr>
              <w:widowControl/>
              <w:jc w:val="center"/>
              <w:rPr>
                <w:rFonts w:ascii="宋体" w:hAnsi="宋体" w:cs="宋体"/>
                <w:color w:val="auto"/>
                <w:kern w:val="0"/>
              </w:rPr>
            </w:pPr>
          </w:p>
        </w:tc>
        <w:tc>
          <w:tcPr>
            <w:tcW w:w="405" w:type="pct"/>
            <w:vAlign w:val="center"/>
          </w:tcPr>
          <w:p w14:paraId="7CEBB316">
            <w:pPr>
              <w:widowControl/>
              <w:jc w:val="center"/>
              <w:rPr>
                <w:rFonts w:ascii="宋体" w:hAnsi="宋体" w:cs="宋体"/>
                <w:color w:val="auto"/>
                <w:kern w:val="0"/>
              </w:rPr>
            </w:pPr>
            <w:r>
              <w:rPr>
                <w:rFonts w:hint="eastAsia" w:ascii="宋体" w:hAnsi="宋体" w:cs="宋体"/>
                <w:color w:val="auto"/>
                <w:kern w:val="0"/>
              </w:rPr>
              <w:t>3</w:t>
            </w:r>
          </w:p>
        </w:tc>
        <w:tc>
          <w:tcPr>
            <w:tcW w:w="659" w:type="pct"/>
            <w:noWrap/>
            <w:vAlign w:val="center"/>
          </w:tcPr>
          <w:p w14:paraId="6C425427">
            <w:pPr>
              <w:widowControl/>
              <w:jc w:val="center"/>
              <w:rPr>
                <w:rFonts w:ascii="宋体" w:hAnsi="宋体" w:cs="宋体"/>
                <w:color w:val="auto"/>
                <w:kern w:val="0"/>
              </w:rPr>
            </w:pPr>
            <w:r>
              <w:rPr>
                <w:rFonts w:hint="eastAsia" w:ascii="宋体" w:hAnsi="宋体" w:cs="宋体"/>
                <w:color w:val="auto"/>
                <w:kern w:val="0"/>
              </w:rPr>
              <w:t>樊家村</w:t>
            </w:r>
          </w:p>
        </w:tc>
        <w:tc>
          <w:tcPr>
            <w:tcW w:w="1140" w:type="pct"/>
            <w:vMerge w:val="restart"/>
            <w:noWrap/>
            <w:vAlign w:val="center"/>
          </w:tcPr>
          <w:p w14:paraId="0AA682F4">
            <w:pPr>
              <w:widowControl/>
              <w:jc w:val="center"/>
              <w:rPr>
                <w:rFonts w:ascii="宋体" w:hAnsi="宋体" w:cs="宋体"/>
                <w:color w:val="auto"/>
                <w:kern w:val="0"/>
              </w:rPr>
            </w:pPr>
            <w:r>
              <w:rPr>
                <w:rFonts w:hint="eastAsia" w:ascii="宋体" w:hAnsi="宋体" w:cs="宋体"/>
                <w:color w:val="auto"/>
                <w:kern w:val="0"/>
              </w:rPr>
              <w:t>新建自来水供水管线</w:t>
            </w:r>
          </w:p>
        </w:tc>
        <w:tc>
          <w:tcPr>
            <w:tcW w:w="427" w:type="pct"/>
            <w:noWrap/>
            <w:vAlign w:val="center"/>
          </w:tcPr>
          <w:p w14:paraId="4658CD9D">
            <w:pPr>
              <w:widowControl/>
              <w:jc w:val="center"/>
              <w:rPr>
                <w:rFonts w:ascii="宋体" w:hAnsi="宋体" w:cs="宋体"/>
                <w:color w:val="auto"/>
                <w:kern w:val="0"/>
              </w:rPr>
            </w:pPr>
            <w:r>
              <w:rPr>
                <w:rFonts w:hint="eastAsia" w:ascii="宋体" w:hAnsi="宋体" w:cs="宋体"/>
                <w:color w:val="auto"/>
                <w:kern w:val="0"/>
              </w:rPr>
              <w:t>E</w:t>
            </w:r>
          </w:p>
        </w:tc>
        <w:tc>
          <w:tcPr>
            <w:tcW w:w="651" w:type="pct"/>
            <w:noWrap/>
            <w:vAlign w:val="center"/>
          </w:tcPr>
          <w:p w14:paraId="62364460">
            <w:pPr>
              <w:widowControl/>
              <w:jc w:val="center"/>
              <w:rPr>
                <w:rFonts w:ascii="宋体" w:hAnsi="宋体" w:cs="宋体"/>
                <w:color w:val="auto"/>
                <w:kern w:val="0"/>
              </w:rPr>
            </w:pPr>
            <w:r>
              <w:rPr>
                <w:rFonts w:hint="eastAsia" w:ascii="宋体" w:hAnsi="宋体" w:cs="宋体"/>
                <w:color w:val="auto"/>
                <w:kern w:val="0"/>
              </w:rPr>
              <w:t>2</w:t>
            </w:r>
            <w:r>
              <w:rPr>
                <w:rFonts w:ascii="宋体" w:hAnsi="宋体" w:cs="宋体"/>
                <w:color w:val="auto"/>
                <w:kern w:val="0"/>
              </w:rPr>
              <w:t>0</w:t>
            </w:r>
          </w:p>
        </w:tc>
        <w:tc>
          <w:tcPr>
            <w:tcW w:w="1263" w:type="pct"/>
            <w:vMerge w:val="continue"/>
            <w:vAlign w:val="center"/>
          </w:tcPr>
          <w:p w14:paraId="7E03B226">
            <w:pPr>
              <w:widowControl/>
              <w:jc w:val="center"/>
              <w:rPr>
                <w:rFonts w:ascii="宋体" w:hAnsi="宋体" w:cs="宋体"/>
                <w:color w:val="auto"/>
                <w:kern w:val="0"/>
              </w:rPr>
            </w:pPr>
          </w:p>
        </w:tc>
      </w:tr>
      <w:tr w14:paraId="5B061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Merge w:val="continue"/>
            <w:vAlign w:val="center"/>
          </w:tcPr>
          <w:p w14:paraId="24DB3070">
            <w:pPr>
              <w:widowControl/>
              <w:jc w:val="center"/>
              <w:rPr>
                <w:rFonts w:ascii="宋体" w:hAnsi="宋体" w:cs="宋体"/>
                <w:color w:val="auto"/>
                <w:kern w:val="0"/>
              </w:rPr>
            </w:pPr>
          </w:p>
        </w:tc>
        <w:tc>
          <w:tcPr>
            <w:tcW w:w="405" w:type="pct"/>
            <w:vAlign w:val="center"/>
          </w:tcPr>
          <w:p w14:paraId="22C62F69">
            <w:pPr>
              <w:widowControl/>
              <w:jc w:val="center"/>
              <w:rPr>
                <w:rFonts w:ascii="宋体" w:hAnsi="宋体" w:cs="宋体"/>
                <w:color w:val="auto"/>
                <w:kern w:val="0"/>
              </w:rPr>
            </w:pPr>
            <w:r>
              <w:rPr>
                <w:rFonts w:hint="eastAsia" w:ascii="宋体" w:hAnsi="宋体" w:cs="宋体"/>
                <w:color w:val="auto"/>
                <w:kern w:val="0"/>
              </w:rPr>
              <w:t>4</w:t>
            </w:r>
          </w:p>
        </w:tc>
        <w:tc>
          <w:tcPr>
            <w:tcW w:w="659" w:type="pct"/>
            <w:noWrap/>
            <w:vAlign w:val="center"/>
          </w:tcPr>
          <w:p w14:paraId="57468A83">
            <w:pPr>
              <w:widowControl/>
              <w:jc w:val="center"/>
              <w:rPr>
                <w:rFonts w:ascii="宋体" w:hAnsi="宋体" w:cs="宋体"/>
                <w:color w:val="auto"/>
                <w:kern w:val="0"/>
              </w:rPr>
            </w:pPr>
            <w:r>
              <w:rPr>
                <w:rFonts w:hint="eastAsia" w:ascii="宋体" w:hAnsi="宋体" w:cs="宋体"/>
                <w:color w:val="auto"/>
                <w:kern w:val="0"/>
              </w:rPr>
              <w:t>王桥村</w:t>
            </w:r>
          </w:p>
        </w:tc>
        <w:tc>
          <w:tcPr>
            <w:tcW w:w="1140" w:type="pct"/>
            <w:vMerge w:val="continue"/>
            <w:noWrap/>
            <w:vAlign w:val="center"/>
          </w:tcPr>
          <w:p w14:paraId="517129EF">
            <w:pPr>
              <w:widowControl/>
              <w:jc w:val="center"/>
              <w:rPr>
                <w:rFonts w:ascii="宋体" w:hAnsi="宋体" w:cs="宋体"/>
                <w:color w:val="auto"/>
                <w:kern w:val="0"/>
              </w:rPr>
            </w:pPr>
          </w:p>
        </w:tc>
        <w:tc>
          <w:tcPr>
            <w:tcW w:w="427" w:type="pct"/>
            <w:noWrap/>
            <w:vAlign w:val="center"/>
          </w:tcPr>
          <w:p w14:paraId="46CF771E">
            <w:pPr>
              <w:widowControl/>
              <w:jc w:val="center"/>
              <w:rPr>
                <w:rFonts w:ascii="宋体" w:hAnsi="宋体" w:cs="宋体"/>
                <w:color w:val="auto"/>
                <w:kern w:val="0"/>
              </w:rPr>
            </w:pPr>
            <w:r>
              <w:rPr>
                <w:rFonts w:hint="eastAsia" w:ascii="宋体" w:hAnsi="宋体" w:cs="宋体"/>
                <w:color w:val="auto"/>
                <w:kern w:val="0"/>
              </w:rPr>
              <w:t>E</w:t>
            </w:r>
          </w:p>
        </w:tc>
        <w:tc>
          <w:tcPr>
            <w:tcW w:w="651" w:type="pct"/>
            <w:noWrap/>
            <w:vAlign w:val="center"/>
          </w:tcPr>
          <w:p w14:paraId="2CCE8304">
            <w:pPr>
              <w:widowControl/>
              <w:jc w:val="center"/>
              <w:rPr>
                <w:rFonts w:ascii="宋体" w:hAnsi="宋体" w:cs="宋体"/>
                <w:color w:val="auto"/>
                <w:kern w:val="0"/>
              </w:rPr>
            </w:pPr>
            <w:r>
              <w:rPr>
                <w:rFonts w:hint="eastAsia" w:ascii="宋体" w:hAnsi="宋体" w:cs="宋体"/>
                <w:color w:val="auto"/>
                <w:kern w:val="0"/>
              </w:rPr>
              <w:t>9</w:t>
            </w:r>
            <w:r>
              <w:rPr>
                <w:rFonts w:ascii="宋体" w:hAnsi="宋体" w:cs="宋体"/>
                <w:color w:val="auto"/>
                <w:kern w:val="0"/>
              </w:rPr>
              <w:t>0</w:t>
            </w:r>
          </w:p>
        </w:tc>
        <w:tc>
          <w:tcPr>
            <w:tcW w:w="1263" w:type="pct"/>
            <w:vMerge w:val="continue"/>
            <w:vAlign w:val="center"/>
          </w:tcPr>
          <w:p w14:paraId="07482946">
            <w:pPr>
              <w:widowControl/>
              <w:jc w:val="center"/>
              <w:rPr>
                <w:rFonts w:ascii="宋体" w:hAnsi="宋体" w:cs="宋体"/>
                <w:color w:val="auto"/>
                <w:kern w:val="0"/>
              </w:rPr>
            </w:pPr>
          </w:p>
        </w:tc>
      </w:tr>
    </w:tbl>
    <w:p w14:paraId="02316FD1">
      <w:pPr>
        <w:rPr>
          <w:rFonts w:ascii="宋体" w:hAnsi="宋体"/>
          <w:color w:val="auto"/>
        </w:rPr>
      </w:pPr>
    </w:p>
    <w:p w14:paraId="55289923">
      <w:pPr>
        <w:rPr>
          <w:rFonts w:ascii="宋体" w:hAnsi="宋体"/>
          <w:color w:val="auto"/>
        </w:rPr>
        <w:sectPr>
          <w:pgSz w:w="11906" w:h="16838"/>
          <w:pgMar w:top="1418" w:right="1588" w:bottom="1418" w:left="1588" w:header="1134" w:footer="851" w:gutter="0"/>
          <w:cols w:space="720" w:num="1"/>
          <w:docGrid w:linePitch="312" w:charSpace="0"/>
        </w:sectPr>
      </w:pPr>
    </w:p>
    <w:p w14:paraId="2C710ACE">
      <w:pPr>
        <w:jc w:val="center"/>
        <w:rPr>
          <w:rFonts w:ascii="宋体" w:hAnsi="宋体"/>
          <w:color w:val="auto"/>
        </w:rPr>
      </w:pPr>
      <w:r>
        <w:rPr>
          <w:color w:val="auto"/>
        </w:rPr>
        <w:drawing>
          <wp:inline distT="0" distB="0" distL="0" distR="0">
            <wp:extent cx="7172325" cy="5096510"/>
            <wp:effectExtent l="0" t="0" r="0" b="8890"/>
            <wp:docPr id="459578612" name="图片 459578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2" name="图片 459578612"/>
                    <pic:cNvPicPr>
                      <a:picLocks noChangeAspect="1"/>
                    </pic:cNvPicPr>
                  </pic:nvPicPr>
                  <pic:blipFill>
                    <a:blip r:embed="rId60"/>
                    <a:stretch>
                      <a:fillRect/>
                    </a:stretch>
                  </pic:blipFill>
                  <pic:spPr>
                    <a:xfrm>
                      <a:off x="0" y="0"/>
                      <a:ext cx="7175455" cy="5099308"/>
                    </a:xfrm>
                    <a:prstGeom prst="rect">
                      <a:avLst/>
                    </a:prstGeom>
                  </pic:spPr>
                </pic:pic>
              </a:graphicData>
            </a:graphic>
          </wp:inline>
        </w:drawing>
      </w:r>
    </w:p>
    <w:p w14:paraId="6429E3F4">
      <w:pPr>
        <w:pStyle w:val="15"/>
        <w:spacing w:before="120"/>
        <w:rPr>
          <w:rFonts w:hAnsi="宋体"/>
          <w:color w:val="auto"/>
        </w:rPr>
      </w:pPr>
      <w:bookmarkStart w:id="311" w:name="_Ref225429056"/>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w:t>
      </w:r>
      <w:r>
        <w:rPr>
          <w:color w:val="auto"/>
        </w:rPr>
        <w:fldChar w:fldCharType="end"/>
      </w:r>
      <w:bookmarkEnd w:id="311"/>
      <w:r>
        <w:rPr>
          <w:color w:val="auto"/>
        </w:rPr>
        <w:t xml:space="preserve"> </w:t>
      </w:r>
      <w:bookmarkStart w:id="312" w:name="OLE_LINK239"/>
      <w:r>
        <w:rPr>
          <w:rFonts w:hint="eastAsia"/>
          <w:color w:val="auto"/>
        </w:rPr>
        <w:t>声环境评价范围内敏感目标分布情况</w:t>
      </w:r>
      <w:bookmarkEnd w:id="312"/>
      <w:r>
        <w:rPr>
          <w:rFonts w:hint="eastAsia"/>
          <w:color w:val="auto"/>
        </w:rPr>
        <w:t>（无环境敏感目标）</w:t>
      </w:r>
    </w:p>
    <w:p w14:paraId="2E90CEF4">
      <w:pPr>
        <w:pStyle w:val="15"/>
        <w:spacing w:before="120"/>
        <w:rPr>
          <w:color w:val="auto"/>
        </w:rPr>
      </w:pPr>
      <w:bookmarkStart w:id="313" w:name="_Ref54561899"/>
      <w:bookmarkEnd w:id="313"/>
      <w:bookmarkStart w:id="314" w:name="_Ref223705997"/>
      <w:r>
        <w:rPr>
          <w:color w:val="auto"/>
        </w:rPr>
        <w:drawing>
          <wp:inline distT="0" distB="0" distL="0" distR="0">
            <wp:extent cx="7810500" cy="5117465"/>
            <wp:effectExtent l="19050" t="19050" r="19050" b="26035"/>
            <wp:docPr id="459578613" name="图片 459578613" descr="I:\5-2025年项目\26.东胜1月两个验收\4、作图\大气评价范围图-2023~2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3" name="图片 459578613" descr="I:\5-2025年项目\26.东胜1月两个验收\4、作图\大气评价范围图-2023~2025(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7817834" cy="5122776"/>
                    </a:xfrm>
                    <a:prstGeom prst="rect">
                      <a:avLst/>
                    </a:prstGeom>
                    <a:noFill/>
                    <a:ln w="19050">
                      <a:solidFill>
                        <a:prstClr val="black"/>
                      </a:solidFill>
                    </a:ln>
                  </pic:spPr>
                </pic:pic>
              </a:graphicData>
            </a:graphic>
          </wp:inline>
        </w:drawing>
      </w:r>
    </w:p>
    <w:p w14:paraId="68260435">
      <w:pPr>
        <w:pStyle w:val="15"/>
        <w:spacing w:before="120"/>
        <w:rPr>
          <w:color w:val="auto"/>
        </w:rPr>
        <w:sectPr>
          <w:pgSz w:w="16838" w:h="11906" w:orient="landscape"/>
          <w:pgMar w:top="1588" w:right="1418" w:bottom="1588" w:left="1418" w:header="1134" w:footer="851" w:gutter="0"/>
          <w:cols w:space="720" w:num="1"/>
          <w:docGrid w:linePitch="312" w:charSpace="0"/>
        </w:sectPr>
      </w:pPr>
      <w:bookmarkStart w:id="315" w:name="_Ref225431571"/>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2</w:t>
      </w:r>
      <w:r>
        <w:rPr>
          <w:color w:val="auto"/>
        </w:rPr>
        <w:fldChar w:fldCharType="end"/>
      </w:r>
      <w:bookmarkEnd w:id="314"/>
      <w:bookmarkEnd w:id="315"/>
      <w:r>
        <w:rPr>
          <w:color w:val="auto"/>
        </w:rPr>
        <w:t xml:space="preserve"> </w:t>
      </w:r>
      <w:r>
        <w:rPr>
          <w:rFonts w:hint="eastAsia"/>
          <w:color w:val="auto"/>
        </w:rPr>
        <w:t>环境敏感目标分布对比图（底图出自原环评报告）</w:t>
      </w:r>
    </w:p>
    <w:p w14:paraId="3534C4D8">
      <w:pPr>
        <w:pStyle w:val="5"/>
        <w:rPr>
          <w:color w:val="auto"/>
        </w:rPr>
      </w:pPr>
      <w:bookmarkStart w:id="316" w:name="_Toc231283626"/>
      <w:r>
        <w:rPr>
          <w:rFonts w:hint="eastAsia"/>
          <w:color w:val="auto"/>
        </w:rPr>
        <w:t>工程</w:t>
      </w:r>
      <w:r>
        <w:rPr>
          <w:color w:val="auto"/>
        </w:rPr>
        <w:t>总投资和环保投资</w:t>
      </w:r>
      <w:bookmarkEnd w:id="316"/>
    </w:p>
    <w:p w14:paraId="0D8D9638">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本期工程</w:t>
      </w:r>
      <w:r>
        <w:rPr>
          <w:rFonts w:ascii="宋体" w:hAnsi="宋体" w:cs="宋体"/>
          <w:color w:val="auto"/>
          <w:sz w:val="24"/>
          <w:szCs w:val="24"/>
        </w:rPr>
        <w:t>环评阶段</w:t>
      </w:r>
      <w:r>
        <w:rPr>
          <w:rFonts w:hint="eastAsia" w:ascii="宋体" w:hAnsi="宋体" w:cs="宋体"/>
          <w:color w:val="auto"/>
          <w:sz w:val="24"/>
          <w:szCs w:val="24"/>
        </w:rPr>
        <w:t>预计总投资271809.2万元，环保投资706万元，占项目总投资0.26%。</w:t>
      </w:r>
    </w:p>
    <w:p w14:paraId="44B5E6D0">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本期工程验收阶段部署24口井，实施地面改造项目1项，总投资38353万元，环保投资346万元，占项目总投资</w:t>
      </w:r>
      <w:r>
        <w:rPr>
          <w:rFonts w:ascii="宋体" w:hAnsi="宋体" w:cs="宋体"/>
          <w:color w:val="auto"/>
          <w:sz w:val="24"/>
          <w:szCs w:val="24"/>
        </w:rPr>
        <w:t>0.9%</w:t>
      </w:r>
      <w:r>
        <w:rPr>
          <w:rFonts w:hint="eastAsia" w:ascii="宋体" w:hAnsi="宋体" w:cs="宋体"/>
          <w:color w:val="auto"/>
          <w:sz w:val="24"/>
          <w:szCs w:val="24"/>
        </w:rPr>
        <w:t>，油井及注水井建设量减少，环保配套措施相对减少，相比环评阶段环保投资相应减少，具体环保投资费用详见</w:t>
      </w:r>
      <w:r>
        <w:rPr>
          <w:rFonts w:hint="eastAsia" w:ascii="宋体" w:hAnsi="宋体" w:cs="宋体"/>
          <w:color w:val="auto"/>
          <w:sz w:val="24"/>
          <w:szCs w:val="24"/>
        </w:rPr>
        <w:fldChar w:fldCharType="begin"/>
      </w:r>
      <w:r>
        <w:rPr>
          <w:rFonts w:hint="eastAsia" w:ascii="宋体" w:hAnsi="宋体" w:cs="宋体"/>
          <w:color w:val="auto"/>
          <w:sz w:val="24"/>
          <w:szCs w:val="24"/>
        </w:rPr>
        <w:instrText xml:space="preserve"> REF _Ref74692287 \h  \* MERGEFORMAT </w:instrText>
      </w:r>
      <w:r>
        <w:rPr>
          <w:rFonts w:hint="eastAsia" w:ascii="宋体" w:hAnsi="宋体" w:cs="宋体"/>
          <w:color w:val="auto"/>
          <w:sz w:val="24"/>
          <w:szCs w:val="24"/>
        </w:rPr>
        <w:fldChar w:fldCharType="separate"/>
      </w:r>
      <w:r>
        <w:rPr>
          <w:rFonts w:hint="eastAsia" w:ascii="宋体" w:hAnsi="宋体" w:cs="宋体"/>
          <w:color w:val="auto"/>
          <w:sz w:val="24"/>
          <w:szCs w:val="24"/>
        </w:rPr>
        <w:t xml:space="preserve">表 </w:t>
      </w:r>
      <w:r>
        <w:rPr>
          <w:rFonts w:ascii="宋体" w:hAnsi="宋体" w:cs="宋体"/>
          <w:color w:val="auto"/>
          <w:sz w:val="24"/>
          <w:szCs w:val="24"/>
        </w:rPr>
        <w:t>3.6</w:t>
      </w:r>
      <w:r>
        <w:rPr>
          <w:rFonts w:ascii="宋体" w:hAnsi="宋体" w:cs="宋体"/>
          <w:color w:val="auto"/>
          <w:sz w:val="24"/>
          <w:szCs w:val="24"/>
        </w:rPr>
        <w:noBreakHyphen/>
      </w:r>
      <w:r>
        <w:rPr>
          <w:rFonts w:ascii="宋体" w:hAnsi="宋体" w:cs="宋体"/>
          <w:color w:val="auto"/>
          <w:sz w:val="24"/>
          <w:szCs w:val="24"/>
        </w:rPr>
        <w:t>1</w:t>
      </w:r>
      <w:r>
        <w:rPr>
          <w:rFonts w:hint="eastAsia" w:ascii="宋体" w:hAnsi="宋体" w:cs="宋体"/>
          <w:color w:val="auto"/>
          <w:sz w:val="24"/>
          <w:szCs w:val="24"/>
        </w:rPr>
        <w:fldChar w:fldCharType="end"/>
      </w:r>
      <w:r>
        <w:rPr>
          <w:rFonts w:hint="eastAsia" w:ascii="宋体" w:hAnsi="宋体" w:cs="宋体"/>
          <w:color w:val="auto"/>
          <w:sz w:val="24"/>
          <w:szCs w:val="24"/>
        </w:rPr>
        <w:t>。</w:t>
      </w:r>
    </w:p>
    <w:p w14:paraId="31E37019">
      <w:pPr>
        <w:pStyle w:val="15"/>
        <w:spacing w:before="120"/>
        <w:rPr>
          <w:rFonts w:hAnsi="宋体"/>
          <w:color w:val="auto"/>
        </w:rPr>
      </w:pPr>
      <w:bookmarkStart w:id="317" w:name="_Ref74692287"/>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3.6</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317"/>
      <w:r>
        <w:rPr>
          <w:rFonts w:hAnsi="宋体"/>
          <w:color w:val="auto"/>
        </w:rPr>
        <w:t xml:space="preserve"> </w:t>
      </w:r>
      <w:r>
        <w:rPr>
          <w:rFonts w:hint="eastAsia" w:hAnsi="宋体"/>
          <w:color w:val="auto"/>
        </w:rPr>
        <w:t xml:space="preserve"> 本期工程</w:t>
      </w:r>
      <w:r>
        <w:rPr>
          <w:rFonts w:hAnsi="宋体"/>
          <w:color w:val="auto"/>
        </w:rPr>
        <w:t>环保投资情况一览表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6"/>
        <w:gridCol w:w="1354"/>
        <w:gridCol w:w="1869"/>
        <w:gridCol w:w="1267"/>
        <w:gridCol w:w="975"/>
        <w:gridCol w:w="1779"/>
      </w:tblGrid>
      <w:tr w14:paraId="64737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shd w:val="clear" w:color="auto" w:fill="auto"/>
            <w:noWrap/>
            <w:vAlign w:val="center"/>
          </w:tcPr>
          <w:p w14:paraId="2C89AF84">
            <w:pPr>
              <w:jc w:val="center"/>
              <w:rPr>
                <w:rFonts w:ascii="宋体" w:hAnsi="宋体"/>
                <w:color w:val="auto"/>
              </w:rPr>
            </w:pPr>
            <w:r>
              <w:rPr>
                <w:rFonts w:hint="eastAsia" w:ascii="宋体" w:hAnsi="宋体"/>
                <w:color w:val="auto"/>
              </w:rPr>
              <w:t>类别</w:t>
            </w:r>
          </w:p>
        </w:tc>
        <w:tc>
          <w:tcPr>
            <w:tcW w:w="1354" w:type="dxa"/>
            <w:shd w:val="clear" w:color="auto" w:fill="auto"/>
            <w:vAlign w:val="center"/>
          </w:tcPr>
          <w:p w14:paraId="4BFC64C3">
            <w:pPr>
              <w:jc w:val="center"/>
              <w:rPr>
                <w:rFonts w:ascii="宋体" w:hAnsi="宋体"/>
                <w:color w:val="auto"/>
              </w:rPr>
            </w:pPr>
            <w:r>
              <w:rPr>
                <w:rFonts w:hint="eastAsia" w:ascii="宋体" w:hAnsi="宋体"/>
                <w:color w:val="auto"/>
              </w:rPr>
              <w:t>投资项目</w:t>
            </w:r>
          </w:p>
        </w:tc>
        <w:tc>
          <w:tcPr>
            <w:tcW w:w="1869" w:type="dxa"/>
            <w:shd w:val="clear" w:color="auto" w:fill="auto"/>
            <w:noWrap/>
            <w:vAlign w:val="center"/>
          </w:tcPr>
          <w:p w14:paraId="67D3D4A3">
            <w:pPr>
              <w:jc w:val="center"/>
              <w:rPr>
                <w:rFonts w:ascii="宋体" w:hAnsi="宋体"/>
                <w:color w:val="auto"/>
              </w:rPr>
            </w:pPr>
            <w:r>
              <w:rPr>
                <w:rFonts w:hint="eastAsia" w:ascii="宋体" w:hAnsi="宋体"/>
                <w:color w:val="auto"/>
              </w:rPr>
              <w:t>基本内容</w:t>
            </w:r>
          </w:p>
        </w:tc>
        <w:tc>
          <w:tcPr>
            <w:tcW w:w="1267" w:type="dxa"/>
            <w:shd w:val="clear" w:color="auto" w:fill="auto"/>
            <w:noWrap/>
            <w:vAlign w:val="center"/>
          </w:tcPr>
          <w:p w14:paraId="309E1CD8">
            <w:pPr>
              <w:jc w:val="center"/>
              <w:rPr>
                <w:rFonts w:ascii="宋体" w:hAnsi="宋体"/>
                <w:color w:val="auto"/>
              </w:rPr>
            </w:pPr>
            <w:r>
              <w:rPr>
                <w:rFonts w:hint="eastAsia" w:ascii="宋体" w:hAnsi="宋体"/>
                <w:color w:val="auto"/>
              </w:rPr>
              <w:t>环评阶段投资</w:t>
            </w:r>
          </w:p>
          <w:p w14:paraId="07AF1B53">
            <w:pPr>
              <w:jc w:val="center"/>
              <w:rPr>
                <w:rFonts w:ascii="宋体" w:hAnsi="宋体"/>
                <w:color w:val="auto"/>
              </w:rPr>
            </w:pPr>
            <w:bookmarkStart w:id="318" w:name="OLE_LINK155"/>
            <w:bookmarkStart w:id="319" w:name="OLE_LINK156"/>
            <w:r>
              <w:rPr>
                <w:rFonts w:hint="eastAsia" w:ascii="宋体" w:hAnsi="宋体"/>
                <w:color w:val="auto"/>
              </w:rPr>
              <w:t>（万元）</w:t>
            </w:r>
            <w:bookmarkEnd w:id="318"/>
            <w:bookmarkEnd w:id="319"/>
          </w:p>
        </w:tc>
        <w:tc>
          <w:tcPr>
            <w:tcW w:w="975" w:type="dxa"/>
            <w:shd w:val="clear" w:color="auto" w:fill="auto"/>
            <w:vAlign w:val="center"/>
          </w:tcPr>
          <w:p w14:paraId="7800339E">
            <w:pPr>
              <w:jc w:val="center"/>
              <w:rPr>
                <w:rFonts w:ascii="宋体" w:hAnsi="宋体"/>
                <w:color w:val="auto"/>
              </w:rPr>
            </w:pPr>
            <w:r>
              <w:rPr>
                <w:rFonts w:hint="eastAsia" w:ascii="宋体" w:hAnsi="宋体"/>
                <w:color w:val="auto"/>
              </w:rPr>
              <w:t>实际投资（万元）</w:t>
            </w:r>
          </w:p>
        </w:tc>
        <w:tc>
          <w:tcPr>
            <w:tcW w:w="1779" w:type="dxa"/>
            <w:shd w:val="clear" w:color="auto" w:fill="auto"/>
            <w:vAlign w:val="center"/>
          </w:tcPr>
          <w:p w14:paraId="1A74ABFE">
            <w:pPr>
              <w:jc w:val="center"/>
              <w:rPr>
                <w:rFonts w:ascii="宋体" w:hAnsi="宋体"/>
                <w:color w:val="auto"/>
              </w:rPr>
            </w:pPr>
            <w:r>
              <w:rPr>
                <w:rFonts w:hint="eastAsia" w:ascii="宋体" w:hAnsi="宋体"/>
                <w:color w:val="auto"/>
              </w:rPr>
              <w:t>备注</w:t>
            </w:r>
          </w:p>
        </w:tc>
      </w:tr>
      <w:tr w14:paraId="0E174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auto"/>
            <w:noWrap/>
            <w:vAlign w:val="center"/>
          </w:tcPr>
          <w:p w14:paraId="044922D5">
            <w:pPr>
              <w:jc w:val="center"/>
              <w:rPr>
                <w:rFonts w:ascii="宋体" w:hAnsi="宋体"/>
                <w:color w:val="auto"/>
              </w:rPr>
            </w:pPr>
            <w:r>
              <w:rPr>
                <w:rFonts w:hint="eastAsia" w:ascii="宋体" w:hAnsi="宋体"/>
                <w:color w:val="auto"/>
              </w:rPr>
              <w:t>废气处理</w:t>
            </w:r>
          </w:p>
        </w:tc>
        <w:tc>
          <w:tcPr>
            <w:tcW w:w="1354" w:type="dxa"/>
            <w:shd w:val="clear" w:color="auto" w:fill="auto"/>
            <w:vAlign w:val="center"/>
          </w:tcPr>
          <w:p w14:paraId="578501DE">
            <w:pPr>
              <w:jc w:val="center"/>
              <w:rPr>
                <w:rFonts w:ascii="宋体" w:hAnsi="宋体"/>
                <w:color w:val="auto"/>
              </w:rPr>
            </w:pPr>
            <w:r>
              <w:rPr>
                <w:rFonts w:hint="eastAsia" w:ascii="宋体" w:hAnsi="宋体"/>
                <w:color w:val="auto"/>
              </w:rPr>
              <w:t>套管气回收</w:t>
            </w:r>
          </w:p>
        </w:tc>
        <w:tc>
          <w:tcPr>
            <w:tcW w:w="1869" w:type="dxa"/>
            <w:shd w:val="clear" w:color="auto" w:fill="auto"/>
            <w:noWrap/>
            <w:vAlign w:val="center"/>
          </w:tcPr>
          <w:p w14:paraId="41888AC6">
            <w:pPr>
              <w:jc w:val="center"/>
              <w:rPr>
                <w:rFonts w:ascii="宋体" w:hAnsi="宋体"/>
                <w:color w:val="auto"/>
              </w:rPr>
            </w:pPr>
            <w:r>
              <w:rPr>
                <w:rFonts w:hint="eastAsia" w:ascii="宋体" w:hAnsi="宋体"/>
                <w:color w:val="auto"/>
              </w:rPr>
              <w:t>油套连通装置</w:t>
            </w:r>
          </w:p>
        </w:tc>
        <w:tc>
          <w:tcPr>
            <w:tcW w:w="1267" w:type="dxa"/>
            <w:shd w:val="clear" w:color="auto" w:fill="auto"/>
            <w:noWrap/>
            <w:vAlign w:val="center"/>
          </w:tcPr>
          <w:p w14:paraId="5B36F401">
            <w:pPr>
              <w:jc w:val="center"/>
              <w:rPr>
                <w:rFonts w:ascii="宋体" w:hAnsi="宋体"/>
                <w:color w:val="auto"/>
              </w:rPr>
            </w:pPr>
            <w:r>
              <w:rPr>
                <w:rFonts w:hint="eastAsia" w:ascii="宋体" w:hAnsi="宋体"/>
                <w:color w:val="auto"/>
              </w:rPr>
              <w:t>70</w:t>
            </w:r>
          </w:p>
        </w:tc>
        <w:tc>
          <w:tcPr>
            <w:tcW w:w="975" w:type="dxa"/>
            <w:shd w:val="clear" w:color="auto" w:fill="auto"/>
            <w:vAlign w:val="center"/>
          </w:tcPr>
          <w:p w14:paraId="755960A8">
            <w:pPr>
              <w:jc w:val="center"/>
              <w:rPr>
                <w:rFonts w:ascii="宋体" w:hAnsi="宋体"/>
                <w:color w:val="auto"/>
              </w:rPr>
            </w:pPr>
            <w:r>
              <w:rPr>
                <w:rFonts w:ascii="宋体" w:hAnsi="宋体"/>
                <w:color w:val="auto"/>
              </w:rPr>
              <w:t>16</w:t>
            </w:r>
          </w:p>
        </w:tc>
        <w:tc>
          <w:tcPr>
            <w:tcW w:w="1779" w:type="dxa"/>
            <w:shd w:val="clear" w:color="auto" w:fill="auto"/>
            <w:vAlign w:val="center"/>
          </w:tcPr>
          <w:p w14:paraId="753EF17F">
            <w:pPr>
              <w:jc w:val="center"/>
              <w:rPr>
                <w:rFonts w:ascii="宋体" w:hAnsi="宋体"/>
                <w:color w:val="auto"/>
              </w:rPr>
            </w:pPr>
            <w:r>
              <w:rPr>
                <w:rFonts w:hint="eastAsia" w:ascii="宋体" w:hAnsi="宋体"/>
                <w:color w:val="auto"/>
              </w:rPr>
              <w:t>包括：套管气回收装置购置、安装、调试、维护等费用</w:t>
            </w:r>
          </w:p>
        </w:tc>
      </w:tr>
      <w:tr w14:paraId="00100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auto"/>
            <w:vAlign w:val="center"/>
          </w:tcPr>
          <w:p w14:paraId="109C56D6">
            <w:pPr>
              <w:jc w:val="center"/>
              <w:rPr>
                <w:rFonts w:ascii="宋体" w:hAnsi="宋体"/>
                <w:color w:val="auto"/>
              </w:rPr>
            </w:pPr>
          </w:p>
        </w:tc>
        <w:tc>
          <w:tcPr>
            <w:tcW w:w="1354" w:type="dxa"/>
            <w:shd w:val="clear" w:color="auto" w:fill="auto"/>
            <w:vAlign w:val="center"/>
          </w:tcPr>
          <w:p w14:paraId="16B8CFCB">
            <w:pPr>
              <w:jc w:val="center"/>
              <w:rPr>
                <w:rFonts w:ascii="宋体" w:hAnsi="宋体"/>
                <w:color w:val="auto"/>
              </w:rPr>
            </w:pPr>
            <w:r>
              <w:rPr>
                <w:rFonts w:hint="eastAsia" w:ascii="宋体" w:hAnsi="宋体"/>
                <w:color w:val="auto"/>
              </w:rPr>
              <w:t>加热炉</w:t>
            </w:r>
          </w:p>
        </w:tc>
        <w:tc>
          <w:tcPr>
            <w:tcW w:w="1869" w:type="dxa"/>
            <w:shd w:val="clear" w:color="auto" w:fill="auto"/>
            <w:noWrap/>
            <w:vAlign w:val="center"/>
          </w:tcPr>
          <w:p w14:paraId="1D88D784">
            <w:pPr>
              <w:jc w:val="center"/>
              <w:rPr>
                <w:rFonts w:ascii="宋体" w:hAnsi="宋体"/>
                <w:color w:val="auto"/>
              </w:rPr>
            </w:pPr>
            <w:r>
              <w:rPr>
                <w:rFonts w:hint="eastAsia" w:ascii="宋体" w:hAnsi="宋体"/>
                <w:color w:val="auto"/>
              </w:rPr>
              <w:t>低氮燃烧器</w:t>
            </w:r>
          </w:p>
        </w:tc>
        <w:tc>
          <w:tcPr>
            <w:tcW w:w="1267" w:type="dxa"/>
            <w:shd w:val="clear" w:color="auto" w:fill="auto"/>
            <w:noWrap/>
            <w:vAlign w:val="center"/>
          </w:tcPr>
          <w:p w14:paraId="14D5050B">
            <w:pPr>
              <w:jc w:val="center"/>
              <w:rPr>
                <w:rFonts w:ascii="宋体" w:hAnsi="宋体"/>
                <w:color w:val="auto"/>
              </w:rPr>
            </w:pPr>
            <w:r>
              <w:rPr>
                <w:rFonts w:hint="eastAsia" w:ascii="宋体" w:hAnsi="宋体"/>
                <w:color w:val="auto"/>
              </w:rPr>
              <w:t>50</w:t>
            </w:r>
          </w:p>
        </w:tc>
        <w:tc>
          <w:tcPr>
            <w:tcW w:w="975" w:type="dxa"/>
            <w:shd w:val="clear" w:color="auto" w:fill="auto"/>
            <w:vAlign w:val="center"/>
          </w:tcPr>
          <w:p w14:paraId="2C8EEC62">
            <w:pPr>
              <w:jc w:val="center"/>
              <w:rPr>
                <w:rFonts w:ascii="宋体" w:hAnsi="宋体"/>
                <w:color w:val="auto"/>
              </w:rPr>
            </w:pPr>
            <w:r>
              <w:rPr>
                <w:rFonts w:ascii="宋体" w:hAnsi="宋体"/>
                <w:color w:val="auto"/>
              </w:rPr>
              <w:t>17</w:t>
            </w:r>
          </w:p>
        </w:tc>
        <w:tc>
          <w:tcPr>
            <w:tcW w:w="1779" w:type="dxa"/>
            <w:shd w:val="clear" w:color="auto" w:fill="auto"/>
            <w:vAlign w:val="center"/>
          </w:tcPr>
          <w:p w14:paraId="46582AD3">
            <w:pPr>
              <w:jc w:val="center"/>
              <w:rPr>
                <w:rFonts w:ascii="宋体" w:hAnsi="宋体"/>
                <w:color w:val="auto"/>
              </w:rPr>
            </w:pPr>
            <w:r>
              <w:rPr>
                <w:rFonts w:hint="eastAsia" w:ascii="宋体" w:hAnsi="宋体"/>
                <w:color w:val="auto"/>
              </w:rPr>
              <w:t>购置、安装</w:t>
            </w:r>
          </w:p>
        </w:tc>
      </w:tr>
      <w:tr w14:paraId="31323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auto"/>
            <w:vAlign w:val="center"/>
          </w:tcPr>
          <w:p w14:paraId="3E71BE60">
            <w:pPr>
              <w:jc w:val="center"/>
              <w:rPr>
                <w:rFonts w:ascii="宋体" w:hAnsi="宋体"/>
                <w:color w:val="auto"/>
              </w:rPr>
            </w:pPr>
          </w:p>
        </w:tc>
        <w:tc>
          <w:tcPr>
            <w:tcW w:w="1354" w:type="dxa"/>
            <w:shd w:val="clear" w:color="auto" w:fill="auto"/>
            <w:vAlign w:val="center"/>
          </w:tcPr>
          <w:p w14:paraId="61D2B641">
            <w:pPr>
              <w:jc w:val="center"/>
              <w:rPr>
                <w:rFonts w:ascii="宋体" w:hAnsi="宋体"/>
                <w:color w:val="auto"/>
              </w:rPr>
            </w:pPr>
            <w:r>
              <w:rPr>
                <w:rFonts w:hint="eastAsia" w:ascii="宋体" w:hAnsi="宋体"/>
                <w:color w:val="auto"/>
              </w:rPr>
              <w:t>施工扬尘</w:t>
            </w:r>
          </w:p>
        </w:tc>
        <w:tc>
          <w:tcPr>
            <w:tcW w:w="1869" w:type="dxa"/>
            <w:shd w:val="clear" w:color="auto" w:fill="auto"/>
            <w:noWrap/>
            <w:vAlign w:val="center"/>
          </w:tcPr>
          <w:p w14:paraId="1FC58A08">
            <w:pPr>
              <w:jc w:val="center"/>
              <w:rPr>
                <w:rFonts w:ascii="宋体" w:hAnsi="宋体"/>
                <w:color w:val="auto"/>
              </w:rPr>
            </w:pPr>
            <w:r>
              <w:rPr>
                <w:rFonts w:hint="eastAsia" w:ascii="宋体" w:hAnsi="宋体"/>
                <w:color w:val="auto"/>
              </w:rPr>
              <w:t>围挡、洒水降尘</w:t>
            </w:r>
          </w:p>
        </w:tc>
        <w:tc>
          <w:tcPr>
            <w:tcW w:w="1267" w:type="dxa"/>
            <w:shd w:val="clear" w:color="auto" w:fill="auto"/>
            <w:noWrap/>
            <w:vAlign w:val="center"/>
          </w:tcPr>
          <w:p w14:paraId="396C30C8">
            <w:pPr>
              <w:jc w:val="center"/>
              <w:rPr>
                <w:rFonts w:ascii="宋体" w:hAnsi="宋体"/>
                <w:color w:val="auto"/>
              </w:rPr>
            </w:pPr>
            <w:r>
              <w:rPr>
                <w:rFonts w:hint="eastAsia" w:ascii="宋体" w:hAnsi="宋体"/>
                <w:color w:val="auto"/>
              </w:rPr>
              <w:t>30</w:t>
            </w:r>
          </w:p>
        </w:tc>
        <w:tc>
          <w:tcPr>
            <w:tcW w:w="975" w:type="dxa"/>
            <w:shd w:val="clear" w:color="auto" w:fill="auto"/>
            <w:vAlign w:val="center"/>
          </w:tcPr>
          <w:p w14:paraId="2327F5AE">
            <w:pPr>
              <w:jc w:val="center"/>
              <w:rPr>
                <w:rFonts w:ascii="宋体" w:hAnsi="宋体"/>
                <w:color w:val="auto"/>
              </w:rPr>
            </w:pPr>
            <w:r>
              <w:rPr>
                <w:rFonts w:hint="eastAsia" w:ascii="宋体" w:hAnsi="宋体"/>
                <w:color w:val="auto"/>
              </w:rPr>
              <w:t>1</w:t>
            </w:r>
            <w:r>
              <w:rPr>
                <w:rFonts w:ascii="宋体" w:hAnsi="宋体"/>
                <w:color w:val="auto"/>
              </w:rPr>
              <w:t>0</w:t>
            </w:r>
          </w:p>
        </w:tc>
        <w:tc>
          <w:tcPr>
            <w:tcW w:w="1779" w:type="dxa"/>
            <w:shd w:val="clear" w:color="auto" w:fill="auto"/>
            <w:vAlign w:val="center"/>
          </w:tcPr>
          <w:p w14:paraId="4EB5D9ED">
            <w:pPr>
              <w:jc w:val="center"/>
              <w:rPr>
                <w:rFonts w:ascii="宋体" w:hAnsi="宋体"/>
                <w:color w:val="auto"/>
              </w:rPr>
            </w:pPr>
            <w:r>
              <w:rPr>
                <w:rFonts w:hint="eastAsia" w:ascii="宋体" w:hAnsi="宋体"/>
                <w:color w:val="auto"/>
              </w:rPr>
              <w:t>-</w:t>
            </w:r>
          </w:p>
        </w:tc>
      </w:tr>
      <w:tr w14:paraId="092F3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shd w:val="clear" w:color="auto" w:fill="auto"/>
            <w:vAlign w:val="center"/>
          </w:tcPr>
          <w:p w14:paraId="7D8FEED2">
            <w:pPr>
              <w:jc w:val="center"/>
              <w:rPr>
                <w:rFonts w:ascii="宋体" w:hAnsi="宋体"/>
                <w:color w:val="auto"/>
              </w:rPr>
            </w:pPr>
            <w:r>
              <w:rPr>
                <w:rFonts w:hint="eastAsia" w:ascii="宋体" w:hAnsi="宋体"/>
                <w:color w:val="auto"/>
              </w:rPr>
              <w:t>废水处理</w:t>
            </w:r>
          </w:p>
        </w:tc>
        <w:tc>
          <w:tcPr>
            <w:tcW w:w="1354" w:type="dxa"/>
            <w:shd w:val="clear" w:color="auto" w:fill="auto"/>
            <w:vAlign w:val="center"/>
          </w:tcPr>
          <w:p w14:paraId="6B66357B">
            <w:pPr>
              <w:jc w:val="center"/>
              <w:rPr>
                <w:rFonts w:ascii="宋体" w:hAnsi="宋体"/>
                <w:color w:val="auto"/>
              </w:rPr>
            </w:pPr>
            <w:r>
              <w:rPr>
                <w:rFonts w:hint="eastAsia" w:ascii="宋体" w:hAnsi="宋体"/>
                <w:color w:val="auto"/>
              </w:rPr>
              <w:t>施工期生活污水处理</w:t>
            </w:r>
          </w:p>
        </w:tc>
        <w:tc>
          <w:tcPr>
            <w:tcW w:w="1869" w:type="dxa"/>
            <w:shd w:val="clear" w:color="auto" w:fill="auto"/>
            <w:noWrap/>
            <w:vAlign w:val="center"/>
          </w:tcPr>
          <w:p w14:paraId="25CAEC3C">
            <w:pPr>
              <w:jc w:val="center"/>
              <w:rPr>
                <w:rFonts w:ascii="宋体" w:hAnsi="宋体"/>
                <w:color w:val="auto"/>
              </w:rPr>
            </w:pPr>
            <w:r>
              <w:rPr>
                <w:rFonts w:hint="eastAsia" w:ascii="宋体" w:hAnsi="宋体"/>
                <w:color w:val="auto"/>
              </w:rPr>
              <w:t>设置临时移动环保厕所</w:t>
            </w:r>
          </w:p>
        </w:tc>
        <w:tc>
          <w:tcPr>
            <w:tcW w:w="1267" w:type="dxa"/>
            <w:shd w:val="clear" w:color="auto" w:fill="auto"/>
            <w:noWrap/>
            <w:vAlign w:val="center"/>
          </w:tcPr>
          <w:p w14:paraId="0A069A7D">
            <w:pPr>
              <w:jc w:val="center"/>
              <w:rPr>
                <w:rFonts w:ascii="宋体" w:hAnsi="宋体"/>
                <w:color w:val="auto"/>
              </w:rPr>
            </w:pPr>
            <w:r>
              <w:rPr>
                <w:rFonts w:hint="eastAsia" w:ascii="宋体" w:hAnsi="宋体"/>
                <w:color w:val="auto"/>
              </w:rPr>
              <w:t>5</w:t>
            </w:r>
          </w:p>
        </w:tc>
        <w:tc>
          <w:tcPr>
            <w:tcW w:w="975" w:type="dxa"/>
            <w:shd w:val="clear" w:color="auto" w:fill="auto"/>
            <w:vAlign w:val="center"/>
          </w:tcPr>
          <w:p w14:paraId="2ED6B65A">
            <w:pPr>
              <w:jc w:val="center"/>
              <w:rPr>
                <w:rFonts w:ascii="宋体" w:hAnsi="宋体"/>
                <w:color w:val="auto"/>
              </w:rPr>
            </w:pPr>
            <w:r>
              <w:rPr>
                <w:rFonts w:hint="eastAsia" w:ascii="宋体" w:hAnsi="宋体"/>
                <w:color w:val="auto"/>
              </w:rPr>
              <w:t>1</w:t>
            </w:r>
          </w:p>
        </w:tc>
        <w:tc>
          <w:tcPr>
            <w:tcW w:w="1779" w:type="dxa"/>
            <w:shd w:val="clear" w:color="auto" w:fill="auto"/>
            <w:vAlign w:val="center"/>
          </w:tcPr>
          <w:p w14:paraId="30E54975">
            <w:pPr>
              <w:jc w:val="center"/>
              <w:rPr>
                <w:rFonts w:ascii="宋体" w:hAnsi="宋体"/>
                <w:color w:val="auto"/>
              </w:rPr>
            </w:pPr>
            <w:r>
              <w:rPr>
                <w:rFonts w:hint="eastAsia" w:ascii="宋体" w:hAnsi="宋体"/>
                <w:color w:val="auto"/>
              </w:rPr>
              <w:t>厕所建设费用</w:t>
            </w:r>
          </w:p>
        </w:tc>
      </w:tr>
      <w:tr w14:paraId="51F88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auto"/>
            <w:noWrap/>
            <w:vAlign w:val="center"/>
          </w:tcPr>
          <w:p w14:paraId="54C7812F">
            <w:pPr>
              <w:jc w:val="center"/>
              <w:rPr>
                <w:rFonts w:ascii="宋体" w:hAnsi="宋体"/>
                <w:color w:val="auto"/>
              </w:rPr>
            </w:pPr>
            <w:r>
              <w:rPr>
                <w:rFonts w:hint="eastAsia" w:ascii="宋体" w:hAnsi="宋体"/>
                <w:color w:val="auto"/>
              </w:rPr>
              <w:t>固体废物处理</w:t>
            </w:r>
          </w:p>
        </w:tc>
        <w:tc>
          <w:tcPr>
            <w:tcW w:w="1354" w:type="dxa"/>
            <w:shd w:val="clear" w:color="auto" w:fill="auto"/>
            <w:vAlign w:val="center"/>
          </w:tcPr>
          <w:p w14:paraId="15A57070">
            <w:pPr>
              <w:jc w:val="center"/>
              <w:rPr>
                <w:rFonts w:ascii="宋体" w:hAnsi="宋体"/>
                <w:color w:val="auto"/>
              </w:rPr>
            </w:pPr>
            <w:r>
              <w:rPr>
                <w:rFonts w:hint="eastAsia" w:ascii="宋体" w:hAnsi="宋体"/>
                <w:color w:val="auto"/>
              </w:rPr>
              <w:t>生活垃圾、建筑垃圾等处置</w:t>
            </w:r>
          </w:p>
        </w:tc>
        <w:tc>
          <w:tcPr>
            <w:tcW w:w="1869" w:type="dxa"/>
            <w:shd w:val="clear" w:color="auto" w:fill="auto"/>
            <w:noWrap/>
            <w:vAlign w:val="center"/>
          </w:tcPr>
          <w:p w14:paraId="776CEE72">
            <w:pPr>
              <w:jc w:val="center"/>
              <w:rPr>
                <w:rFonts w:ascii="宋体" w:hAnsi="宋体"/>
                <w:color w:val="auto"/>
              </w:rPr>
            </w:pPr>
            <w:r>
              <w:rPr>
                <w:rFonts w:hint="eastAsia" w:ascii="宋体" w:hAnsi="宋体"/>
                <w:color w:val="auto"/>
              </w:rPr>
              <w:t>垃圾桶、车辆拉运</w:t>
            </w:r>
          </w:p>
        </w:tc>
        <w:tc>
          <w:tcPr>
            <w:tcW w:w="1267" w:type="dxa"/>
            <w:shd w:val="clear" w:color="auto" w:fill="auto"/>
            <w:noWrap/>
            <w:vAlign w:val="center"/>
          </w:tcPr>
          <w:p w14:paraId="3EF5B9BD">
            <w:pPr>
              <w:jc w:val="center"/>
              <w:rPr>
                <w:rFonts w:ascii="宋体" w:hAnsi="宋体"/>
                <w:color w:val="auto"/>
              </w:rPr>
            </w:pPr>
            <w:r>
              <w:rPr>
                <w:rFonts w:hint="eastAsia" w:ascii="宋体" w:hAnsi="宋体"/>
                <w:color w:val="auto"/>
              </w:rPr>
              <w:t>30</w:t>
            </w:r>
          </w:p>
        </w:tc>
        <w:tc>
          <w:tcPr>
            <w:tcW w:w="975" w:type="dxa"/>
            <w:shd w:val="clear" w:color="auto" w:fill="auto"/>
            <w:vAlign w:val="center"/>
          </w:tcPr>
          <w:p w14:paraId="075F3889">
            <w:pPr>
              <w:jc w:val="center"/>
              <w:rPr>
                <w:rFonts w:ascii="宋体" w:hAnsi="宋体"/>
                <w:color w:val="auto"/>
              </w:rPr>
            </w:pPr>
            <w:r>
              <w:rPr>
                <w:rFonts w:hint="eastAsia" w:ascii="宋体" w:hAnsi="宋体"/>
                <w:color w:val="auto"/>
              </w:rPr>
              <w:t>1</w:t>
            </w:r>
            <w:r>
              <w:rPr>
                <w:rFonts w:ascii="宋体" w:hAnsi="宋体"/>
                <w:color w:val="auto"/>
              </w:rPr>
              <w:t>0</w:t>
            </w:r>
          </w:p>
        </w:tc>
        <w:tc>
          <w:tcPr>
            <w:tcW w:w="1779" w:type="dxa"/>
            <w:shd w:val="clear" w:color="auto" w:fill="auto"/>
            <w:vAlign w:val="center"/>
          </w:tcPr>
          <w:p w14:paraId="7AC13F23">
            <w:pPr>
              <w:jc w:val="center"/>
              <w:rPr>
                <w:rFonts w:ascii="宋体" w:hAnsi="宋体"/>
                <w:color w:val="auto"/>
              </w:rPr>
            </w:pPr>
            <w:r>
              <w:rPr>
                <w:rFonts w:hint="eastAsia" w:ascii="宋体" w:hAnsi="宋体"/>
                <w:color w:val="auto"/>
              </w:rPr>
              <w:t>拉运、处置费用</w:t>
            </w:r>
          </w:p>
        </w:tc>
      </w:tr>
      <w:tr w14:paraId="64AAF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auto"/>
            <w:noWrap/>
            <w:vAlign w:val="center"/>
          </w:tcPr>
          <w:p w14:paraId="386D6C4C">
            <w:pPr>
              <w:jc w:val="center"/>
              <w:rPr>
                <w:rFonts w:ascii="宋体" w:hAnsi="宋体"/>
                <w:color w:val="auto"/>
              </w:rPr>
            </w:pPr>
          </w:p>
        </w:tc>
        <w:tc>
          <w:tcPr>
            <w:tcW w:w="1354" w:type="dxa"/>
            <w:shd w:val="clear" w:color="auto" w:fill="auto"/>
            <w:vAlign w:val="center"/>
          </w:tcPr>
          <w:p w14:paraId="15934CB5">
            <w:pPr>
              <w:jc w:val="center"/>
              <w:rPr>
                <w:rFonts w:ascii="宋体" w:hAnsi="宋体"/>
                <w:color w:val="auto"/>
              </w:rPr>
            </w:pPr>
            <w:r>
              <w:rPr>
                <w:rFonts w:hint="eastAsia" w:ascii="宋体" w:hAnsi="宋体"/>
                <w:color w:val="auto"/>
              </w:rPr>
              <w:t>钻井固废</w:t>
            </w:r>
          </w:p>
        </w:tc>
        <w:tc>
          <w:tcPr>
            <w:tcW w:w="1869" w:type="dxa"/>
            <w:shd w:val="clear" w:color="auto" w:fill="auto"/>
            <w:noWrap/>
            <w:vAlign w:val="center"/>
          </w:tcPr>
          <w:p w14:paraId="74FA6A98">
            <w:pPr>
              <w:jc w:val="center"/>
              <w:rPr>
                <w:rFonts w:ascii="宋体" w:hAnsi="宋体"/>
                <w:color w:val="auto"/>
              </w:rPr>
            </w:pPr>
            <w:r>
              <w:rPr>
                <w:rFonts w:hint="eastAsia" w:ascii="宋体" w:hAnsi="宋体"/>
                <w:color w:val="auto"/>
              </w:rPr>
              <w:t>“泥浆不落地”装置</w:t>
            </w:r>
          </w:p>
        </w:tc>
        <w:tc>
          <w:tcPr>
            <w:tcW w:w="1267" w:type="dxa"/>
            <w:shd w:val="clear" w:color="auto" w:fill="auto"/>
            <w:noWrap/>
            <w:vAlign w:val="center"/>
          </w:tcPr>
          <w:p w14:paraId="101E3A39">
            <w:pPr>
              <w:jc w:val="center"/>
              <w:rPr>
                <w:rFonts w:ascii="宋体" w:hAnsi="宋体"/>
                <w:color w:val="auto"/>
              </w:rPr>
            </w:pPr>
            <w:r>
              <w:rPr>
                <w:rFonts w:hint="eastAsia" w:ascii="宋体" w:hAnsi="宋体"/>
                <w:color w:val="auto"/>
              </w:rPr>
              <w:t>/</w:t>
            </w:r>
          </w:p>
        </w:tc>
        <w:tc>
          <w:tcPr>
            <w:tcW w:w="975" w:type="dxa"/>
            <w:shd w:val="clear" w:color="auto" w:fill="auto"/>
            <w:vAlign w:val="center"/>
          </w:tcPr>
          <w:p w14:paraId="26AD7481">
            <w:pPr>
              <w:jc w:val="center"/>
              <w:rPr>
                <w:rFonts w:ascii="宋体" w:hAnsi="宋体"/>
                <w:color w:val="auto"/>
              </w:rPr>
            </w:pPr>
            <w:r>
              <w:rPr>
                <w:rFonts w:hint="eastAsia" w:ascii="宋体" w:hAnsi="宋体"/>
                <w:color w:val="auto"/>
              </w:rPr>
              <w:t>2</w:t>
            </w:r>
            <w:r>
              <w:rPr>
                <w:rFonts w:ascii="宋体" w:hAnsi="宋体"/>
                <w:color w:val="auto"/>
              </w:rPr>
              <w:t>40</w:t>
            </w:r>
          </w:p>
        </w:tc>
        <w:tc>
          <w:tcPr>
            <w:tcW w:w="1779" w:type="dxa"/>
            <w:shd w:val="clear" w:color="auto" w:fill="auto"/>
            <w:vAlign w:val="center"/>
          </w:tcPr>
          <w:p w14:paraId="6A468BEB">
            <w:pPr>
              <w:jc w:val="center"/>
              <w:rPr>
                <w:rFonts w:ascii="宋体" w:hAnsi="宋体"/>
                <w:color w:val="auto"/>
              </w:rPr>
            </w:pPr>
            <w:r>
              <w:rPr>
                <w:rFonts w:hint="eastAsia" w:ascii="宋体" w:hAnsi="宋体"/>
                <w:color w:val="auto"/>
              </w:rPr>
              <w:t>泥浆不落地服务费用</w:t>
            </w:r>
          </w:p>
        </w:tc>
      </w:tr>
      <w:tr w14:paraId="73DE4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shd w:val="clear" w:color="auto" w:fill="auto"/>
            <w:noWrap/>
            <w:vAlign w:val="center"/>
          </w:tcPr>
          <w:p w14:paraId="3BA4878C">
            <w:pPr>
              <w:jc w:val="center"/>
              <w:rPr>
                <w:rFonts w:ascii="宋体" w:hAnsi="宋体"/>
                <w:color w:val="auto"/>
              </w:rPr>
            </w:pPr>
            <w:r>
              <w:rPr>
                <w:rFonts w:hint="eastAsia" w:ascii="宋体" w:hAnsi="宋体"/>
                <w:color w:val="auto"/>
              </w:rPr>
              <w:t>噪声治理</w:t>
            </w:r>
          </w:p>
        </w:tc>
        <w:tc>
          <w:tcPr>
            <w:tcW w:w="1354" w:type="dxa"/>
            <w:shd w:val="clear" w:color="auto" w:fill="auto"/>
            <w:vAlign w:val="center"/>
          </w:tcPr>
          <w:p w14:paraId="384ECD68">
            <w:pPr>
              <w:jc w:val="center"/>
              <w:rPr>
                <w:rFonts w:ascii="宋体" w:hAnsi="宋体"/>
                <w:color w:val="auto"/>
              </w:rPr>
            </w:pPr>
            <w:r>
              <w:rPr>
                <w:rFonts w:hint="eastAsia" w:ascii="宋体" w:hAnsi="宋体"/>
                <w:color w:val="auto"/>
              </w:rPr>
              <w:t>井场、站场噪声治理</w:t>
            </w:r>
          </w:p>
        </w:tc>
        <w:tc>
          <w:tcPr>
            <w:tcW w:w="1869" w:type="dxa"/>
            <w:shd w:val="clear" w:color="auto" w:fill="auto"/>
            <w:noWrap/>
            <w:vAlign w:val="center"/>
          </w:tcPr>
          <w:p w14:paraId="51892D73">
            <w:pPr>
              <w:jc w:val="center"/>
              <w:rPr>
                <w:rFonts w:ascii="宋体" w:hAnsi="宋体"/>
                <w:color w:val="auto"/>
              </w:rPr>
            </w:pPr>
            <w:r>
              <w:rPr>
                <w:rFonts w:hint="eastAsia" w:ascii="宋体" w:hAnsi="宋体"/>
                <w:color w:val="auto"/>
              </w:rPr>
              <w:t>抽油机等加装减振底座；加强设备的维修保养、隔声、减振等措施；泵房建设</w:t>
            </w:r>
          </w:p>
        </w:tc>
        <w:tc>
          <w:tcPr>
            <w:tcW w:w="1267" w:type="dxa"/>
            <w:shd w:val="clear" w:color="auto" w:fill="auto"/>
            <w:noWrap/>
            <w:vAlign w:val="center"/>
          </w:tcPr>
          <w:p w14:paraId="0E00CCA9">
            <w:pPr>
              <w:jc w:val="center"/>
              <w:rPr>
                <w:rFonts w:ascii="宋体" w:hAnsi="宋体"/>
                <w:color w:val="auto"/>
              </w:rPr>
            </w:pPr>
            <w:r>
              <w:rPr>
                <w:rFonts w:hint="eastAsia" w:ascii="宋体" w:hAnsi="宋体"/>
                <w:color w:val="auto"/>
              </w:rPr>
              <w:t>58</w:t>
            </w:r>
          </w:p>
        </w:tc>
        <w:tc>
          <w:tcPr>
            <w:tcW w:w="975" w:type="dxa"/>
            <w:shd w:val="clear" w:color="auto" w:fill="auto"/>
            <w:vAlign w:val="center"/>
          </w:tcPr>
          <w:p w14:paraId="49C46F28">
            <w:pPr>
              <w:jc w:val="center"/>
              <w:rPr>
                <w:rFonts w:ascii="宋体" w:hAnsi="宋体"/>
                <w:color w:val="auto"/>
              </w:rPr>
            </w:pPr>
            <w:r>
              <w:rPr>
                <w:rFonts w:hint="eastAsia" w:ascii="宋体" w:hAnsi="宋体"/>
                <w:color w:val="auto"/>
              </w:rPr>
              <w:t>8</w:t>
            </w:r>
          </w:p>
        </w:tc>
        <w:tc>
          <w:tcPr>
            <w:tcW w:w="1779" w:type="dxa"/>
            <w:shd w:val="clear" w:color="auto" w:fill="auto"/>
            <w:vAlign w:val="center"/>
          </w:tcPr>
          <w:p w14:paraId="2DD7B3E7">
            <w:pPr>
              <w:jc w:val="center"/>
              <w:rPr>
                <w:rFonts w:ascii="宋体" w:hAnsi="宋体"/>
                <w:color w:val="auto"/>
              </w:rPr>
            </w:pPr>
            <w:r>
              <w:rPr>
                <w:rFonts w:hint="eastAsia" w:ascii="宋体" w:hAnsi="宋体"/>
                <w:color w:val="auto"/>
              </w:rPr>
              <w:t>采用低噪声设备、设备维护增加的费用</w:t>
            </w:r>
          </w:p>
        </w:tc>
      </w:tr>
      <w:tr w14:paraId="2ED0E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shd w:val="clear" w:color="auto" w:fill="auto"/>
            <w:noWrap/>
            <w:vAlign w:val="center"/>
          </w:tcPr>
          <w:p w14:paraId="3F87DBAD">
            <w:pPr>
              <w:jc w:val="center"/>
              <w:rPr>
                <w:rFonts w:ascii="宋体" w:hAnsi="宋体"/>
                <w:color w:val="auto"/>
              </w:rPr>
            </w:pPr>
            <w:r>
              <w:rPr>
                <w:rFonts w:hint="eastAsia" w:ascii="宋体" w:hAnsi="宋体"/>
                <w:color w:val="auto"/>
              </w:rPr>
              <w:t>环境风险</w:t>
            </w:r>
          </w:p>
        </w:tc>
        <w:tc>
          <w:tcPr>
            <w:tcW w:w="1354" w:type="dxa"/>
            <w:shd w:val="clear" w:color="auto" w:fill="auto"/>
            <w:vAlign w:val="center"/>
          </w:tcPr>
          <w:p w14:paraId="6553B60B">
            <w:pPr>
              <w:jc w:val="center"/>
              <w:rPr>
                <w:rFonts w:ascii="宋体" w:hAnsi="宋体"/>
                <w:color w:val="auto"/>
              </w:rPr>
            </w:pPr>
            <w:r>
              <w:rPr>
                <w:rFonts w:hint="eastAsia" w:ascii="宋体" w:hAnsi="宋体"/>
                <w:color w:val="auto"/>
              </w:rPr>
              <w:t>风险防范</w:t>
            </w:r>
          </w:p>
        </w:tc>
        <w:tc>
          <w:tcPr>
            <w:tcW w:w="1869" w:type="dxa"/>
            <w:shd w:val="clear" w:color="auto" w:fill="auto"/>
            <w:vAlign w:val="center"/>
          </w:tcPr>
          <w:p w14:paraId="2D9CE3D1">
            <w:pPr>
              <w:jc w:val="center"/>
              <w:rPr>
                <w:rFonts w:ascii="宋体" w:hAnsi="宋体"/>
                <w:color w:val="auto"/>
              </w:rPr>
            </w:pPr>
            <w:r>
              <w:rPr>
                <w:rFonts w:hint="eastAsia" w:ascii="宋体" w:hAnsi="宋体"/>
                <w:color w:val="auto"/>
              </w:rPr>
              <w:t>设备防腐、自控系统等</w:t>
            </w:r>
          </w:p>
        </w:tc>
        <w:tc>
          <w:tcPr>
            <w:tcW w:w="1267" w:type="dxa"/>
            <w:shd w:val="clear" w:color="auto" w:fill="auto"/>
            <w:noWrap/>
            <w:vAlign w:val="center"/>
          </w:tcPr>
          <w:p w14:paraId="4FC685B6">
            <w:pPr>
              <w:jc w:val="center"/>
              <w:rPr>
                <w:rFonts w:ascii="宋体" w:hAnsi="宋体"/>
                <w:color w:val="auto"/>
              </w:rPr>
            </w:pPr>
            <w:r>
              <w:rPr>
                <w:rFonts w:hint="eastAsia" w:ascii="宋体" w:hAnsi="宋体"/>
                <w:color w:val="auto"/>
              </w:rPr>
              <w:t>155</w:t>
            </w:r>
          </w:p>
        </w:tc>
        <w:tc>
          <w:tcPr>
            <w:tcW w:w="975" w:type="dxa"/>
            <w:shd w:val="clear" w:color="auto" w:fill="auto"/>
            <w:vAlign w:val="center"/>
          </w:tcPr>
          <w:p w14:paraId="72FAF7D9">
            <w:pPr>
              <w:jc w:val="center"/>
              <w:rPr>
                <w:rFonts w:ascii="宋体" w:hAnsi="宋体"/>
                <w:color w:val="auto"/>
              </w:rPr>
            </w:pPr>
            <w:r>
              <w:rPr>
                <w:rFonts w:hint="eastAsia" w:ascii="宋体" w:hAnsi="宋体"/>
                <w:color w:val="auto"/>
              </w:rPr>
              <w:t>2</w:t>
            </w:r>
            <w:r>
              <w:rPr>
                <w:rFonts w:ascii="宋体" w:hAnsi="宋体"/>
                <w:color w:val="auto"/>
              </w:rPr>
              <w:t>2</w:t>
            </w:r>
          </w:p>
        </w:tc>
        <w:tc>
          <w:tcPr>
            <w:tcW w:w="1779" w:type="dxa"/>
            <w:shd w:val="clear" w:color="auto" w:fill="auto"/>
            <w:vAlign w:val="center"/>
          </w:tcPr>
          <w:p w14:paraId="33BD5D23">
            <w:pPr>
              <w:jc w:val="center"/>
              <w:rPr>
                <w:rFonts w:ascii="宋体" w:hAnsi="宋体"/>
                <w:color w:val="auto"/>
              </w:rPr>
            </w:pPr>
            <w:r>
              <w:rPr>
                <w:rFonts w:hint="eastAsia" w:ascii="宋体" w:hAnsi="宋体"/>
                <w:color w:val="auto"/>
              </w:rPr>
              <w:t>购置、安装　</w:t>
            </w:r>
          </w:p>
        </w:tc>
      </w:tr>
      <w:tr w14:paraId="66E38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auto"/>
            <w:noWrap/>
            <w:vAlign w:val="center"/>
          </w:tcPr>
          <w:p w14:paraId="0F6D50BB">
            <w:pPr>
              <w:jc w:val="center"/>
              <w:rPr>
                <w:rFonts w:ascii="宋体" w:hAnsi="宋体"/>
                <w:color w:val="auto"/>
              </w:rPr>
            </w:pPr>
            <w:r>
              <w:rPr>
                <w:rFonts w:hint="eastAsia" w:ascii="宋体" w:hAnsi="宋体"/>
                <w:color w:val="auto"/>
              </w:rPr>
              <w:t>生态恢复</w:t>
            </w:r>
          </w:p>
        </w:tc>
        <w:tc>
          <w:tcPr>
            <w:tcW w:w="1354" w:type="dxa"/>
            <w:vMerge w:val="restart"/>
            <w:shd w:val="clear" w:color="auto" w:fill="auto"/>
            <w:vAlign w:val="center"/>
          </w:tcPr>
          <w:p w14:paraId="71ED4CFD">
            <w:pPr>
              <w:jc w:val="center"/>
              <w:rPr>
                <w:rFonts w:ascii="宋体" w:hAnsi="宋体"/>
                <w:color w:val="auto"/>
              </w:rPr>
            </w:pPr>
            <w:r>
              <w:rPr>
                <w:rFonts w:hint="eastAsia" w:ascii="宋体" w:hAnsi="宋体"/>
                <w:color w:val="auto"/>
              </w:rPr>
              <w:t>生态恢复措施</w:t>
            </w:r>
          </w:p>
        </w:tc>
        <w:tc>
          <w:tcPr>
            <w:tcW w:w="1869" w:type="dxa"/>
            <w:shd w:val="clear" w:color="auto" w:fill="auto"/>
            <w:noWrap/>
            <w:vAlign w:val="center"/>
          </w:tcPr>
          <w:p w14:paraId="44B954DD">
            <w:pPr>
              <w:jc w:val="center"/>
              <w:rPr>
                <w:rFonts w:ascii="宋体" w:hAnsi="宋体"/>
                <w:color w:val="auto"/>
              </w:rPr>
            </w:pPr>
            <w:r>
              <w:rPr>
                <w:rFonts w:hint="eastAsia" w:ascii="宋体" w:hAnsi="宋体"/>
                <w:color w:val="auto"/>
              </w:rPr>
              <w:t>对临时占地进行生态恢复、水土保持</w:t>
            </w:r>
          </w:p>
        </w:tc>
        <w:tc>
          <w:tcPr>
            <w:tcW w:w="1267" w:type="dxa"/>
            <w:shd w:val="clear" w:color="auto" w:fill="auto"/>
            <w:noWrap/>
            <w:vAlign w:val="center"/>
          </w:tcPr>
          <w:p w14:paraId="0A0E4C57">
            <w:pPr>
              <w:jc w:val="center"/>
              <w:rPr>
                <w:rFonts w:ascii="宋体" w:hAnsi="宋体"/>
                <w:color w:val="auto"/>
              </w:rPr>
            </w:pPr>
            <w:r>
              <w:rPr>
                <w:rFonts w:hint="eastAsia" w:ascii="宋体" w:hAnsi="宋体"/>
                <w:color w:val="auto"/>
              </w:rPr>
              <w:t>158</w:t>
            </w:r>
          </w:p>
        </w:tc>
        <w:tc>
          <w:tcPr>
            <w:tcW w:w="975" w:type="dxa"/>
            <w:shd w:val="clear" w:color="auto" w:fill="auto"/>
            <w:vAlign w:val="center"/>
          </w:tcPr>
          <w:p w14:paraId="0BCAEAFE">
            <w:pPr>
              <w:jc w:val="center"/>
              <w:rPr>
                <w:rFonts w:ascii="宋体" w:hAnsi="宋体"/>
                <w:color w:val="auto"/>
              </w:rPr>
            </w:pPr>
            <w:r>
              <w:rPr>
                <w:rFonts w:hint="eastAsia" w:ascii="宋体" w:hAnsi="宋体"/>
                <w:color w:val="auto"/>
              </w:rPr>
              <w:t>2</w:t>
            </w:r>
            <w:r>
              <w:rPr>
                <w:rFonts w:ascii="宋体" w:hAnsi="宋体"/>
                <w:color w:val="auto"/>
              </w:rPr>
              <w:t>2</w:t>
            </w:r>
          </w:p>
        </w:tc>
        <w:tc>
          <w:tcPr>
            <w:tcW w:w="1779" w:type="dxa"/>
            <w:vMerge w:val="restart"/>
            <w:shd w:val="clear" w:color="auto" w:fill="auto"/>
            <w:vAlign w:val="center"/>
          </w:tcPr>
          <w:p w14:paraId="3844D782">
            <w:pPr>
              <w:jc w:val="center"/>
              <w:rPr>
                <w:rFonts w:ascii="宋体" w:hAnsi="宋体"/>
                <w:color w:val="auto"/>
              </w:rPr>
            </w:pPr>
            <w:r>
              <w:rPr>
                <w:rFonts w:hint="eastAsia" w:ascii="宋体" w:hAnsi="宋体"/>
                <w:color w:val="auto"/>
              </w:rPr>
              <w:t>　施工临时用地的恢复，水土保持等费用</w:t>
            </w:r>
          </w:p>
        </w:tc>
      </w:tr>
      <w:tr w14:paraId="15F45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auto"/>
            <w:vAlign w:val="center"/>
          </w:tcPr>
          <w:p w14:paraId="1F1A8E8F">
            <w:pPr>
              <w:jc w:val="center"/>
              <w:rPr>
                <w:rFonts w:ascii="宋体" w:hAnsi="宋体"/>
                <w:color w:val="auto"/>
              </w:rPr>
            </w:pPr>
          </w:p>
        </w:tc>
        <w:tc>
          <w:tcPr>
            <w:tcW w:w="1354" w:type="dxa"/>
            <w:vMerge w:val="continue"/>
            <w:shd w:val="clear" w:color="auto" w:fill="auto"/>
            <w:vAlign w:val="center"/>
          </w:tcPr>
          <w:p w14:paraId="31EFD975">
            <w:pPr>
              <w:jc w:val="center"/>
              <w:rPr>
                <w:rFonts w:ascii="宋体" w:hAnsi="宋体"/>
                <w:color w:val="auto"/>
              </w:rPr>
            </w:pPr>
          </w:p>
        </w:tc>
        <w:tc>
          <w:tcPr>
            <w:tcW w:w="1869" w:type="dxa"/>
            <w:shd w:val="clear" w:color="auto" w:fill="auto"/>
            <w:noWrap/>
            <w:vAlign w:val="center"/>
          </w:tcPr>
          <w:p w14:paraId="7B116C8F">
            <w:pPr>
              <w:jc w:val="center"/>
              <w:rPr>
                <w:rFonts w:ascii="宋体" w:hAnsi="宋体"/>
                <w:color w:val="auto"/>
              </w:rPr>
            </w:pPr>
            <w:r>
              <w:rPr>
                <w:rFonts w:hint="eastAsia" w:ascii="宋体" w:hAnsi="宋体"/>
                <w:color w:val="auto"/>
              </w:rPr>
              <w:t>闭井后对井场进行生态恢复</w:t>
            </w:r>
          </w:p>
        </w:tc>
        <w:tc>
          <w:tcPr>
            <w:tcW w:w="1267" w:type="dxa"/>
            <w:shd w:val="clear" w:color="auto" w:fill="auto"/>
            <w:noWrap/>
            <w:vAlign w:val="center"/>
          </w:tcPr>
          <w:p w14:paraId="3F99AFE4">
            <w:pPr>
              <w:jc w:val="center"/>
              <w:rPr>
                <w:rFonts w:ascii="宋体" w:hAnsi="宋体"/>
                <w:color w:val="auto"/>
              </w:rPr>
            </w:pPr>
            <w:r>
              <w:rPr>
                <w:rFonts w:hint="eastAsia" w:ascii="宋体" w:hAnsi="宋体"/>
                <w:color w:val="auto"/>
              </w:rPr>
              <w:t>150</w:t>
            </w:r>
          </w:p>
        </w:tc>
        <w:tc>
          <w:tcPr>
            <w:tcW w:w="975" w:type="dxa"/>
            <w:shd w:val="clear" w:color="auto" w:fill="auto"/>
            <w:vAlign w:val="center"/>
          </w:tcPr>
          <w:p w14:paraId="75563569">
            <w:pPr>
              <w:jc w:val="center"/>
              <w:rPr>
                <w:rFonts w:ascii="宋体" w:hAnsi="宋体"/>
                <w:color w:val="auto"/>
              </w:rPr>
            </w:pPr>
            <w:r>
              <w:rPr>
                <w:rFonts w:hint="eastAsia" w:ascii="宋体" w:hAnsi="宋体"/>
                <w:color w:val="auto"/>
              </w:rPr>
              <w:t>/</w:t>
            </w:r>
          </w:p>
        </w:tc>
        <w:tc>
          <w:tcPr>
            <w:tcW w:w="1779" w:type="dxa"/>
            <w:vMerge w:val="continue"/>
            <w:shd w:val="clear" w:color="auto" w:fill="auto"/>
            <w:vAlign w:val="center"/>
          </w:tcPr>
          <w:p w14:paraId="1986C696">
            <w:pPr>
              <w:jc w:val="center"/>
              <w:rPr>
                <w:rFonts w:ascii="宋体" w:hAnsi="宋体"/>
                <w:color w:val="auto"/>
              </w:rPr>
            </w:pPr>
          </w:p>
        </w:tc>
      </w:tr>
      <w:tr w14:paraId="05967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99" w:type="dxa"/>
            <w:gridSpan w:val="3"/>
            <w:shd w:val="clear" w:color="auto" w:fill="auto"/>
            <w:noWrap/>
            <w:vAlign w:val="center"/>
          </w:tcPr>
          <w:p w14:paraId="404805F6">
            <w:pPr>
              <w:jc w:val="center"/>
              <w:rPr>
                <w:rFonts w:ascii="宋体" w:hAnsi="宋体"/>
                <w:color w:val="auto"/>
              </w:rPr>
            </w:pPr>
            <w:r>
              <w:rPr>
                <w:rFonts w:hint="eastAsia" w:ascii="宋体" w:hAnsi="宋体"/>
                <w:color w:val="auto"/>
              </w:rPr>
              <w:t>合计</w:t>
            </w:r>
          </w:p>
        </w:tc>
        <w:tc>
          <w:tcPr>
            <w:tcW w:w="1267" w:type="dxa"/>
            <w:shd w:val="clear" w:color="auto" w:fill="auto"/>
            <w:noWrap/>
            <w:vAlign w:val="center"/>
          </w:tcPr>
          <w:p w14:paraId="380DF69D">
            <w:pPr>
              <w:jc w:val="center"/>
              <w:rPr>
                <w:rFonts w:ascii="宋体" w:hAnsi="宋体"/>
                <w:color w:val="auto"/>
              </w:rPr>
            </w:pPr>
            <w:r>
              <w:rPr>
                <w:rFonts w:hint="eastAsia" w:ascii="宋体" w:hAnsi="宋体"/>
                <w:color w:val="auto"/>
              </w:rPr>
              <w:t>706</w:t>
            </w:r>
          </w:p>
        </w:tc>
        <w:tc>
          <w:tcPr>
            <w:tcW w:w="975" w:type="dxa"/>
            <w:shd w:val="clear" w:color="auto" w:fill="auto"/>
            <w:vAlign w:val="center"/>
          </w:tcPr>
          <w:p w14:paraId="450E41B6">
            <w:pPr>
              <w:jc w:val="center"/>
              <w:rPr>
                <w:rFonts w:ascii="宋体" w:hAnsi="宋体"/>
                <w:color w:val="auto"/>
              </w:rPr>
            </w:pPr>
            <w:r>
              <w:rPr>
                <w:rFonts w:ascii="宋体" w:hAnsi="宋体"/>
                <w:color w:val="auto"/>
              </w:rPr>
              <w:t>346</w:t>
            </w:r>
          </w:p>
        </w:tc>
        <w:tc>
          <w:tcPr>
            <w:tcW w:w="1779" w:type="dxa"/>
            <w:shd w:val="clear" w:color="auto" w:fill="auto"/>
            <w:vAlign w:val="center"/>
          </w:tcPr>
          <w:p w14:paraId="49E89848">
            <w:pPr>
              <w:jc w:val="center"/>
              <w:rPr>
                <w:rFonts w:ascii="宋体" w:hAnsi="宋体"/>
                <w:color w:val="auto"/>
              </w:rPr>
            </w:pPr>
            <w:r>
              <w:rPr>
                <w:rFonts w:hint="eastAsia" w:ascii="宋体" w:hAnsi="宋体"/>
                <w:color w:val="auto"/>
              </w:rPr>
              <w:t>　</w:t>
            </w:r>
          </w:p>
        </w:tc>
      </w:tr>
    </w:tbl>
    <w:p w14:paraId="2DBBEE9F">
      <w:pPr>
        <w:pStyle w:val="5"/>
        <w:rPr>
          <w:color w:val="auto"/>
        </w:rPr>
      </w:pPr>
      <w:bookmarkStart w:id="320" w:name="_Toc231283627"/>
      <w:r>
        <w:rPr>
          <w:rFonts w:hint="eastAsia"/>
          <w:color w:val="auto"/>
        </w:rPr>
        <w:t>项目产能</w:t>
      </w:r>
      <w:r>
        <w:rPr>
          <w:color w:val="auto"/>
        </w:rPr>
        <w:t>规模和</w:t>
      </w:r>
      <w:r>
        <w:rPr>
          <w:rFonts w:hint="eastAsia"/>
          <w:color w:val="auto"/>
        </w:rPr>
        <w:t>验收工况</w:t>
      </w:r>
      <w:bookmarkEnd w:id="320"/>
    </w:p>
    <w:p w14:paraId="15EABF43">
      <w:pPr>
        <w:pStyle w:val="4"/>
        <w:ind w:firstLine="480"/>
        <w:rPr>
          <w:color w:val="auto"/>
        </w:rPr>
      </w:pPr>
      <w:r>
        <w:rPr>
          <w:rFonts w:hint="eastAsia"/>
          <w:color w:val="auto"/>
        </w:rPr>
        <w:t>本项目环评阶段共部署163口井，其中新钻油井98口，注水井51口，油井转注水井5口，探井转油井9口；根据环评阶段预测，项目实施后最大产油能力11.7×10</w:t>
      </w:r>
      <w:r>
        <w:rPr>
          <w:rFonts w:hint="eastAsia"/>
          <w:color w:val="auto"/>
          <w:vertAlign w:val="superscript"/>
        </w:rPr>
        <w:t>4</w:t>
      </w:r>
      <w:r>
        <w:rPr>
          <w:rFonts w:hint="eastAsia"/>
          <w:color w:val="auto"/>
        </w:rPr>
        <w:t>t/a（第1年），最大产液量36.02×10</w:t>
      </w:r>
      <w:r>
        <w:rPr>
          <w:rFonts w:hint="eastAsia"/>
          <w:color w:val="auto"/>
          <w:vertAlign w:val="superscript"/>
        </w:rPr>
        <w:t>4</w:t>
      </w:r>
      <w:r>
        <w:rPr>
          <w:rFonts w:hint="eastAsia"/>
          <w:color w:val="auto"/>
        </w:rPr>
        <w:t>t/a（第15年）</w:t>
      </w:r>
      <w:r>
        <w:rPr>
          <w:color w:val="auto"/>
        </w:rPr>
        <w:t>。</w:t>
      </w:r>
    </w:p>
    <w:p w14:paraId="78BF352A">
      <w:pPr>
        <w:pStyle w:val="4"/>
        <w:ind w:firstLine="480"/>
        <w:rPr>
          <w:color w:val="auto"/>
        </w:rPr>
      </w:pPr>
      <w:r>
        <w:rPr>
          <w:rFonts w:hint="eastAsia"/>
          <w:color w:val="auto"/>
        </w:rPr>
        <w:t>本期工程部署</w:t>
      </w:r>
      <w:r>
        <w:rPr>
          <w:rFonts w:hint="eastAsia" w:cs="宋体"/>
          <w:color w:val="auto"/>
        </w:rPr>
        <w:t>24口井，其中探井转开发井8口，新钻井</w:t>
      </w:r>
      <w:r>
        <w:rPr>
          <w:rFonts w:cs="宋体"/>
          <w:color w:val="auto"/>
        </w:rPr>
        <w:t>16口（油井9口、注水井7口）</w:t>
      </w:r>
      <w:r>
        <w:rPr>
          <w:rFonts w:hint="eastAsia"/>
          <w:color w:val="auto"/>
        </w:rPr>
        <w:t>，当前</w:t>
      </w:r>
      <w:r>
        <w:rPr>
          <w:color w:val="auto"/>
        </w:rPr>
        <w:t>合计产液量为8.31</w:t>
      </w:r>
      <w:r>
        <w:rPr>
          <w:rFonts w:hint="eastAsia"/>
          <w:color w:val="auto"/>
        </w:rPr>
        <w:t>×10</w:t>
      </w:r>
      <w:r>
        <w:rPr>
          <w:rFonts w:hint="eastAsia"/>
          <w:color w:val="auto"/>
          <w:vertAlign w:val="superscript"/>
        </w:rPr>
        <w:t>4</w:t>
      </w:r>
      <w:r>
        <w:rPr>
          <w:color w:val="auto"/>
        </w:rPr>
        <w:t>t/a，产油量为4.30</w:t>
      </w:r>
      <w:r>
        <w:rPr>
          <w:rFonts w:hint="eastAsia"/>
          <w:color w:val="auto"/>
        </w:rPr>
        <w:t>×10</w:t>
      </w:r>
      <w:r>
        <w:rPr>
          <w:rFonts w:hint="eastAsia"/>
          <w:color w:val="auto"/>
          <w:vertAlign w:val="superscript"/>
        </w:rPr>
        <w:t>4</w:t>
      </w:r>
      <w:r>
        <w:rPr>
          <w:color w:val="auto"/>
        </w:rPr>
        <w:t>t/a</w:t>
      </w:r>
      <w:r>
        <w:rPr>
          <w:rFonts w:hint="eastAsia"/>
          <w:color w:val="auto"/>
        </w:rPr>
        <w:t>。</w:t>
      </w:r>
      <w:r>
        <w:rPr>
          <w:color w:val="auto"/>
        </w:rPr>
        <w:t>与环评设计相比，本项目</w:t>
      </w:r>
      <w:r>
        <w:rPr>
          <w:rFonts w:hint="eastAsia"/>
          <w:color w:val="auto"/>
        </w:rPr>
        <w:t>产油量、产液量均减少</w:t>
      </w:r>
      <w:r>
        <w:rPr>
          <w:color w:val="auto"/>
        </w:rPr>
        <w:t>。</w:t>
      </w:r>
    </w:p>
    <w:p w14:paraId="22A29866">
      <w:pPr>
        <w:pStyle w:val="4"/>
        <w:ind w:firstLine="480"/>
        <w:rPr>
          <w:color w:val="auto"/>
        </w:rPr>
      </w:pPr>
      <w:r>
        <w:rPr>
          <w:rFonts w:hint="eastAsia"/>
          <w:color w:val="auto"/>
        </w:rPr>
        <w:t>验收调查期间，工程运行稳定，环保设施运行正常，具备竣工环保保护验收条件。</w:t>
      </w:r>
    </w:p>
    <w:p w14:paraId="1B53AF01">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3.7</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r>
        <w:rPr>
          <w:color w:val="auto"/>
        </w:rPr>
        <w:t xml:space="preserve"> </w:t>
      </w:r>
      <w:r>
        <w:rPr>
          <w:rFonts w:hint="eastAsia"/>
          <w:color w:val="auto"/>
        </w:rPr>
        <w:t>项目产能规模一览表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2603"/>
        <w:gridCol w:w="2774"/>
        <w:gridCol w:w="2653"/>
      </w:tblGrid>
      <w:tr w14:paraId="11CCB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96" w:type="pct"/>
            <w:vMerge w:val="restart"/>
            <w:vAlign w:val="center"/>
          </w:tcPr>
          <w:p w14:paraId="7CB932AB">
            <w:pPr>
              <w:adjustRightInd w:val="0"/>
              <w:snapToGrid w:val="0"/>
              <w:jc w:val="center"/>
              <w:rPr>
                <w:rFonts w:ascii="宋体" w:hAnsi="宋体" w:cs="宋体"/>
                <w:color w:val="auto"/>
              </w:rPr>
            </w:pPr>
            <w:r>
              <w:rPr>
                <w:rFonts w:hint="eastAsia" w:ascii="宋体" w:hAnsi="宋体" w:cs="宋体"/>
                <w:color w:val="auto"/>
              </w:rPr>
              <w:t>产能规模</w:t>
            </w:r>
          </w:p>
        </w:tc>
        <w:tc>
          <w:tcPr>
            <w:tcW w:w="1492" w:type="pct"/>
            <w:vAlign w:val="center"/>
          </w:tcPr>
          <w:p w14:paraId="4CD57DEB">
            <w:pPr>
              <w:pStyle w:val="224"/>
              <w:adjustRightInd w:val="0"/>
              <w:snapToGrid w:val="0"/>
              <w:rPr>
                <w:rFonts w:ascii="宋体" w:hAnsi="宋体" w:cs="宋体"/>
                <w:color w:val="auto"/>
              </w:rPr>
            </w:pPr>
            <w:r>
              <w:rPr>
                <w:rFonts w:hint="eastAsia" w:ascii="宋体" w:hAnsi="宋体"/>
                <w:color w:val="auto"/>
              </w:rPr>
              <w:t>环评阶段</w:t>
            </w:r>
          </w:p>
        </w:tc>
        <w:tc>
          <w:tcPr>
            <w:tcW w:w="1590" w:type="pct"/>
            <w:vAlign w:val="center"/>
          </w:tcPr>
          <w:p w14:paraId="2BBA9B87">
            <w:pPr>
              <w:pStyle w:val="224"/>
              <w:adjustRightInd w:val="0"/>
              <w:snapToGrid w:val="0"/>
              <w:rPr>
                <w:rFonts w:ascii="宋体" w:hAnsi="宋体"/>
                <w:color w:val="auto"/>
              </w:rPr>
            </w:pPr>
            <w:r>
              <w:rPr>
                <w:rFonts w:hint="eastAsia" w:ascii="宋体" w:hAnsi="宋体"/>
                <w:color w:val="auto"/>
              </w:rPr>
              <w:t>本期</w:t>
            </w:r>
            <w:r>
              <w:rPr>
                <w:rFonts w:ascii="宋体" w:hAnsi="宋体"/>
                <w:color w:val="auto"/>
              </w:rPr>
              <w:t>工程</w:t>
            </w:r>
          </w:p>
        </w:tc>
        <w:tc>
          <w:tcPr>
            <w:tcW w:w="1521" w:type="pct"/>
            <w:vAlign w:val="center"/>
          </w:tcPr>
          <w:p w14:paraId="1C881B80">
            <w:pPr>
              <w:pStyle w:val="224"/>
              <w:adjustRightInd w:val="0"/>
              <w:snapToGrid w:val="0"/>
              <w:rPr>
                <w:rFonts w:ascii="宋体" w:hAnsi="宋体" w:cs="宋体"/>
                <w:color w:val="auto"/>
              </w:rPr>
            </w:pPr>
            <w:r>
              <w:rPr>
                <w:rFonts w:hint="eastAsia" w:ascii="宋体" w:hAnsi="宋体" w:cs="宋体"/>
                <w:color w:val="auto"/>
              </w:rPr>
              <w:t>较环评变化情况</w:t>
            </w:r>
          </w:p>
        </w:tc>
      </w:tr>
      <w:tr w14:paraId="46F8C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vAlign w:val="center"/>
          </w:tcPr>
          <w:p w14:paraId="286A1C53">
            <w:pPr>
              <w:adjustRightInd w:val="0"/>
              <w:snapToGrid w:val="0"/>
              <w:jc w:val="center"/>
              <w:rPr>
                <w:rFonts w:ascii="宋体" w:hAnsi="宋体" w:cs="宋体"/>
                <w:color w:val="auto"/>
              </w:rPr>
            </w:pPr>
          </w:p>
        </w:tc>
        <w:tc>
          <w:tcPr>
            <w:tcW w:w="1492" w:type="pct"/>
            <w:vAlign w:val="center"/>
          </w:tcPr>
          <w:p w14:paraId="75B2A5CB">
            <w:pPr>
              <w:jc w:val="center"/>
              <w:rPr>
                <w:rFonts w:ascii="宋体" w:hAnsi="宋体"/>
                <w:color w:val="auto"/>
              </w:rPr>
            </w:pPr>
            <w:r>
              <w:rPr>
                <w:rFonts w:hint="eastAsia" w:ascii="宋体" w:hAnsi="宋体"/>
                <w:color w:val="auto"/>
              </w:rPr>
              <w:t>产油量</w:t>
            </w:r>
            <w:r>
              <w:rPr>
                <w:rFonts w:ascii="宋体" w:hAnsi="宋体"/>
                <w:color w:val="auto"/>
              </w:rPr>
              <w:t>11.7×10</w:t>
            </w:r>
            <w:r>
              <w:rPr>
                <w:rFonts w:ascii="宋体" w:hAnsi="宋体"/>
                <w:color w:val="auto"/>
                <w:vertAlign w:val="superscript"/>
              </w:rPr>
              <w:t>4</w:t>
            </w:r>
            <w:r>
              <w:rPr>
                <w:rFonts w:ascii="宋体" w:hAnsi="宋体"/>
                <w:color w:val="auto"/>
              </w:rPr>
              <w:t>t/a</w:t>
            </w:r>
          </w:p>
          <w:p w14:paraId="53E74EF6">
            <w:pPr>
              <w:adjustRightInd w:val="0"/>
              <w:snapToGrid w:val="0"/>
              <w:jc w:val="center"/>
              <w:rPr>
                <w:rFonts w:ascii="宋体" w:hAnsi="宋体"/>
                <w:color w:val="auto"/>
              </w:rPr>
            </w:pPr>
            <w:r>
              <w:rPr>
                <w:rFonts w:ascii="宋体" w:hAnsi="宋体"/>
                <w:color w:val="auto"/>
              </w:rPr>
              <w:t>产液量36.02×10</w:t>
            </w:r>
            <w:r>
              <w:rPr>
                <w:rFonts w:ascii="宋体" w:hAnsi="宋体"/>
                <w:color w:val="auto"/>
                <w:vertAlign w:val="superscript"/>
              </w:rPr>
              <w:t>4</w:t>
            </w:r>
            <w:r>
              <w:rPr>
                <w:rFonts w:ascii="宋体" w:hAnsi="宋体"/>
                <w:color w:val="auto"/>
              </w:rPr>
              <w:t>t/a</w:t>
            </w:r>
          </w:p>
        </w:tc>
        <w:tc>
          <w:tcPr>
            <w:tcW w:w="1590" w:type="pct"/>
            <w:vAlign w:val="center"/>
          </w:tcPr>
          <w:p w14:paraId="7915C283">
            <w:pPr>
              <w:jc w:val="center"/>
              <w:rPr>
                <w:rFonts w:ascii="宋体" w:hAnsi="宋体"/>
                <w:color w:val="auto"/>
              </w:rPr>
            </w:pPr>
            <w:r>
              <w:rPr>
                <w:rFonts w:hint="eastAsia" w:ascii="宋体" w:hAnsi="宋体"/>
                <w:color w:val="auto"/>
              </w:rPr>
              <w:t>产油量</w:t>
            </w:r>
            <w:r>
              <w:rPr>
                <w:rFonts w:ascii="宋体" w:hAnsi="宋体"/>
                <w:color w:val="auto"/>
              </w:rPr>
              <w:t>4.30×10</w:t>
            </w:r>
            <w:r>
              <w:rPr>
                <w:rFonts w:ascii="宋体" w:hAnsi="宋体"/>
                <w:color w:val="auto"/>
                <w:vertAlign w:val="superscript"/>
              </w:rPr>
              <w:t>4</w:t>
            </w:r>
            <w:r>
              <w:rPr>
                <w:rFonts w:ascii="宋体" w:hAnsi="宋体"/>
                <w:color w:val="auto"/>
              </w:rPr>
              <w:t>t/a</w:t>
            </w:r>
          </w:p>
          <w:p w14:paraId="08F6D5AF">
            <w:pPr>
              <w:adjustRightInd w:val="0"/>
              <w:snapToGrid w:val="0"/>
              <w:jc w:val="center"/>
              <w:rPr>
                <w:rFonts w:ascii="宋体" w:hAnsi="宋体"/>
                <w:color w:val="auto"/>
              </w:rPr>
            </w:pPr>
            <w:r>
              <w:rPr>
                <w:rFonts w:ascii="宋体" w:hAnsi="宋体"/>
                <w:color w:val="auto"/>
              </w:rPr>
              <w:t>产液量8.31×10</w:t>
            </w:r>
            <w:r>
              <w:rPr>
                <w:rFonts w:ascii="宋体" w:hAnsi="宋体"/>
                <w:color w:val="auto"/>
                <w:vertAlign w:val="superscript"/>
              </w:rPr>
              <w:t>4</w:t>
            </w:r>
            <w:r>
              <w:rPr>
                <w:rFonts w:ascii="宋体" w:hAnsi="宋体"/>
                <w:color w:val="auto"/>
              </w:rPr>
              <w:t>t/a</w:t>
            </w:r>
          </w:p>
        </w:tc>
        <w:tc>
          <w:tcPr>
            <w:tcW w:w="1521" w:type="pct"/>
            <w:vAlign w:val="center"/>
          </w:tcPr>
          <w:p w14:paraId="42FDB4CA">
            <w:pPr>
              <w:jc w:val="center"/>
              <w:rPr>
                <w:rFonts w:ascii="宋体" w:hAnsi="宋体"/>
                <w:color w:val="auto"/>
              </w:rPr>
            </w:pPr>
            <w:r>
              <w:rPr>
                <w:rFonts w:hint="eastAsia" w:ascii="宋体" w:hAnsi="宋体"/>
                <w:color w:val="auto"/>
              </w:rPr>
              <w:t>产油量减少</w:t>
            </w:r>
            <w:r>
              <w:rPr>
                <w:rFonts w:ascii="宋体" w:hAnsi="宋体"/>
                <w:color w:val="auto"/>
              </w:rPr>
              <w:t>7.40×10</w:t>
            </w:r>
            <w:r>
              <w:rPr>
                <w:rFonts w:ascii="宋体" w:hAnsi="宋体"/>
                <w:color w:val="auto"/>
                <w:vertAlign w:val="superscript"/>
              </w:rPr>
              <w:t>4</w:t>
            </w:r>
            <w:r>
              <w:rPr>
                <w:rFonts w:ascii="宋体" w:hAnsi="宋体"/>
                <w:color w:val="auto"/>
              </w:rPr>
              <w:t>t/a，</w:t>
            </w:r>
          </w:p>
          <w:p w14:paraId="188001BD">
            <w:pPr>
              <w:adjustRightInd w:val="0"/>
              <w:snapToGrid w:val="0"/>
              <w:jc w:val="center"/>
              <w:rPr>
                <w:rFonts w:ascii="宋体" w:hAnsi="宋体" w:cs="宋体"/>
                <w:color w:val="auto"/>
              </w:rPr>
            </w:pPr>
            <w:r>
              <w:rPr>
                <w:rFonts w:ascii="宋体" w:hAnsi="宋体"/>
                <w:color w:val="auto"/>
              </w:rPr>
              <w:t>产液量</w:t>
            </w:r>
            <w:r>
              <w:rPr>
                <w:rFonts w:hint="eastAsia" w:ascii="宋体" w:hAnsi="宋体"/>
                <w:color w:val="auto"/>
              </w:rPr>
              <w:t>减少</w:t>
            </w:r>
            <w:r>
              <w:rPr>
                <w:rFonts w:ascii="宋体" w:hAnsi="宋体"/>
                <w:color w:val="auto"/>
              </w:rPr>
              <w:t>27.71×10</w:t>
            </w:r>
            <w:r>
              <w:rPr>
                <w:rFonts w:ascii="宋体" w:hAnsi="宋体"/>
                <w:color w:val="auto"/>
                <w:vertAlign w:val="superscript"/>
              </w:rPr>
              <w:t>4</w:t>
            </w:r>
            <w:r>
              <w:rPr>
                <w:rFonts w:ascii="宋体" w:hAnsi="宋体"/>
                <w:color w:val="auto"/>
              </w:rPr>
              <w:t>t/a</w:t>
            </w:r>
          </w:p>
        </w:tc>
      </w:tr>
    </w:tbl>
    <w:p w14:paraId="282F6F70">
      <w:pPr>
        <w:pStyle w:val="5"/>
        <w:rPr>
          <w:color w:val="auto"/>
        </w:rPr>
      </w:pPr>
      <w:bookmarkStart w:id="321" w:name="_Toc231283628"/>
      <w:r>
        <w:rPr>
          <w:rFonts w:hint="eastAsia"/>
          <w:color w:val="auto"/>
        </w:rPr>
        <w:t>项目变动</w:t>
      </w:r>
      <w:r>
        <w:rPr>
          <w:color w:val="auto"/>
        </w:rPr>
        <w:t>情况</w:t>
      </w:r>
      <w:bookmarkEnd w:id="321"/>
    </w:p>
    <w:p w14:paraId="1ECB1B32">
      <w:pPr>
        <w:pStyle w:val="6"/>
        <w:rPr>
          <w:color w:val="auto"/>
        </w:rPr>
      </w:pPr>
      <w:r>
        <w:rPr>
          <w:rFonts w:hint="eastAsia"/>
          <w:color w:val="auto"/>
        </w:rPr>
        <w:t>实际建设</w:t>
      </w:r>
      <w:r>
        <w:rPr>
          <w:color w:val="auto"/>
        </w:rPr>
        <w:t>情况与环评</w:t>
      </w:r>
      <w:r>
        <w:rPr>
          <w:rFonts w:hint="eastAsia"/>
          <w:color w:val="auto"/>
        </w:rPr>
        <w:t>变动</w:t>
      </w:r>
      <w:r>
        <w:rPr>
          <w:color w:val="auto"/>
        </w:rPr>
        <w:t>情况</w:t>
      </w:r>
    </w:p>
    <w:p w14:paraId="55FAC20F">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olor w:val="auto"/>
          <w:sz w:val="24"/>
          <w:szCs w:val="24"/>
        </w:rPr>
        <w:t>根据验收</w:t>
      </w:r>
      <w:r>
        <w:rPr>
          <w:rFonts w:ascii="宋体" w:hAnsi="宋体"/>
          <w:color w:val="auto"/>
          <w:sz w:val="24"/>
          <w:szCs w:val="24"/>
        </w:rPr>
        <w:t>调查情况</w:t>
      </w:r>
      <w:r>
        <w:rPr>
          <w:rFonts w:hint="eastAsia" w:ascii="宋体" w:hAnsi="宋体"/>
          <w:color w:val="auto"/>
          <w:sz w:val="24"/>
          <w:szCs w:val="24"/>
        </w:rPr>
        <w:t>，本期工程</w:t>
      </w:r>
      <w:r>
        <w:rPr>
          <w:rFonts w:ascii="宋体" w:hAnsi="宋体"/>
          <w:color w:val="auto"/>
          <w:sz w:val="24"/>
          <w:szCs w:val="24"/>
        </w:rPr>
        <w:t>建设地点未发生变化</w:t>
      </w:r>
      <w:r>
        <w:rPr>
          <w:rFonts w:hint="eastAsia" w:ascii="宋体" w:hAnsi="宋体"/>
          <w:color w:val="auto"/>
          <w:sz w:val="24"/>
          <w:szCs w:val="24"/>
        </w:rPr>
        <w:t>、建设</w:t>
      </w:r>
      <w:r>
        <w:rPr>
          <w:rFonts w:ascii="宋体" w:hAnsi="宋体"/>
          <w:color w:val="auto"/>
          <w:sz w:val="24"/>
          <w:szCs w:val="24"/>
        </w:rPr>
        <w:t>性质</w:t>
      </w:r>
      <w:r>
        <w:rPr>
          <w:rFonts w:hint="eastAsia" w:ascii="宋体" w:hAnsi="宋体"/>
          <w:color w:val="auto"/>
          <w:sz w:val="24"/>
          <w:szCs w:val="24"/>
        </w:rPr>
        <w:t>未</w:t>
      </w:r>
      <w:r>
        <w:rPr>
          <w:rFonts w:ascii="宋体" w:hAnsi="宋体"/>
          <w:color w:val="auto"/>
          <w:sz w:val="24"/>
          <w:szCs w:val="24"/>
        </w:rPr>
        <w:t>发生变化，</w:t>
      </w:r>
      <w:r>
        <w:rPr>
          <w:rFonts w:hint="eastAsia" w:ascii="宋体" w:hAnsi="宋体"/>
          <w:color w:val="auto"/>
          <w:sz w:val="24"/>
          <w:szCs w:val="24"/>
        </w:rPr>
        <w:t>评价范围</w:t>
      </w:r>
      <w:r>
        <w:rPr>
          <w:rFonts w:ascii="宋体" w:hAnsi="宋体"/>
          <w:color w:val="auto"/>
          <w:sz w:val="24"/>
          <w:szCs w:val="24"/>
        </w:rPr>
        <w:t>内</w:t>
      </w:r>
      <w:r>
        <w:rPr>
          <w:rFonts w:hint="eastAsia" w:ascii="宋体" w:hAnsi="宋体"/>
          <w:color w:val="auto"/>
          <w:sz w:val="24"/>
          <w:szCs w:val="24"/>
        </w:rPr>
        <w:t>未新增</w:t>
      </w:r>
      <w:r>
        <w:rPr>
          <w:rFonts w:ascii="宋体" w:hAnsi="宋体"/>
          <w:color w:val="auto"/>
          <w:sz w:val="24"/>
          <w:szCs w:val="24"/>
        </w:rPr>
        <w:t>环境敏感目标</w:t>
      </w:r>
      <w:r>
        <w:rPr>
          <w:rFonts w:hint="eastAsia" w:ascii="宋体" w:hAnsi="宋体"/>
          <w:color w:val="auto"/>
          <w:sz w:val="24"/>
          <w:szCs w:val="24"/>
        </w:rPr>
        <w:t>，</w:t>
      </w:r>
      <w:r>
        <w:rPr>
          <w:rFonts w:ascii="宋体" w:hAnsi="宋体"/>
          <w:color w:val="auto"/>
          <w:sz w:val="24"/>
          <w:szCs w:val="24"/>
        </w:rPr>
        <w:t>环保</w:t>
      </w:r>
      <w:r>
        <w:rPr>
          <w:rFonts w:hint="eastAsia" w:ascii="宋体" w:hAnsi="宋体"/>
          <w:color w:val="auto"/>
          <w:sz w:val="24"/>
          <w:szCs w:val="24"/>
        </w:rPr>
        <w:t>措施</w:t>
      </w:r>
      <w:r>
        <w:rPr>
          <w:rFonts w:hint="eastAsia" w:ascii="宋体" w:hAnsi="宋体" w:cs="宋体"/>
          <w:color w:val="auto"/>
          <w:sz w:val="24"/>
          <w:szCs w:val="24"/>
        </w:rPr>
        <w:t>未发生变化。本期工程建成后，总产能规模较环评阶段有所降低。其他具体变动情况及变化原因详见</w:t>
      </w:r>
      <w:r>
        <w:rPr>
          <w:rFonts w:hint="eastAsia" w:ascii="宋体" w:hAnsi="宋体" w:cs="宋体"/>
          <w:color w:val="auto"/>
          <w:sz w:val="24"/>
          <w:szCs w:val="24"/>
        </w:rPr>
        <w:fldChar w:fldCharType="begin"/>
      </w:r>
      <w:r>
        <w:rPr>
          <w:rFonts w:hint="eastAsia" w:ascii="宋体" w:hAnsi="宋体" w:cs="宋体"/>
          <w:color w:val="auto"/>
          <w:sz w:val="24"/>
          <w:szCs w:val="24"/>
        </w:rPr>
        <w:instrText xml:space="preserve"> REF _Ref59433560 \h  \* MERGEFORMAT </w:instrText>
      </w:r>
      <w:r>
        <w:rPr>
          <w:rFonts w:hint="eastAsia" w:ascii="宋体" w:hAnsi="宋体" w:cs="宋体"/>
          <w:color w:val="auto"/>
          <w:sz w:val="24"/>
          <w:szCs w:val="24"/>
        </w:rPr>
        <w:fldChar w:fldCharType="separate"/>
      </w:r>
      <w:r>
        <w:rPr>
          <w:rFonts w:ascii="宋体" w:hAnsi="宋体" w:cs="宋体"/>
          <w:color w:val="auto"/>
          <w:sz w:val="24"/>
          <w:szCs w:val="24"/>
        </w:rPr>
        <w:t>表 3.8</w:t>
      </w:r>
      <w:r>
        <w:rPr>
          <w:rFonts w:ascii="宋体" w:hAnsi="宋体" w:cs="宋体"/>
          <w:color w:val="auto"/>
          <w:sz w:val="24"/>
          <w:szCs w:val="24"/>
        </w:rPr>
        <w:noBreakHyphen/>
      </w:r>
      <w:r>
        <w:rPr>
          <w:rFonts w:ascii="宋体" w:hAnsi="宋体" w:cs="宋体"/>
          <w:color w:val="auto"/>
          <w:sz w:val="24"/>
          <w:szCs w:val="24"/>
        </w:rPr>
        <w:t>1</w:t>
      </w:r>
      <w:r>
        <w:rPr>
          <w:rFonts w:hint="eastAsia" w:ascii="宋体" w:hAnsi="宋体" w:cs="宋体"/>
          <w:color w:val="auto"/>
          <w:sz w:val="24"/>
          <w:szCs w:val="24"/>
        </w:rPr>
        <w:fldChar w:fldCharType="end"/>
      </w:r>
      <w:r>
        <w:rPr>
          <w:rFonts w:hint="eastAsia" w:ascii="宋体" w:hAnsi="宋体" w:cs="宋体"/>
          <w:color w:val="auto"/>
          <w:sz w:val="24"/>
          <w:szCs w:val="24"/>
        </w:rPr>
        <w:t>。</w:t>
      </w:r>
    </w:p>
    <w:p w14:paraId="0788E825">
      <w:pPr>
        <w:tabs>
          <w:tab w:val="left" w:pos="377"/>
        </w:tabs>
        <w:adjustRightInd w:val="0"/>
        <w:snapToGrid w:val="0"/>
        <w:spacing w:before="100" w:beforeAutospacing="1" w:line="360" w:lineRule="auto"/>
        <w:jc w:val="center"/>
        <w:rPr>
          <w:rFonts w:ascii="宋体" w:hAnsi="宋体" w:cs="宋体"/>
          <w:color w:val="auto"/>
          <w:sz w:val="24"/>
          <w:szCs w:val="24"/>
        </w:rPr>
        <w:sectPr>
          <w:pgSz w:w="11906" w:h="16838"/>
          <w:pgMar w:top="1418" w:right="1588" w:bottom="1418" w:left="1588" w:header="1134" w:footer="851" w:gutter="0"/>
          <w:cols w:space="720" w:num="1"/>
          <w:docGrid w:linePitch="312" w:charSpace="0"/>
        </w:sectPr>
      </w:pPr>
    </w:p>
    <w:p w14:paraId="5284935B">
      <w:pPr>
        <w:pStyle w:val="15"/>
        <w:spacing w:before="120"/>
        <w:rPr>
          <w:rFonts w:hAnsi="宋体" w:cs="宋体"/>
          <w:color w:val="auto"/>
          <w:szCs w:val="21"/>
        </w:rPr>
      </w:pPr>
      <w:bookmarkStart w:id="322" w:name="_Ref59433560"/>
      <w:r>
        <w:rPr>
          <w:rFonts w:hAnsi="宋体"/>
          <w:color w:val="auto"/>
        </w:rPr>
        <w:t xml:space="preserve">表 </w:t>
      </w:r>
      <w:r>
        <w:rPr>
          <w:rFonts w:hAnsi="宋体"/>
          <w:color w:val="auto"/>
        </w:rPr>
        <w:fldChar w:fldCharType="begin"/>
      </w:r>
      <w:r>
        <w:rPr>
          <w:rFonts w:hAnsi="宋体"/>
          <w:color w:val="auto"/>
        </w:rPr>
        <w:instrText xml:space="preserve"> STYLEREF 2 \s </w:instrText>
      </w:r>
      <w:r>
        <w:rPr>
          <w:rFonts w:hAnsi="宋体"/>
          <w:color w:val="auto"/>
        </w:rPr>
        <w:fldChar w:fldCharType="separate"/>
      </w:r>
      <w:r>
        <w:rPr>
          <w:rFonts w:hAnsi="宋体"/>
          <w:color w:val="auto"/>
        </w:rPr>
        <w:t>3.8</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SEQ 表 \* ARABIC \s 2 </w:instrText>
      </w:r>
      <w:r>
        <w:rPr>
          <w:rFonts w:hAnsi="宋体"/>
          <w:color w:val="auto"/>
        </w:rPr>
        <w:fldChar w:fldCharType="separate"/>
      </w:r>
      <w:r>
        <w:rPr>
          <w:rFonts w:hAnsi="宋体"/>
          <w:color w:val="auto"/>
        </w:rPr>
        <w:t>1</w:t>
      </w:r>
      <w:r>
        <w:rPr>
          <w:rFonts w:hAnsi="宋体"/>
          <w:color w:val="auto"/>
        </w:rPr>
        <w:fldChar w:fldCharType="end"/>
      </w:r>
      <w:bookmarkEnd w:id="322"/>
      <w:r>
        <w:rPr>
          <w:rFonts w:hint="eastAsia" w:hAnsi="宋体" w:cs="宋体"/>
          <w:color w:val="auto"/>
          <w:szCs w:val="21"/>
        </w:rPr>
        <w:t xml:space="preserve">  本期工程变动情况及变动原因一览表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0"/>
        <w:gridCol w:w="851"/>
        <w:gridCol w:w="851"/>
        <w:gridCol w:w="3825"/>
        <w:gridCol w:w="2876"/>
        <w:gridCol w:w="2327"/>
        <w:gridCol w:w="1858"/>
      </w:tblGrid>
      <w:tr w14:paraId="719C5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8" w:type="pct"/>
            <w:shd w:val="clear" w:color="auto" w:fill="auto"/>
            <w:vAlign w:val="center"/>
          </w:tcPr>
          <w:p w14:paraId="4D1E2D1D">
            <w:pPr>
              <w:adjustRightInd w:val="0"/>
              <w:snapToGrid w:val="0"/>
              <w:jc w:val="center"/>
              <w:rPr>
                <w:rFonts w:ascii="宋体" w:hAnsi="宋体" w:cs="宋体"/>
                <w:color w:val="auto"/>
              </w:rPr>
            </w:pPr>
            <w:r>
              <w:rPr>
                <w:rFonts w:hint="eastAsia" w:ascii="宋体" w:hAnsi="宋体" w:cs="宋体"/>
                <w:color w:val="auto"/>
              </w:rPr>
              <w:t>工程类型</w:t>
            </w:r>
          </w:p>
        </w:tc>
        <w:tc>
          <w:tcPr>
            <w:tcW w:w="610" w:type="pct"/>
            <w:gridSpan w:val="2"/>
            <w:shd w:val="clear" w:color="auto" w:fill="auto"/>
            <w:vAlign w:val="center"/>
          </w:tcPr>
          <w:p w14:paraId="325BB99A">
            <w:pPr>
              <w:adjustRightInd w:val="0"/>
              <w:snapToGrid w:val="0"/>
              <w:jc w:val="center"/>
              <w:rPr>
                <w:rFonts w:ascii="宋体" w:hAnsi="宋体" w:cs="宋体"/>
                <w:color w:val="auto"/>
              </w:rPr>
            </w:pPr>
            <w:r>
              <w:rPr>
                <w:rFonts w:hint="eastAsia" w:ascii="宋体" w:hAnsi="宋体" w:cs="宋体"/>
                <w:color w:val="auto"/>
              </w:rPr>
              <w:t>工程内容</w:t>
            </w:r>
          </w:p>
        </w:tc>
        <w:tc>
          <w:tcPr>
            <w:tcW w:w="1371" w:type="pct"/>
            <w:shd w:val="clear" w:color="auto" w:fill="auto"/>
            <w:vAlign w:val="center"/>
          </w:tcPr>
          <w:p w14:paraId="1B8457ED">
            <w:pPr>
              <w:pStyle w:val="224"/>
              <w:adjustRightInd w:val="0"/>
              <w:snapToGrid w:val="0"/>
              <w:rPr>
                <w:rFonts w:ascii="宋体" w:hAnsi="宋体" w:cs="宋体"/>
                <w:color w:val="auto"/>
              </w:rPr>
            </w:pPr>
            <w:r>
              <w:rPr>
                <w:rFonts w:hint="eastAsia" w:ascii="宋体" w:hAnsi="宋体"/>
                <w:color w:val="auto"/>
              </w:rPr>
              <w:t>环评工程内容</w:t>
            </w:r>
          </w:p>
        </w:tc>
        <w:tc>
          <w:tcPr>
            <w:tcW w:w="1031" w:type="pct"/>
            <w:shd w:val="clear" w:color="auto" w:fill="auto"/>
            <w:vAlign w:val="center"/>
          </w:tcPr>
          <w:p w14:paraId="510D2EAF">
            <w:pPr>
              <w:pStyle w:val="224"/>
              <w:adjustRightInd w:val="0"/>
              <w:snapToGrid w:val="0"/>
              <w:rPr>
                <w:rFonts w:ascii="宋体" w:hAnsi="宋体"/>
                <w:color w:val="auto"/>
              </w:rPr>
            </w:pPr>
            <w:r>
              <w:rPr>
                <w:rFonts w:hint="eastAsia" w:ascii="宋体" w:hAnsi="宋体"/>
                <w:color w:val="auto"/>
              </w:rPr>
              <w:t>本期</w:t>
            </w:r>
            <w:r>
              <w:rPr>
                <w:rFonts w:ascii="宋体" w:hAnsi="宋体"/>
                <w:color w:val="auto"/>
              </w:rPr>
              <w:t>工程</w:t>
            </w:r>
            <w:r>
              <w:rPr>
                <w:rFonts w:hint="eastAsia" w:ascii="宋体" w:hAnsi="宋体"/>
                <w:color w:val="auto"/>
              </w:rPr>
              <w:t>实际建设</w:t>
            </w:r>
          </w:p>
        </w:tc>
        <w:tc>
          <w:tcPr>
            <w:tcW w:w="834" w:type="pct"/>
            <w:shd w:val="clear" w:color="auto" w:fill="auto"/>
            <w:vAlign w:val="center"/>
          </w:tcPr>
          <w:p w14:paraId="4A7C9796">
            <w:pPr>
              <w:pStyle w:val="224"/>
              <w:adjustRightInd w:val="0"/>
              <w:snapToGrid w:val="0"/>
              <w:rPr>
                <w:rFonts w:ascii="宋体" w:hAnsi="宋体" w:cs="宋体"/>
                <w:color w:val="auto"/>
              </w:rPr>
            </w:pPr>
            <w:r>
              <w:rPr>
                <w:rFonts w:hint="eastAsia" w:ascii="宋体" w:hAnsi="宋体" w:cs="宋体"/>
                <w:color w:val="auto"/>
              </w:rPr>
              <w:t>较环评变化情况</w:t>
            </w:r>
          </w:p>
        </w:tc>
        <w:tc>
          <w:tcPr>
            <w:tcW w:w="666" w:type="pct"/>
            <w:shd w:val="clear" w:color="auto" w:fill="auto"/>
            <w:vAlign w:val="center"/>
          </w:tcPr>
          <w:p w14:paraId="6F3EF094">
            <w:pPr>
              <w:pStyle w:val="224"/>
              <w:adjustRightInd w:val="0"/>
              <w:snapToGrid w:val="0"/>
              <w:rPr>
                <w:rFonts w:ascii="宋体" w:hAnsi="宋体" w:cs="宋体"/>
                <w:color w:val="auto"/>
              </w:rPr>
            </w:pPr>
            <w:r>
              <w:rPr>
                <w:rFonts w:hint="eastAsia" w:ascii="宋体" w:hAnsi="宋体" w:cs="宋体"/>
                <w:color w:val="auto"/>
              </w:rPr>
              <w:t>变动原因</w:t>
            </w:r>
          </w:p>
        </w:tc>
      </w:tr>
      <w:tr w14:paraId="5B15E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gridSpan w:val="3"/>
            <w:shd w:val="clear" w:color="auto" w:fill="auto"/>
            <w:vAlign w:val="center"/>
          </w:tcPr>
          <w:p w14:paraId="4DC83AA9">
            <w:pPr>
              <w:adjustRightInd w:val="0"/>
              <w:snapToGrid w:val="0"/>
              <w:jc w:val="center"/>
              <w:rPr>
                <w:rFonts w:ascii="宋体" w:hAnsi="宋体" w:cs="宋体"/>
                <w:color w:val="auto"/>
              </w:rPr>
            </w:pPr>
            <w:r>
              <w:rPr>
                <w:rFonts w:hint="eastAsia" w:ascii="宋体" w:hAnsi="宋体" w:cs="宋体"/>
                <w:color w:val="auto"/>
              </w:rPr>
              <w:t>产能规模</w:t>
            </w:r>
          </w:p>
        </w:tc>
        <w:tc>
          <w:tcPr>
            <w:tcW w:w="1371" w:type="pct"/>
            <w:shd w:val="clear" w:color="auto" w:fill="auto"/>
            <w:vAlign w:val="center"/>
          </w:tcPr>
          <w:p w14:paraId="63A1930D">
            <w:pPr>
              <w:jc w:val="center"/>
              <w:rPr>
                <w:rFonts w:ascii="宋体" w:hAnsi="宋体"/>
                <w:color w:val="auto"/>
              </w:rPr>
            </w:pPr>
            <w:r>
              <w:rPr>
                <w:rFonts w:hint="eastAsia" w:ascii="宋体" w:hAnsi="宋体"/>
                <w:color w:val="auto"/>
              </w:rPr>
              <w:t>产油量</w:t>
            </w:r>
            <w:r>
              <w:rPr>
                <w:rFonts w:ascii="宋体" w:hAnsi="宋体"/>
                <w:color w:val="auto"/>
              </w:rPr>
              <w:t>11.7×10</w:t>
            </w:r>
            <w:r>
              <w:rPr>
                <w:rFonts w:ascii="宋体" w:hAnsi="宋体"/>
                <w:color w:val="auto"/>
                <w:vertAlign w:val="superscript"/>
              </w:rPr>
              <w:t>4</w:t>
            </w:r>
            <w:r>
              <w:rPr>
                <w:rFonts w:ascii="宋体" w:hAnsi="宋体"/>
                <w:color w:val="auto"/>
              </w:rPr>
              <w:t>t/a</w:t>
            </w:r>
          </w:p>
          <w:p w14:paraId="1E096B9A">
            <w:pPr>
              <w:adjustRightInd w:val="0"/>
              <w:snapToGrid w:val="0"/>
              <w:jc w:val="center"/>
              <w:rPr>
                <w:rFonts w:ascii="宋体" w:hAnsi="宋体" w:cs="宋体"/>
                <w:color w:val="auto"/>
              </w:rPr>
            </w:pPr>
            <w:r>
              <w:rPr>
                <w:rFonts w:ascii="宋体" w:hAnsi="宋体"/>
                <w:color w:val="auto"/>
              </w:rPr>
              <w:t>产液量36.02×10</w:t>
            </w:r>
            <w:r>
              <w:rPr>
                <w:rFonts w:ascii="宋体" w:hAnsi="宋体"/>
                <w:color w:val="auto"/>
                <w:vertAlign w:val="superscript"/>
              </w:rPr>
              <w:t>4</w:t>
            </w:r>
            <w:r>
              <w:rPr>
                <w:rFonts w:ascii="宋体" w:hAnsi="宋体"/>
                <w:color w:val="auto"/>
              </w:rPr>
              <w:t>t/a</w:t>
            </w:r>
          </w:p>
        </w:tc>
        <w:tc>
          <w:tcPr>
            <w:tcW w:w="1031" w:type="pct"/>
            <w:shd w:val="clear" w:color="auto" w:fill="auto"/>
            <w:vAlign w:val="center"/>
          </w:tcPr>
          <w:p w14:paraId="1B7A12FF">
            <w:pPr>
              <w:jc w:val="center"/>
              <w:rPr>
                <w:rFonts w:ascii="宋体" w:hAnsi="宋体"/>
                <w:color w:val="auto"/>
              </w:rPr>
            </w:pPr>
            <w:r>
              <w:rPr>
                <w:rFonts w:hint="eastAsia" w:ascii="宋体" w:hAnsi="宋体"/>
                <w:color w:val="auto"/>
              </w:rPr>
              <w:t>产油量</w:t>
            </w:r>
            <w:r>
              <w:rPr>
                <w:rFonts w:ascii="宋体" w:hAnsi="宋体"/>
                <w:color w:val="auto"/>
              </w:rPr>
              <w:t>4.30×10</w:t>
            </w:r>
            <w:r>
              <w:rPr>
                <w:rFonts w:ascii="宋体" w:hAnsi="宋体"/>
                <w:color w:val="auto"/>
                <w:vertAlign w:val="superscript"/>
              </w:rPr>
              <w:t>4</w:t>
            </w:r>
            <w:r>
              <w:rPr>
                <w:rFonts w:ascii="宋体" w:hAnsi="宋体"/>
                <w:color w:val="auto"/>
              </w:rPr>
              <w:t>t/a</w:t>
            </w:r>
          </w:p>
          <w:p w14:paraId="251FF4A7">
            <w:pPr>
              <w:adjustRightInd w:val="0"/>
              <w:snapToGrid w:val="0"/>
              <w:jc w:val="center"/>
              <w:rPr>
                <w:rFonts w:ascii="宋体" w:hAnsi="宋体"/>
                <w:color w:val="auto"/>
              </w:rPr>
            </w:pPr>
            <w:r>
              <w:rPr>
                <w:rFonts w:ascii="宋体" w:hAnsi="宋体"/>
                <w:color w:val="auto"/>
              </w:rPr>
              <w:t>产液量8.31×10</w:t>
            </w:r>
            <w:r>
              <w:rPr>
                <w:rFonts w:ascii="宋体" w:hAnsi="宋体"/>
                <w:color w:val="auto"/>
                <w:vertAlign w:val="superscript"/>
              </w:rPr>
              <w:t>4</w:t>
            </w:r>
            <w:r>
              <w:rPr>
                <w:rFonts w:ascii="宋体" w:hAnsi="宋体"/>
                <w:color w:val="auto"/>
              </w:rPr>
              <w:t>t/a</w:t>
            </w:r>
          </w:p>
        </w:tc>
        <w:tc>
          <w:tcPr>
            <w:tcW w:w="834" w:type="pct"/>
            <w:shd w:val="clear" w:color="auto" w:fill="auto"/>
            <w:vAlign w:val="center"/>
          </w:tcPr>
          <w:p w14:paraId="226981AF">
            <w:pPr>
              <w:jc w:val="center"/>
              <w:rPr>
                <w:rFonts w:ascii="宋体" w:hAnsi="宋体"/>
                <w:color w:val="auto"/>
              </w:rPr>
            </w:pPr>
            <w:r>
              <w:rPr>
                <w:rFonts w:hint="eastAsia" w:ascii="宋体" w:hAnsi="宋体"/>
                <w:color w:val="auto"/>
              </w:rPr>
              <w:t>产油量减少</w:t>
            </w:r>
            <w:r>
              <w:rPr>
                <w:rFonts w:ascii="宋体" w:hAnsi="宋体"/>
                <w:color w:val="auto"/>
              </w:rPr>
              <w:t>7.40×10</w:t>
            </w:r>
            <w:r>
              <w:rPr>
                <w:rFonts w:ascii="宋体" w:hAnsi="宋体"/>
                <w:color w:val="auto"/>
                <w:vertAlign w:val="superscript"/>
              </w:rPr>
              <w:t>4</w:t>
            </w:r>
            <w:r>
              <w:rPr>
                <w:rFonts w:ascii="宋体" w:hAnsi="宋体"/>
                <w:color w:val="auto"/>
              </w:rPr>
              <w:t>t/a，</w:t>
            </w:r>
          </w:p>
          <w:p w14:paraId="5649DD33">
            <w:pPr>
              <w:adjustRightInd w:val="0"/>
              <w:snapToGrid w:val="0"/>
              <w:jc w:val="center"/>
              <w:rPr>
                <w:rFonts w:ascii="宋体" w:hAnsi="宋体" w:cs="宋体"/>
                <w:color w:val="auto"/>
              </w:rPr>
            </w:pPr>
            <w:r>
              <w:rPr>
                <w:rFonts w:ascii="宋体" w:hAnsi="宋体"/>
                <w:color w:val="auto"/>
              </w:rPr>
              <w:t>产液量</w:t>
            </w:r>
            <w:r>
              <w:rPr>
                <w:rFonts w:hint="eastAsia" w:ascii="宋体" w:hAnsi="宋体"/>
                <w:color w:val="auto"/>
              </w:rPr>
              <w:t>减少</w:t>
            </w:r>
            <w:r>
              <w:rPr>
                <w:rFonts w:ascii="宋体" w:hAnsi="宋体"/>
                <w:color w:val="auto"/>
              </w:rPr>
              <w:t>27.71×10</w:t>
            </w:r>
            <w:r>
              <w:rPr>
                <w:rFonts w:ascii="宋体" w:hAnsi="宋体"/>
                <w:color w:val="auto"/>
                <w:vertAlign w:val="superscript"/>
              </w:rPr>
              <w:t>4</w:t>
            </w:r>
            <w:r>
              <w:rPr>
                <w:rFonts w:ascii="宋体" w:hAnsi="宋体"/>
                <w:color w:val="auto"/>
              </w:rPr>
              <w:t>t/a</w:t>
            </w:r>
          </w:p>
        </w:tc>
        <w:tc>
          <w:tcPr>
            <w:tcW w:w="666" w:type="pct"/>
            <w:shd w:val="clear" w:color="auto" w:fill="auto"/>
            <w:vAlign w:val="center"/>
          </w:tcPr>
          <w:p w14:paraId="7F2D3D13">
            <w:pPr>
              <w:adjustRightInd w:val="0"/>
              <w:snapToGrid w:val="0"/>
              <w:jc w:val="center"/>
              <w:rPr>
                <w:rFonts w:ascii="宋体" w:hAnsi="宋体" w:cs="宋体"/>
                <w:color w:val="auto"/>
              </w:rPr>
            </w:pPr>
            <w:bookmarkStart w:id="323" w:name="OLE_LINK252"/>
            <w:bookmarkStart w:id="324" w:name="OLE_LINK253"/>
            <w:r>
              <w:rPr>
                <w:rFonts w:hint="eastAsia" w:ascii="宋体" w:hAnsi="宋体" w:cs="宋体"/>
                <w:color w:val="auto"/>
              </w:rPr>
              <w:t>分期建设，油井数量建设比环评阶段少</w:t>
            </w:r>
            <w:bookmarkEnd w:id="323"/>
            <w:bookmarkEnd w:id="324"/>
            <w:r>
              <w:rPr>
                <w:rFonts w:hint="eastAsia" w:ascii="宋体" w:hAnsi="宋体" w:cs="宋体"/>
                <w:color w:val="auto"/>
              </w:rPr>
              <w:t>，产能减少</w:t>
            </w:r>
          </w:p>
        </w:tc>
      </w:tr>
      <w:tr w14:paraId="36257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shd w:val="clear" w:color="auto" w:fill="auto"/>
            <w:vAlign w:val="center"/>
          </w:tcPr>
          <w:p w14:paraId="21F55532">
            <w:pPr>
              <w:adjustRightInd w:val="0"/>
              <w:snapToGrid w:val="0"/>
              <w:jc w:val="center"/>
              <w:rPr>
                <w:rFonts w:ascii="宋体" w:hAnsi="宋体" w:cs="宋体"/>
                <w:color w:val="auto"/>
              </w:rPr>
            </w:pPr>
            <w:r>
              <w:rPr>
                <w:rFonts w:hint="eastAsia" w:ascii="宋体" w:hAnsi="宋体" w:cs="宋体"/>
                <w:color w:val="auto"/>
              </w:rPr>
              <w:t>钻井工程</w:t>
            </w:r>
          </w:p>
        </w:tc>
        <w:tc>
          <w:tcPr>
            <w:tcW w:w="610" w:type="pct"/>
            <w:gridSpan w:val="2"/>
            <w:shd w:val="clear" w:color="auto" w:fill="auto"/>
            <w:vAlign w:val="center"/>
          </w:tcPr>
          <w:p w14:paraId="61B72403">
            <w:pPr>
              <w:adjustRightInd w:val="0"/>
              <w:snapToGrid w:val="0"/>
              <w:jc w:val="center"/>
              <w:rPr>
                <w:rFonts w:ascii="宋体" w:hAnsi="宋体" w:cs="宋体"/>
                <w:color w:val="auto"/>
              </w:rPr>
            </w:pPr>
            <w:r>
              <w:rPr>
                <w:rFonts w:hint="eastAsia" w:ascii="宋体" w:hAnsi="宋体" w:cs="宋体"/>
                <w:color w:val="auto"/>
              </w:rPr>
              <w:t>油井、注水井</w:t>
            </w:r>
          </w:p>
        </w:tc>
        <w:tc>
          <w:tcPr>
            <w:tcW w:w="1371" w:type="pct"/>
            <w:shd w:val="clear" w:color="auto" w:fill="auto"/>
            <w:vAlign w:val="center"/>
          </w:tcPr>
          <w:p w14:paraId="1DCAA9CC">
            <w:pPr>
              <w:adjustRightInd w:val="0"/>
              <w:snapToGrid w:val="0"/>
              <w:jc w:val="center"/>
              <w:rPr>
                <w:rFonts w:ascii="宋体" w:hAnsi="宋体"/>
                <w:color w:val="auto"/>
              </w:rPr>
            </w:pPr>
            <w:r>
              <w:rPr>
                <w:rFonts w:hint="eastAsia" w:ascii="宋体" w:hAnsi="宋体"/>
                <w:color w:val="auto"/>
              </w:rPr>
              <w:t>新钻油井98口，探转采油井9口，油井1</w:t>
            </w:r>
            <w:r>
              <w:rPr>
                <w:rFonts w:ascii="宋体" w:hAnsi="宋体"/>
                <w:color w:val="auto"/>
              </w:rPr>
              <w:t>07</w:t>
            </w:r>
            <w:r>
              <w:rPr>
                <w:rFonts w:hint="eastAsia" w:ascii="宋体" w:hAnsi="宋体"/>
                <w:color w:val="auto"/>
              </w:rPr>
              <w:t>口</w:t>
            </w:r>
          </w:p>
          <w:p w14:paraId="178BC1C4">
            <w:pPr>
              <w:adjustRightInd w:val="0"/>
              <w:snapToGrid w:val="0"/>
              <w:jc w:val="center"/>
              <w:rPr>
                <w:rFonts w:ascii="宋体" w:hAnsi="宋体" w:cs="宋体"/>
                <w:color w:val="auto"/>
              </w:rPr>
            </w:pPr>
            <w:r>
              <w:rPr>
                <w:rFonts w:hint="eastAsia" w:ascii="宋体" w:hAnsi="宋体"/>
                <w:color w:val="auto"/>
              </w:rPr>
              <w:t>新钻注水井49口，侧钻注水井2口；油井转注水井5口，注水井5</w:t>
            </w:r>
            <w:r>
              <w:rPr>
                <w:rFonts w:ascii="宋体" w:hAnsi="宋体"/>
                <w:color w:val="auto"/>
              </w:rPr>
              <w:t>6</w:t>
            </w:r>
            <w:r>
              <w:rPr>
                <w:rFonts w:hint="eastAsia" w:ascii="宋体" w:hAnsi="宋体"/>
                <w:color w:val="auto"/>
              </w:rPr>
              <w:t>口</w:t>
            </w:r>
          </w:p>
        </w:tc>
        <w:tc>
          <w:tcPr>
            <w:tcW w:w="1031" w:type="pct"/>
            <w:shd w:val="clear" w:color="auto" w:fill="auto"/>
            <w:vAlign w:val="center"/>
          </w:tcPr>
          <w:p w14:paraId="7703A92D">
            <w:pPr>
              <w:adjustRightInd w:val="0"/>
              <w:snapToGrid w:val="0"/>
              <w:jc w:val="center"/>
              <w:rPr>
                <w:rFonts w:ascii="宋体" w:hAnsi="宋体"/>
                <w:color w:val="auto"/>
              </w:rPr>
            </w:pPr>
            <w:r>
              <w:rPr>
                <w:rFonts w:hint="eastAsia" w:ascii="宋体" w:hAnsi="宋体"/>
                <w:color w:val="auto"/>
              </w:rPr>
              <w:t>新钻油井</w:t>
            </w:r>
            <w:r>
              <w:rPr>
                <w:rFonts w:ascii="宋体" w:hAnsi="宋体"/>
                <w:color w:val="auto"/>
              </w:rPr>
              <w:t>9</w:t>
            </w:r>
            <w:r>
              <w:rPr>
                <w:rFonts w:hint="eastAsia" w:ascii="宋体" w:hAnsi="宋体"/>
                <w:color w:val="auto"/>
              </w:rPr>
              <w:t>口，探转采油井8口，共</w:t>
            </w:r>
            <w:r>
              <w:rPr>
                <w:rFonts w:ascii="宋体" w:hAnsi="宋体"/>
                <w:color w:val="auto"/>
              </w:rPr>
              <w:t>17</w:t>
            </w:r>
            <w:r>
              <w:rPr>
                <w:rFonts w:hint="eastAsia" w:ascii="宋体" w:hAnsi="宋体"/>
                <w:color w:val="auto"/>
              </w:rPr>
              <w:t>口</w:t>
            </w:r>
            <w:r>
              <w:rPr>
                <w:rFonts w:hint="eastAsia" w:ascii="宋体" w:hAnsi="宋体"/>
                <w:color w:val="auto"/>
              </w:rPr>
              <w:t>；</w:t>
            </w:r>
          </w:p>
          <w:p w14:paraId="5553EFE4">
            <w:pPr>
              <w:adjustRightInd w:val="0"/>
              <w:snapToGrid w:val="0"/>
              <w:jc w:val="center"/>
              <w:rPr>
                <w:rFonts w:ascii="宋体" w:hAnsi="宋体" w:cs="宋体"/>
                <w:color w:val="auto"/>
              </w:rPr>
            </w:pPr>
            <w:r>
              <w:rPr>
                <w:rFonts w:hint="eastAsia" w:ascii="宋体" w:hAnsi="宋体"/>
                <w:color w:val="auto"/>
              </w:rPr>
              <w:t>新钻注水井7口，侧钻注水井0口；油井转注水井0口，共7口</w:t>
            </w:r>
          </w:p>
        </w:tc>
        <w:tc>
          <w:tcPr>
            <w:tcW w:w="834" w:type="pct"/>
            <w:shd w:val="clear" w:color="auto" w:fill="auto"/>
            <w:vAlign w:val="center"/>
          </w:tcPr>
          <w:p w14:paraId="201CB6DD">
            <w:pPr>
              <w:adjustRightInd w:val="0"/>
              <w:snapToGrid w:val="0"/>
              <w:jc w:val="center"/>
              <w:rPr>
                <w:rFonts w:ascii="宋体" w:hAnsi="宋体" w:cs="宋体"/>
                <w:color w:val="auto"/>
              </w:rPr>
            </w:pPr>
            <w:r>
              <w:rPr>
                <w:rFonts w:hint="eastAsia" w:ascii="宋体" w:hAnsi="宋体"/>
                <w:color w:val="auto"/>
              </w:rPr>
              <w:t>油井8</w:t>
            </w:r>
            <w:r>
              <w:rPr>
                <w:rFonts w:ascii="宋体" w:hAnsi="宋体"/>
                <w:color w:val="auto"/>
              </w:rPr>
              <w:t>9</w:t>
            </w:r>
            <w:r>
              <w:rPr>
                <w:rFonts w:hint="eastAsia" w:ascii="宋体" w:hAnsi="宋体"/>
                <w:color w:val="auto"/>
              </w:rPr>
              <w:t>口未钻，探转采油井</w:t>
            </w:r>
            <w:r>
              <w:rPr>
                <w:rFonts w:ascii="宋体" w:hAnsi="宋体"/>
                <w:color w:val="auto"/>
              </w:rPr>
              <w:t>1</w:t>
            </w:r>
            <w:r>
              <w:rPr>
                <w:rFonts w:hint="eastAsia" w:ascii="宋体" w:hAnsi="宋体"/>
                <w:color w:val="auto"/>
              </w:rPr>
              <w:t>口未投产，</w:t>
            </w:r>
            <w:bookmarkStart w:id="325" w:name="OLE_LINK314"/>
            <w:bookmarkStart w:id="326" w:name="OLE_LINK313"/>
            <w:r>
              <w:rPr>
                <w:rFonts w:hint="eastAsia" w:ascii="宋体" w:hAnsi="宋体"/>
                <w:color w:val="auto"/>
              </w:rPr>
              <w:t>油井减少9</w:t>
            </w:r>
            <w:r>
              <w:rPr>
                <w:rFonts w:ascii="宋体" w:hAnsi="宋体"/>
                <w:color w:val="auto"/>
              </w:rPr>
              <w:t>1</w:t>
            </w:r>
            <w:r>
              <w:rPr>
                <w:rFonts w:hint="eastAsia" w:ascii="宋体" w:hAnsi="宋体"/>
                <w:color w:val="auto"/>
              </w:rPr>
              <w:t>口</w:t>
            </w:r>
            <w:bookmarkEnd w:id="325"/>
            <w:bookmarkEnd w:id="326"/>
            <w:r>
              <w:rPr>
                <w:rFonts w:hint="eastAsia" w:ascii="宋体" w:hAnsi="宋体"/>
                <w:color w:val="auto"/>
              </w:rPr>
              <w:t>，纳入后期验收；注水井4</w:t>
            </w:r>
            <w:r>
              <w:rPr>
                <w:rFonts w:ascii="宋体" w:hAnsi="宋体"/>
                <w:color w:val="auto"/>
              </w:rPr>
              <w:t>2</w:t>
            </w:r>
            <w:r>
              <w:rPr>
                <w:rFonts w:hint="eastAsia" w:ascii="宋体" w:hAnsi="宋体"/>
                <w:color w:val="auto"/>
              </w:rPr>
              <w:t>口未钻，侧钻注水井2口未钻，油井转注水井未实施，注水井减少4</w:t>
            </w:r>
            <w:r>
              <w:rPr>
                <w:rFonts w:ascii="宋体" w:hAnsi="宋体"/>
                <w:color w:val="auto"/>
              </w:rPr>
              <w:t>9</w:t>
            </w:r>
            <w:r>
              <w:rPr>
                <w:rFonts w:hint="eastAsia" w:ascii="宋体" w:hAnsi="宋体"/>
                <w:color w:val="auto"/>
              </w:rPr>
              <w:t>口。</w:t>
            </w:r>
          </w:p>
        </w:tc>
        <w:tc>
          <w:tcPr>
            <w:tcW w:w="666" w:type="pct"/>
            <w:shd w:val="clear" w:color="auto" w:fill="auto"/>
            <w:vAlign w:val="center"/>
          </w:tcPr>
          <w:p w14:paraId="1456D91E">
            <w:pPr>
              <w:adjustRightInd w:val="0"/>
              <w:snapToGrid w:val="0"/>
              <w:jc w:val="center"/>
              <w:rPr>
                <w:rFonts w:ascii="宋体" w:hAnsi="宋体" w:cs="宋体"/>
                <w:color w:val="auto"/>
              </w:rPr>
            </w:pPr>
            <w:r>
              <w:rPr>
                <w:rFonts w:hint="eastAsia" w:ascii="宋体" w:hAnsi="宋体" w:cs="宋体"/>
                <w:color w:val="auto"/>
              </w:rPr>
              <w:t>分期建设，油井、注水井数量均少于环评</w:t>
            </w:r>
          </w:p>
        </w:tc>
      </w:tr>
      <w:tr w14:paraId="40617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shd w:val="clear" w:color="auto" w:fill="auto"/>
            <w:vAlign w:val="center"/>
          </w:tcPr>
          <w:p w14:paraId="33E5B22F">
            <w:pPr>
              <w:adjustRightInd w:val="0"/>
              <w:snapToGrid w:val="0"/>
              <w:jc w:val="center"/>
              <w:rPr>
                <w:rFonts w:ascii="宋体" w:hAnsi="宋体" w:cs="宋体"/>
                <w:color w:val="auto"/>
              </w:rPr>
            </w:pPr>
            <w:r>
              <w:rPr>
                <w:rFonts w:hint="eastAsia" w:ascii="宋体" w:hAnsi="宋体" w:cs="宋体"/>
                <w:color w:val="auto"/>
              </w:rPr>
              <w:t>采油工程</w:t>
            </w:r>
          </w:p>
        </w:tc>
        <w:tc>
          <w:tcPr>
            <w:tcW w:w="610" w:type="pct"/>
            <w:gridSpan w:val="2"/>
            <w:shd w:val="clear" w:color="auto" w:fill="auto"/>
            <w:vAlign w:val="center"/>
          </w:tcPr>
          <w:p w14:paraId="4856336A">
            <w:pPr>
              <w:adjustRightInd w:val="0"/>
              <w:snapToGrid w:val="0"/>
              <w:jc w:val="center"/>
              <w:rPr>
                <w:rFonts w:ascii="宋体" w:hAnsi="宋体" w:cs="宋体"/>
                <w:color w:val="auto"/>
              </w:rPr>
            </w:pPr>
            <w:r>
              <w:rPr>
                <w:rFonts w:hint="eastAsia" w:ascii="宋体" w:hAnsi="宋体" w:cs="宋体"/>
                <w:color w:val="auto"/>
              </w:rPr>
              <w:t>抽油机</w:t>
            </w:r>
          </w:p>
        </w:tc>
        <w:tc>
          <w:tcPr>
            <w:tcW w:w="1371" w:type="pct"/>
            <w:shd w:val="clear" w:color="auto" w:fill="auto"/>
            <w:vAlign w:val="center"/>
          </w:tcPr>
          <w:p w14:paraId="71D0585F">
            <w:pPr>
              <w:adjustRightInd w:val="0"/>
              <w:snapToGrid w:val="0"/>
              <w:jc w:val="center"/>
              <w:rPr>
                <w:rFonts w:ascii="宋体" w:hAnsi="宋体" w:cs="宋体"/>
                <w:color w:val="auto"/>
              </w:rPr>
            </w:pPr>
            <w:r>
              <w:rPr>
                <w:rFonts w:hint="eastAsia" w:ascii="宋体" w:hAnsi="宋体"/>
                <w:color w:val="auto"/>
              </w:rPr>
              <w:t>新建抽油机107台，12型游梁式抽油机</w:t>
            </w:r>
          </w:p>
        </w:tc>
        <w:tc>
          <w:tcPr>
            <w:tcW w:w="1031" w:type="pct"/>
            <w:shd w:val="clear" w:color="auto" w:fill="auto"/>
            <w:vAlign w:val="center"/>
          </w:tcPr>
          <w:p w14:paraId="772503EC">
            <w:pPr>
              <w:adjustRightInd w:val="0"/>
              <w:snapToGrid w:val="0"/>
              <w:jc w:val="center"/>
              <w:rPr>
                <w:rFonts w:ascii="宋体" w:hAnsi="宋体" w:cs="宋体"/>
                <w:color w:val="auto"/>
              </w:rPr>
            </w:pPr>
            <w:r>
              <w:rPr>
                <w:rFonts w:hint="eastAsia" w:ascii="宋体" w:hAnsi="宋体"/>
                <w:color w:val="auto"/>
              </w:rPr>
              <w:t>新建抽油机9座，12型游梁式抽油机，</w:t>
            </w:r>
            <w:r>
              <w:rPr>
                <w:rFonts w:hint="eastAsia" w:ascii="宋体" w:hAnsi="宋体"/>
                <w:color w:val="auto"/>
              </w:rPr>
              <w:t>自喷井8座</w:t>
            </w:r>
          </w:p>
        </w:tc>
        <w:tc>
          <w:tcPr>
            <w:tcW w:w="834" w:type="pct"/>
            <w:shd w:val="clear" w:color="auto" w:fill="auto"/>
            <w:vAlign w:val="center"/>
          </w:tcPr>
          <w:p w14:paraId="1247500F">
            <w:pPr>
              <w:adjustRightInd w:val="0"/>
              <w:snapToGrid w:val="0"/>
              <w:jc w:val="center"/>
              <w:rPr>
                <w:rFonts w:ascii="宋体" w:hAnsi="宋体" w:cs="宋体"/>
                <w:color w:val="auto"/>
              </w:rPr>
            </w:pPr>
            <w:r>
              <w:rPr>
                <w:rFonts w:hint="eastAsia" w:ascii="宋体" w:hAnsi="宋体"/>
                <w:color w:val="auto"/>
              </w:rPr>
              <w:t>抽油机数量减少9</w:t>
            </w:r>
            <w:r>
              <w:rPr>
                <w:rFonts w:ascii="宋体" w:hAnsi="宋体"/>
                <w:color w:val="auto"/>
              </w:rPr>
              <w:t>6</w:t>
            </w:r>
            <w:r>
              <w:rPr>
                <w:rFonts w:hint="eastAsia" w:ascii="宋体" w:hAnsi="宋体"/>
                <w:color w:val="auto"/>
              </w:rPr>
              <w:t>座</w:t>
            </w:r>
          </w:p>
        </w:tc>
        <w:tc>
          <w:tcPr>
            <w:tcW w:w="666" w:type="pct"/>
            <w:shd w:val="clear" w:color="auto" w:fill="auto"/>
            <w:vAlign w:val="center"/>
          </w:tcPr>
          <w:p w14:paraId="2ECD4430">
            <w:pPr>
              <w:adjustRightInd w:val="0"/>
              <w:snapToGrid w:val="0"/>
              <w:jc w:val="center"/>
              <w:rPr>
                <w:rFonts w:ascii="宋体" w:hAnsi="宋体" w:cs="宋体"/>
                <w:color w:val="auto"/>
              </w:rPr>
            </w:pPr>
            <w:r>
              <w:rPr>
                <w:rFonts w:hint="eastAsia" w:ascii="宋体" w:hAnsi="宋体" w:cs="宋体"/>
                <w:color w:val="auto"/>
              </w:rPr>
              <w:t>分期建设，油井数量少于环评，配套抽油机数量减少</w:t>
            </w:r>
          </w:p>
        </w:tc>
      </w:tr>
      <w:tr w14:paraId="12727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restart"/>
            <w:shd w:val="clear" w:color="auto" w:fill="auto"/>
            <w:vAlign w:val="center"/>
          </w:tcPr>
          <w:p w14:paraId="51B4F3B7">
            <w:pPr>
              <w:adjustRightInd w:val="0"/>
              <w:snapToGrid w:val="0"/>
              <w:jc w:val="center"/>
              <w:rPr>
                <w:rFonts w:ascii="宋体" w:hAnsi="宋体" w:cs="宋体"/>
                <w:color w:val="auto"/>
              </w:rPr>
            </w:pPr>
            <w:r>
              <w:rPr>
                <w:rFonts w:hint="eastAsia" w:ascii="宋体" w:hAnsi="宋体" w:cs="宋体"/>
                <w:color w:val="auto"/>
              </w:rPr>
              <w:t>注水工程</w:t>
            </w:r>
          </w:p>
        </w:tc>
        <w:tc>
          <w:tcPr>
            <w:tcW w:w="610" w:type="pct"/>
            <w:gridSpan w:val="2"/>
            <w:shd w:val="clear" w:color="auto" w:fill="auto"/>
            <w:vAlign w:val="center"/>
          </w:tcPr>
          <w:p w14:paraId="4284FA51">
            <w:pPr>
              <w:adjustRightInd w:val="0"/>
              <w:snapToGrid w:val="0"/>
              <w:jc w:val="center"/>
              <w:rPr>
                <w:rFonts w:ascii="宋体" w:hAnsi="宋体" w:cs="宋体"/>
                <w:color w:val="auto"/>
              </w:rPr>
            </w:pPr>
            <w:r>
              <w:rPr>
                <w:rFonts w:hint="eastAsia" w:ascii="宋体" w:hAnsi="宋体"/>
                <w:color w:val="auto"/>
              </w:rPr>
              <w:t>注水井井口装置</w:t>
            </w:r>
          </w:p>
        </w:tc>
        <w:tc>
          <w:tcPr>
            <w:tcW w:w="1371" w:type="pct"/>
            <w:shd w:val="clear" w:color="auto" w:fill="auto"/>
            <w:vAlign w:val="center"/>
          </w:tcPr>
          <w:p w14:paraId="7A609AD9">
            <w:pPr>
              <w:adjustRightInd w:val="0"/>
              <w:snapToGrid w:val="0"/>
              <w:jc w:val="center"/>
              <w:rPr>
                <w:rFonts w:ascii="宋体" w:hAnsi="宋体" w:cs="宋体"/>
                <w:color w:val="auto"/>
              </w:rPr>
            </w:pPr>
            <w:r>
              <w:rPr>
                <w:rFonts w:hint="eastAsia" w:ascii="宋体" w:hAnsi="宋体"/>
                <w:color w:val="auto"/>
              </w:rPr>
              <w:t>52套，其中600型压驱注水装置24套，350型注水井口28套</w:t>
            </w:r>
          </w:p>
        </w:tc>
        <w:tc>
          <w:tcPr>
            <w:tcW w:w="1031" w:type="pct"/>
            <w:shd w:val="clear" w:color="auto" w:fill="auto"/>
            <w:vAlign w:val="center"/>
          </w:tcPr>
          <w:p w14:paraId="0EACBC82">
            <w:pPr>
              <w:adjustRightInd w:val="0"/>
              <w:snapToGrid w:val="0"/>
              <w:jc w:val="center"/>
              <w:rPr>
                <w:rFonts w:ascii="宋体" w:hAnsi="宋体" w:cs="宋体"/>
                <w:color w:val="auto"/>
              </w:rPr>
            </w:pPr>
            <w:r>
              <w:rPr>
                <w:rFonts w:hint="eastAsia" w:ascii="宋体" w:hAnsi="宋体"/>
                <w:color w:val="auto"/>
              </w:rPr>
              <w:t>共15套，600型压驱注水装置6套，350型注水井口9套</w:t>
            </w:r>
          </w:p>
        </w:tc>
        <w:tc>
          <w:tcPr>
            <w:tcW w:w="834" w:type="pct"/>
            <w:shd w:val="clear" w:color="auto" w:fill="auto"/>
            <w:vAlign w:val="center"/>
          </w:tcPr>
          <w:p w14:paraId="3A911254">
            <w:pPr>
              <w:adjustRightInd w:val="0"/>
              <w:snapToGrid w:val="0"/>
              <w:jc w:val="center"/>
              <w:rPr>
                <w:rFonts w:ascii="宋体" w:hAnsi="宋体" w:cs="宋体"/>
                <w:color w:val="auto"/>
              </w:rPr>
            </w:pPr>
            <w:r>
              <w:rPr>
                <w:rFonts w:hint="eastAsia" w:ascii="宋体" w:hAnsi="宋体"/>
                <w:color w:val="auto"/>
              </w:rPr>
              <w:t>数量减少37套，未建设，纳入后期验收</w:t>
            </w:r>
          </w:p>
        </w:tc>
        <w:tc>
          <w:tcPr>
            <w:tcW w:w="666" w:type="pct"/>
            <w:shd w:val="clear" w:color="auto" w:fill="auto"/>
            <w:vAlign w:val="center"/>
          </w:tcPr>
          <w:p w14:paraId="6C0AFE3D">
            <w:pPr>
              <w:adjustRightInd w:val="0"/>
              <w:snapToGrid w:val="0"/>
              <w:jc w:val="center"/>
              <w:rPr>
                <w:rFonts w:ascii="宋体" w:hAnsi="宋体" w:cs="宋体"/>
                <w:color w:val="auto"/>
              </w:rPr>
            </w:pPr>
            <w:r>
              <w:rPr>
                <w:rFonts w:hint="eastAsia" w:ascii="宋体" w:hAnsi="宋体" w:cs="宋体"/>
                <w:color w:val="auto"/>
              </w:rPr>
              <w:t>分期建设，注水井数量少于环评，配套井口装置减少</w:t>
            </w:r>
          </w:p>
        </w:tc>
      </w:tr>
      <w:tr w14:paraId="3A970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5D0B3D9C">
            <w:pPr>
              <w:adjustRightInd w:val="0"/>
              <w:snapToGrid w:val="0"/>
              <w:jc w:val="center"/>
              <w:rPr>
                <w:rFonts w:ascii="宋体" w:hAnsi="宋体" w:cs="宋体"/>
                <w:color w:val="auto"/>
              </w:rPr>
            </w:pPr>
          </w:p>
        </w:tc>
        <w:tc>
          <w:tcPr>
            <w:tcW w:w="610" w:type="pct"/>
            <w:gridSpan w:val="2"/>
            <w:shd w:val="clear" w:color="auto" w:fill="auto"/>
            <w:vAlign w:val="center"/>
          </w:tcPr>
          <w:p w14:paraId="6615F501">
            <w:pPr>
              <w:adjustRightInd w:val="0"/>
              <w:snapToGrid w:val="0"/>
              <w:jc w:val="center"/>
              <w:rPr>
                <w:rFonts w:ascii="宋体" w:hAnsi="宋体" w:cs="宋体"/>
                <w:color w:val="auto"/>
              </w:rPr>
            </w:pPr>
            <w:r>
              <w:rPr>
                <w:rFonts w:hint="eastAsia" w:ascii="宋体" w:hAnsi="宋体"/>
                <w:color w:val="auto"/>
              </w:rPr>
              <w:t>注水泵</w:t>
            </w:r>
          </w:p>
        </w:tc>
        <w:tc>
          <w:tcPr>
            <w:tcW w:w="1371" w:type="pct"/>
            <w:shd w:val="clear" w:color="auto" w:fill="auto"/>
            <w:vAlign w:val="center"/>
          </w:tcPr>
          <w:p w14:paraId="3FA7C1E7">
            <w:pPr>
              <w:adjustRightInd w:val="0"/>
              <w:snapToGrid w:val="0"/>
              <w:jc w:val="center"/>
              <w:rPr>
                <w:rFonts w:ascii="宋体" w:hAnsi="宋体" w:cs="宋体"/>
                <w:color w:val="auto"/>
              </w:rPr>
            </w:pPr>
            <w:r>
              <w:rPr>
                <w:rFonts w:hint="eastAsia" w:ascii="宋体" w:hAnsi="宋体"/>
                <w:color w:val="auto"/>
              </w:rPr>
              <w:t>滚动开发工程在滨博接转站内迁建注水泵1台</w:t>
            </w:r>
          </w:p>
        </w:tc>
        <w:tc>
          <w:tcPr>
            <w:tcW w:w="1031" w:type="pct"/>
            <w:shd w:val="clear" w:color="auto" w:fill="auto"/>
            <w:vAlign w:val="center"/>
          </w:tcPr>
          <w:p w14:paraId="0FFB0BE8">
            <w:pPr>
              <w:adjustRightInd w:val="0"/>
              <w:snapToGrid w:val="0"/>
              <w:jc w:val="center"/>
              <w:rPr>
                <w:rFonts w:ascii="宋体" w:hAnsi="宋体" w:cs="宋体"/>
                <w:color w:val="auto"/>
              </w:rPr>
            </w:pPr>
            <w:r>
              <w:rPr>
                <w:rFonts w:hint="eastAsia" w:ascii="宋体" w:hAnsi="宋体"/>
                <w:color w:val="auto"/>
              </w:rPr>
              <w:t>未建设</w:t>
            </w:r>
          </w:p>
        </w:tc>
        <w:tc>
          <w:tcPr>
            <w:tcW w:w="834" w:type="pct"/>
            <w:shd w:val="clear" w:color="auto" w:fill="auto"/>
            <w:vAlign w:val="center"/>
          </w:tcPr>
          <w:p w14:paraId="25274C10">
            <w:pPr>
              <w:adjustRightInd w:val="0"/>
              <w:snapToGrid w:val="0"/>
              <w:jc w:val="center"/>
              <w:rPr>
                <w:rFonts w:ascii="宋体" w:hAnsi="宋体" w:cs="宋体"/>
                <w:color w:val="auto"/>
              </w:rPr>
            </w:pPr>
            <w:r>
              <w:rPr>
                <w:rFonts w:hint="eastAsia" w:ascii="宋体" w:hAnsi="宋体"/>
                <w:color w:val="auto"/>
              </w:rPr>
              <w:t>未建设，纳入后期验收</w:t>
            </w:r>
          </w:p>
        </w:tc>
        <w:tc>
          <w:tcPr>
            <w:tcW w:w="666" w:type="pct"/>
            <w:shd w:val="clear" w:color="auto" w:fill="auto"/>
            <w:vAlign w:val="center"/>
          </w:tcPr>
          <w:p w14:paraId="064D2082">
            <w:pPr>
              <w:adjustRightInd w:val="0"/>
              <w:snapToGrid w:val="0"/>
              <w:jc w:val="center"/>
              <w:rPr>
                <w:rFonts w:ascii="宋体" w:hAnsi="宋体" w:cs="宋体"/>
                <w:color w:val="auto"/>
              </w:rPr>
            </w:pPr>
            <w:bookmarkStart w:id="327" w:name="OLE_LINK238"/>
            <w:bookmarkStart w:id="328" w:name="OLE_LINK243"/>
            <w:r>
              <w:rPr>
                <w:rFonts w:hint="eastAsia" w:ascii="宋体" w:hAnsi="宋体" w:cs="宋体"/>
                <w:color w:val="auto"/>
              </w:rPr>
              <w:t>分期建设</w:t>
            </w:r>
            <w:bookmarkEnd w:id="327"/>
            <w:bookmarkEnd w:id="328"/>
            <w:r>
              <w:rPr>
                <w:rFonts w:hint="eastAsia" w:ascii="宋体" w:hAnsi="宋体" w:cs="宋体"/>
                <w:color w:val="auto"/>
              </w:rPr>
              <w:t>，</w:t>
            </w:r>
            <w:r>
              <w:rPr>
                <w:rFonts w:hint="eastAsia" w:ascii="宋体" w:hAnsi="宋体"/>
                <w:color w:val="auto"/>
              </w:rPr>
              <w:t>纳入后期验收</w:t>
            </w:r>
          </w:p>
        </w:tc>
      </w:tr>
      <w:tr w14:paraId="59991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5E816DD8">
            <w:pPr>
              <w:adjustRightInd w:val="0"/>
              <w:snapToGrid w:val="0"/>
              <w:jc w:val="center"/>
              <w:rPr>
                <w:rFonts w:ascii="宋体" w:hAnsi="宋体" w:cs="宋体"/>
                <w:color w:val="auto"/>
              </w:rPr>
            </w:pPr>
          </w:p>
        </w:tc>
        <w:tc>
          <w:tcPr>
            <w:tcW w:w="610" w:type="pct"/>
            <w:gridSpan w:val="2"/>
            <w:shd w:val="clear" w:color="auto" w:fill="auto"/>
            <w:vAlign w:val="center"/>
          </w:tcPr>
          <w:p w14:paraId="4C7BEC0B">
            <w:pPr>
              <w:adjustRightInd w:val="0"/>
              <w:snapToGrid w:val="0"/>
              <w:jc w:val="center"/>
              <w:rPr>
                <w:rFonts w:ascii="宋体" w:hAnsi="宋体" w:cs="宋体"/>
                <w:color w:val="auto"/>
              </w:rPr>
            </w:pPr>
            <w:r>
              <w:rPr>
                <w:rFonts w:hint="eastAsia" w:ascii="宋体" w:hAnsi="宋体"/>
                <w:color w:val="auto"/>
              </w:rPr>
              <w:t>压驱供水泵橇</w:t>
            </w:r>
          </w:p>
        </w:tc>
        <w:tc>
          <w:tcPr>
            <w:tcW w:w="1371" w:type="pct"/>
            <w:shd w:val="clear" w:color="auto" w:fill="auto"/>
            <w:vAlign w:val="center"/>
          </w:tcPr>
          <w:p w14:paraId="0FD2EE17">
            <w:pPr>
              <w:adjustRightInd w:val="0"/>
              <w:snapToGrid w:val="0"/>
              <w:jc w:val="center"/>
              <w:rPr>
                <w:rFonts w:ascii="宋体" w:hAnsi="宋体" w:cs="宋体"/>
                <w:color w:val="auto"/>
              </w:rPr>
            </w:pPr>
            <w:r>
              <w:rPr>
                <w:rFonts w:hint="eastAsia" w:ascii="宋体" w:hAnsi="宋体"/>
                <w:color w:val="auto"/>
              </w:rPr>
              <w:t>16套，供水泵橇Q=40m</w:t>
            </w:r>
            <w:r>
              <w:rPr>
                <w:rFonts w:hint="eastAsia" w:ascii="宋体" w:hAnsi="宋体"/>
                <w:color w:val="auto"/>
                <w:vertAlign w:val="superscript"/>
              </w:rPr>
              <w:t>3</w:t>
            </w:r>
            <w:r>
              <w:rPr>
                <w:rFonts w:hint="eastAsia" w:ascii="宋体" w:hAnsi="宋体"/>
                <w:color w:val="auto"/>
              </w:rPr>
              <w:t>/h H=60m N=11kW</w:t>
            </w:r>
          </w:p>
        </w:tc>
        <w:tc>
          <w:tcPr>
            <w:tcW w:w="1031" w:type="pct"/>
            <w:shd w:val="clear" w:color="auto" w:fill="auto"/>
            <w:vAlign w:val="center"/>
          </w:tcPr>
          <w:p w14:paraId="5383373A">
            <w:pPr>
              <w:adjustRightInd w:val="0"/>
              <w:snapToGrid w:val="0"/>
              <w:jc w:val="center"/>
              <w:rPr>
                <w:rFonts w:ascii="宋体" w:hAnsi="宋体" w:cs="宋体"/>
                <w:color w:val="auto"/>
              </w:rPr>
            </w:pPr>
            <w:r>
              <w:rPr>
                <w:rFonts w:hint="eastAsia" w:ascii="宋体" w:hAnsi="宋体"/>
                <w:color w:val="auto"/>
              </w:rPr>
              <w:t>3套，水泵橇Q=40m</w:t>
            </w:r>
            <w:r>
              <w:rPr>
                <w:rFonts w:hint="eastAsia" w:ascii="宋体" w:hAnsi="宋体"/>
                <w:color w:val="auto"/>
                <w:vertAlign w:val="superscript"/>
              </w:rPr>
              <w:t>3</w:t>
            </w:r>
            <w:r>
              <w:rPr>
                <w:rFonts w:hint="eastAsia" w:ascii="宋体" w:hAnsi="宋体"/>
                <w:color w:val="auto"/>
              </w:rPr>
              <w:t>/h H=60m N=11kW</w:t>
            </w:r>
          </w:p>
        </w:tc>
        <w:tc>
          <w:tcPr>
            <w:tcW w:w="834" w:type="pct"/>
            <w:shd w:val="clear" w:color="auto" w:fill="auto"/>
            <w:vAlign w:val="center"/>
          </w:tcPr>
          <w:p w14:paraId="57084E66">
            <w:pPr>
              <w:adjustRightInd w:val="0"/>
              <w:snapToGrid w:val="0"/>
              <w:jc w:val="center"/>
              <w:rPr>
                <w:rFonts w:ascii="宋体" w:hAnsi="宋体" w:cs="宋体"/>
                <w:color w:val="auto"/>
              </w:rPr>
            </w:pPr>
            <w:r>
              <w:rPr>
                <w:rFonts w:hint="eastAsia" w:ascii="宋体" w:hAnsi="宋体"/>
                <w:color w:val="auto"/>
              </w:rPr>
              <w:t>1</w:t>
            </w:r>
            <w:r>
              <w:rPr>
                <w:rFonts w:ascii="宋体" w:hAnsi="宋体"/>
                <w:color w:val="auto"/>
              </w:rPr>
              <w:t>3</w:t>
            </w:r>
            <w:r>
              <w:rPr>
                <w:rFonts w:hint="eastAsia" w:ascii="宋体" w:hAnsi="宋体"/>
                <w:color w:val="auto"/>
              </w:rPr>
              <w:t>套未建设，纳入后期验收</w:t>
            </w:r>
          </w:p>
        </w:tc>
        <w:tc>
          <w:tcPr>
            <w:tcW w:w="666" w:type="pct"/>
            <w:shd w:val="clear" w:color="auto" w:fill="auto"/>
            <w:vAlign w:val="center"/>
          </w:tcPr>
          <w:p w14:paraId="14925490">
            <w:pPr>
              <w:adjustRightInd w:val="0"/>
              <w:snapToGrid w:val="0"/>
              <w:jc w:val="center"/>
              <w:rPr>
                <w:rFonts w:ascii="宋体" w:hAnsi="宋体" w:cs="宋体"/>
                <w:color w:val="auto"/>
              </w:rPr>
            </w:pPr>
            <w:r>
              <w:rPr>
                <w:rFonts w:hint="eastAsia" w:ascii="宋体" w:hAnsi="宋体" w:cs="宋体"/>
                <w:color w:val="auto"/>
              </w:rPr>
              <w:t>分期建设</w:t>
            </w:r>
          </w:p>
        </w:tc>
      </w:tr>
      <w:tr w14:paraId="245EA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05F10D40">
            <w:pPr>
              <w:adjustRightInd w:val="0"/>
              <w:snapToGrid w:val="0"/>
              <w:jc w:val="center"/>
              <w:rPr>
                <w:rFonts w:ascii="宋体" w:hAnsi="宋体" w:cs="宋体"/>
                <w:color w:val="auto"/>
              </w:rPr>
            </w:pPr>
          </w:p>
        </w:tc>
        <w:tc>
          <w:tcPr>
            <w:tcW w:w="610" w:type="pct"/>
            <w:gridSpan w:val="2"/>
            <w:shd w:val="clear" w:color="auto" w:fill="auto"/>
            <w:vAlign w:val="center"/>
          </w:tcPr>
          <w:p w14:paraId="6182F78D">
            <w:pPr>
              <w:adjustRightInd w:val="0"/>
              <w:snapToGrid w:val="0"/>
              <w:jc w:val="center"/>
              <w:rPr>
                <w:rFonts w:ascii="宋体" w:hAnsi="宋体" w:cs="宋体"/>
                <w:color w:val="auto"/>
              </w:rPr>
            </w:pPr>
            <w:r>
              <w:rPr>
                <w:rFonts w:hint="eastAsia" w:ascii="宋体" w:hAnsi="宋体"/>
                <w:color w:val="auto"/>
              </w:rPr>
              <w:t>注水管线</w:t>
            </w:r>
          </w:p>
        </w:tc>
        <w:tc>
          <w:tcPr>
            <w:tcW w:w="1371" w:type="pct"/>
            <w:shd w:val="clear" w:color="auto" w:fill="auto"/>
            <w:vAlign w:val="center"/>
          </w:tcPr>
          <w:p w14:paraId="7CACB31A">
            <w:pPr>
              <w:pStyle w:val="81"/>
              <w:spacing w:before="120"/>
              <w:rPr>
                <w:rFonts w:hAnsi="宋体"/>
                <w:color w:val="auto"/>
              </w:rPr>
            </w:pPr>
            <w:r>
              <w:rPr>
                <w:rFonts w:hint="eastAsia" w:hAnsi="宋体"/>
                <w:color w:val="auto"/>
              </w:rPr>
              <w:t>滚动开发工程新建Φ76×11mm注水管线11.53km、新建Φ114×44mm注水管线3.50km</w:t>
            </w:r>
          </w:p>
          <w:p w14:paraId="1BC88637">
            <w:pPr>
              <w:pStyle w:val="81"/>
              <w:spacing w:before="120"/>
              <w:rPr>
                <w:rFonts w:hAnsi="宋体"/>
                <w:color w:val="auto"/>
              </w:rPr>
            </w:pPr>
            <w:r>
              <w:rPr>
                <w:rFonts w:hint="eastAsia" w:hAnsi="宋体"/>
                <w:color w:val="auto"/>
              </w:rPr>
              <w:t>高青管理区地面系统优化建设工程新建Φ68×10mm注水管线7.66km、DN75mm压驱低压供水管线2.71km</w:t>
            </w:r>
          </w:p>
          <w:p w14:paraId="23902CE1">
            <w:pPr>
              <w:adjustRightInd w:val="0"/>
              <w:snapToGrid w:val="0"/>
              <w:jc w:val="center"/>
              <w:rPr>
                <w:rFonts w:ascii="宋体" w:hAnsi="宋体" w:cs="宋体"/>
                <w:color w:val="auto"/>
              </w:rPr>
            </w:pPr>
            <w:r>
              <w:rPr>
                <w:rFonts w:hint="eastAsia" w:ascii="宋体" w:hAnsi="宋体"/>
                <w:color w:val="auto"/>
              </w:rPr>
              <w:t>滨博北区地面系统优化建设工程新建Φ68×12mm注水管线4.6km</w:t>
            </w:r>
          </w:p>
        </w:tc>
        <w:tc>
          <w:tcPr>
            <w:tcW w:w="1031" w:type="pct"/>
            <w:shd w:val="clear" w:color="auto" w:fill="auto"/>
            <w:vAlign w:val="center"/>
          </w:tcPr>
          <w:p w14:paraId="543923A4">
            <w:pPr>
              <w:pStyle w:val="81"/>
              <w:spacing w:before="120"/>
              <w:rPr>
                <w:rFonts w:hAnsi="宋体"/>
                <w:color w:val="auto"/>
              </w:rPr>
            </w:pPr>
            <w:r>
              <w:rPr>
                <w:rFonts w:hint="eastAsia" w:hAnsi="宋体"/>
                <w:color w:val="auto"/>
              </w:rPr>
              <w:t>滚动开发工程新建Φ76×11mm注水管线0.05km、</w:t>
            </w:r>
            <w:r>
              <w:rPr>
                <w:rFonts w:hint="eastAsia" w:hAnsi="宋体" w:cs="宋体"/>
                <w:color w:val="auto"/>
              </w:rPr>
              <w:t>新建了DN150注水管线共2.2km，新建了DN110注水管线共0.5km，合计2.75km；</w:t>
            </w:r>
          </w:p>
          <w:p w14:paraId="29B2B240">
            <w:pPr>
              <w:adjustRightInd w:val="0"/>
              <w:snapToGrid w:val="0"/>
              <w:jc w:val="center"/>
              <w:rPr>
                <w:rFonts w:ascii="宋体" w:hAnsi="宋体" w:cs="宋体"/>
                <w:color w:val="auto"/>
              </w:rPr>
            </w:pPr>
            <w:r>
              <w:rPr>
                <w:rFonts w:hint="eastAsia" w:ascii="宋体" w:hAnsi="宋体"/>
                <w:color w:val="auto"/>
              </w:rPr>
              <w:t>高青管理区地面系统优化建设工程新建Φ68×10mm注水管线5.28km、DN75mm压驱低压供水管线1.74km</w:t>
            </w:r>
          </w:p>
        </w:tc>
        <w:tc>
          <w:tcPr>
            <w:tcW w:w="834" w:type="pct"/>
            <w:shd w:val="clear" w:color="auto" w:fill="auto"/>
            <w:vAlign w:val="center"/>
          </w:tcPr>
          <w:p w14:paraId="151E3847">
            <w:pPr>
              <w:adjustRightInd w:val="0"/>
              <w:snapToGrid w:val="0"/>
              <w:jc w:val="center"/>
              <w:rPr>
                <w:rFonts w:ascii="宋体" w:hAnsi="宋体" w:cs="宋体"/>
                <w:color w:val="auto"/>
              </w:rPr>
            </w:pPr>
            <w:r>
              <w:rPr>
                <w:rFonts w:hint="eastAsia" w:ascii="宋体" w:hAnsi="宋体"/>
                <w:color w:val="auto"/>
              </w:rPr>
              <w:t>滚动开发工程注水管线共减少</w:t>
            </w:r>
            <w:r>
              <w:rPr>
                <w:rFonts w:ascii="宋体" w:hAnsi="宋体"/>
                <w:color w:val="auto"/>
              </w:rPr>
              <w:t>12.28</w:t>
            </w:r>
            <w:r>
              <w:rPr>
                <w:rFonts w:hint="eastAsia" w:ascii="宋体" w:hAnsi="宋体"/>
                <w:color w:val="auto"/>
              </w:rPr>
              <w:t>km；高青管理区地面系统优化建设工程注水管线减少3.35km；滨博北区地面系统优化建设工程未投产，纳入后期验收</w:t>
            </w:r>
          </w:p>
        </w:tc>
        <w:tc>
          <w:tcPr>
            <w:tcW w:w="666" w:type="pct"/>
            <w:shd w:val="clear" w:color="auto" w:fill="auto"/>
            <w:vAlign w:val="center"/>
          </w:tcPr>
          <w:p w14:paraId="0D82D939">
            <w:pPr>
              <w:adjustRightInd w:val="0"/>
              <w:snapToGrid w:val="0"/>
              <w:jc w:val="center"/>
              <w:rPr>
                <w:rFonts w:ascii="宋体" w:hAnsi="宋体" w:cs="宋体"/>
                <w:color w:val="auto"/>
              </w:rPr>
            </w:pPr>
            <w:r>
              <w:rPr>
                <w:rFonts w:hint="eastAsia" w:ascii="宋体" w:hAnsi="宋体"/>
                <w:color w:val="auto"/>
              </w:rPr>
              <w:t>分期建设，注水</w:t>
            </w:r>
            <w:r>
              <w:rPr>
                <w:rFonts w:ascii="宋体" w:hAnsi="宋体"/>
                <w:color w:val="auto"/>
              </w:rPr>
              <w:t>井总数减少，相应配套设施减少</w:t>
            </w:r>
            <w:r>
              <w:rPr>
                <w:rFonts w:hint="eastAsia" w:ascii="宋体" w:hAnsi="宋体"/>
                <w:color w:val="auto"/>
              </w:rPr>
              <w:t>；滨博北区地面系统优化建设工程未投产，纳入后期验收</w:t>
            </w:r>
          </w:p>
        </w:tc>
      </w:tr>
      <w:tr w14:paraId="6271B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4DFDB8F5">
            <w:pPr>
              <w:adjustRightInd w:val="0"/>
              <w:snapToGrid w:val="0"/>
              <w:jc w:val="center"/>
              <w:rPr>
                <w:rFonts w:ascii="宋体" w:hAnsi="宋体" w:cs="宋体"/>
                <w:color w:val="auto"/>
              </w:rPr>
            </w:pPr>
          </w:p>
        </w:tc>
        <w:tc>
          <w:tcPr>
            <w:tcW w:w="610" w:type="pct"/>
            <w:gridSpan w:val="2"/>
            <w:shd w:val="clear" w:color="auto" w:fill="auto"/>
            <w:vAlign w:val="center"/>
          </w:tcPr>
          <w:p w14:paraId="11D007A6">
            <w:pPr>
              <w:adjustRightInd w:val="0"/>
              <w:snapToGrid w:val="0"/>
              <w:jc w:val="center"/>
              <w:rPr>
                <w:rFonts w:ascii="宋体" w:hAnsi="宋体" w:cs="宋体"/>
                <w:color w:val="auto"/>
              </w:rPr>
            </w:pPr>
            <w:r>
              <w:rPr>
                <w:rFonts w:hint="eastAsia" w:ascii="宋体" w:hAnsi="宋体"/>
                <w:color w:val="auto"/>
              </w:rPr>
              <w:t>供水管线</w:t>
            </w:r>
          </w:p>
        </w:tc>
        <w:tc>
          <w:tcPr>
            <w:tcW w:w="1371" w:type="pct"/>
            <w:shd w:val="clear" w:color="auto" w:fill="auto"/>
            <w:vAlign w:val="center"/>
          </w:tcPr>
          <w:p w14:paraId="0380B6B9">
            <w:pPr>
              <w:adjustRightInd w:val="0"/>
              <w:snapToGrid w:val="0"/>
              <w:jc w:val="center"/>
              <w:rPr>
                <w:rFonts w:ascii="宋体" w:hAnsi="宋体" w:cs="宋体"/>
                <w:color w:val="auto"/>
              </w:rPr>
            </w:pPr>
            <w:r>
              <w:rPr>
                <w:rFonts w:hint="eastAsia" w:ascii="宋体" w:hAnsi="宋体"/>
                <w:color w:val="auto"/>
              </w:rPr>
              <w:t>高青管理区地面系统优化建设工程新建DN40mm自来水供水管线2.34km；滨博北区地面系统优化建设工程新建DN100mm供水管线1.2km</w:t>
            </w:r>
          </w:p>
        </w:tc>
        <w:tc>
          <w:tcPr>
            <w:tcW w:w="1031" w:type="pct"/>
            <w:shd w:val="clear" w:color="auto" w:fill="auto"/>
            <w:vAlign w:val="center"/>
          </w:tcPr>
          <w:p w14:paraId="606403BB">
            <w:pPr>
              <w:adjustRightInd w:val="0"/>
              <w:snapToGrid w:val="0"/>
              <w:jc w:val="center"/>
              <w:rPr>
                <w:rFonts w:ascii="宋体" w:hAnsi="宋体" w:cs="宋体"/>
                <w:color w:val="auto"/>
              </w:rPr>
            </w:pPr>
            <w:r>
              <w:rPr>
                <w:rFonts w:hint="eastAsia" w:ascii="宋体" w:hAnsi="宋体"/>
                <w:color w:val="auto"/>
              </w:rPr>
              <w:t>高青管理区地面系统优化建设工程新建</w:t>
            </w:r>
            <w:r>
              <w:rPr>
                <w:rFonts w:hint="eastAsia" w:ascii="宋体" w:hAnsi="宋体" w:cs="Calibri"/>
                <w:color w:val="auto"/>
              </w:rPr>
              <w:t>DE90</w:t>
            </w:r>
            <w:r>
              <w:rPr>
                <w:rStyle w:val="326"/>
                <w:rFonts w:hint="default" w:cs="Calibri"/>
                <w:color w:val="auto"/>
              </w:rPr>
              <w:t>×</w:t>
            </w:r>
            <w:r>
              <w:rPr>
                <w:rStyle w:val="141"/>
                <w:rFonts w:hint="default"/>
                <w:color w:val="auto"/>
                <w:vertAlign w:val="baseline"/>
              </w:rPr>
              <w:t>8.2mm</w:t>
            </w:r>
            <w:r>
              <w:rPr>
                <w:rFonts w:hint="eastAsia" w:ascii="宋体" w:hAnsi="宋体"/>
                <w:color w:val="auto"/>
              </w:rPr>
              <w:t>自来水供水管线1.15km</w:t>
            </w:r>
          </w:p>
        </w:tc>
        <w:tc>
          <w:tcPr>
            <w:tcW w:w="834" w:type="pct"/>
            <w:shd w:val="clear" w:color="auto" w:fill="auto"/>
            <w:vAlign w:val="center"/>
          </w:tcPr>
          <w:p w14:paraId="5D0C81BC">
            <w:pPr>
              <w:adjustRightInd w:val="0"/>
              <w:snapToGrid w:val="0"/>
              <w:jc w:val="center"/>
              <w:rPr>
                <w:rFonts w:ascii="宋体" w:hAnsi="宋体" w:cs="宋体"/>
                <w:color w:val="auto"/>
              </w:rPr>
            </w:pPr>
            <w:r>
              <w:rPr>
                <w:rFonts w:hint="eastAsia" w:ascii="宋体" w:hAnsi="宋体"/>
                <w:color w:val="auto"/>
              </w:rPr>
              <w:t>材质变更，长度减少1.19km</w:t>
            </w:r>
          </w:p>
        </w:tc>
        <w:tc>
          <w:tcPr>
            <w:tcW w:w="666" w:type="pct"/>
            <w:shd w:val="clear" w:color="auto" w:fill="auto"/>
            <w:vAlign w:val="center"/>
          </w:tcPr>
          <w:p w14:paraId="459334C9">
            <w:pPr>
              <w:adjustRightInd w:val="0"/>
              <w:snapToGrid w:val="0"/>
              <w:jc w:val="center"/>
              <w:rPr>
                <w:rFonts w:ascii="宋体" w:hAnsi="宋体"/>
                <w:color w:val="auto"/>
              </w:rPr>
            </w:pPr>
            <w:r>
              <w:rPr>
                <w:rFonts w:hint="eastAsia" w:ascii="宋体" w:hAnsi="宋体"/>
                <w:color w:val="auto"/>
              </w:rPr>
              <w:t>根据实际施工情况进行了调整</w:t>
            </w:r>
          </w:p>
        </w:tc>
      </w:tr>
      <w:tr w14:paraId="65B34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4C31124F">
            <w:pPr>
              <w:adjustRightInd w:val="0"/>
              <w:snapToGrid w:val="0"/>
              <w:jc w:val="center"/>
              <w:rPr>
                <w:rFonts w:ascii="宋体" w:hAnsi="宋体" w:cs="宋体"/>
                <w:color w:val="auto"/>
              </w:rPr>
            </w:pPr>
          </w:p>
        </w:tc>
        <w:tc>
          <w:tcPr>
            <w:tcW w:w="610" w:type="pct"/>
            <w:gridSpan w:val="2"/>
            <w:shd w:val="clear" w:color="auto" w:fill="auto"/>
            <w:vAlign w:val="center"/>
          </w:tcPr>
          <w:p w14:paraId="012B899E">
            <w:pPr>
              <w:adjustRightInd w:val="0"/>
              <w:snapToGrid w:val="0"/>
              <w:jc w:val="center"/>
              <w:rPr>
                <w:rFonts w:ascii="宋体" w:hAnsi="宋体" w:cs="宋体"/>
                <w:color w:val="auto"/>
              </w:rPr>
            </w:pPr>
            <w:r>
              <w:rPr>
                <w:rFonts w:hint="eastAsia" w:ascii="宋体" w:hAnsi="宋体"/>
                <w:color w:val="auto"/>
              </w:rPr>
              <w:t>注水站、供水点</w:t>
            </w:r>
          </w:p>
        </w:tc>
        <w:tc>
          <w:tcPr>
            <w:tcW w:w="1371" w:type="pct"/>
            <w:shd w:val="clear" w:color="auto" w:fill="auto"/>
            <w:vAlign w:val="center"/>
          </w:tcPr>
          <w:p w14:paraId="2A20C167">
            <w:pPr>
              <w:adjustRightInd w:val="0"/>
              <w:snapToGrid w:val="0"/>
              <w:jc w:val="center"/>
              <w:rPr>
                <w:rFonts w:ascii="宋体" w:hAnsi="宋体" w:cs="宋体"/>
                <w:color w:val="auto"/>
              </w:rPr>
            </w:pPr>
            <w:r>
              <w:rPr>
                <w:rFonts w:hint="eastAsia" w:ascii="宋体" w:hAnsi="宋体"/>
                <w:color w:val="auto"/>
              </w:rPr>
              <w:t>依托樊2注水站、樊4注水站、樊7注水站、樊11注水站、樊107注水站、星源作业队水源井、樊163分水点、滨博接转站注水点</w:t>
            </w:r>
          </w:p>
        </w:tc>
        <w:tc>
          <w:tcPr>
            <w:tcW w:w="1031" w:type="pct"/>
            <w:shd w:val="clear" w:color="auto" w:fill="auto"/>
            <w:vAlign w:val="center"/>
          </w:tcPr>
          <w:p w14:paraId="0B1C0459">
            <w:pPr>
              <w:adjustRightInd w:val="0"/>
              <w:snapToGrid w:val="0"/>
              <w:jc w:val="center"/>
              <w:rPr>
                <w:rFonts w:ascii="宋体" w:hAnsi="宋体" w:cs="宋体"/>
                <w:color w:val="auto"/>
              </w:rPr>
            </w:pPr>
            <w:r>
              <w:rPr>
                <w:rFonts w:hint="eastAsia" w:ascii="宋体" w:hAnsi="宋体" w:cs="宋体"/>
                <w:color w:val="auto"/>
              </w:rPr>
              <w:t>依托高青联合站注水点</w:t>
            </w:r>
          </w:p>
        </w:tc>
        <w:tc>
          <w:tcPr>
            <w:tcW w:w="834" w:type="pct"/>
            <w:shd w:val="clear" w:color="auto" w:fill="auto"/>
            <w:vAlign w:val="center"/>
          </w:tcPr>
          <w:p w14:paraId="72E62C4A">
            <w:pPr>
              <w:adjustRightInd w:val="0"/>
              <w:snapToGrid w:val="0"/>
              <w:jc w:val="center"/>
              <w:rPr>
                <w:rFonts w:ascii="宋体" w:hAnsi="宋体" w:cs="宋体"/>
                <w:color w:val="auto"/>
              </w:rPr>
            </w:pPr>
            <w:bookmarkStart w:id="329" w:name="OLE_LINK247"/>
            <w:bookmarkStart w:id="330" w:name="OLE_LINK246"/>
            <w:r>
              <w:rPr>
                <w:rFonts w:hint="eastAsia" w:ascii="宋体" w:hAnsi="宋体"/>
                <w:color w:val="auto"/>
              </w:rPr>
              <w:t>依托注水站根据实际情况进行了调整</w:t>
            </w:r>
            <w:bookmarkEnd w:id="329"/>
            <w:bookmarkEnd w:id="330"/>
          </w:p>
        </w:tc>
        <w:tc>
          <w:tcPr>
            <w:tcW w:w="666" w:type="pct"/>
            <w:shd w:val="clear" w:color="auto" w:fill="auto"/>
            <w:vAlign w:val="center"/>
          </w:tcPr>
          <w:p w14:paraId="4284F3A0">
            <w:pPr>
              <w:adjustRightInd w:val="0"/>
              <w:snapToGrid w:val="0"/>
              <w:jc w:val="center"/>
              <w:rPr>
                <w:rFonts w:ascii="宋体" w:hAnsi="宋体"/>
                <w:color w:val="auto"/>
              </w:rPr>
            </w:pPr>
            <w:r>
              <w:rPr>
                <w:rFonts w:hint="eastAsia" w:ascii="宋体" w:hAnsi="宋体"/>
                <w:color w:val="auto"/>
              </w:rPr>
              <w:t>依托注水站根据实际情况进行了调整</w:t>
            </w:r>
          </w:p>
        </w:tc>
      </w:tr>
      <w:tr w14:paraId="1E0DC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5A94A3F4">
            <w:pPr>
              <w:adjustRightInd w:val="0"/>
              <w:snapToGrid w:val="0"/>
              <w:jc w:val="center"/>
              <w:rPr>
                <w:rFonts w:ascii="宋体" w:hAnsi="宋体" w:cs="宋体"/>
                <w:color w:val="auto"/>
              </w:rPr>
            </w:pPr>
          </w:p>
        </w:tc>
        <w:tc>
          <w:tcPr>
            <w:tcW w:w="610" w:type="pct"/>
            <w:gridSpan w:val="2"/>
            <w:shd w:val="clear" w:color="auto" w:fill="auto"/>
            <w:vAlign w:val="center"/>
          </w:tcPr>
          <w:p w14:paraId="44F4A791">
            <w:pPr>
              <w:adjustRightInd w:val="0"/>
              <w:snapToGrid w:val="0"/>
              <w:jc w:val="center"/>
              <w:rPr>
                <w:rFonts w:ascii="宋体" w:hAnsi="宋体"/>
                <w:color w:val="auto"/>
              </w:rPr>
            </w:pPr>
            <w:r>
              <w:rPr>
                <w:rFonts w:hint="eastAsia" w:ascii="宋体" w:hAnsi="宋体"/>
                <w:color w:val="auto"/>
              </w:rPr>
              <w:t>樊107注水站</w:t>
            </w:r>
          </w:p>
        </w:tc>
        <w:tc>
          <w:tcPr>
            <w:tcW w:w="1371" w:type="pct"/>
            <w:shd w:val="clear" w:color="auto" w:fill="auto"/>
            <w:vAlign w:val="center"/>
          </w:tcPr>
          <w:p w14:paraId="29A020CF">
            <w:pPr>
              <w:adjustRightInd w:val="0"/>
              <w:snapToGrid w:val="0"/>
              <w:jc w:val="center"/>
              <w:rPr>
                <w:rFonts w:ascii="宋体" w:hAnsi="宋体" w:cs="宋体"/>
                <w:color w:val="auto"/>
              </w:rPr>
            </w:pPr>
            <w:r>
              <w:rPr>
                <w:rFonts w:hint="eastAsia" w:ascii="宋体" w:hAnsi="宋体"/>
                <w:color w:val="auto"/>
              </w:rPr>
              <w:t>樊107注水站清水处理系统“粗滤+细滤+精滤三级过滤”水处理系统设计规模：由400m</w:t>
            </w:r>
            <w:r>
              <w:rPr>
                <w:rFonts w:hint="eastAsia" w:ascii="宋体" w:hAnsi="宋体"/>
                <w:color w:val="auto"/>
                <w:vertAlign w:val="superscript"/>
              </w:rPr>
              <w:t>3</w:t>
            </w:r>
            <w:r>
              <w:rPr>
                <w:rFonts w:hint="eastAsia" w:ascii="宋体" w:hAnsi="宋体"/>
                <w:color w:val="auto"/>
              </w:rPr>
              <w:t>/d扩建为1200m</w:t>
            </w:r>
            <w:r>
              <w:rPr>
                <w:rFonts w:hint="eastAsia" w:ascii="宋体" w:hAnsi="宋体"/>
                <w:color w:val="auto"/>
                <w:vertAlign w:val="superscript"/>
              </w:rPr>
              <w:t>3</w:t>
            </w:r>
            <w:r>
              <w:rPr>
                <w:rFonts w:hint="eastAsia" w:ascii="宋体" w:hAnsi="宋体"/>
                <w:color w:val="auto"/>
              </w:rPr>
              <w:t>/d；扩建2台多介质过滤器(粗滤φ1.8m 1座，精滤φ1.8m 1座)；扩建精细过滤1座（800m</w:t>
            </w:r>
            <w:r>
              <w:rPr>
                <w:rFonts w:hint="eastAsia" w:ascii="宋体" w:hAnsi="宋体"/>
                <w:color w:val="auto"/>
                <w:vertAlign w:val="superscript"/>
              </w:rPr>
              <w:t>3</w:t>
            </w:r>
            <w:r>
              <w:rPr>
                <w:rFonts w:hint="eastAsia" w:ascii="宋体" w:hAnsi="宋体"/>
                <w:color w:val="auto"/>
              </w:rPr>
              <w:t>/d）；拆除1座100m</w:t>
            </w:r>
            <w:r>
              <w:rPr>
                <w:rFonts w:hint="eastAsia" w:ascii="宋体" w:hAnsi="宋体"/>
                <w:color w:val="auto"/>
                <w:vertAlign w:val="superscript"/>
              </w:rPr>
              <w:t>3</w:t>
            </w:r>
            <w:r>
              <w:rPr>
                <w:rFonts w:hint="eastAsia" w:ascii="宋体" w:hAnsi="宋体"/>
                <w:color w:val="auto"/>
              </w:rPr>
              <w:t>缓冲罐，在原位置新建1座300m</w:t>
            </w:r>
            <w:r>
              <w:rPr>
                <w:rFonts w:hint="eastAsia" w:ascii="宋体" w:hAnsi="宋体"/>
                <w:color w:val="auto"/>
                <w:vertAlign w:val="superscript"/>
              </w:rPr>
              <w:t>3</w:t>
            </w:r>
            <w:r>
              <w:rPr>
                <w:rFonts w:hint="eastAsia" w:ascii="宋体" w:hAnsi="宋体"/>
                <w:color w:val="auto"/>
              </w:rPr>
              <w:t>注水罐；拆除已建注水泵2台，新建注水泵3台（Q=27m</w:t>
            </w:r>
            <w:r>
              <w:rPr>
                <w:rFonts w:hint="eastAsia" w:ascii="宋体" w:hAnsi="宋体"/>
                <w:color w:val="auto"/>
                <w:vertAlign w:val="superscript"/>
              </w:rPr>
              <w:t>3</w:t>
            </w:r>
            <w:r>
              <w:rPr>
                <w:rFonts w:hint="eastAsia" w:ascii="宋体" w:hAnsi="宋体"/>
                <w:color w:val="auto"/>
              </w:rPr>
              <w:t>/h P=40MPa N=355kW），配套新建2台喂水泵（Q=60m</w:t>
            </w:r>
            <w:r>
              <w:rPr>
                <w:rFonts w:hint="eastAsia" w:ascii="宋体" w:hAnsi="宋体"/>
                <w:color w:val="auto"/>
                <w:vertAlign w:val="superscript"/>
              </w:rPr>
              <w:t>3</w:t>
            </w:r>
            <w:r>
              <w:rPr>
                <w:rFonts w:hint="eastAsia" w:ascii="宋体" w:hAnsi="宋体"/>
                <w:color w:val="auto"/>
              </w:rPr>
              <w:t>/h H=32m N=11kW）；对站内腐蚀严重的2台回注喂水泵（Q=25m</w:t>
            </w:r>
            <w:r>
              <w:rPr>
                <w:rFonts w:hint="eastAsia" w:ascii="宋体" w:hAnsi="宋体"/>
                <w:color w:val="auto"/>
                <w:vertAlign w:val="superscript"/>
              </w:rPr>
              <w:t>3</w:t>
            </w:r>
            <w:r>
              <w:rPr>
                <w:rFonts w:hint="eastAsia" w:ascii="宋体" w:hAnsi="宋体"/>
                <w:color w:val="auto"/>
              </w:rPr>
              <w:t>/h H=32m N=4kW）更换；新建加药装置1座（混凝剂）；配套站内电力系统和房屋改造维修</w:t>
            </w:r>
          </w:p>
        </w:tc>
        <w:tc>
          <w:tcPr>
            <w:tcW w:w="1031" w:type="pct"/>
            <w:shd w:val="clear" w:color="auto" w:fill="auto"/>
            <w:vAlign w:val="center"/>
          </w:tcPr>
          <w:p w14:paraId="0D43A5D8">
            <w:pPr>
              <w:adjustRightInd w:val="0"/>
              <w:snapToGrid w:val="0"/>
              <w:jc w:val="center"/>
              <w:rPr>
                <w:rFonts w:ascii="宋体" w:hAnsi="宋体" w:cs="宋体"/>
                <w:color w:val="auto"/>
              </w:rPr>
            </w:pPr>
            <w:r>
              <w:rPr>
                <w:rFonts w:hint="eastAsia" w:ascii="宋体" w:hAnsi="宋体"/>
                <w:color w:val="auto"/>
              </w:rPr>
              <w:t>未投产</w:t>
            </w:r>
          </w:p>
        </w:tc>
        <w:tc>
          <w:tcPr>
            <w:tcW w:w="834" w:type="pct"/>
            <w:shd w:val="clear" w:color="auto" w:fill="auto"/>
            <w:vAlign w:val="center"/>
          </w:tcPr>
          <w:p w14:paraId="4D405C38">
            <w:pPr>
              <w:adjustRightInd w:val="0"/>
              <w:snapToGrid w:val="0"/>
              <w:jc w:val="center"/>
              <w:rPr>
                <w:rFonts w:ascii="宋体" w:hAnsi="宋体" w:cs="宋体"/>
                <w:color w:val="auto"/>
              </w:rPr>
            </w:pPr>
            <w:r>
              <w:rPr>
                <w:rFonts w:hint="eastAsia" w:ascii="宋体" w:hAnsi="宋体"/>
                <w:color w:val="auto"/>
              </w:rPr>
              <w:t>纳入后期验收</w:t>
            </w:r>
          </w:p>
        </w:tc>
        <w:tc>
          <w:tcPr>
            <w:tcW w:w="666" w:type="pct"/>
            <w:shd w:val="clear" w:color="auto" w:fill="auto"/>
            <w:vAlign w:val="center"/>
          </w:tcPr>
          <w:p w14:paraId="77D2BF8E">
            <w:pPr>
              <w:adjustRightInd w:val="0"/>
              <w:snapToGrid w:val="0"/>
              <w:jc w:val="center"/>
              <w:rPr>
                <w:rFonts w:ascii="宋体" w:hAnsi="宋体"/>
                <w:color w:val="auto"/>
              </w:rPr>
            </w:pPr>
            <w:r>
              <w:rPr>
                <w:rFonts w:hint="eastAsia" w:ascii="宋体" w:hAnsi="宋体"/>
                <w:color w:val="auto"/>
              </w:rPr>
              <w:t>分期建设，纳入后期验收</w:t>
            </w:r>
          </w:p>
        </w:tc>
      </w:tr>
      <w:tr w14:paraId="3C4A8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restart"/>
            <w:shd w:val="clear" w:color="auto" w:fill="auto"/>
            <w:vAlign w:val="center"/>
          </w:tcPr>
          <w:p w14:paraId="0FCAAB60">
            <w:pPr>
              <w:adjustRightInd w:val="0"/>
              <w:snapToGrid w:val="0"/>
              <w:jc w:val="center"/>
              <w:rPr>
                <w:rFonts w:ascii="宋体" w:hAnsi="宋体" w:cs="宋体"/>
                <w:color w:val="auto"/>
              </w:rPr>
            </w:pPr>
            <w:r>
              <w:rPr>
                <w:rFonts w:hint="eastAsia" w:ascii="宋体" w:hAnsi="宋体" w:cs="宋体"/>
                <w:color w:val="auto"/>
              </w:rPr>
              <w:t>油气集输系统</w:t>
            </w:r>
          </w:p>
        </w:tc>
        <w:tc>
          <w:tcPr>
            <w:tcW w:w="610" w:type="pct"/>
            <w:gridSpan w:val="2"/>
            <w:shd w:val="clear" w:color="auto" w:fill="auto"/>
            <w:vAlign w:val="center"/>
          </w:tcPr>
          <w:p w14:paraId="0B9B1F93">
            <w:pPr>
              <w:adjustRightInd w:val="0"/>
              <w:snapToGrid w:val="0"/>
              <w:jc w:val="center"/>
              <w:rPr>
                <w:rFonts w:ascii="宋体" w:hAnsi="宋体"/>
                <w:color w:val="auto"/>
              </w:rPr>
            </w:pPr>
            <w:r>
              <w:rPr>
                <w:rFonts w:hint="eastAsia" w:ascii="宋体" w:hAnsi="宋体"/>
                <w:color w:val="auto"/>
              </w:rPr>
              <w:t>油井井口装置</w:t>
            </w:r>
          </w:p>
        </w:tc>
        <w:tc>
          <w:tcPr>
            <w:tcW w:w="1371" w:type="pct"/>
            <w:shd w:val="clear" w:color="auto" w:fill="auto"/>
            <w:vAlign w:val="center"/>
          </w:tcPr>
          <w:p w14:paraId="14FBBB94">
            <w:pPr>
              <w:adjustRightInd w:val="0"/>
              <w:snapToGrid w:val="0"/>
              <w:jc w:val="center"/>
              <w:rPr>
                <w:rFonts w:ascii="宋体" w:hAnsi="宋体"/>
                <w:color w:val="auto"/>
              </w:rPr>
            </w:pPr>
            <w:r>
              <w:rPr>
                <w:rFonts w:hint="eastAsia" w:ascii="宋体" w:hAnsi="宋体"/>
                <w:color w:val="auto"/>
              </w:rPr>
              <w:t>新建油井井口装置107套</w:t>
            </w:r>
          </w:p>
        </w:tc>
        <w:tc>
          <w:tcPr>
            <w:tcW w:w="1031" w:type="pct"/>
            <w:shd w:val="clear" w:color="auto" w:fill="auto"/>
            <w:vAlign w:val="center"/>
          </w:tcPr>
          <w:p w14:paraId="77935BF4">
            <w:pPr>
              <w:adjustRightInd w:val="0"/>
              <w:snapToGrid w:val="0"/>
              <w:jc w:val="center"/>
              <w:rPr>
                <w:rFonts w:ascii="宋体" w:hAnsi="宋体"/>
                <w:color w:val="auto"/>
              </w:rPr>
            </w:pPr>
            <w:r>
              <w:rPr>
                <w:rFonts w:hint="eastAsia" w:ascii="宋体" w:hAnsi="宋体"/>
                <w:color w:val="auto"/>
              </w:rPr>
              <w:t>新建油井井口装置</w:t>
            </w:r>
            <w:r>
              <w:rPr>
                <w:rFonts w:ascii="宋体" w:hAnsi="宋体"/>
                <w:color w:val="auto"/>
              </w:rPr>
              <w:t>16</w:t>
            </w:r>
            <w:r>
              <w:rPr>
                <w:rFonts w:hint="eastAsia" w:ascii="宋体" w:hAnsi="宋体"/>
                <w:color w:val="auto"/>
              </w:rPr>
              <w:t>套</w:t>
            </w:r>
          </w:p>
        </w:tc>
        <w:tc>
          <w:tcPr>
            <w:tcW w:w="834" w:type="pct"/>
            <w:shd w:val="clear" w:color="auto" w:fill="auto"/>
            <w:vAlign w:val="center"/>
          </w:tcPr>
          <w:p w14:paraId="4368A0BC">
            <w:pPr>
              <w:adjustRightInd w:val="0"/>
              <w:snapToGrid w:val="0"/>
              <w:jc w:val="center"/>
              <w:rPr>
                <w:rFonts w:ascii="宋体" w:hAnsi="宋体"/>
                <w:color w:val="auto"/>
              </w:rPr>
            </w:pPr>
            <w:r>
              <w:rPr>
                <w:rFonts w:hint="eastAsia" w:ascii="宋体" w:hAnsi="宋体"/>
                <w:color w:val="auto"/>
              </w:rPr>
              <w:t>数量减少9</w:t>
            </w:r>
            <w:r>
              <w:rPr>
                <w:rFonts w:ascii="宋体" w:hAnsi="宋体"/>
                <w:color w:val="auto"/>
              </w:rPr>
              <w:t>1</w:t>
            </w:r>
            <w:r>
              <w:rPr>
                <w:rFonts w:hint="eastAsia" w:ascii="宋体" w:hAnsi="宋体"/>
                <w:color w:val="auto"/>
              </w:rPr>
              <w:t>套</w:t>
            </w:r>
          </w:p>
        </w:tc>
        <w:tc>
          <w:tcPr>
            <w:tcW w:w="666" w:type="pct"/>
            <w:shd w:val="clear" w:color="auto" w:fill="auto"/>
            <w:vAlign w:val="center"/>
          </w:tcPr>
          <w:p w14:paraId="0D453D05">
            <w:pPr>
              <w:adjustRightInd w:val="0"/>
              <w:snapToGrid w:val="0"/>
              <w:jc w:val="center"/>
              <w:rPr>
                <w:rFonts w:ascii="宋体" w:hAnsi="宋体"/>
                <w:color w:val="auto"/>
              </w:rPr>
            </w:pPr>
            <w:r>
              <w:rPr>
                <w:rFonts w:hint="eastAsia" w:ascii="宋体" w:hAnsi="宋体" w:cs="宋体"/>
                <w:color w:val="auto"/>
              </w:rPr>
              <w:t>分期建设，油井数量建设比环评阶段少</w:t>
            </w:r>
          </w:p>
        </w:tc>
      </w:tr>
      <w:tr w14:paraId="6058F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6ED02FB0">
            <w:pPr>
              <w:adjustRightInd w:val="0"/>
              <w:snapToGrid w:val="0"/>
              <w:jc w:val="center"/>
              <w:rPr>
                <w:rFonts w:ascii="宋体" w:hAnsi="宋体" w:cs="宋体"/>
                <w:color w:val="auto"/>
              </w:rPr>
            </w:pPr>
          </w:p>
        </w:tc>
        <w:tc>
          <w:tcPr>
            <w:tcW w:w="610" w:type="pct"/>
            <w:gridSpan w:val="2"/>
            <w:shd w:val="clear" w:color="auto" w:fill="auto"/>
            <w:vAlign w:val="center"/>
          </w:tcPr>
          <w:p w14:paraId="65EF8E04">
            <w:pPr>
              <w:adjustRightInd w:val="0"/>
              <w:snapToGrid w:val="0"/>
              <w:jc w:val="center"/>
              <w:rPr>
                <w:rFonts w:ascii="宋体" w:hAnsi="宋体"/>
                <w:color w:val="auto"/>
              </w:rPr>
            </w:pPr>
            <w:r>
              <w:rPr>
                <w:rFonts w:hint="eastAsia" w:ascii="宋体" w:hAnsi="宋体"/>
                <w:color w:val="auto"/>
              </w:rPr>
              <w:t>加热炉</w:t>
            </w:r>
          </w:p>
        </w:tc>
        <w:tc>
          <w:tcPr>
            <w:tcW w:w="1371" w:type="pct"/>
            <w:shd w:val="clear" w:color="auto" w:fill="auto"/>
            <w:vAlign w:val="center"/>
          </w:tcPr>
          <w:p w14:paraId="323437B1">
            <w:pPr>
              <w:pStyle w:val="81"/>
              <w:rPr>
                <w:rFonts w:hAnsi="宋体"/>
                <w:color w:val="auto"/>
              </w:rPr>
            </w:pPr>
            <w:r>
              <w:rPr>
                <w:rFonts w:hint="eastAsia" w:hAnsi="宋体"/>
                <w:color w:val="auto"/>
              </w:rPr>
              <w:t>滚动开发工程新建150kW水套加热炉7台，配备低氮燃烧器</w:t>
            </w:r>
          </w:p>
          <w:p w14:paraId="5A04D196">
            <w:pPr>
              <w:pStyle w:val="81"/>
              <w:rPr>
                <w:rFonts w:hAnsi="宋体"/>
                <w:color w:val="auto"/>
              </w:rPr>
            </w:pPr>
            <w:r>
              <w:rPr>
                <w:rFonts w:hint="eastAsia" w:hAnsi="宋体"/>
                <w:color w:val="auto"/>
              </w:rPr>
              <w:t>高青管理区地面系统优化建设工程更换800kW加热炉1台，配备低氮燃烧器</w:t>
            </w:r>
          </w:p>
          <w:p w14:paraId="05B4EE81">
            <w:pPr>
              <w:adjustRightInd w:val="0"/>
              <w:snapToGrid w:val="0"/>
              <w:jc w:val="center"/>
              <w:rPr>
                <w:rFonts w:ascii="宋体" w:hAnsi="宋体"/>
                <w:color w:val="auto"/>
              </w:rPr>
            </w:pPr>
            <w:r>
              <w:rPr>
                <w:rFonts w:hint="eastAsia" w:ascii="宋体" w:hAnsi="宋体"/>
                <w:color w:val="auto"/>
              </w:rPr>
              <w:t>滨博北区地面系统优化建设工程新建1000kW加热炉1台，配备低氮燃烧器</w:t>
            </w:r>
          </w:p>
        </w:tc>
        <w:tc>
          <w:tcPr>
            <w:tcW w:w="1031" w:type="pct"/>
            <w:shd w:val="clear" w:color="auto" w:fill="auto"/>
            <w:vAlign w:val="center"/>
          </w:tcPr>
          <w:p w14:paraId="09638901">
            <w:pPr>
              <w:pStyle w:val="81"/>
              <w:rPr>
                <w:rFonts w:hAnsi="宋体"/>
                <w:color w:val="auto"/>
              </w:rPr>
            </w:pPr>
            <w:r>
              <w:rPr>
                <w:rFonts w:hAnsi="宋体"/>
                <w:color w:val="auto"/>
              </w:rPr>
              <w:fldChar w:fldCharType="begin"/>
            </w:r>
            <w:r>
              <w:rPr>
                <w:rFonts w:hAnsi="宋体"/>
                <w:color w:val="auto"/>
              </w:rPr>
              <w:instrText xml:space="preserve"> </w:instrText>
            </w:r>
            <w:r>
              <w:rPr>
                <w:rFonts w:hint="eastAsia" w:hAnsi="宋体"/>
                <w:color w:val="auto"/>
              </w:rPr>
              <w:instrText xml:space="preserve">= 1 \* GB3</w:instrText>
            </w:r>
            <w:r>
              <w:rPr>
                <w:rFonts w:hAnsi="宋体"/>
                <w:color w:val="auto"/>
              </w:rPr>
              <w:instrText xml:space="preserve"> </w:instrText>
            </w:r>
            <w:r>
              <w:rPr>
                <w:rFonts w:hAnsi="宋体"/>
                <w:color w:val="auto"/>
              </w:rPr>
              <w:fldChar w:fldCharType="separate"/>
            </w:r>
            <w:r>
              <w:rPr>
                <w:rFonts w:hint="eastAsia" w:hAnsi="宋体"/>
                <w:color w:val="auto"/>
              </w:rPr>
              <w:t>①</w:t>
            </w:r>
            <w:r>
              <w:rPr>
                <w:rFonts w:hAnsi="宋体"/>
                <w:color w:val="auto"/>
              </w:rPr>
              <w:fldChar w:fldCharType="end"/>
            </w:r>
            <w:r>
              <w:rPr>
                <w:rFonts w:hint="eastAsia" w:hAnsi="宋体"/>
                <w:color w:val="auto"/>
              </w:rPr>
              <w:t>滚动开发工程新建150kW水套加热炉</w:t>
            </w:r>
            <w:r>
              <w:rPr>
                <w:rFonts w:hAnsi="宋体"/>
                <w:color w:val="auto"/>
              </w:rPr>
              <w:t>2</w:t>
            </w:r>
            <w:r>
              <w:rPr>
                <w:rFonts w:hint="eastAsia" w:hAnsi="宋体"/>
                <w:color w:val="auto"/>
              </w:rPr>
              <w:t>台，1</w:t>
            </w:r>
            <w:r>
              <w:rPr>
                <w:rFonts w:hAnsi="宋体"/>
                <w:color w:val="auto"/>
              </w:rPr>
              <w:t>00</w:t>
            </w:r>
            <w:r>
              <w:rPr>
                <w:rFonts w:hint="eastAsia" w:hAnsi="宋体"/>
                <w:color w:val="auto"/>
              </w:rPr>
              <w:t>kW加热炉</w:t>
            </w:r>
            <w:r>
              <w:rPr>
                <w:rFonts w:hAnsi="宋体"/>
                <w:color w:val="auto"/>
              </w:rPr>
              <w:t>1</w:t>
            </w:r>
            <w:r>
              <w:rPr>
                <w:rFonts w:hint="eastAsia" w:hAnsi="宋体"/>
                <w:color w:val="auto"/>
              </w:rPr>
              <w:t>台，配备低氮燃烧器；8</w:t>
            </w:r>
            <w:r>
              <w:rPr>
                <w:rFonts w:hAnsi="宋体"/>
                <w:color w:val="auto"/>
              </w:rPr>
              <w:t>0</w:t>
            </w:r>
            <w:r>
              <w:rPr>
                <w:rFonts w:hint="eastAsia" w:hAnsi="宋体"/>
                <w:color w:val="auto"/>
              </w:rPr>
              <w:t xml:space="preserve"> 水套加热炉kW</w:t>
            </w:r>
            <w:r>
              <w:rPr>
                <w:rFonts w:hAnsi="宋体"/>
                <w:color w:val="auto"/>
              </w:rPr>
              <w:t>1</w:t>
            </w:r>
            <w:r>
              <w:rPr>
                <w:rFonts w:hint="eastAsia" w:hAnsi="宋体"/>
                <w:color w:val="auto"/>
              </w:rPr>
              <w:t>台，配备低氮燃烧器</w:t>
            </w:r>
          </w:p>
          <w:p w14:paraId="4F592D29">
            <w:pPr>
              <w:pStyle w:val="81"/>
              <w:rPr>
                <w:rFonts w:hAnsi="宋体"/>
                <w:color w:val="auto"/>
              </w:rPr>
            </w:pPr>
            <w:r>
              <w:rPr>
                <w:rFonts w:hAnsi="宋体"/>
                <w:color w:val="auto"/>
              </w:rPr>
              <w:fldChar w:fldCharType="begin"/>
            </w:r>
            <w:r>
              <w:rPr>
                <w:rFonts w:hAnsi="宋体"/>
                <w:color w:val="auto"/>
              </w:rPr>
              <w:instrText xml:space="preserve"> </w:instrText>
            </w:r>
            <w:r>
              <w:rPr>
                <w:rFonts w:hint="eastAsia" w:hAnsi="宋体"/>
                <w:color w:val="auto"/>
              </w:rPr>
              <w:instrText xml:space="preserve">= 2 \* GB3</w:instrText>
            </w:r>
            <w:r>
              <w:rPr>
                <w:rFonts w:hAnsi="宋体"/>
                <w:color w:val="auto"/>
              </w:rPr>
              <w:instrText xml:space="preserve"> </w:instrText>
            </w:r>
            <w:r>
              <w:rPr>
                <w:rFonts w:hAnsi="宋体"/>
                <w:color w:val="auto"/>
              </w:rPr>
              <w:fldChar w:fldCharType="separate"/>
            </w:r>
            <w:r>
              <w:rPr>
                <w:rFonts w:hint="eastAsia" w:hAnsi="宋体"/>
                <w:color w:val="auto"/>
              </w:rPr>
              <w:t>②</w:t>
            </w:r>
            <w:r>
              <w:rPr>
                <w:rFonts w:hAnsi="宋体"/>
                <w:color w:val="auto"/>
              </w:rPr>
              <w:fldChar w:fldCharType="end"/>
            </w:r>
            <w:r>
              <w:rPr>
                <w:rFonts w:hint="eastAsia" w:hAnsi="宋体"/>
                <w:color w:val="auto"/>
              </w:rPr>
              <w:t>高青管理区地面系统优化建设工程拆除800kW加热炉</w:t>
            </w:r>
            <w:r>
              <w:rPr>
                <w:rFonts w:hAnsi="宋体"/>
                <w:color w:val="auto"/>
              </w:rPr>
              <w:t>2</w:t>
            </w:r>
            <w:r>
              <w:rPr>
                <w:rFonts w:hint="eastAsia" w:hAnsi="宋体"/>
                <w:color w:val="auto"/>
              </w:rPr>
              <w:t>台，替换为</w:t>
            </w:r>
            <w:r>
              <w:rPr>
                <w:rFonts w:hAnsi="宋体"/>
                <w:color w:val="auto"/>
              </w:rPr>
              <w:t>2500kW</w:t>
            </w:r>
            <w:r>
              <w:rPr>
                <w:rFonts w:hint="eastAsia" w:hAnsi="宋体"/>
                <w:color w:val="auto"/>
              </w:rPr>
              <w:t>加热炉1台；配备低氮燃烧器</w:t>
            </w:r>
          </w:p>
          <w:p w14:paraId="758568B2">
            <w:pPr>
              <w:adjustRightInd w:val="0"/>
              <w:snapToGrid w:val="0"/>
              <w:jc w:val="center"/>
              <w:rPr>
                <w:rFonts w:ascii="宋体" w:hAnsi="宋体"/>
                <w:color w:val="auto"/>
              </w:rPr>
            </w:pPr>
            <w:r>
              <w:rPr>
                <w:rFonts w:hint="eastAsia" w:ascii="宋体" w:hAnsi="宋体"/>
                <w:color w:val="auto"/>
              </w:rPr>
              <w:t>共新建加热炉5台，拆除2台，总功率新增1</w:t>
            </w:r>
            <w:r>
              <w:rPr>
                <w:rFonts w:ascii="宋体" w:hAnsi="宋体"/>
                <w:color w:val="auto"/>
              </w:rPr>
              <w:t>380kW</w:t>
            </w:r>
          </w:p>
        </w:tc>
        <w:tc>
          <w:tcPr>
            <w:tcW w:w="834" w:type="pct"/>
            <w:shd w:val="clear" w:color="auto" w:fill="auto"/>
            <w:vAlign w:val="center"/>
          </w:tcPr>
          <w:p w14:paraId="16678C76">
            <w:pPr>
              <w:adjustRightInd w:val="0"/>
              <w:snapToGrid w:val="0"/>
              <w:jc w:val="center"/>
              <w:rPr>
                <w:rFonts w:ascii="宋体" w:hAnsi="宋体"/>
                <w:color w:val="auto"/>
              </w:rPr>
            </w:pPr>
            <w:r>
              <w:rPr>
                <w:rFonts w:hint="eastAsia" w:ascii="宋体" w:hAnsi="宋体"/>
                <w:color w:val="auto"/>
              </w:rPr>
              <w:t>燃气加热炉台数减少3台，功率减少6</w:t>
            </w:r>
            <w:r>
              <w:rPr>
                <w:rFonts w:ascii="宋体" w:hAnsi="宋体"/>
                <w:color w:val="auto"/>
              </w:rPr>
              <w:t>70kW</w:t>
            </w:r>
            <w:r>
              <w:rPr>
                <w:rFonts w:hint="eastAsia" w:ascii="宋体" w:hAnsi="宋体"/>
                <w:color w:val="auto"/>
              </w:rPr>
              <w:t>；滨博北区地面系统优化建设工程未投产，纳入后期验收</w:t>
            </w:r>
          </w:p>
        </w:tc>
        <w:tc>
          <w:tcPr>
            <w:tcW w:w="666" w:type="pct"/>
            <w:shd w:val="clear" w:color="auto" w:fill="auto"/>
            <w:vAlign w:val="center"/>
          </w:tcPr>
          <w:p w14:paraId="7836D893">
            <w:pPr>
              <w:adjustRightInd w:val="0"/>
              <w:snapToGrid w:val="0"/>
              <w:jc w:val="center"/>
              <w:rPr>
                <w:rFonts w:ascii="宋体" w:hAnsi="宋体"/>
                <w:color w:val="auto"/>
              </w:rPr>
            </w:pPr>
            <w:r>
              <w:rPr>
                <w:rFonts w:hint="eastAsia" w:ascii="宋体" w:hAnsi="宋体" w:cs="宋体"/>
                <w:color w:val="auto"/>
              </w:rPr>
              <w:t>分期建设，油井数量建设比环评阶段少；高青联合站内原2台8</w:t>
            </w:r>
            <w:r>
              <w:rPr>
                <w:rFonts w:ascii="宋体" w:hAnsi="宋体" w:cs="宋体"/>
                <w:color w:val="auto"/>
              </w:rPr>
              <w:t>00kW</w:t>
            </w:r>
            <w:r>
              <w:rPr>
                <w:rFonts w:hint="eastAsia" w:ascii="宋体" w:hAnsi="宋体" w:cs="宋体"/>
                <w:color w:val="auto"/>
              </w:rPr>
              <w:t>加热炉热效率低，为提高生产效率，</w:t>
            </w:r>
            <w:r>
              <w:rPr>
                <w:rFonts w:hint="eastAsia" w:ascii="宋体" w:hAnsi="宋体"/>
                <w:color w:val="auto"/>
              </w:rPr>
              <w:t>将2台800kW加热炉一并拆除，更换为1台2</w:t>
            </w:r>
            <w:r>
              <w:rPr>
                <w:rFonts w:ascii="宋体" w:hAnsi="宋体"/>
                <w:color w:val="auto"/>
              </w:rPr>
              <w:t>500kW</w:t>
            </w:r>
            <w:r>
              <w:rPr>
                <w:rFonts w:hint="eastAsia" w:ascii="宋体" w:hAnsi="宋体"/>
                <w:color w:val="auto"/>
              </w:rPr>
              <w:t>加热炉</w:t>
            </w:r>
          </w:p>
        </w:tc>
      </w:tr>
      <w:tr w14:paraId="0D269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4A5C24F1">
            <w:pPr>
              <w:adjustRightInd w:val="0"/>
              <w:snapToGrid w:val="0"/>
              <w:jc w:val="center"/>
              <w:rPr>
                <w:rFonts w:ascii="宋体" w:hAnsi="宋体" w:cs="宋体"/>
                <w:color w:val="auto"/>
              </w:rPr>
            </w:pPr>
          </w:p>
        </w:tc>
        <w:tc>
          <w:tcPr>
            <w:tcW w:w="610" w:type="pct"/>
            <w:gridSpan w:val="2"/>
            <w:shd w:val="clear" w:color="auto" w:fill="auto"/>
            <w:vAlign w:val="center"/>
          </w:tcPr>
          <w:p w14:paraId="26B96AD0">
            <w:pPr>
              <w:adjustRightInd w:val="0"/>
              <w:snapToGrid w:val="0"/>
              <w:jc w:val="center"/>
              <w:rPr>
                <w:rFonts w:ascii="宋体" w:hAnsi="宋体"/>
                <w:color w:val="auto"/>
              </w:rPr>
            </w:pPr>
            <w:r>
              <w:rPr>
                <w:rFonts w:hint="eastAsia" w:ascii="宋体" w:hAnsi="宋体"/>
                <w:color w:val="auto"/>
              </w:rPr>
              <w:t>井场加药装置</w:t>
            </w:r>
          </w:p>
        </w:tc>
        <w:tc>
          <w:tcPr>
            <w:tcW w:w="1371" w:type="pct"/>
            <w:shd w:val="clear" w:color="auto" w:fill="auto"/>
            <w:vAlign w:val="center"/>
          </w:tcPr>
          <w:p w14:paraId="23A1229C">
            <w:pPr>
              <w:adjustRightInd w:val="0"/>
              <w:snapToGrid w:val="0"/>
              <w:jc w:val="center"/>
              <w:rPr>
                <w:rFonts w:ascii="宋体" w:hAnsi="宋体"/>
                <w:color w:val="auto"/>
              </w:rPr>
            </w:pPr>
            <w:r>
              <w:rPr>
                <w:rFonts w:hint="eastAsia" w:ascii="宋体" w:hAnsi="宋体"/>
                <w:color w:val="auto"/>
                <w:kern w:val="0"/>
              </w:rPr>
              <w:t>井场加药装置4套</w:t>
            </w:r>
          </w:p>
        </w:tc>
        <w:tc>
          <w:tcPr>
            <w:tcW w:w="1031" w:type="pct"/>
            <w:shd w:val="clear" w:color="auto" w:fill="auto"/>
            <w:vAlign w:val="center"/>
          </w:tcPr>
          <w:p w14:paraId="01DDC5D3">
            <w:pPr>
              <w:adjustRightInd w:val="0"/>
              <w:snapToGrid w:val="0"/>
              <w:jc w:val="center"/>
              <w:rPr>
                <w:rFonts w:ascii="宋体" w:hAnsi="宋体"/>
                <w:color w:val="auto"/>
              </w:rPr>
            </w:pPr>
            <w:r>
              <w:rPr>
                <w:rFonts w:hint="eastAsia" w:ascii="宋体" w:hAnsi="宋体"/>
                <w:color w:val="auto"/>
                <w:kern w:val="0"/>
              </w:rPr>
              <w:t>井场加药装置</w:t>
            </w:r>
            <w:r>
              <w:rPr>
                <w:rFonts w:ascii="宋体" w:hAnsi="宋体"/>
                <w:color w:val="auto"/>
                <w:kern w:val="0"/>
              </w:rPr>
              <w:t>2</w:t>
            </w:r>
            <w:r>
              <w:rPr>
                <w:rFonts w:hint="eastAsia" w:ascii="宋体" w:hAnsi="宋体"/>
                <w:color w:val="auto"/>
                <w:kern w:val="0"/>
              </w:rPr>
              <w:t>套</w:t>
            </w:r>
          </w:p>
        </w:tc>
        <w:tc>
          <w:tcPr>
            <w:tcW w:w="834" w:type="pct"/>
            <w:shd w:val="clear" w:color="auto" w:fill="auto"/>
            <w:vAlign w:val="center"/>
          </w:tcPr>
          <w:p w14:paraId="2AC8FE49">
            <w:pPr>
              <w:adjustRightInd w:val="0"/>
              <w:snapToGrid w:val="0"/>
              <w:jc w:val="center"/>
              <w:rPr>
                <w:rFonts w:ascii="宋体" w:hAnsi="宋体"/>
                <w:color w:val="auto"/>
              </w:rPr>
            </w:pPr>
            <w:r>
              <w:rPr>
                <w:rFonts w:hint="eastAsia" w:ascii="宋体" w:hAnsi="宋体"/>
                <w:color w:val="auto"/>
                <w:kern w:val="0"/>
              </w:rPr>
              <w:t>井场加药装置减少</w:t>
            </w:r>
            <w:r>
              <w:rPr>
                <w:rFonts w:ascii="宋体" w:hAnsi="宋体"/>
                <w:color w:val="auto"/>
                <w:kern w:val="0"/>
              </w:rPr>
              <w:t>2</w:t>
            </w:r>
            <w:r>
              <w:rPr>
                <w:rFonts w:hint="eastAsia" w:ascii="宋体" w:hAnsi="宋体"/>
                <w:color w:val="auto"/>
                <w:kern w:val="0"/>
              </w:rPr>
              <w:t>套</w:t>
            </w:r>
          </w:p>
        </w:tc>
        <w:tc>
          <w:tcPr>
            <w:tcW w:w="666" w:type="pct"/>
            <w:shd w:val="clear" w:color="auto" w:fill="auto"/>
            <w:vAlign w:val="center"/>
          </w:tcPr>
          <w:p w14:paraId="00E7A590">
            <w:pPr>
              <w:adjustRightInd w:val="0"/>
              <w:snapToGrid w:val="0"/>
              <w:jc w:val="center"/>
              <w:rPr>
                <w:rFonts w:ascii="宋体" w:hAnsi="宋体"/>
                <w:color w:val="auto"/>
              </w:rPr>
            </w:pPr>
            <w:r>
              <w:rPr>
                <w:rFonts w:hint="eastAsia" w:ascii="宋体" w:hAnsi="宋体" w:cs="宋体"/>
                <w:color w:val="auto"/>
              </w:rPr>
              <w:t>分期建设</w:t>
            </w:r>
          </w:p>
        </w:tc>
      </w:tr>
      <w:tr w14:paraId="0D004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376A7652">
            <w:pPr>
              <w:adjustRightInd w:val="0"/>
              <w:snapToGrid w:val="0"/>
              <w:jc w:val="center"/>
              <w:rPr>
                <w:rFonts w:ascii="宋体" w:hAnsi="宋体" w:cs="宋体"/>
                <w:color w:val="auto"/>
              </w:rPr>
            </w:pPr>
          </w:p>
        </w:tc>
        <w:tc>
          <w:tcPr>
            <w:tcW w:w="610" w:type="pct"/>
            <w:gridSpan w:val="2"/>
            <w:shd w:val="clear" w:color="auto" w:fill="auto"/>
            <w:vAlign w:val="center"/>
          </w:tcPr>
          <w:p w14:paraId="6A9D0BDF">
            <w:pPr>
              <w:adjustRightInd w:val="0"/>
              <w:snapToGrid w:val="0"/>
              <w:jc w:val="center"/>
              <w:rPr>
                <w:rFonts w:ascii="宋体" w:hAnsi="宋体"/>
                <w:color w:val="auto"/>
              </w:rPr>
            </w:pPr>
            <w:r>
              <w:rPr>
                <w:rFonts w:hint="eastAsia" w:ascii="宋体" w:hAnsi="宋体"/>
                <w:color w:val="auto"/>
              </w:rPr>
              <w:t>天然气分气包</w:t>
            </w:r>
          </w:p>
        </w:tc>
        <w:tc>
          <w:tcPr>
            <w:tcW w:w="1371" w:type="pct"/>
            <w:shd w:val="clear" w:color="auto" w:fill="auto"/>
            <w:vAlign w:val="center"/>
          </w:tcPr>
          <w:p w14:paraId="722CB53D">
            <w:pPr>
              <w:adjustRightInd w:val="0"/>
              <w:snapToGrid w:val="0"/>
              <w:jc w:val="center"/>
              <w:rPr>
                <w:rFonts w:ascii="宋体" w:hAnsi="宋体"/>
                <w:color w:val="auto"/>
              </w:rPr>
            </w:pPr>
            <w:r>
              <w:rPr>
                <w:rFonts w:hint="eastAsia" w:ascii="宋体" w:hAnsi="宋体"/>
                <w:color w:val="auto"/>
                <w:kern w:val="0"/>
              </w:rPr>
              <w:t>4套，550Nm</w:t>
            </w:r>
            <w:r>
              <w:rPr>
                <w:rFonts w:hint="eastAsia" w:ascii="宋体" w:hAnsi="宋体"/>
                <w:color w:val="auto"/>
                <w:kern w:val="0"/>
                <w:vertAlign w:val="superscript"/>
              </w:rPr>
              <w:t>3</w:t>
            </w:r>
            <w:r>
              <w:rPr>
                <w:rFonts w:hint="eastAsia" w:ascii="宋体" w:hAnsi="宋体"/>
                <w:color w:val="auto"/>
                <w:kern w:val="0"/>
              </w:rPr>
              <w:t>/h</w:t>
            </w:r>
          </w:p>
        </w:tc>
        <w:tc>
          <w:tcPr>
            <w:tcW w:w="1031" w:type="pct"/>
            <w:shd w:val="clear" w:color="auto" w:fill="auto"/>
            <w:vAlign w:val="center"/>
          </w:tcPr>
          <w:p w14:paraId="162F46D5">
            <w:pPr>
              <w:adjustRightInd w:val="0"/>
              <w:snapToGrid w:val="0"/>
              <w:jc w:val="center"/>
              <w:rPr>
                <w:rFonts w:ascii="宋体" w:hAnsi="宋体"/>
                <w:color w:val="auto"/>
              </w:rPr>
            </w:pPr>
            <w:r>
              <w:rPr>
                <w:rFonts w:hint="eastAsia" w:ascii="宋体" w:hAnsi="宋体"/>
                <w:color w:val="auto"/>
              </w:rPr>
              <w:t>0套</w:t>
            </w:r>
          </w:p>
        </w:tc>
        <w:tc>
          <w:tcPr>
            <w:tcW w:w="834" w:type="pct"/>
            <w:shd w:val="clear" w:color="auto" w:fill="auto"/>
            <w:vAlign w:val="center"/>
          </w:tcPr>
          <w:p w14:paraId="75DDCFF6">
            <w:pPr>
              <w:adjustRightInd w:val="0"/>
              <w:snapToGrid w:val="0"/>
              <w:jc w:val="center"/>
              <w:rPr>
                <w:rFonts w:ascii="宋体" w:hAnsi="宋体"/>
                <w:color w:val="auto"/>
              </w:rPr>
            </w:pPr>
            <w:r>
              <w:rPr>
                <w:rFonts w:hint="eastAsia" w:ascii="宋体" w:hAnsi="宋体"/>
                <w:color w:val="auto"/>
              </w:rPr>
              <w:t>减少4套</w:t>
            </w:r>
          </w:p>
        </w:tc>
        <w:tc>
          <w:tcPr>
            <w:tcW w:w="666" w:type="pct"/>
            <w:shd w:val="clear" w:color="auto" w:fill="auto"/>
            <w:vAlign w:val="center"/>
          </w:tcPr>
          <w:p w14:paraId="44790407">
            <w:pPr>
              <w:adjustRightInd w:val="0"/>
              <w:snapToGrid w:val="0"/>
              <w:jc w:val="center"/>
              <w:rPr>
                <w:rFonts w:ascii="宋体" w:hAnsi="宋体"/>
                <w:color w:val="auto"/>
              </w:rPr>
            </w:pPr>
            <w:r>
              <w:rPr>
                <w:rFonts w:hint="eastAsia" w:ascii="宋体" w:hAnsi="宋体" w:cs="宋体"/>
                <w:color w:val="auto"/>
              </w:rPr>
              <w:t>分期建设</w:t>
            </w:r>
          </w:p>
        </w:tc>
      </w:tr>
      <w:tr w14:paraId="27E1D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6248733D">
            <w:pPr>
              <w:adjustRightInd w:val="0"/>
              <w:snapToGrid w:val="0"/>
              <w:jc w:val="center"/>
              <w:rPr>
                <w:rFonts w:ascii="宋体" w:hAnsi="宋体" w:cs="宋体"/>
                <w:color w:val="auto"/>
              </w:rPr>
            </w:pPr>
          </w:p>
        </w:tc>
        <w:tc>
          <w:tcPr>
            <w:tcW w:w="610" w:type="pct"/>
            <w:gridSpan w:val="2"/>
            <w:shd w:val="clear" w:color="auto" w:fill="auto"/>
            <w:vAlign w:val="center"/>
          </w:tcPr>
          <w:p w14:paraId="3AC103B2">
            <w:pPr>
              <w:adjustRightInd w:val="0"/>
              <w:snapToGrid w:val="0"/>
              <w:jc w:val="center"/>
              <w:rPr>
                <w:rFonts w:ascii="宋体" w:hAnsi="宋体"/>
                <w:color w:val="auto"/>
              </w:rPr>
            </w:pPr>
            <w:r>
              <w:rPr>
                <w:rFonts w:hint="eastAsia" w:ascii="宋体" w:hAnsi="宋体"/>
                <w:color w:val="auto"/>
              </w:rPr>
              <w:t>天然气干燥器</w:t>
            </w:r>
          </w:p>
        </w:tc>
        <w:tc>
          <w:tcPr>
            <w:tcW w:w="1371" w:type="pct"/>
            <w:shd w:val="clear" w:color="auto" w:fill="auto"/>
            <w:vAlign w:val="center"/>
          </w:tcPr>
          <w:p w14:paraId="3EEC8B60">
            <w:pPr>
              <w:adjustRightInd w:val="0"/>
              <w:snapToGrid w:val="0"/>
              <w:jc w:val="center"/>
              <w:rPr>
                <w:rFonts w:ascii="宋体" w:hAnsi="宋体"/>
                <w:color w:val="auto"/>
              </w:rPr>
            </w:pPr>
            <w:r>
              <w:rPr>
                <w:rFonts w:hint="eastAsia" w:ascii="宋体" w:hAnsi="宋体"/>
                <w:color w:val="auto"/>
                <w:kern w:val="0"/>
              </w:rPr>
              <w:t>4套，Φ600×2290mm</w:t>
            </w:r>
          </w:p>
        </w:tc>
        <w:tc>
          <w:tcPr>
            <w:tcW w:w="1031" w:type="pct"/>
            <w:shd w:val="clear" w:color="auto" w:fill="auto"/>
            <w:vAlign w:val="center"/>
          </w:tcPr>
          <w:p w14:paraId="41CC6163">
            <w:pPr>
              <w:adjustRightInd w:val="0"/>
              <w:snapToGrid w:val="0"/>
              <w:jc w:val="center"/>
              <w:rPr>
                <w:rFonts w:ascii="宋体" w:hAnsi="宋体"/>
                <w:color w:val="auto"/>
              </w:rPr>
            </w:pPr>
            <w:r>
              <w:rPr>
                <w:rFonts w:ascii="宋体" w:hAnsi="宋体"/>
                <w:color w:val="auto"/>
              </w:rPr>
              <w:t>2</w:t>
            </w:r>
            <w:r>
              <w:rPr>
                <w:rFonts w:hint="eastAsia" w:ascii="宋体" w:hAnsi="宋体"/>
                <w:color w:val="auto"/>
              </w:rPr>
              <w:t>套</w:t>
            </w:r>
          </w:p>
        </w:tc>
        <w:tc>
          <w:tcPr>
            <w:tcW w:w="834" w:type="pct"/>
            <w:shd w:val="clear" w:color="auto" w:fill="auto"/>
            <w:vAlign w:val="center"/>
          </w:tcPr>
          <w:p w14:paraId="009AEFD9">
            <w:pPr>
              <w:adjustRightInd w:val="0"/>
              <w:snapToGrid w:val="0"/>
              <w:jc w:val="center"/>
              <w:rPr>
                <w:rFonts w:ascii="宋体" w:hAnsi="宋体"/>
                <w:color w:val="auto"/>
              </w:rPr>
            </w:pPr>
            <w:r>
              <w:rPr>
                <w:rFonts w:hint="eastAsia" w:ascii="宋体" w:hAnsi="宋体"/>
                <w:color w:val="auto"/>
              </w:rPr>
              <w:t>减少</w:t>
            </w:r>
            <w:r>
              <w:rPr>
                <w:rFonts w:ascii="宋体" w:hAnsi="宋体"/>
                <w:color w:val="auto"/>
              </w:rPr>
              <w:t>2</w:t>
            </w:r>
            <w:r>
              <w:rPr>
                <w:rFonts w:hint="eastAsia" w:ascii="宋体" w:hAnsi="宋体"/>
                <w:color w:val="auto"/>
              </w:rPr>
              <w:t>套</w:t>
            </w:r>
          </w:p>
        </w:tc>
        <w:tc>
          <w:tcPr>
            <w:tcW w:w="666" w:type="pct"/>
            <w:shd w:val="clear" w:color="auto" w:fill="auto"/>
            <w:vAlign w:val="center"/>
          </w:tcPr>
          <w:p w14:paraId="44F0A257">
            <w:pPr>
              <w:adjustRightInd w:val="0"/>
              <w:snapToGrid w:val="0"/>
              <w:jc w:val="center"/>
              <w:rPr>
                <w:rFonts w:ascii="宋体" w:hAnsi="宋体"/>
                <w:color w:val="auto"/>
              </w:rPr>
            </w:pPr>
            <w:r>
              <w:rPr>
                <w:rFonts w:hint="eastAsia" w:ascii="宋体" w:hAnsi="宋体" w:cs="宋体"/>
                <w:color w:val="auto"/>
              </w:rPr>
              <w:t>分期建设</w:t>
            </w:r>
          </w:p>
        </w:tc>
      </w:tr>
      <w:tr w14:paraId="0E3FC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326484F3">
            <w:pPr>
              <w:adjustRightInd w:val="0"/>
              <w:snapToGrid w:val="0"/>
              <w:jc w:val="center"/>
              <w:rPr>
                <w:rFonts w:ascii="宋体" w:hAnsi="宋体" w:cs="宋体"/>
                <w:color w:val="auto"/>
              </w:rPr>
            </w:pPr>
          </w:p>
        </w:tc>
        <w:tc>
          <w:tcPr>
            <w:tcW w:w="610" w:type="pct"/>
            <w:gridSpan w:val="2"/>
            <w:shd w:val="clear" w:color="auto" w:fill="auto"/>
            <w:vAlign w:val="center"/>
          </w:tcPr>
          <w:p w14:paraId="50DF1D60">
            <w:pPr>
              <w:adjustRightInd w:val="0"/>
              <w:snapToGrid w:val="0"/>
              <w:jc w:val="center"/>
              <w:rPr>
                <w:rFonts w:ascii="宋体" w:hAnsi="宋体"/>
                <w:color w:val="auto"/>
              </w:rPr>
            </w:pPr>
            <w:r>
              <w:rPr>
                <w:rFonts w:hint="eastAsia" w:ascii="宋体" w:hAnsi="宋体"/>
                <w:color w:val="auto"/>
              </w:rPr>
              <w:t>计量装置橇</w:t>
            </w:r>
          </w:p>
        </w:tc>
        <w:tc>
          <w:tcPr>
            <w:tcW w:w="1371" w:type="pct"/>
            <w:shd w:val="clear" w:color="auto" w:fill="auto"/>
            <w:vAlign w:val="center"/>
          </w:tcPr>
          <w:p w14:paraId="3344D5F8">
            <w:pPr>
              <w:adjustRightInd w:val="0"/>
              <w:snapToGrid w:val="0"/>
              <w:jc w:val="center"/>
              <w:rPr>
                <w:rFonts w:ascii="宋体" w:hAnsi="宋体"/>
                <w:color w:val="auto"/>
              </w:rPr>
            </w:pPr>
            <w:r>
              <w:rPr>
                <w:rFonts w:hint="eastAsia" w:ascii="宋体" w:hAnsi="宋体"/>
                <w:color w:val="auto"/>
                <w:kern w:val="0"/>
              </w:rPr>
              <w:t>2套，2.65×2.00m</w:t>
            </w:r>
          </w:p>
        </w:tc>
        <w:tc>
          <w:tcPr>
            <w:tcW w:w="1031" w:type="pct"/>
            <w:shd w:val="clear" w:color="auto" w:fill="auto"/>
            <w:vAlign w:val="center"/>
          </w:tcPr>
          <w:p w14:paraId="738DF0F1">
            <w:pPr>
              <w:adjustRightInd w:val="0"/>
              <w:snapToGrid w:val="0"/>
              <w:jc w:val="center"/>
              <w:rPr>
                <w:rFonts w:ascii="宋体" w:hAnsi="宋体"/>
                <w:color w:val="auto"/>
              </w:rPr>
            </w:pPr>
            <w:r>
              <w:rPr>
                <w:rFonts w:hint="eastAsia" w:ascii="宋体" w:hAnsi="宋体"/>
                <w:color w:val="auto"/>
              </w:rPr>
              <w:t>1套</w:t>
            </w:r>
          </w:p>
        </w:tc>
        <w:tc>
          <w:tcPr>
            <w:tcW w:w="834" w:type="pct"/>
            <w:shd w:val="clear" w:color="auto" w:fill="auto"/>
            <w:vAlign w:val="center"/>
          </w:tcPr>
          <w:p w14:paraId="43AC25A6">
            <w:pPr>
              <w:adjustRightInd w:val="0"/>
              <w:snapToGrid w:val="0"/>
              <w:jc w:val="center"/>
              <w:rPr>
                <w:rFonts w:ascii="宋体" w:hAnsi="宋体"/>
                <w:color w:val="auto"/>
              </w:rPr>
            </w:pPr>
            <w:r>
              <w:rPr>
                <w:rFonts w:hint="eastAsia" w:ascii="宋体" w:hAnsi="宋体"/>
                <w:color w:val="auto"/>
              </w:rPr>
              <w:t>减少1套</w:t>
            </w:r>
          </w:p>
        </w:tc>
        <w:tc>
          <w:tcPr>
            <w:tcW w:w="666" w:type="pct"/>
            <w:shd w:val="clear" w:color="auto" w:fill="auto"/>
            <w:vAlign w:val="center"/>
          </w:tcPr>
          <w:p w14:paraId="099A6C2E">
            <w:pPr>
              <w:adjustRightInd w:val="0"/>
              <w:snapToGrid w:val="0"/>
              <w:jc w:val="center"/>
              <w:rPr>
                <w:rFonts w:ascii="宋体" w:hAnsi="宋体"/>
                <w:color w:val="auto"/>
              </w:rPr>
            </w:pPr>
            <w:r>
              <w:rPr>
                <w:rFonts w:hint="eastAsia" w:ascii="宋体" w:hAnsi="宋体" w:cs="宋体"/>
                <w:color w:val="auto"/>
              </w:rPr>
              <w:t>分期建设</w:t>
            </w:r>
          </w:p>
        </w:tc>
      </w:tr>
      <w:tr w14:paraId="6DCAD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08BFEDFF">
            <w:pPr>
              <w:adjustRightInd w:val="0"/>
              <w:snapToGrid w:val="0"/>
              <w:jc w:val="center"/>
              <w:rPr>
                <w:rFonts w:ascii="宋体" w:hAnsi="宋体" w:cs="宋体"/>
                <w:color w:val="auto"/>
              </w:rPr>
            </w:pPr>
          </w:p>
        </w:tc>
        <w:tc>
          <w:tcPr>
            <w:tcW w:w="610" w:type="pct"/>
            <w:gridSpan w:val="2"/>
            <w:shd w:val="clear" w:color="auto" w:fill="auto"/>
            <w:vAlign w:val="center"/>
          </w:tcPr>
          <w:p w14:paraId="5625D186">
            <w:pPr>
              <w:adjustRightInd w:val="0"/>
              <w:snapToGrid w:val="0"/>
              <w:jc w:val="center"/>
              <w:rPr>
                <w:rFonts w:ascii="宋体" w:hAnsi="宋体"/>
                <w:color w:val="auto"/>
              </w:rPr>
            </w:pPr>
            <w:r>
              <w:rPr>
                <w:rFonts w:hint="eastAsia" w:ascii="宋体" w:hAnsi="宋体"/>
                <w:color w:val="auto"/>
              </w:rPr>
              <w:t>集油阀组</w:t>
            </w:r>
          </w:p>
        </w:tc>
        <w:tc>
          <w:tcPr>
            <w:tcW w:w="1371" w:type="pct"/>
            <w:shd w:val="clear" w:color="auto" w:fill="auto"/>
            <w:vAlign w:val="center"/>
          </w:tcPr>
          <w:p w14:paraId="3A7F2D01">
            <w:pPr>
              <w:adjustRightInd w:val="0"/>
              <w:snapToGrid w:val="0"/>
              <w:jc w:val="center"/>
              <w:rPr>
                <w:rFonts w:ascii="宋体" w:hAnsi="宋体"/>
                <w:color w:val="auto"/>
              </w:rPr>
            </w:pPr>
            <w:r>
              <w:rPr>
                <w:rFonts w:hint="eastAsia" w:ascii="宋体" w:hAnsi="宋体"/>
                <w:color w:val="auto"/>
                <w:kern w:val="0"/>
              </w:rPr>
              <w:t>6套</w:t>
            </w:r>
          </w:p>
        </w:tc>
        <w:tc>
          <w:tcPr>
            <w:tcW w:w="1031" w:type="pct"/>
            <w:shd w:val="clear" w:color="auto" w:fill="auto"/>
            <w:vAlign w:val="center"/>
          </w:tcPr>
          <w:p w14:paraId="3EF0AB89">
            <w:pPr>
              <w:adjustRightInd w:val="0"/>
              <w:snapToGrid w:val="0"/>
              <w:jc w:val="center"/>
              <w:rPr>
                <w:rFonts w:ascii="宋体" w:hAnsi="宋体"/>
                <w:color w:val="auto"/>
              </w:rPr>
            </w:pPr>
            <w:r>
              <w:rPr>
                <w:rFonts w:hint="eastAsia" w:ascii="宋体" w:hAnsi="宋体"/>
                <w:color w:val="auto"/>
              </w:rPr>
              <w:t>2套</w:t>
            </w:r>
          </w:p>
        </w:tc>
        <w:tc>
          <w:tcPr>
            <w:tcW w:w="834" w:type="pct"/>
            <w:shd w:val="clear" w:color="auto" w:fill="auto"/>
            <w:vAlign w:val="center"/>
          </w:tcPr>
          <w:p w14:paraId="4329255D">
            <w:pPr>
              <w:adjustRightInd w:val="0"/>
              <w:snapToGrid w:val="0"/>
              <w:jc w:val="center"/>
              <w:rPr>
                <w:rFonts w:ascii="宋体" w:hAnsi="宋体"/>
                <w:color w:val="auto"/>
              </w:rPr>
            </w:pPr>
            <w:r>
              <w:rPr>
                <w:rFonts w:hint="eastAsia" w:ascii="宋体" w:hAnsi="宋体"/>
                <w:color w:val="auto"/>
              </w:rPr>
              <w:t>减少</w:t>
            </w:r>
            <w:r>
              <w:rPr>
                <w:rFonts w:ascii="宋体" w:hAnsi="宋体"/>
                <w:color w:val="auto"/>
              </w:rPr>
              <w:t>4</w:t>
            </w:r>
            <w:r>
              <w:rPr>
                <w:rFonts w:hint="eastAsia" w:ascii="宋体" w:hAnsi="宋体"/>
                <w:color w:val="auto"/>
              </w:rPr>
              <w:t>套</w:t>
            </w:r>
          </w:p>
        </w:tc>
        <w:tc>
          <w:tcPr>
            <w:tcW w:w="666" w:type="pct"/>
            <w:shd w:val="clear" w:color="auto" w:fill="auto"/>
            <w:vAlign w:val="center"/>
          </w:tcPr>
          <w:p w14:paraId="7C6A56D2">
            <w:pPr>
              <w:adjustRightInd w:val="0"/>
              <w:snapToGrid w:val="0"/>
              <w:jc w:val="center"/>
              <w:rPr>
                <w:rFonts w:ascii="宋体" w:hAnsi="宋体"/>
                <w:color w:val="auto"/>
              </w:rPr>
            </w:pPr>
            <w:r>
              <w:rPr>
                <w:rFonts w:hint="eastAsia" w:ascii="宋体" w:hAnsi="宋体" w:cs="宋体"/>
                <w:color w:val="auto"/>
              </w:rPr>
              <w:t>分期建设</w:t>
            </w:r>
          </w:p>
        </w:tc>
      </w:tr>
      <w:tr w14:paraId="3FEA5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3DA1B777">
            <w:pPr>
              <w:adjustRightInd w:val="0"/>
              <w:snapToGrid w:val="0"/>
              <w:jc w:val="center"/>
              <w:rPr>
                <w:rFonts w:ascii="宋体" w:hAnsi="宋体" w:cs="宋体"/>
                <w:color w:val="auto"/>
              </w:rPr>
            </w:pPr>
          </w:p>
        </w:tc>
        <w:tc>
          <w:tcPr>
            <w:tcW w:w="610" w:type="pct"/>
            <w:gridSpan w:val="2"/>
            <w:shd w:val="clear" w:color="auto" w:fill="auto"/>
            <w:vAlign w:val="center"/>
          </w:tcPr>
          <w:p w14:paraId="3D29BDFB">
            <w:pPr>
              <w:adjustRightInd w:val="0"/>
              <w:snapToGrid w:val="0"/>
              <w:jc w:val="center"/>
              <w:rPr>
                <w:rFonts w:ascii="宋体" w:hAnsi="宋体"/>
                <w:color w:val="auto"/>
              </w:rPr>
            </w:pPr>
            <w:r>
              <w:rPr>
                <w:rFonts w:hint="eastAsia" w:ascii="宋体" w:hAnsi="宋体"/>
                <w:color w:val="auto"/>
              </w:rPr>
              <w:t>三相分离器橇</w:t>
            </w:r>
          </w:p>
        </w:tc>
        <w:tc>
          <w:tcPr>
            <w:tcW w:w="1371" w:type="pct"/>
            <w:shd w:val="clear" w:color="auto" w:fill="auto"/>
            <w:vAlign w:val="center"/>
          </w:tcPr>
          <w:p w14:paraId="302AD63B">
            <w:pPr>
              <w:adjustRightInd w:val="0"/>
              <w:snapToGrid w:val="0"/>
              <w:jc w:val="center"/>
              <w:rPr>
                <w:rFonts w:ascii="宋体" w:hAnsi="宋体"/>
                <w:color w:val="auto"/>
              </w:rPr>
            </w:pPr>
            <w:r>
              <w:rPr>
                <w:rFonts w:hint="eastAsia" w:ascii="宋体" w:hAnsi="宋体"/>
                <w:color w:val="auto"/>
                <w:kern w:val="0"/>
              </w:rPr>
              <w:t>3套，Φ2.4×10.7m  Pw2.5MPa</w:t>
            </w:r>
          </w:p>
        </w:tc>
        <w:tc>
          <w:tcPr>
            <w:tcW w:w="1031" w:type="pct"/>
            <w:shd w:val="clear" w:color="auto" w:fill="auto"/>
            <w:vAlign w:val="center"/>
          </w:tcPr>
          <w:p w14:paraId="14B28152">
            <w:pPr>
              <w:adjustRightInd w:val="0"/>
              <w:snapToGrid w:val="0"/>
              <w:jc w:val="center"/>
              <w:rPr>
                <w:rFonts w:ascii="宋体" w:hAnsi="宋体"/>
                <w:color w:val="auto"/>
              </w:rPr>
            </w:pPr>
            <w:r>
              <w:rPr>
                <w:rFonts w:ascii="宋体" w:hAnsi="宋体"/>
                <w:color w:val="auto"/>
              </w:rPr>
              <w:t>2</w:t>
            </w:r>
            <w:r>
              <w:rPr>
                <w:rFonts w:hint="eastAsia" w:ascii="宋体" w:hAnsi="宋体"/>
                <w:color w:val="auto"/>
              </w:rPr>
              <w:t>套</w:t>
            </w:r>
          </w:p>
        </w:tc>
        <w:tc>
          <w:tcPr>
            <w:tcW w:w="834" w:type="pct"/>
            <w:shd w:val="clear" w:color="auto" w:fill="auto"/>
            <w:vAlign w:val="center"/>
          </w:tcPr>
          <w:p w14:paraId="0E225EC1">
            <w:pPr>
              <w:adjustRightInd w:val="0"/>
              <w:snapToGrid w:val="0"/>
              <w:jc w:val="center"/>
              <w:rPr>
                <w:rFonts w:ascii="宋体" w:hAnsi="宋体"/>
                <w:color w:val="auto"/>
              </w:rPr>
            </w:pPr>
            <w:r>
              <w:rPr>
                <w:rFonts w:hint="eastAsia" w:ascii="宋体" w:hAnsi="宋体"/>
                <w:color w:val="auto"/>
              </w:rPr>
              <w:t>减少</w:t>
            </w:r>
            <w:r>
              <w:rPr>
                <w:rFonts w:ascii="宋体" w:hAnsi="宋体"/>
                <w:color w:val="auto"/>
              </w:rPr>
              <w:t>1</w:t>
            </w:r>
            <w:r>
              <w:rPr>
                <w:rFonts w:hint="eastAsia" w:ascii="宋体" w:hAnsi="宋体"/>
                <w:color w:val="auto"/>
              </w:rPr>
              <w:t>套</w:t>
            </w:r>
          </w:p>
        </w:tc>
        <w:tc>
          <w:tcPr>
            <w:tcW w:w="666" w:type="pct"/>
            <w:shd w:val="clear" w:color="auto" w:fill="auto"/>
            <w:vAlign w:val="center"/>
          </w:tcPr>
          <w:p w14:paraId="657997BA">
            <w:pPr>
              <w:adjustRightInd w:val="0"/>
              <w:snapToGrid w:val="0"/>
              <w:jc w:val="center"/>
              <w:rPr>
                <w:rFonts w:ascii="宋体" w:hAnsi="宋体"/>
                <w:color w:val="auto"/>
              </w:rPr>
            </w:pPr>
            <w:r>
              <w:rPr>
                <w:rFonts w:hint="eastAsia" w:ascii="宋体" w:hAnsi="宋体" w:cs="宋体"/>
                <w:color w:val="auto"/>
              </w:rPr>
              <w:t>分期建设</w:t>
            </w:r>
          </w:p>
        </w:tc>
      </w:tr>
      <w:tr w14:paraId="7F430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2F14D36A">
            <w:pPr>
              <w:adjustRightInd w:val="0"/>
              <w:snapToGrid w:val="0"/>
              <w:jc w:val="center"/>
              <w:rPr>
                <w:rFonts w:ascii="宋体" w:hAnsi="宋体" w:cs="宋体"/>
                <w:color w:val="auto"/>
              </w:rPr>
            </w:pPr>
          </w:p>
        </w:tc>
        <w:tc>
          <w:tcPr>
            <w:tcW w:w="610" w:type="pct"/>
            <w:gridSpan w:val="2"/>
            <w:shd w:val="clear" w:color="auto" w:fill="auto"/>
            <w:vAlign w:val="center"/>
          </w:tcPr>
          <w:p w14:paraId="466A182F">
            <w:pPr>
              <w:adjustRightInd w:val="0"/>
              <w:snapToGrid w:val="0"/>
              <w:jc w:val="center"/>
              <w:rPr>
                <w:rFonts w:ascii="宋体" w:hAnsi="宋体"/>
                <w:color w:val="auto"/>
              </w:rPr>
            </w:pPr>
            <w:r>
              <w:rPr>
                <w:rFonts w:hint="eastAsia" w:ascii="宋体" w:hAnsi="宋体"/>
                <w:color w:val="auto"/>
              </w:rPr>
              <w:t>多功能罐</w:t>
            </w:r>
          </w:p>
        </w:tc>
        <w:tc>
          <w:tcPr>
            <w:tcW w:w="1371" w:type="pct"/>
            <w:shd w:val="clear" w:color="auto" w:fill="auto"/>
            <w:vAlign w:val="center"/>
          </w:tcPr>
          <w:p w14:paraId="2A677071">
            <w:pPr>
              <w:adjustRightInd w:val="0"/>
              <w:snapToGrid w:val="0"/>
              <w:jc w:val="center"/>
              <w:rPr>
                <w:rFonts w:ascii="宋体" w:hAnsi="宋体"/>
                <w:color w:val="auto"/>
              </w:rPr>
            </w:pPr>
            <w:r>
              <w:rPr>
                <w:rFonts w:hint="eastAsia" w:ascii="宋体" w:hAnsi="宋体"/>
                <w:color w:val="auto"/>
              </w:rPr>
              <w:t>新建多功能罐23座燃气多功能罐，配备低氮燃烧器</w:t>
            </w:r>
          </w:p>
        </w:tc>
        <w:tc>
          <w:tcPr>
            <w:tcW w:w="1031" w:type="pct"/>
            <w:shd w:val="clear" w:color="auto" w:fill="auto"/>
            <w:vAlign w:val="center"/>
          </w:tcPr>
          <w:p w14:paraId="174BBAE4">
            <w:pPr>
              <w:adjustRightInd w:val="0"/>
              <w:snapToGrid w:val="0"/>
              <w:jc w:val="center"/>
              <w:rPr>
                <w:rFonts w:ascii="宋体" w:hAnsi="宋体"/>
                <w:color w:val="auto"/>
              </w:rPr>
            </w:pPr>
            <w:r>
              <w:rPr>
                <w:rFonts w:hint="eastAsia" w:ascii="宋体" w:hAnsi="宋体"/>
                <w:color w:val="auto"/>
              </w:rPr>
              <w:t>新建多功能罐</w:t>
            </w:r>
            <w:r>
              <w:rPr>
                <w:rFonts w:ascii="宋体" w:hAnsi="宋体"/>
                <w:color w:val="auto"/>
              </w:rPr>
              <w:t>9</w:t>
            </w:r>
            <w:r>
              <w:rPr>
                <w:rFonts w:hint="eastAsia" w:ascii="宋体" w:hAnsi="宋体"/>
                <w:color w:val="auto"/>
              </w:rPr>
              <w:t>座，电加热</w:t>
            </w:r>
          </w:p>
        </w:tc>
        <w:tc>
          <w:tcPr>
            <w:tcW w:w="834" w:type="pct"/>
            <w:shd w:val="clear" w:color="auto" w:fill="auto"/>
            <w:vAlign w:val="center"/>
          </w:tcPr>
          <w:p w14:paraId="5BD87106">
            <w:pPr>
              <w:adjustRightInd w:val="0"/>
              <w:snapToGrid w:val="0"/>
              <w:jc w:val="center"/>
              <w:rPr>
                <w:rFonts w:ascii="宋体" w:hAnsi="宋体"/>
                <w:color w:val="auto"/>
              </w:rPr>
            </w:pPr>
            <w:r>
              <w:rPr>
                <w:rFonts w:hint="eastAsia" w:ascii="宋体" w:hAnsi="宋体"/>
                <w:color w:val="auto"/>
              </w:rPr>
              <w:t>减少</w:t>
            </w:r>
            <w:r>
              <w:rPr>
                <w:rFonts w:ascii="宋体" w:hAnsi="宋体"/>
                <w:color w:val="auto"/>
              </w:rPr>
              <w:t>14</w:t>
            </w:r>
            <w:r>
              <w:rPr>
                <w:rFonts w:hint="eastAsia" w:ascii="宋体" w:hAnsi="宋体"/>
                <w:color w:val="auto"/>
              </w:rPr>
              <w:t>座</w:t>
            </w:r>
          </w:p>
        </w:tc>
        <w:tc>
          <w:tcPr>
            <w:tcW w:w="666" w:type="pct"/>
            <w:shd w:val="clear" w:color="auto" w:fill="auto"/>
            <w:vAlign w:val="center"/>
          </w:tcPr>
          <w:p w14:paraId="35F0190A">
            <w:pPr>
              <w:adjustRightInd w:val="0"/>
              <w:snapToGrid w:val="0"/>
              <w:jc w:val="center"/>
              <w:rPr>
                <w:rFonts w:ascii="宋体" w:hAnsi="宋体"/>
                <w:color w:val="auto"/>
              </w:rPr>
            </w:pPr>
            <w:r>
              <w:rPr>
                <w:rFonts w:hint="eastAsia" w:ascii="宋体" w:hAnsi="宋体" w:cs="宋体"/>
                <w:color w:val="auto"/>
              </w:rPr>
              <w:t>分期建设</w:t>
            </w:r>
          </w:p>
        </w:tc>
      </w:tr>
      <w:tr w14:paraId="587C0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5D84697E">
            <w:pPr>
              <w:adjustRightInd w:val="0"/>
              <w:snapToGrid w:val="0"/>
              <w:jc w:val="center"/>
              <w:rPr>
                <w:rFonts w:ascii="宋体" w:hAnsi="宋体" w:cs="宋体"/>
                <w:color w:val="auto"/>
              </w:rPr>
            </w:pPr>
          </w:p>
        </w:tc>
        <w:tc>
          <w:tcPr>
            <w:tcW w:w="610" w:type="pct"/>
            <w:gridSpan w:val="2"/>
            <w:shd w:val="clear" w:color="auto" w:fill="auto"/>
            <w:vAlign w:val="center"/>
          </w:tcPr>
          <w:p w14:paraId="7519C25F">
            <w:pPr>
              <w:adjustRightInd w:val="0"/>
              <w:snapToGrid w:val="0"/>
              <w:jc w:val="center"/>
              <w:rPr>
                <w:rFonts w:ascii="宋体" w:hAnsi="宋体"/>
                <w:color w:val="auto"/>
              </w:rPr>
            </w:pPr>
            <w:r>
              <w:rPr>
                <w:rFonts w:hint="eastAsia" w:ascii="宋体" w:hAnsi="宋体"/>
                <w:color w:val="auto"/>
              </w:rPr>
              <w:t>缓冲水罐</w:t>
            </w:r>
          </w:p>
        </w:tc>
        <w:tc>
          <w:tcPr>
            <w:tcW w:w="1371" w:type="pct"/>
            <w:shd w:val="clear" w:color="auto" w:fill="auto"/>
            <w:vAlign w:val="center"/>
          </w:tcPr>
          <w:p w14:paraId="487ACAD8">
            <w:pPr>
              <w:adjustRightInd w:val="0"/>
              <w:snapToGrid w:val="0"/>
              <w:jc w:val="center"/>
              <w:rPr>
                <w:rFonts w:ascii="宋体" w:hAnsi="宋体"/>
                <w:color w:val="auto"/>
              </w:rPr>
            </w:pPr>
            <w:r>
              <w:rPr>
                <w:rFonts w:hint="eastAsia" w:ascii="宋体" w:hAnsi="宋体"/>
                <w:color w:val="auto"/>
              </w:rPr>
              <w:t>新建2台缓冲水罐</w:t>
            </w:r>
          </w:p>
        </w:tc>
        <w:tc>
          <w:tcPr>
            <w:tcW w:w="1031" w:type="pct"/>
            <w:shd w:val="clear" w:color="auto" w:fill="auto"/>
            <w:vAlign w:val="center"/>
          </w:tcPr>
          <w:p w14:paraId="33877070">
            <w:pPr>
              <w:adjustRightInd w:val="0"/>
              <w:snapToGrid w:val="0"/>
              <w:jc w:val="center"/>
              <w:rPr>
                <w:rFonts w:ascii="宋体" w:hAnsi="宋体"/>
                <w:color w:val="auto"/>
              </w:rPr>
            </w:pPr>
            <w:r>
              <w:rPr>
                <w:rFonts w:hint="eastAsia" w:ascii="宋体" w:hAnsi="宋体"/>
                <w:color w:val="auto"/>
              </w:rPr>
              <w:t>0套</w:t>
            </w:r>
          </w:p>
        </w:tc>
        <w:tc>
          <w:tcPr>
            <w:tcW w:w="834" w:type="pct"/>
            <w:shd w:val="clear" w:color="auto" w:fill="auto"/>
            <w:vAlign w:val="center"/>
          </w:tcPr>
          <w:p w14:paraId="5FA6F97E">
            <w:pPr>
              <w:adjustRightInd w:val="0"/>
              <w:snapToGrid w:val="0"/>
              <w:jc w:val="center"/>
              <w:rPr>
                <w:rFonts w:ascii="宋体" w:hAnsi="宋体"/>
                <w:color w:val="auto"/>
              </w:rPr>
            </w:pPr>
            <w:r>
              <w:rPr>
                <w:rFonts w:hint="eastAsia" w:ascii="宋体" w:hAnsi="宋体"/>
                <w:color w:val="auto"/>
              </w:rPr>
              <w:t>减少2台</w:t>
            </w:r>
          </w:p>
        </w:tc>
        <w:tc>
          <w:tcPr>
            <w:tcW w:w="666" w:type="pct"/>
            <w:shd w:val="clear" w:color="auto" w:fill="auto"/>
            <w:vAlign w:val="center"/>
          </w:tcPr>
          <w:p w14:paraId="5329EA14">
            <w:pPr>
              <w:adjustRightInd w:val="0"/>
              <w:snapToGrid w:val="0"/>
              <w:jc w:val="center"/>
              <w:rPr>
                <w:rFonts w:ascii="宋体" w:hAnsi="宋体"/>
                <w:color w:val="auto"/>
              </w:rPr>
            </w:pPr>
            <w:r>
              <w:rPr>
                <w:rFonts w:hint="eastAsia" w:ascii="宋体" w:hAnsi="宋体" w:cs="宋体"/>
                <w:color w:val="auto"/>
              </w:rPr>
              <w:t>分期建设</w:t>
            </w:r>
          </w:p>
        </w:tc>
      </w:tr>
      <w:tr w14:paraId="76D69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68381C9A">
            <w:pPr>
              <w:adjustRightInd w:val="0"/>
              <w:snapToGrid w:val="0"/>
              <w:jc w:val="center"/>
              <w:rPr>
                <w:rFonts w:ascii="宋体" w:hAnsi="宋体" w:cs="宋体"/>
                <w:color w:val="auto"/>
              </w:rPr>
            </w:pPr>
          </w:p>
        </w:tc>
        <w:tc>
          <w:tcPr>
            <w:tcW w:w="610" w:type="pct"/>
            <w:gridSpan w:val="2"/>
            <w:shd w:val="clear" w:color="auto" w:fill="auto"/>
            <w:vAlign w:val="center"/>
          </w:tcPr>
          <w:p w14:paraId="1B4B5318">
            <w:pPr>
              <w:adjustRightInd w:val="0"/>
              <w:snapToGrid w:val="0"/>
              <w:jc w:val="center"/>
              <w:rPr>
                <w:rFonts w:ascii="宋体" w:hAnsi="宋体"/>
                <w:color w:val="auto"/>
              </w:rPr>
            </w:pPr>
            <w:r>
              <w:rPr>
                <w:rFonts w:hint="eastAsia" w:ascii="宋体" w:hAnsi="宋体"/>
                <w:color w:val="auto"/>
              </w:rPr>
              <w:t>空气源热泵加热系统</w:t>
            </w:r>
          </w:p>
        </w:tc>
        <w:tc>
          <w:tcPr>
            <w:tcW w:w="1371" w:type="pct"/>
            <w:shd w:val="clear" w:color="auto" w:fill="auto"/>
            <w:vAlign w:val="center"/>
          </w:tcPr>
          <w:p w14:paraId="75484DE8">
            <w:pPr>
              <w:pStyle w:val="81"/>
              <w:rPr>
                <w:rFonts w:hAnsi="宋体"/>
                <w:color w:val="auto"/>
              </w:rPr>
            </w:pPr>
            <w:r>
              <w:rPr>
                <w:rFonts w:hint="eastAsia" w:hAnsi="宋体"/>
                <w:color w:val="auto"/>
              </w:rPr>
              <w:t>滚动开发工程新建空气源热泵加热系统18座</w:t>
            </w:r>
          </w:p>
          <w:p w14:paraId="3DB047C8">
            <w:pPr>
              <w:adjustRightInd w:val="0"/>
              <w:snapToGrid w:val="0"/>
              <w:jc w:val="center"/>
              <w:rPr>
                <w:rFonts w:ascii="宋体" w:hAnsi="宋体"/>
                <w:color w:val="auto"/>
              </w:rPr>
            </w:pPr>
            <w:r>
              <w:rPr>
                <w:rFonts w:hint="eastAsia" w:ascii="宋体" w:hAnsi="宋体"/>
                <w:color w:val="auto"/>
              </w:rPr>
              <w:t>滨博北区地面系统优化建设工程新建空气源热泵加热系统9座</w:t>
            </w:r>
          </w:p>
        </w:tc>
        <w:tc>
          <w:tcPr>
            <w:tcW w:w="1031" w:type="pct"/>
            <w:shd w:val="clear" w:color="auto" w:fill="auto"/>
            <w:vAlign w:val="center"/>
          </w:tcPr>
          <w:p w14:paraId="49633AAA">
            <w:pPr>
              <w:adjustRightInd w:val="0"/>
              <w:snapToGrid w:val="0"/>
              <w:jc w:val="center"/>
              <w:rPr>
                <w:rFonts w:ascii="宋体" w:hAnsi="宋体"/>
                <w:color w:val="auto"/>
              </w:rPr>
            </w:pPr>
            <w:r>
              <w:rPr>
                <w:rFonts w:hint="eastAsia" w:ascii="宋体" w:hAnsi="宋体"/>
                <w:color w:val="auto"/>
              </w:rPr>
              <w:t>本期工程未建设</w:t>
            </w:r>
          </w:p>
        </w:tc>
        <w:tc>
          <w:tcPr>
            <w:tcW w:w="834" w:type="pct"/>
            <w:shd w:val="clear" w:color="auto" w:fill="auto"/>
            <w:vAlign w:val="center"/>
          </w:tcPr>
          <w:p w14:paraId="68672232">
            <w:pPr>
              <w:adjustRightInd w:val="0"/>
              <w:snapToGrid w:val="0"/>
              <w:jc w:val="center"/>
              <w:rPr>
                <w:rFonts w:ascii="宋体" w:hAnsi="宋体"/>
                <w:color w:val="auto"/>
              </w:rPr>
            </w:pPr>
            <w:r>
              <w:rPr>
                <w:rFonts w:hint="eastAsia" w:ascii="宋体" w:hAnsi="宋体"/>
                <w:color w:val="auto"/>
              </w:rPr>
              <w:t>本期工程未建设</w:t>
            </w:r>
          </w:p>
        </w:tc>
        <w:tc>
          <w:tcPr>
            <w:tcW w:w="666" w:type="pct"/>
            <w:shd w:val="clear" w:color="auto" w:fill="auto"/>
            <w:vAlign w:val="center"/>
          </w:tcPr>
          <w:p w14:paraId="3FFC9C89">
            <w:pPr>
              <w:adjustRightInd w:val="0"/>
              <w:snapToGrid w:val="0"/>
              <w:jc w:val="center"/>
              <w:rPr>
                <w:rFonts w:ascii="宋体" w:hAnsi="宋体"/>
                <w:color w:val="auto"/>
              </w:rPr>
            </w:pPr>
            <w:r>
              <w:rPr>
                <w:rFonts w:hint="eastAsia" w:ascii="宋体" w:hAnsi="宋体" w:cs="宋体"/>
                <w:color w:val="auto"/>
              </w:rPr>
              <w:t>分期建设</w:t>
            </w:r>
          </w:p>
        </w:tc>
      </w:tr>
      <w:tr w14:paraId="59A65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66084459">
            <w:pPr>
              <w:adjustRightInd w:val="0"/>
              <w:snapToGrid w:val="0"/>
              <w:jc w:val="center"/>
              <w:rPr>
                <w:rFonts w:ascii="宋体" w:hAnsi="宋体" w:cs="宋体"/>
                <w:color w:val="auto"/>
              </w:rPr>
            </w:pPr>
          </w:p>
        </w:tc>
        <w:tc>
          <w:tcPr>
            <w:tcW w:w="610" w:type="pct"/>
            <w:gridSpan w:val="2"/>
            <w:shd w:val="clear" w:color="auto" w:fill="auto"/>
            <w:vAlign w:val="center"/>
          </w:tcPr>
          <w:p w14:paraId="6A468ED1">
            <w:pPr>
              <w:adjustRightInd w:val="0"/>
              <w:snapToGrid w:val="0"/>
              <w:jc w:val="center"/>
              <w:rPr>
                <w:rFonts w:ascii="宋体" w:hAnsi="宋体"/>
                <w:color w:val="auto"/>
              </w:rPr>
            </w:pPr>
            <w:r>
              <w:rPr>
                <w:rFonts w:hint="eastAsia" w:ascii="宋体" w:hAnsi="宋体"/>
                <w:color w:val="auto"/>
              </w:rPr>
              <w:t>双腔油气混输装置</w:t>
            </w:r>
          </w:p>
        </w:tc>
        <w:tc>
          <w:tcPr>
            <w:tcW w:w="1371" w:type="pct"/>
            <w:shd w:val="clear" w:color="auto" w:fill="auto"/>
            <w:vAlign w:val="center"/>
          </w:tcPr>
          <w:p w14:paraId="354D0547">
            <w:pPr>
              <w:pStyle w:val="81"/>
              <w:rPr>
                <w:rFonts w:hAnsi="宋体"/>
                <w:color w:val="auto"/>
              </w:rPr>
            </w:pPr>
            <w:r>
              <w:rPr>
                <w:rFonts w:hint="eastAsia" w:hAnsi="宋体"/>
                <w:color w:val="auto"/>
              </w:rPr>
              <w:t>高青管理区地面系统优化建设工程新建双腔油气混输装置1座</w:t>
            </w:r>
          </w:p>
          <w:p w14:paraId="67C73AD9">
            <w:pPr>
              <w:adjustRightInd w:val="0"/>
              <w:snapToGrid w:val="0"/>
              <w:jc w:val="center"/>
              <w:rPr>
                <w:rFonts w:ascii="宋体" w:hAnsi="宋体"/>
                <w:color w:val="auto"/>
              </w:rPr>
            </w:pPr>
            <w:r>
              <w:rPr>
                <w:rFonts w:hint="eastAsia" w:ascii="宋体" w:hAnsi="宋体"/>
                <w:color w:val="auto"/>
              </w:rPr>
              <w:t>滨博北区地面系统优化建设工程新建双腔油气混输装置1座</w:t>
            </w:r>
          </w:p>
        </w:tc>
        <w:tc>
          <w:tcPr>
            <w:tcW w:w="1031" w:type="pct"/>
            <w:shd w:val="clear" w:color="auto" w:fill="auto"/>
            <w:vAlign w:val="center"/>
          </w:tcPr>
          <w:p w14:paraId="45488FB0">
            <w:pPr>
              <w:adjustRightInd w:val="0"/>
              <w:snapToGrid w:val="0"/>
              <w:jc w:val="center"/>
              <w:rPr>
                <w:rFonts w:ascii="宋体" w:hAnsi="宋体"/>
                <w:color w:val="auto"/>
              </w:rPr>
            </w:pPr>
            <w:r>
              <w:rPr>
                <w:rFonts w:hint="eastAsia" w:ascii="宋体" w:hAnsi="宋体"/>
                <w:color w:val="auto"/>
              </w:rPr>
              <w:t>高青管理区地面系统优化建设工程新建双腔油气混输装置1座，位于3</w:t>
            </w:r>
            <w:r>
              <w:rPr>
                <w:rFonts w:ascii="宋体" w:hAnsi="宋体"/>
                <w:color w:val="auto"/>
              </w:rPr>
              <w:t>#</w:t>
            </w:r>
            <w:r>
              <w:rPr>
                <w:rFonts w:hint="eastAsia" w:ascii="宋体" w:hAnsi="宋体"/>
                <w:color w:val="auto"/>
              </w:rPr>
              <w:t>计量站内</w:t>
            </w:r>
          </w:p>
        </w:tc>
        <w:tc>
          <w:tcPr>
            <w:tcW w:w="834" w:type="pct"/>
            <w:shd w:val="clear" w:color="auto" w:fill="auto"/>
            <w:vAlign w:val="center"/>
          </w:tcPr>
          <w:p w14:paraId="26008BD2">
            <w:pPr>
              <w:adjustRightInd w:val="0"/>
              <w:snapToGrid w:val="0"/>
              <w:jc w:val="center"/>
              <w:rPr>
                <w:rFonts w:ascii="宋体" w:hAnsi="宋体"/>
                <w:color w:val="auto"/>
              </w:rPr>
            </w:pPr>
            <w:r>
              <w:rPr>
                <w:rFonts w:hint="eastAsia" w:ascii="宋体" w:hAnsi="宋体"/>
                <w:color w:val="auto"/>
              </w:rPr>
              <w:t>滨博北区地面系统优化建设工程未投产，纳入后期验收</w:t>
            </w:r>
          </w:p>
        </w:tc>
        <w:tc>
          <w:tcPr>
            <w:tcW w:w="666" w:type="pct"/>
            <w:shd w:val="clear" w:color="auto" w:fill="auto"/>
            <w:vAlign w:val="center"/>
          </w:tcPr>
          <w:p w14:paraId="3A2596AA">
            <w:pPr>
              <w:adjustRightInd w:val="0"/>
              <w:snapToGrid w:val="0"/>
              <w:jc w:val="center"/>
              <w:rPr>
                <w:rFonts w:ascii="宋体" w:hAnsi="宋体"/>
                <w:color w:val="auto"/>
              </w:rPr>
            </w:pPr>
            <w:r>
              <w:rPr>
                <w:rFonts w:hint="eastAsia" w:ascii="宋体" w:hAnsi="宋体" w:cs="宋体"/>
                <w:color w:val="auto"/>
              </w:rPr>
              <w:t>分期建设</w:t>
            </w:r>
          </w:p>
        </w:tc>
      </w:tr>
      <w:tr w14:paraId="2765E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378D5EA5">
            <w:pPr>
              <w:adjustRightInd w:val="0"/>
              <w:snapToGrid w:val="0"/>
              <w:jc w:val="center"/>
              <w:rPr>
                <w:rFonts w:ascii="宋体" w:hAnsi="宋体" w:cs="宋体"/>
                <w:color w:val="auto"/>
              </w:rPr>
            </w:pPr>
          </w:p>
        </w:tc>
        <w:tc>
          <w:tcPr>
            <w:tcW w:w="610" w:type="pct"/>
            <w:gridSpan w:val="2"/>
            <w:shd w:val="clear" w:color="auto" w:fill="auto"/>
            <w:vAlign w:val="center"/>
          </w:tcPr>
          <w:p w14:paraId="0F5FE078">
            <w:pPr>
              <w:adjustRightInd w:val="0"/>
              <w:snapToGrid w:val="0"/>
              <w:jc w:val="center"/>
              <w:rPr>
                <w:rFonts w:ascii="宋体" w:hAnsi="宋体"/>
                <w:color w:val="auto"/>
              </w:rPr>
            </w:pPr>
            <w:r>
              <w:rPr>
                <w:rFonts w:hint="eastAsia" w:ascii="宋体" w:hAnsi="宋体"/>
                <w:color w:val="auto"/>
              </w:rPr>
              <w:t>掺水泵</w:t>
            </w:r>
          </w:p>
        </w:tc>
        <w:tc>
          <w:tcPr>
            <w:tcW w:w="1371" w:type="pct"/>
            <w:shd w:val="clear" w:color="auto" w:fill="auto"/>
            <w:vAlign w:val="center"/>
          </w:tcPr>
          <w:p w14:paraId="634F7F93">
            <w:pPr>
              <w:pStyle w:val="81"/>
              <w:rPr>
                <w:rFonts w:hAnsi="宋体"/>
                <w:color w:val="auto"/>
              </w:rPr>
            </w:pPr>
            <w:r>
              <w:rPr>
                <w:rFonts w:hint="eastAsia" w:hAnsi="宋体"/>
                <w:color w:val="auto"/>
              </w:rPr>
              <w:t>高青管理区地面系统优化建设工程新建掺水泵2台</w:t>
            </w:r>
          </w:p>
          <w:p w14:paraId="631A56E2">
            <w:pPr>
              <w:adjustRightInd w:val="0"/>
              <w:snapToGrid w:val="0"/>
              <w:jc w:val="center"/>
              <w:rPr>
                <w:rFonts w:ascii="宋体" w:hAnsi="宋体"/>
                <w:color w:val="auto"/>
              </w:rPr>
            </w:pPr>
            <w:r>
              <w:rPr>
                <w:rFonts w:hint="eastAsia" w:ascii="宋体" w:hAnsi="宋体"/>
                <w:color w:val="auto"/>
              </w:rPr>
              <w:t>滨博北区地面系统优化建设工程新建掺水泵4台</w:t>
            </w:r>
          </w:p>
        </w:tc>
        <w:tc>
          <w:tcPr>
            <w:tcW w:w="1031" w:type="pct"/>
            <w:shd w:val="clear" w:color="auto" w:fill="auto"/>
            <w:vAlign w:val="center"/>
          </w:tcPr>
          <w:p w14:paraId="6F64C7AA">
            <w:pPr>
              <w:adjustRightInd w:val="0"/>
              <w:snapToGrid w:val="0"/>
              <w:jc w:val="center"/>
              <w:rPr>
                <w:rFonts w:ascii="宋体" w:hAnsi="宋体"/>
                <w:color w:val="auto"/>
              </w:rPr>
            </w:pPr>
            <w:r>
              <w:rPr>
                <w:rFonts w:hint="eastAsia" w:ascii="宋体" w:hAnsi="宋体"/>
                <w:color w:val="auto"/>
              </w:rPr>
              <w:t>高青管理区地面系统优化建设工程新建掺水泵</w:t>
            </w:r>
            <w:r>
              <w:rPr>
                <w:rFonts w:ascii="宋体" w:hAnsi="宋体"/>
                <w:color w:val="auto"/>
              </w:rPr>
              <w:t>1</w:t>
            </w:r>
            <w:r>
              <w:rPr>
                <w:rFonts w:hint="eastAsia" w:ascii="宋体" w:hAnsi="宋体"/>
                <w:color w:val="auto"/>
              </w:rPr>
              <w:t>台，位于高青联合站内</w:t>
            </w:r>
          </w:p>
        </w:tc>
        <w:tc>
          <w:tcPr>
            <w:tcW w:w="834" w:type="pct"/>
            <w:shd w:val="clear" w:color="auto" w:fill="auto"/>
            <w:vAlign w:val="center"/>
          </w:tcPr>
          <w:p w14:paraId="407650D0">
            <w:pPr>
              <w:adjustRightInd w:val="0"/>
              <w:snapToGrid w:val="0"/>
              <w:jc w:val="center"/>
              <w:rPr>
                <w:rFonts w:ascii="宋体" w:hAnsi="宋体"/>
                <w:color w:val="auto"/>
              </w:rPr>
            </w:pPr>
            <w:r>
              <w:rPr>
                <w:rFonts w:hint="eastAsia" w:ascii="宋体" w:hAnsi="宋体"/>
                <w:color w:val="auto"/>
              </w:rPr>
              <w:t>滨博北区地面系统优化建设工程未投产，纳入后期验收</w:t>
            </w:r>
          </w:p>
        </w:tc>
        <w:tc>
          <w:tcPr>
            <w:tcW w:w="666" w:type="pct"/>
            <w:shd w:val="clear" w:color="auto" w:fill="auto"/>
            <w:vAlign w:val="center"/>
          </w:tcPr>
          <w:p w14:paraId="422CE760">
            <w:pPr>
              <w:adjustRightInd w:val="0"/>
              <w:snapToGrid w:val="0"/>
              <w:jc w:val="center"/>
              <w:rPr>
                <w:rFonts w:ascii="宋体" w:hAnsi="宋体"/>
                <w:color w:val="auto"/>
              </w:rPr>
            </w:pPr>
            <w:r>
              <w:rPr>
                <w:rFonts w:hint="eastAsia" w:ascii="宋体" w:hAnsi="宋体" w:cs="宋体"/>
                <w:color w:val="auto"/>
              </w:rPr>
              <w:t>分期建设</w:t>
            </w:r>
          </w:p>
        </w:tc>
      </w:tr>
      <w:tr w14:paraId="12E49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185F87F3">
            <w:pPr>
              <w:adjustRightInd w:val="0"/>
              <w:snapToGrid w:val="0"/>
              <w:jc w:val="center"/>
              <w:rPr>
                <w:rFonts w:ascii="宋体" w:hAnsi="宋体" w:cs="宋体"/>
                <w:color w:val="auto"/>
              </w:rPr>
            </w:pPr>
          </w:p>
        </w:tc>
        <w:tc>
          <w:tcPr>
            <w:tcW w:w="610" w:type="pct"/>
            <w:gridSpan w:val="2"/>
            <w:shd w:val="clear" w:color="auto" w:fill="auto"/>
            <w:vAlign w:val="center"/>
          </w:tcPr>
          <w:p w14:paraId="76A5A5C1">
            <w:pPr>
              <w:adjustRightInd w:val="0"/>
              <w:snapToGrid w:val="0"/>
              <w:jc w:val="center"/>
              <w:rPr>
                <w:rFonts w:ascii="宋体" w:hAnsi="宋体"/>
                <w:color w:val="auto"/>
              </w:rPr>
            </w:pPr>
            <w:r>
              <w:rPr>
                <w:rFonts w:hint="eastAsia" w:ascii="宋体" w:hAnsi="宋体"/>
                <w:color w:val="auto"/>
              </w:rPr>
              <w:t>集油管线</w:t>
            </w:r>
          </w:p>
        </w:tc>
        <w:tc>
          <w:tcPr>
            <w:tcW w:w="1371" w:type="pct"/>
            <w:shd w:val="clear" w:color="auto" w:fill="auto"/>
            <w:vAlign w:val="center"/>
          </w:tcPr>
          <w:p w14:paraId="027B464A">
            <w:pPr>
              <w:pStyle w:val="81"/>
              <w:rPr>
                <w:rFonts w:hAnsi="宋体"/>
                <w:color w:val="auto"/>
              </w:rPr>
            </w:pPr>
            <w:r>
              <w:rPr>
                <w:rFonts w:hint="eastAsia" w:hAnsi="宋体"/>
                <w:color w:val="auto"/>
              </w:rPr>
              <w:t>滚动开发工程新建集油管线21.61km；</w:t>
            </w:r>
          </w:p>
          <w:p w14:paraId="0F67A7F3">
            <w:pPr>
              <w:pStyle w:val="81"/>
              <w:rPr>
                <w:rFonts w:hAnsi="宋体"/>
                <w:color w:val="auto"/>
              </w:rPr>
            </w:pPr>
            <w:r>
              <w:rPr>
                <w:rFonts w:hint="eastAsia" w:hAnsi="宋体"/>
                <w:color w:val="auto"/>
              </w:rPr>
              <w:t>高青管理区地面系统优化建设工程新建DN65mm集油管线9.47km、新建DN80mm集油管线3.57km、新建DN100mm集油管线1.7km；</w:t>
            </w:r>
          </w:p>
          <w:p w14:paraId="47D37A51">
            <w:pPr>
              <w:adjustRightInd w:val="0"/>
              <w:snapToGrid w:val="0"/>
              <w:jc w:val="center"/>
              <w:rPr>
                <w:rFonts w:ascii="宋体" w:hAnsi="宋体"/>
                <w:color w:val="auto"/>
              </w:rPr>
            </w:pPr>
            <w:r>
              <w:rPr>
                <w:rFonts w:hint="eastAsia" w:ascii="宋体" w:hAnsi="宋体"/>
                <w:color w:val="auto"/>
              </w:rPr>
              <w:t>滨博北区地面系统优化建设工程新建φ89×6mm集油管线6.1km、新建φ76×6mm集油管线1.5km、DN65mm集油管线1.6km</w:t>
            </w:r>
          </w:p>
        </w:tc>
        <w:tc>
          <w:tcPr>
            <w:tcW w:w="1031" w:type="pct"/>
            <w:shd w:val="clear" w:color="auto" w:fill="auto"/>
            <w:vAlign w:val="center"/>
          </w:tcPr>
          <w:p w14:paraId="4713D420">
            <w:pPr>
              <w:pStyle w:val="81"/>
              <w:rPr>
                <w:rFonts w:hAnsi="宋体"/>
                <w:color w:val="auto"/>
              </w:rPr>
            </w:pPr>
            <w:r>
              <w:rPr>
                <w:rFonts w:hint="eastAsia" w:hAnsi="宋体"/>
                <w:color w:val="auto"/>
              </w:rPr>
              <w:t>滚动开发工程新建集油管线</w:t>
            </w:r>
            <w:r>
              <w:rPr>
                <w:rFonts w:hAnsi="宋体"/>
                <w:color w:val="auto"/>
              </w:rPr>
              <w:t>4.82</w:t>
            </w:r>
            <w:r>
              <w:rPr>
                <w:rFonts w:hint="eastAsia" w:hAnsi="宋体"/>
                <w:color w:val="auto"/>
              </w:rPr>
              <w:t>km；</w:t>
            </w:r>
          </w:p>
          <w:p w14:paraId="68920EB0">
            <w:pPr>
              <w:adjustRightInd w:val="0"/>
              <w:snapToGrid w:val="0"/>
              <w:jc w:val="center"/>
              <w:rPr>
                <w:rFonts w:ascii="宋体" w:hAnsi="宋体"/>
                <w:color w:val="auto"/>
              </w:rPr>
            </w:pPr>
            <w:r>
              <w:rPr>
                <w:rFonts w:hint="eastAsia" w:ascii="宋体" w:hAnsi="宋体"/>
                <w:color w:val="auto"/>
              </w:rPr>
              <w:t>高青管理区地面系统优化建设工程新建DN65mm集油管线</w:t>
            </w:r>
            <w:r>
              <w:rPr>
                <w:rFonts w:ascii="宋体" w:hAnsi="宋体"/>
                <w:color w:val="auto"/>
              </w:rPr>
              <w:t>7.148</w:t>
            </w:r>
            <w:r>
              <w:rPr>
                <w:rFonts w:hint="eastAsia" w:ascii="宋体" w:hAnsi="宋体"/>
                <w:color w:val="auto"/>
              </w:rPr>
              <w:t>km、新建DN80mm集油管线</w:t>
            </w:r>
            <w:r>
              <w:rPr>
                <w:rFonts w:ascii="宋体" w:hAnsi="宋体"/>
                <w:color w:val="auto"/>
              </w:rPr>
              <w:t>2.925</w:t>
            </w:r>
            <w:r>
              <w:rPr>
                <w:rFonts w:hint="eastAsia" w:ascii="宋体" w:hAnsi="宋体"/>
                <w:color w:val="auto"/>
              </w:rPr>
              <w:t>km、新建DN100mm集油管线</w:t>
            </w:r>
            <w:r>
              <w:rPr>
                <w:rFonts w:ascii="宋体" w:hAnsi="宋体"/>
                <w:color w:val="auto"/>
              </w:rPr>
              <w:t>1.717</w:t>
            </w:r>
            <w:r>
              <w:rPr>
                <w:rFonts w:hint="eastAsia" w:ascii="宋体" w:hAnsi="宋体"/>
                <w:color w:val="auto"/>
              </w:rPr>
              <w:t>km；新建</w:t>
            </w:r>
            <w:bookmarkStart w:id="331" w:name="OLE_LINK337"/>
            <w:r>
              <w:rPr>
                <w:rFonts w:hint="eastAsia" w:ascii="宋体" w:hAnsi="宋体"/>
                <w:color w:val="auto"/>
              </w:rPr>
              <w:t>DN</w:t>
            </w:r>
            <w:r>
              <w:rPr>
                <w:rFonts w:ascii="宋体" w:hAnsi="宋体"/>
                <w:color w:val="auto"/>
              </w:rPr>
              <w:t>150</w:t>
            </w:r>
            <w:bookmarkEnd w:id="331"/>
            <w:r>
              <w:rPr>
                <w:rFonts w:hint="eastAsia" w:ascii="宋体" w:hAnsi="宋体"/>
                <w:color w:val="auto"/>
              </w:rPr>
              <w:t>mm集油管线</w:t>
            </w:r>
            <w:r>
              <w:rPr>
                <w:rFonts w:ascii="宋体" w:hAnsi="宋体"/>
                <w:color w:val="auto"/>
              </w:rPr>
              <w:t>0.89</w:t>
            </w:r>
            <w:r>
              <w:rPr>
                <w:rFonts w:hint="eastAsia" w:ascii="宋体" w:hAnsi="宋体"/>
                <w:color w:val="auto"/>
              </w:rPr>
              <w:t>km</w:t>
            </w:r>
          </w:p>
        </w:tc>
        <w:tc>
          <w:tcPr>
            <w:tcW w:w="834" w:type="pct"/>
            <w:shd w:val="clear" w:color="auto" w:fill="auto"/>
            <w:vAlign w:val="center"/>
          </w:tcPr>
          <w:p w14:paraId="0044530A">
            <w:pPr>
              <w:pStyle w:val="81"/>
              <w:rPr>
                <w:rFonts w:hAnsi="宋体"/>
                <w:color w:val="auto"/>
              </w:rPr>
            </w:pPr>
            <w:r>
              <w:rPr>
                <w:rFonts w:hint="eastAsia" w:hAnsi="宋体"/>
                <w:color w:val="auto"/>
              </w:rPr>
              <w:t>滚动开发工程集油管线减少1</w:t>
            </w:r>
            <w:r>
              <w:rPr>
                <w:rFonts w:hAnsi="宋体"/>
                <w:color w:val="auto"/>
              </w:rPr>
              <w:t>6.79km</w:t>
            </w:r>
            <w:r>
              <w:rPr>
                <w:rFonts w:hint="eastAsia" w:hAnsi="宋体"/>
                <w:color w:val="auto"/>
              </w:rPr>
              <w:t>，与未建设油井配套，纳入后期验收；</w:t>
            </w:r>
          </w:p>
          <w:p w14:paraId="132D7FB5">
            <w:pPr>
              <w:pStyle w:val="81"/>
              <w:rPr>
                <w:rFonts w:hAnsi="宋体"/>
                <w:color w:val="auto"/>
              </w:rPr>
            </w:pPr>
            <w:r>
              <w:rPr>
                <w:rFonts w:hint="eastAsia" w:hAnsi="宋体"/>
                <w:color w:val="auto"/>
              </w:rPr>
              <w:t>高青管理区地面系统优化建设工程集油管线共减少2.138km；</w:t>
            </w:r>
          </w:p>
          <w:p w14:paraId="00CD0BAE">
            <w:pPr>
              <w:adjustRightInd w:val="0"/>
              <w:snapToGrid w:val="0"/>
              <w:jc w:val="center"/>
              <w:rPr>
                <w:rFonts w:ascii="宋体" w:hAnsi="宋体"/>
                <w:color w:val="auto"/>
              </w:rPr>
            </w:pPr>
            <w:r>
              <w:rPr>
                <w:rFonts w:hint="eastAsia" w:ascii="宋体" w:hAnsi="宋体"/>
                <w:color w:val="auto"/>
              </w:rPr>
              <w:t>滨博北区地面系统优化建设工程未投产，纳入后期验收</w:t>
            </w:r>
          </w:p>
        </w:tc>
        <w:tc>
          <w:tcPr>
            <w:tcW w:w="666" w:type="pct"/>
            <w:shd w:val="clear" w:color="auto" w:fill="auto"/>
            <w:vAlign w:val="center"/>
          </w:tcPr>
          <w:p w14:paraId="7909F6D1">
            <w:pPr>
              <w:adjustRightInd w:val="0"/>
              <w:snapToGrid w:val="0"/>
              <w:jc w:val="center"/>
              <w:rPr>
                <w:rFonts w:ascii="宋体" w:hAnsi="宋体"/>
                <w:color w:val="auto"/>
              </w:rPr>
            </w:pPr>
            <w:r>
              <w:rPr>
                <w:rFonts w:hint="eastAsia" w:ascii="宋体" w:hAnsi="宋体" w:cs="宋体"/>
                <w:color w:val="auto"/>
              </w:rPr>
              <w:t>路由优化；分期建设</w:t>
            </w:r>
          </w:p>
        </w:tc>
      </w:tr>
      <w:tr w14:paraId="220BA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6C479ACB">
            <w:pPr>
              <w:adjustRightInd w:val="0"/>
              <w:snapToGrid w:val="0"/>
              <w:jc w:val="center"/>
              <w:rPr>
                <w:rFonts w:ascii="宋体" w:hAnsi="宋体" w:cs="宋体"/>
                <w:color w:val="auto"/>
              </w:rPr>
            </w:pPr>
          </w:p>
        </w:tc>
        <w:tc>
          <w:tcPr>
            <w:tcW w:w="610" w:type="pct"/>
            <w:gridSpan w:val="2"/>
            <w:shd w:val="clear" w:color="auto" w:fill="auto"/>
            <w:vAlign w:val="center"/>
          </w:tcPr>
          <w:p w14:paraId="747797FE">
            <w:pPr>
              <w:adjustRightInd w:val="0"/>
              <w:snapToGrid w:val="0"/>
              <w:jc w:val="center"/>
              <w:rPr>
                <w:rFonts w:ascii="宋体" w:hAnsi="宋体"/>
                <w:color w:val="auto"/>
              </w:rPr>
            </w:pPr>
            <w:r>
              <w:rPr>
                <w:rFonts w:hint="eastAsia" w:ascii="宋体" w:hAnsi="宋体"/>
                <w:color w:val="auto"/>
              </w:rPr>
              <w:t>掺水管线</w:t>
            </w:r>
          </w:p>
        </w:tc>
        <w:tc>
          <w:tcPr>
            <w:tcW w:w="1371" w:type="pct"/>
            <w:shd w:val="clear" w:color="auto" w:fill="auto"/>
            <w:vAlign w:val="center"/>
          </w:tcPr>
          <w:p w14:paraId="11AF4D69">
            <w:pPr>
              <w:pStyle w:val="81"/>
              <w:rPr>
                <w:rFonts w:hAnsi="宋体"/>
                <w:color w:val="auto"/>
              </w:rPr>
            </w:pPr>
            <w:r>
              <w:rPr>
                <w:rFonts w:hint="eastAsia" w:hAnsi="宋体"/>
                <w:color w:val="auto"/>
              </w:rPr>
              <w:t>高青管理区地面系统优化建设工程新建DN40掺水管线1.7km</w:t>
            </w:r>
          </w:p>
          <w:p w14:paraId="68E0816E">
            <w:pPr>
              <w:adjustRightInd w:val="0"/>
              <w:snapToGrid w:val="0"/>
              <w:jc w:val="center"/>
              <w:rPr>
                <w:rFonts w:ascii="宋体" w:hAnsi="宋体"/>
                <w:color w:val="auto"/>
              </w:rPr>
            </w:pPr>
            <w:r>
              <w:rPr>
                <w:rFonts w:hint="eastAsia" w:ascii="宋体" w:hAnsi="宋体"/>
                <w:color w:val="auto"/>
              </w:rPr>
              <w:t>滨博北区地面系统优化建设工程新建DN75掺水管线7.28km</w:t>
            </w:r>
          </w:p>
        </w:tc>
        <w:tc>
          <w:tcPr>
            <w:tcW w:w="1031" w:type="pct"/>
            <w:shd w:val="clear" w:color="auto" w:fill="auto"/>
            <w:vAlign w:val="center"/>
          </w:tcPr>
          <w:p w14:paraId="54371543">
            <w:pPr>
              <w:adjustRightInd w:val="0"/>
              <w:snapToGrid w:val="0"/>
              <w:jc w:val="center"/>
              <w:rPr>
                <w:rFonts w:ascii="宋体" w:hAnsi="宋体"/>
                <w:color w:val="auto"/>
              </w:rPr>
            </w:pPr>
            <w:r>
              <w:rPr>
                <w:rFonts w:hint="eastAsia" w:ascii="宋体" w:hAnsi="宋体"/>
                <w:color w:val="auto"/>
              </w:rPr>
              <w:t>高青管理区地面系统优化建设工程新建DN40掺水管线0.7km；φ48×4.0mm 钢管掺水管线0.3km，共1.0km</w:t>
            </w:r>
          </w:p>
        </w:tc>
        <w:tc>
          <w:tcPr>
            <w:tcW w:w="834" w:type="pct"/>
            <w:shd w:val="clear" w:color="auto" w:fill="auto"/>
            <w:vAlign w:val="center"/>
          </w:tcPr>
          <w:p w14:paraId="659CB8CE">
            <w:pPr>
              <w:adjustRightInd w:val="0"/>
              <w:snapToGrid w:val="0"/>
              <w:jc w:val="center"/>
              <w:rPr>
                <w:rFonts w:ascii="宋体" w:hAnsi="宋体"/>
                <w:color w:val="auto"/>
              </w:rPr>
            </w:pPr>
            <w:r>
              <w:rPr>
                <w:rFonts w:hint="eastAsia" w:ascii="宋体" w:hAnsi="宋体"/>
                <w:color w:val="auto"/>
              </w:rPr>
              <w:t>高青管理区地面系统优化建设工程掺水管线减少0</w:t>
            </w:r>
            <w:r>
              <w:rPr>
                <w:rFonts w:ascii="宋体" w:hAnsi="宋体"/>
                <w:color w:val="auto"/>
              </w:rPr>
              <w:t>.7</w:t>
            </w:r>
            <w:r>
              <w:rPr>
                <w:rFonts w:hint="eastAsia" w:ascii="宋体" w:hAnsi="宋体"/>
                <w:color w:val="auto"/>
              </w:rPr>
              <w:t>km；滨博北区地面系统优化建设工程未投产，纳入后期验收</w:t>
            </w:r>
          </w:p>
        </w:tc>
        <w:tc>
          <w:tcPr>
            <w:tcW w:w="666" w:type="pct"/>
            <w:shd w:val="clear" w:color="auto" w:fill="auto"/>
            <w:vAlign w:val="center"/>
          </w:tcPr>
          <w:p w14:paraId="12B1BF2A">
            <w:pPr>
              <w:adjustRightInd w:val="0"/>
              <w:snapToGrid w:val="0"/>
              <w:jc w:val="center"/>
              <w:rPr>
                <w:rFonts w:ascii="宋体" w:hAnsi="宋体"/>
                <w:color w:val="auto"/>
              </w:rPr>
            </w:pPr>
            <w:r>
              <w:rPr>
                <w:rFonts w:hint="eastAsia" w:ascii="宋体" w:hAnsi="宋体" w:cs="宋体"/>
                <w:color w:val="auto"/>
              </w:rPr>
              <w:t>路由优化；分期建设</w:t>
            </w:r>
          </w:p>
        </w:tc>
      </w:tr>
      <w:tr w14:paraId="5374F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0117ACFF">
            <w:pPr>
              <w:adjustRightInd w:val="0"/>
              <w:snapToGrid w:val="0"/>
              <w:jc w:val="center"/>
              <w:rPr>
                <w:rFonts w:ascii="宋体" w:hAnsi="宋体" w:cs="宋体"/>
                <w:color w:val="auto"/>
              </w:rPr>
            </w:pPr>
          </w:p>
        </w:tc>
        <w:tc>
          <w:tcPr>
            <w:tcW w:w="610" w:type="pct"/>
            <w:gridSpan w:val="2"/>
            <w:shd w:val="clear" w:color="auto" w:fill="auto"/>
            <w:vAlign w:val="center"/>
          </w:tcPr>
          <w:p w14:paraId="3D0A9AC8">
            <w:pPr>
              <w:adjustRightInd w:val="0"/>
              <w:snapToGrid w:val="0"/>
              <w:jc w:val="center"/>
              <w:rPr>
                <w:rFonts w:ascii="宋体" w:hAnsi="宋体"/>
                <w:color w:val="auto"/>
              </w:rPr>
            </w:pPr>
            <w:r>
              <w:rPr>
                <w:rFonts w:hint="eastAsia" w:ascii="宋体" w:hAnsi="宋体"/>
                <w:color w:val="auto"/>
              </w:rPr>
              <w:t>天然气管线</w:t>
            </w:r>
          </w:p>
        </w:tc>
        <w:tc>
          <w:tcPr>
            <w:tcW w:w="1371" w:type="pct"/>
            <w:shd w:val="clear" w:color="auto" w:fill="auto"/>
            <w:vAlign w:val="center"/>
          </w:tcPr>
          <w:p w14:paraId="2F6E923D">
            <w:pPr>
              <w:pStyle w:val="81"/>
              <w:rPr>
                <w:rFonts w:hAnsi="宋体"/>
                <w:color w:val="auto"/>
              </w:rPr>
            </w:pPr>
            <w:r>
              <w:rPr>
                <w:rFonts w:hint="eastAsia" w:hAnsi="宋体"/>
                <w:color w:val="auto"/>
              </w:rPr>
              <w:t>滚动开发工程新建φ48×4mm供气管线1km；</w:t>
            </w:r>
          </w:p>
          <w:p w14:paraId="196BB8BE">
            <w:pPr>
              <w:adjustRightInd w:val="0"/>
              <w:snapToGrid w:val="0"/>
              <w:jc w:val="center"/>
              <w:rPr>
                <w:rFonts w:ascii="宋体" w:hAnsi="宋体"/>
                <w:color w:val="auto"/>
              </w:rPr>
            </w:pPr>
            <w:r>
              <w:rPr>
                <w:rFonts w:hint="eastAsia" w:ascii="宋体" w:hAnsi="宋体"/>
                <w:color w:val="auto"/>
              </w:rPr>
              <w:t>高青管理区地面系统优化建设工程新建φ48×4mm供气管线24m</w:t>
            </w:r>
          </w:p>
        </w:tc>
        <w:tc>
          <w:tcPr>
            <w:tcW w:w="1031" w:type="pct"/>
            <w:shd w:val="clear" w:color="auto" w:fill="auto"/>
            <w:vAlign w:val="center"/>
          </w:tcPr>
          <w:p w14:paraId="670A80F8">
            <w:pPr>
              <w:pStyle w:val="81"/>
              <w:rPr>
                <w:rFonts w:hAnsi="宋体"/>
                <w:color w:val="auto"/>
              </w:rPr>
            </w:pPr>
            <w:r>
              <w:rPr>
                <w:rFonts w:hint="eastAsia" w:hAnsi="宋体"/>
                <w:color w:val="auto"/>
              </w:rPr>
              <w:t>滚动开发工程新建φ48×4mm供气管线</w:t>
            </w:r>
            <w:r>
              <w:rPr>
                <w:rFonts w:hAnsi="宋体"/>
                <w:color w:val="auto"/>
              </w:rPr>
              <w:t>0.25</w:t>
            </w:r>
            <w:r>
              <w:rPr>
                <w:rFonts w:hint="eastAsia" w:hAnsi="宋体"/>
                <w:color w:val="auto"/>
              </w:rPr>
              <w:t>km；</w:t>
            </w:r>
          </w:p>
          <w:p w14:paraId="54BEA771">
            <w:pPr>
              <w:adjustRightInd w:val="0"/>
              <w:snapToGrid w:val="0"/>
              <w:jc w:val="center"/>
              <w:rPr>
                <w:rFonts w:ascii="宋体" w:hAnsi="宋体"/>
                <w:color w:val="auto"/>
              </w:rPr>
            </w:pPr>
            <w:r>
              <w:rPr>
                <w:rFonts w:hint="eastAsia" w:ascii="宋体" w:hAnsi="宋体"/>
                <w:color w:val="auto"/>
              </w:rPr>
              <w:t>高青管理区地面系统优化建设工程新建φ48×4mm供气管线24m</w:t>
            </w:r>
          </w:p>
        </w:tc>
        <w:tc>
          <w:tcPr>
            <w:tcW w:w="834" w:type="pct"/>
            <w:shd w:val="clear" w:color="auto" w:fill="auto"/>
            <w:vAlign w:val="center"/>
          </w:tcPr>
          <w:p w14:paraId="1D0B3E76">
            <w:pPr>
              <w:adjustRightInd w:val="0"/>
              <w:snapToGrid w:val="0"/>
              <w:jc w:val="center"/>
              <w:rPr>
                <w:rFonts w:ascii="宋体" w:hAnsi="宋体"/>
                <w:color w:val="auto"/>
              </w:rPr>
            </w:pPr>
            <w:r>
              <w:rPr>
                <w:rFonts w:hint="eastAsia" w:ascii="宋体" w:hAnsi="宋体"/>
                <w:color w:val="auto"/>
              </w:rPr>
              <w:t>滚动开发工程新建供气管线减少0</w:t>
            </w:r>
            <w:r>
              <w:rPr>
                <w:rFonts w:ascii="宋体" w:hAnsi="宋体"/>
                <w:color w:val="auto"/>
              </w:rPr>
              <w:t>.75km,</w:t>
            </w:r>
            <w:r>
              <w:rPr>
                <w:rFonts w:hint="eastAsia" w:ascii="宋体" w:hAnsi="宋体"/>
                <w:color w:val="auto"/>
              </w:rPr>
              <w:t>原因为分期建设</w:t>
            </w:r>
          </w:p>
        </w:tc>
        <w:tc>
          <w:tcPr>
            <w:tcW w:w="666" w:type="pct"/>
            <w:shd w:val="clear" w:color="auto" w:fill="auto"/>
            <w:vAlign w:val="center"/>
          </w:tcPr>
          <w:p w14:paraId="0EAFA057">
            <w:pPr>
              <w:adjustRightInd w:val="0"/>
              <w:snapToGrid w:val="0"/>
              <w:jc w:val="center"/>
              <w:rPr>
                <w:rFonts w:ascii="宋体" w:hAnsi="宋体"/>
                <w:color w:val="auto"/>
              </w:rPr>
            </w:pPr>
            <w:r>
              <w:rPr>
                <w:rFonts w:hint="eastAsia" w:ascii="宋体" w:hAnsi="宋体" w:cs="宋体"/>
                <w:color w:val="auto"/>
              </w:rPr>
              <w:t>分期建设</w:t>
            </w:r>
          </w:p>
        </w:tc>
      </w:tr>
      <w:tr w14:paraId="09D9C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4C5C6815">
            <w:pPr>
              <w:adjustRightInd w:val="0"/>
              <w:snapToGrid w:val="0"/>
              <w:jc w:val="center"/>
              <w:rPr>
                <w:rFonts w:ascii="宋体" w:hAnsi="宋体" w:cs="宋体"/>
                <w:color w:val="auto"/>
              </w:rPr>
            </w:pPr>
          </w:p>
        </w:tc>
        <w:tc>
          <w:tcPr>
            <w:tcW w:w="610" w:type="pct"/>
            <w:gridSpan w:val="2"/>
            <w:shd w:val="clear" w:color="auto" w:fill="auto"/>
            <w:vAlign w:val="center"/>
          </w:tcPr>
          <w:p w14:paraId="5A8F89DF">
            <w:pPr>
              <w:adjustRightInd w:val="0"/>
              <w:snapToGrid w:val="0"/>
              <w:jc w:val="center"/>
              <w:rPr>
                <w:rFonts w:ascii="宋体" w:hAnsi="宋体"/>
                <w:color w:val="auto"/>
              </w:rPr>
            </w:pPr>
            <w:r>
              <w:rPr>
                <w:rFonts w:hint="eastAsia" w:ascii="宋体" w:hAnsi="宋体"/>
                <w:color w:val="auto"/>
              </w:rPr>
              <w:t>计量站/集中拉油点</w:t>
            </w:r>
          </w:p>
        </w:tc>
        <w:tc>
          <w:tcPr>
            <w:tcW w:w="1371" w:type="pct"/>
            <w:shd w:val="clear" w:color="auto" w:fill="auto"/>
            <w:vAlign w:val="center"/>
          </w:tcPr>
          <w:p w14:paraId="44446C79">
            <w:pPr>
              <w:adjustRightInd w:val="0"/>
              <w:snapToGrid w:val="0"/>
              <w:jc w:val="center"/>
              <w:rPr>
                <w:rFonts w:ascii="宋体" w:hAnsi="宋体"/>
                <w:color w:val="auto"/>
              </w:rPr>
            </w:pPr>
            <w:r>
              <w:rPr>
                <w:rFonts w:hint="eastAsia" w:ascii="宋体" w:hAnsi="宋体"/>
                <w:color w:val="auto"/>
              </w:rPr>
              <w:t>依托2#计量站、樊162集中拉油点、樊163分水点</w:t>
            </w:r>
          </w:p>
        </w:tc>
        <w:tc>
          <w:tcPr>
            <w:tcW w:w="1031" w:type="pct"/>
            <w:shd w:val="clear" w:color="auto" w:fill="auto"/>
            <w:vAlign w:val="center"/>
          </w:tcPr>
          <w:p w14:paraId="19804647">
            <w:pPr>
              <w:adjustRightInd w:val="0"/>
              <w:snapToGrid w:val="0"/>
              <w:jc w:val="center"/>
              <w:rPr>
                <w:rFonts w:ascii="宋体" w:hAnsi="宋体"/>
                <w:color w:val="auto"/>
              </w:rPr>
            </w:pPr>
            <w:r>
              <w:rPr>
                <w:rFonts w:hint="eastAsia" w:ascii="宋体" w:hAnsi="宋体"/>
                <w:color w:val="auto"/>
              </w:rPr>
              <w:t>依托3#计量站</w:t>
            </w:r>
          </w:p>
        </w:tc>
        <w:tc>
          <w:tcPr>
            <w:tcW w:w="834" w:type="pct"/>
            <w:shd w:val="clear" w:color="auto" w:fill="auto"/>
            <w:vAlign w:val="center"/>
          </w:tcPr>
          <w:p w14:paraId="3F4EE54E">
            <w:pPr>
              <w:adjustRightInd w:val="0"/>
              <w:snapToGrid w:val="0"/>
              <w:jc w:val="center"/>
              <w:rPr>
                <w:rFonts w:ascii="宋体" w:hAnsi="宋体"/>
                <w:color w:val="auto"/>
              </w:rPr>
            </w:pPr>
            <w:r>
              <w:rPr>
                <w:rFonts w:hint="eastAsia" w:ascii="宋体" w:hAnsi="宋体"/>
                <w:color w:val="auto"/>
              </w:rPr>
              <w:t>依托计量站变更</w:t>
            </w:r>
          </w:p>
        </w:tc>
        <w:tc>
          <w:tcPr>
            <w:tcW w:w="666" w:type="pct"/>
            <w:shd w:val="clear" w:color="auto" w:fill="auto"/>
            <w:vAlign w:val="center"/>
          </w:tcPr>
          <w:p w14:paraId="6D07531C">
            <w:pPr>
              <w:adjustRightInd w:val="0"/>
              <w:snapToGrid w:val="0"/>
              <w:jc w:val="center"/>
              <w:rPr>
                <w:rFonts w:ascii="宋体" w:hAnsi="宋体"/>
                <w:color w:val="auto"/>
              </w:rPr>
            </w:pPr>
            <w:r>
              <w:rPr>
                <w:rFonts w:hint="eastAsia" w:ascii="宋体" w:hAnsi="宋体"/>
                <w:color w:val="auto"/>
              </w:rPr>
              <w:t>根据实际集输流程进行调整</w:t>
            </w:r>
          </w:p>
        </w:tc>
      </w:tr>
      <w:tr w14:paraId="4BE2F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7F5BCFEA">
            <w:pPr>
              <w:adjustRightInd w:val="0"/>
              <w:snapToGrid w:val="0"/>
              <w:jc w:val="center"/>
              <w:rPr>
                <w:rFonts w:ascii="宋体" w:hAnsi="宋体" w:cs="宋体"/>
                <w:color w:val="auto"/>
              </w:rPr>
            </w:pPr>
          </w:p>
        </w:tc>
        <w:tc>
          <w:tcPr>
            <w:tcW w:w="610" w:type="pct"/>
            <w:gridSpan w:val="2"/>
            <w:shd w:val="clear" w:color="auto" w:fill="auto"/>
            <w:vAlign w:val="center"/>
          </w:tcPr>
          <w:p w14:paraId="03BFB922">
            <w:pPr>
              <w:adjustRightInd w:val="0"/>
              <w:snapToGrid w:val="0"/>
              <w:jc w:val="center"/>
              <w:rPr>
                <w:rFonts w:ascii="宋体" w:hAnsi="宋体"/>
                <w:color w:val="auto"/>
              </w:rPr>
            </w:pPr>
            <w:r>
              <w:rPr>
                <w:rFonts w:hint="eastAsia" w:ascii="宋体" w:hAnsi="宋体"/>
                <w:color w:val="auto"/>
              </w:rPr>
              <w:t>接转站</w:t>
            </w:r>
          </w:p>
        </w:tc>
        <w:tc>
          <w:tcPr>
            <w:tcW w:w="1371" w:type="pct"/>
            <w:shd w:val="clear" w:color="auto" w:fill="auto"/>
            <w:vAlign w:val="center"/>
          </w:tcPr>
          <w:p w14:paraId="5743C967">
            <w:pPr>
              <w:adjustRightInd w:val="0"/>
              <w:snapToGrid w:val="0"/>
              <w:jc w:val="center"/>
              <w:rPr>
                <w:rFonts w:ascii="宋体" w:hAnsi="宋体"/>
                <w:color w:val="auto"/>
              </w:rPr>
            </w:pPr>
            <w:r>
              <w:rPr>
                <w:rFonts w:hint="eastAsia" w:ascii="宋体" w:hAnsi="宋体"/>
                <w:color w:val="auto"/>
              </w:rPr>
              <w:t>滨博接转站、樊家接转站</w:t>
            </w:r>
          </w:p>
        </w:tc>
        <w:tc>
          <w:tcPr>
            <w:tcW w:w="1031" w:type="pct"/>
            <w:shd w:val="clear" w:color="auto" w:fill="auto"/>
            <w:vAlign w:val="center"/>
          </w:tcPr>
          <w:p w14:paraId="468F00C4">
            <w:pPr>
              <w:adjustRightInd w:val="0"/>
              <w:snapToGrid w:val="0"/>
              <w:jc w:val="center"/>
              <w:rPr>
                <w:rFonts w:ascii="宋体" w:hAnsi="宋体"/>
                <w:color w:val="auto"/>
              </w:rPr>
            </w:pPr>
            <w:r>
              <w:rPr>
                <w:rFonts w:hint="eastAsia" w:ascii="宋体" w:hAnsi="宋体"/>
                <w:color w:val="auto"/>
              </w:rPr>
              <w:t>滨博接转站</w:t>
            </w:r>
          </w:p>
        </w:tc>
        <w:tc>
          <w:tcPr>
            <w:tcW w:w="834" w:type="pct"/>
            <w:shd w:val="clear" w:color="auto" w:fill="auto"/>
            <w:vAlign w:val="center"/>
          </w:tcPr>
          <w:p w14:paraId="34739B06">
            <w:pPr>
              <w:adjustRightInd w:val="0"/>
              <w:snapToGrid w:val="0"/>
              <w:jc w:val="center"/>
              <w:rPr>
                <w:rFonts w:ascii="宋体" w:hAnsi="宋体"/>
                <w:color w:val="auto"/>
              </w:rPr>
            </w:pPr>
            <w:r>
              <w:rPr>
                <w:rFonts w:hint="eastAsia" w:ascii="宋体" w:hAnsi="宋体"/>
                <w:color w:val="auto"/>
              </w:rPr>
              <w:t>未依托樊家接转站</w:t>
            </w:r>
          </w:p>
        </w:tc>
        <w:tc>
          <w:tcPr>
            <w:tcW w:w="666" w:type="pct"/>
            <w:shd w:val="clear" w:color="auto" w:fill="auto"/>
            <w:vAlign w:val="center"/>
          </w:tcPr>
          <w:p w14:paraId="24401B82">
            <w:pPr>
              <w:adjustRightInd w:val="0"/>
              <w:snapToGrid w:val="0"/>
              <w:jc w:val="center"/>
              <w:rPr>
                <w:rFonts w:ascii="宋体" w:hAnsi="宋体"/>
                <w:color w:val="auto"/>
              </w:rPr>
            </w:pPr>
            <w:r>
              <w:rPr>
                <w:rFonts w:hint="eastAsia" w:ascii="宋体" w:hAnsi="宋体"/>
                <w:color w:val="auto"/>
              </w:rPr>
              <w:t>根据实际集输进行调整</w:t>
            </w:r>
          </w:p>
        </w:tc>
      </w:tr>
      <w:tr w14:paraId="33DBA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3CB6A9E0">
            <w:pPr>
              <w:adjustRightInd w:val="0"/>
              <w:snapToGrid w:val="0"/>
              <w:jc w:val="center"/>
              <w:rPr>
                <w:rFonts w:ascii="宋体" w:hAnsi="宋体" w:cs="宋体"/>
                <w:color w:val="auto"/>
              </w:rPr>
            </w:pPr>
          </w:p>
        </w:tc>
        <w:tc>
          <w:tcPr>
            <w:tcW w:w="610" w:type="pct"/>
            <w:gridSpan w:val="2"/>
            <w:shd w:val="clear" w:color="auto" w:fill="auto"/>
            <w:vAlign w:val="center"/>
          </w:tcPr>
          <w:p w14:paraId="2BAF6268">
            <w:pPr>
              <w:adjustRightInd w:val="0"/>
              <w:snapToGrid w:val="0"/>
              <w:jc w:val="center"/>
              <w:rPr>
                <w:rFonts w:ascii="宋体" w:hAnsi="宋体"/>
                <w:color w:val="auto"/>
              </w:rPr>
            </w:pPr>
            <w:r>
              <w:rPr>
                <w:rFonts w:hint="eastAsia" w:ascii="宋体" w:hAnsi="宋体"/>
                <w:color w:val="auto"/>
              </w:rPr>
              <w:t>联合站</w:t>
            </w:r>
          </w:p>
        </w:tc>
        <w:tc>
          <w:tcPr>
            <w:tcW w:w="1371" w:type="pct"/>
            <w:shd w:val="clear" w:color="auto" w:fill="auto"/>
            <w:vAlign w:val="center"/>
          </w:tcPr>
          <w:p w14:paraId="30C16934">
            <w:pPr>
              <w:adjustRightInd w:val="0"/>
              <w:snapToGrid w:val="0"/>
              <w:jc w:val="center"/>
              <w:rPr>
                <w:rFonts w:ascii="宋体" w:hAnsi="宋体"/>
                <w:color w:val="auto"/>
              </w:rPr>
            </w:pPr>
            <w:r>
              <w:rPr>
                <w:rFonts w:hint="eastAsia" w:ascii="宋体" w:hAnsi="宋体"/>
                <w:color w:val="auto"/>
              </w:rPr>
              <w:t>高青联合站卸油池改造：密闭集成卸油橇 3套、新建收油管线230m、新建冲洗伴热水管线220m</w:t>
            </w:r>
          </w:p>
        </w:tc>
        <w:tc>
          <w:tcPr>
            <w:tcW w:w="1031" w:type="pct"/>
            <w:shd w:val="clear" w:color="auto" w:fill="auto"/>
            <w:vAlign w:val="center"/>
          </w:tcPr>
          <w:p w14:paraId="116D2EAF">
            <w:pPr>
              <w:adjustRightInd w:val="0"/>
              <w:snapToGrid w:val="0"/>
              <w:jc w:val="center"/>
              <w:rPr>
                <w:rFonts w:ascii="宋体" w:hAnsi="宋体"/>
                <w:color w:val="auto"/>
              </w:rPr>
            </w:pPr>
            <w:r>
              <w:rPr>
                <w:rFonts w:hint="eastAsia" w:ascii="宋体" w:hAnsi="宋体"/>
                <w:color w:val="auto"/>
              </w:rPr>
              <w:t>本期工程未建设</w:t>
            </w:r>
          </w:p>
        </w:tc>
        <w:tc>
          <w:tcPr>
            <w:tcW w:w="834" w:type="pct"/>
            <w:shd w:val="clear" w:color="auto" w:fill="auto"/>
            <w:vAlign w:val="center"/>
          </w:tcPr>
          <w:p w14:paraId="1267E15E">
            <w:pPr>
              <w:adjustRightInd w:val="0"/>
              <w:snapToGrid w:val="0"/>
              <w:jc w:val="center"/>
              <w:rPr>
                <w:rFonts w:ascii="宋体" w:hAnsi="宋体"/>
                <w:color w:val="auto"/>
              </w:rPr>
            </w:pPr>
            <w:r>
              <w:rPr>
                <w:rFonts w:hint="eastAsia" w:ascii="宋体" w:hAnsi="宋体"/>
                <w:color w:val="auto"/>
              </w:rPr>
              <w:t>未建设，纳入后期验收</w:t>
            </w:r>
          </w:p>
        </w:tc>
        <w:tc>
          <w:tcPr>
            <w:tcW w:w="666" w:type="pct"/>
            <w:shd w:val="clear" w:color="auto" w:fill="auto"/>
            <w:vAlign w:val="center"/>
          </w:tcPr>
          <w:p w14:paraId="74031BE3">
            <w:pPr>
              <w:adjustRightInd w:val="0"/>
              <w:snapToGrid w:val="0"/>
              <w:jc w:val="center"/>
              <w:rPr>
                <w:rFonts w:ascii="宋体" w:hAnsi="宋体"/>
                <w:color w:val="auto"/>
              </w:rPr>
            </w:pPr>
            <w:r>
              <w:rPr>
                <w:rFonts w:hint="eastAsia" w:ascii="宋体" w:hAnsi="宋体"/>
                <w:color w:val="auto"/>
              </w:rPr>
              <w:t>分期建设</w:t>
            </w:r>
          </w:p>
        </w:tc>
      </w:tr>
      <w:tr w14:paraId="2CFF3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restart"/>
            <w:shd w:val="clear" w:color="auto" w:fill="auto"/>
            <w:vAlign w:val="center"/>
          </w:tcPr>
          <w:p w14:paraId="13D16C6B">
            <w:pPr>
              <w:adjustRightInd w:val="0"/>
              <w:snapToGrid w:val="0"/>
              <w:jc w:val="center"/>
              <w:rPr>
                <w:rFonts w:ascii="宋体" w:hAnsi="宋体" w:cs="宋体"/>
                <w:color w:val="auto"/>
              </w:rPr>
            </w:pPr>
            <w:r>
              <w:rPr>
                <w:rFonts w:hint="eastAsia" w:ascii="宋体" w:hAnsi="宋体" w:cs="宋体"/>
                <w:color w:val="auto"/>
              </w:rPr>
              <w:t>辅助工程</w:t>
            </w:r>
          </w:p>
        </w:tc>
        <w:tc>
          <w:tcPr>
            <w:tcW w:w="610" w:type="pct"/>
            <w:gridSpan w:val="2"/>
            <w:shd w:val="clear" w:color="auto" w:fill="auto"/>
            <w:vAlign w:val="center"/>
          </w:tcPr>
          <w:p w14:paraId="1D861CE4">
            <w:pPr>
              <w:adjustRightInd w:val="0"/>
              <w:snapToGrid w:val="0"/>
              <w:jc w:val="center"/>
              <w:rPr>
                <w:rFonts w:ascii="宋体" w:hAnsi="宋体" w:cs="宋体"/>
                <w:color w:val="auto"/>
              </w:rPr>
            </w:pPr>
            <w:r>
              <w:rPr>
                <w:rFonts w:hint="eastAsia" w:ascii="宋体" w:hAnsi="宋体"/>
                <w:color w:val="auto"/>
              </w:rPr>
              <w:t>道路工程</w:t>
            </w:r>
          </w:p>
        </w:tc>
        <w:tc>
          <w:tcPr>
            <w:tcW w:w="1371" w:type="pct"/>
            <w:shd w:val="clear" w:color="auto" w:fill="auto"/>
            <w:vAlign w:val="center"/>
          </w:tcPr>
          <w:p w14:paraId="52280C27">
            <w:pPr>
              <w:adjustRightInd w:val="0"/>
              <w:snapToGrid w:val="0"/>
              <w:jc w:val="center"/>
              <w:rPr>
                <w:rFonts w:ascii="宋体" w:hAnsi="宋体" w:cs="宋体"/>
                <w:color w:val="auto"/>
              </w:rPr>
            </w:pPr>
            <w:r>
              <w:rPr>
                <w:rFonts w:hint="eastAsia" w:ascii="宋体" w:hAnsi="宋体"/>
                <w:color w:val="auto"/>
              </w:rPr>
              <w:t>新建宽4m通井土路3.5km</w:t>
            </w:r>
          </w:p>
        </w:tc>
        <w:tc>
          <w:tcPr>
            <w:tcW w:w="1031" w:type="pct"/>
            <w:shd w:val="clear" w:color="auto" w:fill="auto"/>
            <w:vAlign w:val="center"/>
          </w:tcPr>
          <w:p w14:paraId="5E9DFF16">
            <w:pPr>
              <w:adjustRightInd w:val="0"/>
              <w:snapToGrid w:val="0"/>
              <w:jc w:val="center"/>
              <w:rPr>
                <w:rFonts w:ascii="宋体" w:hAnsi="宋体" w:cs="宋体"/>
                <w:color w:val="auto"/>
              </w:rPr>
            </w:pPr>
            <w:r>
              <w:rPr>
                <w:rFonts w:hint="eastAsia" w:ascii="宋体" w:hAnsi="宋体"/>
                <w:color w:val="auto"/>
              </w:rPr>
              <w:t>新建宽4m通井土路0.6km</w:t>
            </w:r>
          </w:p>
        </w:tc>
        <w:tc>
          <w:tcPr>
            <w:tcW w:w="834" w:type="pct"/>
            <w:shd w:val="clear" w:color="auto" w:fill="auto"/>
            <w:vAlign w:val="center"/>
          </w:tcPr>
          <w:p w14:paraId="09495895">
            <w:pPr>
              <w:adjustRightInd w:val="0"/>
              <w:snapToGrid w:val="0"/>
              <w:jc w:val="center"/>
              <w:rPr>
                <w:rFonts w:ascii="宋体" w:hAnsi="宋体" w:cs="宋体"/>
                <w:color w:val="auto"/>
              </w:rPr>
            </w:pPr>
            <w:r>
              <w:rPr>
                <w:rFonts w:hint="eastAsia" w:ascii="宋体" w:hAnsi="宋体"/>
                <w:color w:val="auto"/>
              </w:rPr>
              <w:t>通井路工程量减少</w:t>
            </w:r>
          </w:p>
        </w:tc>
        <w:tc>
          <w:tcPr>
            <w:tcW w:w="666" w:type="pct"/>
            <w:shd w:val="clear" w:color="auto" w:fill="auto"/>
            <w:vAlign w:val="center"/>
          </w:tcPr>
          <w:p w14:paraId="2922E6AC">
            <w:pPr>
              <w:adjustRightInd w:val="0"/>
              <w:snapToGrid w:val="0"/>
              <w:jc w:val="center"/>
              <w:rPr>
                <w:rFonts w:ascii="宋体" w:hAnsi="宋体" w:cs="宋体"/>
                <w:color w:val="auto"/>
              </w:rPr>
            </w:pPr>
            <w:r>
              <w:rPr>
                <w:rFonts w:hint="eastAsia" w:ascii="宋体" w:hAnsi="宋体" w:cs="宋体"/>
                <w:color w:val="auto"/>
              </w:rPr>
              <w:t>分期建设，油井数量少于环评，配套通井路工程量减少</w:t>
            </w:r>
          </w:p>
        </w:tc>
      </w:tr>
      <w:tr w14:paraId="22CEA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665E051E">
            <w:pPr>
              <w:adjustRightInd w:val="0"/>
              <w:snapToGrid w:val="0"/>
              <w:jc w:val="center"/>
              <w:rPr>
                <w:rFonts w:ascii="宋体" w:hAnsi="宋体" w:cs="宋体"/>
                <w:color w:val="auto"/>
              </w:rPr>
            </w:pPr>
          </w:p>
        </w:tc>
        <w:tc>
          <w:tcPr>
            <w:tcW w:w="305" w:type="pct"/>
            <w:vMerge w:val="restart"/>
            <w:shd w:val="clear" w:color="auto" w:fill="auto"/>
            <w:vAlign w:val="center"/>
          </w:tcPr>
          <w:p w14:paraId="450D3626">
            <w:pPr>
              <w:adjustRightInd w:val="0"/>
              <w:snapToGrid w:val="0"/>
              <w:jc w:val="center"/>
              <w:rPr>
                <w:rFonts w:ascii="宋体" w:hAnsi="宋体" w:cs="宋体"/>
                <w:color w:val="auto"/>
              </w:rPr>
            </w:pPr>
            <w:r>
              <w:rPr>
                <w:rFonts w:hint="eastAsia" w:ascii="宋体" w:hAnsi="宋体"/>
                <w:color w:val="auto"/>
              </w:rPr>
              <w:t>穿跨越</w:t>
            </w:r>
          </w:p>
        </w:tc>
        <w:tc>
          <w:tcPr>
            <w:tcW w:w="305" w:type="pct"/>
            <w:shd w:val="clear" w:color="auto" w:fill="auto"/>
            <w:vAlign w:val="center"/>
          </w:tcPr>
          <w:p w14:paraId="23D89B2A">
            <w:pPr>
              <w:adjustRightInd w:val="0"/>
              <w:snapToGrid w:val="0"/>
              <w:jc w:val="center"/>
              <w:rPr>
                <w:rFonts w:ascii="宋体" w:hAnsi="宋体" w:cs="宋体"/>
                <w:color w:val="auto"/>
              </w:rPr>
            </w:pPr>
            <w:r>
              <w:rPr>
                <w:rFonts w:hint="eastAsia" w:ascii="宋体" w:hAnsi="宋体"/>
                <w:color w:val="auto"/>
              </w:rPr>
              <w:t>道路</w:t>
            </w:r>
          </w:p>
        </w:tc>
        <w:tc>
          <w:tcPr>
            <w:tcW w:w="1371" w:type="pct"/>
            <w:shd w:val="clear" w:color="auto" w:fill="auto"/>
            <w:vAlign w:val="center"/>
          </w:tcPr>
          <w:p w14:paraId="1AC2D4F0">
            <w:pPr>
              <w:adjustRightInd w:val="0"/>
              <w:snapToGrid w:val="0"/>
              <w:jc w:val="center"/>
              <w:rPr>
                <w:rFonts w:ascii="宋体" w:hAnsi="宋体" w:cs="宋体"/>
                <w:color w:val="auto"/>
              </w:rPr>
            </w:pPr>
            <w:r>
              <w:rPr>
                <w:rFonts w:hint="eastAsia" w:ascii="宋体" w:hAnsi="宋体"/>
                <w:color w:val="auto"/>
              </w:rPr>
              <w:t>定向钻穿高速400m/2次，定向钻穿省道300m/3次，顶管穿越乡村路400m/17次，大开挖穿越土路600m/46次，均设保护套管</w:t>
            </w:r>
          </w:p>
        </w:tc>
        <w:tc>
          <w:tcPr>
            <w:tcW w:w="1031" w:type="pct"/>
            <w:shd w:val="clear" w:color="auto" w:fill="auto"/>
            <w:vAlign w:val="center"/>
          </w:tcPr>
          <w:p w14:paraId="4687D40E">
            <w:pPr>
              <w:jc w:val="center"/>
              <w:rPr>
                <w:rFonts w:ascii="宋体" w:hAnsi="宋体" w:cs="宋体"/>
                <w:color w:val="auto"/>
              </w:rPr>
            </w:pPr>
            <w:r>
              <w:rPr>
                <w:rFonts w:hint="eastAsia" w:ascii="宋体" w:hAnsi="宋体"/>
                <w:color w:val="auto"/>
              </w:rPr>
              <w:t>定向钻穿高速575m/2次，定向钻穿省道554m/1次；顶管穿越乡村路100m/3次；大开挖穿越土路200m/12次，均设保护套管</w:t>
            </w:r>
          </w:p>
        </w:tc>
        <w:tc>
          <w:tcPr>
            <w:tcW w:w="834" w:type="pct"/>
            <w:shd w:val="clear" w:color="auto" w:fill="auto"/>
            <w:vAlign w:val="center"/>
          </w:tcPr>
          <w:p w14:paraId="3766F0D5">
            <w:pPr>
              <w:jc w:val="center"/>
              <w:rPr>
                <w:rFonts w:ascii="宋体" w:hAnsi="宋体" w:cs="宋体"/>
                <w:color w:val="auto"/>
              </w:rPr>
            </w:pPr>
            <w:r>
              <w:rPr>
                <w:rFonts w:hint="eastAsia" w:ascii="宋体" w:hAnsi="宋体"/>
                <w:color w:val="auto"/>
              </w:rPr>
              <w:t>定向钻穿越道路次数少于环评</w:t>
            </w:r>
          </w:p>
        </w:tc>
        <w:tc>
          <w:tcPr>
            <w:tcW w:w="666" w:type="pct"/>
            <w:vMerge w:val="restart"/>
            <w:shd w:val="clear" w:color="auto" w:fill="auto"/>
            <w:vAlign w:val="center"/>
          </w:tcPr>
          <w:p w14:paraId="3026CCF3">
            <w:pPr>
              <w:jc w:val="center"/>
              <w:rPr>
                <w:rFonts w:ascii="宋体" w:hAnsi="宋体" w:cs="宋体"/>
                <w:color w:val="auto"/>
              </w:rPr>
            </w:pPr>
            <w:r>
              <w:rPr>
                <w:rFonts w:hint="eastAsia" w:ascii="宋体" w:hAnsi="宋体"/>
                <w:color w:val="auto"/>
              </w:rPr>
              <w:t>分期建设；根据实际施工情况进行了调整</w:t>
            </w:r>
          </w:p>
        </w:tc>
      </w:tr>
      <w:tr w14:paraId="62672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5CEF1769">
            <w:pPr>
              <w:adjustRightInd w:val="0"/>
              <w:snapToGrid w:val="0"/>
              <w:jc w:val="center"/>
              <w:rPr>
                <w:rFonts w:ascii="宋体" w:hAnsi="宋体" w:cs="宋体"/>
                <w:color w:val="auto"/>
              </w:rPr>
            </w:pPr>
          </w:p>
        </w:tc>
        <w:tc>
          <w:tcPr>
            <w:tcW w:w="305" w:type="pct"/>
            <w:vMerge w:val="continue"/>
            <w:shd w:val="clear" w:color="auto" w:fill="auto"/>
            <w:vAlign w:val="center"/>
          </w:tcPr>
          <w:p w14:paraId="1DF294D3">
            <w:pPr>
              <w:adjustRightInd w:val="0"/>
              <w:snapToGrid w:val="0"/>
              <w:jc w:val="center"/>
              <w:rPr>
                <w:rFonts w:ascii="宋体" w:hAnsi="宋体"/>
                <w:color w:val="auto"/>
              </w:rPr>
            </w:pPr>
          </w:p>
        </w:tc>
        <w:tc>
          <w:tcPr>
            <w:tcW w:w="305" w:type="pct"/>
            <w:shd w:val="clear" w:color="auto" w:fill="auto"/>
            <w:vAlign w:val="center"/>
          </w:tcPr>
          <w:p w14:paraId="7068092E">
            <w:pPr>
              <w:adjustRightInd w:val="0"/>
              <w:snapToGrid w:val="0"/>
              <w:jc w:val="center"/>
              <w:rPr>
                <w:rFonts w:ascii="宋体" w:hAnsi="宋体" w:cs="宋体"/>
                <w:color w:val="auto"/>
              </w:rPr>
            </w:pPr>
            <w:r>
              <w:rPr>
                <w:rFonts w:hint="eastAsia" w:ascii="宋体" w:hAnsi="宋体"/>
                <w:color w:val="auto"/>
              </w:rPr>
              <w:t>水域</w:t>
            </w:r>
          </w:p>
        </w:tc>
        <w:tc>
          <w:tcPr>
            <w:tcW w:w="1371" w:type="pct"/>
            <w:shd w:val="clear" w:color="auto" w:fill="auto"/>
            <w:vAlign w:val="center"/>
          </w:tcPr>
          <w:p w14:paraId="0BA02091">
            <w:pPr>
              <w:adjustRightInd w:val="0"/>
              <w:snapToGrid w:val="0"/>
              <w:jc w:val="center"/>
              <w:rPr>
                <w:rFonts w:ascii="宋体" w:hAnsi="宋体" w:cs="宋体"/>
                <w:color w:val="auto"/>
              </w:rPr>
            </w:pPr>
            <w:r>
              <w:rPr>
                <w:rFonts w:hint="eastAsia" w:ascii="宋体" w:hAnsi="宋体"/>
                <w:color w:val="auto"/>
              </w:rPr>
              <w:t>定向钻穿越引黄干渠500m/1次；定向钻穿越三号支沟、北支新河、杜窑沟各1次，1500m/3次；定向钻穿越沟渠3次，100m/1次；跨越沟渠4次；穿越均设保护套管</w:t>
            </w:r>
          </w:p>
        </w:tc>
        <w:tc>
          <w:tcPr>
            <w:tcW w:w="1031" w:type="pct"/>
            <w:shd w:val="clear" w:color="auto" w:fill="auto"/>
            <w:vAlign w:val="center"/>
          </w:tcPr>
          <w:p w14:paraId="53DB02C0">
            <w:pPr>
              <w:jc w:val="center"/>
              <w:rPr>
                <w:rFonts w:ascii="宋体" w:hAnsi="宋体"/>
                <w:color w:val="auto"/>
              </w:rPr>
            </w:pPr>
            <w:r>
              <w:rPr>
                <w:rFonts w:hint="eastAsia" w:ascii="宋体" w:hAnsi="宋体"/>
                <w:color w:val="auto"/>
              </w:rPr>
              <w:t>定向钻穿越二斗沟325m/1次； 定向钻穿越过青干渠518m/1次</w:t>
            </w:r>
          </w:p>
        </w:tc>
        <w:tc>
          <w:tcPr>
            <w:tcW w:w="834" w:type="pct"/>
            <w:shd w:val="clear" w:color="auto" w:fill="auto"/>
            <w:vAlign w:val="center"/>
          </w:tcPr>
          <w:p w14:paraId="06628A55">
            <w:pPr>
              <w:jc w:val="center"/>
              <w:rPr>
                <w:rFonts w:ascii="宋体" w:hAnsi="宋体" w:cs="宋体"/>
                <w:color w:val="auto"/>
              </w:rPr>
            </w:pPr>
            <w:r>
              <w:rPr>
                <w:rFonts w:hint="eastAsia" w:ascii="宋体" w:hAnsi="宋体"/>
                <w:color w:val="auto"/>
              </w:rPr>
              <w:t>定向钻穿越水域次数少于环评</w:t>
            </w:r>
          </w:p>
        </w:tc>
        <w:tc>
          <w:tcPr>
            <w:tcW w:w="666" w:type="pct"/>
            <w:vMerge w:val="continue"/>
            <w:shd w:val="clear" w:color="auto" w:fill="auto"/>
            <w:vAlign w:val="center"/>
          </w:tcPr>
          <w:p w14:paraId="67AB4694">
            <w:pPr>
              <w:jc w:val="center"/>
              <w:rPr>
                <w:rFonts w:ascii="宋体" w:hAnsi="宋体" w:cs="宋体"/>
                <w:color w:val="auto"/>
              </w:rPr>
            </w:pPr>
          </w:p>
        </w:tc>
      </w:tr>
      <w:tr w14:paraId="167C1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50942220">
            <w:pPr>
              <w:adjustRightInd w:val="0"/>
              <w:snapToGrid w:val="0"/>
              <w:jc w:val="center"/>
              <w:rPr>
                <w:rFonts w:ascii="宋体" w:hAnsi="宋体" w:cs="宋体"/>
                <w:color w:val="auto"/>
              </w:rPr>
            </w:pPr>
          </w:p>
        </w:tc>
        <w:tc>
          <w:tcPr>
            <w:tcW w:w="305" w:type="pct"/>
            <w:vMerge w:val="restart"/>
            <w:shd w:val="clear" w:color="auto" w:fill="auto"/>
            <w:vAlign w:val="center"/>
          </w:tcPr>
          <w:p w14:paraId="4337E4AC">
            <w:pPr>
              <w:adjustRightInd w:val="0"/>
              <w:snapToGrid w:val="0"/>
              <w:jc w:val="center"/>
              <w:rPr>
                <w:rFonts w:ascii="宋体" w:hAnsi="宋体" w:cs="宋体"/>
                <w:color w:val="auto"/>
              </w:rPr>
            </w:pPr>
            <w:r>
              <w:rPr>
                <w:rFonts w:hint="eastAsia" w:ascii="宋体" w:hAnsi="宋体"/>
                <w:color w:val="auto"/>
              </w:rPr>
              <w:t>供电工程</w:t>
            </w:r>
          </w:p>
        </w:tc>
        <w:tc>
          <w:tcPr>
            <w:tcW w:w="305" w:type="pct"/>
            <w:shd w:val="clear" w:color="auto" w:fill="auto"/>
            <w:vAlign w:val="center"/>
          </w:tcPr>
          <w:p w14:paraId="1D86D200">
            <w:pPr>
              <w:adjustRightInd w:val="0"/>
              <w:snapToGrid w:val="0"/>
              <w:jc w:val="center"/>
              <w:rPr>
                <w:rFonts w:ascii="宋体" w:hAnsi="宋体" w:cs="宋体"/>
                <w:color w:val="auto"/>
              </w:rPr>
            </w:pPr>
            <w:r>
              <w:rPr>
                <w:rFonts w:hint="eastAsia" w:ascii="宋体" w:hAnsi="宋体"/>
                <w:color w:val="auto"/>
              </w:rPr>
              <w:t>井口变压器</w:t>
            </w:r>
          </w:p>
        </w:tc>
        <w:tc>
          <w:tcPr>
            <w:tcW w:w="1371" w:type="pct"/>
            <w:shd w:val="clear" w:color="auto" w:fill="auto"/>
            <w:vAlign w:val="center"/>
          </w:tcPr>
          <w:p w14:paraId="45086778">
            <w:pPr>
              <w:adjustRightInd w:val="0"/>
              <w:snapToGrid w:val="0"/>
              <w:jc w:val="center"/>
              <w:rPr>
                <w:rFonts w:ascii="宋体" w:hAnsi="宋体" w:cs="宋体"/>
                <w:color w:val="auto"/>
              </w:rPr>
            </w:pPr>
            <w:r>
              <w:rPr>
                <w:rFonts w:hint="eastAsia" w:ascii="宋体" w:hAnsi="宋体"/>
                <w:color w:val="auto"/>
              </w:rPr>
              <w:t>50kVA  46台、100kVA 10台、160kVA 5台</w:t>
            </w:r>
          </w:p>
        </w:tc>
        <w:tc>
          <w:tcPr>
            <w:tcW w:w="1031" w:type="pct"/>
            <w:shd w:val="clear" w:color="auto" w:fill="auto"/>
            <w:vAlign w:val="center"/>
          </w:tcPr>
          <w:p w14:paraId="444E4B23">
            <w:pPr>
              <w:jc w:val="center"/>
              <w:rPr>
                <w:rFonts w:ascii="宋体" w:hAnsi="宋体"/>
                <w:color w:val="auto"/>
              </w:rPr>
            </w:pPr>
            <w:r>
              <w:rPr>
                <w:rFonts w:hint="eastAsia" w:ascii="宋体" w:hAnsi="宋体"/>
                <w:color w:val="auto"/>
              </w:rPr>
              <w:t>50kVA  16台</w:t>
            </w:r>
          </w:p>
        </w:tc>
        <w:tc>
          <w:tcPr>
            <w:tcW w:w="834" w:type="pct"/>
            <w:shd w:val="clear" w:color="auto" w:fill="auto"/>
            <w:vAlign w:val="center"/>
          </w:tcPr>
          <w:p w14:paraId="3B5C34E1">
            <w:pPr>
              <w:jc w:val="center"/>
              <w:rPr>
                <w:rFonts w:ascii="宋体" w:hAnsi="宋体" w:cs="宋体"/>
                <w:color w:val="auto"/>
              </w:rPr>
            </w:pPr>
            <w:r>
              <w:rPr>
                <w:rFonts w:hint="eastAsia" w:ascii="宋体" w:hAnsi="宋体"/>
                <w:color w:val="auto"/>
              </w:rPr>
              <w:t>数量减少，分期建设，减少部分纳入后续验收</w:t>
            </w:r>
          </w:p>
        </w:tc>
        <w:tc>
          <w:tcPr>
            <w:tcW w:w="666" w:type="pct"/>
            <w:shd w:val="clear" w:color="auto" w:fill="auto"/>
            <w:vAlign w:val="center"/>
          </w:tcPr>
          <w:p w14:paraId="73209999">
            <w:pPr>
              <w:jc w:val="center"/>
              <w:rPr>
                <w:rFonts w:ascii="宋体" w:hAnsi="宋体" w:cs="宋体"/>
                <w:color w:val="auto"/>
              </w:rPr>
            </w:pPr>
            <w:r>
              <w:rPr>
                <w:rFonts w:hint="eastAsia" w:ascii="宋体" w:hAnsi="宋体"/>
                <w:color w:val="auto"/>
              </w:rPr>
              <w:t>分期建设</w:t>
            </w:r>
          </w:p>
        </w:tc>
      </w:tr>
      <w:tr w14:paraId="4F254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2638C41B">
            <w:pPr>
              <w:adjustRightInd w:val="0"/>
              <w:snapToGrid w:val="0"/>
              <w:jc w:val="center"/>
              <w:rPr>
                <w:rFonts w:ascii="宋体" w:hAnsi="宋体" w:cs="宋体"/>
                <w:color w:val="auto"/>
              </w:rPr>
            </w:pPr>
          </w:p>
        </w:tc>
        <w:tc>
          <w:tcPr>
            <w:tcW w:w="305" w:type="pct"/>
            <w:vMerge w:val="continue"/>
            <w:shd w:val="clear" w:color="auto" w:fill="auto"/>
            <w:vAlign w:val="center"/>
          </w:tcPr>
          <w:p w14:paraId="4390FDC2">
            <w:pPr>
              <w:adjustRightInd w:val="0"/>
              <w:snapToGrid w:val="0"/>
              <w:jc w:val="center"/>
              <w:rPr>
                <w:rFonts w:ascii="宋体" w:hAnsi="宋体" w:cs="宋体"/>
                <w:color w:val="auto"/>
              </w:rPr>
            </w:pPr>
          </w:p>
        </w:tc>
        <w:tc>
          <w:tcPr>
            <w:tcW w:w="305" w:type="pct"/>
            <w:shd w:val="clear" w:color="auto" w:fill="auto"/>
            <w:vAlign w:val="center"/>
          </w:tcPr>
          <w:p w14:paraId="70696980">
            <w:pPr>
              <w:adjustRightInd w:val="0"/>
              <w:snapToGrid w:val="0"/>
              <w:jc w:val="center"/>
              <w:rPr>
                <w:rFonts w:ascii="宋体" w:hAnsi="宋体" w:cs="宋体"/>
                <w:color w:val="auto"/>
              </w:rPr>
            </w:pPr>
            <w:r>
              <w:rPr>
                <w:rFonts w:hint="eastAsia" w:ascii="宋体" w:hAnsi="宋体"/>
                <w:color w:val="auto"/>
              </w:rPr>
              <w:t>供电线路</w:t>
            </w:r>
          </w:p>
        </w:tc>
        <w:tc>
          <w:tcPr>
            <w:tcW w:w="1371" w:type="pct"/>
            <w:shd w:val="clear" w:color="auto" w:fill="auto"/>
            <w:vAlign w:val="center"/>
          </w:tcPr>
          <w:p w14:paraId="274D93FE">
            <w:pPr>
              <w:adjustRightInd w:val="0"/>
              <w:snapToGrid w:val="0"/>
              <w:jc w:val="center"/>
              <w:rPr>
                <w:rFonts w:ascii="宋体" w:hAnsi="宋体" w:cs="宋体"/>
                <w:color w:val="auto"/>
              </w:rPr>
            </w:pPr>
            <w:r>
              <w:rPr>
                <w:rFonts w:hint="eastAsia" w:ascii="宋体" w:hAnsi="宋体"/>
                <w:color w:val="auto"/>
              </w:rPr>
              <w:t>6kV架空线路LGJ-70 5.5km</w:t>
            </w:r>
          </w:p>
        </w:tc>
        <w:tc>
          <w:tcPr>
            <w:tcW w:w="1031" w:type="pct"/>
            <w:shd w:val="clear" w:color="auto" w:fill="auto"/>
            <w:vAlign w:val="center"/>
          </w:tcPr>
          <w:p w14:paraId="3F144DD0">
            <w:pPr>
              <w:jc w:val="center"/>
              <w:rPr>
                <w:rFonts w:ascii="宋体" w:hAnsi="宋体"/>
                <w:color w:val="auto"/>
              </w:rPr>
            </w:pPr>
            <w:r>
              <w:rPr>
                <w:rFonts w:hint="eastAsia" w:ascii="宋体" w:hAnsi="宋体"/>
                <w:color w:val="auto"/>
              </w:rPr>
              <w:t>6kV架空线路 1.2km</w:t>
            </w:r>
          </w:p>
        </w:tc>
        <w:tc>
          <w:tcPr>
            <w:tcW w:w="834" w:type="pct"/>
            <w:shd w:val="clear" w:color="auto" w:fill="auto"/>
            <w:vAlign w:val="center"/>
          </w:tcPr>
          <w:p w14:paraId="66CA59C7">
            <w:pPr>
              <w:jc w:val="center"/>
              <w:rPr>
                <w:rFonts w:ascii="宋体" w:hAnsi="宋体" w:cs="宋体"/>
                <w:color w:val="auto"/>
              </w:rPr>
            </w:pPr>
            <w:r>
              <w:rPr>
                <w:rFonts w:hint="eastAsia" w:ascii="宋体" w:hAnsi="宋体"/>
                <w:color w:val="auto"/>
              </w:rPr>
              <w:t>减少</w:t>
            </w:r>
          </w:p>
        </w:tc>
        <w:tc>
          <w:tcPr>
            <w:tcW w:w="666" w:type="pct"/>
            <w:shd w:val="clear" w:color="auto" w:fill="auto"/>
            <w:vAlign w:val="center"/>
          </w:tcPr>
          <w:p w14:paraId="341491EE">
            <w:pPr>
              <w:jc w:val="center"/>
              <w:rPr>
                <w:rFonts w:ascii="宋体" w:hAnsi="宋体" w:cs="宋体"/>
                <w:color w:val="auto"/>
              </w:rPr>
            </w:pPr>
            <w:r>
              <w:rPr>
                <w:rFonts w:hint="eastAsia" w:ascii="宋体" w:hAnsi="宋体"/>
                <w:color w:val="auto"/>
              </w:rPr>
              <w:t>分期建设</w:t>
            </w:r>
          </w:p>
        </w:tc>
      </w:tr>
      <w:tr w14:paraId="21975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4C2274E2">
            <w:pPr>
              <w:adjustRightInd w:val="0"/>
              <w:snapToGrid w:val="0"/>
              <w:jc w:val="center"/>
              <w:rPr>
                <w:rFonts w:ascii="宋体" w:hAnsi="宋体" w:cs="宋体"/>
                <w:color w:val="auto"/>
              </w:rPr>
            </w:pPr>
          </w:p>
        </w:tc>
        <w:tc>
          <w:tcPr>
            <w:tcW w:w="305" w:type="pct"/>
            <w:vMerge w:val="restart"/>
            <w:shd w:val="clear" w:color="auto" w:fill="auto"/>
            <w:vAlign w:val="center"/>
          </w:tcPr>
          <w:p w14:paraId="6787DF1A">
            <w:pPr>
              <w:adjustRightInd w:val="0"/>
              <w:snapToGrid w:val="0"/>
              <w:jc w:val="center"/>
              <w:rPr>
                <w:rFonts w:ascii="宋体" w:hAnsi="宋体" w:cs="宋体"/>
                <w:color w:val="auto"/>
              </w:rPr>
            </w:pPr>
            <w:r>
              <w:rPr>
                <w:rFonts w:hint="eastAsia" w:ascii="宋体" w:hAnsi="宋体"/>
                <w:color w:val="auto"/>
              </w:rPr>
              <w:t>自控</w:t>
            </w:r>
          </w:p>
        </w:tc>
        <w:tc>
          <w:tcPr>
            <w:tcW w:w="305" w:type="pct"/>
            <w:shd w:val="clear" w:color="auto" w:fill="auto"/>
            <w:vAlign w:val="center"/>
          </w:tcPr>
          <w:p w14:paraId="144B3E23">
            <w:pPr>
              <w:adjustRightInd w:val="0"/>
              <w:snapToGrid w:val="0"/>
              <w:jc w:val="center"/>
              <w:rPr>
                <w:rFonts w:ascii="宋体" w:hAnsi="宋体" w:cs="宋体"/>
                <w:color w:val="auto"/>
              </w:rPr>
            </w:pPr>
            <w:r>
              <w:rPr>
                <w:rFonts w:hint="eastAsia" w:ascii="宋体" w:hAnsi="宋体"/>
                <w:color w:val="auto"/>
              </w:rPr>
              <w:t>监控系统</w:t>
            </w:r>
          </w:p>
        </w:tc>
        <w:tc>
          <w:tcPr>
            <w:tcW w:w="1371" w:type="pct"/>
            <w:shd w:val="clear" w:color="auto" w:fill="auto"/>
            <w:vAlign w:val="center"/>
          </w:tcPr>
          <w:p w14:paraId="71BE3BAC">
            <w:pPr>
              <w:adjustRightInd w:val="0"/>
              <w:snapToGrid w:val="0"/>
              <w:jc w:val="center"/>
              <w:rPr>
                <w:rFonts w:ascii="宋体" w:hAnsi="宋体" w:cs="宋体"/>
                <w:color w:val="auto"/>
              </w:rPr>
            </w:pPr>
            <w:r>
              <w:rPr>
                <w:rFonts w:hint="eastAsia" w:ascii="宋体" w:hAnsi="宋体"/>
                <w:color w:val="auto"/>
              </w:rPr>
              <w:t>46套</w:t>
            </w:r>
          </w:p>
        </w:tc>
        <w:tc>
          <w:tcPr>
            <w:tcW w:w="1031" w:type="pct"/>
            <w:shd w:val="clear" w:color="auto" w:fill="auto"/>
            <w:vAlign w:val="center"/>
          </w:tcPr>
          <w:p w14:paraId="11C97769">
            <w:pPr>
              <w:jc w:val="center"/>
              <w:rPr>
                <w:rFonts w:ascii="宋体" w:hAnsi="宋体" w:cs="宋体"/>
                <w:color w:val="auto"/>
              </w:rPr>
            </w:pPr>
            <w:r>
              <w:rPr>
                <w:rFonts w:ascii="宋体" w:hAnsi="宋体"/>
                <w:color w:val="auto"/>
              </w:rPr>
              <w:t>12</w:t>
            </w:r>
            <w:r>
              <w:rPr>
                <w:rFonts w:hint="eastAsia" w:ascii="宋体" w:hAnsi="宋体"/>
                <w:color w:val="auto"/>
              </w:rPr>
              <w:t>套</w:t>
            </w:r>
          </w:p>
        </w:tc>
        <w:tc>
          <w:tcPr>
            <w:tcW w:w="834" w:type="pct"/>
            <w:shd w:val="clear" w:color="auto" w:fill="auto"/>
            <w:vAlign w:val="center"/>
          </w:tcPr>
          <w:p w14:paraId="3F7BAFA0">
            <w:pPr>
              <w:jc w:val="center"/>
              <w:rPr>
                <w:rFonts w:ascii="宋体" w:hAnsi="宋体"/>
                <w:color w:val="auto"/>
              </w:rPr>
            </w:pPr>
            <w:r>
              <w:rPr>
                <w:rFonts w:hint="eastAsia" w:ascii="宋体" w:hAnsi="宋体"/>
                <w:color w:val="auto"/>
              </w:rPr>
              <w:t>减少</w:t>
            </w:r>
            <w:r>
              <w:rPr>
                <w:rFonts w:ascii="宋体" w:hAnsi="宋体"/>
                <w:color w:val="auto"/>
              </w:rPr>
              <w:t>34</w:t>
            </w:r>
            <w:r>
              <w:rPr>
                <w:rFonts w:hint="eastAsia" w:ascii="宋体" w:hAnsi="宋体"/>
                <w:color w:val="auto"/>
              </w:rPr>
              <w:t>套</w:t>
            </w:r>
          </w:p>
        </w:tc>
        <w:tc>
          <w:tcPr>
            <w:tcW w:w="666" w:type="pct"/>
            <w:vMerge w:val="restart"/>
            <w:shd w:val="clear" w:color="auto" w:fill="auto"/>
            <w:vAlign w:val="center"/>
          </w:tcPr>
          <w:p w14:paraId="42986CF7">
            <w:pPr>
              <w:jc w:val="center"/>
              <w:rPr>
                <w:rFonts w:ascii="宋体" w:hAnsi="宋体" w:cs="宋体"/>
                <w:color w:val="auto"/>
              </w:rPr>
            </w:pPr>
            <w:r>
              <w:rPr>
                <w:rFonts w:hint="eastAsia" w:ascii="宋体" w:hAnsi="宋体" w:cs="宋体"/>
                <w:color w:val="auto"/>
              </w:rPr>
              <w:t>分期建设，油水井数量及井场数量少于环评，配套自控系统数量减少</w:t>
            </w:r>
          </w:p>
        </w:tc>
      </w:tr>
      <w:tr w14:paraId="5D08F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466756EB">
            <w:pPr>
              <w:adjustRightInd w:val="0"/>
              <w:snapToGrid w:val="0"/>
              <w:jc w:val="center"/>
              <w:rPr>
                <w:rFonts w:ascii="宋体" w:hAnsi="宋体" w:cs="宋体"/>
                <w:color w:val="auto"/>
              </w:rPr>
            </w:pPr>
          </w:p>
        </w:tc>
        <w:tc>
          <w:tcPr>
            <w:tcW w:w="305" w:type="pct"/>
            <w:vMerge w:val="continue"/>
            <w:shd w:val="clear" w:color="auto" w:fill="auto"/>
            <w:vAlign w:val="center"/>
          </w:tcPr>
          <w:p w14:paraId="308D2B14">
            <w:pPr>
              <w:adjustRightInd w:val="0"/>
              <w:snapToGrid w:val="0"/>
              <w:jc w:val="center"/>
              <w:rPr>
                <w:rFonts w:ascii="宋体" w:hAnsi="宋体"/>
                <w:color w:val="auto"/>
              </w:rPr>
            </w:pPr>
          </w:p>
        </w:tc>
        <w:tc>
          <w:tcPr>
            <w:tcW w:w="305" w:type="pct"/>
            <w:shd w:val="clear" w:color="auto" w:fill="auto"/>
            <w:vAlign w:val="center"/>
          </w:tcPr>
          <w:p w14:paraId="0FABB364">
            <w:pPr>
              <w:adjustRightInd w:val="0"/>
              <w:snapToGrid w:val="0"/>
              <w:jc w:val="center"/>
              <w:rPr>
                <w:rFonts w:ascii="宋体" w:hAnsi="宋体" w:cs="宋体"/>
                <w:color w:val="auto"/>
              </w:rPr>
            </w:pPr>
            <w:r>
              <w:rPr>
                <w:rFonts w:hint="eastAsia" w:ascii="宋体" w:hAnsi="宋体"/>
                <w:color w:val="auto"/>
              </w:rPr>
              <w:t>RTU系统</w:t>
            </w:r>
          </w:p>
        </w:tc>
        <w:tc>
          <w:tcPr>
            <w:tcW w:w="1371" w:type="pct"/>
            <w:shd w:val="clear" w:color="auto" w:fill="auto"/>
            <w:vAlign w:val="center"/>
          </w:tcPr>
          <w:p w14:paraId="67E82679">
            <w:pPr>
              <w:adjustRightInd w:val="0"/>
              <w:snapToGrid w:val="0"/>
              <w:jc w:val="center"/>
              <w:rPr>
                <w:rFonts w:ascii="宋体" w:hAnsi="宋体" w:cs="宋体"/>
                <w:color w:val="auto"/>
              </w:rPr>
            </w:pPr>
            <w:r>
              <w:rPr>
                <w:rFonts w:hint="eastAsia" w:ascii="宋体" w:hAnsi="宋体"/>
                <w:color w:val="auto"/>
              </w:rPr>
              <w:t>108套</w:t>
            </w:r>
          </w:p>
        </w:tc>
        <w:tc>
          <w:tcPr>
            <w:tcW w:w="1031" w:type="pct"/>
            <w:shd w:val="clear" w:color="auto" w:fill="auto"/>
            <w:vAlign w:val="center"/>
          </w:tcPr>
          <w:p w14:paraId="7A9FFCC6">
            <w:pPr>
              <w:jc w:val="center"/>
              <w:rPr>
                <w:rFonts w:ascii="宋体" w:hAnsi="宋体" w:cs="宋体"/>
                <w:color w:val="auto"/>
              </w:rPr>
            </w:pPr>
            <w:r>
              <w:rPr>
                <w:rFonts w:hint="eastAsia" w:ascii="宋体" w:hAnsi="宋体"/>
                <w:color w:val="auto"/>
              </w:rPr>
              <w:t>16套</w:t>
            </w:r>
          </w:p>
        </w:tc>
        <w:tc>
          <w:tcPr>
            <w:tcW w:w="834" w:type="pct"/>
            <w:shd w:val="clear" w:color="auto" w:fill="auto"/>
            <w:vAlign w:val="center"/>
          </w:tcPr>
          <w:p w14:paraId="781E5D20">
            <w:pPr>
              <w:jc w:val="center"/>
              <w:rPr>
                <w:rFonts w:ascii="宋体" w:hAnsi="宋体" w:cs="宋体"/>
                <w:color w:val="auto"/>
              </w:rPr>
            </w:pPr>
            <w:r>
              <w:rPr>
                <w:rFonts w:hint="eastAsia" w:ascii="宋体" w:hAnsi="宋体" w:cs="宋体"/>
                <w:color w:val="auto"/>
              </w:rPr>
              <w:t>减少9</w:t>
            </w:r>
            <w:r>
              <w:rPr>
                <w:rFonts w:ascii="宋体" w:hAnsi="宋体" w:cs="宋体"/>
                <w:color w:val="auto"/>
              </w:rPr>
              <w:t>2</w:t>
            </w:r>
            <w:r>
              <w:rPr>
                <w:rFonts w:hint="eastAsia" w:ascii="宋体" w:hAnsi="宋体" w:cs="宋体"/>
                <w:color w:val="auto"/>
              </w:rPr>
              <w:t>套</w:t>
            </w:r>
          </w:p>
        </w:tc>
        <w:tc>
          <w:tcPr>
            <w:tcW w:w="666" w:type="pct"/>
            <w:vMerge w:val="continue"/>
            <w:shd w:val="clear" w:color="auto" w:fill="auto"/>
            <w:vAlign w:val="center"/>
          </w:tcPr>
          <w:p w14:paraId="62BEAC14">
            <w:pPr>
              <w:jc w:val="center"/>
              <w:rPr>
                <w:rFonts w:ascii="宋体" w:hAnsi="宋体" w:cs="宋体"/>
                <w:color w:val="auto"/>
              </w:rPr>
            </w:pPr>
          </w:p>
        </w:tc>
      </w:tr>
      <w:tr w14:paraId="6A81C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shd w:val="clear" w:color="auto" w:fill="auto"/>
            <w:vAlign w:val="center"/>
          </w:tcPr>
          <w:p w14:paraId="5150CA83">
            <w:pPr>
              <w:adjustRightInd w:val="0"/>
              <w:snapToGrid w:val="0"/>
              <w:jc w:val="center"/>
              <w:rPr>
                <w:rFonts w:ascii="宋体" w:hAnsi="宋体" w:cs="宋体"/>
                <w:color w:val="auto"/>
              </w:rPr>
            </w:pPr>
            <w:r>
              <w:rPr>
                <w:rFonts w:hint="eastAsia" w:ascii="宋体" w:hAnsi="宋体" w:cs="宋体"/>
                <w:color w:val="auto"/>
              </w:rPr>
              <w:t>公用工程</w:t>
            </w:r>
          </w:p>
        </w:tc>
        <w:tc>
          <w:tcPr>
            <w:tcW w:w="610" w:type="pct"/>
            <w:gridSpan w:val="2"/>
            <w:shd w:val="clear" w:color="auto" w:fill="auto"/>
            <w:vAlign w:val="center"/>
          </w:tcPr>
          <w:p w14:paraId="7A2F4C25">
            <w:pPr>
              <w:adjustRightInd w:val="0"/>
              <w:snapToGrid w:val="0"/>
              <w:jc w:val="center"/>
              <w:rPr>
                <w:rFonts w:ascii="宋体" w:hAnsi="宋体" w:cs="宋体"/>
                <w:color w:val="auto"/>
              </w:rPr>
            </w:pPr>
            <w:r>
              <w:rPr>
                <w:rFonts w:hint="eastAsia" w:ascii="宋体" w:hAnsi="宋体" w:cs="宋体"/>
                <w:color w:val="auto"/>
              </w:rPr>
              <w:t>水源井</w:t>
            </w:r>
          </w:p>
        </w:tc>
        <w:tc>
          <w:tcPr>
            <w:tcW w:w="1371" w:type="pct"/>
            <w:shd w:val="clear" w:color="auto" w:fill="auto"/>
            <w:vAlign w:val="center"/>
          </w:tcPr>
          <w:p w14:paraId="20906243">
            <w:pPr>
              <w:adjustRightInd w:val="0"/>
              <w:snapToGrid w:val="0"/>
              <w:jc w:val="center"/>
              <w:rPr>
                <w:rFonts w:ascii="宋体" w:hAnsi="宋体" w:cs="宋体"/>
                <w:color w:val="auto"/>
              </w:rPr>
            </w:pPr>
            <w:r>
              <w:rPr>
                <w:rFonts w:hint="eastAsia" w:ascii="宋体" w:hAnsi="宋体"/>
                <w:color w:val="auto"/>
              </w:rPr>
              <w:t>9口</w:t>
            </w:r>
          </w:p>
        </w:tc>
        <w:tc>
          <w:tcPr>
            <w:tcW w:w="1031" w:type="pct"/>
            <w:shd w:val="clear" w:color="auto" w:fill="auto"/>
            <w:vAlign w:val="center"/>
          </w:tcPr>
          <w:p w14:paraId="1F67FC53">
            <w:pPr>
              <w:jc w:val="center"/>
              <w:rPr>
                <w:rFonts w:ascii="宋体" w:hAnsi="宋体" w:cs="宋体"/>
                <w:color w:val="auto"/>
              </w:rPr>
            </w:pPr>
            <w:r>
              <w:rPr>
                <w:rFonts w:hint="eastAsia" w:ascii="宋体" w:hAnsi="宋体"/>
                <w:color w:val="auto"/>
              </w:rPr>
              <w:t>0口</w:t>
            </w:r>
          </w:p>
        </w:tc>
        <w:tc>
          <w:tcPr>
            <w:tcW w:w="834" w:type="pct"/>
            <w:shd w:val="clear" w:color="auto" w:fill="auto"/>
            <w:vAlign w:val="center"/>
          </w:tcPr>
          <w:p w14:paraId="025ACFE5">
            <w:pPr>
              <w:jc w:val="center"/>
              <w:rPr>
                <w:rFonts w:ascii="宋体" w:hAnsi="宋体"/>
                <w:color w:val="auto"/>
              </w:rPr>
            </w:pPr>
            <w:r>
              <w:rPr>
                <w:rFonts w:hint="eastAsia" w:ascii="宋体" w:hAnsi="宋体" w:cs="宋体"/>
                <w:color w:val="auto"/>
              </w:rPr>
              <w:t>减少9口</w:t>
            </w:r>
          </w:p>
        </w:tc>
        <w:tc>
          <w:tcPr>
            <w:tcW w:w="666" w:type="pct"/>
            <w:shd w:val="clear" w:color="auto" w:fill="auto"/>
            <w:vAlign w:val="center"/>
          </w:tcPr>
          <w:p w14:paraId="2565DE27">
            <w:pPr>
              <w:jc w:val="center"/>
              <w:rPr>
                <w:rFonts w:ascii="宋体" w:hAnsi="宋体" w:cs="宋体"/>
                <w:color w:val="auto"/>
              </w:rPr>
            </w:pPr>
            <w:r>
              <w:rPr>
                <w:rFonts w:hint="eastAsia" w:ascii="宋体" w:hAnsi="宋体"/>
                <w:color w:val="auto"/>
              </w:rPr>
              <w:t>分期建设</w:t>
            </w:r>
          </w:p>
        </w:tc>
      </w:tr>
      <w:tr w14:paraId="62743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shd w:val="clear" w:color="auto" w:fill="auto"/>
            <w:vAlign w:val="center"/>
          </w:tcPr>
          <w:p w14:paraId="12F67470">
            <w:pPr>
              <w:adjustRightInd w:val="0"/>
              <w:snapToGrid w:val="0"/>
              <w:jc w:val="center"/>
              <w:rPr>
                <w:rFonts w:ascii="宋体" w:hAnsi="宋体" w:cs="宋体"/>
                <w:color w:val="auto"/>
              </w:rPr>
            </w:pPr>
            <w:r>
              <w:rPr>
                <w:rFonts w:hint="eastAsia" w:ascii="宋体" w:hAnsi="宋体" w:cs="宋体"/>
                <w:color w:val="auto"/>
              </w:rPr>
              <w:t>排水</w:t>
            </w:r>
          </w:p>
        </w:tc>
        <w:tc>
          <w:tcPr>
            <w:tcW w:w="610" w:type="pct"/>
            <w:gridSpan w:val="2"/>
            <w:shd w:val="clear" w:color="auto" w:fill="auto"/>
            <w:vAlign w:val="center"/>
          </w:tcPr>
          <w:p w14:paraId="3C169414">
            <w:pPr>
              <w:adjustRightInd w:val="0"/>
              <w:snapToGrid w:val="0"/>
              <w:jc w:val="center"/>
              <w:rPr>
                <w:rFonts w:ascii="宋体" w:hAnsi="宋体" w:cs="宋体"/>
                <w:color w:val="auto"/>
              </w:rPr>
            </w:pPr>
            <w:r>
              <w:rPr>
                <w:rFonts w:hint="eastAsia" w:ascii="宋体" w:hAnsi="宋体" w:cs="宋体"/>
                <w:color w:val="auto"/>
              </w:rPr>
              <w:t>旱厕</w:t>
            </w:r>
          </w:p>
        </w:tc>
        <w:tc>
          <w:tcPr>
            <w:tcW w:w="1371" w:type="pct"/>
            <w:shd w:val="clear" w:color="auto" w:fill="auto"/>
            <w:vAlign w:val="center"/>
          </w:tcPr>
          <w:p w14:paraId="61637C8D">
            <w:pPr>
              <w:jc w:val="center"/>
              <w:rPr>
                <w:rFonts w:ascii="宋体" w:hAnsi="宋体" w:cs="宋体"/>
                <w:color w:val="auto"/>
              </w:rPr>
            </w:pPr>
            <w:r>
              <w:rPr>
                <w:rFonts w:hint="eastAsia" w:ascii="宋体" w:hAnsi="宋体" w:cs="宋体"/>
                <w:color w:val="auto"/>
              </w:rPr>
              <w:t>值班职工生活污水排放依托各采油队等场所内的旱厕；井场雨水自然外排</w:t>
            </w:r>
          </w:p>
        </w:tc>
        <w:tc>
          <w:tcPr>
            <w:tcW w:w="1031" w:type="pct"/>
            <w:shd w:val="clear" w:color="auto" w:fill="auto"/>
            <w:vAlign w:val="center"/>
          </w:tcPr>
          <w:p w14:paraId="786175AE">
            <w:pPr>
              <w:jc w:val="center"/>
              <w:rPr>
                <w:rFonts w:ascii="宋体" w:hAnsi="宋体" w:cs="宋体"/>
                <w:color w:val="auto"/>
              </w:rPr>
            </w:pPr>
            <w:r>
              <w:rPr>
                <w:rFonts w:hint="eastAsia" w:ascii="宋体" w:hAnsi="宋体"/>
                <w:color w:val="auto"/>
              </w:rPr>
              <w:t>值班职工生活污水排放依托各站场环保厕所；井场雨水自然外排</w:t>
            </w:r>
          </w:p>
        </w:tc>
        <w:tc>
          <w:tcPr>
            <w:tcW w:w="834" w:type="pct"/>
            <w:shd w:val="clear" w:color="auto" w:fill="auto"/>
            <w:vAlign w:val="center"/>
          </w:tcPr>
          <w:p w14:paraId="2CFF25FD">
            <w:pPr>
              <w:jc w:val="center"/>
              <w:rPr>
                <w:rFonts w:ascii="宋体" w:hAnsi="宋体"/>
                <w:color w:val="auto"/>
              </w:rPr>
            </w:pPr>
            <w:r>
              <w:rPr>
                <w:rFonts w:hint="eastAsia" w:ascii="宋体" w:hAnsi="宋体"/>
                <w:color w:val="auto"/>
              </w:rPr>
              <w:t>生活污水去向变动</w:t>
            </w:r>
          </w:p>
        </w:tc>
        <w:tc>
          <w:tcPr>
            <w:tcW w:w="666" w:type="pct"/>
            <w:shd w:val="clear" w:color="auto" w:fill="auto"/>
            <w:vAlign w:val="center"/>
          </w:tcPr>
          <w:p w14:paraId="2A02C378">
            <w:pPr>
              <w:jc w:val="center"/>
              <w:rPr>
                <w:rFonts w:ascii="宋体" w:hAnsi="宋体" w:cs="宋体"/>
                <w:color w:val="auto"/>
              </w:rPr>
            </w:pPr>
            <w:r>
              <w:rPr>
                <w:rFonts w:hint="eastAsia" w:ascii="宋体" w:hAnsi="宋体"/>
                <w:color w:val="auto"/>
              </w:rPr>
              <w:t>根据实际情况调整了生活污水处置去向</w:t>
            </w:r>
          </w:p>
        </w:tc>
      </w:tr>
      <w:tr w14:paraId="1C34C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restart"/>
            <w:shd w:val="clear" w:color="auto" w:fill="auto"/>
            <w:vAlign w:val="center"/>
          </w:tcPr>
          <w:p w14:paraId="0BF862C2">
            <w:pPr>
              <w:adjustRightInd w:val="0"/>
              <w:snapToGrid w:val="0"/>
              <w:jc w:val="center"/>
              <w:rPr>
                <w:rFonts w:ascii="宋体" w:hAnsi="宋体" w:cs="宋体"/>
                <w:color w:val="auto"/>
              </w:rPr>
            </w:pPr>
            <w:r>
              <w:rPr>
                <w:rFonts w:hint="eastAsia" w:ascii="宋体" w:hAnsi="宋体" w:cs="宋体"/>
                <w:color w:val="auto"/>
              </w:rPr>
              <w:t>施工期</w:t>
            </w:r>
          </w:p>
        </w:tc>
        <w:tc>
          <w:tcPr>
            <w:tcW w:w="610" w:type="pct"/>
            <w:gridSpan w:val="2"/>
            <w:shd w:val="clear" w:color="auto" w:fill="auto"/>
            <w:vAlign w:val="center"/>
          </w:tcPr>
          <w:p w14:paraId="01BB203F">
            <w:pPr>
              <w:adjustRightInd w:val="0"/>
              <w:snapToGrid w:val="0"/>
              <w:jc w:val="center"/>
              <w:rPr>
                <w:rFonts w:ascii="宋体" w:hAnsi="宋体" w:cs="宋体"/>
                <w:color w:val="auto"/>
              </w:rPr>
            </w:pPr>
            <w:r>
              <w:rPr>
                <w:rFonts w:hint="eastAsia" w:ascii="宋体" w:hAnsi="宋体" w:cs="宋体"/>
                <w:color w:val="auto"/>
              </w:rPr>
              <w:t>废水</w:t>
            </w:r>
          </w:p>
        </w:tc>
        <w:tc>
          <w:tcPr>
            <w:tcW w:w="1371" w:type="pct"/>
            <w:shd w:val="clear" w:color="auto" w:fill="auto"/>
            <w:vAlign w:val="center"/>
          </w:tcPr>
          <w:p w14:paraId="076E5071">
            <w:pPr>
              <w:adjustRightInd w:val="0"/>
              <w:snapToGrid w:val="0"/>
              <w:jc w:val="center"/>
              <w:rPr>
                <w:rFonts w:ascii="宋体" w:hAnsi="宋体" w:cs="宋体"/>
                <w:color w:val="auto"/>
              </w:rPr>
            </w:pPr>
            <w:r>
              <w:rPr>
                <w:rFonts w:hint="eastAsia" w:ascii="宋体" w:hAnsi="宋体" w:cs="宋体"/>
                <w:color w:val="auto"/>
              </w:rPr>
              <w:t>钻井废水依托高青联合站处理，施工作业废液、管道试压废水依托高青联合站污水处理系统进行处理；生活污水排入临时旱厕，由当地农民清掏用作农肥</w:t>
            </w:r>
          </w:p>
        </w:tc>
        <w:tc>
          <w:tcPr>
            <w:tcW w:w="1031" w:type="pct"/>
            <w:shd w:val="clear" w:color="auto" w:fill="auto"/>
            <w:vAlign w:val="center"/>
          </w:tcPr>
          <w:p w14:paraId="177A09EF">
            <w:pPr>
              <w:jc w:val="center"/>
              <w:rPr>
                <w:rFonts w:ascii="宋体" w:hAnsi="宋体" w:cs="宋体"/>
                <w:color w:val="auto"/>
              </w:rPr>
            </w:pPr>
            <w:r>
              <w:rPr>
                <w:rFonts w:hint="eastAsia" w:ascii="宋体" w:hAnsi="宋体"/>
                <w:color w:val="auto"/>
              </w:rPr>
              <w:t>钻井废水随钻井泥浆委托了天正浚源环保科技有限公司、众安石油装备有限责任公司处理，作业废液拉运至高青联合站处理后回注，未外排；管道试压废水依托高青联合站污水处理系统进行处理；生活污水排入临时环保厕所，由东胜公司内部清运处理</w:t>
            </w:r>
          </w:p>
        </w:tc>
        <w:tc>
          <w:tcPr>
            <w:tcW w:w="834" w:type="pct"/>
            <w:shd w:val="clear" w:color="auto" w:fill="auto"/>
            <w:vAlign w:val="center"/>
          </w:tcPr>
          <w:p w14:paraId="5B416D79">
            <w:pPr>
              <w:jc w:val="center"/>
              <w:rPr>
                <w:rFonts w:ascii="宋体" w:hAnsi="宋体" w:cs="宋体"/>
                <w:color w:val="auto"/>
              </w:rPr>
            </w:pPr>
            <w:r>
              <w:rPr>
                <w:rFonts w:hint="eastAsia" w:ascii="宋体" w:hAnsi="宋体" w:cs="宋体"/>
                <w:color w:val="auto"/>
              </w:rPr>
              <w:t>钻井废水处理单位发生变化，生活污水依托方式</w:t>
            </w:r>
          </w:p>
        </w:tc>
        <w:tc>
          <w:tcPr>
            <w:tcW w:w="666" w:type="pct"/>
            <w:shd w:val="clear" w:color="auto" w:fill="auto"/>
            <w:vAlign w:val="center"/>
          </w:tcPr>
          <w:p w14:paraId="795E253A">
            <w:pPr>
              <w:jc w:val="center"/>
              <w:rPr>
                <w:rFonts w:ascii="宋体" w:hAnsi="宋体" w:cs="宋体"/>
                <w:color w:val="auto"/>
              </w:rPr>
            </w:pPr>
            <w:r>
              <w:rPr>
                <w:rFonts w:hint="eastAsia" w:ascii="宋体" w:hAnsi="宋体"/>
                <w:color w:val="auto"/>
              </w:rPr>
              <w:t>根据实际情况调整了钻井废水处置单位以及生活污水处置去向</w:t>
            </w:r>
          </w:p>
        </w:tc>
      </w:tr>
      <w:tr w14:paraId="20598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vMerge w:val="continue"/>
            <w:shd w:val="clear" w:color="auto" w:fill="auto"/>
            <w:vAlign w:val="center"/>
          </w:tcPr>
          <w:p w14:paraId="43586643">
            <w:pPr>
              <w:adjustRightInd w:val="0"/>
              <w:snapToGrid w:val="0"/>
              <w:jc w:val="center"/>
              <w:rPr>
                <w:rFonts w:ascii="宋体" w:hAnsi="宋体" w:cs="宋体"/>
                <w:color w:val="auto"/>
              </w:rPr>
            </w:pPr>
          </w:p>
        </w:tc>
        <w:tc>
          <w:tcPr>
            <w:tcW w:w="610" w:type="pct"/>
            <w:gridSpan w:val="2"/>
            <w:shd w:val="clear" w:color="auto" w:fill="auto"/>
            <w:vAlign w:val="center"/>
          </w:tcPr>
          <w:p w14:paraId="5006D276">
            <w:pPr>
              <w:adjustRightInd w:val="0"/>
              <w:snapToGrid w:val="0"/>
              <w:jc w:val="center"/>
              <w:rPr>
                <w:rFonts w:ascii="宋体" w:hAnsi="宋体" w:cs="宋体"/>
                <w:color w:val="auto"/>
              </w:rPr>
            </w:pPr>
            <w:r>
              <w:rPr>
                <w:rFonts w:hint="eastAsia" w:ascii="宋体" w:hAnsi="宋体" w:cs="宋体"/>
                <w:color w:val="auto"/>
              </w:rPr>
              <w:t>废气</w:t>
            </w:r>
          </w:p>
        </w:tc>
        <w:tc>
          <w:tcPr>
            <w:tcW w:w="1371" w:type="pct"/>
            <w:shd w:val="clear" w:color="auto" w:fill="auto"/>
            <w:vAlign w:val="center"/>
          </w:tcPr>
          <w:p w14:paraId="634473B2">
            <w:pPr>
              <w:adjustRightInd w:val="0"/>
              <w:snapToGrid w:val="0"/>
              <w:jc w:val="center"/>
              <w:rPr>
                <w:rFonts w:ascii="宋体" w:hAnsi="宋体"/>
                <w:color w:val="auto"/>
              </w:rPr>
            </w:pPr>
            <w:r>
              <w:rPr>
                <w:rFonts w:hint="eastAsia" w:ascii="宋体" w:hAnsi="宋体"/>
                <w:color w:val="auto"/>
              </w:rPr>
              <w:t>为减少井场轻烃挥发，每口新钻油井安装1套油套连通装置，共新装60套</w:t>
            </w:r>
          </w:p>
        </w:tc>
        <w:tc>
          <w:tcPr>
            <w:tcW w:w="1031" w:type="pct"/>
            <w:shd w:val="clear" w:color="auto" w:fill="auto"/>
            <w:vAlign w:val="center"/>
          </w:tcPr>
          <w:p w14:paraId="27AAA43B">
            <w:pPr>
              <w:jc w:val="center"/>
              <w:rPr>
                <w:rFonts w:ascii="宋体" w:hAnsi="宋体"/>
                <w:color w:val="auto"/>
              </w:rPr>
            </w:pPr>
            <w:bookmarkStart w:id="332" w:name="OLE_LINK342"/>
            <w:bookmarkStart w:id="333" w:name="OLE_LINK341"/>
            <w:r>
              <w:rPr>
                <w:rFonts w:hint="eastAsia" w:ascii="宋体" w:hAnsi="宋体"/>
                <w:color w:val="auto"/>
              </w:rPr>
              <w:t>每口新钻油井安装1套油套连通装置或回收装置（自喷井后期安装抽油机后补充安装），当前共新装了</w:t>
            </w:r>
            <w:r>
              <w:rPr>
                <w:rFonts w:ascii="宋体" w:hAnsi="宋体"/>
                <w:color w:val="auto"/>
              </w:rPr>
              <w:t>9</w:t>
            </w:r>
            <w:r>
              <w:rPr>
                <w:rFonts w:hint="eastAsia" w:ascii="宋体" w:hAnsi="宋体"/>
                <w:color w:val="auto"/>
              </w:rPr>
              <w:t>套</w:t>
            </w:r>
            <w:bookmarkEnd w:id="332"/>
            <w:bookmarkEnd w:id="333"/>
          </w:p>
        </w:tc>
        <w:tc>
          <w:tcPr>
            <w:tcW w:w="834" w:type="pct"/>
            <w:shd w:val="clear" w:color="auto" w:fill="auto"/>
            <w:vAlign w:val="center"/>
          </w:tcPr>
          <w:p w14:paraId="4EE396FD">
            <w:pPr>
              <w:jc w:val="center"/>
              <w:rPr>
                <w:rFonts w:ascii="宋体" w:hAnsi="宋体"/>
                <w:color w:val="auto"/>
              </w:rPr>
            </w:pPr>
            <w:r>
              <w:rPr>
                <w:rFonts w:hint="eastAsia" w:ascii="宋体" w:hAnsi="宋体"/>
                <w:color w:val="auto"/>
              </w:rPr>
              <w:t>减少安装了</w:t>
            </w:r>
            <w:bookmarkStart w:id="334" w:name="OLE_LINK28"/>
            <w:bookmarkStart w:id="335" w:name="OLE_LINK29"/>
            <w:r>
              <w:rPr>
                <w:rFonts w:hint="eastAsia" w:ascii="宋体" w:hAnsi="宋体" w:cs="宋体"/>
                <w:color w:val="auto"/>
              </w:rPr>
              <w:t>油套连通装置</w:t>
            </w:r>
            <w:bookmarkEnd w:id="334"/>
            <w:bookmarkEnd w:id="335"/>
            <w:r>
              <w:rPr>
                <w:rFonts w:ascii="宋体" w:hAnsi="宋体" w:cs="宋体"/>
                <w:color w:val="auto"/>
              </w:rPr>
              <w:t>51</w:t>
            </w:r>
            <w:r>
              <w:rPr>
                <w:rFonts w:hint="eastAsia" w:ascii="宋体" w:hAnsi="宋体" w:cs="宋体"/>
                <w:color w:val="auto"/>
              </w:rPr>
              <w:t>套</w:t>
            </w:r>
          </w:p>
        </w:tc>
        <w:tc>
          <w:tcPr>
            <w:tcW w:w="666" w:type="pct"/>
            <w:shd w:val="clear" w:color="auto" w:fill="auto"/>
            <w:vAlign w:val="center"/>
          </w:tcPr>
          <w:p w14:paraId="38F0669B">
            <w:pPr>
              <w:jc w:val="center"/>
              <w:rPr>
                <w:rFonts w:ascii="宋体" w:hAnsi="宋体"/>
                <w:color w:val="auto"/>
              </w:rPr>
            </w:pPr>
            <w:r>
              <w:rPr>
                <w:rFonts w:hint="eastAsia" w:ascii="宋体" w:hAnsi="宋体" w:cs="宋体"/>
                <w:color w:val="auto"/>
              </w:rPr>
              <w:t>分期建设，油井数量少于环评，油套连通装置数量减少</w:t>
            </w:r>
          </w:p>
        </w:tc>
      </w:tr>
    </w:tbl>
    <w:p w14:paraId="2FDAA908">
      <w:pPr>
        <w:tabs>
          <w:tab w:val="left" w:pos="377"/>
        </w:tabs>
        <w:adjustRightInd w:val="0"/>
        <w:snapToGrid w:val="0"/>
        <w:spacing w:before="100" w:beforeAutospacing="1" w:line="360" w:lineRule="auto"/>
        <w:jc w:val="center"/>
        <w:rPr>
          <w:rFonts w:ascii="宋体" w:hAnsi="宋体" w:cs="宋体"/>
          <w:color w:val="auto"/>
        </w:rPr>
        <w:sectPr>
          <w:pgSz w:w="16838" w:h="11906" w:orient="landscape"/>
          <w:pgMar w:top="1797" w:right="1440" w:bottom="1417" w:left="1440" w:header="1417" w:footer="816" w:gutter="0"/>
          <w:cols w:space="720" w:num="1"/>
          <w:docGrid w:linePitch="312" w:charSpace="0"/>
        </w:sectPr>
      </w:pPr>
    </w:p>
    <w:p w14:paraId="64F416C4">
      <w:pPr>
        <w:pStyle w:val="6"/>
        <w:rPr>
          <w:color w:val="auto"/>
        </w:rPr>
      </w:pPr>
      <w:r>
        <w:rPr>
          <w:color w:val="auto"/>
        </w:rPr>
        <w:t>重大变动</w:t>
      </w:r>
      <w:r>
        <w:rPr>
          <w:rFonts w:hint="eastAsia"/>
          <w:color w:val="auto"/>
        </w:rPr>
        <w:t>情况</w:t>
      </w:r>
    </w:p>
    <w:p w14:paraId="48B20639">
      <w:pPr>
        <w:pStyle w:val="4"/>
        <w:ind w:firstLine="480"/>
        <w:rPr>
          <w:color w:val="auto"/>
        </w:rPr>
      </w:pPr>
      <w:r>
        <w:rPr>
          <w:rFonts w:hint="eastAsia"/>
          <w:color w:val="auto"/>
        </w:rPr>
        <w:t>根据《关于印发环评管理中部分行业建设项目重大变动清单的通知》（环办[2015]52号）中“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不属于重大变动的纳入竣工环境保护验收管理”。</w:t>
      </w:r>
    </w:p>
    <w:p w14:paraId="448300FC">
      <w:pPr>
        <w:pStyle w:val="4"/>
        <w:ind w:firstLine="480"/>
        <w:rPr>
          <w:color w:val="auto"/>
        </w:rPr>
      </w:pPr>
      <w:r>
        <w:rPr>
          <w:rFonts w:hint="eastAsia"/>
          <w:color w:val="auto"/>
        </w:rPr>
        <w:t>根据《关于进一步加强石油天然气行业环境影响评价管理的通知》（环办环评函[2019]910号）：</w:t>
      </w:r>
      <w:r>
        <w:rPr>
          <w:color w:val="auto"/>
        </w:rPr>
        <w:t>“</w:t>
      </w:r>
      <w:r>
        <w:rPr>
          <w:rFonts w:hint="eastAsia"/>
          <w:color w:val="auto"/>
        </w:rPr>
        <w:t>陆地油气开采区块项目环评批复后，产能总规模、新钻井总数量增加30%及以上，回注井增加，占地面积范围内新增环境敏感区，井位或站场位置变化导致评价范围内环境敏感目标数量增加，开发方式、生产工艺、井类别变化导致新增污染物种类或污染物排放量增加，与经批复的环境影响评价文件相比危险废物实际产生种类增加或数量增加、危险废物处置方式由外委改为自行处置或处置方式变化导致不利环境影响加重，主要生态环境保护措施或环境风险防范措施弱化或降低等情形，依法应当重新报批环评文件</w:t>
      </w:r>
      <w:r>
        <w:rPr>
          <w:color w:val="auto"/>
        </w:rPr>
        <w:t>”</w:t>
      </w:r>
      <w:r>
        <w:rPr>
          <w:rFonts w:hint="eastAsia"/>
          <w:color w:val="auto"/>
        </w:rPr>
        <w:t>。</w:t>
      </w:r>
    </w:p>
    <w:p w14:paraId="62120B55">
      <w:pPr>
        <w:pStyle w:val="4"/>
        <w:ind w:firstLine="480"/>
        <w:rPr>
          <w:color w:val="auto"/>
        </w:rPr>
      </w:pPr>
      <w:r>
        <w:rPr>
          <w:rFonts w:hint="eastAsia"/>
          <w:color w:val="auto"/>
        </w:rPr>
        <w:t>本期工程</w:t>
      </w:r>
      <w:r>
        <w:rPr>
          <w:color w:val="auto"/>
        </w:rPr>
        <w:t>变动情况分析</w:t>
      </w:r>
      <w:r>
        <w:rPr>
          <w:rFonts w:hint="eastAsia"/>
          <w:color w:val="auto"/>
        </w:rPr>
        <w:t>见</w:t>
      </w:r>
      <w:r>
        <w:rPr>
          <w:color w:val="auto"/>
        </w:rPr>
        <w:fldChar w:fldCharType="begin"/>
      </w:r>
      <w:r>
        <w:rPr>
          <w:color w:val="auto"/>
        </w:rPr>
        <w:instrText xml:space="preserve"> </w:instrText>
      </w:r>
      <w:r>
        <w:rPr>
          <w:rFonts w:hint="eastAsia"/>
          <w:color w:val="auto"/>
        </w:rPr>
        <w:instrText xml:space="preserve">REF _Ref59434784 \h</w:instrText>
      </w:r>
      <w:r>
        <w:rPr>
          <w:color w:val="auto"/>
        </w:rPr>
        <w:instrText xml:space="preserve">  \* MERGEFORMAT </w:instrText>
      </w:r>
      <w:r>
        <w:rPr>
          <w:color w:val="auto"/>
        </w:rPr>
        <w:fldChar w:fldCharType="separate"/>
      </w:r>
      <w:r>
        <w:rPr>
          <w:rFonts w:hint="eastAsia"/>
          <w:color w:val="auto"/>
        </w:rPr>
        <w:t xml:space="preserve">表 </w:t>
      </w:r>
      <w:r>
        <w:rPr>
          <w:color w:val="auto"/>
        </w:rPr>
        <w:t>3.8</w:t>
      </w:r>
      <w:r>
        <w:rPr>
          <w:color w:val="auto"/>
        </w:rPr>
        <w:noBreakHyphen/>
      </w:r>
      <w:r>
        <w:rPr>
          <w:color w:val="auto"/>
        </w:rPr>
        <w:t>2</w:t>
      </w:r>
      <w:r>
        <w:rPr>
          <w:color w:val="auto"/>
        </w:rPr>
        <w:fldChar w:fldCharType="end"/>
      </w:r>
      <w:r>
        <w:rPr>
          <w:rFonts w:hint="eastAsia"/>
          <w:color w:val="auto"/>
        </w:rPr>
        <w:t>。</w:t>
      </w:r>
    </w:p>
    <w:p w14:paraId="644441E9">
      <w:pPr>
        <w:tabs>
          <w:tab w:val="left" w:pos="377"/>
        </w:tabs>
        <w:adjustRightInd w:val="0"/>
        <w:snapToGrid w:val="0"/>
        <w:spacing w:before="120" w:beforeLines="50" w:line="360" w:lineRule="auto"/>
        <w:jc w:val="center"/>
        <w:rPr>
          <w:rFonts w:ascii="宋体" w:hAnsi="宋体"/>
          <w:color w:val="auto"/>
        </w:rPr>
      </w:pPr>
      <w:bookmarkStart w:id="336" w:name="_Ref59434784"/>
      <w:r>
        <w:rPr>
          <w:rFonts w:hint="eastAsia" w:ascii="宋体" w:hAnsi="宋体"/>
          <w:color w:val="auto"/>
        </w:rPr>
        <w:t xml:space="preserve">表 </w:t>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STYLEREF 2 \s</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3.8</w:t>
      </w:r>
      <w:r>
        <w:rPr>
          <w:rFonts w:ascii="宋体" w:hAnsi="宋体"/>
          <w:color w:val="auto"/>
        </w:rPr>
        <w:fldChar w:fldCharType="end"/>
      </w:r>
      <w:r>
        <w:rPr>
          <w:rFonts w:ascii="宋体" w:hAnsi="宋体"/>
          <w:color w:val="auto"/>
        </w:rPr>
        <w:noBreakHyphen/>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SEQ 表 \* ARABIC \s 2</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2</w:t>
      </w:r>
      <w:r>
        <w:rPr>
          <w:rFonts w:ascii="宋体" w:hAnsi="宋体"/>
          <w:color w:val="auto"/>
        </w:rPr>
        <w:fldChar w:fldCharType="end"/>
      </w:r>
      <w:bookmarkEnd w:id="336"/>
      <w:r>
        <w:rPr>
          <w:rFonts w:ascii="宋体" w:hAnsi="宋体"/>
          <w:color w:val="auto"/>
        </w:rPr>
        <w:t xml:space="preserve"> </w:t>
      </w:r>
      <w:r>
        <w:rPr>
          <w:rFonts w:hint="eastAsia" w:ascii="宋体" w:hAnsi="宋体"/>
          <w:color w:val="auto"/>
        </w:rPr>
        <w:t>本期工程重大变动情况分析</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2"/>
        <w:gridCol w:w="4395"/>
        <w:gridCol w:w="1354"/>
      </w:tblGrid>
      <w:tr w14:paraId="030BD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704" w:type="pct"/>
            <w:vAlign w:val="center"/>
          </w:tcPr>
          <w:p w14:paraId="4C234FC5">
            <w:pPr>
              <w:pStyle w:val="4"/>
              <w:spacing w:line="240" w:lineRule="auto"/>
              <w:ind w:firstLine="0" w:firstLineChars="0"/>
              <w:jc w:val="center"/>
              <w:rPr>
                <w:color w:val="auto"/>
                <w:sz w:val="21"/>
                <w:szCs w:val="21"/>
              </w:rPr>
            </w:pPr>
            <w:r>
              <w:rPr>
                <w:rFonts w:hint="eastAsia"/>
                <w:color w:val="auto"/>
                <w:sz w:val="21"/>
                <w:szCs w:val="21"/>
              </w:rPr>
              <w:t>项目</w:t>
            </w:r>
          </w:p>
        </w:tc>
        <w:tc>
          <w:tcPr>
            <w:tcW w:w="2520" w:type="pct"/>
            <w:vAlign w:val="center"/>
          </w:tcPr>
          <w:p w14:paraId="77673793">
            <w:pPr>
              <w:pStyle w:val="4"/>
              <w:spacing w:line="240" w:lineRule="auto"/>
              <w:ind w:firstLine="0" w:firstLineChars="0"/>
              <w:jc w:val="center"/>
              <w:rPr>
                <w:color w:val="auto"/>
                <w:sz w:val="21"/>
                <w:szCs w:val="21"/>
              </w:rPr>
            </w:pPr>
            <w:r>
              <w:rPr>
                <w:rFonts w:hint="eastAsia"/>
                <w:color w:val="auto"/>
                <w:sz w:val="21"/>
                <w:szCs w:val="21"/>
              </w:rPr>
              <w:t>描述</w:t>
            </w:r>
          </w:p>
        </w:tc>
        <w:tc>
          <w:tcPr>
            <w:tcW w:w="776" w:type="pct"/>
            <w:vAlign w:val="center"/>
          </w:tcPr>
          <w:p w14:paraId="646C2C2F">
            <w:pPr>
              <w:pStyle w:val="4"/>
              <w:spacing w:line="240" w:lineRule="auto"/>
              <w:ind w:firstLine="0" w:firstLineChars="0"/>
              <w:jc w:val="center"/>
              <w:rPr>
                <w:color w:val="auto"/>
                <w:sz w:val="21"/>
                <w:szCs w:val="21"/>
              </w:rPr>
            </w:pPr>
            <w:r>
              <w:rPr>
                <w:rFonts w:hint="eastAsia"/>
                <w:color w:val="auto"/>
                <w:sz w:val="21"/>
                <w:szCs w:val="21"/>
              </w:rPr>
              <w:t>是否构成</w:t>
            </w:r>
            <w:r>
              <w:rPr>
                <w:color w:val="auto"/>
                <w:sz w:val="21"/>
                <w:szCs w:val="21"/>
              </w:rPr>
              <w:t>重大变动</w:t>
            </w:r>
          </w:p>
        </w:tc>
      </w:tr>
      <w:tr w14:paraId="300E6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0D6E445F">
            <w:pPr>
              <w:pStyle w:val="4"/>
              <w:spacing w:line="240" w:lineRule="auto"/>
              <w:ind w:firstLine="0" w:firstLineChars="0"/>
              <w:jc w:val="center"/>
              <w:rPr>
                <w:color w:val="auto"/>
                <w:sz w:val="21"/>
                <w:szCs w:val="21"/>
              </w:rPr>
            </w:pPr>
            <w:r>
              <w:rPr>
                <w:rFonts w:hint="eastAsia"/>
                <w:color w:val="auto"/>
                <w:sz w:val="21"/>
                <w:szCs w:val="21"/>
              </w:rPr>
              <w:t>产能总规模、新钻井总数量增加30%及以上</w:t>
            </w:r>
          </w:p>
        </w:tc>
        <w:tc>
          <w:tcPr>
            <w:tcW w:w="2520" w:type="pct"/>
            <w:vAlign w:val="center"/>
          </w:tcPr>
          <w:p w14:paraId="17DC8740">
            <w:pPr>
              <w:pStyle w:val="4"/>
              <w:spacing w:line="240" w:lineRule="auto"/>
              <w:ind w:firstLine="0" w:firstLineChars="0"/>
              <w:jc w:val="center"/>
              <w:rPr>
                <w:color w:val="auto"/>
                <w:sz w:val="21"/>
                <w:szCs w:val="21"/>
              </w:rPr>
            </w:pPr>
            <w:r>
              <w:rPr>
                <w:rFonts w:hint="eastAsia"/>
                <w:color w:val="auto"/>
                <w:sz w:val="21"/>
                <w:szCs w:val="21"/>
              </w:rPr>
              <w:t>较环评阶段井数减少，项目实际产能总规模、新钻井总数量较环评</w:t>
            </w:r>
            <w:r>
              <w:rPr>
                <w:color w:val="auto"/>
                <w:sz w:val="21"/>
                <w:szCs w:val="21"/>
              </w:rPr>
              <w:t>设计</w:t>
            </w:r>
            <w:r>
              <w:rPr>
                <w:rFonts w:hint="eastAsia"/>
                <w:color w:val="auto"/>
                <w:sz w:val="21"/>
                <w:szCs w:val="21"/>
              </w:rPr>
              <w:t>未增大</w:t>
            </w:r>
          </w:p>
        </w:tc>
        <w:tc>
          <w:tcPr>
            <w:tcW w:w="776" w:type="pct"/>
            <w:vAlign w:val="center"/>
          </w:tcPr>
          <w:p w14:paraId="6FE55D11">
            <w:pPr>
              <w:pStyle w:val="4"/>
              <w:spacing w:line="240" w:lineRule="auto"/>
              <w:ind w:firstLine="0" w:firstLineChars="0"/>
              <w:jc w:val="center"/>
              <w:rPr>
                <w:color w:val="auto"/>
                <w:sz w:val="21"/>
                <w:szCs w:val="21"/>
              </w:rPr>
            </w:pPr>
            <w:r>
              <w:rPr>
                <w:rFonts w:hint="eastAsia"/>
                <w:color w:val="auto"/>
                <w:sz w:val="21"/>
                <w:szCs w:val="21"/>
              </w:rPr>
              <w:t>不属于</w:t>
            </w:r>
          </w:p>
        </w:tc>
      </w:tr>
      <w:tr w14:paraId="0811F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17C75F40">
            <w:pPr>
              <w:pStyle w:val="4"/>
              <w:spacing w:line="240" w:lineRule="auto"/>
              <w:ind w:firstLine="0" w:firstLineChars="0"/>
              <w:jc w:val="center"/>
              <w:rPr>
                <w:color w:val="auto"/>
                <w:sz w:val="21"/>
                <w:szCs w:val="21"/>
              </w:rPr>
            </w:pPr>
            <w:r>
              <w:rPr>
                <w:rFonts w:hint="eastAsia"/>
                <w:color w:val="auto"/>
                <w:sz w:val="21"/>
                <w:szCs w:val="21"/>
              </w:rPr>
              <w:t>回注井增加</w:t>
            </w:r>
          </w:p>
        </w:tc>
        <w:tc>
          <w:tcPr>
            <w:tcW w:w="2520" w:type="pct"/>
            <w:vAlign w:val="center"/>
          </w:tcPr>
          <w:p w14:paraId="565500C5">
            <w:pPr>
              <w:pStyle w:val="4"/>
              <w:spacing w:line="240" w:lineRule="auto"/>
              <w:ind w:firstLine="0" w:firstLineChars="0"/>
              <w:jc w:val="center"/>
              <w:rPr>
                <w:color w:val="auto"/>
                <w:sz w:val="21"/>
                <w:szCs w:val="21"/>
              </w:rPr>
            </w:pPr>
            <w:r>
              <w:rPr>
                <w:rFonts w:hint="eastAsia"/>
                <w:color w:val="auto"/>
                <w:sz w:val="21"/>
                <w:szCs w:val="21"/>
              </w:rPr>
              <w:t>本期工程新钻</w:t>
            </w:r>
            <w:r>
              <w:rPr>
                <w:color w:val="auto"/>
                <w:sz w:val="21"/>
                <w:szCs w:val="21"/>
              </w:rPr>
              <w:t>注水井7口</w:t>
            </w:r>
            <w:r>
              <w:rPr>
                <w:rFonts w:hint="eastAsia"/>
                <w:color w:val="auto"/>
                <w:sz w:val="21"/>
                <w:szCs w:val="21"/>
              </w:rPr>
              <w:t>，环评涉及注水井5</w:t>
            </w:r>
            <w:r>
              <w:rPr>
                <w:color w:val="auto"/>
                <w:sz w:val="21"/>
                <w:szCs w:val="21"/>
              </w:rPr>
              <w:t>1</w:t>
            </w:r>
            <w:r>
              <w:rPr>
                <w:rFonts w:hint="eastAsia"/>
                <w:color w:val="auto"/>
                <w:sz w:val="21"/>
                <w:szCs w:val="21"/>
              </w:rPr>
              <w:t>口，回注井数量与环评对比未增加</w:t>
            </w:r>
          </w:p>
        </w:tc>
        <w:tc>
          <w:tcPr>
            <w:tcW w:w="776" w:type="pct"/>
            <w:vAlign w:val="center"/>
          </w:tcPr>
          <w:p w14:paraId="709E5EC5">
            <w:pPr>
              <w:pStyle w:val="4"/>
              <w:spacing w:line="240" w:lineRule="auto"/>
              <w:ind w:firstLine="0" w:firstLineChars="0"/>
              <w:jc w:val="center"/>
              <w:rPr>
                <w:color w:val="auto"/>
                <w:sz w:val="21"/>
                <w:szCs w:val="21"/>
              </w:rPr>
            </w:pPr>
            <w:r>
              <w:rPr>
                <w:rFonts w:hint="eastAsia"/>
                <w:color w:val="auto"/>
                <w:sz w:val="21"/>
                <w:szCs w:val="21"/>
              </w:rPr>
              <w:t>不属于</w:t>
            </w:r>
          </w:p>
        </w:tc>
      </w:tr>
      <w:tr w14:paraId="73033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07AF5A03">
            <w:pPr>
              <w:pStyle w:val="4"/>
              <w:spacing w:line="240" w:lineRule="auto"/>
              <w:ind w:firstLine="0" w:firstLineChars="0"/>
              <w:jc w:val="center"/>
              <w:rPr>
                <w:color w:val="auto"/>
                <w:sz w:val="21"/>
                <w:szCs w:val="21"/>
              </w:rPr>
            </w:pPr>
            <w:r>
              <w:rPr>
                <w:rFonts w:hint="eastAsia"/>
                <w:color w:val="auto"/>
                <w:sz w:val="21"/>
                <w:szCs w:val="21"/>
              </w:rPr>
              <w:t>占地面积范围内新增环境敏感区</w:t>
            </w:r>
          </w:p>
        </w:tc>
        <w:tc>
          <w:tcPr>
            <w:tcW w:w="2520" w:type="pct"/>
            <w:vAlign w:val="center"/>
          </w:tcPr>
          <w:p w14:paraId="471B82E0">
            <w:pPr>
              <w:pStyle w:val="4"/>
              <w:spacing w:line="240" w:lineRule="auto"/>
              <w:ind w:firstLine="0" w:firstLineChars="0"/>
              <w:jc w:val="center"/>
              <w:rPr>
                <w:color w:val="auto"/>
                <w:sz w:val="21"/>
                <w:szCs w:val="21"/>
              </w:rPr>
            </w:pPr>
            <w:r>
              <w:rPr>
                <w:rFonts w:hint="eastAsia"/>
                <w:color w:val="auto"/>
                <w:sz w:val="21"/>
                <w:szCs w:val="21"/>
              </w:rPr>
              <w:t>本期工程占地面积范围内未新增环境敏感区</w:t>
            </w:r>
          </w:p>
        </w:tc>
        <w:tc>
          <w:tcPr>
            <w:tcW w:w="776" w:type="pct"/>
            <w:vAlign w:val="center"/>
          </w:tcPr>
          <w:p w14:paraId="43E6E926">
            <w:pPr>
              <w:pStyle w:val="4"/>
              <w:spacing w:line="240" w:lineRule="auto"/>
              <w:ind w:firstLine="0" w:firstLineChars="0"/>
              <w:jc w:val="center"/>
              <w:rPr>
                <w:color w:val="auto"/>
                <w:sz w:val="21"/>
                <w:szCs w:val="21"/>
              </w:rPr>
            </w:pPr>
            <w:r>
              <w:rPr>
                <w:rFonts w:hint="eastAsia"/>
                <w:color w:val="auto"/>
                <w:sz w:val="21"/>
                <w:szCs w:val="21"/>
              </w:rPr>
              <w:t>不属于</w:t>
            </w:r>
          </w:p>
        </w:tc>
      </w:tr>
      <w:tr w14:paraId="739D3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7B2135BF">
            <w:pPr>
              <w:pStyle w:val="4"/>
              <w:spacing w:line="240" w:lineRule="auto"/>
              <w:ind w:firstLine="0" w:firstLineChars="0"/>
              <w:jc w:val="center"/>
              <w:rPr>
                <w:color w:val="auto"/>
                <w:sz w:val="21"/>
                <w:szCs w:val="21"/>
              </w:rPr>
            </w:pPr>
            <w:r>
              <w:rPr>
                <w:rFonts w:hint="eastAsia"/>
                <w:color w:val="auto"/>
                <w:sz w:val="21"/>
                <w:szCs w:val="21"/>
              </w:rPr>
              <w:t>开发方式、生产工艺、井类别变化导致新增污染物种类或污染物排放量增加</w:t>
            </w:r>
          </w:p>
        </w:tc>
        <w:tc>
          <w:tcPr>
            <w:tcW w:w="2520" w:type="pct"/>
            <w:vAlign w:val="center"/>
          </w:tcPr>
          <w:p w14:paraId="78F8FE28">
            <w:pPr>
              <w:pStyle w:val="4"/>
              <w:spacing w:line="240" w:lineRule="auto"/>
              <w:ind w:firstLine="0" w:firstLineChars="0"/>
              <w:jc w:val="center"/>
              <w:rPr>
                <w:color w:val="auto"/>
                <w:sz w:val="21"/>
                <w:szCs w:val="21"/>
              </w:rPr>
            </w:pPr>
            <w:r>
              <w:rPr>
                <w:rFonts w:hint="eastAsia"/>
                <w:color w:val="auto"/>
                <w:sz w:val="21"/>
                <w:szCs w:val="21"/>
              </w:rPr>
              <w:t>本期工程开发方式、生产工艺均与环评一致，本期工程实际</w:t>
            </w:r>
            <w:r>
              <w:rPr>
                <w:color w:val="auto"/>
                <w:sz w:val="21"/>
                <w:szCs w:val="21"/>
              </w:rPr>
              <w:t>产能总规模较设计未增加，</w:t>
            </w:r>
            <w:r>
              <w:rPr>
                <w:rFonts w:hint="eastAsia"/>
                <w:color w:val="auto"/>
                <w:sz w:val="21"/>
                <w:szCs w:val="21"/>
              </w:rPr>
              <w:t>未导致新增污染物种类或污染物排放量增加</w:t>
            </w:r>
          </w:p>
        </w:tc>
        <w:tc>
          <w:tcPr>
            <w:tcW w:w="776" w:type="pct"/>
            <w:vAlign w:val="center"/>
          </w:tcPr>
          <w:p w14:paraId="3145C610">
            <w:pPr>
              <w:pStyle w:val="4"/>
              <w:spacing w:line="240" w:lineRule="auto"/>
              <w:ind w:firstLine="0" w:firstLineChars="0"/>
              <w:jc w:val="center"/>
              <w:rPr>
                <w:color w:val="auto"/>
                <w:sz w:val="21"/>
                <w:szCs w:val="21"/>
              </w:rPr>
            </w:pPr>
            <w:r>
              <w:rPr>
                <w:rFonts w:hint="eastAsia"/>
                <w:color w:val="auto"/>
                <w:sz w:val="21"/>
                <w:szCs w:val="21"/>
              </w:rPr>
              <w:t>不属于</w:t>
            </w:r>
          </w:p>
        </w:tc>
      </w:tr>
      <w:tr w14:paraId="5262D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35B369C4">
            <w:pPr>
              <w:pStyle w:val="4"/>
              <w:spacing w:line="240" w:lineRule="auto"/>
              <w:ind w:firstLine="0" w:firstLineChars="0"/>
              <w:jc w:val="center"/>
              <w:rPr>
                <w:color w:val="auto"/>
                <w:sz w:val="21"/>
                <w:szCs w:val="21"/>
              </w:rPr>
            </w:pPr>
            <w:r>
              <w:rPr>
                <w:rFonts w:hint="eastAsia"/>
                <w:color w:val="auto"/>
                <w:sz w:val="21"/>
                <w:szCs w:val="21"/>
              </w:rPr>
              <w:t>与经批复的环境影响评价文件相比危险废物实际产生种类增加或数量增加、危险废物处置方式由外委改为自行处置或处置方式变化导致不利环境影响加重</w:t>
            </w:r>
          </w:p>
        </w:tc>
        <w:tc>
          <w:tcPr>
            <w:tcW w:w="2520" w:type="pct"/>
            <w:vAlign w:val="center"/>
          </w:tcPr>
          <w:p w14:paraId="16C5716D">
            <w:pPr>
              <w:pStyle w:val="4"/>
              <w:spacing w:line="240" w:lineRule="auto"/>
              <w:ind w:firstLine="0" w:firstLineChars="0"/>
              <w:jc w:val="center"/>
              <w:rPr>
                <w:color w:val="auto"/>
                <w:sz w:val="21"/>
                <w:szCs w:val="21"/>
              </w:rPr>
            </w:pPr>
            <w:r>
              <w:rPr>
                <w:rFonts w:hint="eastAsia"/>
                <w:color w:val="auto"/>
                <w:sz w:val="21"/>
                <w:szCs w:val="21"/>
              </w:rPr>
              <w:t>本期工程无与经批复的环境影响评价文件相比危险废物实际产生种类增加或数量增加、危险废物处置方式由外委改为自行处置或处置方式变化导致不利环境影响加重的情况</w:t>
            </w:r>
          </w:p>
        </w:tc>
        <w:tc>
          <w:tcPr>
            <w:tcW w:w="776" w:type="pct"/>
            <w:vAlign w:val="center"/>
          </w:tcPr>
          <w:p w14:paraId="25670B31">
            <w:pPr>
              <w:pStyle w:val="4"/>
              <w:spacing w:line="240" w:lineRule="auto"/>
              <w:ind w:firstLine="0" w:firstLineChars="0"/>
              <w:jc w:val="center"/>
              <w:rPr>
                <w:color w:val="auto"/>
                <w:sz w:val="21"/>
                <w:szCs w:val="21"/>
              </w:rPr>
            </w:pPr>
            <w:r>
              <w:rPr>
                <w:rFonts w:hint="eastAsia"/>
                <w:color w:val="auto"/>
                <w:sz w:val="21"/>
                <w:szCs w:val="21"/>
              </w:rPr>
              <w:t>不属于</w:t>
            </w:r>
          </w:p>
        </w:tc>
      </w:tr>
      <w:tr w14:paraId="4D418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2B5EC9C1">
            <w:pPr>
              <w:pStyle w:val="4"/>
              <w:spacing w:line="240" w:lineRule="auto"/>
              <w:ind w:firstLine="0" w:firstLineChars="0"/>
              <w:jc w:val="center"/>
              <w:rPr>
                <w:color w:val="auto"/>
                <w:sz w:val="21"/>
                <w:szCs w:val="21"/>
              </w:rPr>
            </w:pPr>
            <w:r>
              <w:rPr>
                <w:rFonts w:hint="eastAsia"/>
                <w:color w:val="auto"/>
                <w:sz w:val="21"/>
                <w:szCs w:val="21"/>
              </w:rPr>
              <w:t>主要生态环境保护措施或环境风险防范措施弱化或降低</w:t>
            </w:r>
          </w:p>
        </w:tc>
        <w:tc>
          <w:tcPr>
            <w:tcW w:w="2520" w:type="pct"/>
            <w:vAlign w:val="center"/>
          </w:tcPr>
          <w:p w14:paraId="4A68EF8D">
            <w:pPr>
              <w:pStyle w:val="4"/>
              <w:spacing w:line="240" w:lineRule="auto"/>
              <w:ind w:firstLine="0" w:firstLineChars="0"/>
              <w:jc w:val="center"/>
              <w:rPr>
                <w:color w:val="auto"/>
                <w:sz w:val="21"/>
                <w:szCs w:val="21"/>
              </w:rPr>
            </w:pPr>
            <w:r>
              <w:rPr>
                <w:rFonts w:hint="eastAsia"/>
                <w:color w:val="auto"/>
                <w:sz w:val="21"/>
                <w:szCs w:val="21"/>
              </w:rPr>
              <w:t>本期工程不存在环境</w:t>
            </w:r>
            <w:r>
              <w:rPr>
                <w:color w:val="auto"/>
                <w:sz w:val="21"/>
                <w:szCs w:val="21"/>
              </w:rPr>
              <w:t>保护措施或风险防范措施弱化或降低等情形</w:t>
            </w:r>
          </w:p>
        </w:tc>
        <w:tc>
          <w:tcPr>
            <w:tcW w:w="776" w:type="pct"/>
            <w:vAlign w:val="center"/>
          </w:tcPr>
          <w:p w14:paraId="10F122B8">
            <w:pPr>
              <w:pStyle w:val="4"/>
              <w:spacing w:line="240" w:lineRule="auto"/>
              <w:ind w:firstLine="0" w:firstLineChars="0"/>
              <w:jc w:val="center"/>
              <w:rPr>
                <w:color w:val="auto"/>
                <w:sz w:val="21"/>
                <w:szCs w:val="21"/>
              </w:rPr>
            </w:pPr>
            <w:r>
              <w:rPr>
                <w:rFonts w:hint="eastAsia"/>
                <w:color w:val="auto"/>
                <w:sz w:val="21"/>
                <w:szCs w:val="21"/>
              </w:rPr>
              <w:t>不属于</w:t>
            </w:r>
          </w:p>
        </w:tc>
      </w:tr>
    </w:tbl>
    <w:p w14:paraId="480DB837">
      <w:pPr>
        <w:pStyle w:val="4"/>
        <w:ind w:firstLine="480"/>
        <w:rPr>
          <w:rFonts w:cs="宋体"/>
          <w:color w:val="auto"/>
        </w:rPr>
      </w:pPr>
    </w:p>
    <w:p w14:paraId="61786210">
      <w:pPr>
        <w:pStyle w:val="4"/>
        <w:ind w:firstLine="480"/>
        <w:rPr>
          <w:color w:val="auto"/>
        </w:rPr>
      </w:pPr>
      <w:r>
        <w:rPr>
          <w:rFonts w:hint="eastAsia" w:cs="宋体"/>
          <w:color w:val="auto"/>
        </w:rPr>
        <w:t>综上</w:t>
      </w:r>
      <w:r>
        <w:rPr>
          <w:rFonts w:cs="宋体"/>
          <w:color w:val="auto"/>
        </w:rPr>
        <w:t>，</w:t>
      </w:r>
      <w:r>
        <w:rPr>
          <w:rFonts w:hint="eastAsia" w:cs="宋体"/>
          <w:color w:val="auto"/>
        </w:rPr>
        <w:t>本期工程发生</w:t>
      </w:r>
      <w:r>
        <w:rPr>
          <w:rFonts w:cs="宋体"/>
          <w:color w:val="auto"/>
        </w:rPr>
        <w:t>变动的主要工程量</w:t>
      </w:r>
      <w:r>
        <w:rPr>
          <w:rFonts w:hint="eastAsia" w:cs="宋体"/>
          <w:color w:val="auto"/>
        </w:rPr>
        <w:t>均不属于《关于印发环评管理中部分行业建设项目重大变动清单的通知》（环办[2015]52号）、《关于进一步加强石油天然气行业环境影响评价管理的通知》（环办环评函[2019]910号）中</w:t>
      </w:r>
      <w:r>
        <w:rPr>
          <w:rFonts w:cs="宋体"/>
          <w:color w:val="auto"/>
        </w:rPr>
        <w:t>对重大变动的界定，</w:t>
      </w:r>
      <w:r>
        <w:rPr>
          <w:rFonts w:hint="eastAsia" w:cs="宋体"/>
          <w:color w:val="auto"/>
        </w:rPr>
        <w:t>本期工程</w:t>
      </w:r>
      <w:r>
        <w:rPr>
          <w:rFonts w:cs="宋体"/>
          <w:color w:val="auto"/>
        </w:rPr>
        <w:t>不存在重大变动。</w:t>
      </w:r>
    </w:p>
    <w:p w14:paraId="2E23A8D2">
      <w:pPr>
        <w:pStyle w:val="3"/>
        <w:rPr>
          <w:color w:val="auto"/>
        </w:rPr>
      </w:pPr>
      <w:bookmarkStart w:id="337" w:name="_Toc231283629"/>
      <w:r>
        <w:rPr>
          <w:rFonts w:hint="eastAsia"/>
          <w:color w:val="auto"/>
        </w:rPr>
        <w:t>验收调查依据</w:t>
      </w:r>
      <w:bookmarkEnd w:id="337"/>
    </w:p>
    <w:p w14:paraId="63DD32A0">
      <w:pPr>
        <w:pStyle w:val="5"/>
        <w:rPr>
          <w:color w:val="auto"/>
        </w:rPr>
      </w:pPr>
      <w:bookmarkStart w:id="338" w:name="_Toc231283630"/>
      <w:r>
        <w:rPr>
          <w:rFonts w:hint="eastAsia"/>
          <w:color w:val="auto"/>
        </w:rPr>
        <w:t>环境影响报告书主要</w:t>
      </w:r>
      <w:r>
        <w:rPr>
          <w:color w:val="auto"/>
        </w:rPr>
        <w:t>结论与建议</w:t>
      </w:r>
      <w:bookmarkEnd w:id="338"/>
    </w:p>
    <w:p w14:paraId="686E33C1">
      <w:pPr>
        <w:pStyle w:val="6"/>
        <w:rPr>
          <w:color w:val="auto"/>
        </w:rPr>
      </w:pPr>
      <w:r>
        <w:rPr>
          <w:color w:val="auto"/>
        </w:rPr>
        <w:t>建设</w:t>
      </w:r>
      <w:r>
        <w:rPr>
          <w:rFonts w:hint="eastAsia"/>
          <w:color w:val="auto"/>
        </w:rPr>
        <w:t>项目概况</w:t>
      </w:r>
    </w:p>
    <w:p w14:paraId="1647E83A">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为进一步开发高青油区的油气资源，实现油田滚动开发，挖掘井间剩余油，胜利油田高青石油开发有限责任公司拟实施“大芦湖油田产能建设项目（2023-2025年）”，该项目属于陆地石油开采项目，主要涉及大芦湖油田，建设地点位于淄博市高青县境内，主要工程内容如下：共部署163口井，其中新钻油井98口，注水井51口，油井转注水井5口，探井转油井9口，新建井场20座，依托老井场34座。新建107套12型抽油机，新建600型压驱注水装置25套，350型注水井口31套；新建燃气加热炉8台，更换燃气加热炉1台；新建多功能罐23座，新建空气源热泵加热系统27座，新建双腔油气混输装置2座,新建井口加药装置4套，新建天然气干燥器4座、天然气分气包4座，新建计量装置橇2套、三相分离器橇3套；新建集油阀组6套；新建集油管线45.55km、掺水管线8.98km、新建供气管线1.024km；新建压驱供水泵橇16套，新建注水管线30km，新建低压供水管线3.54km。高青联合站内卸油池改造，扩建樊107注水站，滨博接转站内迁建注水泵1台；同时配套建设供配电、自控、通信及道路等工程。</w:t>
      </w:r>
    </w:p>
    <w:p w14:paraId="140D43DA">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项目实施后最大产油能力11.7×10</w:t>
      </w:r>
      <w:r>
        <w:rPr>
          <w:rFonts w:hint="eastAsia" w:ascii="宋体" w:hAnsi="宋体"/>
          <w:color w:val="auto"/>
          <w:sz w:val="24"/>
          <w:szCs w:val="24"/>
          <w:vertAlign w:val="superscript"/>
        </w:rPr>
        <w:t>4</w:t>
      </w:r>
      <w:r>
        <w:rPr>
          <w:rFonts w:hint="eastAsia" w:ascii="宋体" w:hAnsi="宋体"/>
          <w:color w:val="auto"/>
          <w:sz w:val="24"/>
          <w:szCs w:val="24"/>
        </w:rPr>
        <w:t>t/a（第1年），最大产液量36.02×10</w:t>
      </w:r>
      <w:r>
        <w:rPr>
          <w:rFonts w:hint="eastAsia" w:ascii="宋体" w:hAnsi="宋体"/>
          <w:color w:val="auto"/>
          <w:sz w:val="24"/>
          <w:szCs w:val="24"/>
          <w:vertAlign w:val="superscript"/>
        </w:rPr>
        <w:t>4</w:t>
      </w:r>
      <w:r>
        <w:rPr>
          <w:rFonts w:hint="eastAsia" w:ascii="宋体" w:hAnsi="宋体"/>
          <w:color w:val="auto"/>
          <w:sz w:val="24"/>
          <w:szCs w:val="24"/>
        </w:rPr>
        <w:t>t/a（第15年）；项目动用地质储量752.1×10</w:t>
      </w:r>
      <w:r>
        <w:rPr>
          <w:rFonts w:hint="eastAsia" w:ascii="宋体" w:hAnsi="宋体"/>
          <w:color w:val="auto"/>
          <w:sz w:val="24"/>
          <w:szCs w:val="24"/>
          <w:vertAlign w:val="superscript"/>
        </w:rPr>
        <w:t>4</w:t>
      </w:r>
      <w:r>
        <w:rPr>
          <w:rFonts w:hint="eastAsia" w:ascii="宋体" w:hAnsi="宋体"/>
          <w:color w:val="auto"/>
          <w:sz w:val="24"/>
          <w:szCs w:val="24"/>
        </w:rPr>
        <w:t>t。</w:t>
      </w:r>
    </w:p>
    <w:p w14:paraId="232BA38E">
      <w:pPr>
        <w:pStyle w:val="4"/>
        <w:ind w:firstLine="480"/>
        <w:rPr>
          <w:snapToGrid w:val="0"/>
          <w:color w:val="auto"/>
        </w:rPr>
      </w:pPr>
      <w:r>
        <w:rPr>
          <w:rFonts w:hint="eastAsia"/>
          <w:color w:val="auto"/>
        </w:rPr>
        <w:t>本项目总投资271809.2万元，环保投资约为706万元，占项目总投资0.26%</w:t>
      </w:r>
      <w:r>
        <w:rPr>
          <w:rFonts w:hint="eastAsia"/>
          <w:snapToGrid w:val="0"/>
          <w:color w:val="auto"/>
        </w:rPr>
        <w:t>。</w:t>
      </w:r>
    </w:p>
    <w:p w14:paraId="333C921D">
      <w:pPr>
        <w:pStyle w:val="6"/>
        <w:rPr>
          <w:color w:val="auto"/>
        </w:rPr>
      </w:pPr>
      <w:bookmarkStart w:id="339" w:name="_Toc490469551"/>
      <w:bookmarkStart w:id="340" w:name="_Toc484119247"/>
      <w:r>
        <w:rPr>
          <w:rFonts w:hint="eastAsia"/>
          <w:color w:val="auto"/>
        </w:rPr>
        <w:t>环境质量</w:t>
      </w:r>
      <w:r>
        <w:rPr>
          <w:color w:val="auto"/>
        </w:rPr>
        <w:t>现状</w:t>
      </w:r>
      <w:bookmarkEnd w:id="339"/>
      <w:bookmarkEnd w:id="340"/>
    </w:p>
    <w:p w14:paraId="14586950">
      <w:pPr>
        <w:pStyle w:val="4"/>
        <w:ind w:firstLine="480"/>
        <w:rPr>
          <w:color w:val="auto"/>
        </w:rPr>
      </w:pPr>
      <w:r>
        <w:rPr>
          <w:rFonts w:hint="eastAsia"/>
          <w:color w:val="auto"/>
        </w:rPr>
        <w:t>1）大气</w:t>
      </w:r>
      <w:r>
        <w:rPr>
          <w:color w:val="auto"/>
        </w:rPr>
        <w:t>环境现状</w:t>
      </w:r>
    </w:p>
    <w:p w14:paraId="103FF04A">
      <w:pPr>
        <w:pStyle w:val="4"/>
        <w:ind w:firstLine="480"/>
        <w:rPr>
          <w:color w:val="auto"/>
        </w:rPr>
      </w:pPr>
      <w:r>
        <w:rPr>
          <w:rFonts w:hint="eastAsia"/>
          <w:color w:val="auto"/>
        </w:rPr>
        <w:t>环境空气现状监测数据表明：</w:t>
      </w:r>
      <w:r>
        <w:rPr>
          <w:rFonts w:hint="eastAsia"/>
          <w:color w:val="auto"/>
          <w:kern w:val="0"/>
        </w:rPr>
        <w:t>项目所在区域高青县的空气质量状况：</w:t>
      </w:r>
      <w:r>
        <w:rPr>
          <w:rFonts w:hint="eastAsia" w:cs="宋体"/>
          <w:color w:val="auto"/>
        </w:rPr>
        <w:t>PM</w:t>
      </w:r>
      <w:r>
        <w:rPr>
          <w:rFonts w:hint="eastAsia" w:cs="宋体"/>
          <w:color w:val="auto"/>
          <w:vertAlign w:val="subscript"/>
        </w:rPr>
        <w:t>10</w:t>
      </w:r>
      <w:r>
        <w:rPr>
          <w:rFonts w:hint="eastAsia" w:cs="宋体"/>
          <w:color w:val="auto"/>
        </w:rPr>
        <w:t>、PM</w:t>
      </w:r>
      <w:r>
        <w:rPr>
          <w:rFonts w:hint="eastAsia" w:cs="宋体"/>
          <w:color w:val="auto"/>
          <w:vertAlign w:val="subscript"/>
        </w:rPr>
        <w:t>2.5</w:t>
      </w:r>
      <w:r>
        <w:rPr>
          <w:rFonts w:hint="eastAsia" w:cs="宋体"/>
          <w:color w:val="auto"/>
        </w:rPr>
        <w:t>年均浓度</w:t>
      </w:r>
      <w:r>
        <w:rPr>
          <w:rFonts w:hint="eastAsia"/>
          <w:color w:val="auto"/>
          <w:kern w:val="0"/>
        </w:rPr>
        <w:t>不能够满足《环境空气质量标准》（GB 3095-2012）二级标准要求</w:t>
      </w:r>
      <w:r>
        <w:rPr>
          <w:rFonts w:hint="eastAsia"/>
          <w:color w:val="auto"/>
        </w:rPr>
        <w:t>；非甲烷总烃能满足参照执行的《大气污染物综合排放标准详解》（1997年）中的推荐值要求，硫化氢满足《环境影响评价技术导则 大气环境》（HJ 2.2-2018）附录D要求。</w:t>
      </w:r>
    </w:p>
    <w:p w14:paraId="14AFAA24">
      <w:pPr>
        <w:pStyle w:val="4"/>
        <w:ind w:firstLine="480"/>
        <w:rPr>
          <w:color w:val="auto"/>
        </w:rPr>
      </w:pPr>
      <w:r>
        <w:rPr>
          <w:rFonts w:hint="eastAsia"/>
          <w:color w:val="auto"/>
        </w:rPr>
        <w:t>2）地表水</w:t>
      </w:r>
      <w:r>
        <w:rPr>
          <w:color w:val="auto"/>
        </w:rPr>
        <w:t>环境现状</w:t>
      </w:r>
    </w:p>
    <w:p w14:paraId="7C860AF3">
      <w:pPr>
        <w:pStyle w:val="4"/>
        <w:ind w:firstLine="480"/>
        <w:rPr>
          <w:color w:val="auto"/>
        </w:rPr>
      </w:pPr>
      <w:r>
        <w:rPr>
          <w:rFonts w:hint="eastAsia"/>
          <w:color w:val="auto"/>
        </w:rPr>
        <w:t>根据山东省生态环境厅网站公布的《山东省省控地表水水质状况发布》引黄干渠水质满足《地表水环境质量标准》（GB3838-2002）中Ⅲ类水质要求。根据高青县人民政府网站发布的《高青县大芦湖水库饮用水水源地水质情况公示（第三季度）》，2023年第三季度大芦湖水库水质类别为Ⅲ类，除总氮外，各项指标均符合《地表水环境质量标准》（GB 3838-2002） Ⅲ类标准要求。根据淄博市生态环境局网站发布的《生态淄博建设工作简报》，北支新河水质满足《地表水环境质量标准》（GB3838-2002）Ⅴ类水质要求。</w:t>
      </w:r>
    </w:p>
    <w:p w14:paraId="592D00D1">
      <w:pPr>
        <w:pStyle w:val="4"/>
        <w:ind w:firstLine="480"/>
        <w:rPr>
          <w:color w:val="auto"/>
        </w:rPr>
      </w:pPr>
      <w:r>
        <w:rPr>
          <w:rFonts w:hint="eastAsia"/>
          <w:color w:val="auto"/>
        </w:rPr>
        <w:t>3）地下水</w:t>
      </w:r>
      <w:r>
        <w:rPr>
          <w:color w:val="auto"/>
        </w:rPr>
        <w:t>环境现状</w:t>
      </w:r>
    </w:p>
    <w:p w14:paraId="455177DB">
      <w:pPr>
        <w:pStyle w:val="4"/>
        <w:ind w:firstLine="480"/>
        <w:rPr>
          <w:color w:val="auto"/>
        </w:rPr>
      </w:pPr>
      <w:r>
        <w:rPr>
          <w:rFonts w:hint="eastAsia"/>
          <w:color w:val="auto"/>
        </w:rPr>
        <w:t>部分点位地下水水质监测点的氯化物、总硬度、锰、溶解性总固体、硫酸盐超标，其余各项指标均满足《地下水质量标准》（GB/T 14848-2017）Ⅲ类标准，石油类满足参考执行的《地表水环境质量标准》（GB 3838-2002）中标准限值要求。总硬度、溶解性总固体、氯化物、硫酸盐等指标超标与当地水文地质条件有关。本项目特征污染物石油类在各监测点均不超标，说明项目附近油气田开发未对地下水造成较大影响。</w:t>
      </w:r>
    </w:p>
    <w:p w14:paraId="2D33AEF8">
      <w:pPr>
        <w:pStyle w:val="4"/>
        <w:ind w:firstLine="480"/>
        <w:rPr>
          <w:color w:val="auto"/>
        </w:rPr>
      </w:pPr>
      <w:r>
        <w:rPr>
          <w:rFonts w:hint="eastAsia"/>
          <w:color w:val="auto"/>
        </w:rPr>
        <w:t>4）声</w:t>
      </w:r>
      <w:r>
        <w:rPr>
          <w:color w:val="auto"/>
        </w:rPr>
        <w:t>环境现状</w:t>
      </w:r>
    </w:p>
    <w:p w14:paraId="3DA14B3D">
      <w:pPr>
        <w:pStyle w:val="4"/>
        <w:ind w:firstLine="480"/>
        <w:rPr>
          <w:color w:val="auto"/>
        </w:rPr>
      </w:pPr>
      <w:r>
        <w:rPr>
          <w:rFonts w:hint="eastAsia"/>
          <w:color w:val="auto"/>
        </w:rPr>
        <w:t>拟建井场、声环境敏感目标处声环境现状监测值昼间和夜间均能够满足《声环境质量标准》（GB 3096-2008）中的2类区标准。</w:t>
      </w:r>
    </w:p>
    <w:p w14:paraId="53320D16">
      <w:pPr>
        <w:pStyle w:val="4"/>
        <w:ind w:firstLine="480"/>
        <w:rPr>
          <w:color w:val="auto"/>
        </w:rPr>
      </w:pPr>
      <w:r>
        <w:rPr>
          <w:rFonts w:hint="eastAsia"/>
          <w:color w:val="auto"/>
        </w:rPr>
        <w:t>5）土壤</w:t>
      </w:r>
      <w:r>
        <w:rPr>
          <w:color w:val="auto"/>
        </w:rPr>
        <w:t>环境现状</w:t>
      </w:r>
    </w:p>
    <w:p w14:paraId="42E86C01">
      <w:pPr>
        <w:pStyle w:val="4"/>
        <w:ind w:firstLine="480"/>
        <w:rPr>
          <w:color w:val="auto"/>
        </w:rPr>
      </w:pPr>
      <w:r>
        <w:rPr>
          <w:rFonts w:hint="eastAsia"/>
          <w:color w:val="auto"/>
        </w:rPr>
        <w:t>项目所在区域占地范围内土壤各项监测指标满足《土壤环境质量 建设用地土壤污染风险管控标准（试行）》（GB 36600-2018）中表1和表2中第二类用地的筛选值要求。井场外监测点的石油烃（C</w:t>
      </w:r>
      <w:r>
        <w:rPr>
          <w:rFonts w:hint="eastAsia"/>
          <w:color w:val="auto"/>
          <w:vertAlign w:val="subscript"/>
        </w:rPr>
        <w:t>10</w:t>
      </w:r>
      <w:r>
        <w:rPr>
          <w:rFonts w:hint="eastAsia"/>
          <w:color w:val="auto"/>
        </w:rPr>
        <w:t>-C</w:t>
      </w:r>
      <w:r>
        <w:rPr>
          <w:rFonts w:hint="eastAsia"/>
          <w:color w:val="auto"/>
          <w:vertAlign w:val="subscript"/>
        </w:rPr>
        <w:t>40</w:t>
      </w:r>
      <w:r>
        <w:rPr>
          <w:rFonts w:hint="eastAsia"/>
          <w:color w:val="auto"/>
        </w:rPr>
        <w:t>）满足参考执行的《土壤环境质量 建设用地土壤污染风险管控标准（试行）》（GB 36600-2018）中表2中第一类用地的筛选值要求。监测结果表明项目所在区域土壤未受到污染，土壤环境质量现状良好。</w:t>
      </w:r>
    </w:p>
    <w:p w14:paraId="1535D541">
      <w:pPr>
        <w:pStyle w:val="6"/>
        <w:rPr>
          <w:color w:val="auto"/>
        </w:rPr>
      </w:pPr>
      <w:r>
        <w:rPr>
          <w:rFonts w:hint="eastAsia"/>
          <w:color w:val="auto"/>
        </w:rPr>
        <w:t>环境影响评价</w:t>
      </w:r>
    </w:p>
    <w:p w14:paraId="3D2F24BC">
      <w:pPr>
        <w:pStyle w:val="97"/>
        <w:ind w:firstLine="480" w:firstLineChars="200"/>
        <w:rPr>
          <w:snapToGrid w:val="0"/>
          <w:color w:val="auto"/>
        </w:rPr>
      </w:pPr>
      <w:bookmarkStart w:id="341" w:name="_Toc484119252"/>
      <w:r>
        <w:rPr>
          <w:rFonts w:hint="eastAsia"/>
          <w:snapToGrid w:val="0"/>
          <w:color w:val="auto"/>
        </w:rPr>
        <w:t>1）</w:t>
      </w:r>
      <w:bookmarkEnd w:id="341"/>
      <w:r>
        <w:rPr>
          <w:rFonts w:hint="eastAsia"/>
          <w:snapToGrid w:val="0"/>
          <w:color w:val="auto"/>
        </w:rPr>
        <w:t>施工期环境</w:t>
      </w:r>
      <w:r>
        <w:rPr>
          <w:snapToGrid w:val="0"/>
          <w:color w:val="auto"/>
        </w:rPr>
        <w:t>影响评价</w:t>
      </w:r>
    </w:p>
    <w:p w14:paraId="53A12B31">
      <w:pPr>
        <w:pStyle w:val="153"/>
        <w:rPr>
          <w:snapToGrid w:val="0"/>
          <w:color w:val="auto"/>
          <w:szCs w:val="24"/>
        </w:rPr>
      </w:pPr>
      <w:r>
        <w:rPr>
          <w:rFonts w:hint="eastAsia"/>
          <w:snapToGrid w:val="0"/>
          <w:color w:val="auto"/>
          <w:szCs w:val="24"/>
        </w:rPr>
        <w:t>（1）废气</w:t>
      </w:r>
    </w:p>
    <w:p w14:paraId="03542728">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本项目废气主要包括施工扬尘、施工机械废气、焊接烟尘等。</w:t>
      </w:r>
    </w:p>
    <w:p w14:paraId="42C02784">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扬尘控制措施：物料集中堆放，表面采取遮盖或集中堆存在库房内；定期洒水抑尘；控制车辆装载量并采取密闭或者遮盖措施，出入车辆清洗、渣土车密闭运输。</w:t>
      </w:r>
    </w:p>
    <w:p w14:paraId="3ED7F12D">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施工机械废气控制措施：选择技术先进的动力机械设备，主要是优良发动机；选择符合国家要求的燃油指标，如国Ⅵ标准柴油，同时加强施工管理，尽可能缩短施工周期。</w:t>
      </w:r>
    </w:p>
    <w:p w14:paraId="46222DA4">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color w:val="auto"/>
          <w:sz w:val="24"/>
          <w:szCs w:val="24"/>
        </w:rPr>
        <w:t>焊接烟尘控制措施：通过规范焊接操作，使用低毒焊条等措施可降低焊接颗粒物环境影响</w:t>
      </w:r>
      <w:r>
        <w:rPr>
          <w:rFonts w:hint="eastAsia" w:ascii="宋体" w:hAnsi="宋体"/>
          <w:snapToGrid w:val="0"/>
          <w:color w:val="auto"/>
          <w:kern w:val="0"/>
          <w:sz w:val="24"/>
          <w:szCs w:val="24"/>
        </w:rPr>
        <w:t>。</w:t>
      </w:r>
    </w:p>
    <w:p w14:paraId="1EF8D8B0">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（2）废水</w:t>
      </w:r>
    </w:p>
    <w:p w14:paraId="348A3035">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本项目施工期水污染物主要包括钻井废水、施工作业废液、旧管道清洗废水、新建管线试压废水和生活污水。</w:t>
      </w:r>
    </w:p>
    <w:p w14:paraId="6740485A">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1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①</w:t>
      </w:r>
      <w:r>
        <w:rPr>
          <w:rFonts w:ascii="宋体" w:hAnsi="宋体"/>
          <w:color w:val="auto"/>
          <w:sz w:val="24"/>
          <w:szCs w:val="24"/>
        </w:rPr>
        <w:fldChar w:fldCharType="end"/>
      </w:r>
      <w:r>
        <w:rPr>
          <w:rFonts w:hint="eastAsia" w:ascii="宋体" w:hAnsi="宋体"/>
          <w:color w:val="auto"/>
          <w:sz w:val="24"/>
          <w:szCs w:val="24"/>
        </w:rPr>
        <w:t>钻井废水</w:t>
      </w:r>
    </w:p>
    <w:p w14:paraId="6986D449">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本项目钻井废水排入“泥浆不落地”装置，大部分可实现循环利用，剩余临时储存于井场废液罐内，最终产生的钻井废水随泥浆一并拉运处置。</w:t>
      </w:r>
    </w:p>
    <w:p w14:paraId="02246624">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2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②</w:t>
      </w:r>
      <w:r>
        <w:rPr>
          <w:rFonts w:ascii="宋体" w:hAnsi="宋体"/>
          <w:color w:val="auto"/>
          <w:sz w:val="24"/>
          <w:szCs w:val="24"/>
        </w:rPr>
        <w:fldChar w:fldCharType="end"/>
      </w:r>
      <w:r>
        <w:rPr>
          <w:rFonts w:hint="eastAsia" w:ascii="宋体" w:hAnsi="宋体"/>
          <w:color w:val="auto"/>
          <w:sz w:val="24"/>
          <w:szCs w:val="24"/>
        </w:rPr>
        <w:t>施工作业废液</w:t>
      </w:r>
    </w:p>
    <w:p w14:paraId="164BC2AB">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本项目施工作业废液由罐车拉运至高青联合站进行处理，处理达标后回用于油田注水开发，不外排。</w:t>
      </w:r>
    </w:p>
    <w:p w14:paraId="7E477799">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3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③</w:t>
      </w:r>
      <w:r>
        <w:rPr>
          <w:rFonts w:ascii="宋体" w:hAnsi="宋体"/>
          <w:color w:val="auto"/>
          <w:sz w:val="24"/>
          <w:szCs w:val="24"/>
        </w:rPr>
        <w:fldChar w:fldCharType="end"/>
      </w:r>
      <w:r>
        <w:rPr>
          <w:rFonts w:hint="eastAsia" w:ascii="宋体" w:hAnsi="宋体"/>
          <w:color w:val="auto"/>
          <w:sz w:val="24"/>
          <w:szCs w:val="24"/>
        </w:rPr>
        <w:t>新建管线试压废水沉淀后用于施工现场洒水抑尘；旧管道清洗废水经收集后送高青联合站沉降后用于压驱注水开发。</w:t>
      </w:r>
    </w:p>
    <w:p w14:paraId="69CF6EFF">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4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④</w:t>
      </w:r>
      <w:r>
        <w:rPr>
          <w:rFonts w:ascii="宋体" w:hAnsi="宋体"/>
          <w:color w:val="auto"/>
          <w:sz w:val="24"/>
          <w:szCs w:val="24"/>
        </w:rPr>
        <w:fldChar w:fldCharType="end"/>
      </w:r>
      <w:r>
        <w:rPr>
          <w:rFonts w:hint="eastAsia" w:ascii="宋体" w:hAnsi="宋体"/>
          <w:color w:val="auto"/>
          <w:sz w:val="24"/>
          <w:szCs w:val="24"/>
        </w:rPr>
        <w:t>生活污水排入临时移动环保厕所，拉运至市政部门指定地点，由当地环卫部门处置；</w:t>
      </w:r>
    </w:p>
    <w:p w14:paraId="7A69FFAF">
      <w:pPr>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color w:val="auto"/>
          <w:sz w:val="24"/>
          <w:szCs w:val="24"/>
        </w:rPr>
        <w:t>5）地下水防治措施：按照“分区防渗”原则，对重点防渗区采取严格的防渗、防泄漏等措施，项目防渗措施完整，正常工况下物料或污水等不会渗漏和进入地下，对地下水不会造成污染</w:t>
      </w:r>
      <w:r>
        <w:rPr>
          <w:rFonts w:hint="eastAsia" w:ascii="宋体" w:hAnsi="宋体"/>
          <w:snapToGrid w:val="0"/>
          <w:color w:val="auto"/>
          <w:kern w:val="0"/>
          <w:sz w:val="24"/>
          <w:szCs w:val="24"/>
        </w:rPr>
        <w:t>。</w:t>
      </w:r>
    </w:p>
    <w:p w14:paraId="32910AB1">
      <w:pPr>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（3）固废</w:t>
      </w:r>
    </w:p>
    <w:p w14:paraId="0BB2992B">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施工期产生固体废物包括钻井固废、施工废料、废弃设备、生活垃圾、压裂废液、油泥砂、定向钻废弃泥浆等。</w:t>
      </w:r>
    </w:p>
    <w:p w14:paraId="27351F98">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1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①</w:t>
      </w:r>
      <w:r>
        <w:rPr>
          <w:rFonts w:ascii="宋体" w:hAnsi="宋体"/>
          <w:color w:val="auto"/>
          <w:sz w:val="24"/>
          <w:szCs w:val="24"/>
        </w:rPr>
        <w:fldChar w:fldCharType="end"/>
      </w:r>
      <w:r>
        <w:rPr>
          <w:rFonts w:hint="eastAsia" w:ascii="宋体" w:hAnsi="宋体"/>
          <w:color w:val="auto"/>
          <w:sz w:val="24"/>
          <w:szCs w:val="24"/>
        </w:rPr>
        <w:t>本项目钻井采用“泥浆不落地工艺”，钻井固废属于一般固废，委托第三方单位拉运处置，综合利用；</w:t>
      </w:r>
    </w:p>
    <w:p w14:paraId="0DE44F53">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2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②</w:t>
      </w:r>
      <w:r>
        <w:rPr>
          <w:rFonts w:ascii="宋体" w:hAnsi="宋体"/>
          <w:color w:val="auto"/>
          <w:sz w:val="24"/>
          <w:szCs w:val="24"/>
        </w:rPr>
        <w:fldChar w:fldCharType="end"/>
      </w:r>
      <w:r>
        <w:rPr>
          <w:rFonts w:hint="eastAsia" w:ascii="宋体" w:hAnsi="宋体"/>
          <w:color w:val="auto"/>
          <w:sz w:val="24"/>
          <w:szCs w:val="24"/>
        </w:rPr>
        <w:t>油泥砂委托有资质单位处置；</w:t>
      </w:r>
    </w:p>
    <w:p w14:paraId="5760E14E">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3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③</w:t>
      </w:r>
      <w:r>
        <w:rPr>
          <w:rFonts w:ascii="宋体" w:hAnsi="宋体"/>
          <w:color w:val="auto"/>
          <w:sz w:val="24"/>
          <w:szCs w:val="24"/>
        </w:rPr>
        <w:fldChar w:fldCharType="end"/>
      </w:r>
      <w:r>
        <w:rPr>
          <w:rFonts w:hint="eastAsia" w:ascii="宋体" w:hAnsi="宋体"/>
          <w:color w:val="auto"/>
          <w:sz w:val="24"/>
          <w:szCs w:val="24"/>
        </w:rPr>
        <w:t>压裂废液重新调配后采用堵水调剖等方式资源化利用；</w:t>
      </w:r>
    </w:p>
    <w:p w14:paraId="4D2BE0EC">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4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④</w:t>
      </w:r>
      <w:r>
        <w:rPr>
          <w:rFonts w:ascii="宋体" w:hAnsi="宋体"/>
          <w:color w:val="auto"/>
          <w:sz w:val="24"/>
          <w:szCs w:val="24"/>
        </w:rPr>
        <w:fldChar w:fldCharType="end"/>
      </w:r>
      <w:r>
        <w:rPr>
          <w:rFonts w:hint="eastAsia" w:ascii="宋体" w:hAnsi="宋体"/>
          <w:color w:val="auto"/>
          <w:sz w:val="24"/>
          <w:szCs w:val="24"/>
        </w:rPr>
        <w:t>定向钻废弃泥浆在管线施工完成后，委托专业单位拉运处置，泥浆池回填处理；</w:t>
      </w:r>
    </w:p>
    <w:p w14:paraId="16CE1247">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5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⑤</w:t>
      </w:r>
      <w:r>
        <w:rPr>
          <w:rFonts w:ascii="宋体" w:hAnsi="宋体"/>
          <w:color w:val="auto"/>
          <w:sz w:val="24"/>
          <w:szCs w:val="24"/>
        </w:rPr>
        <w:fldChar w:fldCharType="end"/>
      </w:r>
      <w:r>
        <w:rPr>
          <w:rFonts w:hint="eastAsia" w:ascii="宋体" w:hAnsi="宋体"/>
          <w:color w:val="auto"/>
          <w:sz w:val="24"/>
          <w:szCs w:val="24"/>
        </w:rPr>
        <w:t>建筑垃圾尽量回用于井场及道路基础的铺设；施工废料尽可能回收利用，不能利用的依托当地环卫部门清运；</w:t>
      </w:r>
    </w:p>
    <w:p w14:paraId="6649FB6E">
      <w:pPr>
        <w:adjustRightInd w:val="0"/>
        <w:snapToGrid w:val="0"/>
        <w:spacing w:line="328" w:lineRule="auto"/>
        <w:ind w:firstLine="480" w:firstLineChars="200"/>
        <w:rPr>
          <w:rFonts w:ascii="宋体" w:hAnsi="宋体"/>
          <w:color w:val="auto"/>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6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⑥</w:t>
      </w:r>
      <w:r>
        <w:rPr>
          <w:rFonts w:ascii="宋体" w:hAnsi="宋体"/>
          <w:color w:val="auto"/>
          <w:sz w:val="24"/>
          <w:szCs w:val="24"/>
        </w:rPr>
        <w:fldChar w:fldCharType="end"/>
      </w:r>
      <w:r>
        <w:rPr>
          <w:rFonts w:hint="eastAsia" w:ascii="宋体" w:hAnsi="宋体"/>
          <w:color w:val="auto"/>
          <w:sz w:val="24"/>
          <w:szCs w:val="24"/>
        </w:rPr>
        <w:t>废弃设备和管道由东胜公司物资管理部门回收；</w:t>
      </w:r>
    </w:p>
    <w:p w14:paraId="26912184">
      <w:pPr>
        <w:adjustRightInd w:val="0"/>
        <w:snapToGrid w:val="0"/>
        <w:spacing w:line="331" w:lineRule="auto"/>
        <w:ind w:firstLine="480" w:firstLineChars="200"/>
        <w:rPr>
          <w:rFonts w:ascii="宋体" w:hAnsi="宋体"/>
          <w:snapToGrid w:val="0"/>
          <w:color w:val="auto"/>
          <w:kern w:val="0"/>
          <w:sz w:val="24"/>
          <w:szCs w:val="24"/>
        </w:rPr>
      </w:pPr>
      <w:r>
        <w:rPr>
          <w:rFonts w:ascii="宋体" w:hAnsi="宋体"/>
          <w:color w:val="auto"/>
          <w:sz w:val="24"/>
          <w:szCs w:val="24"/>
        </w:rPr>
        <w:fldChar w:fldCharType="begin"/>
      </w:r>
      <w:r>
        <w:rPr>
          <w:rFonts w:ascii="宋体" w:hAnsi="宋体"/>
          <w:color w:val="auto"/>
          <w:sz w:val="24"/>
          <w:szCs w:val="24"/>
        </w:rPr>
        <w:instrText xml:space="preserve"> </w:instrText>
      </w:r>
      <w:r>
        <w:rPr>
          <w:rFonts w:hint="eastAsia" w:ascii="宋体" w:hAnsi="宋体"/>
          <w:color w:val="auto"/>
          <w:sz w:val="24"/>
          <w:szCs w:val="24"/>
        </w:rPr>
        <w:instrText xml:space="preserve">= 7 \* GB3</w:instrText>
      </w:r>
      <w:r>
        <w:rPr>
          <w:rFonts w:ascii="宋体" w:hAnsi="宋体"/>
          <w:color w:val="auto"/>
          <w:sz w:val="24"/>
          <w:szCs w:val="24"/>
        </w:rPr>
        <w:instrText xml:space="preserve"> </w:instrText>
      </w:r>
      <w:r>
        <w:rPr>
          <w:rFonts w:ascii="宋体" w:hAnsi="宋体"/>
          <w:color w:val="auto"/>
          <w:sz w:val="24"/>
          <w:szCs w:val="24"/>
        </w:rPr>
        <w:fldChar w:fldCharType="separate"/>
      </w:r>
      <w:r>
        <w:rPr>
          <w:rFonts w:hint="eastAsia" w:ascii="宋体" w:hAnsi="宋体"/>
          <w:color w:val="auto"/>
          <w:sz w:val="24"/>
          <w:szCs w:val="24"/>
        </w:rPr>
        <w:t>⑦</w:t>
      </w:r>
      <w:r>
        <w:rPr>
          <w:rFonts w:ascii="宋体" w:hAnsi="宋体"/>
          <w:color w:val="auto"/>
          <w:sz w:val="24"/>
          <w:szCs w:val="24"/>
        </w:rPr>
        <w:fldChar w:fldCharType="end"/>
      </w:r>
      <w:r>
        <w:rPr>
          <w:rFonts w:hint="eastAsia" w:ascii="宋体" w:hAnsi="宋体"/>
          <w:color w:val="auto"/>
          <w:sz w:val="24"/>
          <w:szCs w:val="24"/>
        </w:rPr>
        <w:t>生活垃圾收集后委托当地环卫部门处理</w:t>
      </w:r>
      <w:r>
        <w:rPr>
          <w:rFonts w:hint="eastAsia" w:ascii="宋体" w:hAnsi="宋体"/>
          <w:snapToGrid w:val="0"/>
          <w:color w:val="auto"/>
          <w:kern w:val="0"/>
          <w:sz w:val="24"/>
          <w:szCs w:val="24"/>
        </w:rPr>
        <w:t>。</w:t>
      </w:r>
    </w:p>
    <w:p w14:paraId="1EDF34ED">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（4）噪声</w:t>
      </w:r>
    </w:p>
    <w:p w14:paraId="43C219D4">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olor w:val="auto"/>
          <w:sz w:val="24"/>
          <w:szCs w:val="24"/>
        </w:rPr>
        <w:t>本项目施工噪声主要为施工设备噪声，包括钻井过程钻机、柴油机、泥浆泵等，噪声源强在80～100dB（A）；压裂施工过程压裂泵车、仪表车等，噪声源强在80～100dB（A）；地面施工挖掘机、推土机、载重汽车、电焊机等噪声，噪声源强在85～95dB（A）。本项目采取合理安排施工时间、施工现场布局、选用低噪声设备、加强检查、维护和保养工作等措施，减少对周围声环境影响</w:t>
      </w:r>
      <w:r>
        <w:rPr>
          <w:rFonts w:hint="eastAsia" w:ascii="宋体" w:hAnsi="宋体" w:cs="宋体"/>
          <w:snapToGrid w:val="0"/>
          <w:color w:val="auto"/>
          <w:kern w:val="0"/>
          <w:sz w:val="24"/>
          <w:szCs w:val="24"/>
        </w:rPr>
        <w:t>。</w:t>
      </w:r>
    </w:p>
    <w:p w14:paraId="5432E9DA">
      <w:pPr>
        <w:pStyle w:val="97"/>
        <w:ind w:firstLine="480" w:firstLineChars="200"/>
        <w:rPr>
          <w:snapToGrid w:val="0"/>
          <w:color w:val="auto"/>
        </w:rPr>
      </w:pPr>
      <w:bookmarkStart w:id="342" w:name="_Toc484119253"/>
      <w:r>
        <w:rPr>
          <w:rFonts w:hint="eastAsia"/>
          <w:snapToGrid w:val="0"/>
          <w:color w:val="auto"/>
        </w:rPr>
        <w:t>2）运营期</w:t>
      </w:r>
      <w:bookmarkEnd w:id="342"/>
      <w:r>
        <w:rPr>
          <w:rFonts w:hint="eastAsia"/>
          <w:snapToGrid w:val="0"/>
          <w:color w:val="auto"/>
        </w:rPr>
        <w:t>环境</w:t>
      </w:r>
      <w:r>
        <w:rPr>
          <w:snapToGrid w:val="0"/>
          <w:color w:val="auto"/>
        </w:rPr>
        <w:t>影响</w:t>
      </w:r>
      <w:r>
        <w:rPr>
          <w:rFonts w:hint="eastAsia"/>
          <w:snapToGrid w:val="0"/>
          <w:color w:val="auto"/>
        </w:rPr>
        <w:t>评价</w:t>
      </w:r>
    </w:p>
    <w:p w14:paraId="27BA3F57">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（1）废气</w:t>
      </w:r>
    </w:p>
    <w:p w14:paraId="59D86D41">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根据估算模型AERSCREEN计算结果，纯113-斜10井场无组织排放非甲烷总烃下风向最大质量浓度为71.136ug/m</w:t>
      </w:r>
      <w:r>
        <w:rPr>
          <w:rFonts w:hint="eastAsia" w:ascii="宋体" w:hAnsi="宋体"/>
          <w:color w:val="auto"/>
          <w:sz w:val="24"/>
          <w:szCs w:val="24"/>
          <w:vertAlign w:val="superscript"/>
        </w:rPr>
        <w:t>3</w:t>
      </w:r>
      <w:r>
        <w:rPr>
          <w:rFonts w:hint="eastAsia" w:ascii="宋体" w:hAnsi="宋体"/>
          <w:color w:val="auto"/>
          <w:sz w:val="24"/>
          <w:szCs w:val="24"/>
        </w:rPr>
        <w:t>，占标率为3.56%，厂界浓度均能够达到《挥发性有机物排放标准 第7部分：其他行业》（DB37/ 2801.7-2019）中表2厂界监控点浓度限值（VOCs：2.0mg/m</w:t>
      </w:r>
      <w:r>
        <w:rPr>
          <w:rFonts w:hint="eastAsia" w:ascii="宋体" w:hAnsi="宋体"/>
          <w:color w:val="auto"/>
          <w:sz w:val="24"/>
          <w:szCs w:val="24"/>
          <w:vertAlign w:val="superscript"/>
        </w:rPr>
        <w:t>3</w:t>
      </w:r>
      <w:r>
        <w:rPr>
          <w:rFonts w:hint="eastAsia" w:ascii="宋体" w:hAnsi="宋体"/>
          <w:color w:val="auto"/>
          <w:sz w:val="24"/>
          <w:szCs w:val="24"/>
        </w:rPr>
        <w:t>）要求。有组织废气中1000kW水套加热炉排放NO</w:t>
      </w:r>
      <w:r>
        <w:rPr>
          <w:rFonts w:hint="eastAsia" w:ascii="宋体" w:hAnsi="宋体"/>
          <w:color w:val="auto"/>
          <w:sz w:val="24"/>
          <w:szCs w:val="24"/>
          <w:vertAlign w:val="subscript"/>
        </w:rPr>
        <w:t>X</w:t>
      </w:r>
      <w:r>
        <w:rPr>
          <w:rFonts w:hint="eastAsia" w:ascii="宋体" w:hAnsi="宋体"/>
          <w:color w:val="auto"/>
          <w:sz w:val="24"/>
          <w:szCs w:val="24"/>
        </w:rPr>
        <w:t>下风向最大质量浓度为0.0195mg/m</w:t>
      </w:r>
      <w:r>
        <w:rPr>
          <w:rFonts w:hint="eastAsia" w:ascii="宋体" w:hAnsi="宋体"/>
          <w:color w:val="auto"/>
          <w:sz w:val="24"/>
          <w:szCs w:val="24"/>
          <w:vertAlign w:val="superscript"/>
        </w:rPr>
        <w:t>3</w:t>
      </w:r>
      <w:r>
        <w:rPr>
          <w:rFonts w:hint="eastAsia" w:ascii="宋体" w:hAnsi="宋体"/>
          <w:color w:val="auto"/>
          <w:sz w:val="24"/>
          <w:szCs w:val="24"/>
        </w:rPr>
        <w:t>，最大占标率9.76%。本项目投产运营后，各污染源排放的污染物贡献浓度较小，对周围环境影响较小。</w:t>
      </w:r>
    </w:p>
    <w:p w14:paraId="0343C223">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本项目大气评价等级为二级，不需设置大气环境防护距离。</w:t>
      </w:r>
    </w:p>
    <w:p w14:paraId="786DAC22">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snapToGrid w:val="0"/>
          <w:color w:val="auto"/>
          <w:kern w:val="0"/>
          <w:sz w:val="24"/>
          <w:szCs w:val="24"/>
        </w:rPr>
        <w:t>（2）废水</w:t>
      </w:r>
    </w:p>
    <w:p w14:paraId="43064729">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运营期采出水、井下作业废液经处理达标后回注，不外排。因此，本项目的废水对地表水环境影响很小。</w:t>
      </w:r>
    </w:p>
    <w:p w14:paraId="615844B7">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运营期采出水、井下作业废液经处理达标后回注，不外排。本项目采取了源头控制措施、过程防控措施、分区防渗措施，可有效避免地下水污染，项目建设对地下水环境影响较小。</w:t>
      </w:r>
    </w:p>
    <w:p w14:paraId="63C5AF2F">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snapToGrid w:val="0"/>
          <w:color w:val="auto"/>
          <w:kern w:val="0"/>
          <w:sz w:val="24"/>
          <w:szCs w:val="24"/>
        </w:rPr>
        <w:t>（</w:t>
      </w:r>
      <w:r>
        <w:rPr>
          <w:rFonts w:ascii="宋体" w:hAnsi="宋体"/>
          <w:snapToGrid w:val="0"/>
          <w:color w:val="auto"/>
          <w:kern w:val="0"/>
          <w:sz w:val="24"/>
          <w:szCs w:val="24"/>
        </w:rPr>
        <w:t>3</w:t>
      </w:r>
      <w:r>
        <w:rPr>
          <w:rFonts w:hint="eastAsia" w:ascii="宋体" w:hAnsi="宋体"/>
          <w:snapToGrid w:val="0"/>
          <w:color w:val="auto"/>
          <w:kern w:val="0"/>
          <w:sz w:val="24"/>
          <w:szCs w:val="24"/>
        </w:rPr>
        <w:t>）固废</w:t>
      </w:r>
    </w:p>
    <w:p w14:paraId="1F94B5E2">
      <w:pPr>
        <w:widowControl/>
        <w:adjustRightInd w:val="0"/>
        <w:snapToGrid w:val="0"/>
        <w:spacing w:line="331" w:lineRule="auto"/>
        <w:ind w:firstLine="480" w:firstLineChars="200"/>
        <w:rPr>
          <w:rFonts w:ascii="宋体" w:hAnsi="宋体"/>
          <w:color w:val="auto"/>
          <w:sz w:val="24"/>
          <w:szCs w:val="24"/>
        </w:rPr>
      </w:pPr>
      <w:r>
        <w:rPr>
          <w:rFonts w:hint="eastAsia" w:ascii="宋体" w:hAnsi="宋体"/>
          <w:color w:val="auto"/>
          <w:sz w:val="24"/>
          <w:szCs w:val="24"/>
        </w:rPr>
        <w:t>运营期固体废物主要为清罐底泥、落地油、废润滑油、废沾油包装物、废变压器油等危险废物，全部委托具备危废处理资质单位进行处置。本项目产生的固体废物全部进行了妥善处置，均不外排，对周围环境影响较小。</w:t>
      </w:r>
    </w:p>
    <w:p w14:paraId="7D0B2EB4">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s="宋体"/>
          <w:snapToGrid w:val="0"/>
          <w:color w:val="auto"/>
          <w:kern w:val="0"/>
          <w:sz w:val="24"/>
          <w:szCs w:val="24"/>
        </w:rPr>
        <w:t>（4）噪声</w:t>
      </w:r>
    </w:p>
    <w:p w14:paraId="7979CC26">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olor w:val="auto"/>
          <w:sz w:val="24"/>
          <w:szCs w:val="24"/>
        </w:rPr>
        <w:t>经预测，运营期井场、站场厂界噪声满足《工业企业厂界环境噪声排放标准》（GB 12348-2008）2类区排放限值要求，</w:t>
      </w:r>
      <w:r>
        <w:rPr>
          <w:rFonts w:hint="eastAsia" w:ascii="宋体" w:hAnsi="宋体" w:cs="宋体"/>
          <w:color w:val="auto"/>
          <w:kern w:val="0"/>
          <w:sz w:val="24"/>
          <w:szCs w:val="24"/>
        </w:rPr>
        <w:t>敏感目标处噪声预测值满足《声环境质量标准》（GB 3096-2008）中的2类声环境功能区环境噪声限值要求</w:t>
      </w:r>
      <w:r>
        <w:rPr>
          <w:rFonts w:hint="eastAsia" w:ascii="宋体" w:hAnsi="宋体"/>
          <w:color w:val="auto"/>
          <w:sz w:val="24"/>
          <w:szCs w:val="24"/>
        </w:rPr>
        <w:t>。井下作业期间，昼间、夜间厂界存在超标现象。井下作业时间较短，经采取噪声防治措施后不会对周围声环境造成较大影响。因此，从声环境角度分析，本项目是可行的。</w:t>
      </w:r>
    </w:p>
    <w:p w14:paraId="4C327404">
      <w:pPr>
        <w:pStyle w:val="6"/>
        <w:rPr>
          <w:color w:val="auto"/>
        </w:rPr>
      </w:pPr>
      <w:r>
        <w:rPr>
          <w:rFonts w:hint="eastAsia"/>
          <w:color w:val="auto"/>
        </w:rPr>
        <w:t>环境风险</w:t>
      </w:r>
    </w:p>
    <w:p w14:paraId="5A319A2C">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根据对本项目进行风险识别和源项分析可知，生产过程中危险、有害物质主要是原油、伴生气等，环境风险潜势综合判断为Ⅰ，可进行简单分析。</w:t>
      </w:r>
    </w:p>
    <w:p w14:paraId="1C54CBB7">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针对项目生产特点，结合对各类事故的影响分析，提出了有针对性的风险防范措施，同时制定了本项目的应急预案。在严格落实报告书提出的各项事故风险防范措施和应急预案情况下，本项目的建设与运行带来的环境风险是可控的，项目建设可行。</w:t>
      </w:r>
    </w:p>
    <w:p w14:paraId="76121EB3">
      <w:pPr>
        <w:pStyle w:val="6"/>
        <w:rPr>
          <w:color w:val="auto"/>
        </w:rPr>
      </w:pPr>
      <w:r>
        <w:rPr>
          <w:rFonts w:hint="eastAsia"/>
          <w:color w:val="auto"/>
        </w:rPr>
        <w:t>清洁生产</w:t>
      </w:r>
    </w:p>
    <w:p w14:paraId="6041DD97">
      <w:pPr>
        <w:adjustRightInd w:val="0"/>
        <w:snapToGrid w:val="0"/>
        <w:spacing w:line="328" w:lineRule="auto"/>
        <w:ind w:firstLine="480" w:firstLineChars="200"/>
        <w:rPr>
          <w:rFonts w:ascii="宋体" w:hAnsi="宋体"/>
          <w:color w:val="auto"/>
          <w:sz w:val="24"/>
          <w:szCs w:val="24"/>
        </w:rPr>
      </w:pPr>
      <w:bookmarkStart w:id="343" w:name="_Toc484119256"/>
      <w:r>
        <w:rPr>
          <w:rFonts w:hint="eastAsia" w:ascii="宋体" w:hAnsi="宋体"/>
          <w:color w:val="auto"/>
          <w:sz w:val="24"/>
          <w:szCs w:val="24"/>
        </w:rPr>
        <w:t>本项目主要从清洁生产工艺和设备、清洁生产措施分析、清洁生产总体评价、清洁生产建议和循环经济等方面进行分析，认为项目总体符合清洁生产要求。</w:t>
      </w:r>
    </w:p>
    <w:p w14:paraId="340F9166">
      <w:pPr>
        <w:pStyle w:val="6"/>
        <w:rPr>
          <w:color w:val="auto"/>
        </w:rPr>
      </w:pPr>
      <w:r>
        <w:rPr>
          <w:rFonts w:hint="eastAsia"/>
          <w:color w:val="auto"/>
        </w:rPr>
        <w:t>污染物总量控制</w:t>
      </w:r>
    </w:p>
    <w:p w14:paraId="709C7D59">
      <w:pPr>
        <w:pStyle w:val="4"/>
        <w:ind w:firstLine="480"/>
        <w:rPr>
          <w:color w:val="auto"/>
        </w:rPr>
      </w:pPr>
      <w:r>
        <w:rPr>
          <w:rFonts w:hint="eastAsia"/>
          <w:color w:val="auto"/>
        </w:rPr>
        <w:t>本项目无废水外排，不涉及化学需氧量和氨氮。</w:t>
      </w:r>
    </w:p>
    <w:p w14:paraId="388A032B">
      <w:pPr>
        <w:pStyle w:val="306"/>
        <w:ind w:firstLine="480"/>
        <w:rPr>
          <w:color w:val="auto"/>
        </w:rPr>
      </w:pPr>
      <w:r>
        <w:rPr>
          <w:rFonts w:hint="eastAsia"/>
          <w:color w:val="auto"/>
        </w:rPr>
        <w:t>本项目主要大气污染物为油井井口无组织排放的挥发性有机物、多功能罐废气、水套加热炉废气。本项目SO</w:t>
      </w:r>
      <w:r>
        <w:rPr>
          <w:rFonts w:hint="eastAsia"/>
          <w:color w:val="auto"/>
          <w:vertAlign w:val="subscript"/>
        </w:rPr>
        <w:t>2</w:t>
      </w:r>
      <w:r>
        <w:rPr>
          <w:rFonts w:hint="eastAsia"/>
          <w:color w:val="auto"/>
        </w:rPr>
        <w:t>排放量为0.105t/a，NO</w:t>
      </w:r>
      <w:r>
        <w:rPr>
          <w:rFonts w:hint="eastAsia"/>
          <w:color w:val="auto"/>
          <w:vertAlign w:val="subscript"/>
        </w:rPr>
        <w:t>X</w:t>
      </w:r>
      <w:r>
        <w:rPr>
          <w:rFonts w:hint="eastAsia"/>
          <w:color w:val="auto"/>
        </w:rPr>
        <w:t>排放量为1.615t/a，颗粒物排放量为0.139t/a，非甲烷总烃排放量为1.149t/a。</w:t>
      </w:r>
    </w:p>
    <w:p w14:paraId="2A17C79C">
      <w:pPr>
        <w:pStyle w:val="4"/>
        <w:ind w:firstLine="480"/>
        <w:rPr>
          <w:color w:val="auto"/>
        </w:rPr>
      </w:pPr>
      <w:r>
        <w:rPr>
          <w:rFonts w:hint="eastAsia"/>
          <w:color w:val="auto"/>
        </w:rPr>
        <w:t>根据《关于统筹使用“十四五”建设项目主要大气污染物总量指标的通知》(淄环函[2021]55号)文件的要求：建设项目的主要大气污染物指标(二氧化硫、氮氧化物、颗粒物、挥发性有机物)的总量替代原则需严格按照《山东省建设项目主要大气污染物排放总量替代指标核算及管理办法》(鲁环发[2019]132号)、《山东省人民政府办公厅关于加强“两高”项目管理的通知》(鲁政办字[2021]57号)文件要求进行，由淄博市上一年度环境空气质量年平均浓度及细颗粒物年平均浓度的数据情况而定。淄博市2022年环境空气质量年平均浓度及细颗粒物年平均浓度不达标，相关污染物应按照建设项目所需替代的污染物排放总量指标的2倍进行消减替代。拟建项目所需2倍削减替代量为:SO</w:t>
      </w:r>
      <w:r>
        <w:rPr>
          <w:rFonts w:hint="eastAsia"/>
          <w:color w:val="auto"/>
          <w:vertAlign w:val="subscript"/>
        </w:rPr>
        <w:t>2</w:t>
      </w:r>
      <w:r>
        <w:rPr>
          <w:rFonts w:hint="eastAsia"/>
          <w:color w:val="auto"/>
        </w:rPr>
        <w:t>0.21t/a、颗粒物0.278t/a、NO</w:t>
      </w:r>
      <w:r>
        <w:rPr>
          <w:rFonts w:hint="eastAsia"/>
          <w:color w:val="auto"/>
          <w:vertAlign w:val="subscript"/>
        </w:rPr>
        <w:t>X</w:t>
      </w:r>
      <w:r>
        <w:rPr>
          <w:rFonts w:hint="eastAsia"/>
          <w:color w:val="auto"/>
        </w:rPr>
        <w:t xml:space="preserve"> 3.23t/a、VOCs 2.298t/a。</w:t>
      </w:r>
    </w:p>
    <w:p w14:paraId="1AB53353">
      <w:pPr>
        <w:pStyle w:val="6"/>
        <w:rPr>
          <w:color w:val="auto"/>
        </w:rPr>
      </w:pPr>
      <w:r>
        <w:rPr>
          <w:rFonts w:hint="eastAsia"/>
          <w:color w:val="auto"/>
        </w:rPr>
        <w:t>环境管理与监测计划</w:t>
      </w:r>
    </w:p>
    <w:p w14:paraId="7345C8A4">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建设单位必须制定严格的QHSE程序文件和作业文件，加强HSE宣传，严格执行各项管理措施，实施施工期管理。在钻井过程中加强环境管理，并按监测计划实施对大气、噪声等监测，对废水转运及处理进行管理。</w:t>
      </w:r>
    </w:p>
    <w:p w14:paraId="7E28AD0F">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建设单位应按照QHSE管理体系制定相应的施工期管理规定，对施工承包商提出QHSE方面的严格要求。项目须设立专门的QHSE管理机构，并配备专职的管理人员，项目运行后由该机构负责项目的环保管理工作。运营期环境监测工作由环境监测站承担，负责对本项目废水、废气和企业噪声等进行必要的监测，完成常规环境监测任务，在突发性污染事故中负责对大气、水体环境进行及时监测。环境监测站根据国家及公司环境监测的有关要求配置完善监测仪器及设备</w:t>
      </w:r>
      <w:r>
        <w:rPr>
          <w:rFonts w:hint="eastAsia"/>
          <w:snapToGrid w:val="0"/>
          <w:color w:val="auto"/>
          <w:kern w:val="0"/>
        </w:rPr>
        <w:t>。</w:t>
      </w:r>
    </w:p>
    <w:bookmarkEnd w:id="343"/>
    <w:p w14:paraId="2FA13E23">
      <w:pPr>
        <w:pStyle w:val="6"/>
        <w:rPr>
          <w:color w:val="auto"/>
        </w:rPr>
      </w:pPr>
      <w:bookmarkStart w:id="344" w:name="_Toc490469559"/>
      <w:bookmarkStart w:id="345" w:name="_Toc484119260"/>
      <w:r>
        <w:rPr>
          <w:rFonts w:hint="eastAsia"/>
          <w:color w:val="auto"/>
        </w:rPr>
        <w:t>产业政策符合性及环境准入可行性</w:t>
      </w:r>
    </w:p>
    <w:p w14:paraId="5FA1D0BF">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本项目属于陆地石油开采项目，属于《产业结构调整指导目录（2024 年本）》（2024年2月1日）中鼓励类项目，符合国家产业政策；建设地点不在饮用水水源保护区、生态保护红线区范围内，符合《淄博市矿产资源总体规划（2021-2025年）》（2023年2月8日）、《饮用水水源保护区污染防治管理规定》（2010年12月22日）、《淄博市人民政府关于印发淄博市“三线一单”生态环境分区管控方案的通知》（淄政字[2021]49号）、《淄博市生态环境委员会办公室关于印发淄博市“三线一单”生态环境准入清单（动态更新版）的通知》（2023年4月20日）的有关管控要求。</w:t>
      </w:r>
    </w:p>
    <w:p w14:paraId="0C30DA9A">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综上，拟建项目符合国家产业政策、符合国家和地方的相关规划，项目选址可行。</w:t>
      </w:r>
    </w:p>
    <w:p w14:paraId="2C629130">
      <w:pPr>
        <w:pStyle w:val="6"/>
        <w:rPr>
          <w:color w:val="auto"/>
        </w:rPr>
      </w:pPr>
      <w:r>
        <w:rPr>
          <w:rFonts w:hint="eastAsia"/>
          <w:color w:val="auto"/>
        </w:rPr>
        <w:t>结论</w:t>
      </w:r>
      <w:bookmarkEnd w:id="344"/>
      <w:bookmarkEnd w:id="345"/>
    </w:p>
    <w:p w14:paraId="09A412A6">
      <w:pPr>
        <w:adjustRightInd w:val="0"/>
        <w:snapToGrid w:val="0"/>
        <w:spacing w:line="328" w:lineRule="auto"/>
        <w:ind w:firstLine="480" w:firstLineChars="200"/>
        <w:rPr>
          <w:rFonts w:ascii="宋体" w:hAnsi="宋体"/>
          <w:color w:val="auto"/>
          <w:sz w:val="24"/>
          <w:szCs w:val="24"/>
        </w:rPr>
      </w:pPr>
      <w:r>
        <w:rPr>
          <w:rFonts w:hint="eastAsia" w:ascii="宋体" w:hAnsi="宋体"/>
          <w:color w:val="auto"/>
          <w:sz w:val="24"/>
          <w:szCs w:val="24"/>
        </w:rPr>
        <w:t>本项目的建设符合国家、行业颁布的相关产业政策、法规、规范；正常工况下，施工期和运营期对生态环境、大气环境、地表水环境、地下水环境和声环境影响小，不改变区域的环境功能；项目总体符合清洁生产要求，采用的环保措施可行。项目存在井喷、泄漏、火灾爆炸等环境风险，评价结果表明，本项目突发环境事件的概率较低，在采取安全防范措施和突发环境事件应急预案、落实各项安全环保措施并执行完整以及确保风险防范和应急措施切实有效的前提下，满足国家相关环境保护和安全法规、标准的要求，本项目的环境风险可控。综上所述，从环境保护角度分析，本项目的建设可行。</w:t>
      </w:r>
    </w:p>
    <w:p w14:paraId="29141C9C">
      <w:pPr>
        <w:pStyle w:val="6"/>
        <w:rPr>
          <w:color w:val="auto"/>
        </w:rPr>
      </w:pPr>
      <w:r>
        <w:rPr>
          <w:rFonts w:hint="eastAsia"/>
          <w:color w:val="auto"/>
        </w:rPr>
        <w:t xml:space="preserve"> “三同时”竣工验收一览表</w:t>
      </w:r>
    </w:p>
    <w:p w14:paraId="3833EAFC">
      <w:pPr>
        <w:pStyle w:val="128"/>
        <w:spacing w:line="331" w:lineRule="auto"/>
        <w:ind w:firstLine="480"/>
        <w:jc w:val="both"/>
        <w:rPr>
          <w:snapToGrid w:val="0"/>
          <w:color w:val="auto"/>
          <w:kern w:val="2"/>
          <w:szCs w:val="24"/>
        </w:rPr>
      </w:pPr>
      <w:r>
        <w:rPr>
          <w:snapToGrid w:val="0"/>
          <w:color w:val="auto"/>
          <w:kern w:val="2"/>
          <w:szCs w:val="24"/>
        </w:rPr>
        <w:t>本项目</w:t>
      </w:r>
      <w:r>
        <w:rPr>
          <w:rFonts w:hint="eastAsia"/>
          <w:snapToGrid w:val="0"/>
          <w:color w:val="auto"/>
          <w:szCs w:val="21"/>
        </w:rPr>
        <w:t>“三同时”竣工验收</w:t>
      </w:r>
      <w:r>
        <w:rPr>
          <w:snapToGrid w:val="0"/>
          <w:color w:val="auto"/>
          <w:kern w:val="2"/>
          <w:szCs w:val="24"/>
        </w:rPr>
        <w:t>见</w:t>
      </w:r>
      <w:r>
        <w:rPr>
          <w:snapToGrid w:val="0"/>
          <w:color w:val="auto"/>
          <w:kern w:val="2"/>
          <w:szCs w:val="24"/>
        </w:rPr>
        <w:fldChar w:fldCharType="begin"/>
      </w:r>
      <w:r>
        <w:instrText xml:space="preserve"> REF _Ref225678203 \h  \* MERGEFORMAT</w:instrText>
      </w:r>
      <w:r>
        <w:rPr>
          <w:snapToGrid w:val="0"/>
          <w:color w:val="auto"/>
          <w:kern w:val="2"/>
          <w:szCs w:val="24"/>
        </w:rPr>
        <w:fldChar w:fldCharType="separate"/>
      </w:r>
      <w:r>
        <w:rPr>
          <w:rFonts w:hint="eastAsia"/>
          <w:color w:val="auto"/>
        </w:rPr>
        <w:t xml:space="preserve">表 </w:t>
      </w:r>
      <w:r>
        <w:rPr>
          <w:color w:val="auto"/>
        </w:rPr>
        <w:t>4.1</w:t>
      </w:r>
      <w:r>
        <w:rPr>
          <w:color w:val="auto"/>
        </w:rPr>
        <w:noBreakHyphen/>
      </w:r>
      <w:r>
        <w:rPr>
          <w:color w:val="auto"/>
        </w:rPr>
        <w:t>1</w:t>
      </w:r>
      <w:r>
        <w:rPr>
          <w:snapToGrid w:val="0"/>
          <w:color w:val="auto"/>
          <w:kern w:val="2"/>
          <w:szCs w:val="24"/>
        </w:rPr>
        <w:fldChar w:fldCharType="end"/>
      </w:r>
      <w:r>
        <w:rPr>
          <w:rFonts w:hint="eastAsia"/>
          <w:snapToGrid w:val="0"/>
          <w:color w:val="auto"/>
          <w:kern w:val="2"/>
          <w:szCs w:val="24"/>
        </w:rPr>
        <w:t>。</w:t>
      </w:r>
    </w:p>
    <w:p w14:paraId="33A30B5F">
      <w:pPr>
        <w:pStyle w:val="128"/>
        <w:spacing w:line="331" w:lineRule="auto"/>
        <w:ind w:firstLine="0" w:firstLineChars="0"/>
        <w:jc w:val="both"/>
        <w:rPr>
          <w:snapToGrid w:val="0"/>
          <w:color w:val="auto"/>
          <w:kern w:val="2"/>
          <w:szCs w:val="24"/>
        </w:rPr>
        <w:sectPr>
          <w:headerReference r:id="rId10" w:type="default"/>
          <w:footerReference r:id="rId11" w:type="default"/>
          <w:pgSz w:w="11907" w:h="16839"/>
          <w:pgMar w:top="1418" w:right="1588" w:bottom="1418" w:left="1588" w:header="1134" w:footer="850" w:gutter="0"/>
          <w:cols w:space="720" w:num="1"/>
          <w:docGrid w:linePitch="312" w:charSpace="0"/>
        </w:sectPr>
      </w:pPr>
      <w:r>
        <w:rPr>
          <w:snapToGrid w:val="0"/>
          <w:color w:val="auto"/>
          <w:kern w:val="2"/>
          <w:szCs w:val="24"/>
        </w:rPr>
        <w:t>。</w:t>
      </w:r>
      <w:bookmarkStart w:id="346" w:name="_Ref59436820"/>
    </w:p>
    <w:p w14:paraId="52782F7C">
      <w:pPr>
        <w:pStyle w:val="15"/>
        <w:spacing w:before="120"/>
        <w:rPr>
          <w:rFonts w:hAnsi="宋体"/>
          <w:snapToGrid w:val="0"/>
          <w:color w:val="auto"/>
        </w:rPr>
      </w:pPr>
      <w:bookmarkStart w:id="347" w:name="_Ref225678203"/>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4.1</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346"/>
      <w:bookmarkEnd w:id="347"/>
      <w:r>
        <w:rPr>
          <w:rFonts w:hint="eastAsia" w:hAnsi="宋体"/>
          <w:color w:val="auto"/>
        </w:rPr>
        <w:t xml:space="preserve">  </w:t>
      </w:r>
      <w:r>
        <w:rPr>
          <w:rFonts w:hint="eastAsia" w:hAnsi="宋体"/>
          <w:snapToGrid w:val="0"/>
          <w:color w:val="auto"/>
        </w:rPr>
        <w:t>“三同时”竣工验收</w:t>
      </w:r>
      <w:r>
        <w:rPr>
          <w:rFonts w:hAnsi="宋体"/>
          <w:snapToGrid w:val="0"/>
          <w:color w:val="auto"/>
        </w:rPr>
        <w:t>一览表</w:t>
      </w:r>
    </w:p>
    <w:tbl>
      <w:tblPr>
        <w:tblStyle w:val="46"/>
        <w:tblW w:w="5000" w:type="pct"/>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1307"/>
        <w:gridCol w:w="3901"/>
        <w:gridCol w:w="2578"/>
        <w:gridCol w:w="2368"/>
        <w:gridCol w:w="2228"/>
        <w:gridCol w:w="1077"/>
      </w:tblGrid>
      <w:tr w14:paraId="78BED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1" w:type="pct"/>
            <w:tcBorders>
              <w:top w:val="single" w:color="auto" w:sz="4" w:space="0"/>
              <w:left w:val="single" w:color="auto" w:sz="4" w:space="0"/>
              <w:bottom w:val="single" w:color="auto" w:sz="4" w:space="0"/>
              <w:right w:val="single" w:color="auto" w:sz="4" w:space="0"/>
            </w:tcBorders>
            <w:tcMar>
              <w:top w:w="0" w:type="dxa"/>
              <w:left w:w="6" w:type="dxa"/>
              <w:bottom w:w="0" w:type="dxa"/>
              <w:right w:w="6" w:type="dxa"/>
            </w:tcMar>
            <w:vAlign w:val="center"/>
          </w:tcPr>
          <w:p w14:paraId="4B629DA0">
            <w:pPr>
              <w:adjustRightInd w:val="0"/>
              <w:snapToGrid w:val="0"/>
              <w:jc w:val="center"/>
              <w:rPr>
                <w:rFonts w:ascii="宋体" w:hAnsi="宋体"/>
                <w:color w:val="auto"/>
              </w:rPr>
            </w:pPr>
            <w:r>
              <w:rPr>
                <w:rFonts w:hint="eastAsia" w:ascii="宋体" w:hAnsi="宋体"/>
                <w:color w:val="auto"/>
              </w:rPr>
              <w:t>阶段</w:t>
            </w:r>
          </w:p>
        </w:tc>
        <w:tc>
          <w:tcPr>
            <w:tcW w:w="467" w:type="pct"/>
            <w:tcBorders>
              <w:top w:val="single" w:color="auto" w:sz="4" w:space="0"/>
              <w:left w:val="single" w:color="auto" w:sz="4" w:space="0"/>
              <w:bottom w:val="single" w:color="auto" w:sz="4" w:space="0"/>
              <w:right w:val="single" w:color="auto" w:sz="4" w:space="0"/>
            </w:tcBorders>
            <w:tcMar>
              <w:top w:w="0" w:type="dxa"/>
              <w:left w:w="6" w:type="dxa"/>
              <w:bottom w:w="0" w:type="dxa"/>
              <w:right w:w="6" w:type="dxa"/>
            </w:tcMar>
            <w:vAlign w:val="center"/>
          </w:tcPr>
          <w:p w14:paraId="793B8AA1">
            <w:pPr>
              <w:adjustRightInd w:val="0"/>
              <w:snapToGrid w:val="0"/>
              <w:jc w:val="center"/>
              <w:rPr>
                <w:rFonts w:ascii="宋体" w:hAnsi="宋体"/>
                <w:color w:val="auto"/>
              </w:rPr>
            </w:pPr>
            <w:r>
              <w:rPr>
                <w:rFonts w:hint="eastAsia" w:ascii="宋体" w:hAnsi="宋体"/>
                <w:color w:val="auto"/>
              </w:rPr>
              <w:t>项目</w:t>
            </w:r>
          </w:p>
        </w:tc>
        <w:tc>
          <w:tcPr>
            <w:tcW w:w="1394" w:type="pct"/>
            <w:tcBorders>
              <w:top w:val="single" w:color="auto" w:sz="4" w:space="0"/>
              <w:left w:val="single" w:color="auto" w:sz="4" w:space="0"/>
              <w:bottom w:val="single" w:color="auto" w:sz="4" w:space="0"/>
              <w:right w:val="single" w:color="auto" w:sz="4" w:space="0"/>
            </w:tcBorders>
            <w:vAlign w:val="center"/>
          </w:tcPr>
          <w:p w14:paraId="33E1D341">
            <w:pPr>
              <w:adjustRightInd w:val="0"/>
              <w:snapToGrid w:val="0"/>
              <w:jc w:val="center"/>
              <w:rPr>
                <w:rFonts w:ascii="宋体" w:hAnsi="宋体"/>
                <w:color w:val="auto"/>
              </w:rPr>
            </w:pPr>
            <w:r>
              <w:rPr>
                <w:rFonts w:hint="eastAsia" w:ascii="宋体" w:hAnsi="宋体"/>
                <w:color w:val="auto"/>
              </w:rPr>
              <w:t>措施内容</w:t>
            </w:r>
          </w:p>
        </w:tc>
        <w:tc>
          <w:tcPr>
            <w:tcW w:w="921" w:type="pct"/>
            <w:tcBorders>
              <w:top w:val="single" w:color="auto" w:sz="4" w:space="0"/>
              <w:left w:val="single" w:color="auto" w:sz="4" w:space="0"/>
              <w:bottom w:val="single" w:color="auto" w:sz="4" w:space="0"/>
              <w:right w:val="single" w:color="auto" w:sz="4" w:space="0"/>
            </w:tcBorders>
            <w:vAlign w:val="center"/>
          </w:tcPr>
          <w:p w14:paraId="3374B861">
            <w:pPr>
              <w:adjustRightInd w:val="0"/>
              <w:snapToGrid w:val="0"/>
              <w:jc w:val="center"/>
              <w:rPr>
                <w:rFonts w:ascii="宋体" w:hAnsi="宋体"/>
                <w:color w:val="auto"/>
              </w:rPr>
            </w:pPr>
            <w:r>
              <w:rPr>
                <w:rFonts w:hint="eastAsia" w:ascii="宋体" w:hAnsi="宋体"/>
                <w:color w:val="auto"/>
              </w:rPr>
              <w:t>处理效果</w:t>
            </w:r>
          </w:p>
        </w:tc>
        <w:tc>
          <w:tcPr>
            <w:tcW w:w="846" w:type="pct"/>
            <w:tcBorders>
              <w:top w:val="single" w:color="auto" w:sz="4" w:space="0"/>
              <w:left w:val="single" w:color="auto" w:sz="4" w:space="0"/>
              <w:bottom w:val="single" w:color="auto" w:sz="4" w:space="0"/>
              <w:right w:val="single" w:color="auto" w:sz="4" w:space="0"/>
            </w:tcBorders>
            <w:vAlign w:val="center"/>
          </w:tcPr>
          <w:p w14:paraId="74585014">
            <w:pPr>
              <w:adjustRightInd w:val="0"/>
              <w:snapToGrid w:val="0"/>
              <w:jc w:val="center"/>
              <w:rPr>
                <w:rFonts w:ascii="宋体" w:hAnsi="宋体"/>
                <w:color w:val="auto"/>
              </w:rPr>
            </w:pPr>
            <w:r>
              <w:rPr>
                <w:rFonts w:hint="eastAsia" w:ascii="宋体" w:hAnsi="宋体"/>
                <w:color w:val="auto"/>
              </w:rPr>
              <w:t>验收内容</w:t>
            </w:r>
          </w:p>
        </w:tc>
        <w:tc>
          <w:tcPr>
            <w:tcW w:w="796" w:type="pct"/>
            <w:tcBorders>
              <w:top w:val="single" w:color="auto" w:sz="4" w:space="0"/>
              <w:left w:val="single" w:color="auto" w:sz="4" w:space="0"/>
              <w:bottom w:val="single" w:color="auto" w:sz="4" w:space="0"/>
              <w:right w:val="single" w:color="auto" w:sz="4" w:space="0"/>
            </w:tcBorders>
            <w:vAlign w:val="center"/>
          </w:tcPr>
          <w:p w14:paraId="1B5CB4A2">
            <w:pPr>
              <w:adjustRightInd w:val="0"/>
              <w:snapToGrid w:val="0"/>
              <w:jc w:val="center"/>
              <w:rPr>
                <w:rFonts w:ascii="宋体" w:hAnsi="宋体"/>
                <w:color w:val="auto"/>
              </w:rPr>
            </w:pPr>
            <w:r>
              <w:rPr>
                <w:rFonts w:hint="eastAsia" w:ascii="宋体" w:hAnsi="宋体"/>
                <w:color w:val="auto"/>
              </w:rPr>
              <w:t>验收标准</w:t>
            </w:r>
          </w:p>
        </w:tc>
        <w:tc>
          <w:tcPr>
            <w:tcW w:w="385" w:type="pct"/>
            <w:tcBorders>
              <w:top w:val="single" w:color="auto" w:sz="4" w:space="0"/>
              <w:left w:val="single" w:color="auto" w:sz="4" w:space="0"/>
              <w:bottom w:val="single" w:color="auto" w:sz="4" w:space="0"/>
              <w:right w:val="single" w:color="auto" w:sz="4" w:space="0"/>
            </w:tcBorders>
            <w:vAlign w:val="center"/>
          </w:tcPr>
          <w:p w14:paraId="67F89ACF">
            <w:pPr>
              <w:adjustRightInd w:val="0"/>
              <w:snapToGrid w:val="0"/>
              <w:jc w:val="center"/>
              <w:rPr>
                <w:rFonts w:ascii="宋体" w:hAnsi="宋体"/>
                <w:color w:val="auto"/>
              </w:rPr>
            </w:pPr>
            <w:r>
              <w:rPr>
                <w:rFonts w:hint="eastAsia" w:ascii="宋体" w:hAnsi="宋体"/>
                <w:color w:val="auto"/>
              </w:rPr>
              <w:t>完成时限</w:t>
            </w:r>
          </w:p>
        </w:tc>
      </w:tr>
      <w:tr w14:paraId="0A7C0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1" w:type="pct"/>
            <w:vMerge w:val="restart"/>
            <w:tcBorders>
              <w:top w:val="nil"/>
              <w:left w:val="single" w:color="auto" w:sz="4" w:space="0"/>
              <w:bottom w:val="single" w:color="auto" w:sz="4" w:space="0"/>
              <w:right w:val="single" w:color="auto" w:sz="4" w:space="0"/>
            </w:tcBorders>
            <w:tcMar>
              <w:top w:w="0" w:type="dxa"/>
              <w:left w:w="6" w:type="dxa"/>
              <w:bottom w:w="0" w:type="dxa"/>
              <w:right w:w="6" w:type="dxa"/>
            </w:tcMar>
            <w:vAlign w:val="center"/>
          </w:tcPr>
          <w:p w14:paraId="39F41688">
            <w:pPr>
              <w:adjustRightInd w:val="0"/>
              <w:snapToGrid w:val="0"/>
              <w:jc w:val="center"/>
              <w:rPr>
                <w:rFonts w:ascii="宋体" w:hAnsi="宋体"/>
                <w:color w:val="auto"/>
              </w:rPr>
            </w:pPr>
            <w:r>
              <w:rPr>
                <w:rFonts w:hint="eastAsia" w:ascii="宋体" w:hAnsi="宋体"/>
                <w:color w:val="auto"/>
              </w:rPr>
              <w:t>施工期</w:t>
            </w:r>
          </w:p>
        </w:tc>
        <w:tc>
          <w:tcPr>
            <w:tcW w:w="467" w:type="pct"/>
            <w:vMerge w:val="restart"/>
            <w:tcBorders>
              <w:top w:val="nil"/>
              <w:left w:val="single" w:color="auto" w:sz="4" w:space="0"/>
              <w:bottom w:val="single" w:color="auto" w:sz="4" w:space="0"/>
              <w:right w:val="single" w:color="auto" w:sz="4" w:space="0"/>
            </w:tcBorders>
            <w:tcMar>
              <w:top w:w="0" w:type="dxa"/>
              <w:left w:w="6" w:type="dxa"/>
              <w:bottom w:w="0" w:type="dxa"/>
              <w:right w:w="6" w:type="dxa"/>
            </w:tcMar>
            <w:vAlign w:val="center"/>
          </w:tcPr>
          <w:p w14:paraId="6AD770BC">
            <w:pPr>
              <w:adjustRightInd w:val="0"/>
              <w:snapToGrid w:val="0"/>
              <w:jc w:val="center"/>
              <w:rPr>
                <w:rFonts w:ascii="宋体" w:hAnsi="宋体"/>
                <w:color w:val="auto"/>
              </w:rPr>
            </w:pPr>
            <w:r>
              <w:rPr>
                <w:rFonts w:hint="eastAsia" w:ascii="宋体" w:hAnsi="宋体"/>
                <w:color w:val="auto"/>
              </w:rPr>
              <w:t>固体废物</w:t>
            </w:r>
          </w:p>
        </w:tc>
        <w:tc>
          <w:tcPr>
            <w:tcW w:w="1394" w:type="pct"/>
            <w:tcBorders>
              <w:top w:val="single" w:color="auto" w:sz="4" w:space="0"/>
              <w:left w:val="single" w:color="auto" w:sz="4" w:space="0"/>
              <w:bottom w:val="single" w:color="auto" w:sz="4" w:space="0"/>
              <w:right w:val="single" w:color="auto" w:sz="4" w:space="0"/>
            </w:tcBorders>
            <w:vAlign w:val="center"/>
          </w:tcPr>
          <w:p w14:paraId="76DB11D2">
            <w:pPr>
              <w:adjustRightInd w:val="0"/>
              <w:snapToGrid w:val="0"/>
              <w:jc w:val="center"/>
              <w:rPr>
                <w:rFonts w:ascii="宋体" w:hAnsi="宋体"/>
                <w:color w:val="auto"/>
              </w:rPr>
            </w:pPr>
            <w:r>
              <w:rPr>
                <w:rFonts w:hint="eastAsia" w:ascii="宋体" w:hAnsi="宋体"/>
                <w:color w:val="auto"/>
              </w:rPr>
              <w:t>钻井固废：采用“泥浆不落地工艺”（即：随钻随治工艺）进行处理。经处理后，钻井固废委托专业单位处理</w:t>
            </w:r>
          </w:p>
        </w:tc>
        <w:tc>
          <w:tcPr>
            <w:tcW w:w="921" w:type="pct"/>
            <w:tcBorders>
              <w:top w:val="single" w:color="auto" w:sz="4" w:space="0"/>
              <w:left w:val="single" w:color="auto" w:sz="4" w:space="0"/>
              <w:bottom w:val="single" w:color="auto" w:sz="4" w:space="0"/>
              <w:right w:val="single" w:color="auto" w:sz="4" w:space="0"/>
            </w:tcBorders>
            <w:vAlign w:val="center"/>
          </w:tcPr>
          <w:p w14:paraId="7BC0D434">
            <w:pPr>
              <w:adjustRightInd w:val="0"/>
              <w:snapToGrid w:val="0"/>
              <w:jc w:val="center"/>
              <w:rPr>
                <w:rFonts w:ascii="宋体" w:hAnsi="宋体"/>
                <w:color w:val="auto"/>
              </w:rPr>
            </w:pPr>
            <w:r>
              <w:rPr>
                <w:rFonts w:hint="eastAsia" w:ascii="宋体" w:hAnsi="宋体"/>
                <w:color w:val="auto"/>
              </w:rPr>
              <w:t>钻井固废达到《一般工业固体废物贮存和填埋污染控制标准》（GB 18599-2020）</w:t>
            </w:r>
          </w:p>
        </w:tc>
        <w:tc>
          <w:tcPr>
            <w:tcW w:w="846" w:type="pct"/>
            <w:tcBorders>
              <w:top w:val="single" w:color="auto" w:sz="4" w:space="0"/>
              <w:left w:val="single" w:color="auto" w:sz="4" w:space="0"/>
              <w:bottom w:val="single" w:color="auto" w:sz="4" w:space="0"/>
              <w:right w:val="single" w:color="auto" w:sz="4" w:space="0"/>
            </w:tcBorders>
            <w:vAlign w:val="center"/>
          </w:tcPr>
          <w:p w14:paraId="78D21CE1">
            <w:pPr>
              <w:adjustRightInd w:val="0"/>
              <w:snapToGrid w:val="0"/>
              <w:jc w:val="center"/>
              <w:rPr>
                <w:rFonts w:ascii="宋体" w:hAnsi="宋体"/>
                <w:color w:val="auto"/>
              </w:rPr>
            </w:pPr>
            <w:r>
              <w:rPr>
                <w:rFonts w:hint="eastAsia" w:ascii="宋体" w:hAnsi="宋体"/>
                <w:color w:val="auto"/>
              </w:rPr>
              <w:t>全部委托第三方单位拉运处置，综合利用</w:t>
            </w:r>
          </w:p>
        </w:tc>
        <w:tc>
          <w:tcPr>
            <w:tcW w:w="796" w:type="pct"/>
            <w:tcBorders>
              <w:top w:val="single" w:color="auto" w:sz="4" w:space="0"/>
              <w:left w:val="single" w:color="auto" w:sz="4" w:space="0"/>
              <w:bottom w:val="single" w:color="auto" w:sz="4" w:space="0"/>
              <w:right w:val="single" w:color="auto" w:sz="4" w:space="0"/>
            </w:tcBorders>
            <w:vAlign w:val="center"/>
          </w:tcPr>
          <w:p w14:paraId="333BB4EB">
            <w:pPr>
              <w:adjustRightInd w:val="0"/>
              <w:snapToGrid w:val="0"/>
              <w:jc w:val="center"/>
              <w:rPr>
                <w:rFonts w:ascii="宋体" w:hAnsi="宋体"/>
                <w:color w:val="auto"/>
                <w:kern w:val="0"/>
              </w:rPr>
            </w:pPr>
            <w:r>
              <w:rPr>
                <w:rFonts w:hint="eastAsia" w:ascii="宋体" w:hAnsi="宋体"/>
                <w:color w:val="auto"/>
                <w:kern w:val="0"/>
              </w:rPr>
              <w:t>执行《一般工业固体废物贮存和填埋污染控制标准》（GB 18599-2020）</w:t>
            </w:r>
          </w:p>
        </w:tc>
        <w:tc>
          <w:tcPr>
            <w:tcW w:w="385" w:type="pct"/>
            <w:vMerge w:val="restart"/>
            <w:tcBorders>
              <w:top w:val="nil"/>
              <w:left w:val="single" w:color="auto" w:sz="4" w:space="0"/>
              <w:bottom w:val="single" w:color="auto" w:sz="4" w:space="0"/>
              <w:right w:val="single" w:color="auto" w:sz="4" w:space="0"/>
            </w:tcBorders>
            <w:vAlign w:val="center"/>
          </w:tcPr>
          <w:p w14:paraId="02ED550C">
            <w:pPr>
              <w:adjustRightInd w:val="0"/>
              <w:snapToGrid w:val="0"/>
              <w:jc w:val="center"/>
              <w:rPr>
                <w:rFonts w:ascii="宋体" w:hAnsi="宋体"/>
                <w:color w:val="auto"/>
              </w:rPr>
            </w:pPr>
            <w:r>
              <w:rPr>
                <w:rFonts w:hint="eastAsia" w:ascii="宋体" w:hAnsi="宋体"/>
                <w:color w:val="auto"/>
              </w:rPr>
              <w:t>完井后实施</w:t>
            </w:r>
          </w:p>
        </w:tc>
      </w:tr>
      <w:tr w14:paraId="0AB67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3A54E1B4">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5BB2138">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355BC452">
            <w:pPr>
              <w:adjustRightInd w:val="0"/>
              <w:snapToGrid w:val="0"/>
              <w:jc w:val="center"/>
              <w:rPr>
                <w:rFonts w:ascii="宋体" w:hAnsi="宋体"/>
                <w:color w:val="auto"/>
              </w:rPr>
            </w:pPr>
            <w:r>
              <w:rPr>
                <w:rFonts w:hint="eastAsia" w:ascii="宋体" w:hAnsi="宋体"/>
                <w:color w:val="auto"/>
              </w:rPr>
              <w:t>建筑垃圾和施工废料：部分回收利用，剩余废料拉运至市政部门指定地点，由环卫部门清运</w:t>
            </w:r>
          </w:p>
        </w:tc>
        <w:tc>
          <w:tcPr>
            <w:tcW w:w="921" w:type="pct"/>
            <w:tcBorders>
              <w:top w:val="single" w:color="auto" w:sz="4" w:space="0"/>
              <w:left w:val="single" w:color="auto" w:sz="4" w:space="0"/>
              <w:bottom w:val="single" w:color="auto" w:sz="4" w:space="0"/>
              <w:right w:val="single" w:color="auto" w:sz="4" w:space="0"/>
            </w:tcBorders>
            <w:vAlign w:val="center"/>
          </w:tcPr>
          <w:p w14:paraId="5A5D2E5B">
            <w:pPr>
              <w:adjustRightInd w:val="0"/>
              <w:snapToGrid w:val="0"/>
              <w:jc w:val="center"/>
              <w:rPr>
                <w:rFonts w:ascii="宋体" w:hAnsi="宋体"/>
                <w:color w:val="auto"/>
              </w:rPr>
            </w:pPr>
            <w:r>
              <w:rPr>
                <w:rFonts w:hint="eastAsia" w:ascii="宋体" w:hAnsi="宋体"/>
                <w:color w:val="auto"/>
              </w:rPr>
              <w:t>无乱堆、乱放、乱弃现象</w:t>
            </w:r>
          </w:p>
        </w:tc>
        <w:tc>
          <w:tcPr>
            <w:tcW w:w="846" w:type="pct"/>
            <w:tcBorders>
              <w:top w:val="single" w:color="auto" w:sz="4" w:space="0"/>
              <w:left w:val="single" w:color="auto" w:sz="4" w:space="0"/>
              <w:bottom w:val="single" w:color="auto" w:sz="4" w:space="0"/>
              <w:right w:val="single" w:color="auto" w:sz="4" w:space="0"/>
            </w:tcBorders>
            <w:vAlign w:val="center"/>
          </w:tcPr>
          <w:p w14:paraId="49E088F7">
            <w:pPr>
              <w:adjustRightInd w:val="0"/>
              <w:snapToGrid w:val="0"/>
              <w:jc w:val="center"/>
              <w:rPr>
                <w:rFonts w:ascii="宋体" w:hAnsi="宋体"/>
                <w:color w:val="auto"/>
              </w:rPr>
            </w:pPr>
            <w:r>
              <w:rPr>
                <w:rFonts w:hint="eastAsia" w:ascii="宋体" w:hAnsi="宋体"/>
                <w:color w:val="auto"/>
              </w:rPr>
              <w:t>废物去向台账</w:t>
            </w:r>
          </w:p>
        </w:tc>
        <w:tc>
          <w:tcPr>
            <w:tcW w:w="796" w:type="pct"/>
            <w:tcBorders>
              <w:top w:val="single" w:color="auto" w:sz="4" w:space="0"/>
              <w:left w:val="single" w:color="auto" w:sz="4" w:space="0"/>
              <w:bottom w:val="single" w:color="auto" w:sz="4" w:space="0"/>
              <w:right w:val="single" w:color="auto" w:sz="4" w:space="0"/>
            </w:tcBorders>
            <w:vAlign w:val="center"/>
          </w:tcPr>
          <w:p w14:paraId="316AEE90">
            <w:pPr>
              <w:adjustRightInd w:val="0"/>
              <w:snapToGrid w:val="0"/>
              <w:jc w:val="center"/>
              <w:rPr>
                <w:rFonts w:ascii="宋体" w:hAnsi="宋体"/>
                <w:color w:val="auto"/>
              </w:rPr>
            </w:pPr>
            <w:r>
              <w:rPr>
                <w:rFonts w:hint="eastAsia" w:ascii="宋体" w:hAnsi="宋体"/>
                <w:color w:val="auto"/>
              </w:rPr>
              <w:t>——</w:t>
            </w:r>
          </w:p>
        </w:tc>
        <w:tc>
          <w:tcPr>
            <w:tcW w:w="0" w:type="auto"/>
            <w:vMerge w:val="continue"/>
            <w:tcBorders>
              <w:top w:val="nil"/>
              <w:left w:val="single" w:color="auto" w:sz="4" w:space="0"/>
              <w:bottom w:val="single" w:color="auto" w:sz="4" w:space="0"/>
              <w:right w:val="single" w:color="auto" w:sz="4" w:space="0"/>
            </w:tcBorders>
            <w:vAlign w:val="center"/>
          </w:tcPr>
          <w:p w14:paraId="62A1717C">
            <w:pPr>
              <w:widowControl/>
              <w:jc w:val="left"/>
              <w:rPr>
                <w:rFonts w:ascii="宋体" w:hAnsi="宋体"/>
                <w:color w:val="auto"/>
              </w:rPr>
            </w:pPr>
          </w:p>
        </w:tc>
      </w:tr>
      <w:tr w14:paraId="47345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6DA68742">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CFD9781">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7526381C">
            <w:pPr>
              <w:adjustRightInd w:val="0"/>
              <w:snapToGrid w:val="0"/>
              <w:jc w:val="center"/>
              <w:rPr>
                <w:rFonts w:ascii="宋体" w:hAnsi="宋体"/>
                <w:color w:val="auto"/>
              </w:rPr>
            </w:pPr>
            <w:r>
              <w:rPr>
                <w:rFonts w:hint="eastAsia" w:ascii="宋体" w:hAnsi="宋体"/>
                <w:color w:val="auto"/>
              </w:rPr>
              <w:t>废弃定向钻泥浆</w:t>
            </w:r>
          </w:p>
        </w:tc>
        <w:tc>
          <w:tcPr>
            <w:tcW w:w="921" w:type="pct"/>
            <w:tcBorders>
              <w:top w:val="single" w:color="auto" w:sz="4" w:space="0"/>
              <w:left w:val="single" w:color="auto" w:sz="4" w:space="0"/>
              <w:bottom w:val="single" w:color="auto" w:sz="4" w:space="0"/>
              <w:right w:val="single" w:color="auto" w:sz="4" w:space="0"/>
            </w:tcBorders>
            <w:vAlign w:val="center"/>
          </w:tcPr>
          <w:p w14:paraId="1BF8367C">
            <w:pPr>
              <w:adjustRightInd w:val="0"/>
              <w:snapToGrid w:val="0"/>
              <w:jc w:val="center"/>
              <w:rPr>
                <w:rFonts w:ascii="宋体" w:hAnsi="宋体"/>
                <w:color w:val="auto"/>
              </w:rPr>
            </w:pPr>
            <w:r>
              <w:rPr>
                <w:rFonts w:hint="eastAsia" w:ascii="宋体" w:hAnsi="宋体"/>
                <w:color w:val="auto"/>
              </w:rPr>
              <w:t>恢复原地貌</w:t>
            </w:r>
          </w:p>
        </w:tc>
        <w:tc>
          <w:tcPr>
            <w:tcW w:w="846" w:type="pct"/>
            <w:tcBorders>
              <w:top w:val="single" w:color="auto" w:sz="4" w:space="0"/>
              <w:left w:val="single" w:color="auto" w:sz="4" w:space="0"/>
              <w:bottom w:val="single" w:color="auto" w:sz="4" w:space="0"/>
              <w:right w:val="single" w:color="auto" w:sz="4" w:space="0"/>
            </w:tcBorders>
            <w:vAlign w:val="center"/>
          </w:tcPr>
          <w:p w14:paraId="79455B30">
            <w:pPr>
              <w:adjustRightInd w:val="0"/>
              <w:snapToGrid w:val="0"/>
              <w:jc w:val="center"/>
              <w:rPr>
                <w:rFonts w:ascii="宋体" w:hAnsi="宋体"/>
                <w:color w:val="auto"/>
              </w:rPr>
            </w:pPr>
            <w:r>
              <w:rPr>
                <w:rFonts w:hint="eastAsia" w:ascii="宋体" w:hAnsi="宋体"/>
                <w:color w:val="auto"/>
              </w:rPr>
              <w:t>委托专业单位拉运处置，泥浆池回填处理</w:t>
            </w:r>
          </w:p>
        </w:tc>
        <w:tc>
          <w:tcPr>
            <w:tcW w:w="796" w:type="pct"/>
            <w:tcBorders>
              <w:top w:val="single" w:color="auto" w:sz="4" w:space="0"/>
              <w:left w:val="single" w:color="auto" w:sz="4" w:space="0"/>
              <w:bottom w:val="single" w:color="auto" w:sz="4" w:space="0"/>
              <w:right w:val="single" w:color="auto" w:sz="4" w:space="0"/>
            </w:tcBorders>
            <w:vAlign w:val="center"/>
          </w:tcPr>
          <w:p w14:paraId="1351D1EC">
            <w:pPr>
              <w:adjustRightInd w:val="0"/>
              <w:snapToGrid w:val="0"/>
              <w:jc w:val="center"/>
              <w:rPr>
                <w:rFonts w:ascii="宋体" w:hAnsi="宋体"/>
                <w:color w:val="auto"/>
              </w:rPr>
            </w:pPr>
            <w:r>
              <w:rPr>
                <w:rFonts w:hint="eastAsia" w:ascii="宋体" w:hAnsi="宋体"/>
                <w:color w:val="auto"/>
              </w:rPr>
              <w:t>施工现场恢复原始地貌</w:t>
            </w:r>
          </w:p>
        </w:tc>
        <w:tc>
          <w:tcPr>
            <w:tcW w:w="0" w:type="auto"/>
            <w:vMerge w:val="continue"/>
            <w:tcBorders>
              <w:top w:val="nil"/>
              <w:left w:val="single" w:color="auto" w:sz="4" w:space="0"/>
              <w:bottom w:val="single" w:color="auto" w:sz="4" w:space="0"/>
              <w:right w:val="single" w:color="auto" w:sz="4" w:space="0"/>
            </w:tcBorders>
            <w:vAlign w:val="center"/>
          </w:tcPr>
          <w:p w14:paraId="2B1BB560">
            <w:pPr>
              <w:widowControl/>
              <w:jc w:val="left"/>
              <w:rPr>
                <w:rFonts w:ascii="宋体" w:hAnsi="宋体"/>
                <w:color w:val="auto"/>
              </w:rPr>
            </w:pPr>
          </w:p>
        </w:tc>
      </w:tr>
      <w:tr w14:paraId="3A319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49E01315">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10C65F32">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6E303679">
            <w:pPr>
              <w:adjustRightInd w:val="0"/>
              <w:snapToGrid w:val="0"/>
              <w:jc w:val="center"/>
              <w:rPr>
                <w:rFonts w:ascii="宋体" w:hAnsi="宋体"/>
                <w:color w:val="auto"/>
              </w:rPr>
            </w:pPr>
            <w:r>
              <w:rPr>
                <w:rFonts w:hint="eastAsia" w:ascii="宋体" w:hAnsi="宋体"/>
                <w:color w:val="auto"/>
              </w:rPr>
              <w:t>废弃设备由资产库回收</w:t>
            </w:r>
          </w:p>
        </w:tc>
        <w:tc>
          <w:tcPr>
            <w:tcW w:w="921" w:type="pct"/>
            <w:tcBorders>
              <w:top w:val="single" w:color="auto" w:sz="4" w:space="0"/>
              <w:left w:val="single" w:color="auto" w:sz="4" w:space="0"/>
              <w:bottom w:val="single" w:color="auto" w:sz="4" w:space="0"/>
              <w:right w:val="single" w:color="auto" w:sz="4" w:space="0"/>
            </w:tcBorders>
            <w:vAlign w:val="center"/>
          </w:tcPr>
          <w:p w14:paraId="7E34D766">
            <w:pPr>
              <w:adjustRightInd w:val="0"/>
              <w:snapToGrid w:val="0"/>
              <w:jc w:val="center"/>
              <w:rPr>
                <w:rFonts w:ascii="宋体" w:hAnsi="宋体"/>
                <w:color w:val="auto"/>
              </w:rPr>
            </w:pPr>
            <w:r>
              <w:rPr>
                <w:rFonts w:hint="eastAsia" w:ascii="宋体" w:hAnsi="宋体"/>
                <w:color w:val="auto"/>
              </w:rPr>
              <w:t>无乱堆、乱放、乱弃现象</w:t>
            </w:r>
          </w:p>
        </w:tc>
        <w:tc>
          <w:tcPr>
            <w:tcW w:w="846" w:type="pct"/>
            <w:tcBorders>
              <w:top w:val="single" w:color="auto" w:sz="4" w:space="0"/>
              <w:left w:val="single" w:color="auto" w:sz="4" w:space="0"/>
              <w:bottom w:val="single" w:color="auto" w:sz="4" w:space="0"/>
              <w:right w:val="single" w:color="auto" w:sz="4" w:space="0"/>
            </w:tcBorders>
            <w:vAlign w:val="center"/>
          </w:tcPr>
          <w:p w14:paraId="30F82896">
            <w:pPr>
              <w:adjustRightInd w:val="0"/>
              <w:snapToGrid w:val="0"/>
              <w:jc w:val="center"/>
              <w:rPr>
                <w:rFonts w:ascii="宋体" w:hAnsi="宋体"/>
                <w:color w:val="auto"/>
              </w:rPr>
            </w:pPr>
            <w:r>
              <w:rPr>
                <w:rFonts w:hint="eastAsia" w:ascii="宋体" w:hAnsi="宋体"/>
                <w:color w:val="auto"/>
              </w:rPr>
              <w:t>废物去向台账</w:t>
            </w:r>
          </w:p>
        </w:tc>
        <w:tc>
          <w:tcPr>
            <w:tcW w:w="796" w:type="pct"/>
            <w:tcBorders>
              <w:top w:val="single" w:color="auto" w:sz="4" w:space="0"/>
              <w:left w:val="single" w:color="auto" w:sz="4" w:space="0"/>
              <w:bottom w:val="single" w:color="auto" w:sz="4" w:space="0"/>
              <w:right w:val="single" w:color="auto" w:sz="4" w:space="0"/>
            </w:tcBorders>
            <w:vAlign w:val="center"/>
          </w:tcPr>
          <w:p w14:paraId="149DFE7A">
            <w:pPr>
              <w:adjustRightInd w:val="0"/>
              <w:snapToGrid w:val="0"/>
              <w:jc w:val="center"/>
              <w:rPr>
                <w:rFonts w:ascii="宋体" w:hAnsi="宋体"/>
                <w:color w:val="auto"/>
              </w:rPr>
            </w:pPr>
            <w:r>
              <w:rPr>
                <w:rFonts w:hint="eastAsia" w:ascii="宋体" w:hAnsi="宋体"/>
                <w:color w:val="auto"/>
              </w:rPr>
              <w:t>——</w:t>
            </w:r>
          </w:p>
        </w:tc>
        <w:tc>
          <w:tcPr>
            <w:tcW w:w="0" w:type="auto"/>
            <w:vMerge w:val="continue"/>
            <w:tcBorders>
              <w:top w:val="nil"/>
              <w:left w:val="single" w:color="auto" w:sz="4" w:space="0"/>
              <w:bottom w:val="single" w:color="auto" w:sz="4" w:space="0"/>
              <w:right w:val="single" w:color="auto" w:sz="4" w:space="0"/>
            </w:tcBorders>
            <w:vAlign w:val="center"/>
          </w:tcPr>
          <w:p w14:paraId="257F04ED">
            <w:pPr>
              <w:widowControl/>
              <w:jc w:val="left"/>
              <w:rPr>
                <w:rFonts w:ascii="宋体" w:hAnsi="宋体"/>
                <w:color w:val="auto"/>
              </w:rPr>
            </w:pPr>
          </w:p>
        </w:tc>
      </w:tr>
      <w:tr w14:paraId="76279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2C6D6C95">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B978FD7">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23226DBB">
            <w:pPr>
              <w:adjustRightInd w:val="0"/>
              <w:snapToGrid w:val="0"/>
              <w:jc w:val="center"/>
              <w:rPr>
                <w:rFonts w:ascii="宋体" w:hAnsi="宋体"/>
                <w:color w:val="auto"/>
              </w:rPr>
            </w:pPr>
            <w:r>
              <w:rPr>
                <w:rFonts w:hint="eastAsia" w:ascii="宋体" w:hAnsi="宋体"/>
                <w:color w:val="auto"/>
              </w:rPr>
              <w:t>油泥砂</w:t>
            </w:r>
          </w:p>
        </w:tc>
        <w:tc>
          <w:tcPr>
            <w:tcW w:w="921" w:type="pct"/>
            <w:tcBorders>
              <w:top w:val="single" w:color="auto" w:sz="4" w:space="0"/>
              <w:left w:val="single" w:color="auto" w:sz="4" w:space="0"/>
              <w:bottom w:val="single" w:color="auto" w:sz="4" w:space="0"/>
              <w:right w:val="single" w:color="auto" w:sz="4" w:space="0"/>
            </w:tcBorders>
            <w:vAlign w:val="center"/>
          </w:tcPr>
          <w:p w14:paraId="7FF62240">
            <w:pPr>
              <w:adjustRightInd w:val="0"/>
              <w:snapToGrid w:val="0"/>
              <w:jc w:val="center"/>
              <w:rPr>
                <w:rFonts w:ascii="宋体" w:hAnsi="宋体"/>
                <w:color w:val="auto"/>
              </w:rPr>
            </w:pPr>
            <w:r>
              <w:rPr>
                <w:rFonts w:hint="eastAsia" w:ascii="宋体" w:hAnsi="宋体"/>
                <w:color w:val="auto"/>
              </w:rPr>
              <w:t>外委处理，不外排</w:t>
            </w:r>
          </w:p>
        </w:tc>
        <w:tc>
          <w:tcPr>
            <w:tcW w:w="846" w:type="pct"/>
            <w:tcBorders>
              <w:top w:val="single" w:color="auto" w:sz="4" w:space="0"/>
              <w:left w:val="single" w:color="auto" w:sz="4" w:space="0"/>
              <w:bottom w:val="single" w:color="auto" w:sz="4" w:space="0"/>
              <w:right w:val="single" w:color="auto" w:sz="4" w:space="0"/>
            </w:tcBorders>
            <w:vAlign w:val="center"/>
          </w:tcPr>
          <w:p w14:paraId="5532784E">
            <w:pPr>
              <w:adjustRightInd w:val="0"/>
              <w:snapToGrid w:val="0"/>
              <w:jc w:val="center"/>
              <w:rPr>
                <w:rFonts w:ascii="宋体" w:hAnsi="宋体"/>
                <w:color w:val="auto"/>
              </w:rPr>
            </w:pPr>
            <w:r>
              <w:rPr>
                <w:rFonts w:hint="eastAsia" w:ascii="宋体" w:hAnsi="宋体"/>
                <w:color w:val="auto"/>
              </w:rPr>
              <w:t>委托</w:t>
            </w:r>
            <w:r>
              <w:rPr>
                <w:rFonts w:hint="eastAsia" w:ascii="宋体" w:hAnsi="宋体"/>
                <w:color w:val="auto"/>
                <w:kern w:val="0"/>
              </w:rPr>
              <w:t>有危废处理资质的单位</w:t>
            </w:r>
            <w:r>
              <w:rPr>
                <w:rFonts w:hint="eastAsia" w:ascii="宋体" w:hAnsi="宋体"/>
                <w:color w:val="auto"/>
              </w:rPr>
              <w:t>进行无害化处置</w:t>
            </w:r>
          </w:p>
        </w:tc>
        <w:tc>
          <w:tcPr>
            <w:tcW w:w="796" w:type="pct"/>
            <w:tcBorders>
              <w:top w:val="single" w:color="auto" w:sz="4" w:space="0"/>
              <w:left w:val="single" w:color="auto" w:sz="4" w:space="0"/>
              <w:bottom w:val="single" w:color="auto" w:sz="4" w:space="0"/>
              <w:right w:val="single" w:color="auto" w:sz="4" w:space="0"/>
            </w:tcBorders>
            <w:vAlign w:val="center"/>
          </w:tcPr>
          <w:p w14:paraId="4BF8D811">
            <w:pPr>
              <w:adjustRightInd w:val="0"/>
              <w:snapToGrid w:val="0"/>
              <w:jc w:val="center"/>
              <w:rPr>
                <w:rFonts w:ascii="宋体" w:hAnsi="宋体"/>
                <w:color w:val="auto"/>
                <w:kern w:val="0"/>
              </w:rPr>
            </w:pPr>
            <w:r>
              <w:rPr>
                <w:rFonts w:hint="eastAsia" w:ascii="宋体" w:hAnsi="宋体"/>
                <w:color w:val="auto"/>
              </w:rPr>
              <w:t>危险废物贮存执行《危险废物收集 贮存 运输技术规范》（HJ 2025-2012）、《危险废物贮存污染控制标准》（GB 18597-2023）</w:t>
            </w:r>
          </w:p>
        </w:tc>
        <w:tc>
          <w:tcPr>
            <w:tcW w:w="0" w:type="auto"/>
            <w:vMerge w:val="continue"/>
            <w:tcBorders>
              <w:top w:val="nil"/>
              <w:left w:val="single" w:color="auto" w:sz="4" w:space="0"/>
              <w:bottom w:val="single" w:color="auto" w:sz="4" w:space="0"/>
              <w:right w:val="single" w:color="auto" w:sz="4" w:space="0"/>
            </w:tcBorders>
            <w:vAlign w:val="center"/>
          </w:tcPr>
          <w:p w14:paraId="7D808FDB">
            <w:pPr>
              <w:widowControl/>
              <w:jc w:val="left"/>
              <w:rPr>
                <w:rFonts w:ascii="宋体" w:hAnsi="宋体"/>
                <w:color w:val="auto"/>
              </w:rPr>
            </w:pPr>
          </w:p>
        </w:tc>
      </w:tr>
      <w:tr w14:paraId="09AA8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01C21831">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90A8CE2">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3ABC030C">
            <w:pPr>
              <w:adjustRightInd w:val="0"/>
              <w:snapToGrid w:val="0"/>
              <w:jc w:val="center"/>
              <w:rPr>
                <w:rFonts w:ascii="宋体" w:hAnsi="宋体"/>
                <w:color w:val="auto"/>
              </w:rPr>
            </w:pPr>
            <w:r>
              <w:rPr>
                <w:rFonts w:hint="eastAsia" w:ascii="宋体" w:hAnsi="宋体"/>
                <w:color w:val="auto"/>
              </w:rPr>
              <w:t>压裂废液</w:t>
            </w:r>
          </w:p>
        </w:tc>
        <w:tc>
          <w:tcPr>
            <w:tcW w:w="921" w:type="pct"/>
            <w:tcBorders>
              <w:top w:val="single" w:color="auto" w:sz="4" w:space="0"/>
              <w:left w:val="single" w:color="auto" w:sz="4" w:space="0"/>
              <w:bottom w:val="single" w:color="auto" w:sz="4" w:space="0"/>
              <w:right w:val="single" w:color="auto" w:sz="4" w:space="0"/>
            </w:tcBorders>
            <w:vAlign w:val="center"/>
          </w:tcPr>
          <w:p w14:paraId="75324190">
            <w:pPr>
              <w:adjustRightInd w:val="0"/>
              <w:snapToGrid w:val="0"/>
              <w:jc w:val="center"/>
              <w:rPr>
                <w:rFonts w:ascii="宋体" w:hAnsi="宋体"/>
                <w:color w:val="auto"/>
              </w:rPr>
            </w:pPr>
            <w:r>
              <w:rPr>
                <w:rFonts w:hint="eastAsia" w:ascii="宋体" w:hAnsi="宋体"/>
                <w:color w:val="auto"/>
                <w:kern w:val="0"/>
              </w:rPr>
              <w:t>重新调配后采用堵水调剖等方式资源化利用</w:t>
            </w:r>
          </w:p>
        </w:tc>
        <w:tc>
          <w:tcPr>
            <w:tcW w:w="846" w:type="pct"/>
            <w:tcBorders>
              <w:top w:val="single" w:color="auto" w:sz="4" w:space="0"/>
              <w:left w:val="single" w:color="auto" w:sz="4" w:space="0"/>
              <w:bottom w:val="single" w:color="auto" w:sz="4" w:space="0"/>
              <w:right w:val="single" w:color="auto" w:sz="4" w:space="0"/>
            </w:tcBorders>
            <w:vAlign w:val="center"/>
          </w:tcPr>
          <w:p w14:paraId="5067DABE">
            <w:pPr>
              <w:adjustRightInd w:val="0"/>
              <w:snapToGrid w:val="0"/>
              <w:jc w:val="center"/>
              <w:rPr>
                <w:rFonts w:ascii="宋体" w:hAnsi="宋体"/>
                <w:color w:val="auto"/>
              </w:rPr>
            </w:pPr>
            <w:r>
              <w:rPr>
                <w:rFonts w:hint="eastAsia" w:ascii="宋体" w:hAnsi="宋体"/>
                <w:color w:val="auto"/>
              </w:rPr>
              <w:t>废物去向台账</w:t>
            </w:r>
          </w:p>
        </w:tc>
        <w:tc>
          <w:tcPr>
            <w:tcW w:w="796" w:type="pct"/>
            <w:tcBorders>
              <w:top w:val="single" w:color="auto" w:sz="4" w:space="0"/>
              <w:left w:val="single" w:color="auto" w:sz="4" w:space="0"/>
              <w:bottom w:val="single" w:color="auto" w:sz="4" w:space="0"/>
              <w:right w:val="single" w:color="auto" w:sz="4" w:space="0"/>
            </w:tcBorders>
            <w:vAlign w:val="center"/>
          </w:tcPr>
          <w:p w14:paraId="0D38E3EB">
            <w:pPr>
              <w:adjustRightInd w:val="0"/>
              <w:snapToGrid w:val="0"/>
              <w:jc w:val="center"/>
              <w:rPr>
                <w:rFonts w:ascii="宋体" w:hAnsi="宋体"/>
                <w:color w:val="auto"/>
              </w:rPr>
            </w:pPr>
            <w:r>
              <w:rPr>
                <w:rFonts w:hint="eastAsia" w:ascii="宋体" w:hAnsi="宋体"/>
                <w:color w:val="auto"/>
              </w:rPr>
              <w:t>——</w:t>
            </w:r>
          </w:p>
        </w:tc>
        <w:tc>
          <w:tcPr>
            <w:tcW w:w="0" w:type="auto"/>
            <w:vMerge w:val="continue"/>
            <w:tcBorders>
              <w:top w:val="nil"/>
              <w:left w:val="single" w:color="auto" w:sz="4" w:space="0"/>
              <w:bottom w:val="single" w:color="auto" w:sz="4" w:space="0"/>
              <w:right w:val="single" w:color="auto" w:sz="4" w:space="0"/>
            </w:tcBorders>
            <w:vAlign w:val="center"/>
          </w:tcPr>
          <w:p w14:paraId="79BE7C97">
            <w:pPr>
              <w:widowControl/>
              <w:jc w:val="left"/>
              <w:rPr>
                <w:rFonts w:ascii="宋体" w:hAnsi="宋体"/>
                <w:color w:val="auto"/>
              </w:rPr>
            </w:pPr>
          </w:p>
        </w:tc>
      </w:tr>
      <w:tr w14:paraId="4274E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7D844BF0">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4C57A43D">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00C7D98E">
            <w:pPr>
              <w:adjustRightInd w:val="0"/>
              <w:snapToGrid w:val="0"/>
              <w:jc w:val="center"/>
              <w:rPr>
                <w:rFonts w:ascii="宋体" w:hAnsi="宋体"/>
                <w:color w:val="auto"/>
              </w:rPr>
            </w:pPr>
            <w:r>
              <w:rPr>
                <w:rFonts w:hint="eastAsia" w:ascii="宋体" w:hAnsi="宋体"/>
                <w:color w:val="auto"/>
              </w:rPr>
              <w:t>生活垃圾：全部收集后拉运至市政部门指定地点，由环卫部门统一处置</w:t>
            </w:r>
          </w:p>
        </w:tc>
        <w:tc>
          <w:tcPr>
            <w:tcW w:w="921" w:type="pct"/>
            <w:tcBorders>
              <w:top w:val="single" w:color="auto" w:sz="4" w:space="0"/>
              <w:left w:val="single" w:color="auto" w:sz="4" w:space="0"/>
              <w:bottom w:val="single" w:color="auto" w:sz="4" w:space="0"/>
              <w:right w:val="single" w:color="auto" w:sz="4" w:space="0"/>
            </w:tcBorders>
            <w:vAlign w:val="center"/>
          </w:tcPr>
          <w:p w14:paraId="71C6D7DB">
            <w:pPr>
              <w:adjustRightInd w:val="0"/>
              <w:snapToGrid w:val="0"/>
              <w:jc w:val="center"/>
              <w:rPr>
                <w:rFonts w:ascii="宋体" w:hAnsi="宋体"/>
                <w:color w:val="auto"/>
              </w:rPr>
            </w:pPr>
            <w:r>
              <w:rPr>
                <w:rFonts w:hint="eastAsia" w:ascii="宋体" w:hAnsi="宋体"/>
                <w:color w:val="auto"/>
              </w:rPr>
              <w:t>无乱堆、乱放、乱弃现象</w:t>
            </w:r>
          </w:p>
        </w:tc>
        <w:tc>
          <w:tcPr>
            <w:tcW w:w="846" w:type="pct"/>
            <w:tcBorders>
              <w:top w:val="single" w:color="auto" w:sz="4" w:space="0"/>
              <w:left w:val="single" w:color="auto" w:sz="4" w:space="0"/>
              <w:bottom w:val="single" w:color="auto" w:sz="4" w:space="0"/>
              <w:right w:val="single" w:color="auto" w:sz="4" w:space="0"/>
            </w:tcBorders>
            <w:vAlign w:val="center"/>
          </w:tcPr>
          <w:p w14:paraId="54872CF5">
            <w:pPr>
              <w:adjustRightInd w:val="0"/>
              <w:snapToGrid w:val="0"/>
              <w:jc w:val="center"/>
              <w:rPr>
                <w:rFonts w:ascii="宋体" w:hAnsi="宋体"/>
                <w:color w:val="auto"/>
              </w:rPr>
            </w:pPr>
            <w:r>
              <w:rPr>
                <w:rFonts w:hint="eastAsia" w:ascii="宋体" w:hAnsi="宋体"/>
                <w:color w:val="auto"/>
              </w:rPr>
              <w:t>存放点干净、整洁</w:t>
            </w:r>
          </w:p>
        </w:tc>
        <w:tc>
          <w:tcPr>
            <w:tcW w:w="796" w:type="pct"/>
            <w:tcBorders>
              <w:top w:val="single" w:color="auto" w:sz="4" w:space="0"/>
              <w:left w:val="single" w:color="auto" w:sz="4" w:space="0"/>
              <w:bottom w:val="single" w:color="auto" w:sz="4" w:space="0"/>
              <w:right w:val="single" w:color="auto" w:sz="4" w:space="0"/>
            </w:tcBorders>
            <w:vAlign w:val="center"/>
          </w:tcPr>
          <w:p w14:paraId="0CF38559">
            <w:pPr>
              <w:adjustRightInd w:val="0"/>
              <w:snapToGrid w:val="0"/>
              <w:jc w:val="center"/>
              <w:rPr>
                <w:rFonts w:ascii="宋体" w:hAnsi="宋体"/>
                <w:color w:val="auto"/>
              </w:rPr>
            </w:pPr>
            <w:r>
              <w:rPr>
                <w:rFonts w:hint="eastAsia" w:ascii="宋体" w:hAnsi="宋体"/>
                <w:color w:val="auto"/>
              </w:rPr>
              <w:t>——</w:t>
            </w:r>
          </w:p>
        </w:tc>
        <w:tc>
          <w:tcPr>
            <w:tcW w:w="0" w:type="auto"/>
            <w:vMerge w:val="continue"/>
            <w:tcBorders>
              <w:top w:val="nil"/>
              <w:left w:val="single" w:color="auto" w:sz="4" w:space="0"/>
              <w:bottom w:val="single" w:color="auto" w:sz="4" w:space="0"/>
              <w:right w:val="single" w:color="auto" w:sz="4" w:space="0"/>
            </w:tcBorders>
            <w:vAlign w:val="center"/>
          </w:tcPr>
          <w:p w14:paraId="729507CA">
            <w:pPr>
              <w:widowControl/>
              <w:jc w:val="left"/>
              <w:rPr>
                <w:rFonts w:ascii="宋体" w:hAnsi="宋体"/>
                <w:color w:val="auto"/>
              </w:rPr>
            </w:pPr>
          </w:p>
        </w:tc>
      </w:tr>
      <w:tr w14:paraId="37B98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581A02A0">
            <w:pPr>
              <w:widowControl/>
              <w:jc w:val="left"/>
              <w:rPr>
                <w:rFonts w:ascii="宋体" w:hAnsi="宋体"/>
                <w:color w:val="auto"/>
              </w:rPr>
            </w:pPr>
          </w:p>
        </w:tc>
        <w:tc>
          <w:tcPr>
            <w:tcW w:w="467" w:type="pct"/>
            <w:vMerge w:val="restart"/>
            <w:tcBorders>
              <w:top w:val="nil"/>
              <w:left w:val="single" w:color="auto" w:sz="4" w:space="0"/>
              <w:bottom w:val="single" w:color="auto" w:sz="4" w:space="0"/>
              <w:right w:val="single" w:color="auto" w:sz="4" w:space="0"/>
            </w:tcBorders>
            <w:tcMar>
              <w:top w:w="0" w:type="dxa"/>
              <w:left w:w="6" w:type="dxa"/>
              <w:bottom w:w="0" w:type="dxa"/>
              <w:right w:w="6" w:type="dxa"/>
            </w:tcMar>
            <w:vAlign w:val="center"/>
          </w:tcPr>
          <w:p w14:paraId="337BC48F">
            <w:pPr>
              <w:adjustRightInd w:val="0"/>
              <w:snapToGrid w:val="0"/>
              <w:jc w:val="center"/>
              <w:rPr>
                <w:rFonts w:ascii="宋体" w:hAnsi="宋体"/>
                <w:color w:val="auto"/>
              </w:rPr>
            </w:pPr>
            <w:r>
              <w:rPr>
                <w:rFonts w:hint="eastAsia" w:ascii="宋体" w:hAnsi="宋体"/>
                <w:color w:val="auto"/>
              </w:rPr>
              <w:t>废水</w:t>
            </w:r>
          </w:p>
        </w:tc>
        <w:tc>
          <w:tcPr>
            <w:tcW w:w="1394" w:type="pct"/>
            <w:tcBorders>
              <w:top w:val="single" w:color="auto" w:sz="4" w:space="0"/>
              <w:left w:val="single" w:color="auto" w:sz="4" w:space="0"/>
              <w:bottom w:val="single" w:color="auto" w:sz="4" w:space="0"/>
              <w:right w:val="single" w:color="auto" w:sz="4" w:space="0"/>
            </w:tcBorders>
            <w:vAlign w:val="center"/>
          </w:tcPr>
          <w:p w14:paraId="1CC9081D">
            <w:pPr>
              <w:adjustRightInd w:val="0"/>
              <w:snapToGrid w:val="0"/>
              <w:jc w:val="center"/>
              <w:rPr>
                <w:rFonts w:ascii="宋体" w:hAnsi="宋体"/>
                <w:color w:val="auto"/>
              </w:rPr>
            </w:pPr>
            <w:r>
              <w:rPr>
                <w:rFonts w:hint="eastAsia" w:ascii="宋体" w:hAnsi="宋体"/>
                <w:color w:val="auto"/>
              </w:rPr>
              <w:t>钻井废水：钻井废水排入泥浆不落地装置，并尽可能实现循环利用，剩余部分由第三方拉运处置</w:t>
            </w:r>
          </w:p>
        </w:tc>
        <w:tc>
          <w:tcPr>
            <w:tcW w:w="921" w:type="pct"/>
            <w:tcBorders>
              <w:top w:val="single" w:color="auto" w:sz="4" w:space="0"/>
              <w:left w:val="single" w:color="auto" w:sz="4" w:space="0"/>
              <w:bottom w:val="single" w:color="auto" w:sz="4" w:space="0"/>
              <w:right w:val="single" w:color="auto" w:sz="4" w:space="0"/>
            </w:tcBorders>
            <w:vAlign w:val="center"/>
          </w:tcPr>
          <w:p w14:paraId="65EAA0BE">
            <w:pPr>
              <w:adjustRightInd w:val="0"/>
              <w:snapToGrid w:val="0"/>
              <w:jc w:val="center"/>
              <w:rPr>
                <w:rFonts w:ascii="宋体" w:hAnsi="宋体"/>
                <w:color w:val="auto"/>
              </w:rPr>
            </w:pPr>
            <w:r>
              <w:rPr>
                <w:rFonts w:hint="eastAsia" w:ascii="宋体" w:hAnsi="宋体"/>
                <w:color w:val="auto"/>
              </w:rPr>
              <w:t>用于油田回注开发，不外排</w:t>
            </w:r>
          </w:p>
        </w:tc>
        <w:tc>
          <w:tcPr>
            <w:tcW w:w="846" w:type="pct"/>
            <w:tcBorders>
              <w:top w:val="single" w:color="auto" w:sz="4" w:space="0"/>
              <w:left w:val="single" w:color="auto" w:sz="4" w:space="0"/>
              <w:bottom w:val="single" w:color="auto" w:sz="4" w:space="0"/>
              <w:right w:val="single" w:color="auto" w:sz="4" w:space="0"/>
            </w:tcBorders>
            <w:vAlign w:val="center"/>
          </w:tcPr>
          <w:p w14:paraId="64E9A6A4">
            <w:pPr>
              <w:adjustRightInd w:val="0"/>
              <w:snapToGrid w:val="0"/>
              <w:jc w:val="center"/>
              <w:rPr>
                <w:rFonts w:ascii="宋体" w:hAnsi="宋体"/>
                <w:color w:val="auto"/>
              </w:rPr>
            </w:pPr>
            <w:r>
              <w:rPr>
                <w:rFonts w:hint="eastAsia" w:ascii="宋体" w:hAnsi="宋体"/>
                <w:color w:val="auto"/>
              </w:rPr>
              <w:t>拉运记录、废物去向台账</w:t>
            </w:r>
          </w:p>
        </w:tc>
        <w:tc>
          <w:tcPr>
            <w:tcW w:w="796" w:type="pct"/>
            <w:vMerge w:val="restart"/>
            <w:tcBorders>
              <w:top w:val="nil"/>
              <w:left w:val="single" w:color="auto" w:sz="4" w:space="0"/>
              <w:bottom w:val="single" w:color="auto" w:sz="4" w:space="0"/>
              <w:right w:val="single" w:color="auto" w:sz="4" w:space="0"/>
            </w:tcBorders>
            <w:vAlign w:val="center"/>
          </w:tcPr>
          <w:p w14:paraId="78007F12">
            <w:pPr>
              <w:adjustRightInd w:val="0"/>
              <w:snapToGrid w:val="0"/>
              <w:jc w:val="center"/>
              <w:rPr>
                <w:rFonts w:ascii="宋体" w:hAnsi="宋体"/>
                <w:color w:val="auto"/>
              </w:rPr>
            </w:pPr>
            <w:r>
              <w:rPr>
                <w:rFonts w:hint="eastAsia" w:ascii="宋体" w:hAnsi="宋体"/>
                <w:color w:val="auto"/>
              </w:rPr>
              <w:t>执行《碎屑岩油藏注水水质指标技术要求及分析方法》（SY/T 5329-2022）中推荐水质指标</w:t>
            </w:r>
          </w:p>
        </w:tc>
        <w:tc>
          <w:tcPr>
            <w:tcW w:w="385" w:type="pct"/>
            <w:vMerge w:val="restart"/>
            <w:tcBorders>
              <w:top w:val="nil"/>
              <w:left w:val="single" w:color="auto" w:sz="4" w:space="0"/>
              <w:bottom w:val="single" w:color="auto" w:sz="4" w:space="0"/>
              <w:right w:val="single" w:color="auto" w:sz="4" w:space="0"/>
            </w:tcBorders>
            <w:vAlign w:val="center"/>
          </w:tcPr>
          <w:p w14:paraId="3EFA2EEA">
            <w:pPr>
              <w:adjustRightInd w:val="0"/>
              <w:snapToGrid w:val="0"/>
              <w:jc w:val="center"/>
              <w:rPr>
                <w:rFonts w:ascii="宋体" w:hAnsi="宋体"/>
                <w:color w:val="auto"/>
              </w:rPr>
            </w:pPr>
            <w:r>
              <w:rPr>
                <w:rFonts w:hint="eastAsia" w:ascii="宋体" w:hAnsi="宋体"/>
                <w:color w:val="auto"/>
              </w:rPr>
              <w:t>与主体工程同步</w:t>
            </w:r>
          </w:p>
        </w:tc>
      </w:tr>
      <w:tr w14:paraId="48D35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29212528">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8ABBAD3">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153B4CDE">
            <w:pPr>
              <w:adjustRightInd w:val="0"/>
              <w:snapToGrid w:val="0"/>
              <w:jc w:val="center"/>
              <w:rPr>
                <w:rFonts w:ascii="宋体" w:hAnsi="宋体"/>
                <w:color w:val="auto"/>
              </w:rPr>
            </w:pPr>
            <w:r>
              <w:rPr>
                <w:rFonts w:hint="eastAsia" w:ascii="宋体" w:hAnsi="宋体"/>
                <w:color w:val="auto"/>
              </w:rPr>
              <w:t>施工作业废液：由罐车拉运至高青联合站处理达标后用于注水开发，不外排</w:t>
            </w:r>
          </w:p>
        </w:tc>
        <w:tc>
          <w:tcPr>
            <w:tcW w:w="921" w:type="pct"/>
            <w:tcBorders>
              <w:top w:val="single" w:color="auto" w:sz="4" w:space="0"/>
              <w:left w:val="single" w:color="auto" w:sz="4" w:space="0"/>
              <w:bottom w:val="single" w:color="auto" w:sz="4" w:space="0"/>
              <w:right w:val="single" w:color="auto" w:sz="4" w:space="0"/>
            </w:tcBorders>
            <w:vAlign w:val="center"/>
          </w:tcPr>
          <w:p w14:paraId="082D3460">
            <w:pPr>
              <w:adjustRightInd w:val="0"/>
              <w:snapToGrid w:val="0"/>
              <w:jc w:val="center"/>
              <w:rPr>
                <w:rFonts w:ascii="宋体" w:hAnsi="宋体"/>
                <w:color w:val="auto"/>
              </w:rPr>
            </w:pPr>
            <w:r>
              <w:rPr>
                <w:rFonts w:hint="eastAsia" w:ascii="宋体" w:hAnsi="宋体"/>
                <w:color w:val="auto"/>
              </w:rPr>
              <w:t>用于油田回注开发，不外排</w:t>
            </w:r>
          </w:p>
        </w:tc>
        <w:tc>
          <w:tcPr>
            <w:tcW w:w="846" w:type="pct"/>
            <w:tcBorders>
              <w:top w:val="single" w:color="auto" w:sz="4" w:space="0"/>
              <w:left w:val="single" w:color="auto" w:sz="4" w:space="0"/>
              <w:bottom w:val="single" w:color="auto" w:sz="4" w:space="0"/>
              <w:right w:val="single" w:color="auto" w:sz="4" w:space="0"/>
            </w:tcBorders>
            <w:vAlign w:val="center"/>
          </w:tcPr>
          <w:p w14:paraId="3AD7985C">
            <w:pPr>
              <w:adjustRightInd w:val="0"/>
              <w:snapToGrid w:val="0"/>
              <w:jc w:val="center"/>
              <w:rPr>
                <w:rFonts w:ascii="宋体" w:hAnsi="宋体"/>
                <w:color w:val="auto"/>
              </w:rPr>
            </w:pPr>
            <w:r>
              <w:rPr>
                <w:rFonts w:hint="eastAsia" w:ascii="宋体" w:hAnsi="宋体"/>
                <w:color w:val="auto"/>
              </w:rPr>
              <w:t>高青联合站正常运行，且处理能力富余，处理达标</w:t>
            </w:r>
          </w:p>
        </w:tc>
        <w:tc>
          <w:tcPr>
            <w:tcW w:w="0" w:type="auto"/>
            <w:vMerge w:val="continue"/>
            <w:tcBorders>
              <w:top w:val="nil"/>
              <w:left w:val="single" w:color="auto" w:sz="4" w:space="0"/>
              <w:bottom w:val="single" w:color="auto" w:sz="4" w:space="0"/>
              <w:right w:val="single" w:color="auto" w:sz="4" w:space="0"/>
            </w:tcBorders>
            <w:vAlign w:val="center"/>
          </w:tcPr>
          <w:p w14:paraId="7F64B5F3">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AA34ADC">
            <w:pPr>
              <w:widowControl/>
              <w:jc w:val="left"/>
              <w:rPr>
                <w:rFonts w:ascii="宋体" w:hAnsi="宋体"/>
                <w:color w:val="auto"/>
              </w:rPr>
            </w:pPr>
          </w:p>
        </w:tc>
      </w:tr>
      <w:tr w14:paraId="2FCB5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79A20F1A">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1679B1B">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6D61C6D9">
            <w:pPr>
              <w:adjustRightInd w:val="0"/>
              <w:snapToGrid w:val="0"/>
              <w:jc w:val="center"/>
              <w:rPr>
                <w:rFonts w:ascii="宋体" w:hAnsi="宋体"/>
                <w:color w:val="auto"/>
              </w:rPr>
            </w:pPr>
            <w:r>
              <w:rPr>
                <w:rFonts w:hint="eastAsia" w:ascii="宋体" w:hAnsi="宋体"/>
                <w:color w:val="auto"/>
              </w:rPr>
              <w:t>生活污水：排入临时移动环保厕所，由当地环卫部门处置，不直接外排于区域环境</w:t>
            </w:r>
          </w:p>
        </w:tc>
        <w:tc>
          <w:tcPr>
            <w:tcW w:w="921" w:type="pct"/>
            <w:tcBorders>
              <w:top w:val="single" w:color="auto" w:sz="4" w:space="0"/>
              <w:left w:val="single" w:color="auto" w:sz="4" w:space="0"/>
              <w:bottom w:val="single" w:color="auto" w:sz="4" w:space="0"/>
              <w:right w:val="single" w:color="auto" w:sz="4" w:space="0"/>
            </w:tcBorders>
            <w:vAlign w:val="center"/>
          </w:tcPr>
          <w:p w14:paraId="6FDD0B58">
            <w:pPr>
              <w:adjustRightInd w:val="0"/>
              <w:snapToGrid w:val="0"/>
              <w:jc w:val="center"/>
              <w:rPr>
                <w:rFonts w:ascii="宋体" w:hAnsi="宋体"/>
                <w:color w:val="auto"/>
              </w:rPr>
            </w:pPr>
            <w:r>
              <w:rPr>
                <w:rFonts w:hint="eastAsia" w:ascii="宋体" w:hAnsi="宋体"/>
                <w:color w:val="auto"/>
              </w:rPr>
              <w:t>不直接外排</w:t>
            </w:r>
          </w:p>
        </w:tc>
        <w:tc>
          <w:tcPr>
            <w:tcW w:w="846" w:type="pct"/>
            <w:tcBorders>
              <w:top w:val="single" w:color="auto" w:sz="4" w:space="0"/>
              <w:left w:val="single" w:color="auto" w:sz="4" w:space="0"/>
              <w:bottom w:val="single" w:color="auto" w:sz="4" w:space="0"/>
              <w:right w:val="single" w:color="auto" w:sz="4" w:space="0"/>
            </w:tcBorders>
            <w:vAlign w:val="center"/>
          </w:tcPr>
          <w:p w14:paraId="5C6E51BC">
            <w:pPr>
              <w:adjustRightInd w:val="0"/>
              <w:snapToGrid w:val="0"/>
              <w:jc w:val="center"/>
              <w:rPr>
                <w:rFonts w:ascii="宋体" w:hAnsi="宋体"/>
                <w:color w:val="auto"/>
              </w:rPr>
            </w:pPr>
            <w:r>
              <w:rPr>
                <w:rFonts w:hint="eastAsia" w:ascii="宋体" w:hAnsi="宋体"/>
                <w:color w:val="auto"/>
              </w:rPr>
              <w:t>临时厕所</w:t>
            </w:r>
          </w:p>
        </w:tc>
        <w:tc>
          <w:tcPr>
            <w:tcW w:w="796" w:type="pct"/>
            <w:tcBorders>
              <w:top w:val="single" w:color="auto" w:sz="4" w:space="0"/>
              <w:left w:val="single" w:color="auto" w:sz="4" w:space="0"/>
              <w:bottom w:val="single" w:color="auto" w:sz="4" w:space="0"/>
              <w:right w:val="single" w:color="auto" w:sz="4" w:space="0"/>
            </w:tcBorders>
            <w:vAlign w:val="center"/>
          </w:tcPr>
          <w:p w14:paraId="66C69D0E">
            <w:pPr>
              <w:adjustRightInd w:val="0"/>
              <w:snapToGrid w:val="0"/>
              <w:jc w:val="center"/>
              <w:rPr>
                <w:rFonts w:ascii="宋体" w:hAnsi="宋体"/>
                <w:color w:val="auto"/>
              </w:rPr>
            </w:pPr>
            <w:r>
              <w:rPr>
                <w:rFonts w:hint="eastAsia" w:ascii="宋体" w:hAnsi="宋体"/>
                <w:color w:val="auto"/>
              </w:rPr>
              <w:t>——</w:t>
            </w:r>
          </w:p>
        </w:tc>
        <w:tc>
          <w:tcPr>
            <w:tcW w:w="385" w:type="pct"/>
            <w:vMerge w:val="restart"/>
            <w:tcBorders>
              <w:top w:val="nil"/>
              <w:left w:val="single" w:color="auto" w:sz="4" w:space="0"/>
              <w:bottom w:val="single" w:color="auto" w:sz="4" w:space="0"/>
              <w:right w:val="single" w:color="auto" w:sz="4" w:space="0"/>
            </w:tcBorders>
            <w:vAlign w:val="center"/>
          </w:tcPr>
          <w:p w14:paraId="153D2D7B">
            <w:pPr>
              <w:adjustRightInd w:val="0"/>
              <w:snapToGrid w:val="0"/>
              <w:jc w:val="center"/>
              <w:rPr>
                <w:rFonts w:ascii="宋体" w:hAnsi="宋体"/>
                <w:color w:val="auto"/>
              </w:rPr>
            </w:pPr>
            <w:r>
              <w:rPr>
                <w:rFonts w:hint="eastAsia" w:ascii="宋体" w:hAnsi="宋体"/>
                <w:color w:val="auto"/>
              </w:rPr>
              <w:t>与主体工程同步</w:t>
            </w:r>
          </w:p>
        </w:tc>
      </w:tr>
      <w:tr w14:paraId="0CECF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0FA419ED">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F69AD76">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62D3804F">
            <w:pPr>
              <w:adjustRightInd w:val="0"/>
              <w:snapToGrid w:val="0"/>
              <w:jc w:val="center"/>
              <w:rPr>
                <w:rFonts w:ascii="宋体" w:hAnsi="宋体"/>
                <w:color w:val="auto"/>
              </w:rPr>
            </w:pPr>
            <w:r>
              <w:rPr>
                <w:rFonts w:hint="eastAsia" w:ascii="宋体" w:hAnsi="宋体"/>
                <w:color w:val="auto"/>
              </w:rPr>
              <w:t>新建管线试压废水沉淀后用于现场洒水抑尘</w:t>
            </w:r>
          </w:p>
        </w:tc>
        <w:tc>
          <w:tcPr>
            <w:tcW w:w="921" w:type="pct"/>
            <w:tcBorders>
              <w:top w:val="single" w:color="auto" w:sz="4" w:space="0"/>
              <w:left w:val="single" w:color="auto" w:sz="4" w:space="0"/>
              <w:bottom w:val="single" w:color="auto" w:sz="4" w:space="0"/>
              <w:right w:val="single" w:color="auto" w:sz="4" w:space="0"/>
            </w:tcBorders>
            <w:vAlign w:val="center"/>
          </w:tcPr>
          <w:p w14:paraId="2A0D1D33">
            <w:pPr>
              <w:adjustRightInd w:val="0"/>
              <w:snapToGrid w:val="0"/>
              <w:jc w:val="center"/>
              <w:rPr>
                <w:rFonts w:ascii="宋体" w:hAnsi="宋体"/>
                <w:color w:val="auto"/>
              </w:rPr>
            </w:pPr>
            <w:r>
              <w:rPr>
                <w:rFonts w:hint="eastAsia" w:ascii="宋体" w:hAnsi="宋体"/>
                <w:color w:val="auto"/>
              </w:rPr>
              <w:t>不直接外排</w:t>
            </w:r>
          </w:p>
        </w:tc>
        <w:tc>
          <w:tcPr>
            <w:tcW w:w="846" w:type="pct"/>
            <w:tcBorders>
              <w:top w:val="single" w:color="auto" w:sz="4" w:space="0"/>
              <w:left w:val="single" w:color="auto" w:sz="4" w:space="0"/>
              <w:bottom w:val="single" w:color="auto" w:sz="4" w:space="0"/>
              <w:right w:val="single" w:color="auto" w:sz="4" w:space="0"/>
            </w:tcBorders>
            <w:vAlign w:val="center"/>
          </w:tcPr>
          <w:p w14:paraId="3ABCA171">
            <w:pPr>
              <w:adjustRightInd w:val="0"/>
              <w:snapToGrid w:val="0"/>
              <w:jc w:val="center"/>
              <w:rPr>
                <w:rFonts w:ascii="宋体" w:hAnsi="宋体"/>
                <w:color w:val="auto"/>
              </w:rPr>
            </w:pPr>
            <w:r>
              <w:rPr>
                <w:rFonts w:hint="eastAsia" w:ascii="宋体" w:hAnsi="宋体"/>
                <w:color w:val="auto"/>
              </w:rPr>
              <w:t>——</w:t>
            </w:r>
          </w:p>
        </w:tc>
        <w:tc>
          <w:tcPr>
            <w:tcW w:w="796" w:type="pct"/>
            <w:tcBorders>
              <w:top w:val="single" w:color="auto" w:sz="4" w:space="0"/>
              <w:left w:val="single" w:color="auto" w:sz="4" w:space="0"/>
              <w:bottom w:val="single" w:color="auto" w:sz="4" w:space="0"/>
              <w:right w:val="single" w:color="auto" w:sz="4" w:space="0"/>
            </w:tcBorders>
            <w:vAlign w:val="center"/>
          </w:tcPr>
          <w:p w14:paraId="57E8629E">
            <w:pPr>
              <w:adjustRightInd w:val="0"/>
              <w:snapToGrid w:val="0"/>
              <w:jc w:val="center"/>
              <w:rPr>
                <w:rFonts w:ascii="宋体" w:hAnsi="宋体"/>
                <w:color w:val="auto"/>
              </w:rPr>
            </w:pPr>
            <w:r>
              <w:rPr>
                <w:rFonts w:hint="eastAsia" w:ascii="宋体" w:hAnsi="宋体"/>
                <w:color w:val="auto"/>
              </w:rPr>
              <w:t>——</w:t>
            </w:r>
          </w:p>
        </w:tc>
        <w:tc>
          <w:tcPr>
            <w:tcW w:w="0" w:type="auto"/>
            <w:vMerge w:val="continue"/>
            <w:tcBorders>
              <w:top w:val="nil"/>
              <w:left w:val="single" w:color="auto" w:sz="4" w:space="0"/>
              <w:bottom w:val="single" w:color="auto" w:sz="4" w:space="0"/>
              <w:right w:val="single" w:color="auto" w:sz="4" w:space="0"/>
            </w:tcBorders>
            <w:vAlign w:val="center"/>
          </w:tcPr>
          <w:p w14:paraId="36E9D9B3">
            <w:pPr>
              <w:widowControl/>
              <w:jc w:val="left"/>
              <w:rPr>
                <w:rFonts w:ascii="宋体" w:hAnsi="宋体"/>
                <w:color w:val="auto"/>
              </w:rPr>
            </w:pPr>
          </w:p>
        </w:tc>
      </w:tr>
      <w:tr w14:paraId="02532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556FAEE2">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8BDC50F">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7904E12B">
            <w:pPr>
              <w:adjustRightInd w:val="0"/>
              <w:snapToGrid w:val="0"/>
              <w:jc w:val="center"/>
              <w:rPr>
                <w:rFonts w:ascii="宋体" w:hAnsi="宋体"/>
                <w:color w:val="auto"/>
              </w:rPr>
            </w:pPr>
            <w:r>
              <w:rPr>
                <w:rFonts w:hint="eastAsia" w:ascii="宋体" w:hAnsi="宋体"/>
                <w:color w:val="auto"/>
              </w:rPr>
              <w:t>旧管道清洗废水：沉降处理后用于压驱注水开发</w:t>
            </w:r>
          </w:p>
        </w:tc>
        <w:tc>
          <w:tcPr>
            <w:tcW w:w="921" w:type="pct"/>
            <w:tcBorders>
              <w:top w:val="single" w:color="auto" w:sz="4" w:space="0"/>
              <w:left w:val="single" w:color="auto" w:sz="4" w:space="0"/>
              <w:bottom w:val="single" w:color="auto" w:sz="4" w:space="0"/>
              <w:right w:val="single" w:color="auto" w:sz="4" w:space="0"/>
            </w:tcBorders>
            <w:vAlign w:val="center"/>
          </w:tcPr>
          <w:p w14:paraId="280623A8">
            <w:pPr>
              <w:adjustRightInd w:val="0"/>
              <w:snapToGrid w:val="0"/>
              <w:jc w:val="center"/>
              <w:rPr>
                <w:rFonts w:ascii="宋体" w:hAnsi="宋体"/>
                <w:color w:val="auto"/>
              </w:rPr>
            </w:pPr>
            <w:r>
              <w:rPr>
                <w:rFonts w:hint="eastAsia" w:ascii="宋体" w:hAnsi="宋体"/>
                <w:color w:val="auto"/>
              </w:rPr>
              <w:t>用于油田回注开发，不外排</w:t>
            </w:r>
          </w:p>
        </w:tc>
        <w:tc>
          <w:tcPr>
            <w:tcW w:w="846" w:type="pct"/>
            <w:tcBorders>
              <w:top w:val="single" w:color="auto" w:sz="4" w:space="0"/>
              <w:left w:val="single" w:color="auto" w:sz="4" w:space="0"/>
              <w:bottom w:val="single" w:color="auto" w:sz="4" w:space="0"/>
              <w:right w:val="single" w:color="auto" w:sz="4" w:space="0"/>
            </w:tcBorders>
            <w:vAlign w:val="center"/>
          </w:tcPr>
          <w:p w14:paraId="3CCC4624">
            <w:pPr>
              <w:adjustRightInd w:val="0"/>
              <w:snapToGrid w:val="0"/>
              <w:jc w:val="center"/>
              <w:rPr>
                <w:rFonts w:ascii="宋体" w:hAnsi="宋体"/>
                <w:color w:val="auto"/>
              </w:rPr>
            </w:pPr>
            <w:r>
              <w:rPr>
                <w:rFonts w:hint="eastAsia" w:ascii="宋体" w:hAnsi="宋体"/>
                <w:color w:val="auto"/>
              </w:rPr>
              <w:t xml:space="preserve">废水不外排 </w:t>
            </w:r>
          </w:p>
        </w:tc>
        <w:tc>
          <w:tcPr>
            <w:tcW w:w="796" w:type="pct"/>
            <w:tcBorders>
              <w:top w:val="single" w:color="auto" w:sz="4" w:space="0"/>
              <w:left w:val="single" w:color="auto" w:sz="4" w:space="0"/>
              <w:bottom w:val="single" w:color="auto" w:sz="4" w:space="0"/>
              <w:right w:val="single" w:color="auto" w:sz="4" w:space="0"/>
            </w:tcBorders>
            <w:vAlign w:val="center"/>
          </w:tcPr>
          <w:p w14:paraId="0FA1EF21">
            <w:pPr>
              <w:adjustRightInd w:val="0"/>
              <w:snapToGrid w:val="0"/>
              <w:jc w:val="center"/>
              <w:rPr>
                <w:rFonts w:ascii="宋体" w:hAnsi="宋体"/>
                <w:color w:val="auto"/>
              </w:rPr>
            </w:pPr>
            <w:r>
              <w:rPr>
                <w:rFonts w:hint="eastAsia" w:ascii="宋体" w:hAnsi="宋体"/>
                <w:color w:val="auto"/>
              </w:rPr>
              <w:t>处理后的钻井废水执行《碎屑岩油藏注水水质指标技术要求及分析方法》（SY/T 5329-2022）中推荐水质指标</w:t>
            </w:r>
          </w:p>
        </w:tc>
        <w:tc>
          <w:tcPr>
            <w:tcW w:w="0" w:type="auto"/>
            <w:vMerge w:val="continue"/>
            <w:tcBorders>
              <w:top w:val="nil"/>
              <w:left w:val="single" w:color="auto" w:sz="4" w:space="0"/>
              <w:bottom w:val="single" w:color="auto" w:sz="4" w:space="0"/>
              <w:right w:val="single" w:color="auto" w:sz="4" w:space="0"/>
            </w:tcBorders>
            <w:vAlign w:val="center"/>
          </w:tcPr>
          <w:p w14:paraId="50AB0E09">
            <w:pPr>
              <w:widowControl/>
              <w:jc w:val="left"/>
              <w:rPr>
                <w:rFonts w:ascii="宋体" w:hAnsi="宋体"/>
                <w:color w:val="auto"/>
              </w:rPr>
            </w:pPr>
          </w:p>
        </w:tc>
      </w:tr>
      <w:tr w14:paraId="4CE81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156DD137">
            <w:pPr>
              <w:widowControl/>
              <w:jc w:val="left"/>
              <w:rPr>
                <w:rFonts w:ascii="宋体" w:hAnsi="宋体"/>
                <w:color w:val="auto"/>
              </w:rPr>
            </w:pPr>
          </w:p>
        </w:tc>
        <w:tc>
          <w:tcPr>
            <w:tcW w:w="467" w:type="pct"/>
            <w:vMerge w:val="restart"/>
            <w:tcBorders>
              <w:top w:val="nil"/>
              <w:left w:val="single" w:color="auto" w:sz="4" w:space="0"/>
              <w:bottom w:val="single" w:color="auto" w:sz="4" w:space="0"/>
              <w:right w:val="single" w:color="auto" w:sz="4" w:space="0"/>
            </w:tcBorders>
            <w:tcMar>
              <w:top w:w="0" w:type="dxa"/>
              <w:left w:w="6" w:type="dxa"/>
              <w:bottom w:w="0" w:type="dxa"/>
              <w:right w:w="6" w:type="dxa"/>
            </w:tcMar>
            <w:vAlign w:val="center"/>
          </w:tcPr>
          <w:p w14:paraId="3B1A4B05">
            <w:pPr>
              <w:adjustRightInd w:val="0"/>
              <w:snapToGrid w:val="0"/>
              <w:jc w:val="center"/>
              <w:rPr>
                <w:rFonts w:ascii="宋体" w:hAnsi="宋体"/>
                <w:color w:val="auto"/>
              </w:rPr>
            </w:pPr>
            <w:r>
              <w:rPr>
                <w:rFonts w:hint="eastAsia" w:ascii="宋体" w:hAnsi="宋体"/>
                <w:color w:val="auto"/>
              </w:rPr>
              <w:t>废气</w:t>
            </w:r>
          </w:p>
        </w:tc>
        <w:tc>
          <w:tcPr>
            <w:tcW w:w="1394" w:type="pct"/>
            <w:tcBorders>
              <w:top w:val="single" w:color="auto" w:sz="4" w:space="0"/>
              <w:left w:val="single" w:color="auto" w:sz="4" w:space="0"/>
              <w:bottom w:val="single" w:color="auto" w:sz="4" w:space="0"/>
              <w:right w:val="single" w:color="auto" w:sz="4" w:space="0"/>
            </w:tcBorders>
            <w:vAlign w:val="center"/>
          </w:tcPr>
          <w:p w14:paraId="2454AB4F">
            <w:pPr>
              <w:adjustRightInd w:val="0"/>
              <w:snapToGrid w:val="0"/>
              <w:jc w:val="center"/>
              <w:rPr>
                <w:rFonts w:ascii="宋体" w:hAnsi="宋体"/>
                <w:color w:val="auto"/>
              </w:rPr>
            </w:pPr>
            <w:r>
              <w:rPr>
                <w:rFonts w:hint="eastAsia" w:ascii="宋体" w:hAnsi="宋体"/>
                <w:color w:val="auto"/>
              </w:rPr>
              <w:t>扬尘：物料集中堆放，表面采取遮盖或集中堆存在库房内；定期洒水抑尘；控制车辆装载量并采取密闭或者遮盖措施，出入车辆清洗、渣土车密闭运输</w:t>
            </w:r>
          </w:p>
        </w:tc>
        <w:tc>
          <w:tcPr>
            <w:tcW w:w="921" w:type="pct"/>
            <w:tcBorders>
              <w:top w:val="single" w:color="auto" w:sz="4" w:space="0"/>
              <w:left w:val="single" w:color="auto" w:sz="4" w:space="0"/>
              <w:bottom w:val="single" w:color="auto" w:sz="4" w:space="0"/>
              <w:right w:val="single" w:color="auto" w:sz="4" w:space="0"/>
            </w:tcBorders>
            <w:vAlign w:val="center"/>
          </w:tcPr>
          <w:p w14:paraId="7E8738B5">
            <w:pPr>
              <w:adjustRightInd w:val="0"/>
              <w:snapToGrid w:val="0"/>
              <w:jc w:val="center"/>
              <w:rPr>
                <w:rFonts w:ascii="宋体" w:hAnsi="宋体"/>
                <w:color w:val="auto"/>
              </w:rPr>
            </w:pPr>
            <w:r>
              <w:rPr>
                <w:rFonts w:hint="eastAsia" w:ascii="宋体" w:hAnsi="宋体"/>
                <w:color w:val="auto"/>
              </w:rPr>
              <w:t>——</w:t>
            </w:r>
          </w:p>
        </w:tc>
        <w:tc>
          <w:tcPr>
            <w:tcW w:w="846" w:type="pct"/>
            <w:tcBorders>
              <w:top w:val="single" w:color="auto" w:sz="4" w:space="0"/>
              <w:left w:val="single" w:color="auto" w:sz="4" w:space="0"/>
              <w:bottom w:val="single" w:color="auto" w:sz="4" w:space="0"/>
              <w:right w:val="single" w:color="auto" w:sz="4" w:space="0"/>
            </w:tcBorders>
            <w:vAlign w:val="center"/>
          </w:tcPr>
          <w:p w14:paraId="70B70DF8">
            <w:pPr>
              <w:adjustRightInd w:val="0"/>
              <w:snapToGrid w:val="0"/>
              <w:jc w:val="center"/>
              <w:rPr>
                <w:rFonts w:ascii="宋体" w:hAnsi="宋体"/>
                <w:color w:val="auto"/>
              </w:rPr>
            </w:pPr>
            <w:r>
              <w:rPr>
                <w:rFonts w:hint="eastAsia" w:ascii="宋体" w:hAnsi="宋体"/>
                <w:color w:val="auto"/>
              </w:rPr>
              <w:t>——</w:t>
            </w:r>
          </w:p>
        </w:tc>
        <w:tc>
          <w:tcPr>
            <w:tcW w:w="796" w:type="pct"/>
            <w:tcBorders>
              <w:top w:val="single" w:color="auto" w:sz="4" w:space="0"/>
              <w:left w:val="single" w:color="auto" w:sz="4" w:space="0"/>
              <w:bottom w:val="single" w:color="auto" w:sz="4" w:space="0"/>
              <w:right w:val="single" w:color="auto" w:sz="4" w:space="0"/>
            </w:tcBorders>
            <w:vAlign w:val="center"/>
          </w:tcPr>
          <w:p w14:paraId="1D1C4DD2">
            <w:pPr>
              <w:adjustRightInd w:val="0"/>
              <w:snapToGrid w:val="0"/>
              <w:jc w:val="center"/>
              <w:rPr>
                <w:rFonts w:ascii="宋体" w:hAnsi="宋体"/>
                <w:color w:val="auto"/>
              </w:rPr>
            </w:pPr>
            <w:r>
              <w:rPr>
                <w:rFonts w:hint="eastAsia" w:ascii="宋体" w:hAnsi="宋体"/>
                <w:color w:val="auto"/>
              </w:rPr>
              <w:t>——</w:t>
            </w:r>
          </w:p>
        </w:tc>
        <w:tc>
          <w:tcPr>
            <w:tcW w:w="0" w:type="auto"/>
            <w:vMerge w:val="continue"/>
            <w:tcBorders>
              <w:top w:val="nil"/>
              <w:left w:val="single" w:color="auto" w:sz="4" w:space="0"/>
              <w:bottom w:val="single" w:color="auto" w:sz="4" w:space="0"/>
              <w:right w:val="single" w:color="auto" w:sz="4" w:space="0"/>
            </w:tcBorders>
            <w:vAlign w:val="center"/>
          </w:tcPr>
          <w:p w14:paraId="1C4D95ED">
            <w:pPr>
              <w:widowControl/>
              <w:jc w:val="left"/>
              <w:rPr>
                <w:rFonts w:ascii="宋体" w:hAnsi="宋体"/>
                <w:color w:val="auto"/>
              </w:rPr>
            </w:pPr>
          </w:p>
        </w:tc>
      </w:tr>
      <w:tr w14:paraId="12387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6E1F7ED2">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AEA894D">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75B6139C">
            <w:pPr>
              <w:adjustRightInd w:val="0"/>
              <w:snapToGrid w:val="0"/>
              <w:jc w:val="center"/>
              <w:rPr>
                <w:rFonts w:ascii="宋体" w:hAnsi="宋体"/>
                <w:color w:val="auto"/>
              </w:rPr>
            </w:pPr>
            <w:r>
              <w:rPr>
                <w:rFonts w:hint="eastAsia" w:ascii="宋体" w:hAnsi="宋体"/>
                <w:color w:val="auto"/>
              </w:rPr>
              <w:t>施工机械废气：选择技术先进的动力机械设备，主要是优良发动机；选择符合国家要求的燃油指标，如国Ⅵ标准柴油。同时加强施工管理，尽可能缩短施工周期</w:t>
            </w:r>
          </w:p>
        </w:tc>
        <w:tc>
          <w:tcPr>
            <w:tcW w:w="921" w:type="pct"/>
            <w:tcBorders>
              <w:top w:val="single" w:color="auto" w:sz="4" w:space="0"/>
              <w:left w:val="single" w:color="auto" w:sz="4" w:space="0"/>
              <w:bottom w:val="single" w:color="auto" w:sz="4" w:space="0"/>
              <w:right w:val="single" w:color="auto" w:sz="4" w:space="0"/>
            </w:tcBorders>
            <w:vAlign w:val="center"/>
          </w:tcPr>
          <w:p w14:paraId="65F10CE9">
            <w:pPr>
              <w:adjustRightInd w:val="0"/>
              <w:snapToGrid w:val="0"/>
              <w:jc w:val="center"/>
              <w:rPr>
                <w:rFonts w:ascii="宋体" w:hAnsi="宋体"/>
                <w:color w:val="auto"/>
              </w:rPr>
            </w:pPr>
            <w:r>
              <w:rPr>
                <w:rFonts w:hint="eastAsia" w:ascii="宋体" w:hAnsi="宋体"/>
                <w:color w:val="auto"/>
              </w:rPr>
              <w:t>——</w:t>
            </w:r>
          </w:p>
        </w:tc>
        <w:tc>
          <w:tcPr>
            <w:tcW w:w="846" w:type="pct"/>
            <w:tcBorders>
              <w:top w:val="single" w:color="auto" w:sz="4" w:space="0"/>
              <w:left w:val="single" w:color="auto" w:sz="4" w:space="0"/>
              <w:bottom w:val="single" w:color="auto" w:sz="4" w:space="0"/>
              <w:right w:val="single" w:color="auto" w:sz="4" w:space="0"/>
            </w:tcBorders>
            <w:vAlign w:val="center"/>
          </w:tcPr>
          <w:p w14:paraId="7F1D0483">
            <w:pPr>
              <w:adjustRightInd w:val="0"/>
              <w:snapToGrid w:val="0"/>
              <w:jc w:val="center"/>
              <w:rPr>
                <w:rFonts w:ascii="宋体" w:hAnsi="宋体"/>
                <w:color w:val="auto"/>
              </w:rPr>
            </w:pPr>
            <w:r>
              <w:rPr>
                <w:rFonts w:hint="eastAsia" w:ascii="宋体" w:hAnsi="宋体"/>
                <w:color w:val="auto"/>
              </w:rPr>
              <w:t>——</w:t>
            </w:r>
          </w:p>
        </w:tc>
        <w:tc>
          <w:tcPr>
            <w:tcW w:w="796" w:type="pct"/>
            <w:tcBorders>
              <w:top w:val="single" w:color="auto" w:sz="4" w:space="0"/>
              <w:left w:val="single" w:color="auto" w:sz="4" w:space="0"/>
              <w:bottom w:val="single" w:color="auto" w:sz="4" w:space="0"/>
              <w:right w:val="single" w:color="auto" w:sz="4" w:space="0"/>
            </w:tcBorders>
            <w:vAlign w:val="center"/>
          </w:tcPr>
          <w:p w14:paraId="1E140696">
            <w:pPr>
              <w:adjustRightInd w:val="0"/>
              <w:snapToGrid w:val="0"/>
              <w:jc w:val="center"/>
              <w:rPr>
                <w:rFonts w:ascii="宋体" w:hAnsi="宋体"/>
                <w:color w:val="auto"/>
              </w:rPr>
            </w:pPr>
            <w:r>
              <w:rPr>
                <w:rFonts w:hint="eastAsia" w:ascii="宋体" w:hAnsi="宋体"/>
                <w:color w:val="auto"/>
              </w:rPr>
              <w:t>——</w:t>
            </w:r>
          </w:p>
        </w:tc>
        <w:tc>
          <w:tcPr>
            <w:tcW w:w="0" w:type="auto"/>
            <w:vMerge w:val="continue"/>
            <w:tcBorders>
              <w:top w:val="nil"/>
              <w:left w:val="single" w:color="auto" w:sz="4" w:space="0"/>
              <w:bottom w:val="single" w:color="auto" w:sz="4" w:space="0"/>
              <w:right w:val="single" w:color="auto" w:sz="4" w:space="0"/>
            </w:tcBorders>
            <w:vAlign w:val="center"/>
          </w:tcPr>
          <w:p w14:paraId="3F6E1B44">
            <w:pPr>
              <w:widowControl/>
              <w:jc w:val="left"/>
              <w:rPr>
                <w:rFonts w:ascii="宋体" w:hAnsi="宋体"/>
                <w:color w:val="auto"/>
              </w:rPr>
            </w:pPr>
          </w:p>
        </w:tc>
      </w:tr>
      <w:tr w14:paraId="11866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7949CEEA">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2FCE5BA4">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0A25F81B">
            <w:pPr>
              <w:adjustRightInd w:val="0"/>
              <w:snapToGrid w:val="0"/>
              <w:jc w:val="center"/>
              <w:rPr>
                <w:rFonts w:ascii="宋体" w:hAnsi="宋体"/>
                <w:color w:val="auto"/>
              </w:rPr>
            </w:pPr>
            <w:r>
              <w:rPr>
                <w:rFonts w:hint="eastAsia" w:ascii="宋体" w:hAnsi="宋体"/>
                <w:color w:val="auto"/>
              </w:rPr>
              <w:t>焊接颗粒物：过规范焊接操作，使用低毒焊条等措施</w:t>
            </w:r>
          </w:p>
        </w:tc>
        <w:tc>
          <w:tcPr>
            <w:tcW w:w="921" w:type="pct"/>
            <w:tcBorders>
              <w:top w:val="single" w:color="auto" w:sz="4" w:space="0"/>
              <w:left w:val="single" w:color="auto" w:sz="4" w:space="0"/>
              <w:bottom w:val="single" w:color="auto" w:sz="4" w:space="0"/>
              <w:right w:val="single" w:color="auto" w:sz="4" w:space="0"/>
            </w:tcBorders>
            <w:vAlign w:val="center"/>
          </w:tcPr>
          <w:p w14:paraId="5B7A783C">
            <w:pPr>
              <w:adjustRightInd w:val="0"/>
              <w:snapToGrid w:val="0"/>
              <w:jc w:val="center"/>
              <w:rPr>
                <w:rFonts w:ascii="宋体" w:hAnsi="宋体"/>
                <w:color w:val="auto"/>
              </w:rPr>
            </w:pPr>
            <w:r>
              <w:rPr>
                <w:rFonts w:hint="eastAsia" w:ascii="宋体" w:hAnsi="宋体"/>
                <w:color w:val="auto"/>
              </w:rPr>
              <w:t>——</w:t>
            </w:r>
          </w:p>
        </w:tc>
        <w:tc>
          <w:tcPr>
            <w:tcW w:w="846" w:type="pct"/>
            <w:tcBorders>
              <w:top w:val="single" w:color="auto" w:sz="4" w:space="0"/>
              <w:left w:val="single" w:color="auto" w:sz="4" w:space="0"/>
              <w:bottom w:val="single" w:color="auto" w:sz="4" w:space="0"/>
              <w:right w:val="single" w:color="auto" w:sz="4" w:space="0"/>
            </w:tcBorders>
            <w:vAlign w:val="center"/>
          </w:tcPr>
          <w:p w14:paraId="65615D80">
            <w:pPr>
              <w:adjustRightInd w:val="0"/>
              <w:snapToGrid w:val="0"/>
              <w:jc w:val="center"/>
              <w:rPr>
                <w:rFonts w:ascii="宋体" w:hAnsi="宋体"/>
                <w:color w:val="auto"/>
              </w:rPr>
            </w:pPr>
            <w:r>
              <w:rPr>
                <w:rFonts w:hint="eastAsia" w:ascii="宋体" w:hAnsi="宋体"/>
                <w:color w:val="auto"/>
              </w:rPr>
              <w:t>——</w:t>
            </w:r>
          </w:p>
        </w:tc>
        <w:tc>
          <w:tcPr>
            <w:tcW w:w="796" w:type="pct"/>
            <w:tcBorders>
              <w:top w:val="single" w:color="auto" w:sz="4" w:space="0"/>
              <w:left w:val="single" w:color="auto" w:sz="4" w:space="0"/>
              <w:bottom w:val="single" w:color="auto" w:sz="4" w:space="0"/>
              <w:right w:val="single" w:color="auto" w:sz="4" w:space="0"/>
            </w:tcBorders>
            <w:vAlign w:val="center"/>
          </w:tcPr>
          <w:p w14:paraId="3F132817">
            <w:pPr>
              <w:adjustRightInd w:val="0"/>
              <w:snapToGrid w:val="0"/>
              <w:jc w:val="center"/>
              <w:rPr>
                <w:rFonts w:ascii="宋体" w:hAnsi="宋体"/>
                <w:color w:val="auto"/>
              </w:rPr>
            </w:pPr>
            <w:r>
              <w:rPr>
                <w:rFonts w:hint="eastAsia" w:ascii="宋体" w:hAnsi="宋体"/>
                <w:color w:val="auto"/>
              </w:rPr>
              <w:t>——</w:t>
            </w:r>
          </w:p>
        </w:tc>
        <w:tc>
          <w:tcPr>
            <w:tcW w:w="0" w:type="auto"/>
            <w:vMerge w:val="continue"/>
            <w:tcBorders>
              <w:top w:val="nil"/>
              <w:left w:val="single" w:color="auto" w:sz="4" w:space="0"/>
              <w:bottom w:val="single" w:color="auto" w:sz="4" w:space="0"/>
              <w:right w:val="single" w:color="auto" w:sz="4" w:space="0"/>
            </w:tcBorders>
            <w:vAlign w:val="center"/>
          </w:tcPr>
          <w:p w14:paraId="450E43D0">
            <w:pPr>
              <w:widowControl/>
              <w:jc w:val="left"/>
              <w:rPr>
                <w:rFonts w:ascii="宋体" w:hAnsi="宋体"/>
                <w:color w:val="auto"/>
              </w:rPr>
            </w:pPr>
          </w:p>
        </w:tc>
      </w:tr>
      <w:tr w14:paraId="38074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58213DD7">
            <w:pPr>
              <w:widowControl/>
              <w:jc w:val="left"/>
              <w:rPr>
                <w:rFonts w:ascii="宋体" w:hAnsi="宋体"/>
                <w:color w:val="auto"/>
              </w:rPr>
            </w:pPr>
          </w:p>
        </w:tc>
        <w:tc>
          <w:tcPr>
            <w:tcW w:w="467" w:type="pct"/>
            <w:tcBorders>
              <w:top w:val="single" w:color="auto" w:sz="4" w:space="0"/>
              <w:left w:val="single" w:color="auto" w:sz="4" w:space="0"/>
              <w:bottom w:val="single" w:color="auto" w:sz="4" w:space="0"/>
              <w:right w:val="single" w:color="auto" w:sz="4" w:space="0"/>
            </w:tcBorders>
            <w:tcMar>
              <w:top w:w="0" w:type="dxa"/>
              <w:left w:w="6" w:type="dxa"/>
              <w:bottom w:w="0" w:type="dxa"/>
              <w:right w:w="6" w:type="dxa"/>
            </w:tcMar>
            <w:vAlign w:val="center"/>
          </w:tcPr>
          <w:p w14:paraId="317B2E02">
            <w:pPr>
              <w:adjustRightInd w:val="0"/>
              <w:snapToGrid w:val="0"/>
              <w:jc w:val="center"/>
              <w:rPr>
                <w:rFonts w:ascii="宋体" w:hAnsi="宋体"/>
                <w:color w:val="auto"/>
              </w:rPr>
            </w:pPr>
            <w:r>
              <w:rPr>
                <w:rFonts w:hint="eastAsia" w:ascii="宋体" w:hAnsi="宋体"/>
                <w:color w:val="auto"/>
              </w:rPr>
              <w:t>噪声</w:t>
            </w:r>
          </w:p>
        </w:tc>
        <w:tc>
          <w:tcPr>
            <w:tcW w:w="1394" w:type="pct"/>
            <w:tcBorders>
              <w:top w:val="single" w:color="auto" w:sz="4" w:space="0"/>
              <w:left w:val="single" w:color="auto" w:sz="4" w:space="0"/>
              <w:bottom w:val="single" w:color="auto" w:sz="4" w:space="0"/>
              <w:right w:val="single" w:color="auto" w:sz="4" w:space="0"/>
            </w:tcBorders>
            <w:vAlign w:val="center"/>
          </w:tcPr>
          <w:p w14:paraId="00F1FAC2">
            <w:pPr>
              <w:adjustRightInd w:val="0"/>
              <w:snapToGrid w:val="0"/>
              <w:jc w:val="center"/>
              <w:rPr>
                <w:rFonts w:ascii="宋体" w:hAnsi="宋体"/>
                <w:color w:val="auto"/>
              </w:rPr>
            </w:pPr>
            <w:r>
              <w:rPr>
                <w:rFonts w:hint="eastAsia" w:ascii="宋体" w:hAnsi="宋体"/>
                <w:color w:val="auto"/>
              </w:rPr>
              <w:t>1）制定施工计划时，尽可能避免大量高噪声设备同时施工。同时，高噪声设备施工时间尽量安排在昼间，禁止夜间施工（但需连续作业的除外）。</w:t>
            </w:r>
          </w:p>
          <w:p w14:paraId="5491E878">
            <w:pPr>
              <w:adjustRightInd w:val="0"/>
              <w:snapToGrid w:val="0"/>
              <w:jc w:val="center"/>
              <w:rPr>
                <w:rFonts w:ascii="宋体" w:hAnsi="宋体"/>
                <w:color w:val="auto"/>
              </w:rPr>
            </w:pPr>
            <w:r>
              <w:rPr>
                <w:rFonts w:hint="eastAsia" w:ascii="宋体" w:hAnsi="宋体"/>
                <w:color w:val="auto"/>
              </w:rPr>
              <w:t>2）优化钻井平台布局，使柴油发电机高噪声源尽量布置在井场中间，远离井场厂界。</w:t>
            </w:r>
          </w:p>
          <w:p w14:paraId="301E8ED4">
            <w:pPr>
              <w:adjustRightInd w:val="0"/>
              <w:snapToGrid w:val="0"/>
              <w:jc w:val="center"/>
              <w:rPr>
                <w:rFonts w:ascii="宋体" w:hAnsi="宋体"/>
                <w:color w:val="auto"/>
              </w:rPr>
            </w:pPr>
            <w:r>
              <w:rPr>
                <w:rFonts w:hint="eastAsia" w:ascii="宋体" w:hAnsi="宋体"/>
                <w:color w:val="auto"/>
              </w:rPr>
              <w:t>3）选用低噪声设备。在工业网电条件具备的地方，尽可能以工业电网替代柴油发电机为钻机提供动力。</w:t>
            </w:r>
          </w:p>
          <w:p w14:paraId="7B2A646D">
            <w:pPr>
              <w:adjustRightInd w:val="0"/>
              <w:snapToGrid w:val="0"/>
              <w:jc w:val="center"/>
              <w:rPr>
                <w:rFonts w:ascii="宋体" w:hAnsi="宋体"/>
                <w:color w:val="auto"/>
              </w:rPr>
            </w:pPr>
            <w:r>
              <w:rPr>
                <w:rFonts w:hint="eastAsia" w:ascii="宋体" w:hAnsi="宋体"/>
                <w:color w:val="auto"/>
              </w:rPr>
              <w:t>5）加强检查、维护和保养工作，减少运行振动噪声。</w:t>
            </w:r>
          </w:p>
          <w:p w14:paraId="71F82C07">
            <w:pPr>
              <w:adjustRightInd w:val="0"/>
              <w:snapToGrid w:val="0"/>
              <w:jc w:val="center"/>
              <w:rPr>
                <w:rFonts w:ascii="宋体" w:hAnsi="宋体"/>
                <w:color w:val="auto"/>
              </w:rPr>
            </w:pPr>
            <w:r>
              <w:rPr>
                <w:rFonts w:hint="eastAsia" w:ascii="宋体" w:hAnsi="宋体"/>
                <w:color w:val="auto"/>
              </w:rPr>
              <w:t>6）整体设备要安放稳固，并与地面保持良好接触，有条件的应使用减振机座，如柴油机、发电机和各种机泵等要采取机房隔声、基础减振及消声等措施；泥浆泵、振动筛采取加衬弹性垫料的减振措施</w:t>
            </w:r>
          </w:p>
        </w:tc>
        <w:tc>
          <w:tcPr>
            <w:tcW w:w="921" w:type="pct"/>
            <w:tcBorders>
              <w:top w:val="single" w:color="auto" w:sz="4" w:space="0"/>
              <w:left w:val="single" w:color="auto" w:sz="4" w:space="0"/>
              <w:bottom w:val="single" w:color="auto" w:sz="4" w:space="0"/>
              <w:right w:val="single" w:color="auto" w:sz="4" w:space="0"/>
            </w:tcBorders>
            <w:vAlign w:val="center"/>
          </w:tcPr>
          <w:p w14:paraId="37895B7C">
            <w:pPr>
              <w:adjustRightInd w:val="0"/>
              <w:snapToGrid w:val="0"/>
              <w:jc w:val="center"/>
              <w:rPr>
                <w:rFonts w:ascii="宋体" w:hAnsi="宋体"/>
                <w:color w:val="auto"/>
              </w:rPr>
            </w:pPr>
            <w:r>
              <w:rPr>
                <w:rFonts w:hint="eastAsia" w:ascii="宋体" w:hAnsi="宋体"/>
                <w:color w:val="auto"/>
              </w:rPr>
              <w:t>无噪声扰民现象发生</w:t>
            </w:r>
          </w:p>
        </w:tc>
        <w:tc>
          <w:tcPr>
            <w:tcW w:w="846" w:type="pct"/>
            <w:tcBorders>
              <w:top w:val="single" w:color="auto" w:sz="4" w:space="0"/>
              <w:left w:val="single" w:color="auto" w:sz="4" w:space="0"/>
              <w:bottom w:val="single" w:color="auto" w:sz="4" w:space="0"/>
              <w:right w:val="single" w:color="auto" w:sz="4" w:space="0"/>
            </w:tcBorders>
            <w:vAlign w:val="center"/>
          </w:tcPr>
          <w:p w14:paraId="025BAEC0">
            <w:pPr>
              <w:adjustRightInd w:val="0"/>
              <w:snapToGrid w:val="0"/>
              <w:jc w:val="center"/>
              <w:rPr>
                <w:rFonts w:ascii="宋体" w:hAnsi="宋体"/>
                <w:color w:val="auto"/>
              </w:rPr>
            </w:pPr>
            <w:r>
              <w:rPr>
                <w:rFonts w:hint="eastAsia" w:ascii="宋体" w:hAnsi="宋体"/>
                <w:color w:val="auto"/>
              </w:rPr>
              <w:t>——</w:t>
            </w:r>
          </w:p>
        </w:tc>
        <w:tc>
          <w:tcPr>
            <w:tcW w:w="796" w:type="pct"/>
            <w:tcBorders>
              <w:top w:val="single" w:color="auto" w:sz="4" w:space="0"/>
              <w:left w:val="single" w:color="auto" w:sz="4" w:space="0"/>
              <w:bottom w:val="single" w:color="auto" w:sz="4" w:space="0"/>
              <w:right w:val="single" w:color="auto" w:sz="4" w:space="0"/>
            </w:tcBorders>
            <w:vAlign w:val="center"/>
          </w:tcPr>
          <w:p w14:paraId="16C5F237">
            <w:pPr>
              <w:adjustRightInd w:val="0"/>
              <w:snapToGrid w:val="0"/>
              <w:jc w:val="center"/>
              <w:rPr>
                <w:rFonts w:ascii="宋体" w:hAnsi="宋体"/>
                <w:color w:val="auto"/>
              </w:rPr>
            </w:pPr>
            <w:r>
              <w:rPr>
                <w:rFonts w:hint="eastAsia" w:ascii="宋体" w:hAnsi="宋体"/>
                <w:color w:val="auto"/>
              </w:rPr>
              <w:t>执行《建筑施工场界环境噪声排放标准》（GB 12523-2011）要求</w:t>
            </w:r>
          </w:p>
        </w:tc>
        <w:tc>
          <w:tcPr>
            <w:tcW w:w="0" w:type="auto"/>
            <w:vMerge w:val="continue"/>
            <w:tcBorders>
              <w:top w:val="nil"/>
              <w:left w:val="single" w:color="auto" w:sz="4" w:space="0"/>
              <w:bottom w:val="single" w:color="auto" w:sz="4" w:space="0"/>
              <w:right w:val="single" w:color="auto" w:sz="4" w:space="0"/>
            </w:tcBorders>
            <w:vAlign w:val="center"/>
          </w:tcPr>
          <w:p w14:paraId="2DB3271A">
            <w:pPr>
              <w:widowControl/>
              <w:jc w:val="left"/>
              <w:rPr>
                <w:rFonts w:ascii="宋体" w:hAnsi="宋体"/>
                <w:color w:val="auto"/>
              </w:rPr>
            </w:pPr>
          </w:p>
        </w:tc>
      </w:tr>
      <w:tr w14:paraId="38EDB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706FB677">
            <w:pPr>
              <w:widowControl/>
              <w:jc w:val="left"/>
              <w:rPr>
                <w:rFonts w:ascii="宋体" w:hAnsi="宋体"/>
                <w:color w:val="auto"/>
              </w:rPr>
            </w:pPr>
          </w:p>
        </w:tc>
        <w:tc>
          <w:tcPr>
            <w:tcW w:w="467" w:type="pct"/>
            <w:tcBorders>
              <w:top w:val="single" w:color="auto" w:sz="4" w:space="0"/>
              <w:left w:val="single" w:color="auto" w:sz="4" w:space="0"/>
              <w:bottom w:val="single" w:color="auto" w:sz="4" w:space="0"/>
              <w:right w:val="single" w:color="auto" w:sz="4" w:space="0"/>
            </w:tcBorders>
            <w:tcMar>
              <w:top w:w="0" w:type="dxa"/>
              <w:left w:w="6" w:type="dxa"/>
              <w:bottom w:w="0" w:type="dxa"/>
              <w:right w:w="6" w:type="dxa"/>
            </w:tcMar>
            <w:vAlign w:val="center"/>
          </w:tcPr>
          <w:p w14:paraId="35B2E1E1">
            <w:pPr>
              <w:adjustRightInd w:val="0"/>
              <w:snapToGrid w:val="0"/>
              <w:jc w:val="center"/>
              <w:rPr>
                <w:rFonts w:ascii="宋体" w:hAnsi="宋体"/>
                <w:color w:val="auto"/>
              </w:rPr>
            </w:pPr>
            <w:r>
              <w:rPr>
                <w:rFonts w:hint="eastAsia" w:ascii="宋体" w:hAnsi="宋体"/>
                <w:color w:val="auto"/>
              </w:rPr>
              <w:t>生态环境</w:t>
            </w:r>
          </w:p>
        </w:tc>
        <w:tc>
          <w:tcPr>
            <w:tcW w:w="2315" w:type="pct"/>
            <w:gridSpan w:val="2"/>
            <w:tcBorders>
              <w:top w:val="single" w:color="auto" w:sz="4" w:space="0"/>
              <w:left w:val="single" w:color="auto" w:sz="4" w:space="0"/>
              <w:bottom w:val="single" w:color="auto" w:sz="4" w:space="0"/>
              <w:right w:val="single" w:color="auto" w:sz="4" w:space="0"/>
            </w:tcBorders>
            <w:vAlign w:val="center"/>
          </w:tcPr>
          <w:p w14:paraId="0AFA1A43">
            <w:pPr>
              <w:adjustRightInd w:val="0"/>
              <w:snapToGrid w:val="0"/>
              <w:jc w:val="center"/>
              <w:rPr>
                <w:rFonts w:ascii="宋体" w:hAnsi="宋体"/>
                <w:color w:val="auto"/>
              </w:rPr>
            </w:pPr>
            <w:r>
              <w:rPr>
                <w:rFonts w:hint="eastAsia" w:ascii="宋体" w:hAnsi="宋体"/>
                <w:color w:val="auto"/>
              </w:rPr>
              <w:t>1）合理制定施工计划，严格施工现场管理，减少对生态环境的扰动；</w:t>
            </w:r>
          </w:p>
          <w:p w14:paraId="2B7F1476">
            <w:pPr>
              <w:adjustRightInd w:val="0"/>
              <w:snapToGrid w:val="0"/>
              <w:jc w:val="center"/>
              <w:rPr>
                <w:rFonts w:ascii="宋体" w:hAnsi="宋体"/>
                <w:color w:val="auto"/>
              </w:rPr>
            </w:pPr>
            <w:r>
              <w:rPr>
                <w:rFonts w:hint="eastAsia" w:ascii="宋体" w:hAnsi="宋体"/>
                <w:color w:val="auto"/>
              </w:rPr>
              <w:t>2）制定合理、可行的生态恢复计划，并按计划落实</w:t>
            </w:r>
          </w:p>
        </w:tc>
        <w:tc>
          <w:tcPr>
            <w:tcW w:w="846" w:type="pct"/>
            <w:tcBorders>
              <w:top w:val="single" w:color="auto" w:sz="4" w:space="0"/>
              <w:left w:val="single" w:color="auto" w:sz="4" w:space="0"/>
              <w:bottom w:val="single" w:color="auto" w:sz="4" w:space="0"/>
              <w:right w:val="single" w:color="auto" w:sz="4" w:space="0"/>
            </w:tcBorders>
            <w:vAlign w:val="center"/>
          </w:tcPr>
          <w:p w14:paraId="7C36DDC0">
            <w:pPr>
              <w:adjustRightInd w:val="0"/>
              <w:snapToGrid w:val="0"/>
              <w:jc w:val="center"/>
              <w:rPr>
                <w:rFonts w:ascii="宋体" w:hAnsi="宋体"/>
                <w:color w:val="auto"/>
              </w:rPr>
            </w:pPr>
            <w:r>
              <w:rPr>
                <w:rFonts w:hint="eastAsia" w:ascii="宋体" w:hAnsi="宋体"/>
                <w:color w:val="auto"/>
              </w:rPr>
              <w:t>临时占地完成生态恢复</w:t>
            </w:r>
          </w:p>
        </w:tc>
        <w:tc>
          <w:tcPr>
            <w:tcW w:w="796" w:type="pct"/>
            <w:tcBorders>
              <w:top w:val="single" w:color="auto" w:sz="4" w:space="0"/>
              <w:left w:val="single" w:color="auto" w:sz="4" w:space="0"/>
              <w:bottom w:val="single" w:color="auto" w:sz="4" w:space="0"/>
              <w:right w:val="single" w:color="auto" w:sz="4" w:space="0"/>
            </w:tcBorders>
            <w:vAlign w:val="center"/>
          </w:tcPr>
          <w:p w14:paraId="245A1C1F">
            <w:pPr>
              <w:adjustRightInd w:val="0"/>
              <w:snapToGrid w:val="0"/>
              <w:jc w:val="center"/>
              <w:rPr>
                <w:rFonts w:ascii="宋体" w:hAnsi="宋体"/>
                <w:color w:val="auto"/>
              </w:rPr>
            </w:pPr>
            <w:r>
              <w:rPr>
                <w:rFonts w:hint="eastAsia" w:ascii="宋体" w:hAnsi="宋体"/>
                <w:color w:val="auto"/>
              </w:rPr>
              <w:t>绿化及复垦</w:t>
            </w:r>
          </w:p>
        </w:tc>
        <w:tc>
          <w:tcPr>
            <w:tcW w:w="385" w:type="pct"/>
            <w:tcBorders>
              <w:top w:val="single" w:color="auto" w:sz="4" w:space="0"/>
              <w:left w:val="single" w:color="auto" w:sz="4" w:space="0"/>
              <w:bottom w:val="single" w:color="auto" w:sz="4" w:space="0"/>
              <w:right w:val="single" w:color="auto" w:sz="4" w:space="0"/>
            </w:tcBorders>
            <w:vAlign w:val="center"/>
          </w:tcPr>
          <w:p w14:paraId="4ABBBC36">
            <w:pPr>
              <w:adjustRightInd w:val="0"/>
              <w:snapToGrid w:val="0"/>
              <w:jc w:val="center"/>
              <w:rPr>
                <w:rFonts w:ascii="宋体" w:hAnsi="宋体"/>
                <w:color w:val="auto"/>
              </w:rPr>
            </w:pPr>
            <w:r>
              <w:rPr>
                <w:rFonts w:hint="eastAsia" w:ascii="宋体" w:hAnsi="宋体"/>
                <w:color w:val="auto"/>
              </w:rPr>
              <w:t>施工结束</w:t>
            </w:r>
          </w:p>
        </w:tc>
      </w:tr>
      <w:tr w14:paraId="0ABF9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1" w:type="pct"/>
            <w:vMerge w:val="restart"/>
            <w:tcBorders>
              <w:top w:val="nil"/>
              <w:left w:val="single" w:color="auto" w:sz="4" w:space="0"/>
              <w:bottom w:val="single" w:color="auto" w:sz="4" w:space="0"/>
              <w:right w:val="single" w:color="auto" w:sz="4" w:space="0"/>
            </w:tcBorders>
            <w:tcMar>
              <w:top w:w="0" w:type="dxa"/>
              <w:left w:w="6" w:type="dxa"/>
              <w:bottom w:w="0" w:type="dxa"/>
              <w:right w:w="6" w:type="dxa"/>
            </w:tcMar>
            <w:vAlign w:val="center"/>
          </w:tcPr>
          <w:p w14:paraId="4F04469D">
            <w:pPr>
              <w:adjustRightInd w:val="0"/>
              <w:snapToGrid w:val="0"/>
              <w:jc w:val="center"/>
              <w:rPr>
                <w:rFonts w:ascii="宋体" w:hAnsi="宋体"/>
                <w:color w:val="auto"/>
              </w:rPr>
            </w:pPr>
            <w:r>
              <w:rPr>
                <w:rFonts w:hint="eastAsia" w:ascii="宋体" w:hAnsi="宋体"/>
                <w:color w:val="auto"/>
              </w:rPr>
              <w:t>运营期</w:t>
            </w:r>
          </w:p>
        </w:tc>
        <w:tc>
          <w:tcPr>
            <w:tcW w:w="467" w:type="pct"/>
            <w:tcBorders>
              <w:top w:val="single" w:color="auto" w:sz="4" w:space="0"/>
              <w:left w:val="single" w:color="auto" w:sz="4" w:space="0"/>
              <w:bottom w:val="single" w:color="auto" w:sz="4" w:space="0"/>
              <w:right w:val="single" w:color="auto" w:sz="4" w:space="0"/>
            </w:tcBorders>
            <w:tcMar>
              <w:top w:w="0" w:type="dxa"/>
              <w:left w:w="6" w:type="dxa"/>
              <w:bottom w:w="0" w:type="dxa"/>
              <w:right w:w="6" w:type="dxa"/>
            </w:tcMar>
            <w:vAlign w:val="center"/>
          </w:tcPr>
          <w:p w14:paraId="63891F87">
            <w:pPr>
              <w:adjustRightInd w:val="0"/>
              <w:snapToGrid w:val="0"/>
              <w:jc w:val="center"/>
              <w:rPr>
                <w:rFonts w:ascii="宋体" w:hAnsi="宋体"/>
                <w:color w:val="auto"/>
              </w:rPr>
            </w:pPr>
            <w:r>
              <w:rPr>
                <w:rFonts w:hint="eastAsia" w:ascii="宋体" w:hAnsi="宋体"/>
                <w:color w:val="auto"/>
              </w:rPr>
              <w:t>固体废物</w:t>
            </w:r>
          </w:p>
        </w:tc>
        <w:tc>
          <w:tcPr>
            <w:tcW w:w="1394" w:type="pct"/>
            <w:tcBorders>
              <w:top w:val="single" w:color="auto" w:sz="4" w:space="0"/>
              <w:left w:val="single" w:color="auto" w:sz="4" w:space="0"/>
              <w:bottom w:val="single" w:color="auto" w:sz="4" w:space="0"/>
              <w:right w:val="single" w:color="auto" w:sz="4" w:space="0"/>
            </w:tcBorders>
            <w:vAlign w:val="center"/>
          </w:tcPr>
          <w:p w14:paraId="516AF6EA">
            <w:pPr>
              <w:adjustRightInd w:val="0"/>
              <w:snapToGrid w:val="0"/>
              <w:jc w:val="center"/>
              <w:rPr>
                <w:rFonts w:ascii="宋体" w:hAnsi="宋体"/>
                <w:color w:val="auto"/>
              </w:rPr>
            </w:pPr>
            <w:r>
              <w:rPr>
                <w:rFonts w:hint="eastAsia" w:ascii="宋体" w:hAnsi="宋体"/>
                <w:color w:val="auto"/>
              </w:rPr>
              <w:t>清罐底泥、落地油、废沾油包装物、废润滑油、废油桶、废变压器油、浮油及污泥等：委托</w:t>
            </w:r>
            <w:r>
              <w:rPr>
                <w:rFonts w:hint="eastAsia" w:ascii="宋体" w:hAnsi="宋体"/>
                <w:color w:val="auto"/>
                <w:kern w:val="0"/>
              </w:rPr>
              <w:t>具备危废处理资质的单位</w:t>
            </w:r>
            <w:r>
              <w:rPr>
                <w:rFonts w:hint="eastAsia" w:ascii="宋体" w:hAnsi="宋体"/>
                <w:color w:val="auto"/>
              </w:rPr>
              <w:t>进行无害化处置</w:t>
            </w:r>
          </w:p>
        </w:tc>
        <w:tc>
          <w:tcPr>
            <w:tcW w:w="921" w:type="pct"/>
            <w:tcBorders>
              <w:top w:val="single" w:color="auto" w:sz="4" w:space="0"/>
              <w:left w:val="single" w:color="auto" w:sz="4" w:space="0"/>
              <w:bottom w:val="single" w:color="auto" w:sz="4" w:space="0"/>
              <w:right w:val="single" w:color="auto" w:sz="4" w:space="0"/>
            </w:tcBorders>
            <w:vAlign w:val="center"/>
          </w:tcPr>
          <w:p w14:paraId="1CA72447">
            <w:pPr>
              <w:adjustRightInd w:val="0"/>
              <w:snapToGrid w:val="0"/>
              <w:jc w:val="center"/>
              <w:rPr>
                <w:rFonts w:ascii="宋体" w:hAnsi="宋体"/>
                <w:color w:val="auto"/>
              </w:rPr>
            </w:pPr>
            <w:r>
              <w:rPr>
                <w:rFonts w:hint="eastAsia" w:ascii="宋体" w:hAnsi="宋体"/>
                <w:color w:val="auto"/>
              </w:rPr>
              <w:t>外委处理，不外排</w:t>
            </w:r>
          </w:p>
        </w:tc>
        <w:tc>
          <w:tcPr>
            <w:tcW w:w="846" w:type="pct"/>
            <w:tcBorders>
              <w:top w:val="single" w:color="auto" w:sz="4" w:space="0"/>
              <w:left w:val="single" w:color="auto" w:sz="4" w:space="0"/>
              <w:bottom w:val="single" w:color="auto" w:sz="4" w:space="0"/>
              <w:right w:val="single" w:color="auto" w:sz="4" w:space="0"/>
            </w:tcBorders>
            <w:vAlign w:val="center"/>
          </w:tcPr>
          <w:p w14:paraId="6A53E375">
            <w:pPr>
              <w:adjustRightInd w:val="0"/>
              <w:snapToGrid w:val="0"/>
              <w:jc w:val="center"/>
              <w:rPr>
                <w:rFonts w:ascii="宋体" w:hAnsi="宋体"/>
                <w:color w:val="auto"/>
              </w:rPr>
            </w:pPr>
            <w:r>
              <w:rPr>
                <w:rFonts w:hint="eastAsia" w:ascii="宋体" w:hAnsi="宋体"/>
                <w:color w:val="auto"/>
              </w:rPr>
              <w:t>委托</w:t>
            </w:r>
            <w:r>
              <w:rPr>
                <w:rFonts w:hint="eastAsia" w:ascii="宋体" w:hAnsi="宋体"/>
                <w:color w:val="auto"/>
                <w:kern w:val="0"/>
              </w:rPr>
              <w:t>有危废处理资质的单位</w:t>
            </w:r>
            <w:r>
              <w:rPr>
                <w:rFonts w:hint="eastAsia" w:ascii="宋体" w:hAnsi="宋体"/>
                <w:color w:val="auto"/>
              </w:rPr>
              <w:t>进行无害化处置</w:t>
            </w:r>
          </w:p>
        </w:tc>
        <w:tc>
          <w:tcPr>
            <w:tcW w:w="796" w:type="pct"/>
            <w:tcBorders>
              <w:top w:val="single" w:color="auto" w:sz="4" w:space="0"/>
              <w:left w:val="single" w:color="auto" w:sz="4" w:space="0"/>
              <w:bottom w:val="single" w:color="auto" w:sz="4" w:space="0"/>
              <w:right w:val="single" w:color="auto" w:sz="4" w:space="0"/>
            </w:tcBorders>
            <w:vAlign w:val="center"/>
          </w:tcPr>
          <w:p w14:paraId="052601E8">
            <w:pPr>
              <w:adjustRightInd w:val="0"/>
              <w:snapToGrid w:val="0"/>
              <w:jc w:val="center"/>
              <w:rPr>
                <w:rFonts w:ascii="宋体" w:hAnsi="宋体"/>
                <w:color w:val="auto"/>
              </w:rPr>
            </w:pPr>
            <w:r>
              <w:rPr>
                <w:rFonts w:hint="eastAsia" w:ascii="宋体" w:hAnsi="宋体"/>
                <w:color w:val="auto"/>
              </w:rPr>
              <w:t>危险废物贮存执行《危险废物收集 贮存 运输技术规范》（HJ 2025-2012）、《危险废物贮存污染控制标准》（GB 18597-2023）</w:t>
            </w:r>
          </w:p>
        </w:tc>
        <w:tc>
          <w:tcPr>
            <w:tcW w:w="385" w:type="pct"/>
            <w:tcBorders>
              <w:top w:val="single" w:color="auto" w:sz="4" w:space="0"/>
              <w:left w:val="single" w:color="auto" w:sz="4" w:space="0"/>
              <w:bottom w:val="single" w:color="auto" w:sz="4" w:space="0"/>
              <w:right w:val="single" w:color="auto" w:sz="4" w:space="0"/>
            </w:tcBorders>
            <w:vAlign w:val="center"/>
          </w:tcPr>
          <w:p w14:paraId="0974BDA1">
            <w:pPr>
              <w:adjustRightInd w:val="0"/>
              <w:snapToGrid w:val="0"/>
              <w:jc w:val="center"/>
              <w:rPr>
                <w:rFonts w:ascii="宋体" w:hAnsi="宋体"/>
                <w:color w:val="auto"/>
              </w:rPr>
            </w:pPr>
            <w:r>
              <w:rPr>
                <w:rFonts w:hint="eastAsia" w:ascii="宋体" w:hAnsi="宋体"/>
                <w:color w:val="auto"/>
              </w:rPr>
              <w:t>运营期</w:t>
            </w:r>
          </w:p>
        </w:tc>
      </w:tr>
      <w:tr w14:paraId="27C00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7C0E1FA0">
            <w:pPr>
              <w:widowControl/>
              <w:jc w:val="left"/>
              <w:rPr>
                <w:rFonts w:ascii="宋体" w:hAnsi="宋体"/>
                <w:color w:val="auto"/>
              </w:rPr>
            </w:pPr>
          </w:p>
        </w:tc>
        <w:tc>
          <w:tcPr>
            <w:tcW w:w="467" w:type="pct"/>
            <w:vMerge w:val="restart"/>
            <w:tcBorders>
              <w:top w:val="nil"/>
              <w:left w:val="single" w:color="auto" w:sz="4" w:space="0"/>
              <w:bottom w:val="single" w:color="auto" w:sz="4" w:space="0"/>
              <w:right w:val="single" w:color="auto" w:sz="4" w:space="0"/>
            </w:tcBorders>
            <w:tcMar>
              <w:top w:w="0" w:type="dxa"/>
              <w:left w:w="6" w:type="dxa"/>
              <w:bottom w:w="0" w:type="dxa"/>
              <w:right w:w="6" w:type="dxa"/>
            </w:tcMar>
            <w:vAlign w:val="center"/>
          </w:tcPr>
          <w:p w14:paraId="5C303E15">
            <w:pPr>
              <w:adjustRightInd w:val="0"/>
              <w:snapToGrid w:val="0"/>
              <w:jc w:val="center"/>
              <w:rPr>
                <w:rFonts w:ascii="宋体" w:hAnsi="宋体"/>
                <w:color w:val="auto"/>
              </w:rPr>
            </w:pPr>
            <w:r>
              <w:rPr>
                <w:rFonts w:hint="eastAsia" w:ascii="宋体" w:hAnsi="宋体"/>
                <w:color w:val="auto"/>
              </w:rPr>
              <w:t>废水</w:t>
            </w:r>
          </w:p>
        </w:tc>
        <w:tc>
          <w:tcPr>
            <w:tcW w:w="1394" w:type="pct"/>
            <w:tcBorders>
              <w:top w:val="single" w:color="auto" w:sz="4" w:space="0"/>
              <w:left w:val="single" w:color="auto" w:sz="4" w:space="0"/>
              <w:bottom w:val="single" w:color="auto" w:sz="4" w:space="0"/>
              <w:right w:val="single" w:color="auto" w:sz="4" w:space="0"/>
            </w:tcBorders>
            <w:vAlign w:val="center"/>
          </w:tcPr>
          <w:p w14:paraId="00A0CA8F">
            <w:pPr>
              <w:adjustRightInd w:val="0"/>
              <w:snapToGrid w:val="0"/>
              <w:jc w:val="center"/>
              <w:rPr>
                <w:rFonts w:ascii="宋体" w:hAnsi="宋体"/>
                <w:color w:val="auto"/>
              </w:rPr>
            </w:pPr>
            <w:r>
              <w:rPr>
                <w:rFonts w:hint="eastAsia" w:ascii="宋体" w:hAnsi="宋体"/>
                <w:color w:val="auto"/>
              </w:rPr>
              <w:t>采出水：依托高青联合站、滨博接转站、樊163分水点处理达标后，回注用于油田注水开发，不外排</w:t>
            </w:r>
          </w:p>
        </w:tc>
        <w:tc>
          <w:tcPr>
            <w:tcW w:w="921" w:type="pct"/>
            <w:tcBorders>
              <w:top w:val="single" w:color="auto" w:sz="4" w:space="0"/>
              <w:left w:val="single" w:color="auto" w:sz="4" w:space="0"/>
              <w:bottom w:val="single" w:color="auto" w:sz="4" w:space="0"/>
              <w:right w:val="single" w:color="auto" w:sz="4" w:space="0"/>
            </w:tcBorders>
            <w:vAlign w:val="center"/>
          </w:tcPr>
          <w:p w14:paraId="14AB7AC3">
            <w:pPr>
              <w:adjustRightInd w:val="0"/>
              <w:snapToGrid w:val="0"/>
              <w:jc w:val="center"/>
              <w:rPr>
                <w:rFonts w:ascii="宋体" w:hAnsi="宋体"/>
                <w:color w:val="auto"/>
              </w:rPr>
            </w:pPr>
            <w:r>
              <w:rPr>
                <w:rFonts w:hint="eastAsia" w:ascii="宋体" w:hAnsi="宋体"/>
                <w:color w:val="auto"/>
              </w:rPr>
              <w:t>用于油田回注开发，不外排</w:t>
            </w:r>
          </w:p>
        </w:tc>
        <w:tc>
          <w:tcPr>
            <w:tcW w:w="846" w:type="pct"/>
            <w:vMerge w:val="restart"/>
            <w:tcBorders>
              <w:top w:val="nil"/>
              <w:left w:val="single" w:color="auto" w:sz="4" w:space="0"/>
              <w:bottom w:val="single" w:color="auto" w:sz="4" w:space="0"/>
              <w:right w:val="single" w:color="auto" w:sz="4" w:space="0"/>
            </w:tcBorders>
            <w:vAlign w:val="center"/>
          </w:tcPr>
          <w:p w14:paraId="32E77AD4">
            <w:pPr>
              <w:adjustRightInd w:val="0"/>
              <w:snapToGrid w:val="0"/>
              <w:jc w:val="center"/>
              <w:rPr>
                <w:rFonts w:ascii="宋体" w:hAnsi="宋体"/>
                <w:color w:val="auto"/>
              </w:rPr>
            </w:pPr>
            <w:r>
              <w:rPr>
                <w:rFonts w:hint="eastAsia" w:ascii="宋体" w:hAnsi="宋体"/>
                <w:color w:val="auto"/>
              </w:rPr>
              <w:t>废水不外排，高青联合站、滨博接转站、樊163分水点采出水处理系统正常运行</w:t>
            </w:r>
          </w:p>
        </w:tc>
        <w:tc>
          <w:tcPr>
            <w:tcW w:w="796" w:type="pct"/>
            <w:vMerge w:val="restart"/>
            <w:tcBorders>
              <w:top w:val="nil"/>
              <w:left w:val="single" w:color="auto" w:sz="4" w:space="0"/>
              <w:bottom w:val="single" w:color="auto" w:sz="4" w:space="0"/>
              <w:right w:val="single" w:color="auto" w:sz="4" w:space="0"/>
            </w:tcBorders>
            <w:vAlign w:val="center"/>
          </w:tcPr>
          <w:p w14:paraId="7C901068">
            <w:pPr>
              <w:adjustRightInd w:val="0"/>
              <w:snapToGrid w:val="0"/>
              <w:jc w:val="center"/>
              <w:rPr>
                <w:rFonts w:ascii="宋体" w:hAnsi="宋体"/>
                <w:color w:val="auto"/>
              </w:rPr>
            </w:pPr>
            <w:r>
              <w:rPr>
                <w:rFonts w:hint="eastAsia" w:ascii="宋体" w:hAnsi="宋体"/>
                <w:color w:val="auto"/>
              </w:rPr>
              <w:t>执行《碎屑岩油藏注水水质指标技术要求及分析方法》（SY/T 5329-2022）中推荐水质指标</w:t>
            </w:r>
          </w:p>
        </w:tc>
        <w:tc>
          <w:tcPr>
            <w:tcW w:w="385" w:type="pct"/>
            <w:tcBorders>
              <w:top w:val="single" w:color="auto" w:sz="4" w:space="0"/>
              <w:left w:val="single" w:color="auto" w:sz="4" w:space="0"/>
              <w:bottom w:val="single" w:color="auto" w:sz="4" w:space="0"/>
              <w:right w:val="single" w:color="auto" w:sz="4" w:space="0"/>
            </w:tcBorders>
            <w:vAlign w:val="center"/>
          </w:tcPr>
          <w:p w14:paraId="19D63E72">
            <w:pPr>
              <w:adjustRightInd w:val="0"/>
              <w:snapToGrid w:val="0"/>
              <w:jc w:val="center"/>
              <w:rPr>
                <w:rFonts w:ascii="宋体" w:hAnsi="宋体"/>
                <w:color w:val="auto"/>
              </w:rPr>
            </w:pPr>
            <w:r>
              <w:rPr>
                <w:rFonts w:hint="eastAsia" w:ascii="宋体" w:hAnsi="宋体"/>
                <w:color w:val="auto"/>
              </w:rPr>
              <w:t>已运行</w:t>
            </w:r>
          </w:p>
        </w:tc>
      </w:tr>
      <w:tr w14:paraId="7FCFB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7EE44C40">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3309F9F">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7693E931">
            <w:pPr>
              <w:adjustRightInd w:val="0"/>
              <w:snapToGrid w:val="0"/>
              <w:jc w:val="center"/>
              <w:rPr>
                <w:rFonts w:ascii="宋体" w:hAnsi="宋体"/>
                <w:color w:val="auto"/>
              </w:rPr>
            </w:pPr>
            <w:r>
              <w:rPr>
                <w:rFonts w:hint="eastAsia" w:ascii="宋体" w:hAnsi="宋体"/>
                <w:color w:val="auto"/>
              </w:rPr>
              <w:t>井下作业废液：依托高青联合站采出水处理系统处理达标后用于注水开发，不外排</w:t>
            </w:r>
          </w:p>
        </w:tc>
        <w:tc>
          <w:tcPr>
            <w:tcW w:w="921" w:type="pct"/>
            <w:tcBorders>
              <w:top w:val="single" w:color="auto" w:sz="4" w:space="0"/>
              <w:left w:val="single" w:color="auto" w:sz="4" w:space="0"/>
              <w:bottom w:val="single" w:color="auto" w:sz="4" w:space="0"/>
              <w:right w:val="single" w:color="auto" w:sz="4" w:space="0"/>
            </w:tcBorders>
            <w:vAlign w:val="center"/>
          </w:tcPr>
          <w:p w14:paraId="69AA8FD8">
            <w:pPr>
              <w:adjustRightInd w:val="0"/>
              <w:snapToGrid w:val="0"/>
              <w:jc w:val="center"/>
              <w:rPr>
                <w:rFonts w:ascii="宋体" w:hAnsi="宋体"/>
                <w:color w:val="auto"/>
              </w:rPr>
            </w:pPr>
            <w:r>
              <w:rPr>
                <w:rFonts w:hint="eastAsia" w:ascii="宋体" w:hAnsi="宋体"/>
                <w:color w:val="auto"/>
              </w:rPr>
              <w:t>用于油田回注开发，不外排</w:t>
            </w:r>
          </w:p>
        </w:tc>
        <w:tc>
          <w:tcPr>
            <w:tcW w:w="0" w:type="auto"/>
            <w:vMerge w:val="continue"/>
            <w:tcBorders>
              <w:top w:val="nil"/>
              <w:left w:val="single" w:color="auto" w:sz="4" w:space="0"/>
              <w:bottom w:val="single" w:color="auto" w:sz="4" w:space="0"/>
              <w:right w:val="single" w:color="auto" w:sz="4" w:space="0"/>
            </w:tcBorders>
            <w:vAlign w:val="center"/>
          </w:tcPr>
          <w:p w14:paraId="5FF201BF">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B6F84E2">
            <w:pPr>
              <w:widowControl/>
              <w:jc w:val="left"/>
              <w:rPr>
                <w:rFonts w:ascii="宋体" w:hAnsi="宋体"/>
                <w:color w:val="auto"/>
              </w:rPr>
            </w:pPr>
          </w:p>
        </w:tc>
        <w:tc>
          <w:tcPr>
            <w:tcW w:w="385" w:type="pct"/>
            <w:tcBorders>
              <w:top w:val="single" w:color="auto" w:sz="4" w:space="0"/>
              <w:left w:val="single" w:color="auto" w:sz="4" w:space="0"/>
              <w:bottom w:val="single" w:color="auto" w:sz="4" w:space="0"/>
              <w:right w:val="single" w:color="auto" w:sz="4" w:space="0"/>
            </w:tcBorders>
            <w:vAlign w:val="center"/>
          </w:tcPr>
          <w:p w14:paraId="0A1A250F">
            <w:pPr>
              <w:adjustRightInd w:val="0"/>
              <w:snapToGrid w:val="0"/>
              <w:jc w:val="center"/>
              <w:rPr>
                <w:rFonts w:ascii="宋体" w:hAnsi="宋体"/>
                <w:color w:val="auto"/>
              </w:rPr>
            </w:pPr>
            <w:r>
              <w:rPr>
                <w:rFonts w:hint="eastAsia" w:ascii="宋体" w:hAnsi="宋体"/>
                <w:color w:val="auto"/>
              </w:rPr>
              <w:t>已运行</w:t>
            </w:r>
          </w:p>
        </w:tc>
      </w:tr>
      <w:tr w14:paraId="2A7FC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3B3AD37E">
            <w:pPr>
              <w:widowControl/>
              <w:jc w:val="left"/>
              <w:rPr>
                <w:rFonts w:ascii="宋体" w:hAnsi="宋体"/>
                <w:color w:val="auto"/>
              </w:rPr>
            </w:pPr>
          </w:p>
        </w:tc>
        <w:tc>
          <w:tcPr>
            <w:tcW w:w="467" w:type="pct"/>
            <w:vMerge w:val="restart"/>
            <w:tcBorders>
              <w:top w:val="nil"/>
              <w:left w:val="single" w:color="auto" w:sz="4" w:space="0"/>
              <w:bottom w:val="single" w:color="auto" w:sz="4" w:space="0"/>
              <w:right w:val="single" w:color="auto" w:sz="4" w:space="0"/>
            </w:tcBorders>
            <w:tcMar>
              <w:top w:w="0" w:type="dxa"/>
              <w:left w:w="6" w:type="dxa"/>
              <w:bottom w:w="0" w:type="dxa"/>
              <w:right w:w="6" w:type="dxa"/>
            </w:tcMar>
            <w:vAlign w:val="center"/>
          </w:tcPr>
          <w:p w14:paraId="31F4D784">
            <w:pPr>
              <w:adjustRightInd w:val="0"/>
              <w:snapToGrid w:val="0"/>
              <w:jc w:val="center"/>
              <w:rPr>
                <w:rFonts w:ascii="宋体" w:hAnsi="宋体"/>
                <w:color w:val="auto"/>
              </w:rPr>
            </w:pPr>
            <w:r>
              <w:rPr>
                <w:rFonts w:hint="eastAsia" w:ascii="宋体" w:hAnsi="宋体"/>
                <w:color w:val="auto"/>
              </w:rPr>
              <w:t>废气</w:t>
            </w:r>
          </w:p>
        </w:tc>
        <w:tc>
          <w:tcPr>
            <w:tcW w:w="1394" w:type="pct"/>
            <w:tcBorders>
              <w:top w:val="single" w:color="auto" w:sz="4" w:space="0"/>
              <w:left w:val="single" w:color="auto" w:sz="4" w:space="0"/>
              <w:bottom w:val="single" w:color="auto" w:sz="4" w:space="0"/>
              <w:right w:val="single" w:color="auto" w:sz="4" w:space="0"/>
            </w:tcBorders>
            <w:vAlign w:val="center"/>
          </w:tcPr>
          <w:p w14:paraId="5DB5CB8F">
            <w:pPr>
              <w:adjustRightInd w:val="0"/>
              <w:snapToGrid w:val="0"/>
              <w:jc w:val="center"/>
              <w:rPr>
                <w:rFonts w:ascii="宋体" w:hAnsi="宋体"/>
                <w:color w:val="auto"/>
              </w:rPr>
            </w:pPr>
            <w:r>
              <w:rPr>
                <w:rFonts w:hint="eastAsia" w:ascii="宋体" w:hAnsi="宋体"/>
                <w:color w:val="auto"/>
              </w:rPr>
              <w:t>井场无组织挥发废气：油井安装油套连通套管气回收装置；单井拉油井场采出液采取顶部浸没式装车方式</w:t>
            </w:r>
          </w:p>
        </w:tc>
        <w:tc>
          <w:tcPr>
            <w:tcW w:w="921" w:type="pct"/>
            <w:tcBorders>
              <w:top w:val="single" w:color="auto" w:sz="4" w:space="0"/>
              <w:left w:val="single" w:color="auto" w:sz="4" w:space="0"/>
              <w:bottom w:val="single" w:color="auto" w:sz="4" w:space="0"/>
              <w:right w:val="single" w:color="auto" w:sz="4" w:space="0"/>
            </w:tcBorders>
            <w:vAlign w:val="center"/>
          </w:tcPr>
          <w:p w14:paraId="39A7EC8B">
            <w:pPr>
              <w:adjustRightInd w:val="0"/>
              <w:snapToGrid w:val="0"/>
              <w:jc w:val="center"/>
              <w:rPr>
                <w:rFonts w:ascii="宋体" w:hAnsi="宋体"/>
                <w:color w:val="auto"/>
              </w:rPr>
            </w:pPr>
            <w:r>
              <w:rPr>
                <w:rFonts w:hint="eastAsia" w:ascii="宋体" w:hAnsi="宋体"/>
                <w:color w:val="auto"/>
              </w:rPr>
              <w:t>——</w:t>
            </w:r>
          </w:p>
        </w:tc>
        <w:tc>
          <w:tcPr>
            <w:tcW w:w="846" w:type="pct"/>
            <w:tcBorders>
              <w:top w:val="single" w:color="auto" w:sz="4" w:space="0"/>
              <w:left w:val="single" w:color="auto" w:sz="4" w:space="0"/>
              <w:bottom w:val="single" w:color="auto" w:sz="4" w:space="0"/>
              <w:right w:val="single" w:color="auto" w:sz="4" w:space="0"/>
            </w:tcBorders>
            <w:vAlign w:val="center"/>
          </w:tcPr>
          <w:p w14:paraId="117C51C6">
            <w:pPr>
              <w:adjustRightInd w:val="0"/>
              <w:snapToGrid w:val="0"/>
              <w:jc w:val="center"/>
              <w:rPr>
                <w:rFonts w:ascii="宋体" w:hAnsi="宋体"/>
                <w:color w:val="auto"/>
              </w:rPr>
            </w:pPr>
            <w:r>
              <w:rPr>
                <w:rFonts w:hint="eastAsia" w:ascii="宋体" w:hAnsi="宋体"/>
                <w:color w:val="auto"/>
              </w:rPr>
              <w:t>油井井口安装油套连通装置，顶部浸没式装车方式等</w:t>
            </w:r>
          </w:p>
        </w:tc>
        <w:tc>
          <w:tcPr>
            <w:tcW w:w="796" w:type="pct"/>
            <w:tcBorders>
              <w:top w:val="single" w:color="auto" w:sz="4" w:space="0"/>
              <w:left w:val="single" w:color="auto" w:sz="4" w:space="0"/>
              <w:bottom w:val="single" w:color="auto" w:sz="4" w:space="0"/>
              <w:right w:val="single" w:color="auto" w:sz="4" w:space="0"/>
            </w:tcBorders>
            <w:vAlign w:val="center"/>
          </w:tcPr>
          <w:p w14:paraId="7E4BAC66">
            <w:pPr>
              <w:adjustRightInd w:val="0"/>
              <w:snapToGrid w:val="0"/>
              <w:jc w:val="center"/>
              <w:rPr>
                <w:rFonts w:ascii="宋体" w:hAnsi="宋体"/>
                <w:color w:val="auto"/>
              </w:rPr>
            </w:pPr>
            <w:r>
              <w:rPr>
                <w:rFonts w:hint="eastAsia" w:ascii="宋体" w:hAnsi="宋体"/>
                <w:color w:val="auto"/>
              </w:rPr>
              <w:t>VOCs执行《挥发性有机物排放标准 第7部分：其他行业》（DB37/ 2801.7-2019）中表2厂界监控点浓度限值（VOCs：2.0mg/m</w:t>
            </w:r>
            <w:r>
              <w:rPr>
                <w:rFonts w:hint="eastAsia" w:ascii="宋体" w:hAnsi="宋体"/>
                <w:color w:val="auto"/>
                <w:vertAlign w:val="superscript"/>
              </w:rPr>
              <w:t>3</w:t>
            </w:r>
            <w:r>
              <w:rPr>
                <w:rFonts w:hint="eastAsia" w:ascii="宋体" w:hAnsi="宋体"/>
                <w:color w:val="auto"/>
              </w:rPr>
              <w:t>），硫化氢执行《恶臭污染物排放标准》（GB 14554-1993）厂界标准值</w:t>
            </w:r>
          </w:p>
        </w:tc>
        <w:tc>
          <w:tcPr>
            <w:tcW w:w="385" w:type="pct"/>
            <w:tcBorders>
              <w:top w:val="single" w:color="auto" w:sz="4" w:space="0"/>
              <w:left w:val="single" w:color="auto" w:sz="4" w:space="0"/>
              <w:bottom w:val="single" w:color="auto" w:sz="4" w:space="0"/>
              <w:right w:val="single" w:color="auto" w:sz="4" w:space="0"/>
            </w:tcBorders>
            <w:vAlign w:val="center"/>
          </w:tcPr>
          <w:p w14:paraId="65CB5410">
            <w:pPr>
              <w:adjustRightInd w:val="0"/>
              <w:snapToGrid w:val="0"/>
              <w:jc w:val="center"/>
              <w:rPr>
                <w:rFonts w:ascii="宋体" w:hAnsi="宋体"/>
                <w:color w:val="auto"/>
              </w:rPr>
            </w:pPr>
            <w:r>
              <w:rPr>
                <w:rFonts w:hint="eastAsia" w:ascii="宋体" w:hAnsi="宋体"/>
                <w:color w:val="auto"/>
              </w:rPr>
              <w:t>运营期</w:t>
            </w:r>
          </w:p>
        </w:tc>
      </w:tr>
      <w:tr w14:paraId="2BA52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5F3A6A24">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160617BE">
            <w:pPr>
              <w:widowControl/>
              <w:jc w:val="left"/>
              <w:rPr>
                <w:rFonts w:ascii="宋体" w:hAnsi="宋体"/>
                <w:color w:val="auto"/>
              </w:rPr>
            </w:pPr>
          </w:p>
        </w:tc>
        <w:tc>
          <w:tcPr>
            <w:tcW w:w="1394" w:type="pct"/>
            <w:tcBorders>
              <w:top w:val="single" w:color="auto" w:sz="4" w:space="0"/>
              <w:left w:val="single" w:color="auto" w:sz="4" w:space="0"/>
              <w:bottom w:val="single" w:color="auto" w:sz="4" w:space="0"/>
              <w:right w:val="single" w:color="auto" w:sz="4" w:space="0"/>
            </w:tcBorders>
            <w:vAlign w:val="center"/>
          </w:tcPr>
          <w:p w14:paraId="42247141">
            <w:pPr>
              <w:adjustRightInd w:val="0"/>
              <w:snapToGrid w:val="0"/>
              <w:jc w:val="center"/>
              <w:rPr>
                <w:rFonts w:ascii="宋体" w:hAnsi="宋体"/>
                <w:color w:val="auto"/>
              </w:rPr>
            </w:pPr>
            <w:r>
              <w:rPr>
                <w:rFonts w:hint="eastAsia" w:ascii="宋体" w:hAnsi="宋体"/>
                <w:color w:val="auto"/>
              </w:rPr>
              <w:t>有组织废气：燃烧清洁伴生气，加热炉排气筒高度不低于8m，多功能罐排气筒高度不低于15m；安装低氮燃烧器</w:t>
            </w:r>
          </w:p>
        </w:tc>
        <w:tc>
          <w:tcPr>
            <w:tcW w:w="921" w:type="pct"/>
            <w:tcBorders>
              <w:top w:val="single" w:color="auto" w:sz="4" w:space="0"/>
              <w:left w:val="single" w:color="auto" w:sz="4" w:space="0"/>
              <w:bottom w:val="single" w:color="auto" w:sz="4" w:space="0"/>
              <w:right w:val="single" w:color="auto" w:sz="4" w:space="0"/>
            </w:tcBorders>
            <w:vAlign w:val="center"/>
          </w:tcPr>
          <w:p w14:paraId="46F1A820">
            <w:pPr>
              <w:adjustRightInd w:val="0"/>
              <w:snapToGrid w:val="0"/>
              <w:jc w:val="center"/>
              <w:rPr>
                <w:rFonts w:ascii="宋体" w:hAnsi="宋体"/>
                <w:color w:val="auto"/>
              </w:rPr>
            </w:pPr>
            <w:r>
              <w:rPr>
                <w:rFonts w:hint="eastAsia" w:ascii="宋体" w:hAnsi="宋体"/>
                <w:color w:val="auto"/>
              </w:rPr>
              <w:t>达标排放</w:t>
            </w:r>
          </w:p>
        </w:tc>
        <w:tc>
          <w:tcPr>
            <w:tcW w:w="846" w:type="pct"/>
            <w:tcBorders>
              <w:top w:val="single" w:color="auto" w:sz="4" w:space="0"/>
              <w:left w:val="single" w:color="auto" w:sz="4" w:space="0"/>
              <w:bottom w:val="single" w:color="auto" w:sz="4" w:space="0"/>
              <w:right w:val="single" w:color="auto" w:sz="4" w:space="0"/>
            </w:tcBorders>
            <w:vAlign w:val="center"/>
          </w:tcPr>
          <w:p w14:paraId="0084F8D6">
            <w:pPr>
              <w:adjustRightInd w:val="0"/>
              <w:snapToGrid w:val="0"/>
              <w:jc w:val="center"/>
              <w:rPr>
                <w:rFonts w:ascii="宋体" w:hAnsi="宋体"/>
                <w:color w:val="auto"/>
              </w:rPr>
            </w:pPr>
            <w:r>
              <w:rPr>
                <w:rFonts w:hint="eastAsia" w:ascii="宋体" w:hAnsi="宋体"/>
                <w:color w:val="auto"/>
              </w:rPr>
              <w:t>安装低氮燃烧器，加热炉排气筒高度不低于8m，多功能罐排气筒高度不低于15m</w:t>
            </w:r>
          </w:p>
        </w:tc>
        <w:tc>
          <w:tcPr>
            <w:tcW w:w="796" w:type="pct"/>
            <w:tcBorders>
              <w:top w:val="single" w:color="auto" w:sz="4" w:space="0"/>
              <w:left w:val="single" w:color="auto" w:sz="4" w:space="0"/>
              <w:bottom w:val="single" w:color="auto" w:sz="4" w:space="0"/>
              <w:right w:val="single" w:color="auto" w:sz="4" w:space="0"/>
            </w:tcBorders>
            <w:vAlign w:val="center"/>
          </w:tcPr>
          <w:p w14:paraId="323C1E96">
            <w:pPr>
              <w:adjustRightInd w:val="0"/>
              <w:snapToGrid w:val="0"/>
              <w:jc w:val="center"/>
              <w:rPr>
                <w:rFonts w:ascii="宋体" w:hAnsi="宋体"/>
                <w:color w:val="auto"/>
              </w:rPr>
            </w:pPr>
            <w:r>
              <w:rPr>
                <w:rFonts w:hint="eastAsia" w:ascii="宋体" w:hAnsi="宋体"/>
                <w:color w:val="auto"/>
              </w:rPr>
              <w:t>加热炉废气满足《锅炉大气污染物排放标准》（DB37/ 2374-2018）表2中重点控制区限值要求</w:t>
            </w:r>
          </w:p>
          <w:p w14:paraId="78395006">
            <w:pPr>
              <w:adjustRightInd w:val="0"/>
              <w:snapToGrid w:val="0"/>
              <w:jc w:val="center"/>
              <w:rPr>
                <w:rFonts w:ascii="宋体" w:hAnsi="宋体"/>
                <w:color w:val="auto"/>
              </w:rPr>
            </w:pPr>
            <w:r>
              <w:rPr>
                <w:rFonts w:hint="eastAsia" w:ascii="宋体" w:hAnsi="宋体"/>
                <w:color w:val="auto"/>
              </w:rPr>
              <w:t>多功能罐废气满足《区域性大气污染物综合排放标准》（DB37/ 2376-2019）中表1重点控制区的标准限值</w:t>
            </w:r>
          </w:p>
        </w:tc>
        <w:tc>
          <w:tcPr>
            <w:tcW w:w="385" w:type="pct"/>
            <w:tcBorders>
              <w:top w:val="single" w:color="auto" w:sz="4" w:space="0"/>
              <w:left w:val="single" w:color="auto" w:sz="4" w:space="0"/>
              <w:bottom w:val="single" w:color="auto" w:sz="4" w:space="0"/>
              <w:right w:val="single" w:color="auto" w:sz="4" w:space="0"/>
            </w:tcBorders>
            <w:vAlign w:val="center"/>
          </w:tcPr>
          <w:p w14:paraId="6C072A7B">
            <w:pPr>
              <w:adjustRightInd w:val="0"/>
              <w:snapToGrid w:val="0"/>
              <w:jc w:val="center"/>
              <w:rPr>
                <w:rFonts w:ascii="宋体" w:hAnsi="宋体"/>
                <w:color w:val="auto"/>
              </w:rPr>
            </w:pPr>
            <w:r>
              <w:rPr>
                <w:rFonts w:hint="eastAsia" w:ascii="宋体" w:hAnsi="宋体"/>
                <w:color w:val="auto"/>
              </w:rPr>
              <w:t>运营期</w:t>
            </w:r>
          </w:p>
        </w:tc>
      </w:tr>
      <w:tr w14:paraId="0D76A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43C2085B">
            <w:pPr>
              <w:widowControl/>
              <w:jc w:val="left"/>
              <w:rPr>
                <w:rFonts w:ascii="宋体" w:hAnsi="宋体"/>
                <w:color w:val="auto"/>
              </w:rPr>
            </w:pPr>
          </w:p>
        </w:tc>
        <w:tc>
          <w:tcPr>
            <w:tcW w:w="467" w:type="pct"/>
            <w:tcBorders>
              <w:top w:val="single" w:color="auto" w:sz="4" w:space="0"/>
              <w:left w:val="single" w:color="auto" w:sz="4" w:space="0"/>
              <w:bottom w:val="single" w:color="auto" w:sz="4" w:space="0"/>
              <w:right w:val="single" w:color="auto" w:sz="4" w:space="0"/>
            </w:tcBorders>
            <w:tcMar>
              <w:top w:w="0" w:type="dxa"/>
              <w:left w:w="6" w:type="dxa"/>
              <w:bottom w:w="0" w:type="dxa"/>
              <w:right w:w="6" w:type="dxa"/>
            </w:tcMar>
            <w:vAlign w:val="center"/>
          </w:tcPr>
          <w:p w14:paraId="4D7F7B2B">
            <w:pPr>
              <w:adjustRightInd w:val="0"/>
              <w:snapToGrid w:val="0"/>
              <w:jc w:val="center"/>
              <w:rPr>
                <w:rFonts w:ascii="宋体" w:hAnsi="宋体"/>
                <w:color w:val="auto"/>
              </w:rPr>
            </w:pPr>
            <w:r>
              <w:rPr>
                <w:rFonts w:hint="eastAsia" w:ascii="宋体" w:hAnsi="宋体"/>
                <w:color w:val="auto"/>
              </w:rPr>
              <w:t>噪声</w:t>
            </w:r>
          </w:p>
        </w:tc>
        <w:tc>
          <w:tcPr>
            <w:tcW w:w="1394" w:type="pct"/>
            <w:tcBorders>
              <w:top w:val="single" w:color="auto" w:sz="4" w:space="0"/>
              <w:left w:val="single" w:color="auto" w:sz="4" w:space="0"/>
              <w:bottom w:val="single" w:color="auto" w:sz="4" w:space="0"/>
              <w:right w:val="single" w:color="auto" w:sz="4" w:space="0"/>
            </w:tcBorders>
            <w:vAlign w:val="center"/>
          </w:tcPr>
          <w:p w14:paraId="04A0B128">
            <w:pPr>
              <w:adjustRightInd w:val="0"/>
              <w:snapToGrid w:val="0"/>
              <w:jc w:val="center"/>
              <w:rPr>
                <w:rFonts w:ascii="宋体" w:hAnsi="宋体"/>
                <w:color w:val="auto"/>
              </w:rPr>
            </w:pPr>
            <w:r>
              <w:rPr>
                <w:rFonts w:hint="eastAsia" w:ascii="宋体" w:hAnsi="宋体"/>
                <w:color w:val="auto"/>
              </w:rPr>
              <w:t>1）选择低噪声设备；</w:t>
            </w:r>
          </w:p>
          <w:p w14:paraId="7C284161">
            <w:pPr>
              <w:adjustRightInd w:val="0"/>
              <w:snapToGrid w:val="0"/>
              <w:jc w:val="center"/>
              <w:rPr>
                <w:rFonts w:ascii="宋体" w:hAnsi="宋体"/>
                <w:color w:val="auto"/>
              </w:rPr>
            </w:pPr>
            <w:r>
              <w:rPr>
                <w:rFonts w:hint="eastAsia" w:ascii="宋体" w:hAnsi="宋体"/>
                <w:color w:val="auto"/>
              </w:rPr>
              <w:t>2）加强设备维护，使其处在最佳运行状态；</w:t>
            </w:r>
          </w:p>
        </w:tc>
        <w:tc>
          <w:tcPr>
            <w:tcW w:w="921" w:type="pct"/>
            <w:tcBorders>
              <w:top w:val="single" w:color="auto" w:sz="4" w:space="0"/>
              <w:left w:val="single" w:color="auto" w:sz="4" w:space="0"/>
              <w:bottom w:val="single" w:color="auto" w:sz="4" w:space="0"/>
              <w:right w:val="single" w:color="auto" w:sz="4" w:space="0"/>
            </w:tcBorders>
            <w:vAlign w:val="center"/>
          </w:tcPr>
          <w:p w14:paraId="2A0FE139">
            <w:pPr>
              <w:adjustRightInd w:val="0"/>
              <w:snapToGrid w:val="0"/>
              <w:jc w:val="center"/>
              <w:rPr>
                <w:rFonts w:ascii="宋体" w:hAnsi="宋体"/>
                <w:color w:val="auto"/>
              </w:rPr>
            </w:pPr>
            <w:r>
              <w:rPr>
                <w:rFonts w:hint="eastAsia" w:ascii="宋体" w:hAnsi="宋体"/>
                <w:color w:val="auto"/>
              </w:rPr>
              <w:t>井场厂界达标</w:t>
            </w:r>
          </w:p>
        </w:tc>
        <w:tc>
          <w:tcPr>
            <w:tcW w:w="846" w:type="pct"/>
            <w:tcBorders>
              <w:top w:val="single" w:color="auto" w:sz="4" w:space="0"/>
              <w:left w:val="single" w:color="auto" w:sz="4" w:space="0"/>
              <w:bottom w:val="single" w:color="auto" w:sz="4" w:space="0"/>
              <w:right w:val="single" w:color="auto" w:sz="4" w:space="0"/>
            </w:tcBorders>
            <w:vAlign w:val="center"/>
          </w:tcPr>
          <w:p w14:paraId="42F01A5C">
            <w:pPr>
              <w:adjustRightInd w:val="0"/>
              <w:snapToGrid w:val="0"/>
              <w:jc w:val="center"/>
              <w:rPr>
                <w:rFonts w:ascii="宋体" w:hAnsi="宋体"/>
                <w:color w:val="auto"/>
              </w:rPr>
            </w:pPr>
            <w:r>
              <w:rPr>
                <w:rFonts w:hint="eastAsia" w:ascii="宋体" w:hAnsi="宋体"/>
                <w:color w:val="auto"/>
              </w:rPr>
              <w:t>厂界噪声值</w:t>
            </w:r>
          </w:p>
        </w:tc>
        <w:tc>
          <w:tcPr>
            <w:tcW w:w="796" w:type="pct"/>
            <w:tcBorders>
              <w:top w:val="single" w:color="auto" w:sz="4" w:space="0"/>
              <w:left w:val="single" w:color="auto" w:sz="4" w:space="0"/>
              <w:bottom w:val="single" w:color="auto" w:sz="4" w:space="0"/>
              <w:right w:val="single" w:color="auto" w:sz="4" w:space="0"/>
            </w:tcBorders>
            <w:vAlign w:val="center"/>
          </w:tcPr>
          <w:p w14:paraId="2CCFF844">
            <w:pPr>
              <w:adjustRightInd w:val="0"/>
              <w:snapToGrid w:val="0"/>
              <w:jc w:val="center"/>
              <w:rPr>
                <w:rFonts w:ascii="宋体" w:hAnsi="宋体"/>
                <w:color w:val="auto"/>
              </w:rPr>
            </w:pPr>
            <w:r>
              <w:rPr>
                <w:rFonts w:hint="eastAsia" w:ascii="宋体" w:hAnsi="宋体"/>
                <w:color w:val="auto"/>
              </w:rPr>
              <w:t>执行《工业企业厂界环境噪声排放标准》（GB 12348-2008）中的2类标准</w:t>
            </w:r>
          </w:p>
        </w:tc>
        <w:tc>
          <w:tcPr>
            <w:tcW w:w="385" w:type="pct"/>
            <w:tcBorders>
              <w:top w:val="single" w:color="auto" w:sz="4" w:space="0"/>
              <w:left w:val="single" w:color="auto" w:sz="4" w:space="0"/>
              <w:bottom w:val="single" w:color="auto" w:sz="4" w:space="0"/>
              <w:right w:val="single" w:color="auto" w:sz="4" w:space="0"/>
            </w:tcBorders>
            <w:vAlign w:val="center"/>
          </w:tcPr>
          <w:p w14:paraId="547EF3CF">
            <w:pPr>
              <w:adjustRightInd w:val="0"/>
              <w:snapToGrid w:val="0"/>
              <w:jc w:val="center"/>
              <w:rPr>
                <w:rFonts w:ascii="宋体" w:hAnsi="宋体"/>
                <w:color w:val="auto"/>
              </w:rPr>
            </w:pPr>
            <w:r>
              <w:rPr>
                <w:rFonts w:hint="eastAsia" w:ascii="宋体" w:hAnsi="宋体"/>
                <w:color w:val="auto"/>
              </w:rPr>
              <w:t>运营期</w:t>
            </w:r>
          </w:p>
        </w:tc>
      </w:tr>
      <w:tr w14:paraId="49222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8" w:type="pct"/>
            <w:gridSpan w:val="2"/>
            <w:tcBorders>
              <w:top w:val="single" w:color="auto" w:sz="4" w:space="0"/>
              <w:left w:val="single" w:color="auto" w:sz="4" w:space="0"/>
              <w:bottom w:val="single" w:color="auto" w:sz="4" w:space="0"/>
              <w:right w:val="single" w:color="auto" w:sz="4" w:space="0"/>
            </w:tcBorders>
            <w:tcMar>
              <w:top w:w="0" w:type="dxa"/>
              <w:left w:w="6" w:type="dxa"/>
              <w:bottom w:w="0" w:type="dxa"/>
              <w:right w:w="6" w:type="dxa"/>
            </w:tcMar>
            <w:vAlign w:val="center"/>
          </w:tcPr>
          <w:p w14:paraId="5680229C">
            <w:pPr>
              <w:adjustRightInd w:val="0"/>
              <w:snapToGrid w:val="0"/>
              <w:jc w:val="center"/>
              <w:rPr>
                <w:rFonts w:ascii="宋体" w:hAnsi="宋体"/>
                <w:color w:val="auto"/>
              </w:rPr>
            </w:pPr>
            <w:r>
              <w:rPr>
                <w:rFonts w:hint="eastAsia" w:ascii="宋体" w:hAnsi="宋体"/>
                <w:color w:val="auto"/>
              </w:rPr>
              <w:t>环境风险</w:t>
            </w:r>
          </w:p>
        </w:tc>
        <w:tc>
          <w:tcPr>
            <w:tcW w:w="2315" w:type="pct"/>
            <w:gridSpan w:val="2"/>
            <w:tcBorders>
              <w:top w:val="single" w:color="auto" w:sz="4" w:space="0"/>
              <w:left w:val="single" w:color="auto" w:sz="4" w:space="0"/>
              <w:bottom w:val="single" w:color="auto" w:sz="4" w:space="0"/>
              <w:right w:val="single" w:color="auto" w:sz="4" w:space="0"/>
            </w:tcBorders>
            <w:vAlign w:val="center"/>
          </w:tcPr>
          <w:p w14:paraId="34633414">
            <w:pPr>
              <w:adjustRightInd w:val="0"/>
              <w:snapToGrid w:val="0"/>
              <w:jc w:val="center"/>
              <w:rPr>
                <w:rFonts w:ascii="宋体" w:hAnsi="宋体"/>
                <w:color w:val="auto"/>
              </w:rPr>
            </w:pPr>
            <w:r>
              <w:rPr>
                <w:rFonts w:hint="eastAsia" w:ascii="宋体" w:hAnsi="宋体"/>
                <w:color w:val="auto"/>
              </w:rPr>
              <w:t>风险防范措施及应急预案</w:t>
            </w:r>
          </w:p>
        </w:tc>
        <w:tc>
          <w:tcPr>
            <w:tcW w:w="846" w:type="pct"/>
            <w:tcBorders>
              <w:top w:val="single" w:color="auto" w:sz="4" w:space="0"/>
              <w:left w:val="single" w:color="auto" w:sz="4" w:space="0"/>
              <w:bottom w:val="single" w:color="auto" w:sz="4" w:space="0"/>
              <w:right w:val="single" w:color="auto" w:sz="4" w:space="0"/>
            </w:tcBorders>
            <w:vAlign w:val="center"/>
          </w:tcPr>
          <w:p w14:paraId="5120564E">
            <w:pPr>
              <w:adjustRightInd w:val="0"/>
              <w:snapToGrid w:val="0"/>
              <w:jc w:val="center"/>
              <w:rPr>
                <w:rFonts w:ascii="宋体" w:hAnsi="宋体"/>
                <w:color w:val="auto"/>
              </w:rPr>
            </w:pPr>
            <w:r>
              <w:rPr>
                <w:rFonts w:hint="eastAsia" w:ascii="宋体" w:hAnsi="宋体"/>
                <w:color w:val="auto"/>
              </w:rPr>
              <w:t>应急预案已制定</w:t>
            </w:r>
          </w:p>
        </w:tc>
        <w:tc>
          <w:tcPr>
            <w:tcW w:w="796" w:type="pct"/>
            <w:tcBorders>
              <w:top w:val="single" w:color="auto" w:sz="4" w:space="0"/>
              <w:left w:val="single" w:color="auto" w:sz="4" w:space="0"/>
              <w:bottom w:val="single" w:color="auto" w:sz="4" w:space="0"/>
              <w:right w:val="single" w:color="auto" w:sz="4" w:space="0"/>
            </w:tcBorders>
            <w:vAlign w:val="center"/>
          </w:tcPr>
          <w:p w14:paraId="4171815D">
            <w:pPr>
              <w:adjustRightInd w:val="0"/>
              <w:snapToGrid w:val="0"/>
              <w:jc w:val="center"/>
              <w:rPr>
                <w:rFonts w:ascii="宋体" w:hAnsi="宋体"/>
                <w:color w:val="auto"/>
              </w:rPr>
            </w:pPr>
            <w:r>
              <w:rPr>
                <w:rFonts w:hint="eastAsia" w:ascii="宋体" w:hAnsi="宋体"/>
                <w:color w:val="auto"/>
              </w:rPr>
              <w:t>应急预案文件</w:t>
            </w:r>
          </w:p>
        </w:tc>
        <w:tc>
          <w:tcPr>
            <w:tcW w:w="385" w:type="pct"/>
            <w:tcBorders>
              <w:top w:val="single" w:color="auto" w:sz="4" w:space="0"/>
              <w:left w:val="single" w:color="auto" w:sz="4" w:space="0"/>
              <w:bottom w:val="single" w:color="auto" w:sz="4" w:space="0"/>
              <w:right w:val="single" w:color="auto" w:sz="4" w:space="0"/>
            </w:tcBorders>
            <w:vAlign w:val="center"/>
          </w:tcPr>
          <w:p w14:paraId="35440BEB">
            <w:pPr>
              <w:adjustRightInd w:val="0"/>
              <w:snapToGrid w:val="0"/>
              <w:jc w:val="center"/>
              <w:rPr>
                <w:rFonts w:ascii="宋体" w:hAnsi="宋体"/>
                <w:color w:val="auto"/>
              </w:rPr>
            </w:pPr>
            <w:r>
              <w:rPr>
                <w:rFonts w:hint="eastAsia" w:ascii="宋体" w:hAnsi="宋体"/>
                <w:color w:val="auto"/>
              </w:rPr>
              <w:t>——</w:t>
            </w:r>
          </w:p>
        </w:tc>
      </w:tr>
      <w:tr w14:paraId="0FDD2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8" w:type="pct"/>
            <w:gridSpan w:val="2"/>
            <w:tcBorders>
              <w:top w:val="single" w:color="auto" w:sz="4" w:space="0"/>
              <w:left w:val="single" w:color="auto" w:sz="4" w:space="0"/>
              <w:bottom w:val="single" w:color="auto" w:sz="4" w:space="0"/>
              <w:right w:val="single" w:color="auto" w:sz="4" w:space="0"/>
            </w:tcBorders>
            <w:tcMar>
              <w:top w:w="0" w:type="dxa"/>
              <w:left w:w="6" w:type="dxa"/>
              <w:bottom w:w="0" w:type="dxa"/>
              <w:right w:w="6" w:type="dxa"/>
            </w:tcMar>
            <w:vAlign w:val="center"/>
          </w:tcPr>
          <w:p w14:paraId="4A023BD2">
            <w:pPr>
              <w:adjustRightInd w:val="0"/>
              <w:snapToGrid w:val="0"/>
              <w:jc w:val="center"/>
              <w:rPr>
                <w:rFonts w:ascii="宋体" w:hAnsi="宋体"/>
                <w:color w:val="auto"/>
              </w:rPr>
            </w:pPr>
            <w:r>
              <w:rPr>
                <w:rFonts w:hint="eastAsia" w:ascii="宋体" w:hAnsi="宋体"/>
                <w:color w:val="auto"/>
              </w:rPr>
              <w:t>环境管理与环境监测</w:t>
            </w:r>
          </w:p>
        </w:tc>
        <w:tc>
          <w:tcPr>
            <w:tcW w:w="1394" w:type="pct"/>
            <w:tcBorders>
              <w:top w:val="single" w:color="auto" w:sz="4" w:space="0"/>
              <w:left w:val="single" w:color="auto" w:sz="4" w:space="0"/>
              <w:bottom w:val="single" w:color="auto" w:sz="4" w:space="0"/>
              <w:right w:val="single" w:color="auto" w:sz="4" w:space="0"/>
            </w:tcBorders>
            <w:vAlign w:val="center"/>
          </w:tcPr>
          <w:p w14:paraId="1F312BC0">
            <w:pPr>
              <w:adjustRightInd w:val="0"/>
              <w:snapToGrid w:val="0"/>
              <w:jc w:val="center"/>
              <w:rPr>
                <w:rFonts w:ascii="宋体" w:hAnsi="宋体"/>
                <w:color w:val="auto"/>
              </w:rPr>
            </w:pPr>
            <w:r>
              <w:rPr>
                <w:rFonts w:hint="eastAsia" w:ascii="宋体" w:hAnsi="宋体"/>
                <w:color w:val="auto"/>
              </w:rPr>
              <w:t xml:space="preserve">委托有关部门或设备生产厂家，对有关人员进行操作技能培训，培训合格后上岗；制定环境管理制度与监测计划，委托有资质的单位定期进行监测，建立健全设备运行记录 </w:t>
            </w:r>
          </w:p>
        </w:tc>
        <w:tc>
          <w:tcPr>
            <w:tcW w:w="921" w:type="pct"/>
            <w:tcBorders>
              <w:top w:val="single" w:color="auto" w:sz="4" w:space="0"/>
              <w:left w:val="single" w:color="auto" w:sz="4" w:space="0"/>
              <w:bottom w:val="single" w:color="auto" w:sz="4" w:space="0"/>
              <w:right w:val="single" w:color="auto" w:sz="4" w:space="0"/>
            </w:tcBorders>
            <w:vAlign w:val="center"/>
          </w:tcPr>
          <w:p w14:paraId="26C7DCB1">
            <w:pPr>
              <w:adjustRightInd w:val="0"/>
              <w:snapToGrid w:val="0"/>
              <w:jc w:val="center"/>
              <w:rPr>
                <w:rFonts w:ascii="宋体" w:hAnsi="宋体"/>
                <w:color w:val="auto"/>
              </w:rPr>
            </w:pPr>
            <w:r>
              <w:rPr>
                <w:rFonts w:hint="eastAsia" w:ascii="宋体" w:hAnsi="宋体"/>
                <w:color w:val="auto"/>
              </w:rPr>
              <w:t>——</w:t>
            </w:r>
          </w:p>
        </w:tc>
        <w:tc>
          <w:tcPr>
            <w:tcW w:w="846" w:type="pct"/>
            <w:tcBorders>
              <w:top w:val="single" w:color="auto" w:sz="4" w:space="0"/>
              <w:left w:val="single" w:color="auto" w:sz="4" w:space="0"/>
              <w:bottom w:val="single" w:color="auto" w:sz="4" w:space="0"/>
              <w:right w:val="single" w:color="auto" w:sz="4" w:space="0"/>
            </w:tcBorders>
            <w:vAlign w:val="center"/>
          </w:tcPr>
          <w:p w14:paraId="7A5809E6">
            <w:pPr>
              <w:adjustRightInd w:val="0"/>
              <w:snapToGrid w:val="0"/>
              <w:jc w:val="center"/>
              <w:rPr>
                <w:rFonts w:ascii="宋体" w:hAnsi="宋体"/>
                <w:color w:val="auto"/>
              </w:rPr>
            </w:pPr>
            <w:r>
              <w:rPr>
                <w:rFonts w:hint="eastAsia" w:ascii="宋体" w:hAnsi="宋体"/>
                <w:color w:val="auto"/>
              </w:rPr>
              <w:t>环境管理制度；监测计划；加热炉功率校核</w:t>
            </w:r>
          </w:p>
        </w:tc>
        <w:tc>
          <w:tcPr>
            <w:tcW w:w="796" w:type="pct"/>
            <w:tcBorders>
              <w:top w:val="single" w:color="auto" w:sz="4" w:space="0"/>
              <w:left w:val="single" w:color="auto" w:sz="4" w:space="0"/>
              <w:bottom w:val="single" w:color="auto" w:sz="4" w:space="0"/>
              <w:right w:val="single" w:color="auto" w:sz="4" w:space="0"/>
            </w:tcBorders>
            <w:vAlign w:val="center"/>
          </w:tcPr>
          <w:p w14:paraId="7B69365B">
            <w:pPr>
              <w:adjustRightInd w:val="0"/>
              <w:snapToGrid w:val="0"/>
              <w:jc w:val="center"/>
              <w:rPr>
                <w:rFonts w:ascii="宋体" w:hAnsi="宋体"/>
                <w:color w:val="auto"/>
              </w:rPr>
            </w:pPr>
            <w:r>
              <w:rPr>
                <w:rFonts w:hint="eastAsia" w:ascii="宋体" w:hAnsi="宋体"/>
                <w:color w:val="auto"/>
              </w:rPr>
              <w:t>——</w:t>
            </w:r>
          </w:p>
        </w:tc>
        <w:tc>
          <w:tcPr>
            <w:tcW w:w="385" w:type="pct"/>
            <w:tcBorders>
              <w:top w:val="single" w:color="auto" w:sz="4" w:space="0"/>
              <w:left w:val="single" w:color="auto" w:sz="4" w:space="0"/>
              <w:bottom w:val="single" w:color="auto" w:sz="4" w:space="0"/>
              <w:right w:val="single" w:color="auto" w:sz="4" w:space="0"/>
            </w:tcBorders>
            <w:vAlign w:val="center"/>
          </w:tcPr>
          <w:p w14:paraId="42608F0E">
            <w:pPr>
              <w:adjustRightInd w:val="0"/>
              <w:snapToGrid w:val="0"/>
              <w:jc w:val="center"/>
              <w:rPr>
                <w:rFonts w:ascii="宋体" w:hAnsi="宋体"/>
                <w:color w:val="auto"/>
              </w:rPr>
            </w:pPr>
            <w:r>
              <w:rPr>
                <w:rFonts w:hint="eastAsia" w:ascii="宋体" w:hAnsi="宋体"/>
                <w:color w:val="auto"/>
              </w:rPr>
              <w:t>环境管理与环境监测</w:t>
            </w:r>
          </w:p>
        </w:tc>
      </w:tr>
    </w:tbl>
    <w:p w14:paraId="6AC51F27">
      <w:pPr>
        <w:rPr>
          <w:rFonts w:ascii="宋体" w:hAnsi="宋体"/>
          <w:color w:val="auto"/>
        </w:rPr>
      </w:pPr>
    </w:p>
    <w:p w14:paraId="77FD97CF">
      <w:pPr>
        <w:pStyle w:val="5"/>
        <w:rPr>
          <w:rFonts w:ascii="宋体" w:hAnsi="宋体" w:eastAsia="宋体"/>
          <w:color w:val="auto"/>
        </w:rPr>
        <w:sectPr>
          <w:pgSz w:w="16839" w:h="11907" w:orient="landscape"/>
          <w:pgMar w:top="1588" w:right="1418" w:bottom="1588" w:left="1418" w:header="1134" w:footer="850" w:gutter="0"/>
          <w:cols w:space="720" w:num="1"/>
          <w:docGrid w:linePitch="312" w:charSpace="0"/>
        </w:sectPr>
      </w:pPr>
    </w:p>
    <w:p w14:paraId="4409B5BF">
      <w:pPr>
        <w:pStyle w:val="5"/>
        <w:rPr>
          <w:color w:val="auto"/>
        </w:rPr>
      </w:pPr>
      <w:bookmarkStart w:id="348" w:name="_Toc231283631"/>
      <w:r>
        <w:rPr>
          <w:rFonts w:hint="eastAsia"/>
          <w:color w:val="auto"/>
        </w:rPr>
        <w:t>审批部门</w:t>
      </w:r>
      <w:r>
        <w:rPr>
          <w:color w:val="auto"/>
        </w:rPr>
        <w:t>审批决定</w:t>
      </w:r>
      <w:bookmarkEnd w:id="348"/>
    </w:p>
    <w:p w14:paraId="349D5C68">
      <w:pPr>
        <w:pStyle w:val="4"/>
        <w:ind w:firstLine="480"/>
        <w:rPr>
          <w:color w:val="auto"/>
        </w:rPr>
      </w:pPr>
      <w:r>
        <w:rPr>
          <w:rFonts w:hint="eastAsia"/>
          <w:color w:val="auto"/>
        </w:rPr>
        <w:t>淄博市生态环境局高青分局于</w:t>
      </w:r>
      <w:r>
        <w:rPr>
          <w:color w:val="auto"/>
        </w:rPr>
        <w:t>2024</w:t>
      </w:r>
      <w:r>
        <w:rPr>
          <w:rFonts w:hint="eastAsia"/>
          <w:color w:val="auto"/>
        </w:rPr>
        <w:t>年</w:t>
      </w:r>
      <w:r>
        <w:rPr>
          <w:color w:val="auto"/>
        </w:rPr>
        <w:t>5</w:t>
      </w:r>
      <w:r>
        <w:rPr>
          <w:rFonts w:hint="eastAsia"/>
          <w:color w:val="auto"/>
        </w:rPr>
        <w:t>月</w:t>
      </w:r>
      <w:r>
        <w:rPr>
          <w:color w:val="auto"/>
        </w:rPr>
        <w:t>27</w:t>
      </w:r>
      <w:r>
        <w:rPr>
          <w:rFonts w:hint="eastAsia"/>
          <w:color w:val="auto"/>
        </w:rPr>
        <w:t>日</w:t>
      </w:r>
      <w:r>
        <w:rPr>
          <w:color w:val="auto"/>
        </w:rPr>
        <w:t>以“</w:t>
      </w:r>
      <w:r>
        <w:rPr>
          <w:rFonts w:hint="eastAsia"/>
          <w:color w:val="auto"/>
        </w:rPr>
        <w:t>高环审[20</w:t>
      </w:r>
      <w:r>
        <w:rPr>
          <w:color w:val="auto"/>
        </w:rPr>
        <w:t>24</w:t>
      </w:r>
      <w:r>
        <w:rPr>
          <w:rFonts w:hint="eastAsia"/>
          <w:color w:val="auto"/>
        </w:rPr>
        <w:t>]</w:t>
      </w:r>
      <w:r>
        <w:rPr>
          <w:color w:val="auto"/>
        </w:rPr>
        <w:t>12</w:t>
      </w:r>
      <w:r>
        <w:rPr>
          <w:rFonts w:hint="eastAsia"/>
          <w:color w:val="auto"/>
        </w:rPr>
        <w:t>号”</w:t>
      </w:r>
      <w:r>
        <w:rPr>
          <w:color w:val="auto"/>
        </w:rPr>
        <w:t>文对本项目作出批复</w:t>
      </w:r>
      <w:r>
        <w:rPr>
          <w:rFonts w:hint="eastAsia"/>
          <w:color w:val="auto"/>
        </w:rPr>
        <w:t>，</w:t>
      </w:r>
      <w:r>
        <w:rPr>
          <w:color w:val="auto"/>
        </w:rPr>
        <w:t>批复</w:t>
      </w:r>
      <w:r>
        <w:rPr>
          <w:rFonts w:hint="eastAsia"/>
          <w:color w:val="auto"/>
        </w:rPr>
        <w:t>全文内容</w:t>
      </w:r>
      <w:r>
        <w:rPr>
          <w:color w:val="auto"/>
        </w:rPr>
        <w:t>如下：</w:t>
      </w:r>
    </w:p>
    <w:p w14:paraId="742F8B55">
      <w:pPr>
        <w:pStyle w:val="4"/>
        <w:ind w:firstLine="480"/>
        <w:rPr>
          <w:color w:val="auto"/>
        </w:rPr>
      </w:pPr>
      <w:r>
        <w:rPr>
          <w:rFonts w:hint="eastAsia"/>
          <w:color w:val="auto"/>
        </w:rPr>
        <w:t>项目建设地址位于山东省淄博市高青县。项目总投资271809.2万元，其中环保投资706万元。建设内容：本项目方案共部署163口井，其中新钻油井98口，注水井51口，油井转注水井5口，探井转油井9口，新建井场20座，依托老井场34座。新建107套12型抽油机，新建600型压驱注水装置25套，350型注水井口31套；新建燃气加热炉8台，更换燃气加热炉1台；新建多功能罐23座，新建空气源热泵加热系统27座，新建双腔油气混输装置2座，新建井口加药装置4套，新建天然气干燥器4座、天然气分气包4座，新建计量装置橇2套、三相分离器橇3套；新建集油阀组6套；新建集油管线45.55</w:t>
      </w:r>
      <w:r>
        <w:rPr>
          <w:color w:val="auto"/>
        </w:rPr>
        <w:t>km</w:t>
      </w:r>
      <w:r>
        <w:rPr>
          <w:rFonts w:hint="eastAsia"/>
          <w:color w:val="auto"/>
        </w:rPr>
        <w:t>、掺水管线8.98</w:t>
      </w:r>
      <w:r>
        <w:rPr>
          <w:color w:val="auto"/>
        </w:rPr>
        <w:t>km</w:t>
      </w:r>
      <w:r>
        <w:rPr>
          <w:rFonts w:hint="eastAsia"/>
          <w:color w:val="auto"/>
        </w:rPr>
        <w:t>、新建供气管线1.024</w:t>
      </w:r>
      <w:r>
        <w:rPr>
          <w:color w:val="auto"/>
        </w:rPr>
        <w:t>km</w:t>
      </w:r>
      <w:r>
        <w:rPr>
          <w:rFonts w:hint="eastAsia"/>
          <w:color w:val="auto"/>
        </w:rPr>
        <w:t>；新建压驱供水泵橇16套，新建注水管线30</w:t>
      </w:r>
      <w:r>
        <w:rPr>
          <w:color w:val="auto"/>
        </w:rPr>
        <w:t>km,</w:t>
      </w:r>
      <w:r>
        <w:rPr>
          <w:rFonts w:hint="eastAsia"/>
          <w:color w:val="auto"/>
        </w:rPr>
        <w:t>新建低压供水管线3.54</w:t>
      </w:r>
      <w:r>
        <w:rPr>
          <w:color w:val="auto"/>
        </w:rPr>
        <w:t>km</w:t>
      </w:r>
      <w:r>
        <w:rPr>
          <w:rFonts w:hint="eastAsia"/>
          <w:color w:val="auto"/>
        </w:rPr>
        <w:t>。高青联合站内卸油池改造，扩建樊107注水站，滨博接转站内迁建注水泵1台；同时配套建设供配电、自控、通信及道路等工程。项目实施后，最大产油能力11.7×10</w:t>
      </w:r>
      <w:r>
        <w:rPr>
          <w:color w:val="auto"/>
          <w:vertAlign w:val="superscript"/>
        </w:rPr>
        <w:t>4</w:t>
      </w:r>
      <w:r>
        <w:rPr>
          <w:rFonts w:hint="eastAsia"/>
          <w:color w:val="auto"/>
        </w:rPr>
        <w:t>t/a（第1年）,最大产液量36.02×10</w:t>
      </w:r>
      <w:r>
        <w:rPr>
          <w:color w:val="auto"/>
          <w:vertAlign w:val="superscript"/>
        </w:rPr>
        <w:t>4</w:t>
      </w:r>
      <w:r>
        <w:rPr>
          <w:color w:val="auto"/>
        </w:rPr>
        <w:t>t/a</w:t>
      </w:r>
      <w:r>
        <w:rPr>
          <w:rFonts w:hint="eastAsia"/>
          <w:color w:val="auto"/>
        </w:rPr>
        <w:t>（第15年）,项目动用地质储量752.1</w:t>
      </w:r>
      <w:r>
        <w:rPr>
          <w:color w:val="auto"/>
        </w:rPr>
        <w:t>×10</w:t>
      </w:r>
      <w:r>
        <w:rPr>
          <w:color w:val="auto"/>
          <w:vertAlign w:val="superscript"/>
        </w:rPr>
        <w:t>4</w:t>
      </w:r>
      <w:r>
        <w:rPr>
          <w:color w:val="auto"/>
        </w:rPr>
        <w:t>t</w:t>
      </w:r>
      <w:r>
        <w:rPr>
          <w:rFonts w:hint="eastAsia"/>
          <w:color w:val="auto"/>
        </w:rPr>
        <w:t>。</w:t>
      </w:r>
    </w:p>
    <w:p w14:paraId="07542138">
      <w:pPr>
        <w:pStyle w:val="4"/>
        <w:ind w:firstLine="480"/>
        <w:rPr>
          <w:color w:val="auto"/>
        </w:rPr>
      </w:pPr>
      <w:r>
        <w:rPr>
          <w:rFonts w:hint="eastAsia"/>
          <w:color w:val="auto"/>
        </w:rPr>
        <w:t>该项目环境影响报告书及相关材料已在高青县人民政府官方网站进行了公示，公示期间未收到公众反对意见。根据环评结论，在落实报告书提出的各项污染防治、环境风险防范措施和满足污染物总量控制要求的前提下，从环保角度分析，项目建设可行。同意该项目按环评所列地点、建设规模、生产工艺、环境保护措施进行设计、建设和生产。</w:t>
      </w:r>
    </w:p>
    <w:p w14:paraId="7DBA0384">
      <w:pPr>
        <w:pStyle w:val="4"/>
        <w:ind w:firstLine="480"/>
        <w:rPr>
          <w:color w:val="auto"/>
        </w:rPr>
      </w:pPr>
      <w:r>
        <w:rPr>
          <w:rFonts w:hint="eastAsia"/>
          <w:color w:val="auto"/>
        </w:rPr>
        <w:t>二、项目建设必须重点落实环评报告书提出的各项环保措施和以下要求。</w:t>
      </w:r>
    </w:p>
    <w:p w14:paraId="52667A07">
      <w:pPr>
        <w:pStyle w:val="4"/>
        <w:ind w:firstLine="480"/>
        <w:rPr>
          <w:color w:val="auto"/>
        </w:rPr>
      </w:pPr>
      <w:r>
        <w:rPr>
          <w:rFonts w:hint="eastAsia"/>
          <w:color w:val="auto"/>
        </w:rPr>
        <w:t>1、项目施工前建设单位要编制防止扬尘的操作规范，并安排专人负责工地环境工作。在项目施工期间建设单位须严格落实环评文件中提出的各项施工期扬尘控制措施，防止扬尘污染。</w:t>
      </w:r>
    </w:p>
    <w:p w14:paraId="3128BC4F">
      <w:pPr>
        <w:pStyle w:val="4"/>
        <w:ind w:firstLine="480"/>
        <w:rPr>
          <w:color w:val="auto"/>
        </w:rPr>
      </w:pPr>
      <w:r>
        <w:rPr>
          <w:rFonts w:hint="eastAsia"/>
          <w:color w:val="auto"/>
        </w:rPr>
        <w:t>2、废水污染防治。项目施工期废水为钻井废水、施工作业废液、清管废水、新建管线试压废水、施工人员生活污水；运营期废水为采出水、井下作业废液；退役期为清洗废水。施工期钻井废水循环利用，部分随钻井固废拉运至专业单位处置；新建管线试压废水用于施工现场洒水抑尘，不外排；生活污水拉运至市政部门指定地点，依托环卫部门处置，不外排。施工作业废液、清管废水、运营期采出水、井下作业废液、退役期清洗废水拉运至高青联合站，经处理达到《碎屑岩油藏注水水质指标技术要求及分析方法》</w:t>
      </w:r>
      <w:r>
        <w:rPr>
          <w:color w:val="auto"/>
        </w:rPr>
        <w:t>(SY/T</w:t>
      </w:r>
      <w:r>
        <w:rPr>
          <w:rFonts w:hint="eastAsia"/>
          <w:color w:val="auto"/>
        </w:rPr>
        <w:t>5329-2022)中相关要求后，用于油田注水开发，不外排。</w:t>
      </w:r>
    </w:p>
    <w:p w14:paraId="522EBA30">
      <w:pPr>
        <w:pStyle w:val="4"/>
        <w:ind w:firstLine="480"/>
        <w:rPr>
          <w:color w:val="auto"/>
        </w:rPr>
      </w:pPr>
      <w:r>
        <w:rPr>
          <w:rFonts w:hint="eastAsia"/>
          <w:color w:val="auto"/>
        </w:rPr>
        <w:t>3、废气污染防治。本项目施工期废气主要为扬尘、施工机械废气、焊接颗粒物、非甲烷总烃等；运营期主要为井场无组织挥发非甲烷总烃和硫化氢，加热炉、多功能罐废气；退役期废气为扬尘、施工废气等。加强钻井设施管理，采用低污染设备，加强井口密封，安装油套连通套管气回收装置，加热炉、多功能罐配套低氮燃烧器，确保废气排放符合《锅炉大气污染物排放标准》</w:t>
      </w:r>
      <w:r>
        <w:rPr>
          <w:color w:val="auto"/>
        </w:rPr>
        <w:t>(DB37/2374-2018)</w:t>
      </w:r>
      <w:r>
        <w:rPr>
          <w:rFonts w:hint="eastAsia"/>
          <w:color w:val="auto"/>
        </w:rPr>
        <w:t>表2中重点控制区限值要求、《区域性大气污染物综合排放标准》</w:t>
      </w:r>
      <w:r>
        <w:rPr>
          <w:color w:val="auto"/>
        </w:rPr>
        <w:t>(DB37/2376-2019)</w:t>
      </w:r>
      <w:r>
        <w:rPr>
          <w:rFonts w:hint="eastAsia"/>
          <w:color w:val="auto"/>
        </w:rPr>
        <w:t>中表1重点控制区的限值要求和《挥发性有机物无组织排放控制标准》(GB37822-2019)相关要求、《挥发性有机物排放标准第7部分：其他行业》</w:t>
      </w:r>
      <w:r>
        <w:rPr>
          <w:color w:val="auto"/>
        </w:rPr>
        <w:t>(DB37/2801.7-2019)</w:t>
      </w:r>
      <w:r>
        <w:rPr>
          <w:rFonts w:hint="eastAsia"/>
          <w:color w:val="auto"/>
        </w:rPr>
        <w:t>中厂界浓度限值要求、《恶臭污染物排放标准》</w:t>
      </w:r>
      <w:r>
        <w:rPr>
          <w:color w:val="auto"/>
        </w:rPr>
        <w:t>(GB14554-1993)</w:t>
      </w:r>
      <w:r>
        <w:rPr>
          <w:rFonts w:hint="eastAsia"/>
          <w:color w:val="auto"/>
        </w:rPr>
        <w:t>厂界标准值要求。</w:t>
      </w:r>
    </w:p>
    <w:p w14:paraId="5C466930">
      <w:pPr>
        <w:pStyle w:val="4"/>
        <w:ind w:firstLine="480"/>
        <w:rPr>
          <w:color w:val="auto"/>
        </w:rPr>
      </w:pPr>
      <w:r>
        <w:rPr>
          <w:rFonts w:hint="eastAsia"/>
          <w:color w:val="auto"/>
        </w:rPr>
        <w:t>4、固废污染防治。项目施工期产生钻井固废、定向钻废弃泥浆、油泥砂、施工废料、生活垃圾等，经“泥浆不落地工艺”处理后的钻井固废，属于一般固废，委托专业单位进行综合利用；定向钻废弃泥浆委托专业单位拉运处置，泥浆池回填处理；油泥砂全部委托有危险废物处理资质单位进行无害化处置；施工废料能回收的尽量回收利用，剩余废料同生活垃圾一起交由当地环卫部门处理。运营期固体废物主要为清罐底泥、落地油、废沾油包装物、废润滑油、废油桶、废变压器油、浮油及污泥等，以上危险废物全部委托有危险废物处理资质单位进行无害化处置。退役期固废主要包括废弃管线、废弃多功能罐、废弃三相分离器、落地油等。废弃设备应集中收集，按照资产报废程序由胜利油田东胜精攻石油开发集团股份有限公司物资管理部门统一处理，其余不能回收的外运至市政部门指定地点，由环卫部门处置；落地油由有危险废物处理资质的单位拉运并进行无害化处理。一般固体废物暂存和处置须满足《一般工业固体废物贮存和填埋污染控制标准》</w:t>
      </w:r>
      <w:r>
        <w:rPr>
          <w:color w:val="auto"/>
        </w:rPr>
        <w:t>(GB18599-2020)</w:t>
      </w:r>
      <w:r>
        <w:rPr>
          <w:rFonts w:hint="eastAsia"/>
          <w:color w:val="auto"/>
        </w:rPr>
        <w:t>要求，危险废物暂存须执行《危险废物贮存污染控制标准》(GB18597-2023)的相关要求，严格执行《危险废物转移管理办法》。</w:t>
      </w:r>
    </w:p>
    <w:p w14:paraId="177DFC3A">
      <w:pPr>
        <w:pStyle w:val="4"/>
        <w:ind w:firstLine="480"/>
        <w:rPr>
          <w:color w:val="auto"/>
        </w:rPr>
      </w:pPr>
      <w:r>
        <w:rPr>
          <w:rFonts w:hint="eastAsia"/>
          <w:color w:val="auto"/>
        </w:rPr>
        <w:t>5、噪声污染防治。施工期及退役期须合理选择施工时间，选用低噪声设备，施工期还应优化钻井平台布局，噪声排放执行《建筑施工场界环境噪声排放标准》</w:t>
      </w:r>
      <w:r>
        <w:rPr>
          <w:color w:val="auto"/>
        </w:rPr>
        <w:t>(GB12523-2011)</w:t>
      </w:r>
      <w:r>
        <w:rPr>
          <w:rFonts w:hint="eastAsia"/>
          <w:color w:val="auto"/>
        </w:rPr>
        <w:t>中噪声排放限值要求。运营期对高噪设备须进行消声、隔音、减振等降噪措施，厂界噪声执行《工业企业厂界环境噪声排放标准》</w:t>
      </w:r>
      <w:r>
        <w:rPr>
          <w:color w:val="auto"/>
        </w:rPr>
        <w:t>(GB12348-2008)2</w:t>
      </w:r>
      <w:r>
        <w:rPr>
          <w:rFonts w:hint="eastAsia"/>
          <w:color w:val="auto"/>
        </w:rPr>
        <w:t>类功能区标准。</w:t>
      </w:r>
    </w:p>
    <w:p w14:paraId="1736AE02">
      <w:pPr>
        <w:pStyle w:val="4"/>
        <w:ind w:firstLine="480"/>
        <w:rPr>
          <w:color w:val="auto"/>
        </w:rPr>
      </w:pPr>
      <w:r>
        <w:rPr>
          <w:rFonts w:hint="eastAsia"/>
          <w:color w:val="auto"/>
        </w:rPr>
        <w:t>6、加强环境风险防控。企业应对各风险源设置完善的预防措施和应急预案，落实应急防范与减缓措施，防止事故发生。根据环境风险评价、环境应急预案和厂区实际现状，建设相配套应急装备和监测仪器，在非事故状态下不得占用，并定期进行维修保养；加强环境风险管理，对风险评价实行动态管理，保证事故发生时立即进入应急状态，确保环境安全。项目存在井喷、泄漏、火灾爆炸等环境风险，定期开展环境风险应急培训和演练，切实加强事故应急处理和防范能力。</w:t>
      </w:r>
    </w:p>
    <w:p w14:paraId="12439B36">
      <w:pPr>
        <w:pStyle w:val="4"/>
        <w:ind w:firstLine="480"/>
        <w:rPr>
          <w:color w:val="auto"/>
        </w:rPr>
      </w:pPr>
      <w:r>
        <w:rPr>
          <w:rFonts w:hint="eastAsia"/>
          <w:color w:val="auto"/>
        </w:rPr>
        <w:t>7、</w:t>
      </w:r>
      <w:bookmarkStart w:id="349" w:name="OLE_LINK308"/>
      <w:bookmarkStart w:id="350" w:name="OLE_LINK307"/>
      <w:r>
        <w:rPr>
          <w:rFonts w:hint="eastAsia"/>
          <w:color w:val="auto"/>
        </w:rPr>
        <w:t>该项目建成后，主要污染物排放量应控制在该项目确认的总量控制指标内，并严格按照《排污许可管理条例》及《固定污染源排污许可分类管理名录(2019年版)》等相关要求，做好排污许可证的申请、变更工作，落实排污许可证执行报告制度</w:t>
      </w:r>
      <w:bookmarkEnd w:id="349"/>
      <w:bookmarkEnd w:id="350"/>
      <w:r>
        <w:rPr>
          <w:rFonts w:hint="eastAsia"/>
          <w:color w:val="auto"/>
        </w:rPr>
        <w:t>。</w:t>
      </w:r>
    </w:p>
    <w:p w14:paraId="2C528047">
      <w:pPr>
        <w:pStyle w:val="4"/>
        <w:ind w:firstLine="480"/>
        <w:rPr>
          <w:color w:val="auto"/>
        </w:rPr>
      </w:pPr>
      <w:r>
        <w:rPr>
          <w:rFonts w:hint="eastAsia"/>
          <w:color w:val="auto"/>
        </w:rPr>
        <w:t>8、</w:t>
      </w:r>
      <w:bookmarkStart w:id="351" w:name="OLE_LINK279"/>
      <w:bookmarkStart w:id="352" w:name="OLE_LINK278"/>
      <w:r>
        <w:rPr>
          <w:rFonts w:hint="eastAsia"/>
          <w:color w:val="auto"/>
        </w:rPr>
        <w:t>加强钻井及运营期间的生态及土壤保护工作，项目建设完成后及时对钻井区域、钻井泥浆池占地等区域地表植被进行恢复和绿化</w:t>
      </w:r>
      <w:bookmarkEnd w:id="351"/>
      <w:bookmarkEnd w:id="352"/>
      <w:r>
        <w:rPr>
          <w:rFonts w:hint="eastAsia"/>
          <w:color w:val="auto"/>
        </w:rPr>
        <w:t>。</w:t>
      </w:r>
    </w:p>
    <w:p w14:paraId="541C9EA0">
      <w:pPr>
        <w:pStyle w:val="4"/>
        <w:ind w:firstLine="480"/>
        <w:rPr>
          <w:color w:val="auto"/>
        </w:rPr>
      </w:pPr>
      <w:r>
        <w:rPr>
          <w:rFonts w:hint="eastAsia"/>
          <w:color w:val="auto"/>
        </w:rPr>
        <w:t>9、</w:t>
      </w:r>
      <w:r>
        <w:rPr>
          <w:color w:val="auto"/>
        </w:rPr>
        <w:t>该项目如发生环境信访事件，影响周边环境质量，经查实须立即停产</w:t>
      </w:r>
      <w:r>
        <w:rPr>
          <w:rFonts w:hint="eastAsia"/>
          <w:color w:val="auto"/>
        </w:rPr>
        <w:t>整改。严格按照相关规范、标准及要求做好自行监测工作。</w:t>
      </w:r>
    </w:p>
    <w:p w14:paraId="69AE7CB8">
      <w:pPr>
        <w:pStyle w:val="4"/>
        <w:ind w:firstLine="480"/>
        <w:rPr>
          <w:color w:val="auto"/>
        </w:rPr>
      </w:pPr>
      <w:r>
        <w:rPr>
          <w:rFonts w:hint="eastAsia"/>
          <w:color w:val="auto"/>
        </w:rPr>
        <w:t>10、开展环保设施风险辨识与评估。你公司应当对环保设施开展安全风险辨识评估和隐患排查治理，建立环保治理设施检查台账，确保环保设施安全运行。不得采用国家、地方淘汰的设备和工艺，应当委托有资质的设计单位进行正规设计，施工单位要按照设计方案和相关施工技术标准规范施工，严格落实安全生产相关技术要求。</w:t>
      </w:r>
    </w:p>
    <w:p w14:paraId="43351666">
      <w:pPr>
        <w:pStyle w:val="4"/>
        <w:ind w:firstLine="480"/>
        <w:rPr>
          <w:color w:val="auto"/>
        </w:rPr>
      </w:pPr>
      <w:r>
        <w:rPr>
          <w:rFonts w:hint="eastAsia"/>
          <w:color w:val="auto"/>
        </w:rPr>
        <w:t>三、严格按照《关于印发&lt;污染影响类建设项目重大变动清单(试行)&gt;的通知》(环办环评函〔2020〕688号)》及原环境保护部《关于印发环评管理中部分行业建设项目重大变动清单的通知》(环办〔2015〕52号)有关要求，若该建设项目的规模、地点、生产工艺或者环境保护措施等发生清单中所列重大变动的，应重新报批环评文件。若项目在验收时所执行的排放标准发生变化，必须按新排放标准进行自主验收。</w:t>
      </w:r>
    </w:p>
    <w:p w14:paraId="051FB3D2">
      <w:pPr>
        <w:pStyle w:val="4"/>
        <w:ind w:firstLine="480"/>
        <w:rPr>
          <w:color w:val="auto"/>
        </w:rPr>
      </w:pPr>
      <w:r>
        <w:rPr>
          <w:rFonts w:hint="eastAsia"/>
          <w:color w:val="auto"/>
        </w:rPr>
        <w:t>四、项目建设必须执行配套的环境保护设施与主体工程同时设计、同时施工、同时使用的“三同时”制度。项目竣工后，须按规定程序进行竣工环境保护验收。经验收合格后，项目方可投入生产和使用。</w:t>
      </w:r>
    </w:p>
    <w:p w14:paraId="59117563">
      <w:pPr>
        <w:pStyle w:val="4"/>
        <w:ind w:firstLine="480"/>
        <w:rPr>
          <w:color w:val="auto"/>
        </w:rPr>
      </w:pPr>
      <w:r>
        <w:rPr>
          <w:rFonts w:hint="eastAsia"/>
          <w:color w:val="auto"/>
        </w:rPr>
        <w:t>五、高青县芦湖街道办事处、高青县高城镇人民政府、高青县唐坊镇人民政府、高青县常家镇人民政府负责该项目建设期和运行期的日常监管工作、高青县生态环境保护综合执法大队负责该项目的执法检查工作。</w:t>
      </w:r>
    </w:p>
    <w:p w14:paraId="6DFA3AFD">
      <w:pPr>
        <w:pStyle w:val="5"/>
        <w:rPr>
          <w:color w:val="auto"/>
        </w:rPr>
      </w:pPr>
      <w:bookmarkStart w:id="353" w:name="_Toc231283632"/>
      <w:r>
        <w:rPr>
          <w:color w:val="auto"/>
        </w:rPr>
        <w:t>验收</w:t>
      </w:r>
      <w:r>
        <w:rPr>
          <w:rFonts w:hint="eastAsia"/>
          <w:color w:val="auto"/>
        </w:rPr>
        <w:t>执行</w:t>
      </w:r>
      <w:r>
        <w:rPr>
          <w:color w:val="auto"/>
        </w:rPr>
        <w:t>标准</w:t>
      </w:r>
      <w:bookmarkEnd w:id="353"/>
    </w:p>
    <w:p w14:paraId="1AF7DE63">
      <w:pPr>
        <w:pStyle w:val="6"/>
        <w:rPr>
          <w:color w:val="auto"/>
        </w:rPr>
      </w:pPr>
      <w:r>
        <w:rPr>
          <w:rFonts w:hint="eastAsia"/>
          <w:color w:val="auto"/>
        </w:rPr>
        <w:t>环境质量</w:t>
      </w:r>
      <w:r>
        <w:rPr>
          <w:color w:val="auto"/>
        </w:rPr>
        <w:t>标准</w:t>
      </w:r>
    </w:p>
    <w:p w14:paraId="608BEDDC">
      <w:pPr>
        <w:pStyle w:val="4"/>
        <w:ind w:firstLine="480"/>
        <w:rPr>
          <w:color w:val="auto"/>
        </w:rPr>
      </w:pPr>
      <w:r>
        <w:rPr>
          <w:rFonts w:hint="eastAsia"/>
          <w:color w:val="auto"/>
          <w:kern w:val="0"/>
        </w:rPr>
        <w:t>根据《建设项目竣工环境保护验收技术规范 石油天然气开采》（HJ 612-2011）、</w:t>
      </w:r>
      <w:r>
        <w:rPr>
          <w:rFonts w:hint="eastAsia"/>
          <w:color w:val="auto"/>
        </w:rPr>
        <w:t>《建设项目竣工环境保护设施验收技术规范 生态影响类（征求意见稿）》（2018年9月25日）</w:t>
      </w:r>
      <w:r>
        <w:rPr>
          <w:rFonts w:hint="eastAsia"/>
          <w:color w:val="auto"/>
          <w:kern w:val="0"/>
        </w:rPr>
        <w:t>的要求，本期工程竣工环境保护验收时环境质量标准执行现行有效的标准。</w:t>
      </w:r>
    </w:p>
    <w:p w14:paraId="19B529CC">
      <w:pPr>
        <w:pStyle w:val="4"/>
        <w:ind w:firstLine="480"/>
        <w:rPr>
          <w:color w:val="auto"/>
        </w:rPr>
      </w:pPr>
      <w:r>
        <w:rPr>
          <w:color w:val="auto"/>
        </w:rPr>
        <w:t>1</w:t>
      </w:r>
      <w:r>
        <w:rPr>
          <w:rFonts w:hint="eastAsia"/>
          <w:color w:val="auto"/>
        </w:rPr>
        <w:t>）地下水：项目周边</w:t>
      </w:r>
      <w:r>
        <w:rPr>
          <w:color w:val="auto"/>
        </w:rPr>
        <w:t>地下水</w:t>
      </w:r>
      <w:r>
        <w:rPr>
          <w:rFonts w:hint="eastAsia"/>
          <w:color w:val="auto"/>
        </w:rPr>
        <w:t>执行《地下水质量标准》（GB/T</w:t>
      </w:r>
      <w:r>
        <w:rPr>
          <w:color w:val="auto"/>
        </w:rPr>
        <w:t xml:space="preserve"> </w:t>
      </w:r>
      <w:r>
        <w:rPr>
          <w:rFonts w:hint="eastAsia"/>
          <w:color w:val="auto"/>
        </w:rPr>
        <w:t>14848-</w:t>
      </w:r>
      <w:r>
        <w:rPr>
          <w:color w:val="auto"/>
        </w:rPr>
        <w:t>2017</w:t>
      </w:r>
      <w:r>
        <w:rPr>
          <w:rFonts w:hint="eastAsia"/>
          <w:color w:val="auto"/>
        </w:rPr>
        <w:t>）中的Ⅲ类标准，石油类参考《地表水环境质量标准》（GB 3838-2002）中的Ⅲ类标准；</w:t>
      </w:r>
    </w:p>
    <w:p w14:paraId="7C7422DF">
      <w:pPr>
        <w:pStyle w:val="4"/>
        <w:ind w:firstLine="480"/>
        <w:rPr>
          <w:color w:val="auto"/>
        </w:rPr>
      </w:pPr>
      <w:r>
        <w:rPr>
          <w:snapToGrid w:val="0"/>
          <w:color w:val="auto"/>
          <w:kern w:val="0"/>
        </w:rPr>
        <w:t>2</w:t>
      </w:r>
      <w:r>
        <w:rPr>
          <w:rFonts w:hint="eastAsia"/>
          <w:snapToGrid w:val="0"/>
          <w:color w:val="auto"/>
          <w:kern w:val="0"/>
        </w:rPr>
        <w:t>）</w:t>
      </w:r>
      <w:r>
        <w:rPr>
          <w:color w:val="auto"/>
        </w:rPr>
        <w:t>土壤环境：</w:t>
      </w:r>
      <w:r>
        <w:rPr>
          <w:rFonts w:hint="eastAsia"/>
          <w:color w:val="auto"/>
        </w:rPr>
        <w:t>井场内土壤环境质量执行《土壤环境质量 建设用地土壤污染风险管控标准（试行）》（GB 36600-2018）中“表1 建设用地土壤污染风险筛选值（基本期工程）及表2 建设用地土壤污染风险筛选值（其他项目）”中第二类用地的有关要求；井场外土壤参照执行《土壤环境质量 建设用地土壤污染风险管控标准（试行）》（GB 36600-2018）中“表2 建设用地土壤污染风险筛选值（其他项目）”中第一类用地的有关要求。</w:t>
      </w:r>
    </w:p>
    <w:p w14:paraId="003619D9">
      <w:pPr>
        <w:pStyle w:val="6"/>
        <w:rPr>
          <w:color w:val="auto"/>
        </w:rPr>
      </w:pPr>
      <w:r>
        <w:rPr>
          <w:rFonts w:hint="eastAsia"/>
          <w:color w:val="auto"/>
        </w:rPr>
        <w:t>污染物排放</w:t>
      </w:r>
      <w:r>
        <w:rPr>
          <w:color w:val="auto"/>
        </w:rPr>
        <w:t>标准</w:t>
      </w:r>
    </w:p>
    <w:p w14:paraId="0268F4CD">
      <w:pPr>
        <w:tabs>
          <w:tab w:val="left" w:pos="377"/>
        </w:tabs>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根据《建设项目竣工环境保护设施验收技术规范 生态影响类（征求意见稿）》（环办标征函[2018]53号）中“8.3（验收执行</w:t>
      </w:r>
      <w:r>
        <w:rPr>
          <w:rFonts w:ascii="宋体" w:hAnsi="宋体"/>
          <w:snapToGrid w:val="0"/>
          <w:color w:val="auto"/>
          <w:kern w:val="0"/>
          <w:sz w:val="24"/>
          <w:szCs w:val="24"/>
        </w:rPr>
        <w:t>标准</w:t>
      </w:r>
      <w:r>
        <w:rPr>
          <w:rFonts w:hint="eastAsia" w:ascii="宋体" w:hAnsi="宋体"/>
          <w:snapToGrid w:val="0"/>
          <w:color w:val="auto"/>
          <w:kern w:val="0"/>
          <w:sz w:val="24"/>
          <w:szCs w:val="24"/>
        </w:rPr>
        <w:t>）”的</w:t>
      </w:r>
      <w:r>
        <w:rPr>
          <w:rFonts w:ascii="宋体" w:hAnsi="宋体"/>
          <w:snapToGrid w:val="0"/>
          <w:color w:val="auto"/>
          <w:kern w:val="0"/>
          <w:sz w:val="24"/>
          <w:szCs w:val="24"/>
        </w:rPr>
        <w:t>要求，</w:t>
      </w:r>
      <w:r>
        <w:rPr>
          <w:rFonts w:hint="eastAsia" w:ascii="宋体" w:hAnsi="宋体"/>
          <w:snapToGrid w:val="0"/>
          <w:color w:val="auto"/>
          <w:kern w:val="0"/>
          <w:sz w:val="24"/>
          <w:szCs w:val="24"/>
        </w:rPr>
        <w:t>本期工程竣工环境保护设施</w:t>
      </w:r>
      <w:r>
        <w:rPr>
          <w:rFonts w:ascii="宋体" w:hAnsi="宋体"/>
          <w:snapToGrid w:val="0"/>
          <w:color w:val="auto"/>
          <w:kern w:val="0"/>
          <w:sz w:val="24"/>
          <w:szCs w:val="24"/>
        </w:rPr>
        <w:t>验收</w:t>
      </w:r>
      <w:r>
        <w:rPr>
          <w:rFonts w:hint="eastAsia" w:ascii="宋体" w:hAnsi="宋体"/>
          <w:snapToGrid w:val="0"/>
          <w:color w:val="auto"/>
          <w:kern w:val="0"/>
          <w:sz w:val="24"/>
          <w:szCs w:val="24"/>
        </w:rPr>
        <w:t>污染物排放标准参照《建设项目竣工环境保护验收技术指南 污染影响类》（公告2018年第9号）执行。</w:t>
      </w:r>
    </w:p>
    <w:p w14:paraId="003A1324">
      <w:pPr>
        <w:pStyle w:val="4"/>
        <w:ind w:firstLine="480"/>
        <w:rPr>
          <w:snapToGrid w:val="0"/>
          <w:color w:val="auto"/>
        </w:rPr>
      </w:pPr>
      <w:r>
        <w:rPr>
          <w:rFonts w:hint="eastAsia"/>
          <w:snapToGrid w:val="0"/>
          <w:color w:val="auto"/>
        </w:rPr>
        <w:t>根据《建设项目竣工环境保护验收技术指南 污染影响类》（公告2018年第9号）中</w:t>
      </w:r>
      <w:r>
        <w:rPr>
          <w:snapToGrid w:val="0"/>
          <w:color w:val="auto"/>
        </w:rPr>
        <w:t>“6</w:t>
      </w:r>
      <w:r>
        <w:rPr>
          <w:rFonts w:hint="eastAsia"/>
          <w:snapToGrid w:val="0"/>
          <w:color w:val="auto"/>
        </w:rPr>
        <w:t>.2（污染物</w:t>
      </w:r>
      <w:r>
        <w:rPr>
          <w:snapToGrid w:val="0"/>
          <w:color w:val="auto"/>
        </w:rPr>
        <w:t>排放标准</w:t>
      </w:r>
      <w:r>
        <w:rPr>
          <w:rFonts w:hint="eastAsia"/>
          <w:snapToGrid w:val="0"/>
          <w:color w:val="auto"/>
        </w:rPr>
        <w:t>）</w:t>
      </w:r>
      <w:r>
        <w:rPr>
          <w:snapToGrid w:val="0"/>
          <w:color w:val="auto"/>
        </w:rPr>
        <w:t>”</w:t>
      </w:r>
      <w:r>
        <w:rPr>
          <w:rFonts w:hint="eastAsia"/>
          <w:snapToGrid w:val="0"/>
          <w:color w:val="auto"/>
        </w:rPr>
        <w:t>：</w:t>
      </w:r>
      <w:r>
        <w:rPr>
          <w:snapToGrid w:val="0"/>
          <w:color w:val="auto"/>
        </w:rPr>
        <w:t>“</w:t>
      </w:r>
      <w:r>
        <w:rPr>
          <w:rFonts w:hint="eastAsia"/>
          <w:snapToGrid w:val="0"/>
          <w:color w:val="auto"/>
        </w:rPr>
        <w:t>建设</w:t>
      </w:r>
      <w:r>
        <w:rPr>
          <w:snapToGrid w:val="0"/>
          <w:color w:val="auto"/>
        </w:rPr>
        <w:t>项目竣工环境保护验收污染物排放标准</w:t>
      </w:r>
      <w:r>
        <w:rPr>
          <w:rFonts w:hint="eastAsia"/>
          <w:snapToGrid w:val="0"/>
          <w:color w:val="auto"/>
        </w:rPr>
        <w:t>原则上执行环境影响报告书（表）及其审批部门审批决定</w:t>
      </w:r>
      <w:r>
        <w:rPr>
          <w:snapToGrid w:val="0"/>
          <w:color w:val="auto"/>
        </w:rPr>
        <w:t>所规定的标准。在</w:t>
      </w:r>
      <w:r>
        <w:rPr>
          <w:rFonts w:hint="eastAsia"/>
          <w:snapToGrid w:val="0"/>
          <w:color w:val="auto"/>
        </w:rPr>
        <w:t>环境影响报告书（表）审批</w:t>
      </w:r>
      <w:r>
        <w:rPr>
          <w:snapToGrid w:val="0"/>
          <w:color w:val="auto"/>
        </w:rPr>
        <w:t>之后发布或修订的标准对建设项目执行</w:t>
      </w:r>
      <w:r>
        <w:rPr>
          <w:rFonts w:hint="eastAsia"/>
          <w:snapToGrid w:val="0"/>
          <w:color w:val="auto"/>
        </w:rPr>
        <w:t>该标准</w:t>
      </w:r>
      <w:r>
        <w:rPr>
          <w:snapToGrid w:val="0"/>
          <w:color w:val="auto"/>
        </w:rPr>
        <w:t>有明确时限要求的，按</w:t>
      </w:r>
      <w:r>
        <w:rPr>
          <w:rFonts w:hint="eastAsia"/>
          <w:snapToGrid w:val="0"/>
          <w:color w:val="auto"/>
        </w:rPr>
        <w:t>新发布或修订的标准</w:t>
      </w:r>
      <w:r>
        <w:rPr>
          <w:snapToGrid w:val="0"/>
          <w:color w:val="auto"/>
        </w:rPr>
        <w:t>执行。</w:t>
      </w:r>
      <w:r>
        <w:rPr>
          <w:rFonts w:hint="eastAsia"/>
          <w:snapToGrid w:val="0"/>
          <w:color w:val="auto"/>
        </w:rPr>
        <w:t>特别排放限值的实施地域范围、时间，按国务院生态环境主管部门或省级人民政府规定执行。建设项目</w:t>
      </w:r>
      <w:r>
        <w:rPr>
          <w:snapToGrid w:val="0"/>
          <w:color w:val="auto"/>
        </w:rPr>
        <w:t>排放环境影响报告书（</w:t>
      </w:r>
      <w:r>
        <w:rPr>
          <w:rFonts w:hint="eastAsia"/>
          <w:snapToGrid w:val="0"/>
          <w:color w:val="auto"/>
        </w:rPr>
        <w:t>表</w:t>
      </w:r>
      <w:r>
        <w:rPr>
          <w:snapToGrid w:val="0"/>
          <w:color w:val="auto"/>
        </w:rPr>
        <w:t>）</w:t>
      </w:r>
      <w:r>
        <w:rPr>
          <w:rFonts w:hint="eastAsia"/>
          <w:snapToGrid w:val="0"/>
          <w:color w:val="auto"/>
        </w:rPr>
        <w:t>及其</w:t>
      </w:r>
      <w:r>
        <w:rPr>
          <w:snapToGrid w:val="0"/>
          <w:color w:val="auto"/>
        </w:rPr>
        <w:t>审批部门审批决定中</w:t>
      </w:r>
      <w:r>
        <w:rPr>
          <w:rFonts w:hint="eastAsia"/>
          <w:snapToGrid w:val="0"/>
          <w:color w:val="auto"/>
        </w:rPr>
        <w:t>未</w:t>
      </w:r>
      <w:r>
        <w:rPr>
          <w:snapToGrid w:val="0"/>
          <w:color w:val="auto"/>
        </w:rPr>
        <w:t>包括的污染物，执行相应的现行标准</w:t>
      </w:r>
      <w:r>
        <w:rPr>
          <w:rFonts w:hint="eastAsia"/>
          <w:snapToGrid w:val="0"/>
          <w:color w:val="auto"/>
        </w:rPr>
        <w:t>”</w:t>
      </w:r>
      <w:r>
        <w:rPr>
          <w:snapToGrid w:val="0"/>
          <w:color w:val="auto"/>
        </w:rPr>
        <w:t>。</w:t>
      </w:r>
    </w:p>
    <w:p w14:paraId="79559052">
      <w:pPr>
        <w:pStyle w:val="4"/>
        <w:ind w:firstLine="480"/>
        <w:rPr>
          <w:color w:val="auto"/>
        </w:rPr>
      </w:pPr>
      <w:r>
        <w:rPr>
          <w:rFonts w:hint="eastAsia"/>
          <w:color w:val="auto"/>
        </w:rPr>
        <w:t>1）废气</w:t>
      </w:r>
    </w:p>
    <w:p w14:paraId="5E0FD7A5">
      <w:pPr>
        <w:pStyle w:val="4"/>
        <w:ind w:firstLine="480"/>
        <w:rPr>
          <w:color w:val="auto"/>
        </w:rPr>
      </w:pPr>
      <w:r>
        <w:rPr>
          <w:rFonts w:hint="eastAsia"/>
          <w:color w:val="auto"/>
        </w:rPr>
        <w:t>本期工程废气执行标准见</w:t>
      </w:r>
      <w:r>
        <w:rPr>
          <w:color w:val="auto"/>
        </w:rPr>
        <w:fldChar w:fldCharType="begin"/>
      </w:r>
      <w:r>
        <w:rPr>
          <w:color w:val="auto"/>
        </w:rPr>
        <w:instrText xml:space="preserve"> </w:instrText>
      </w:r>
      <w:r>
        <w:rPr>
          <w:rFonts w:hint="eastAsia"/>
          <w:color w:val="auto"/>
        </w:rPr>
        <w:instrText xml:space="preserve">REF _Ref142901908 \h</w:instrText>
      </w:r>
      <w:r>
        <w:rPr>
          <w:color w:val="auto"/>
        </w:rPr>
        <w:instrText xml:space="preserve">  \* MERGEFORMAT </w:instrText>
      </w:r>
      <w:r>
        <w:rPr>
          <w:color w:val="auto"/>
        </w:rPr>
        <w:fldChar w:fldCharType="separate"/>
      </w:r>
      <w:r>
        <w:rPr>
          <w:rFonts w:hint="eastAsia"/>
          <w:color w:val="auto"/>
        </w:rPr>
        <w:t xml:space="preserve">表 </w:t>
      </w:r>
      <w:r>
        <w:rPr>
          <w:color w:val="auto"/>
        </w:rPr>
        <w:t>4.3</w:t>
      </w:r>
      <w:r>
        <w:rPr>
          <w:color w:val="auto"/>
        </w:rPr>
        <w:noBreakHyphen/>
      </w:r>
      <w:r>
        <w:rPr>
          <w:color w:val="auto"/>
        </w:rPr>
        <w:t>1</w:t>
      </w:r>
      <w:r>
        <w:rPr>
          <w:color w:val="auto"/>
        </w:rPr>
        <w:fldChar w:fldCharType="end"/>
      </w:r>
      <w:r>
        <w:rPr>
          <w:rFonts w:hint="eastAsia"/>
          <w:color w:val="auto"/>
        </w:rPr>
        <w:t>。</w:t>
      </w:r>
    </w:p>
    <w:p w14:paraId="27C4460F">
      <w:pPr>
        <w:pStyle w:val="15"/>
        <w:spacing w:before="120"/>
        <w:rPr>
          <w:rFonts w:hAnsi="宋体"/>
          <w:snapToGrid w:val="0"/>
          <w:color w:val="auto"/>
        </w:rPr>
      </w:pPr>
      <w:bookmarkStart w:id="354" w:name="_Ref24414704"/>
      <w:bookmarkEnd w:id="354"/>
      <w:bookmarkStart w:id="355" w:name="_Ref142901908"/>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355"/>
      <w:r>
        <w:rPr>
          <w:rFonts w:hint="eastAsia" w:hAnsi="宋体"/>
          <w:color w:val="auto"/>
        </w:rPr>
        <w:t xml:space="preserve">  </w:t>
      </w:r>
      <w:r>
        <w:rPr>
          <w:rFonts w:hint="eastAsia" w:hAnsi="宋体"/>
          <w:snapToGrid w:val="0"/>
          <w:color w:val="auto"/>
        </w:rPr>
        <w:t>废气执行标准</w:t>
      </w:r>
      <w:r>
        <w:rPr>
          <w:rFonts w:hAnsi="宋体"/>
          <w:snapToGrid w:val="0"/>
          <w:color w:val="auto"/>
        </w:rPr>
        <w:t>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79"/>
        <w:gridCol w:w="2210"/>
        <w:gridCol w:w="1514"/>
        <w:gridCol w:w="2634"/>
        <w:gridCol w:w="1584"/>
      </w:tblGrid>
      <w:tr w14:paraId="4991E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restart"/>
            <w:shd w:val="clear" w:color="auto" w:fill="auto"/>
            <w:vAlign w:val="center"/>
          </w:tcPr>
          <w:p w14:paraId="112D6A58">
            <w:pPr>
              <w:jc w:val="center"/>
              <w:rPr>
                <w:rFonts w:ascii="宋体" w:hAnsi="宋体"/>
                <w:color w:val="auto"/>
                <w:kern w:val="0"/>
              </w:rPr>
            </w:pPr>
            <w:r>
              <w:rPr>
                <w:rFonts w:hint="eastAsia" w:ascii="宋体" w:hAnsi="宋体"/>
                <w:color w:val="auto"/>
                <w:kern w:val="0"/>
              </w:rPr>
              <w:t>阶段</w:t>
            </w:r>
          </w:p>
        </w:tc>
        <w:tc>
          <w:tcPr>
            <w:tcW w:w="2135" w:type="pct"/>
            <w:gridSpan w:val="2"/>
            <w:shd w:val="clear" w:color="auto" w:fill="auto"/>
            <w:vAlign w:val="center"/>
          </w:tcPr>
          <w:p w14:paraId="023AA896">
            <w:pPr>
              <w:jc w:val="center"/>
              <w:rPr>
                <w:rFonts w:ascii="宋体" w:hAnsi="宋体"/>
                <w:color w:val="auto"/>
                <w:kern w:val="0"/>
              </w:rPr>
            </w:pPr>
            <w:r>
              <w:rPr>
                <w:rFonts w:hint="eastAsia" w:ascii="宋体" w:hAnsi="宋体"/>
                <w:color w:val="auto"/>
                <w:kern w:val="0"/>
              </w:rPr>
              <w:t>环评及批复标准</w:t>
            </w:r>
          </w:p>
        </w:tc>
        <w:tc>
          <w:tcPr>
            <w:tcW w:w="2418" w:type="pct"/>
            <w:gridSpan w:val="2"/>
            <w:shd w:val="clear" w:color="auto" w:fill="auto"/>
            <w:vAlign w:val="center"/>
          </w:tcPr>
          <w:p w14:paraId="034E338D">
            <w:pPr>
              <w:jc w:val="center"/>
              <w:rPr>
                <w:rFonts w:ascii="宋体" w:hAnsi="宋体"/>
                <w:color w:val="auto"/>
                <w:kern w:val="0"/>
              </w:rPr>
            </w:pPr>
            <w:r>
              <w:rPr>
                <w:rFonts w:hint="eastAsia" w:ascii="宋体" w:hAnsi="宋体"/>
                <w:color w:val="auto"/>
                <w:kern w:val="0"/>
              </w:rPr>
              <w:t>现行及验收执行标准</w:t>
            </w:r>
          </w:p>
        </w:tc>
      </w:tr>
      <w:tr w14:paraId="69D01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shd w:val="clear" w:color="auto" w:fill="auto"/>
            <w:vAlign w:val="center"/>
          </w:tcPr>
          <w:p w14:paraId="4E6712A4">
            <w:pPr>
              <w:jc w:val="center"/>
              <w:rPr>
                <w:rFonts w:ascii="宋体" w:hAnsi="宋体"/>
                <w:color w:val="auto"/>
                <w:kern w:val="0"/>
              </w:rPr>
            </w:pPr>
          </w:p>
        </w:tc>
        <w:tc>
          <w:tcPr>
            <w:tcW w:w="1267" w:type="pct"/>
            <w:shd w:val="clear" w:color="auto" w:fill="auto"/>
            <w:vAlign w:val="center"/>
          </w:tcPr>
          <w:p w14:paraId="6314D5B0">
            <w:pPr>
              <w:jc w:val="center"/>
              <w:rPr>
                <w:rFonts w:ascii="宋体" w:hAnsi="宋体"/>
                <w:color w:val="auto"/>
                <w:kern w:val="0"/>
              </w:rPr>
            </w:pPr>
            <w:r>
              <w:rPr>
                <w:rFonts w:hint="eastAsia" w:ascii="宋体" w:hAnsi="宋体"/>
                <w:color w:val="auto"/>
                <w:kern w:val="0"/>
              </w:rPr>
              <w:t>执行标准</w:t>
            </w:r>
          </w:p>
        </w:tc>
        <w:tc>
          <w:tcPr>
            <w:tcW w:w="868" w:type="pct"/>
            <w:shd w:val="clear" w:color="auto" w:fill="auto"/>
            <w:vAlign w:val="center"/>
          </w:tcPr>
          <w:p w14:paraId="0FDFAC0A">
            <w:pPr>
              <w:jc w:val="center"/>
              <w:rPr>
                <w:rFonts w:ascii="宋体" w:hAnsi="宋体"/>
                <w:color w:val="auto"/>
                <w:kern w:val="0"/>
              </w:rPr>
            </w:pPr>
            <w:r>
              <w:rPr>
                <w:rFonts w:hint="eastAsia" w:ascii="宋体" w:hAnsi="宋体"/>
                <w:color w:val="auto"/>
                <w:kern w:val="0"/>
              </w:rPr>
              <w:t>限值</w:t>
            </w:r>
          </w:p>
        </w:tc>
        <w:tc>
          <w:tcPr>
            <w:tcW w:w="1510" w:type="pct"/>
            <w:shd w:val="clear" w:color="auto" w:fill="auto"/>
            <w:vAlign w:val="center"/>
          </w:tcPr>
          <w:p w14:paraId="064A9027">
            <w:pPr>
              <w:jc w:val="center"/>
              <w:rPr>
                <w:rFonts w:ascii="宋体" w:hAnsi="宋体"/>
                <w:color w:val="auto"/>
                <w:kern w:val="0"/>
              </w:rPr>
            </w:pPr>
            <w:r>
              <w:rPr>
                <w:rFonts w:hint="eastAsia" w:ascii="宋体" w:hAnsi="宋体"/>
                <w:color w:val="auto"/>
                <w:kern w:val="0"/>
              </w:rPr>
              <w:t>执行标准</w:t>
            </w:r>
          </w:p>
        </w:tc>
        <w:tc>
          <w:tcPr>
            <w:tcW w:w="908" w:type="pct"/>
            <w:shd w:val="clear" w:color="auto" w:fill="auto"/>
            <w:vAlign w:val="center"/>
          </w:tcPr>
          <w:p w14:paraId="164C9EB2">
            <w:pPr>
              <w:jc w:val="center"/>
              <w:rPr>
                <w:rFonts w:ascii="宋体" w:hAnsi="宋体"/>
                <w:color w:val="auto"/>
                <w:kern w:val="0"/>
              </w:rPr>
            </w:pPr>
            <w:r>
              <w:rPr>
                <w:rFonts w:hint="eastAsia" w:ascii="宋体" w:hAnsi="宋体"/>
                <w:color w:val="auto"/>
                <w:kern w:val="0"/>
              </w:rPr>
              <w:t>限值</w:t>
            </w:r>
          </w:p>
        </w:tc>
      </w:tr>
      <w:tr w14:paraId="4490C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shd w:val="clear" w:color="auto" w:fill="auto"/>
            <w:vAlign w:val="center"/>
          </w:tcPr>
          <w:p w14:paraId="4793143A">
            <w:pPr>
              <w:jc w:val="center"/>
              <w:rPr>
                <w:rFonts w:ascii="宋体" w:hAnsi="宋体"/>
                <w:color w:val="auto"/>
                <w:kern w:val="0"/>
              </w:rPr>
            </w:pPr>
            <w:r>
              <w:rPr>
                <w:rFonts w:hint="eastAsia" w:ascii="宋体" w:hAnsi="宋体"/>
                <w:color w:val="auto"/>
                <w:kern w:val="0"/>
              </w:rPr>
              <w:t>施工期无组织废气</w:t>
            </w:r>
          </w:p>
        </w:tc>
        <w:tc>
          <w:tcPr>
            <w:tcW w:w="1267" w:type="pct"/>
            <w:shd w:val="clear" w:color="auto" w:fill="auto"/>
            <w:vAlign w:val="center"/>
          </w:tcPr>
          <w:p w14:paraId="3B3B6435">
            <w:pPr>
              <w:jc w:val="center"/>
              <w:rPr>
                <w:rFonts w:ascii="宋体" w:hAnsi="宋体"/>
                <w:color w:val="auto"/>
                <w:kern w:val="0"/>
              </w:rPr>
            </w:pPr>
            <w:r>
              <w:rPr>
                <w:rFonts w:hint="eastAsia" w:ascii="宋体" w:hAnsi="宋体"/>
                <w:color w:val="auto"/>
                <w:kern w:val="0"/>
              </w:rPr>
              <w:t>《大气污染物综合排放标准》（GB 16297-1996）表2限值</w:t>
            </w:r>
          </w:p>
        </w:tc>
        <w:tc>
          <w:tcPr>
            <w:tcW w:w="868" w:type="pct"/>
            <w:shd w:val="clear" w:color="auto" w:fill="auto"/>
            <w:vAlign w:val="center"/>
          </w:tcPr>
          <w:p w14:paraId="0C248CB0">
            <w:pPr>
              <w:jc w:val="center"/>
              <w:rPr>
                <w:rFonts w:ascii="宋体" w:hAnsi="宋体"/>
                <w:color w:val="auto"/>
                <w:kern w:val="0"/>
              </w:rPr>
            </w:pPr>
            <w:r>
              <w:rPr>
                <w:rFonts w:hint="eastAsia" w:ascii="宋体" w:hAnsi="宋体"/>
                <w:color w:val="auto"/>
                <w:kern w:val="0"/>
              </w:rPr>
              <w:t>颗粒物≤1mg/m</w:t>
            </w:r>
            <w:r>
              <w:rPr>
                <w:rFonts w:hint="eastAsia" w:ascii="宋体" w:hAnsi="宋体"/>
                <w:color w:val="auto"/>
                <w:kern w:val="0"/>
                <w:vertAlign w:val="superscript"/>
              </w:rPr>
              <w:t>3</w:t>
            </w:r>
          </w:p>
        </w:tc>
        <w:tc>
          <w:tcPr>
            <w:tcW w:w="1510" w:type="pct"/>
            <w:shd w:val="clear" w:color="auto" w:fill="auto"/>
            <w:vAlign w:val="center"/>
          </w:tcPr>
          <w:p w14:paraId="0D0FAE9E">
            <w:pPr>
              <w:jc w:val="center"/>
              <w:rPr>
                <w:rFonts w:ascii="宋体" w:hAnsi="宋体"/>
                <w:color w:val="auto"/>
                <w:kern w:val="0"/>
              </w:rPr>
            </w:pPr>
            <w:r>
              <w:rPr>
                <w:rFonts w:hint="eastAsia" w:ascii="宋体" w:hAnsi="宋体"/>
                <w:color w:val="auto"/>
                <w:kern w:val="0"/>
              </w:rPr>
              <w:t>《大气污染物综合排放标准》（GB 16297-1996）表2限值</w:t>
            </w:r>
          </w:p>
        </w:tc>
        <w:tc>
          <w:tcPr>
            <w:tcW w:w="908" w:type="pct"/>
            <w:shd w:val="clear" w:color="auto" w:fill="auto"/>
            <w:vAlign w:val="center"/>
          </w:tcPr>
          <w:p w14:paraId="06103C07">
            <w:pPr>
              <w:jc w:val="center"/>
              <w:rPr>
                <w:rFonts w:ascii="宋体" w:hAnsi="宋体"/>
                <w:color w:val="auto"/>
                <w:kern w:val="0"/>
              </w:rPr>
            </w:pPr>
            <w:r>
              <w:rPr>
                <w:rFonts w:hint="eastAsia" w:ascii="宋体" w:hAnsi="宋体"/>
                <w:color w:val="auto"/>
                <w:kern w:val="0"/>
              </w:rPr>
              <w:t>颗粒物≤1mg/m</w:t>
            </w:r>
            <w:r>
              <w:rPr>
                <w:rFonts w:hint="eastAsia" w:ascii="宋体" w:hAnsi="宋体"/>
                <w:color w:val="auto"/>
                <w:kern w:val="0"/>
                <w:vertAlign w:val="superscript"/>
              </w:rPr>
              <w:t>3</w:t>
            </w:r>
          </w:p>
        </w:tc>
      </w:tr>
      <w:tr w14:paraId="4D2C4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restart"/>
            <w:shd w:val="clear" w:color="auto" w:fill="auto"/>
            <w:vAlign w:val="center"/>
          </w:tcPr>
          <w:p w14:paraId="55DFDF52">
            <w:pPr>
              <w:jc w:val="center"/>
              <w:rPr>
                <w:rFonts w:ascii="宋体" w:hAnsi="宋体"/>
                <w:color w:val="auto"/>
                <w:kern w:val="0"/>
              </w:rPr>
            </w:pPr>
            <w:r>
              <w:rPr>
                <w:rFonts w:hint="eastAsia" w:ascii="宋体" w:hAnsi="宋体"/>
                <w:color w:val="auto"/>
                <w:kern w:val="0"/>
              </w:rPr>
              <w:t>运营期无组织废气</w:t>
            </w:r>
          </w:p>
        </w:tc>
        <w:tc>
          <w:tcPr>
            <w:tcW w:w="1267" w:type="pct"/>
            <w:shd w:val="clear" w:color="auto" w:fill="auto"/>
            <w:vAlign w:val="center"/>
          </w:tcPr>
          <w:p w14:paraId="7BB920E9">
            <w:pPr>
              <w:jc w:val="center"/>
              <w:rPr>
                <w:rFonts w:ascii="宋体" w:hAnsi="宋体"/>
                <w:color w:val="auto"/>
                <w:kern w:val="0"/>
              </w:rPr>
            </w:pPr>
            <w:r>
              <w:rPr>
                <w:rFonts w:hint="eastAsia" w:ascii="宋体" w:hAnsi="宋体"/>
                <w:color w:val="auto"/>
                <w:kern w:val="0"/>
              </w:rPr>
              <w:t>《挥发性有机物排放标准 第7部分：其他行业》（DB37/ 2801.7-2019）表2标准</w:t>
            </w:r>
          </w:p>
        </w:tc>
        <w:tc>
          <w:tcPr>
            <w:tcW w:w="868" w:type="pct"/>
            <w:shd w:val="clear" w:color="auto" w:fill="auto"/>
            <w:vAlign w:val="center"/>
          </w:tcPr>
          <w:p w14:paraId="4CF4B058">
            <w:pPr>
              <w:jc w:val="center"/>
              <w:rPr>
                <w:rFonts w:ascii="宋体" w:hAnsi="宋体"/>
                <w:color w:val="auto"/>
                <w:kern w:val="0"/>
              </w:rPr>
            </w:pPr>
            <w:r>
              <w:rPr>
                <w:rFonts w:hint="eastAsia" w:ascii="宋体" w:hAnsi="宋体"/>
                <w:color w:val="auto"/>
                <w:kern w:val="0"/>
              </w:rPr>
              <w:t>VOCs≤2mg/m</w:t>
            </w:r>
            <w:r>
              <w:rPr>
                <w:rFonts w:hint="eastAsia" w:ascii="宋体" w:hAnsi="宋体"/>
                <w:color w:val="auto"/>
                <w:kern w:val="0"/>
                <w:vertAlign w:val="superscript"/>
              </w:rPr>
              <w:t>3</w:t>
            </w:r>
          </w:p>
        </w:tc>
        <w:tc>
          <w:tcPr>
            <w:tcW w:w="1510" w:type="pct"/>
            <w:shd w:val="clear" w:color="auto" w:fill="auto"/>
            <w:vAlign w:val="center"/>
          </w:tcPr>
          <w:p w14:paraId="6EBD0542">
            <w:pPr>
              <w:jc w:val="center"/>
              <w:rPr>
                <w:rFonts w:ascii="宋体" w:hAnsi="宋体"/>
                <w:color w:val="auto"/>
                <w:kern w:val="0"/>
              </w:rPr>
            </w:pPr>
            <w:r>
              <w:rPr>
                <w:rFonts w:hint="eastAsia" w:ascii="宋体" w:hAnsi="宋体"/>
                <w:color w:val="auto"/>
                <w:kern w:val="0"/>
              </w:rPr>
              <w:t>《挥发性有机物排放标准 第7部分：其他行业》（DB37/ 2801.7-2019）表2标准</w:t>
            </w:r>
          </w:p>
        </w:tc>
        <w:tc>
          <w:tcPr>
            <w:tcW w:w="908" w:type="pct"/>
            <w:shd w:val="clear" w:color="auto" w:fill="auto"/>
            <w:vAlign w:val="center"/>
          </w:tcPr>
          <w:p w14:paraId="061B95D3">
            <w:pPr>
              <w:jc w:val="center"/>
              <w:rPr>
                <w:rFonts w:ascii="宋体" w:hAnsi="宋体"/>
                <w:color w:val="auto"/>
                <w:kern w:val="0"/>
              </w:rPr>
            </w:pPr>
            <w:r>
              <w:rPr>
                <w:rFonts w:hint="eastAsia" w:ascii="宋体" w:hAnsi="宋体"/>
                <w:color w:val="auto"/>
                <w:kern w:val="0"/>
              </w:rPr>
              <w:t>VOCs≤2mg/m</w:t>
            </w:r>
            <w:r>
              <w:rPr>
                <w:rFonts w:hint="eastAsia" w:ascii="宋体" w:hAnsi="宋体"/>
                <w:color w:val="auto"/>
                <w:kern w:val="0"/>
                <w:vertAlign w:val="superscript"/>
              </w:rPr>
              <w:t>3</w:t>
            </w:r>
          </w:p>
        </w:tc>
      </w:tr>
      <w:tr w14:paraId="34D80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shd w:val="clear" w:color="auto" w:fill="auto"/>
            <w:vAlign w:val="center"/>
          </w:tcPr>
          <w:p w14:paraId="655975BE">
            <w:pPr>
              <w:jc w:val="center"/>
              <w:rPr>
                <w:rFonts w:ascii="宋体" w:hAnsi="宋体"/>
                <w:color w:val="auto"/>
                <w:kern w:val="0"/>
              </w:rPr>
            </w:pPr>
          </w:p>
        </w:tc>
        <w:tc>
          <w:tcPr>
            <w:tcW w:w="1267" w:type="pct"/>
            <w:shd w:val="clear" w:color="auto" w:fill="auto"/>
            <w:vAlign w:val="center"/>
          </w:tcPr>
          <w:p w14:paraId="587F00C1">
            <w:pPr>
              <w:jc w:val="center"/>
              <w:rPr>
                <w:rFonts w:ascii="宋体" w:hAnsi="宋体"/>
                <w:color w:val="auto"/>
                <w:kern w:val="0"/>
              </w:rPr>
            </w:pPr>
            <w:r>
              <w:rPr>
                <w:rFonts w:hint="eastAsia" w:ascii="宋体" w:hAnsi="宋体"/>
                <w:color w:val="auto"/>
              </w:rPr>
              <w:t>《恶臭污染物排放标准》（GB 14554-1993）厂界标准</w:t>
            </w:r>
          </w:p>
        </w:tc>
        <w:tc>
          <w:tcPr>
            <w:tcW w:w="868" w:type="pct"/>
            <w:shd w:val="clear" w:color="auto" w:fill="auto"/>
            <w:vAlign w:val="center"/>
          </w:tcPr>
          <w:p w14:paraId="26032A76">
            <w:pPr>
              <w:jc w:val="center"/>
              <w:rPr>
                <w:rFonts w:ascii="宋体" w:hAnsi="宋体"/>
                <w:color w:val="auto"/>
                <w:kern w:val="0"/>
              </w:rPr>
            </w:pPr>
            <w:r>
              <w:rPr>
                <w:rFonts w:hint="eastAsia" w:ascii="宋体" w:hAnsi="宋体"/>
                <w:color w:val="auto"/>
                <w:kern w:val="0"/>
              </w:rPr>
              <w:t>硫化氢≤</w:t>
            </w:r>
            <w:r>
              <w:rPr>
                <w:rFonts w:hint="eastAsia" w:ascii="宋体" w:hAnsi="宋体" w:cs="宋体"/>
                <w:color w:val="auto"/>
              </w:rPr>
              <w:t>0.06</w:t>
            </w:r>
            <w:r>
              <w:rPr>
                <w:rFonts w:hint="eastAsia" w:ascii="宋体" w:hAnsi="宋体"/>
                <w:color w:val="auto"/>
                <w:kern w:val="0"/>
              </w:rPr>
              <w:t xml:space="preserve"> mg/m</w:t>
            </w:r>
            <w:r>
              <w:rPr>
                <w:rFonts w:hint="eastAsia" w:ascii="宋体" w:hAnsi="宋体"/>
                <w:color w:val="auto"/>
                <w:kern w:val="0"/>
                <w:vertAlign w:val="superscript"/>
              </w:rPr>
              <w:t>3</w:t>
            </w:r>
          </w:p>
        </w:tc>
        <w:tc>
          <w:tcPr>
            <w:tcW w:w="1510" w:type="pct"/>
            <w:shd w:val="clear" w:color="auto" w:fill="auto"/>
            <w:vAlign w:val="center"/>
          </w:tcPr>
          <w:p w14:paraId="3090A68A">
            <w:pPr>
              <w:jc w:val="center"/>
              <w:rPr>
                <w:rFonts w:ascii="宋体" w:hAnsi="宋体"/>
                <w:color w:val="auto"/>
                <w:kern w:val="0"/>
              </w:rPr>
            </w:pPr>
            <w:r>
              <w:rPr>
                <w:rFonts w:hint="eastAsia" w:ascii="宋体" w:hAnsi="宋体"/>
                <w:color w:val="auto"/>
              </w:rPr>
              <w:t>《恶臭污染物排放标准》（GB 14554-1993）厂界标准</w:t>
            </w:r>
          </w:p>
        </w:tc>
        <w:tc>
          <w:tcPr>
            <w:tcW w:w="908" w:type="pct"/>
            <w:shd w:val="clear" w:color="auto" w:fill="auto"/>
            <w:vAlign w:val="center"/>
          </w:tcPr>
          <w:p w14:paraId="25E0660A">
            <w:pPr>
              <w:jc w:val="center"/>
              <w:rPr>
                <w:rFonts w:ascii="宋体" w:hAnsi="宋体"/>
                <w:color w:val="auto"/>
                <w:kern w:val="0"/>
              </w:rPr>
            </w:pPr>
            <w:r>
              <w:rPr>
                <w:rFonts w:hint="eastAsia" w:ascii="宋体" w:hAnsi="宋体"/>
                <w:color w:val="auto"/>
                <w:kern w:val="0"/>
              </w:rPr>
              <w:t>硫化氢≤</w:t>
            </w:r>
            <w:r>
              <w:rPr>
                <w:rFonts w:hint="eastAsia" w:ascii="宋体" w:hAnsi="宋体" w:cs="宋体"/>
                <w:color w:val="auto"/>
              </w:rPr>
              <w:t>0.06</w:t>
            </w:r>
            <w:r>
              <w:rPr>
                <w:rFonts w:hint="eastAsia" w:ascii="宋体" w:hAnsi="宋体"/>
                <w:color w:val="auto"/>
                <w:kern w:val="0"/>
              </w:rPr>
              <w:t xml:space="preserve"> mg/m</w:t>
            </w:r>
            <w:r>
              <w:rPr>
                <w:rFonts w:hint="eastAsia" w:ascii="宋体" w:hAnsi="宋体"/>
                <w:color w:val="auto"/>
                <w:kern w:val="0"/>
                <w:vertAlign w:val="superscript"/>
              </w:rPr>
              <w:t>3</w:t>
            </w:r>
          </w:p>
        </w:tc>
      </w:tr>
      <w:tr w14:paraId="70D77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restart"/>
            <w:shd w:val="clear" w:color="auto" w:fill="auto"/>
            <w:vAlign w:val="center"/>
          </w:tcPr>
          <w:p w14:paraId="6937ECB0">
            <w:pPr>
              <w:jc w:val="center"/>
              <w:rPr>
                <w:rFonts w:ascii="宋体" w:hAnsi="宋体"/>
                <w:color w:val="auto"/>
                <w:kern w:val="0"/>
              </w:rPr>
            </w:pPr>
            <w:r>
              <w:rPr>
                <w:rFonts w:hint="eastAsia" w:ascii="宋体" w:hAnsi="宋体"/>
                <w:color w:val="auto"/>
                <w:kern w:val="0"/>
              </w:rPr>
              <w:t>运营期有组织废气</w:t>
            </w:r>
          </w:p>
          <w:p w14:paraId="67680BCE">
            <w:pPr>
              <w:jc w:val="center"/>
              <w:rPr>
                <w:rFonts w:ascii="宋体" w:hAnsi="宋体"/>
                <w:color w:val="auto"/>
                <w:kern w:val="0"/>
              </w:rPr>
            </w:pPr>
            <w:r>
              <w:rPr>
                <w:rFonts w:hint="eastAsia" w:ascii="宋体" w:hAnsi="宋体"/>
                <w:color w:val="auto"/>
              </w:rPr>
              <w:t xml:space="preserve"> </w:t>
            </w:r>
          </w:p>
        </w:tc>
        <w:tc>
          <w:tcPr>
            <w:tcW w:w="1267" w:type="pct"/>
            <w:vMerge w:val="restart"/>
            <w:shd w:val="clear" w:color="auto" w:fill="auto"/>
            <w:vAlign w:val="center"/>
          </w:tcPr>
          <w:p w14:paraId="1C3CBA2E">
            <w:pPr>
              <w:jc w:val="center"/>
              <w:rPr>
                <w:rFonts w:ascii="宋体" w:hAnsi="宋体"/>
                <w:color w:val="auto"/>
                <w:kern w:val="0"/>
              </w:rPr>
            </w:pPr>
            <w:r>
              <w:rPr>
                <w:rFonts w:hint="eastAsia" w:ascii="宋体" w:hAnsi="宋体"/>
                <w:color w:val="auto"/>
                <w:kern w:val="0"/>
              </w:rPr>
              <w:t>《区域性大气污染物综合排放标准》（DB37/ 2376-2019）中表1“一般控制区”大气污染物排放浓度限值</w:t>
            </w:r>
          </w:p>
        </w:tc>
        <w:tc>
          <w:tcPr>
            <w:tcW w:w="868" w:type="pct"/>
            <w:shd w:val="clear" w:color="auto" w:fill="auto"/>
            <w:vAlign w:val="center"/>
          </w:tcPr>
          <w:p w14:paraId="0C32F214">
            <w:pPr>
              <w:jc w:val="center"/>
              <w:rPr>
                <w:rFonts w:ascii="宋体" w:hAnsi="宋体"/>
                <w:color w:val="auto"/>
                <w:kern w:val="0"/>
              </w:rPr>
            </w:pPr>
            <w:r>
              <w:rPr>
                <w:rFonts w:hint="eastAsia" w:ascii="宋体" w:hAnsi="宋体"/>
                <w:color w:val="auto"/>
                <w:kern w:val="0"/>
              </w:rPr>
              <w:t>SO</w:t>
            </w:r>
            <w:r>
              <w:rPr>
                <w:rFonts w:hint="eastAsia" w:ascii="宋体" w:hAnsi="宋体"/>
                <w:color w:val="auto"/>
                <w:kern w:val="0"/>
                <w:vertAlign w:val="subscript"/>
              </w:rPr>
              <w:t>2</w:t>
            </w:r>
            <w:r>
              <w:rPr>
                <w:rFonts w:hint="eastAsia" w:ascii="宋体" w:hAnsi="宋体"/>
                <w:color w:val="auto"/>
                <w:kern w:val="0"/>
              </w:rPr>
              <w:t>≤100mg/m</w:t>
            </w:r>
            <w:r>
              <w:rPr>
                <w:rFonts w:hint="eastAsia" w:ascii="宋体" w:hAnsi="宋体"/>
                <w:color w:val="auto"/>
                <w:kern w:val="0"/>
                <w:vertAlign w:val="superscript"/>
              </w:rPr>
              <w:t>3</w:t>
            </w:r>
          </w:p>
        </w:tc>
        <w:tc>
          <w:tcPr>
            <w:tcW w:w="1510" w:type="pct"/>
            <w:vMerge w:val="restart"/>
            <w:shd w:val="clear" w:color="auto" w:fill="auto"/>
            <w:vAlign w:val="center"/>
          </w:tcPr>
          <w:p w14:paraId="595490CA">
            <w:pPr>
              <w:jc w:val="center"/>
              <w:rPr>
                <w:rFonts w:ascii="宋体" w:hAnsi="宋体"/>
                <w:color w:val="auto"/>
                <w:kern w:val="0"/>
              </w:rPr>
            </w:pPr>
            <w:r>
              <w:rPr>
                <w:rFonts w:hint="eastAsia" w:ascii="宋体" w:hAnsi="宋体"/>
                <w:color w:val="auto"/>
              </w:rPr>
              <w:t>《区域性大气污染物综合排放标准》（DB37/ 2376-2019）中表1重点控制区的标准限值</w:t>
            </w:r>
            <w:r>
              <w:rPr>
                <w:rFonts w:hint="eastAsia" w:ascii="宋体" w:hAnsi="宋体"/>
                <w:color w:val="auto"/>
                <w:kern w:val="0"/>
              </w:rPr>
              <w:t>；</w:t>
            </w:r>
            <w:r>
              <w:rPr>
                <w:rFonts w:ascii="宋体" w:hAnsi="宋体"/>
                <w:color w:val="auto"/>
                <w:kern w:val="0"/>
              </w:rPr>
              <w:t xml:space="preserve"> </w:t>
            </w:r>
          </w:p>
        </w:tc>
        <w:tc>
          <w:tcPr>
            <w:tcW w:w="908" w:type="pct"/>
            <w:shd w:val="clear" w:color="auto" w:fill="auto"/>
            <w:vAlign w:val="center"/>
          </w:tcPr>
          <w:p w14:paraId="39A8C6E6">
            <w:pPr>
              <w:jc w:val="center"/>
              <w:rPr>
                <w:rFonts w:ascii="宋体" w:hAnsi="宋体"/>
                <w:color w:val="auto"/>
                <w:kern w:val="0"/>
              </w:rPr>
            </w:pPr>
            <w:r>
              <w:rPr>
                <w:rFonts w:hint="eastAsia" w:ascii="宋体" w:hAnsi="宋体"/>
                <w:color w:val="auto"/>
                <w:kern w:val="0"/>
              </w:rPr>
              <w:t>SO</w:t>
            </w:r>
            <w:r>
              <w:rPr>
                <w:rFonts w:hint="eastAsia" w:ascii="宋体" w:hAnsi="宋体"/>
                <w:color w:val="auto"/>
                <w:kern w:val="0"/>
                <w:vertAlign w:val="subscript"/>
              </w:rPr>
              <w:t>2</w:t>
            </w:r>
            <w:r>
              <w:rPr>
                <w:rFonts w:hint="eastAsia" w:ascii="宋体" w:hAnsi="宋体"/>
                <w:color w:val="auto"/>
                <w:kern w:val="0"/>
              </w:rPr>
              <w:t>≤50mg/m</w:t>
            </w:r>
            <w:r>
              <w:rPr>
                <w:rFonts w:hint="eastAsia" w:ascii="宋体" w:hAnsi="宋体"/>
                <w:color w:val="auto"/>
                <w:kern w:val="0"/>
                <w:vertAlign w:val="superscript"/>
              </w:rPr>
              <w:t>3</w:t>
            </w:r>
          </w:p>
        </w:tc>
      </w:tr>
      <w:tr w14:paraId="3AA2D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shd w:val="clear" w:color="auto" w:fill="auto"/>
            <w:vAlign w:val="center"/>
          </w:tcPr>
          <w:p w14:paraId="61260546">
            <w:pPr>
              <w:jc w:val="center"/>
              <w:rPr>
                <w:rFonts w:ascii="宋体" w:hAnsi="宋体"/>
                <w:color w:val="auto"/>
                <w:kern w:val="0"/>
              </w:rPr>
            </w:pPr>
          </w:p>
        </w:tc>
        <w:tc>
          <w:tcPr>
            <w:tcW w:w="1267" w:type="pct"/>
            <w:vMerge w:val="continue"/>
            <w:shd w:val="clear" w:color="auto" w:fill="auto"/>
            <w:vAlign w:val="center"/>
          </w:tcPr>
          <w:p w14:paraId="26987388">
            <w:pPr>
              <w:jc w:val="center"/>
              <w:rPr>
                <w:rFonts w:ascii="宋体" w:hAnsi="宋体"/>
                <w:color w:val="auto"/>
                <w:kern w:val="0"/>
              </w:rPr>
            </w:pPr>
          </w:p>
        </w:tc>
        <w:tc>
          <w:tcPr>
            <w:tcW w:w="868" w:type="pct"/>
            <w:shd w:val="clear" w:color="auto" w:fill="auto"/>
            <w:vAlign w:val="center"/>
          </w:tcPr>
          <w:p w14:paraId="06C23A92">
            <w:pPr>
              <w:jc w:val="center"/>
              <w:rPr>
                <w:rFonts w:ascii="宋体" w:hAnsi="宋体"/>
                <w:color w:val="auto"/>
                <w:kern w:val="0"/>
              </w:rPr>
            </w:pPr>
            <w:r>
              <w:rPr>
                <w:rFonts w:hint="eastAsia" w:ascii="宋体" w:hAnsi="宋体"/>
                <w:color w:val="auto"/>
                <w:kern w:val="0"/>
              </w:rPr>
              <w:t>NO</w:t>
            </w:r>
            <w:r>
              <w:rPr>
                <w:rFonts w:hint="eastAsia" w:ascii="宋体" w:hAnsi="宋体"/>
                <w:color w:val="auto"/>
                <w:kern w:val="0"/>
                <w:vertAlign w:val="subscript"/>
              </w:rPr>
              <w:t>X</w:t>
            </w:r>
            <w:r>
              <w:rPr>
                <w:rFonts w:hint="eastAsia" w:ascii="宋体" w:hAnsi="宋体"/>
                <w:color w:val="auto"/>
                <w:kern w:val="0"/>
              </w:rPr>
              <w:t>≤200mg/m</w:t>
            </w:r>
            <w:r>
              <w:rPr>
                <w:rFonts w:hint="eastAsia" w:ascii="宋体" w:hAnsi="宋体"/>
                <w:color w:val="auto"/>
                <w:kern w:val="0"/>
                <w:vertAlign w:val="superscript"/>
              </w:rPr>
              <w:t>3</w:t>
            </w:r>
          </w:p>
        </w:tc>
        <w:tc>
          <w:tcPr>
            <w:tcW w:w="1510" w:type="pct"/>
            <w:vMerge w:val="continue"/>
            <w:shd w:val="clear" w:color="auto" w:fill="auto"/>
            <w:vAlign w:val="center"/>
          </w:tcPr>
          <w:p w14:paraId="5A91E207">
            <w:pPr>
              <w:jc w:val="center"/>
              <w:rPr>
                <w:rFonts w:ascii="宋体" w:hAnsi="宋体"/>
                <w:color w:val="auto"/>
                <w:kern w:val="0"/>
              </w:rPr>
            </w:pPr>
          </w:p>
        </w:tc>
        <w:tc>
          <w:tcPr>
            <w:tcW w:w="908" w:type="pct"/>
            <w:shd w:val="clear" w:color="auto" w:fill="auto"/>
            <w:vAlign w:val="center"/>
          </w:tcPr>
          <w:p w14:paraId="138BAE0C">
            <w:pPr>
              <w:jc w:val="center"/>
              <w:rPr>
                <w:rFonts w:ascii="宋体" w:hAnsi="宋体"/>
                <w:color w:val="auto"/>
                <w:kern w:val="0"/>
              </w:rPr>
            </w:pPr>
            <w:r>
              <w:rPr>
                <w:rFonts w:hint="eastAsia" w:ascii="宋体" w:hAnsi="宋体"/>
                <w:color w:val="auto"/>
                <w:kern w:val="0"/>
              </w:rPr>
              <w:t>NO</w:t>
            </w:r>
            <w:r>
              <w:rPr>
                <w:rFonts w:hint="eastAsia" w:ascii="宋体" w:hAnsi="宋体"/>
                <w:color w:val="auto"/>
                <w:kern w:val="0"/>
                <w:vertAlign w:val="subscript"/>
              </w:rPr>
              <w:t>X</w:t>
            </w:r>
            <w:r>
              <w:rPr>
                <w:rFonts w:hint="eastAsia" w:ascii="宋体" w:hAnsi="宋体"/>
                <w:color w:val="auto"/>
                <w:kern w:val="0"/>
              </w:rPr>
              <w:t>≤</w:t>
            </w:r>
            <w:r>
              <w:rPr>
                <w:rFonts w:ascii="宋体" w:hAnsi="宋体"/>
                <w:color w:val="auto"/>
                <w:kern w:val="0"/>
              </w:rPr>
              <w:t>1</w:t>
            </w:r>
            <w:r>
              <w:rPr>
                <w:rFonts w:hint="eastAsia" w:ascii="宋体" w:hAnsi="宋体"/>
                <w:color w:val="auto"/>
                <w:kern w:val="0"/>
              </w:rPr>
              <w:t>00mg/m</w:t>
            </w:r>
            <w:r>
              <w:rPr>
                <w:rFonts w:hint="eastAsia" w:ascii="宋体" w:hAnsi="宋体"/>
                <w:color w:val="auto"/>
                <w:kern w:val="0"/>
                <w:vertAlign w:val="superscript"/>
              </w:rPr>
              <w:t>3</w:t>
            </w:r>
          </w:p>
        </w:tc>
      </w:tr>
      <w:tr w14:paraId="7E57A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shd w:val="clear" w:color="auto" w:fill="auto"/>
            <w:vAlign w:val="center"/>
          </w:tcPr>
          <w:p w14:paraId="288D7107">
            <w:pPr>
              <w:jc w:val="center"/>
              <w:rPr>
                <w:rFonts w:ascii="宋体" w:hAnsi="宋体"/>
                <w:color w:val="auto"/>
                <w:kern w:val="0"/>
              </w:rPr>
            </w:pPr>
          </w:p>
        </w:tc>
        <w:tc>
          <w:tcPr>
            <w:tcW w:w="1267" w:type="pct"/>
            <w:vMerge w:val="continue"/>
            <w:shd w:val="clear" w:color="auto" w:fill="auto"/>
            <w:vAlign w:val="center"/>
          </w:tcPr>
          <w:p w14:paraId="40313180">
            <w:pPr>
              <w:jc w:val="center"/>
              <w:rPr>
                <w:rFonts w:ascii="宋体" w:hAnsi="宋体"/>
                <w:color w:val="auto"/>
                <w:kern w:val="0"/>
              </w:rPr>
            </w:pPr>
          </w:p>
        </w:tc>
        <w:tc>
          <w:tcPr>
            <w:tcW w:w="868" w:type="pct"/>
            <w:shd w:val="clear" w:color="auto" w:fill="auto"/>
            <w:vAlign w:val="center"/>
          </w:tcPr>
          <w:p w14:paraId="5DF33773">
            <w:pPr>
              <w:jc w:val="center"/>
              <w:rPr>
                <w:rFonts w:ascii="宋体" w:hAnsi="宋体"/>
                <w:color w:val="auto"/>
                <w:kern w:val="0"/>
              </w:rPr>
            </w:pPr>
            <w:r>
              <w:rPr>
                <w:rFonts w:hint="eastAsia" w:ascii="宋体" w:hAnsi="宋体"/>
                <w:color w:val="auto"/>
                <w:kern w:val="0"/>
              </w:rPr>
              <w:t>颗粒物≤20mg/m</w:t>
            </w:r>
            <w:r>
              <w:rPr>
                <w:rFonts w:hint="eastAsia" w:ascii="宋体" w:hAnsi="宋体"/>
                <w:color w:val="auto"/>
                <w:kern w:val="0"/>
                <w:vertAlign w:val="superscript"/>
              </w:rPr>
              <w:t>3</w:t>
            </w:r>
          </w:p>
        </w:tc>
        <w:tc>
          <w:tcPr>
            <w:tcW w:w="1510" w:type="pct"/>
            <w:vMerge w:val="continue"/>
            <w:shd w:val="clear" w:color="auto" w:fill="auto"/>
            <w:vAlign w:val="center"/>
          </w:tcPr>
          <w:p w14:paraId="22B8B4CF">
            <w:pPr>
              <w:jc w:val="center"/>
              <w:rPr>
                <w:rFonts w:ascii="宋体" w:hAnsi="宋体"/>
                <w:color w:val="auto"/>
                <w:kern w:val="0"/>
              </w:rPr>
            </w:pPr>
          </w:p>
        </w:tc>
        <w:tc>
          <w:tcPr>
            <w:tcW w:w="908" w:type="pct"/>
            <w:shd w:val="clear" w:color="auto" w:fill="auto"/>
            <w:vAlign w:val="center"/>
          </w:tcPr>
          <w:p w14:paraId="55E71386">
            <w:pPr>
              <w:jc w:val="center"/>
              <w:rPr>
                <w:rFonts w:ascii="宋体" w:hAnsi="宋体"/>
                <w:color w:val="auto"/>
                <w:kern w:val="0"/>
              </w:rPr>
            </w:pPr>
            <w:r>
              <w:rPr>
                <w:rFonts w:hint="eastAsia" w:ascii="宋体" w:hAnsi="宋体"/>
                <w:color w:val="auto"/>
                <w:kern w:val="0"/>
              </w:rPr>
              <w:t>颗粒物≤</w:t>
            </w:r>
            <w:r>
              <w:rPr>
                <w:rFonts w:ascii="宋体" w:hAnsi="宋体"/>
                <w:color w:val="auto"/>
                <w:kern w:val="0"/>
              </w:rPr>
              <w:t>1</w:t>
            </w:r>
            <w:r>
              <w:rPr>
                <w:rFonts w:hint="eastAsia" w:ascii="宋体" w:hAnsi="宋体"/>
                <w:color w:val="auto"/>
                <w:kern w:val="0"/>
              </w:rPr>
              <w:t>0mg/m</w:t>
            </w:r>
            <w:r>
              <w:rPr>
                <w:rFonts w:hint="eastAsia" w:ascii="宋体" w:hAnsi="宋体"/>
                <w:color w:val="auto"/>
                <w:kern w:val="0"/>
                <w:vertAlign w:val="superscript"/>
              </w:rPr>
              <w:t>3</w:t>
            </w:r>
          </w:p>
        </w:tc>
      </w:tr>
      <w:tr w14:paraId="0A73B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shd w:val="clear" w:color="auto" w:fill="auto"/>
            <w:vAlign w:val="center"/>
          </w:tcPr>
          <w:p w14:paraId="35A37C8C">
            <w:pPr>
              <w:jc w:val="center"/>
              <w:rPr>
                <w:rFonts w:ascii="宋体" w:hAnsi="宋体"/>
                <w:color w:val="auto"/>
                <w:kern w:val="0"/>
              </w:rPr>
            </w:pPr>
          </w:p>
        </w:tc>
        <w:tc>
          <w:tcPr>
            <w:tcW w:w="1267" w:type="pct"/>
            <w:vMerge w:val="restart"/>
            <w:shd w:val="clear" w:color="auto" w:fill="auto"/>
            <w:vAlign w:val="center"/>
          </w:tcPr>
          <w:p w14:paraId="3FA1ED8C">
            <w:pPr>
              <w:jc w:val="center"/>
              <w:rPr>
                <w:rFonts w:ascii="宋体" w:hAnsi="宋体"/>
                <w:color w:val="auto"/>
                <w:kern w:val="0"/>
              </w:rPr>
            </w:pPr>
            <w:r>
              <w:rPr>
                <w:rFonts w:hint="eastAsia" w:ascii="宋体" w:hAnsi="宋体"/>
                <w:color w:val="auto"/>
                <w:kern w:val="0"/>
              </w:rPr>
              <w:t>/</w:t>
            </w:r>
          </w:p>
        </w:tc>
        <w:tc>
          <w:tcPr>
            <w:tcW w:w="868" w:type="pct"/>
            <w:shd w:val="clear" w:color="auto" w:fill="auto"/>
            <w:vAlign w:val="center"/>
          </w:tcPr>
          <w:p w14:paraId="6784941A">
            <w:pPr>
              <w:jc w:val="center"/>
              <w:rPr>
                <w:rFonts w:ascii="宋体" w:hAnsi="宋体"/>
                <w:color w:val="auto"/>
                <w:kern w:val="0"/>
              </w:rPr>
            </w:pPr>
            <w:r>
              <w:rPr>
                <w:rFonts w:hint="eastAsia" w:ascii="宋体" w:hAnsi="宋体"/>
                <w:color w:val="auto"/>
                <w:kern w:val="0"/>
              </w:rPr>
              <w:t>/</w:t>
            </w:r>
          </w:p>
        </w:tc>
        <w:tc>
          <w:tcPr>
            <w:tcW w:w="1510" w:type="pct"/>
            <w:vMerge w:val="restart"/>
            <w:shd w:val="clear" w:color="auto" w:fill="auto"/>
            <w:vAlign w:val="center"/>
          </w:tcPr>
          <w:p w14:paraId="4BCD2D06">
            <w:pPr>
              <w:jc w:val="center"/>
              <w:rPr>
                <w:rFonts w:ascii="宋体" w:hAnsi="宋体"/>
                <w:color w:val="auto"/>
                <w:kern w:val="0"/>
              </w:rPr>
            </w:pPr>
            <w:r>
              <w:rPr>
                <w:rFonts w:hint="eastAsia" w:ascii="宋体" w:hAnsi="宋体"/>
                <w:color w:val="auto"/>
              </w:rPr>
              <w:t>《锅炉大气污染物排放标准》（</w:t>
            </w:r>
            <w:r>
              <w:rPr>
                <w:rFonts w:ascii="宋体" w:hAnsi="宋体"/>
                <w:color w:val="auto"/>
              </w:rPr>
              <w:t>DB37/ 2374-2018）大气污染物排放浓度限值</w:t>
            </w:r>
          </w:p>
        </w:tc>
        <w:tc>
          <w:tcPr>
            <w:tcW w:w="908" w:type="pct"/>
            <w:shd w:val="clear" w:color="auto" w:fill="auto"/>
            <w:vAlign w:val="center"/>
          </w:tcPr>
          <w:p w14:paraId="538F8FF0">
            <w:pPr>
              <w:jc w:val="center"/>
              <w:rPr>
                <w:rFonts w:ascii="宋体" w:hAnsi="宋体"/>
                <w:color w:val="auto"/>
                <w:kern w:val="0"/>
              </w:rPr>
            </w:pPr>
            <w:r>
              <w:rPr>
                <w:rFonts w:hint="eastAsia" w:ascii="宋体" w:hAnsi="宋体"/>
                <w:color w:val="auto"/>
                <w:kern w:val="0"/>
              </w:rPr>
              <w:t>SO</w:t>
            </w:r>
            <w:r>
              <w:rPr>
                <w:rFonts w:hint="eastAsia" w:ascii="宋体" w:hAnsi="宋体"/>
                <w:color w:val="auto"/>
                <w:kern w:val="0"/>
                <w:vertAlign w:val="subscript"/>
              </w:rPr>
              <w:t>2</w:t>
            </w:r>
            <w:r>
              <w:rPr>
                <w:rFonts w:hint="eastAsia" w:ascii="宋体" w:hAnsi="宋体"/>
                <w:color w:val="auto"/>
                <w:kern w:val="0"/>
              </w:rPr>
              <w:t>≤50mg/m</w:t>
            </w:r>
            <w:r>
              <w:rPr>
                <w:rFonts w:hint="eastAsia" w:ascii="宋体" w:hAnsi="宋体"/>
                <w:color w:val="auto"/>
                <w:kern w:val="0"/>
                <w:vertAlign w:val="superscript"/>
              </w:rPr>
              <w:t>3</w:t>
            </w:r>
          </w:p>
        </w:tc>
      </w:tr>
      <w:tr w14:paraId="5B9D6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shd w:val="clear" w:color="auto" w:fill="auto"/>
            <w:vAlign w:val="center"/>
          </w:tcPr>
          <w:p w14:paraId="43745E86">
            <w:pPr>
              <w:jc w:val="center"/>
              <w:rPr>
                <w:rFonts w:ascii="宋体" w:hAnsi="宋体"/>
                <w:color w:val="auto"/>
                <w:kern w:val="0"/>
              </w:rPr>
            </w:pPr>
          </w:p>
        </w:tc>
        <w:tc>
          <w:tcPr>
            <w:tcW w:w="1267" w:type="pct"/>
            <w:vMerge w:val="continue"/>
            <w:shd w:val="clear" w:color="auto" w:fill="auto"/>
            <w:vAlign w:val="center"/>
          </w:tcPr>
          <w:p w14:paraId="02F1EA9A">
            <w:pPr>
              <w:jc w:val="center"/>
              <w:rPr>
                <w:rFonts w:ascii="宋体" w:hAnsi="宋体"/>
                <w:color w:val="auto"/>
                <w:kern w:val="0"/>
              </w:rPr>
            </w:pPr>
          </w:p>
        </w:tc>
        <w:tc>
          <w:tcPr>
            <w:tcW w:w="868" w:type="pct"/>
            <w:shd w:val="clear" w:color="auto" w:fill="auto"/>
            <w:vAlign w:val="center"/>
          </w:tcPr>
          <w:p w14:paraId="0F3F0FD8">
            <w:pPr>
              <w:jc w:val="center"/>
              <w:rPr>
                <w:rFonts w:ascii="宋体" w:hAnsi="宋体"/>
                <w:color w:val="auto"/>
                <w:kern w:val="0"/>
              </w:rPr>
            </w:pPr>
            <w:r>
              <w:rPr>
                <w:rFonts w:hint="eastAsia" w:ascii="宋体" w:hAnsi="宋体"/>
                <w:color w:val="auto"/>
                <w:kern w:val="0"/>
              </w:rPr>
              <w:t>/</w:t>
            </w:r>
          </w:p>
        </w:tc>
        <w:tc>
          <w:tcPr>
            <w:tcW w:w="1510" w:type="pct"/>
            <w:vMerge w:val="continue"/>
            <w:shd w:val="clear" w:color="auto" w:fill="auto"/>
            <w:vAlign w:val="center"/>
          </w:tcPr>
          <w:p w14:paraId="2450A537">
            <w:pPr>
              <w:jc w:val="center"/>
              <w:rPr>
                <w:rFonts w:ascii="宋体" w:hAnsi="宋体"/>
                <w:color w:val="auto"/>
                <w:kern w:val="0"/>
              </w:rPr>
            </w:pPr>
          </w:p>
        </w:tc>
        <w:tc>
          <w:tcPr>
            <w:tcW w:w="908" w:type="pct"/>
            <w:shd w:val="clear" w:color="auto" w:fill="auto"/>
            <w:vAlign w:val="center"/>
          </w:tcPr>
          <w:p w14:paraId="6387C897">
            <w:pPr>
              <w:jc w:val="center"/>
              <w:rPr>
                <w:rFonts w:ascii="宋体" w:hAnsi="宋体"/>
                <w:color w:val="auto"/>
                <w:kern w:val="0"/>
              </w:rPr>
            </w:pPr>
            <w:r>
              <w:rPr>
                <w:rFonts w:hint="eastAsia" w:ascii="宋体" w:hAnsi="宋体"/>
                <w:color w:val="auto"/>
                <w:kern w:val="0"/>
              </w:rPr>
              <w:t>NO</w:t>
            </w:r>
            <w:r>
              <w:rPr>
                <w:rFonts w:hint="eastAsia" w:ascii="宋体" w:hAnsi="宋体"/>
                <w:color w:val="auto"/>
                <w:kern w:val="0"/>
                <w:vertAlign w:val="subscript"/>
              </w:rPr>
              <w:t>X</w:t>
            </w:r>
            <w:r>
              <w:rPr>
                <w:rFonts w:hint="eastAsia" w:ascii="宋体" w:hAnsi="宋体"/>
                <w:color w:val="auto"/>
                <w:kern w:val="0"/>
              </w:rPr>
              <w:t>≤</w:t>
            </w:r>
            <w:r>
              <w:rPr>
                <w:rFonts w:ascii="宋体" w:hAnsi="宋体"/>
                <w:color w:val="auto"/>
                <w:kern w:val="0"/>
              </w:rPr>
              <w:t>1</w:t>
            </w:r>
            <w:r>
              <w:rPr>
                <w:rFonts w:hint="eastAsia" w:ascii="宋体" w:hAnsi="宋体"/>
                <w:color w:val="auto"/>
                <w:kern w:val="0"/>
              </w:rPr>
              <w:t>00mg/m</w:t>
            </w:r>
            <w:r>
              <w:rPr>
                <w:rFonts w:hint="eastAsia" w:ascii="宋体" w:hAnsi="宋体"/>
                <w:color w:val="auto"/>
                <w:kern w:val="0"/>
                <w:vertAlign w:val="superscript"/>
              </w:rPr>
              <w:t>3</w:t>
            </w:r>
          </w:p>
        </w:tc>
      </w:tr>
      <w:tr w14:paraId="792CD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shd w:val="clear" w:color="auto" w:fill="auto"/>
            <w:vAlign w:val="center"/>
          </w:tcPr>
          <w:p w14:paraId="3077F970">
            <w:pPr>
              <w:jc w:val="center"/>
              <w:rPr>
                <w:rFonts w:ascii="宋体" w:hAnsi="宋体"/>
                <w:color w:val="auto"/>
                <w:kern w:val="0"/>
              </w:rPr>
            </w:pPr>
          </w:p>
        </w:tc>
        <w:tc>
          <w:tcPr>
            <w:tcW w:w="1267" w:type="pct"/>
            <w:vMerge w:val="continue"/>
            <w:shd w:val="clear" w:color="auto" w:fill="auto"/>
            <w:vAlign w:val="center"/>
          </w:tcPr>
          <w:p w14:paraId="59493247">
            <w:pPr>
              <w:jc w:val="center"/>
              <w:rPr>
                <w:rFonts w:ascii="宋体" w:hAnsi="宋体"/>
                <w:color w:val="auto"/>
                <w:kern w:val="0"/>
              </w:rPr>
            </w:pPr>
          </w:p>
        </w:tc>
        <w:tc>
          <w:tcPr>
            <w:tcW w:w="868" w:type="pct"/>
            <w:shd w:val="clear" w:color="auto" w:fill="auto"/>
            <w:vAlign w:val="center"/>
          </w:tcPr>
          <w:p w14:paraId="7E5A9331">
            <w:pPr>
              <w:jc w:val="center"/>
              <w:rPr>
                <w:rFonts w:ascii="宋体" w:hAnsi="宋体"/>
                <w:color w:val="auto"/>
                <w:kern w:val="0"/>
              </w:rPr>
            </w:pPr>
            <w:r>
              <w:rPr>
                <w:rFonts w:hint="eastAsia" w:ascii="宋体" w:hAnsi="宋体"/>
                <w:color w:val="auto"/>
                <w:kern w:val="0"/>
              </w:rPr>
              <w:t>/</w:t>
            </w:r>
          </w:p>
        </w:tc>
        <w:tc>
          <w:tcPr>
            <w:tcW w:w="1510" w:type="pct"/>
            <w:vMerge w:val="continue"/>
            <w:shd w:val="clear" w:color="auto" w:fill="auto"/>
            <w:vAlign w:val="center"/>
          </w:tcPr>
          <w:p w14:paraId="6D7D3F7C">
            <w:pPr>
              <w:jc w:val="center"/>
              <w:rPr>
                <w:rFonts w:ascii="宋体" w:hAnsi="宋体"/>
                <w:color w:val="auto"/>
                <w:kern w:val="0"/>
              </w:rPr>
            </w:pPr>
          </w:p>
        </w:tc>
        <w:tc>
          <w:tcPr>
            <w:tcW w:w="908" w:type="pct"/>
            <w:shd w:val="clear" w:color="auto" w:fill="auto"/>
            <w:vAlign w:val="center"/>
          </w:tcPr>
          <w:p w14:paraId="3D12398E">
            <w:pPr>
              <w:jc w:val="center"/>
              <w:rPr>
                <w:rFonts w:ascii="宋体" w:hAnsi="宋体"/>
                <w:color w:val="auto"/>
                <w:kern w:val="0"/>
              </w:rPr>
            </w:pPr>
            <w:r>
              <w:rPr>
                <w:rFonts w:hint="eastAsia" w:ascii="宋体" w:hAnsi="宋体"/>
                <w:color w:val="auto"/>
                <w:kern w:val="0"/>
              </w:rPr>
              <w:t>颗粒物≤</w:t>
            </w:r>
            <w:r>
              <w:rPr>
                <w:rFonts w:ascii="宋体" w:hAnsi="宋体"/>
                <w:color w:val="auto"/>
                <w:kern w:val="0"/>
              </w:rPr>
              <w:t>1</w:t>
            </w:r>
            <w:r>
              <w:rPr>
                <w:rFonts w:hint="eastAsia" w:ascii="宋体" w:hAnsi="宋体"/>
                <w:color w:val="auto"/>
                <w:kern w:val="0"/>
              </w:rPr>
              <w:t>0mg/m</w:t>
            </w:r>
            <w:r>
              <w:rPr>
                <w:rFonts w:hint="eastAsia" w:ascii="宋体" w:hAnsi="宋体"/>
                <w:color w:val="auto"/>
                <w:kern w:val="0"/>
                <w:vertAlign w:val="superscript"/>
              </w:rPr>
              <w:t>3</w:t>
            </w:r>
          </w:p>
        </w:tc>
      </w:tr>
    </w:tbl>
    <w:p w14:paraId="7AE3755E">
      <w:pPr>
        <w:pStyle w:val="4"/>
        <w:ind w:firstLine="480"/>
        <w:rPr>
          <w:color w:val="auto"/>
        </w:rPr>
      </w:pPr>
    </w:p>
    <w:p w14:paraId="680A165D">
      <w:pPr>
        <w:pStyle w:val="4"/>
        <w:ind w:firstLine="480"/>
        <w:rPr>
          <w:color w:val="auto"/>
        </w:rPr>
      </w:pPr>
      <w:r>
        <w:rPr>
          <w:rFonts w:hint="eastAsia"/>
          <w:color w:val="auto"/>
        </w:rPr>
        <w:t>2）废水</w:t>
      </w:r>
    </w:p>
    <w:p w14:paraId="07A081EC">
      <w:pPr>
        <w:pStyle w:val="4"/>
        <w:ind w:firstLine="480"/>
        <w:rPr>
          <w:color w:val="auto"/>
        </w:rPr>
      </w:pPr>
      <w:r>
        <w:rPr>
          <w:rFonts w:hint="eastAsia"/>
          <w:color w:val="auto"/>
        </w:rPr>
        <w:t>本期工程施工期</w:t>
      </w:r>
      <w:r>
        <w:rPr>
          <w:color w:val="auto"/>
        </w:rPr>
        <w:t>钻井废水</w:t>
      </w:r>
      <w:r>
        <w:rPr>
          <w:rFonts w:hint="eastAsia"/>
          <w:color w:val="auto"/>
        </w:rPr>
        <w:t>随钻井固废一同</w:t>
      </w:r>
      <w:r>
        <w:rPr>
          <w:rFonts w:hint="eastAsia"/>
          <w:color w:val="auto"/>
          <w:kern w:val="0"/>
        </w:rPr>
        <w:t>委托</w:t>
      </w:r>
      <w:r>
        <w:rPr>
          <w:rFonts w:hint="eastAsia"/>
          <w:color w:val="auto"/>
        </w:rPr>
        <w:t>天正浚源环保科技有限公司、东营丰实钻井工程有限公司、山东胜兴特种材料有限公司进行无害化处置；</w:t>
      </w:r>
      <w:r>
        <w:rPr>
          <w:color w:val="auto"/>
        </w:rPr>
        <w:t>施工作业废液收集后拉运至</w:t>
      </w:r>
      <w:r>
        <w:rPr>
          <w:rFonts w:hint="eastAsia" w:cs="宋体"/>
          <w:color w:val="auto"/>
          <w:kern w:val="0"/>
        </w:rPr>
        <w:t>高青联合站</w:t>
      </w:r>
      <w:r>
        <w:rPr>
          <w:color w:val="auto"/>
        </w:rPr>
        <w:t>处理，后经</w:t>
      </w:r>
      <w:r>
        <w:rPr>
          <w:rFonts w:hint="eastAsia" w:cs="宋体"/>
          <w:color w:val="auto"/>
          <w:kern w:val="0"/>
        </w:rPr>
        <w:t>高青联合站</w:t>
      </w:r>
      <w:r>
        <w:rPr>
          <w:color w:val="auto"/>
        </w:rPr>
        <w:t>内</w:t>
      </w:r>
      <w:r>
        <w:rPr>
          <w:rFonts w:hint="eastAsia"/>
          <w:snapToGrid w:val="0"/>
          <w:color w:val="auto"/>
          <w:kern w:val="0"/>
        </w:rPr>
        <w:t>采出水</w:t>
      </w:r>
      <w:r>
        <w:rPr>
          <w:color w:val="auto"/>
        </w:rPr>
        <w:t>处理系统处理达标后回注地层</w:t>
      </w:r>
      <w:r>
        <w:rPr>
          <w:rFonts w:hint="eastAsia" w:cs="宋体"/>
          <w:color w:val="auto"/>
          <w:kern w:val="0"/>
        </w:rPr>
        <w:t>；管道试压废水收集后拉运至高青联合站，经站内</w:t>
      </w:r>
      <w:r>
        <w:rPr>
          <w:rFonts w:hint="eastAsia"/>
          <w:snapToGrid w:val="0"/>
          <w:color w:val="auto"/>
          <w:kern w:val="0"/>
        </w:rPr>
        <w:t>采出水</w:t>
      </w:r>
      <w:r>
        <w:rPr>
          <w:rFonts w:hint="eastAsia" w:cs="宋体"/>
          <w:color w:val="auto"/>
          <w:kern w:val="0"/>
        </w:rPr>
        <w:t>处理系统处理达标后回注地层用于油田注水开发，无外排；</w:t>
      </w:r>
      <w:r>
        <w:rPr>
          <w:rFonts w:hint="eastAsia"/>
          <w:color w:val="auto"/>
        </w:rPr>
        <w:t>施工人员生活污水排放依托各采油队等场所内的旱厕，</w:t>
      </w:r>
      <w:r>
        <w:rPr>
          <w:rFonts w:hint="eastAsia" w:cs="宋体"/>
          <w:color w:val="auto"/>
        </w:rPr>
        <w:t>由东胜公司内部定期清运处理</w:t>
      </w:r>
      <w:r>
        <w:rPr>
          <w:rFonts w:hint="eastAsia"/>
          <w:color w:val="auto"/>
        </w:rPr>
        <w:t>，</w:t>
      </w:r>
      <w:r>
        <w:rPr>
          <w:color w:val="auto"/>
        </w:rPr>
        <w:t>无</w:t>
      </w:r>
      <w:r>
        <w:rPr>
          <w:rFonts w:hint="eastAsia"/>
          <w:color w:val="auto"/>
        </w:rPr>
        <w:t>外排。</w:t>
      </w:r>
    </w:p>
    <w:p w14:paraId="1E834D08">
      <w:pPr>
        <w:pStyle w:val="4"/>
        <w:ind w:firstLine="480"/>
        <w:rPr>
          <w:color w:val="auto"/>
        </w:rPr>
      </w:pPr>
      <w:r>
        <w:rPr>
          <w:rFonts w:hint="eastAsia"/>
          <w:color w:val="auto"/>
        </w:rPr>
        <w:t>废水排放标准见</w:t>
      </w:r>
      <w:r>
        <w:rPr>
          <w:color w:val="auto"/>
        </w:rPr>
        <w:fldChar w:fldCharType="begin"/>
      </w:r>
      <w:r>
        <w:rPr>
          <w:color w:val="auto"/>
        </w:rPr>
        <w:instrText xml:space="preserve"> </w:instrText>
      </w:r>
      <w:r>
        <w:rPr>
          <w:rFonts w:hint="eastAsia"/>
          <w:color w:val="auto"/>
        </w:rPr>
        <w:instrText xml:space="preserve">REF _Ref142902032 \h</w:instrText>
      </w:r>
      <w:r>
        <w:rPr>
          <w:color w:val="auto"/>
        </w:rPr>
        <w:instrText xml:space="preserve">  \* MERGEFORMAT </w:instrText>
      </w:r>
      <w:r>
        <w:rPr>
          <w:color w:val="auto"/>
        </w:rPr>
        <w:fldChar w:fldCharType="separate"/>
      </w:r>
      <w:r>
        <w:rPr>
          <w:rFonts w:hint="eastAsia"/>
          <w:color w:val="auto"/>
        </w:rPr>
        <w:t xml:space="preserve">表 </w:t>
      </w:r>
      <w:r>
        <w:rPr>
          <w:color w:val="auto"/>
        </w:rPr>
        <w:t>4.3</w:t>
      </w:r>
      <w:r>
        <w:rPr>
          <w:color w:val="auto"/>
        </w:rPr>
        <w:noBreakHyphen/>
      </w:r>
      <w:r>
        <w:rPr>
          <w:color w:val="auto"/>
        </w:rPr>
        <w:t>2</w:t>
      </w:r>
      <w:r>
        <w:rPr>
          <w:color w:val="auto"/>
        </w:rPr>
        <w:fldChar w:fldCharType="end"/>
      </w:r>
      <w:r>
        <w:rPr>
          <w:rFonts w:hint="eastAsia"/>
          <w:color w:val="auto"/>
        </w:rPr>
        <w:t>。</w:t>
      </w:r>
    </w:p>
    <w:p w14:paraId="20E4E923">
      <w:pPr>
        <w:pStyle w:val="15"/>
        <w:spacing w:before="120"/>
        <w:rPr>
          <w:rFonts w:hAnsi="宋体"/>
          <w:color w:val="auto"/>
        </w:rPr>
      </w:pPr>
      <w:bookmarkStart w:id="356" w:name="_Ref24414754"/>
      <w:bookmarkEnd w:id="356"/>
      <w:bookmarkStart w:id="357" w:name="_Ref142902032"/>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2</w:t>
      </w:r>
      <w:r>
        <w:rPr>
          <w:rFonts w:hAnsi="宋体"/>
          <w:color w:val="auto"/>
        </w:rPr>
        <w:fldChar w:fldCharType="end"/>
      </w:r>
      <w:bookmarkEnd w:id="357"/>
      <w:r>
        <w:rPr>
          <w:rFonts w:hint="eastAsia" w:hAnsi="宋体"/>
          <w:color w:val="auto"/>
        </w:rPr>
        <w:t xml:space="preserve">  废水执行标准</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46"/>
        <w:gridCol w:w="3970"/>
        <w:gridCol w:w="3905"/>
      </w:tblGrid>
      <w:tr w14:paraId="745E7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5" w:type="pct"/>
            <w:tcBorders>
              <w:top w:val="single" w:color="auto" w:sz="4" w:space="0"/>
              <w:left w:val="single" w:color="auto" w:sz="4" w:space="0"/>
              <w:bottom w:val="single" w:color="auto" w:sz="4" w:space="0"/>
              <w:right w:val="single" w:color="auto" w:sz="4" w:space="0"/>
            </w:tcBorders>
            <w:vAlign w:val="center"/>
          </w:tcPr>
          <w:p w14:paraId="39FD3674">
            <w:pPr>
              <w:adjustRightInd w:val="0"/>
              <w:snapToGrid w:val="0"/>
              <w:jc w:val="center"/>
              <w:rPr>
                <w:rFonts w:ascii="宋体" w:hAnsi="宋体" w:cs="宋体"/>
                <w:color w:val="auto"/>
                <w:kern w:val="0"/>
              </w:rPr>
            </w:pPr>
            <w:r>
              <w:rPr>
                <w:rFonts w:hint="eastAsia" w:ascii="宋体" w:hAnsi="宋体"/>
                <w:color w:val="auto"/>
                <w:kern w:val="0"/>
              </w:rPr>
              <w:t>阶段</w:t>
            </w:r>
          </w:p>
        </w:tc>
        <w:tc>
          <w:tcPr>
            <w:tcW w:w="2276" w:type="pct"/>
            <w:tcBorders>
              <w:top w:val="single" w:color="auto" w:sz="4" w:space="0"/>
              <w:left w:val="single" w:color="auto" w:sz="4" w:space="0"/>
              <w:bottom w:val="single" w:color="auto" w:sz="4" w:space="0"/>
              <w:right w:val="single" w:color="auto" w:sz="4" w:space="0"/>
            </w:tcBorders>
            <w:vAlign w:val="center"/>
          </w:tcPr>
          <w:p w14:paraId="663263C7">
            <w:pPr>
              <w:adjustRightInd w:val="0"/>
              <w:snapToGrid w:val="0"/>
              <w:jc w:val="center"/>
              <w:rPr>
                <w:rFonts w:ascii="宋体" w:hAnsi="宋体" w:cs="宋体"/>
                <w:color w:val="auto"/>
                <w:kern w:val="0"/>
              </w:rPr>
            </w:pPr>
            <w:r>
              <w:rPr>
                <w:rFonts w:hint="eastAsia" w:ascii="宋体" w:hAnsi="宋体"/>
                <w:color w:val="auto"/>
                <w:kern w:val="0"/>
              </w:rPr>
              <w:t>环评及批复标准</w:t>
            </w:r>
          </w:p>
        </w:tc>
        <w:tc>
          <w:tcPr>
            <w:tcW w:w="2239" w:type="pct"/>
            <w:tcBorders>
              <w:top w:val="single" w:color="auto" w:sz="4" w:space="0"/>
              <w:left w:val="single" w:color="auto" w:sz="4" w:space="0"/>
              <w:bottom w:val="single" w:color="auto" w:sz="4" w:space="0"/>
              <w:right w:val="single" w:color="auto" w:sz="4" w:space="0"/>
            </w:tcBorders>
            <w:vAlign w:val="center"/>
          </w:tcPr>
          <w:p w14:paraId="66E3251D">
            <w:pPr>
              <w:adjustRightInd w:val="0"/>
              <w:snapToGrid w:val="0"/>
              <w:jc w:val="center"/>
              <w:rPr>
                <w:rFonts w:ascii="宋体" w:hAnsi="宋体" w:cs="宋体"/>
                <w:color w:val="auto"/>
                <w:kern w:val="0"/>
              </w:rPr>
            </w:pPr>
            <w:r>
              <w:rPr>
                <w:rFonts w:hint="eastAsia" w:ascii="宋体" w:hAnsi="宋体"/>
                <w:color w:val="auto"/>
                <w:kern w:val="0"/>
              </w:rPr>
              <w:t>现行及验收执行标准</w:t>
            </w:r>
          </w:p>
        </w:tc>
      </w:tr>
      <w:tr w14:paraId="21065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5" w:type="pct"/>
            <w:tcBorders>
              <w:top w:val="single" w:color="auto" w:sz="4" w:space="0"/>
              <w:left w:val="single" w:color="auto" w:sz="4" w:space="0"/>
              <w:bottom w:val="single" w:color="auto" w:sz="4" w:space="0"/>
              <w:right w:val="single" w:color="auto" w:sz="4" w:space="0"/>
            </w:tcBorders>
            <w:vAlign w:val="center"/>
          </w:tcPr>
          <w:p w14:paraId="2D7A9825">
            <w:pPr>
              <w:adjustRightInd w:val="0"/>
              <w:snapToGrid w:val="0"/>
              <w:jc w:val="center"/>
              <w:rPr>
                <w:rFonts w:ascii="宋体" w:hAnsi="宋体" w:cs="宋体"/>
                <w:color w:val="auto"/>
                <w:kern w:val="0"/>
              </w:rPr>
            </w:pPr>
            <w:r>
              <w:rPr>
                <w:rFonts w:hint="eastAsia" w:ascii="宋体" w:hAnsi="宋体"/>
                <w:color w:val="auto"/>
                <w:kern w:val="0"/>
              </w:rPr>
              <w:t>施工期</w:t>
            </w:r>
          </w:p>
        </w:tc>
        <w:tc>
          <w:tcPr>
            <w:tcW w:w="2276" w:type="pct"/>
            <w:tcBorders>
              <w:top w:val="single" w:color="auto" w:sz="4" w:space="0"/>
              <w:left w:val="single" w:color="auto" w:sz="4" w:space="0"/>
              <w:bottom w:val="single" w:color="auto" w:sz="4" w:space="0"/>
              <w:right w:val="single" w:color="auto" w:sz="4" w:space="0"/>
            </w:tcBorders>
            <w:vAlign w:val="center"/>
          </w:tcPr>
          <w:p w14:paraId="4492AD4A">
            <w:pPr>
              <w:adjustRightInd w:val="0"/>
              <w:snapToGrid w:val="0"/>
              <w:jc w:val="center"/>
              <w:rPr>
                <w:rFonts w:ascii="宋体" w:hAnsi="宋体" w:cs="宋体"/>
                <w:color w:val="auto"/>
                <w:kern w:val="0"/>
              </w:rPr>
            </w:pPr>
            <w:r>
              <w:rPr>
                <w:rFonts w:hint="eastAsia" w:ascii="宋体" w:hAnsi="宋体"/>
                <w:color w:val="auto"/>
                <w:kern w:val="0"/>
              </w:rPr>
              <w:t>《碎屑岩油藏注水水质指标及分析方法》（SY/T 5329-2012）中推荐水质标准</w:t>
            </w:r>
          </w:p>
        </w:tc>
        <w:tc>
          <w:tcPr>
            <w:tcW w:w="2239" w:type="pct"/>
            <w:tcBorders>
              <w:top w:val="single" w:color="auto" w:sz="4" w:space="0"/>
              <w:left w:val="single" w:color="auto" w:sz="4" w:space="0"/>
              <w:bottom w:val="single" w:color="auto" w:sz="4" w:space="0"/>
              <w:right w:val="single" w:color="auto" w:sz="4" w:space="0"/>
            </w:tcBorders>
            <w:vAlign w:val="center"/>
          </w:tcPr>
          <w:p w14:paraId="304DEDD2">
            <w:pPr>
              <w:adjustRightInd w:val="0"/>
              <w:snapToGrid w:val="0"/>
              <w:jc w:val="center"/>
              <w:rPr>
                <w:rFonts w:ascii="宋体" w:hAnsi="宋体" w:cs="宋体"/>
                <w:color w:val="auto"/>
                <w:kern w:val="0"/>
              </w:rPr>
            </w:pPr>
            <w:r>
              <w:rPr>
                <w:rFonts w:hint="eastAsia" w:ascii="宋体" w:hAnsi="宋体"/>
                <w:color w:val="auto"/>
                <w:kern w:val="0"/>
              </w:rPr>
              <w:t>《碎屑岩油藏注水水质指标技术要求及分析方法》（SY/T 5329-2022）中水质主要控制指标限值</w:t>
            </w:r>
          </w:p>
        </w:tc>
      </w:tr>
      <w:tr w14:paraId="754C2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5" w:type="pct"/>
            <w:tcBorders>
              <w:top w:val="single" w:color="auto" w:sz="4" w:space="0"/>
              <w:left w:val="single" w:color="auto" w:sz="4" w:space="0"/>
              <w:bottom w:val="single" w:color="auto" w:sz="4" w:space="0"/>
              <w:right w:val="single" w:color="auto" w:sz="4" w:space="0"/>
            </w:tcBorders>
            <w:vAlign w:val="center"/>
          </w:tcPr>
          <w:p w14:paraId="3331FD25">
            <w:pPr>
              <w:adjustRightInd w:val="0"/>
              <w:snapToGrid w:val="0"/>
              <w:jc w:val="center"/>
              <w:rPr>
                <w:rFonts w:ascii="宋体" w:hAnsi="宋体" w:cs="宋体"/>
                <w:color w:val="auto"/>
                <w:kern w:val="0"/>
              </w:rPr>
            </w:pPr>
            <w:r>
              <w:rPr>
                <w:rFonts w:hint="eastAsia" w:ascii="宋体" w:hAnsi="宋体"/>
                <w:color w:val="auto"/>
                <w:kern w:val="0"/>
              </w:rPr>
              <w:t>运营期</w:t>
            </w:r>
          </w:p>
        </w:tc>
        <w:tc>
          <w:tcPr>
            <w:tcW w:w="2276" w:type="pct"/>
            <w:tcBorders>
              <w:top w:val="single" w:color="auto" w:sz="4" w:space="0"/>
              <w:left w:val="single" w:color="auto" w:sz="4" w:space="0"/>
              <w:bottom w:val="single" w:color="auto" w:sz="4" w:space="0"/>
              <w:right w:val="single" w:color="auto" w:sz="4" w:space="0"/>
            </w:tcBorders>
            <w:vAlign w:val="center"/>
          </w:tcPr>
          <w:p w14:paraId="0E0C3326">
            <w:pPr>
              <w:adjustRightInd w:val="0"/>
              <w:snapToGrid w:val="0"/>
              <w:jc w:val="center"/>
              <w:rPr>
                <w:rFonts w:ascii="宋体" w:hAnsi="宋体" w:cs="宋体"/>
                <w:color w:val="auto"/>
                <w:kern w:val="0"/>
              </w:rPr>
            </w:pPr>
            <w:r>
              <w:rPr>
                <w:rFonts w:hint="eastAsia" w:ascii="宋体" w:hAnsi="宋体"/>
                <w:color w:val="auto"/>
                <w:kern w:val="0"/>
              </w:rPr>
              <w:t>《碎屑岩油藏注水水质指标及分析方法》（SY/T 5329-2012）中推荐水质标准</w:t>
            </w:r>
          </w:p>
        </w:tc>
        <w:tc>
          <w:tcPr>
            <w:tcW w:w="2239" w:type="pct"/>
            <w:tcBorders>
              <w:top w:val="single" w:color="auto" w:sz="4" w:space="0"/>
              <w:left w:val="single" w:color="auto" w:sz="4" w:space="0"/>
              <w:bottom w:val="single" w:color="auto" w:sz="4" w:space="0"/>
              <w:right w:val="single" w:color="auto" w:sz="4" w:space="0"/>
            </w:tcBorders>
            <w:vAlign w:val="center"/>
          </w:tcPr>
          <w:p w14:paraId="5FB9F421">
            <w:pPr>
              <w:adjustRightInd w:val="0"/>
              <w:snapToGrid w:val="0"/>
              <w:jc w:val="center"/>
              <w:rPr>
                <w:rFonts w:ascii="宋体" w:hAnsi="宋体" w:cs="宋体"/>
                <w:color w:val="auto"/>
                <w:kern w:val="0"/>
              </w:rPr>
            </w:pPr>
            <w:r>
              <w:rPr>
                <w:rFonts w:hint="eastAsia" w:ascii="宋体" w:hAnsi="宋体"/>
                <w:color w:val="auto"/>
                <w:kern w:val="0"/>
              </w:rPr>
              <w:t>《碎屑岩油藏注水水质指标技术要求及分析方法》（SY/T 5329-2022）中水质主要控制指标限值</w:t>
            </w:r>
          </w:p>
        </w:tc>
      </w:tr>
    </w:tbl>
    <w:p w14:paraId="36997612">
      <w:pPr>
        <w:pStyle w:val="4"/>
        <w:ind w:firstLine="480"/>
        <w:rPr>
          <w:color w:val="auto"/>
        </w:rPr>
      </w:pPr>
    </w:p>
    <w:p w14:paraId="4DE72E34">
      <w:pPr>
        <w:pStyle w:val="4"/>
        <w:ind w:firstLine="480"/>
        <w:rPr>
          <w:color w:val="auto"/>
        </w:rPr>
      </w:pPr>
      <w:r>
        <w:rPr>
          <w:rFonts w:hint="eastAsia"/>
          <w:color w:val="auto"/>
        </w:rPr>
        <w:t>3）</w:t>
      </w:r>
      <w:r>
        <w:rPr>
          <w:color w:val="auto"/>
        </w:rPr>
        <w:t>噪声</w:t>
      </w:r>
    </w:p>
    <w:p w14:paraId="4A3A7527">
      <w:pPr>
        <w:pStyle w:val="4"/>
        <w:ind w:firstLine="480"/>
        <w:rPr>
          <w:color w:val="auto"/>
        </w:rPr>
      </w:pPr>
      <w:r>
        <w:rPr>
          <w:rFonts w:hint="eastAsia"/>
          <w:color w:val="auto"/>
        </w:rPr>
        <w:t>本期工程厂界噪声验收执行标准见</w:t>
      </w:r>
      <w:r>
        <w:rPr>
          <w:color w:val="auto"/>
        </w:rPr>
        <w:fldChar w:fldCharType="begin"/>
      </w:r>
      <w:r>
        <w:rPr>
          <w:color w:val="auto"/>
        </w:rPr>
        <w:instrText xml:space="preserve"> </w:instrText>
      </w:r>
      <w:r>
        <w:rPr>
          <w:rFonts w:hint="eastAsia"/>
          <w:color w:val="auto"/>
        </w:rPr>
        <w:instrText xml:space="preserve">REF _Ref142902031 \h</w:instrText>
      </w:r>
      <w:r>
        <w:rPr>
          <w:color w:val="auto"/>
        </w:rPr>
        <w:instrText xml:space="preserve">  \* MERGEFORMAT </w:instrText>
      </w:r>
      <w:r>
        <w:rPr>
          <w:color w:val="auto"/>
        </w:rPr>
        <w:fldChar w:fldCharType="separate"/>
      </w:r>
      <w:r>
        <w:rPr>
          <w:rFonts w:hint="eastAsia"/>
          <w:color w:val="auto"/>
        </w:rPr>
        <w:t xml:space="preserve">表 </w:t>
      </w:r>
      <w:r>
        <w:rPr>
          <w:color w:val="auto"/>
        </w:rPr>
        <w:t>4.3</w:t>
      </w:r>
      <w:r>
        <w:rPr>
          <w:color w:val="auto"/>
        </w:rPr>
        <w:noBreakHyphen/>
      </w:r>
      <w:r>
        <w:rPr>
          <w:color w:val="auto"/>
        </w:rPr>
        <w:t>3</w:t>
      </w:r>
      <w:r>
        <w:rPr>
          <w:color w:val="auto"/>
        </w:rPr>
        <w:fldChar w:fldCharType="end"/>
      </w:r>
      <w:r>
        <w:rPr>
          <w:rFonts w:hint="eastAsia"/>
          <w:color w:val="auto"/>
        </w:rPr>
        <w:t>。</w:t>
      </w:r>
    </w:p>
    <w:p w14:paraId="7787D897">
      <w:pPr>
        <w:pStyle w:val="15"/>
        <w:spacing w:before="120"/>
        <w:rPr>
          <w:rFonts w:hAnsi="宋体"/>
          <w:color w:val="auto"/>
        </w:rPr>
      </w:pPr>
      <w:bookmarkStart w:id="358" w:name="_Ref24414766"/>
      <w:bookmarkEnd w:id="358"/>
      <w:bookmarkStart w:id="359" w:name="_Ref142902031"/>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3</w:t>
      </w:r>
      <w:r>
        <w:rPr>
          <w:rFonts w:hAnsi="宋体"/>
          <w:color w:val="auto"/>
        </w:rPr>
        <w:fldChar w:fldCharType="end"/>
      </w:r>
      <w:bookmarkEnd w:id="359"/>
      <w:r>
        <w:rPr>
          <w:rFonts w:hint="eastAsia" w:hAnsi="宋体"/>
          <w:color w:val="auto"/>
        </w:rPr>
        <w:t xml:space="preserve">  本期工程厂界噪声验收执行标准</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788"/>
        <w:gridCol w:w="966"/>
        <w:gridCol w:w="968"/>
        <w:gridCol w:w="2650"/>
        <w:gridCol w:w="2650"/>
      </w:tblGrid>
      <w:tr w14:paraId="043BB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restart"/>
            <w:shd w:val="clear" w:color="auto" w:fill="auto"/>
            <w:vAlign w:val="center"/>
          </w:tcPr>
          <w:p w14:paraId="408E3701">
            <w:pPr>
              <w:jc w:val="center"/>
              <w:rPr>
                <w:rFonts w:ascii="宋体" w:hAnsi="宋体" w:cs="宋体"/>
                <w:color w:val="auto"/>
                <w:kern w:val="0"/>
              </w:rPr>
            </w:pPr>
            <w:r>
              <w:rPr>
                <w:rFonts w:hint="eastAsia" w:ascii="宋体" w:hAnsi="宋体"/>
                <w:color w:val="auto"/>
                <w:kern w:val="0"/>
              </w:rPr>
              <w:t>类别</w:t>
            </w:r>
          </w:p>
        </w:tc>
        <w:tc>
          <w:tcPr>
            <w:tcW w:w="452" w:type="pct"/>
            <w:vMerge w:val="restart"/>
            <w:shd w:val="clear" w:color="auto" w:fill="auto"/>
            <w:vAlign w:val="center"/>
          </w:tcPr>
          <w:p w14:paraId="3409412A">
            <w:pPr>
              <w:jc w:val="center"/>
              <w:rPr>
                <w:rFonts w:ascii="宋体" w:hAnsi="宋体" w:cs="宋体"/>
                <w:color w:val="auto"/>
                <w:kern w:val="0"/>
              </w:rPr>
            </w:pPr>
            <w:r>
              <w:rPr>
                <w:rFonts w:hint="eastAsia" w:ascii="宋体" w:hAnsi="宋体"/>
                <w:color w:val="auto"/>
                <w:kern w:val="0"/>
              </w:rPr>
              <w:t>指标</w:t>
            </w:r>
          </w:p>
        </w:tc>
        <w:tc>
          <w:tcPr>
            <w:tcW w:w="1109" w:type="pct"/>
            <w:gridSpan w:val="2"/>
            <w:shd w:val="clear" w:color="auto" w:fill="auto"/>
            <w:vAlign w:val="center"/>
          </w:tcPr>
          <w:p w14:paraId="3F04F06C">
            <w:pPr>
              <w:jc w:val="center"/>
              <w:rPr>
                <w:rFonts w:ascii="宋体" w:hAnsi="宋体" w:cs="宋体"/>
                <w:color w:val="auto"/>
                <w:kern w:val="0"/>
              </w:rPr>
            </w:pPr>
            <w:r>
              <w:rPr>
                <w:rFonts w:hint="eastAsia" w:ascii="宋体" w:hAnsi="宋体"/>
                <w:color w:val="auto"/>
                <w:kern w:val="0"/>
              </w:rPr>
              <w:t>限值要求dB（A）</w:t>
            </w:r>
          </w:p>
        </w:tc>
        <w:tc>
          <w:tcPr>
            <w:tcW w:w="1519" w:type="pct"/>
            <w:vMerge w:val="restart"/>
            <w:shd w:val="clear" w:color="auto" w:fill="auto"/>
            <w:vAlign w:val="center"/>
          </w:tcPr>
          <w:p w14:paraId="7B978C7E">
            <w:pPr>
              <w:jc w:val="center"/>
              <w:rPr>
                <w:rFonts w:ascii="宋体" w:hAnsi="宋体" w:cs="宋体"/>
                <w:color w:val="auto"/>
                <w:kern w:val="0"/>
              </w:rPr>
            </w:pPr>
            <w:r>
              <w:rPr>
                <w:rFonts w:hint="eastAsia" w:ascii="宋体" w:hAnsi="宋体"/>
                <w:color w:val="auto"/>
                <w:kern w:val="0"/>
              </w:rPr>
              <w:t>环评及批复执行标准</w:t>
            </w:r>
          </w:p>
        </w:tc>
        <w:tc>
          <w:tcPr>
            <w:tcW w:w="1519" w:type="pct"/>
            <w:vMerge w:val="restart"/>
            <w:shd w:val="clear" w:color="auto" w:fill="auto"/>
            <w:vAlign w:val="center"/>
          </w:tcPr>
          <w:p w14:paraId="209B446A">
            <w:pPr>
              <w:jc w:val="center"/>
              <w:rPr>
                <w:rFonts w:ascii="宋体" w:hAnsi="宋体" w:cs="宋体"/>
                <w:color w:val="auto"/>
                <w:kern w:val="0"/>
              </w:rPr>
            </w:pPr>
            <w:r>
              <w:rPr>
                <w:rFonts w:hint="eastAsia" w:ascii="宋体" w:hAnsi="宋体"/>
                <w:color w:val="auto"/>
                <w:kern w:val="0"/>
              </w:rPr>
              <w:t>现行及验收执行标准</w:t>
            </w:r>
          </w:p>
        </w:tc>
      </w:tr>
      <w:tr w14:paraId="74290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shd w:val="clear" w:color="auto" w:fill="auto"/>
            <w:vAlign w:val="center"/>
          </w:tcPr>
          <w:p w14:paraId="06A83ED0">
            <w:pPr>
              <w:jc w:val="center"/>
              <w:rPr>
                <w:rFonts w:ascii="宋体" w:hAnsi="宋体" w:cs="宋体"/>
                <w:color w:val="auto"/>
                <w:kern w:val="0"/>
              </w:rPr>
            </w:pPr>
          </w:p>
        </w:tc>
        <w:tc>
          <w:tcPr>
            <w:tcW w:w="452" w:type="pct"/>
            <w:vMerge w:val="continue"/>
            <w:shd w:val="clear" w:color="auto" w:fill="auto"/>
            <w:vAlign w:val="center"/>
          </w:tcPr>
          <w:p w14:paraId="166CA4F9">
            <w:pPr>
              <w:jc w:val="center"/>
              <w:rPr>
                <w:rFonts w:ascii="宋体" w:hAnsi="宋体" w:cs="宋体"/>
                <w:color w:val="auto"/>
                <w:kern w:val="0"/>
              </w:rPr>
            </w:pPr>
          </w:p>
        </w:tc>
        <w:tc>
          <w:tcPr>
            <w:tcW w:w="554" w:type="pct"/>
            <w:shd w:val="clear" w:color="auto" w:fill="auto"/>
            <w:vAlign w:val="center"/>
          </w:tcPr>
          <w:p w14:paraId="568A3814">
            <w:pPr>
              <w:jc w:val="center"/>
              <w:rPr>
                <w:rFonts w:ascii="宋体" w:hAnsi="宋体" w:cs="宋体"/>
                <w:color w:val="auto"/>
                <w:kern w:val="0"/>
              </w:rPr>
            </w:pPr>
            <w:r>
              <w:rPr>
                <w:rFonts w:hint="eastAsia" w:ascii="宋体" w:hAnsi="宋体"/>
                <w:color w:val="auto"/>
                <w:kern w:val="0"/>
              </w:rPr>
              <w:t>昼间</w:t>
            </w:r>
          </w:p>
        </w:tc>
        <w:tc>
          <w:tcPr>
            <w:tcW w:w="555" w:type="pct"/>
            <w:shd w:val="clear" w:color="auto" w:fill="auto"/>
            <w:vAlign w:val="center"/>
          </w:tcPr>
          <w:p w14:paraId="62B78ACB">
            <w:pPr>
              <w:jc w:val="center"/>
              <w:rPr>
                <w:rFonts w:ascii="宋体" w:hAnsi="宋体" w:cs="宋体"/>
                <w:color w:val="auto"/>
                <w:kern w:val="0"/>
              </w:rPr>
            </w:pPr>
            <w:r>
              <w:rPr>
                <w:rFonts w:hint="eastAsia" w:ascii="宋体" w:hAnsi="宋体"/>
                <w:color w:val="auto"/>
                <w:kern w:val="0"/>
              </w:rPr>
              <w:t>夜间</w:t>
            </w:r>
          </w:p>
        </w:tc>
        <w:tc>
          <w:tcPr>
            <w:tcW w:w="1519" w:type="pct"/>
            <w:vMerge w:val="continue"/>
            <w:shd w:val="clear" w:color="auto" w:fill="auto"/>
            <w:vAlign w:val="center"/>
          </w:tcPr>
          <w:p w14:paraId="18437DC4">
            <w:pPr>
              <w:jc w:val="center"/>
              <w:rPr>
                <w:rFonts w:ascii="宋体" w:hAnsi="宋体" w:cs="宋体"/>
                <w:color w:val="auto"/>
                <w:kern w:val="0"/>
              </w:rPr>
            </w:pPr>
          </w:p>
        </w:tc>
        <w:tc>
          <w:tcPr>
            <w:tcW w:w="1519" w:type="pct"/>
            <w:vMerge w:val="continue"/>
            <w:shd w:val="clear" w:color="auto" w:fill="auto"/>
            <w:vAlign w:val="center"/>
          </w:tcPr>
          <w:p w14:paraId="4149BF5C">
            <w:pPr>
              <w:jc w:val="center"/>
              <w:rPr>
                <w:rFonts w:ascii="宋体" w:hAnsi="宋体" w:cs="宋体"/>
                <w:color w:val="auto"/>
                <w:kern w:val="0"/>
              </w:rPr>
            </w:pPr>
          </w:p>
        </w:tc>
      </w:tr>
      <w:tr w14:paraId="4CE52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shd w:val="clear" w:color="auto" w:fill="auto"/>
            <w:vAlign w:val="center"/>
          </w:tcPr>
          <w:p w14:paraId="7D63CAC6">
            <w:pPr>
              <w:jc w:val="center"/>
              <w:rPr>
                <w:rFonts w:ascii="宋体" w:hAnsi="宋体" w:cs="宋体"/>
                <w:color w:val="auto"/>
                <w:kern w:val="0"/>
              </w:rPr>
            </w:pPr>
            <w:r>
              <w:rPr>
                <w:rFonts w:hint="eastAsia" w:ascii="宋体" w:hAnsi="宋体"/>
                <w:color w:val="auto"/>
                <w:kern w:val="0"/>
              </w:rPr>
              <w:t>施工期</w:t>
            </w:r>
          </w:p>
        </w:tc>
        <w:tc>
          <w:tcPr>
            <w:tcW w:w="452" w:type="pct"/>
            <w:shd w:val="clear" w:color="auto" w:fill="auto"/>
            <w:vAlign w:val="center"/>
          </w:tcPr>
          <w:p w14:paraId="63A7C364">
            <w:pPr>
              <w:jc w:val="center"/>
              <w:rPr>
                <w:rFonts w:ascii="宋体" w:hAnsi="宋体" w:cs="宋体"/>
                <w:color w:val="auto"/>
                <w:kern w:val="0"/>
              </w:rPr>
            </w:pPr>
            <w:r>
              <w:rPr>
                <w:rFonts w:hint="eastAsia" w:ascii="宋体" w:hAnsi="宋体"/>
                <w:color w:val="auto"/>
                <w:kern w:val="0"/>
              </w:rPr>
              <w:t>LAeq</w:t>
            </w:r>
          </w:p>
        </w:tc>
        <w:tc>
          <w:tcPr>
            <w:tcW w:w="554" w:type="pct"/>
            <w:shd w:val="clear" w:color="auto" w:fill="auto"/>
            <w:vAlign w:val="center"/>
          </w:tcPr>
          <w:p w14:paraId="11491D71">
            <w:pPr>
              <w:jc w:val="center"/>
              <w:rPr>
                <w:rFonts w:ascii="宋体" w:hAnsi="宋体" w:cs="宋体"/>
                <w:color w:val="auto"/>
                <w:kern w:val="0"/>
              </w:rPr>
            </w:pPr>
            <w:r>
              <w:rPr>
                <w:rFonts w:hint="eastAsia" w:ascii="宋体" w:hAnsi="宋体"/>
                <w:color w:val="auto"/>
                <w:kern w:val="0"/>
              </w:rPr>
              <w:t>70</w:t>
            </w:r>
          </w:p>
        </w:tc>
        <w:tc>
          <w:tcPr>
            <w:tcW w:w="555" w:type="pct"/>
            <w:shd w:val="clear" w:color="auto" w:fill="auto"/>
            <w:vAlign w:val="center"/>
          </w:tcPr>
          <w:p w14:paraId="6B55778F">
            <w:pPr>
              <w:jc w:val="center"/>
              <w:rPr>
                <w:rFonts w:ascii="宋体" w:hAnsi="宋体" w:cs="宋体"/>
                <w:color w:val="auto"/>
                <w:kern w:val="0"/>
              </w:rPr>
            </w:pPr>
            <w:r>
              <w:rPr>
                <w:rFonts w:hint="eastAsia" w:ascii="宋体" w:hAnsi="宋体"/>
                <w:color w:val="auto"/>
                <w:kern w:val="0"/>
              </w:rPr>
              <w:t>55</w:t>
            </w:r>
          </w:p>
        </w:tc>
        <w:tc>
          <w:tcPr>
            <w:tcW w:w="1519" w:type="pct"/>
            <w:shd w:val="clear" w:color="auto" w:fill="auto"/>
            <w:vAlign w:val="center"/>
          </w:tcPr>
          <w:p w14:paraId="4AB8FB5B">
            <w:pPr>
              <w:jc w:val="center"/>
              <w:rPr>
                <w:rFonts w:ascii="宋体" w:hAnsi="宋体" w:cs="宋体"/>
                <w:color w:val="auto"/>
                <w:kern w:val="0"/>
              </w:rPr>
            </w:pPr>
            <w:r>
              <w:rPr>
                <w:rFonts w:hint="eastAsia" w:ascii="宋体" w:hAnsi="宋体"/>
                <w:color w:val="auto"/>
                <w:kern w:val="0"/>
              </w:rPr>
              <w:t>《建筑施工场界环境噪声排放标准》（GB 12523-2011）</w:t>
            </w:r>
          </w:p>
        </w:tc>
        <w:tc>
          <w:tcPr>
            <w:tcW w:w="1519" w:type="pct"/>
            <w:shd w:val="clear" w:color="auto" w:fill="auto"/>
            <w:vAlign w:val="center"/>
          </w:tcPr>
          <w:p w14:paraId="50E4393E">
            <w:pPr>
              <w:jc w:val="center"/>
              <w:rPr>
                <w:rFonts w:ascii="宋体" w:hAnsi="宋体" w:cs="宋体"/>
                <w:color w:val="auto"/>
                <w:kern w:val="0"/>
              </w:rPr>
            </w:pPr>
            <w:r>
              <w:rPr>
                <w:rFonts w:hint="eastAsia" w:ascii="宋体" w:hAnsi="宋体"/>
                <w:color w:val="auto"/>
                <w:kern w:val="0"/>
              </w:rPr>
              <w:t>《建筑施工噪声排放标准》</w:t>
            </w:r>
            <w:r>
              <w:rPr>
                <w:rFonts w:ascii="宋体" w:hAnsi="宋体"/>
                <w:color w:val="auto"/>
                <w:kern w:val="0"/>
              </w:rPr>
              <w:t>(GB 12523-2025)</w:t>
            </w:r>
          </w:p>
        </w:tc>
      </w:tr>
      <w:tr w14:paraId="0689E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shd w:val="clear" w:color="auto" w:fill="auto"/>
            <w:vAlign w:val="center"/>
          </w:tcPr>
          <w:p w14:paraId="775DEB08">
            <w:pPr>
              <w:jc w:val="center"/>
              <w:rPr>
                <w:rFonts w:ascii="宋体" w:hAnsi="宋体" w:cs="宋体"/>
                <w:color w:val="auto"/>
                <w:kern w:val="0"/>
              </w:rPr>
            </w:pPr>
            <w:r>
              <w:rPr>
                <w:rFonts w:hint="eastAsia" w:ascii="宋体" w:hAnsi="宋体"/>
                <w:color w:val="auto"/>
                <w:kern w:val="0"/>
              </w:rPr>
              <w:t>运营期</w:t>
            </w:r>
          </w:p>
        </w:tc>
        <w:tc>
          <w:tcPr>
            <w:tcW w:w="452" w:type="pct"/>
            <w:shd w:val="clear" w:color="auto" w:fill="auto"/>
            <w:vAlign w:val="center"/>
          </w:tcPr>
          <w:p w14:paraId="573FFA87">
            <w:pPr>
              <w:jc w:val="center"/>
              <w:rPr>
                <w:rFonts w:ascii="宋体" w:hAnsi="宋体" w:cs="宋体"/>
                <w:color w:val="auto"/>
                <w:kern w:val="0"/>
              </w:rPr>
            </w:pPr>
            <w:r>
              <w:rPr>
                <w:rFonts w:hint="eastAsia" w:ascii="宋体" w:hAnsi="宋体"/>
                <w:color w:val="auto"/>
                <w:kern w:val="0"/>
              </w:rPr>
              <w:t>LAeq</w:t>
            </w:r>
          </w:p>
        </w:tc>
        <w:tc>
          <w:tcPr>
            <w:tcW w:w="554" w:type="pct"/>
            <w:shd w:val="clear" w:color="auto" w:fill="auto"/>
            <w:vAlign w:val="center"/>
          </w:tcPr>
          <w:p w14:paraId="1D82A890">
            <w:pPr>
              <w:jc w:val="center"/>
              <w:rPr>
                <w:rFonts w:ascii="宋体" w:hAnsi="宋体" w:cs="宋体"/>
                <w:color w:val="auto"/>
                <w:kern w:val="0"/>
              </w:rPr>
            </w:pPr>
            <w:r>
              <w:rPr>
                <w:rFonts w:hint="eastAsia" w:ascii="宋体" w:hAnsi="宋体"/>
                <w:color w:val="auto"/>
                <w:kern w:val="0"/>
              </w:rPr>
              <w:t>60</w:t>
            </w:r>
          </w:p>
        </w:tc>
        <w:tc>
          <w:tcPr>
            <w:tcW w:w="555" w:type="pct"/>
            <w:shd w:val="clear" w:color="auto" w:fill="auto"/>
            <w:vAlign w:val="center"/>
          </w:tcPr>
          <w:p w14:paraId="13BE3AFE">
            <w:pPr>
              <w:jc w:val="center"/>
              <w:rPr>
                <w:rFonts w:ascii="宋体" w:hAnsi="宋体" w:cs="宋体"/>
                <w:color w:val="auto"/>
                <w:kern w:val="0"/>
              </w:rPr>
            </w:pPr>
            <w:r>
              <w:rPr>
                <w:rFonts w:hint="eastAsia" w:ascii="宋体" w:hAnsi="宋体"/>
                <w:color w:val="auto"/>
                <w:kern w:val="0"/>
              </w:rPr>
              <w:t>50</w:t>
            </w:r>
          </w:p>
        </w:tc>
        <w:tc>
          <w:tcPr>
            <w:tcW w:w="1519" w:type="pct"/>
            <w:shd w:val="clear" w:color="auto" w:fill="auto"/>
            <w:vAlign w:val="center"/>
          </w:tcPr>
          <w:p w14:paraId="28794A82">
            <w:pPr>
              <w:jc w:val="center"/>
              <w:rPr>
                <w:rFonts w:ascii="宋体" w:hAnsi="宋体" w:cs="宋体"/>
                <w:color w:val="auto"/>
                <w:kern w:val="0"/>
              </w:rPr>
            </w:pPr>
            <w:r>
              <w:rPr>
                <w:rFonts w:hint="eastAsia" w:ascii="宋体" w:hAnsi="宋体"/>
                <w:color w:val="auto"/>
                <w:kern w:val="0"/>
              </w:rPr>
              <w:t>《工业企业厂界环境噪声排放标准》（GB 12348-2008）2类标准</w:t>
            </w:r>
          </w:p>
        </w:tc>
        <w:tc>
          <w:tcPr>
            <w:tcW w:w="1519" w:type="pct"/>
            <w:shd w:val="clear" w:color="auto" w:fill="auto"/>
            <w:vAlign w:val="center"/>
          </w:tcPr>
          <w:p w14:paraId="5676E155">
            <w:pPr>
              <w:jc w:val="center"/>
              <w:rPr>
                <w:rFonts w:ascii="宋体" w:hAnsi="宋体" w:cs="宋体"/>
                <w:color w:val="auto"/>
                <w:kern w:val="0"/>
              </w:rPr>
            </w:pPr>
            <w:r>
              <w:rPr>
                <w:rFonts w:hint="eastAsia" w:ascii="宋体" w:hAnsi="宋体"/>
                <w:color w:val="auto"/>
                <w:kern w:val="0"/>
              </w:rPr>
              <w:t>《工业企业厂界环境噪声排放标准》（GB 12348-2008）2类标准</w:t>
            </w:r>
          </w:p>
        </w:tc>
      </w:tr>
    </w:tbl>
    <w:p w14:paraId="19414508">
      <w:pPr>
        <w:pStyle w:val="4"/>
        <w:ind w:firstLine="480"/>
        <w:rPr>
          <w:color w:val="auto"/>
        </w:rPr>
      </w:pPr>
    </w:p>
    <w:p w14:paraId="7605DBCF">
      <w:pPr>
        <w:pStyle w:val="4"/>
        <w:ind w:firstLine="480"/>
        <w:rPr>
          <w:color w:val="auto"/>
        </w:rPr>
      </w:pPr>
      <w:r>
        <w:rPr>
          <w:rFonts w:hint="eastAsia"/>
          <w:color w:val="auto"/>
        </w:rPr>
        <w:t>4）固体废物</w:t>
      </w:r>
    </w:p>
    <w:p w14:paraId="7B17FB2F">
      <w:pPr>
        <w:pStyle w:val="4"/>
        <w:ind w:firstLine="480"/>
        <w:rPr>
          <w:color w:val="auto"/>
        </w:rPr>
      </w:pPr>
      <w:r>
        <w:rPr>
          <w:rFonts w:hint="eastAsia"/>
          <w:color w:val="auto"/>
        </w:rPr>
        <w:t>本期工程固体废物验收执行标准见</w:t>
      </w:r>
      <w:r>
        <w:rPr>
          <w:color w:val="auto"/>
        </w:rPr>
        <w:fldChar w:fldCharType="begin"/>
      </w:r>
      <w:r>
        <w:instrText xml:space="preserve"> REF _Ref142902030 \h  \* MERGEFORMAT</w:instrText>
      </w:r>
      <w:r>
        <w:rPr>
          <w:color w:val="auto"/>
        </w:rPr>
        <w:fldChar w:fldCharType="separate"/>
      </w:r>
      <w:r>
        <w:rPr>
          <w:rFonts w:hint="eastAsia"/>
          <w:color w:val="auto"/>
        </w:rPr>
        <w:t xml:space="preserve">表 </w:t>
      </w:r>
      <w:r>
        <w:rPr>
          <w:color w:val="auto"/>
        </w:rPr>
        <w:t>4.3</w:t>
      </w:r>
      <w:r>
        <w:rPr>
          <w:color w:val="auto"/>
        </w:rPr>
        <w:noBreakHyphen/>
      </w:r>
      <w:r>
        <w:rPr>
          <w:color w:val="auto"/>
        </w:rPr>
        <w:t>4</w:t>
      </w:r>
      <w:r>
        <w:rPr>
          <w:color w:val="auto"/>
        </w:rPr>
        <w:fldChar w:fldCharType="end"/>
      </w:r>
      <w:r>
        <w:rPr>
          <w:rFonts w:hint="eastAsia"/>
          <w:color w:val="auto"/>
        </w:rPr>
        <w:t>。</w:t>
      </w:r>
    </w:p>
    <w:p w14:paraId="2D9CA4DA">
      <w:pPr>
        <w:pStyle w:val="15"/>
        <w:spacing w:before="120"/>
        <w:rPr>
          <w:rFonts w:hAnsi="宋体"/>
          <w:color w:val="auto"/>
        </w:rPr>
      </w:pPr>
      <w:r>
        <w:rPr>
          <w:rFonts w:hint="eastAsia" w:hAnsi="宋体"/>
          <w:color w:val="auto"/>
        </w:rPr>
        <w:t xml:space="preserve"> </w:t>
      </w:r>
      <w:bookmarkStart w:id="360" w:name="_Ref24414781"/>
      <w:bookmarkEnd w:id="360"/>
      <w:bookmarkStart w:id="361" w:name="_Ref142902030"/>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4</w:t>
      </w:r>
      <w:r>
        <w:rPr>
          <w:rFonts w:hAnsi="宋体"/>
          <w:color w:val="auto"/>
        </w:rPr>
        <w:fldChar w:fldCharType="end"/>
      </w:r>
      <w:bookmarkEnd w:id="361"/>
      <w:r>
        <w:rPr>
          <w:rFonts w:hint="eastAsia" w:hAnsi="宋体"/>
          <w:color w:val="auto"/>
        </w:rPr>
        <w:t xml:space="preserve">  本期工程固废验收执行标准</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3829"/>
        <w:gridCol w:w="3813"/>
      </w:tblGrid>
      <w:tr w14:paraId="0279A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619" w:type="pct"/>
            <w:tcBorders>
              <w:top w:val="single" w:color="auto" w:sz="4" w:space="0"/>
              <w:left w:val="single" w:color="auto" w:sz="4" w:space="0"/>
              <w:bottom w:val="single" w:color="auto" w:sz="4" w:space="0"/>
              <w:right w:val="single" w:color="auto" w:sz="4" w:space="0"/>
            </w:tcBorders>
            <w:vAlign w:val="center"/>
          </w:tcPr>
          <w:p w14:paraId="2D907F78">
            <w:pPr>
              <w:jc w:val="center"/>
              <w:rPr>
                <w:rFonts w:ascii="宋体" w:hAnsi="宋体" w:cs="宋体"/>
                <w:color w:val="auto"/>
                <w:kern w:val="0"/>
              </w:rPr>
            </w:pPr>
            <w:r>
              <w:rPr>
                <w:rFonts w:hint="eastAsia" w:ascii="宋体" w:hAnsi="宋体"/>
                <w:color w:val="auto"/>
                <w:kern w:val="0"/>
              </w:rPr>
              <w:t>污染项目</w:t>
            </w:r>
          </w:p>
        </w:tc>
        <w:tc>
          <w:tcPr>
            <w:tcW w:w="2195" w:type="pct"/>
            <w:tcBorders>
              <w:top w:val="single" w:color="auto" w:sz="4" w:space="0"/>
              <w:left w:val="single" w:color="auto" w:sz="4" w:space="0"/>
              <w:bottom w:val="single" w:color="auto" w:sz="4" w:space="0"/>
              <w:right w:val="single" w:color="auto" w:sz="4" w:space="0"/>
            </w:tcBorders>
            <w:vAlign w:val="center"/>
          </w:tcPr>
          <w:p w14:paraId="3F10FEA6">
            <w:pPr>
              <w:jc w:val="center"/>
              <w:rPr>
                <w:rFonts w:ascii="宋体" w:hAnsi="宋体" w:cs="宋体"/>
                <w:color w:val="auto"/>
                <w:kern w:val="0"/>
              </w:rPr>
            </w:pPr>
            <w:r>
              <w:rPr>
                <w:rFonts w:hint="eastAsia" w:ascii="宋体" w:hAnsi="宋体"/>
                <w:color w:val="auto"/>
                <w:kern w:val="0"/>
              </w:rPr>
              <w:t>环评执行标准</w:t>
            </w:r>
          </w:p>
        </w:tc>
        <w:tc>
          <w:tcPr>
            <w:tcW w:w="2186" w:type="pct"/>
            <w:tcBorders>
              <w:top w:val="single" w:color="auto" w:sz="4" w:space="0"/>
              <w:left w:val="single" w:color="auto" w:sz="4" w:space="0"/>
              <w:bottom w:val="single" w:color="auto" w:sz="4" w:space="0"/>
              <w:right w:val="single" w:color="auto" w:sz="4" w:space="0"/>
            </w:tcBorders>
            <w:vAlign w:val="center"/>
          </w:tcPr>
          <w:p w14:paraId="72B99AC3">
            <w:pPr>
              <w:jc w:val="center"/>
              <w:rPr>
                <w:rFonts w:ascii="宋体" w:hAnsi="宋体" w:cs="宋体"/>
                <w:color w:val="auto"/>
                <w:kern w:val="0"/>
              </w:rPr>
            </w:pPr>
            <w:r>
              <w:rPr>
                <w:rFonts w:hint="eastAsia" w:ascii="宋体" w:hAnsi="宋体"/>
                <w:color w:val="auto"/>
                <w:kern w:val="0"/>
              </w:rPr>
              <w:t>现行及验收执行标准</w:t>
            </w:r>
          </w:p>
        </w:tc>
      </w:tr>
      <w:tr w14:paraId="691BA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619" w:type="pct"/>
            <w:tcBorders>
              <w:top w:val="single" w:color="auto" w:sz="4" w:space="0"/>
              <w:left w:val="single" w:color="auto" w:sz="4" w:space="0"/>
              <w:bottom w:val="single" w:color="auto" w:sz="4" w:space="0"/>
              <w:right w:val="single" w:color="auto" w:sz="4" w:space="0"/>
            </w:tcBorders>
            <w:vAlign w:val="center"/>
          </w:tcPr>
          <w:p w14:paraId="7866C4BA">
            <w:pPr>
              <w:jc w:val="center"/>
              <w:rPr>
                <w:rFonts w:ascii="宋体" w:hAnsi="宋体" w:cs="宋体"/>
                <w:color w:val="auto"/>
                <w:kern w:val="0"/>
              </w:rPr>
            </w:pPr>
            <w:r>
              <w:rPr>
                <w:rFonts w:hint="eastAsia" w:ascii="宋体" w:hAnsi="宋体"/>
                <w:color w:val="auto"/>
                <w:kern w:val="0"/>
              </w:rPr>
              <w:t>一般工业固体废物</w:t>
            </w:r>
          </w:p>
        </w:tc>
        <w:tc>
          <w:tcPr>
            <w:tcW w:w="2195" w:type="pct"/>
            <w:tcBorders>
              <w:top w:val="single" w:color="auto" w:sz="4" w:space="0"/>
              <w:left w:val="single" w:color="auto" w:sz="4" w:space="0"/>
              <w:bottom w:val="single" w:color="auto" w:sz="4" w:space="0"/>
              <w:right w:val="single" w:color="auto" w:sz="4" w:space="0"/>
            </w:tcBorders>
            <w:vAlign w:val="center"/>
          </w:tcPr>
          <w:p w14:paraId="625E414A">
            <w:pPr>
              <w:jc w:val="center"/>
              <w:rPr>
                <w:rFonts w:ascii="宋体" w:hAnsi="宋体" w:cs="宋体"/>
                <w:color w:val="auto"/>
                <w:kern w:val="0"/>
              </w:rPr>
            </w:pPr>
            <w:r>
              <w:rPr>
                <w:rFonts w:hint="eastAsia" w:ascii="宋体" w:hAnsi="宋体"/>
                <w:color w:val="auto"/>
                <w:kern w:val="0"/>
              </w:rPr>
              <w:t>《一般工业固体废物贮存、处置场污染控制标准》（GB 18599-2001）及其修改单（环境保护部公告 2013年 第36号）</w:t>
            </w:r>
          </w:p>
        </w:tc>
        <w:tc>
          <w:tcPr>
            <w:tcW w:w="2186" w:type="pct"/>
            <w:tcBorders>
              <w:top w:val="single" w:color="auto" w:sz="4" w:space="0"/>
              <w:left w:val="single" w:color="auto" w:sz="4" w:space="0"/>
              <w:bottom w:val="single" w:color="auto" w:sz="4" w:space="0"/>
              <w:right w:val="single" w:color="auto" w:sz="4" w:space="0"/>
            </w:tcBorders>
            <w:vAlign w:val="center"/>
          </w:tcPr>
          <w:p w14:paraId="555FE9E1">
            <w:pPr>
              <w:jc w:val="center"/>
              <w:rPr>
                <w:rFonts w:ascii="宋体" w:hAnsi="宋体" w:cs="宋体"/>
                <w:color w:val="auto"/>
                <w:kern w:val="0"/>
              </w:rPr>
            </w:pPr>
            <w:r>
              <w:rPr>
                <w:rFonts w:hint="eastAsia" w:ascii="宋体" w:hAnsi="宋体"/>
                <w:color w:val="auto"/>
                <w:kern w:val="0"/>
              </w:rPr>
              <w:t>《中华人民共和国固体废物污染环境防治法》（主席令[2020]第43号[2020年修正本]）、《山东省固体废物污染环境防治条例》》（山东省人民代表大会常务委员会公告[第187号]）</w:t>
            </w:r>
          </w:p>
        </w:tc>
      </w:tr>
      <w:tr w14:paraId="3E21B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619" w:type="pct"/>
            <w:tcBorders>
              <w:top w:val="single" w:color="auto" w:sz="4" w:space="0"/>
              <w:left w:val="single" w:color="auto" w:sz="4" w:space="0"/>
              <w:bottom w:val="single" w:color="auto" w:sz="4" w:space="0"/>
              <w:right w:val="single" w:color="auto" w:sz="4" w:space="0"/>
            </w:tcBorders>
            <w:vAlign w:val="center"/>
          </w:tcPr>
          <w:p w14:paraId="4EC19C78">
            <w:pPr>
              <w:jc w:val="center"/>
              <w:rPr>
                <w:rFonts w:ascii="宋体" w:hAnsi="宋体" w:cs="宋体"/>
                <w:color w:val="auto"/>
                <w:kern w:val="0"/>
              </w:rPr>
            </w:pPr>
            <w:r>
              <w:rPr>
                <w:rFonts w:hint="eastAsia" w:ascii="宋体" w:hAnsi="宋体"/>
                <w:color w:val="auto"/>
                <w:kern w:val="0"/>
              </w:rPr>
              <w:t>危险废物</w:t>
            </w:r>
          </w:p>
        </w:tc>
        <w:tc>
          <w:tcPr>
            <w:tcW w:w="2195" w:type="pct"/>
            <w:tcBorders>
              <w:top w:val="single" w:color="auto" w:sz="4" w:space="0"/>
              <w:left w:val="single" w:color="auto" w:sz="4" w:space="0"/>
              <w:bottom w:val="single" w:color="auto" w:sz="4" w:space="0"/>
              <w:right w:val="single" w:color="auto" w:sz="4" w:space="0"/>
            </w:tcBorders>
            <w:vAlign w:val="center"/>
          </w:tcPr>
          <w:p w14:paraId="25932376">
            <w:pPr>
              <w:jc w:val="center"/>
              <w:rPr>
                <w:rFonts w:ascii="宋体" w:hAnsi="宋体" w:cs="宋体"/>
                <w:color w:val="auto"/>
                <w:kern w:val="0"/>
              </w:rPr>
            </w:pPr>
            <w:r>
              <w:rPr>
                <w:rFonts w:hint="eastAsia" w:ascii="宋体" w:hAnsi="宋体"/>
                <w:color w:val="auto"/>
                <w:kern w:val="0"/>
              </w:rPr>
              <w:t>《危险废物贮存污染控制标准》（GB 18597-2001）及其修改单（环境保护部公告 2013年 第36号）</w:t>
            </w:r>
          </w:p>
        </w:tc>
        <w:tc>
          <w:tcPr>
            <w:tcW w:w="2186" w:type="pct"/>
            <w:tcBorders>
              <w:top w:val="single" w:color="auto" w:sz="4" w:space="0"/>
              <w:left w:val="single" w:color="auto" w:sz="4" w:space="0"/>
              <w:bottom w:val="single" w:color="auto" w:sz="4" w:space="0"/>
              <w:right w:val="single" w:color="auto" w:sz="4" w:space="0"/>
            </w:tcBorders>
            <w:vAlign w:val="center"/>
          </w:tcPr>
          <w:p w14:paraId="03512EE9">
            <w:pPr>
              <w:jc w:val="center"/>
              <w:rPr>
                <w:rFonts w:ascii="宋体" w:hAnsi="宋体" w:cs="宋体"/>
                <w:color w:val="auto"/>
                <w:kern w:val="0"/>
              </w:rPr>
            </w:pPr>
            <w:r>
              <w:rPr>
                <w:rFonts w:hint="eastAsia" w:ascii="宋体" w:hAnsi="宋体"/>
                <w:color w:val="auto"/>
                <w:kern w:val="0"/>
              </w:rPr>
              <w:t>《危险废物贮存污染控制标准》（GB 18597-2023）</w:t>
            </w:r>
          </w:p>
        </w:tc>
      </w:tr>
    </w:tbl>
    <w:p w14:paraId="1B494E3F">
      <w:pPr>
        <w:pStyle w:val="122"/>
        <w:spacing w:line="331" w:lineRule="auto"/>
        <w:ind w:firstLine="480"/>
        <w:rPr>
          <w:rFonts w:hAnsi="宋体"/>
          <w:color w:val="auto"/>
        </w:rPr>
        <w:sectPr>
          <w:pgSz w:w="11907" w:h="16839"/>
          <w:pgMar w:top="1418" w:right="1588" w:bottom="1418" w:left="1588" w:header="1134" w:footer="850" w:gutter="0"/>
          <w:cols w:space="720" w:num="1"/>
          <w:docGrid w:linePitch="312" w:charSpace="0"/>
        </w:sectPr>
      </w:pPr>
    </w:p>
    <w:p w14:paraId="55AE2FC6">
      <w:pPr>
        <w:pStyle w:val="3"/>
        <w:rPr>
          <w:color w:val="auto"/>
        </w:rPr>
      </w:pPr>
      <w:bookmarkStart w:id="362" w:name="_Toc231283633"/>
      <w:r>
        <w:rPr>
          <w:rFonts w:hint="eastAsia"/>
          <w:color w:val="auto"/>
        </w:rPr>
        <w:t>环境保护</w:t>
      </w:r>
      <w:r>
        <w:rPr>
          <w:color w:val="auto"/>
        </w:rPr>
        <w:t>设施调查</w:t>
      </w:r>
      <w:bookmarkEnd w:id="362"/>
    </w:p>
    <w:p w14:paraId="5E772629">
      <w:pPr>
        <w:pStyle w:val="5"/>
        <w:rPr>
          <w:color w:val="auto"/>
        </w:rPr>
      </w:pPr>
      <w:bookmarkStart w:id="363" w:name="_Toc231283634"/>
      <w:r>
        <w:rPr>
          <w:rFonts w:hint="eastAsia"/>
          <w:color w:val="auto"/>
        </w:rPr>
        <w:t>生态保护工程和</w:t>
      </w:r>
      <w:r>
        <w:rPr>
          <w:color w:val="auto"/>
        </w:rPr>
        <w:t>设施</w:t>
      </w:r>
      <w:bookmarkEnd w:id="363"/>
    </w:p>
    <w:p w14:paraId="12F9E45A">
      <w:pPr>
        <w:pStyle w:val="4"/>
        <w:ind w:firstLine="480"/>
        <w:rPr>
          <w:color w:val="auto"/>
        </w:rPr>
      </w:pPr>
      <w:r>
        <w:rPr>
          <w:rFonts w:hint="eastAsia"/>
          <w:color w:val="auto"/>
        </w:rPr>
        <w:t>本期工程对周边生态环境的影响主要体现在施工期。</w:t>
      </w:r>
    </w:p>
    <w:p w14:paraId="2F0456E5">
      <w:pPr>
        <w:pStyle w:val="4"/>
        <w:ind w:firstLine="480"/>
        <w:rPr>
          <w:color w:val="auto"/>
        </w:rPr>
      </w:pPr>
      <w:r>
        <w:rPr>
          <w:rFonts w:hint="eastAsia"/>
          <w:color w:val="auto"/>
        </w:rPr>
        <w:t>1）在施工期间，为保证施工质量，建设单位、施工单位均建立了环境监督制度，监督指导施工期对生态保护措施的落实情况，确保工程实施过程中，能够严格遵守国家、地方等相关环境法律法规；</w:t>
      </w:r>
    </w:p>
    <w:p w14:paraId="47413D34">
      <w:pPr>
        <w:pStyle w:val="4"/>
        <w:ind w:firstLine="480"/>
        <w:rPr>
          <w:color w:val="auto"/>
        </w:rPr>
      </w:pPr>
      <w:r>
        <w:rPr>
          <w:rFonts w:hint="eastAsia"/>
          <w:color w:val="auto"/>
        </w:rPr>
        <w:t>2）管线工程施工期严格划定了施工作业范围，在施工作业带内施工，减少了临时占地面积。施工期间严格限制了施工人员及施工机械活动范围，未破坏施工作业带以外的土壤及地面植物；</w:t>
      </w:r>
    </w:p>
    <w:p w14:paraId="5975DA0A">
      <w:pPr>
        <w:pStyle w:val="4"/>
        <w:ind w:firstLine="480"/>
        <w:rPr>
          <w:color w:val="auto"/>
        </w:rPr>
      </w:pPr>
      <w:r>
        <w:rPr>
          <w:rFonts w:hint="eastAsia"/>
          <w:color w:val="auto"/>
        </w:rPr>
        <w:t>3）施工期产生的各类污染物，未对周边生态环境造成重大污染，各类污染物均可按环评要求妥善处理，对周边生态环境影响较轻；</w:t>
      </w:r>
    </w:p>
    <w:p w14:paraId="17EE5659">
      <w:pPr>
        <w:pStyle w:val="4"/>
        <w:ind w:firstLine="480"/>
        <w:rPr>
          <w:color w:val="auto"/>
        </w:rPr>
      </w:pPr>
      <w:r>
        <w:rPr>
          <w:rFonts w:hint="eastAsia" w:cs="宋体"/>
          <w:color w:val="auto"/>
        </w:rPr>
        <w:t>4）采取了边铺设管道边分层覆土的措施，减少了裸地的暴露时间，施工结束后，能够做到及时清理现场，恢复地貌，已将施工期对生态环境的影响降到最低程度</w:t>
      </w:r>
      <w:r>
        <w:rPr>
          <w:rFonts w:hint="eastAsia"/>
          <w:color w:val="auto"/>
        </w:rPr>
        <w:t>。详见</w:t>
      </w:r>
      <w:r>
        <w:rPr>
          <w:color w:val="auto"/>
        </w:rPr>
        <w:fldChar w:fldCharType="begin"/>
      </w:r>
      <w:r>
        <w:instrText xml:space="preserve"> REF _Ref142902616 \h  \* MERGEFORMAT</w:instrText>
      </w:r>
      <w:r>
        <w:rPr>
          <w:color w:val="auto"/>
        </w:rPr>
        <w:fldChar w:fldCharType="separate"/>
      </w:r>
      <w:r>
        <w:rPr>
          <w:rFonts w:hint="eastAsia"/>
          <w:color w:val="auto"/>
        </w:rPr>
        <w:t xml:space="preserve">图 </w:t>
      </w:r>
      <w:r>
        <w:rPr>
          <w:color w:val="auto"/>
        </w:rPr>
        <w:t>5.1</w:t>
      </w:r>
      <w:r>
        <w:rPr>
          <w:color w:val="auto"/>
        </w:rPr>
        <w:noBreakHyphen/>
      </w:r>
      <w:r>
        <w:rPr>
          <w:color w:val="auto"/>
        </w:rPr>
        <w:t>1</w:t>
      </w:r>
      <w:r>
        <w:rPr>
          <w:color w:val="auto"/>
        </w:rPr>
        <w:fldChar w:fldCharType="end"/>
      </w:r>
      <w:r>
        <w:rPr>
          <w:rFonts w:hint="eastAsia"/>
          <w:color w:val="auto"/>
        </w:rPr>
        <w:t>。</w:t>
      </w:r>
    </w:p>
    <w:tbl>
      <w:tblPr>
        <w:tblStyle w:val="8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4"/>
        <w:gridCol w:w="4407"/>
      </w:tblGrid>
      <w:tr w14:paraId="3451D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89" w:type="dxa"/>
            <w:tcBorders>
              <w:top w:val="single" w:color="auto" w:sz="4" w:space="0"/>
              <w:left w:val="single" w:color="auto" w:sz="4" w:space="0"/>
              <w:bottom w:val="single" w:color="auto" w:sz="4" w:space="0"/>
              <w:right w:val="single" w:color="auto" w:sz="4" w:space="0"/>
            </w:tcBorders>
            <w:vAlign w:val="center"/>
          </w:tcPr>
          <w:p w14:paraId="68BBB237">
            <w:pPr>
              <w:adjustRightInd w:val="0"/>
              <w:snapToGrid w:val="0"/>
              <w:jc w:val="center"/>
              <w:rPr>
                <w:rFonts w:ascii="宋体" w:hAnsi="宋体"/>
                <w:color w:val="auto"/>
              </w:rPr>
            </w:pPr>
            <w:r>
              <w:rPr>
                <w:rFonts w:ascii="宋体" w:hAnsi="宋体"/>
                <w:color w:val="auto"/>
              </w:rPr>
              <w:drawing>
                <wp:inline distT="0" distB="0" distL="0" distR="0">
                  <wp:extent cx="2654935" cy="3539490"/>
                  <wp:effectExtent l="0" t="0" r="0" b="3810"/>
                  <wp:docPr id="61" name="图片 61" descr="I:\5-2025年项目\26.东胜1月两个验收\3-现场踏勘\高青管理区\F18-23.24.25.27\pic_20260113_152130(9057368306714339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5-2025年项目\26.东胜1月两个验收\3-现场踏勘\高青管理区\F18-23.24.25.27\pic_20260113_152130(905736830671433904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665333" cy="3553123"/>
                          </a:xfrm>
                          <a:prstGeom prst="rect">
                            <a:avLst/>
                          </a:prstGeom>
                          <a:noFill/>
                          <a:ln>
                            <a:noFill/>
                          </a:ln>
                        </pic:spPr>
                      </pic:pic>
                    </a:graphicData>
                  </a:graphic>
                </wp:inline>
              </w:drawing>
            </w:r>
          </w:p>
        </w:tc>
        <w:tc>
          <w:tcPr>
            <w:tcW w:w="4432" w:type="dxa"/>
            <w:tcBorders>
              <w:top w:val="single" w:color="auto" w:sz="4" w:space="0"/>
              <w:left w:val="single" w:color="auto" w:sz="4" w:space="0"/>
              <w:bottom w:val="single" w:color="auto" w:sz="4" w:space="0"/>
              <w:right w:val="single" w:color="auto" w:sz="4" w:space="0"/>
            </w:tcBorders>
            <w:vAlign w:val="center"/>
          </w:tcPr>
          <w:p w14:paraId="303ADF70">
            <w:pPr>
              <w:adjustRightInd w:val="0"/>
              <w:snapToGrid w:val="0"/>
              <w:jc w:val="center"/>
              <w:rPr>
                <w:rFonts w:ascii="宋体" w:hAnsi="宋体"/>
                <w:color w:val="auto"/>
              </w:rPr>
            </w:pPr>
            <w:r>
              <w:rPr>
                <w:rFonts w:ascii="宋体" w:hAnsi="宋体"/>
                <w:color w:val="auto"/>
              </w:rPr>
              <w:drawing>
                <wp:inline distT="0" distB="0" distL="0" distR="0">
                  <wp:extent cx="2746375" cy="2059940"/>
                  <wp:effectExtent l="0" t="0" r="0" b="0"/>
                  <wp:docPr id="459578560" name="图片 459578560" descr="I:\5-2025年项目\26.东胜1月两个验收\3-现场踏勘\高青管理区\樊页3hf\pic_20260113_151227(4887759709779935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0" name="图片 459578560" descr="I:\5-2025年项目\26.东胜1月两个验收\3-现场踏勘\高青管理区\樊页3hf\pic_20260113_151227(488775970977993589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762088" cy="2071947"/>
                          </a:xfrm>
                          <a:prstGeom prst="rect">
                            <a:avLst/>
                          </a:prstGeom>
                          <a:noFill/>
                          <a:ln>
                            <a:noFill/>
                          </a:ln>
                        </pic:spPr>
                      </pic:pic>
                    </a:graphicData>
                  </a:graphic>
                </wp:inline>
              </w:drawing>
            </w:r>
          </w:p>
        </w:tc>
      </w:tr>
      <w:tr w14:paraId="5BF03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89" w:type="dxa"/>
            <w:tcBorders>
              <w:top w:val="single" w:color="auto" w:sz="4" w:space="0"/>
              <w:left w:val="single" w:color="auto" w:sz="4" w:space="0"/>
              <w:bottom w:val="single" w:color="auto" w:sz="4" w:space="0"/>
              <w:right w:val="single" w:color="auto" w:sz="4" w:space="0"/>
            </w:tcBorders>
            <w:vAlign w:val="center"/>
          </w:tcPr>
          <w:p w14:paraId="13BC91B7">
            <w:pPr>
              <w:adjustRightInd w:val="0"/>
              <w:snapToGrid w:val="0"/>
              <w:jc w:val="center"/>
              <w:rPr>
                <w:rFonts w:ascii="宋体" w:hAnsi="宋体"/>
                <w:color w:val="auto"/>
              </w:rPr>
            </w:pPr>
            <w:bookmarkStart w:id="364" w:name="OLE_LINK296"/>
            <w:bookmarkStart w:id="365" w:name="OLE_LINK295"/>
            <w:r>
              <w:rPr>
                <w:rFonts w:hint="eastAsia" w:ascii="宋体" w:hAnsi="宋体" w:cs="宋体"/>
                <w:color w:val="auto"/>
              </w:rPr>
              <w:t>FJF18-X</w:t>
            </w:r>
            <w:r>
              <w:rPr>
                <w:rFonts w:ascii="宋体" w:hAnsi="宋体" w:cs="宋体"/>
                <w:color w:val="auto"/>
              </w:rPr>
              <w:t>25</w:t>
            </w:r>
            <w:r>
              <w:rPr>
                <w:rFonts w:hint="eastAsia" w:ascii="宋体" w:hAnsi="宋体"/>
                <w:color w:val="auto"/>
              </w:rPr>
              <w:t>井场恢复现状</w:t>
            </w:r>
            <w:bookmarkEnd w:id="364"/>
            <w:bookmarkEnd w:id="365"/>
          </w:p>
        </w:tc>
        <w:tc>
          <w:tcPr>
            <w:tcW w:w="4432" w:type="dxa"/>
            <w:tcBorders>
              <w:top w:val="single" w:color="auto" w:sz="4" w:space="0"/>
              <w:left w:val="single" w:color="auto" w:sz="4" w:space="0"/>
              <w:bottom w:val="single" w:color="auto" w:sz="4" w:space="0"/>
              <w:right w:val="single" w:color="auto" w:sz="4" w:space="0"/>
            </w:tcBorders>
            <w:vAlign w:val="center"/>
          </w:tcPr>
          <w:p w14:paraId="584C2FA5">
            <w:pPr>
              <w:adjustRightInd w:val="0"/>
              <w:snapToGrid w:val="0"/>
              <w:jc w:val="center"/>
              <w:rPr>
                <w:rFonts w:ascii="宋体" w:hAnsi="宋体"/>
                <w:color w:val="auto"/>
              </w:rPr>
            </w:pPr>
            <w:r>
              <w:rPr>
                <w:rFonts w:ascii="宋体" w:hAnsi="宋体" w:cs="宋体"/>
                <w:color w:val="auto"/>
              </w:rPr>
              <w:t>FJFY3HF</w:t>
            </w:r>
            <w:r>
              <w:rPr>
                <w:rFonts w:hint="eastAsia" w:ascii="宋体" w:hAnsi="宋体" w:cs="宋体"/>
                <w:color w:val="auto"/>
              </w:rPr>
              <w:t>井场恢复现状</w:t>
            </w:r>
          </w:p>
        </w:tc>
      </w:tr>
      <w:tr w14:paraId="41B02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89" w:type="dxa"/>
            <w:tcBorders>
              <w:top w:val="single" w:color="auto" w:sz="4" w:space="0"/>
              <w:left w:val="single" w:color="auto" w:sz="4" w:space="0"/>
              <w:bottom w:val="single" w:color="auto" w:sz="4" w:space="0"/>
              <w:right w:val="single" w:color="auto" w:sz="4" w:space="0"/>
            </w:tcBorders>
            <w:vAlign w:val="center"/>
          </w:tcPr>
          <w:p w14:paraId="6822DCB9">
            <w:pPr>
              <w:adjustRightInd w:val="0"/>
              <w:snapToGrid w:val="0"/>
              <w:jc w:val="center"/>
              <w:rPr>
                <w:rFonts w:ascii="宋体" w:hAnsi="宋体" w:cs="宋体"/>
                <w:color w:val="auto"/>
              </w:rPr>
            </w:pPr>
            <w:r>
              <w:rPr>
                <w:color w:val="auto"/>
              </w:rPr>
              <w:drawing>
                <wp:inline distT="0" distB="0" distL="0" distR="0">
                  <wp:extent cx="2679700" cy="1543050"/>
                  <wp:effectExtent l="0" t="0" r="6350" b="0"/>
                  <wp:docPr id="459578609" name="图片 45957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09" name="图片 459578609"/>
                          <pic:cNvPicPr>
                            <a:picLocks noChangeAspect="1"/>
                          </pic:cNvPicPr>
                        </pic:nvPicPr>
                        <pic:blipFill>
                          <a:blip r:embed="rId64"/>
                          <a:stretch>
                            <a:fillRect/>
                          </a:stretch>
                        </pic:blipFill>
                        <pic:spPr>
                          <a:xfrm>
                            <a:off x="0" y="0"/>
                            <a:ext cx="2704128" cy="1556941"/>
                          </a:xfrm>
                          <a:prstGeom prst="rect">
                            <a:avLst/>
                          </a:prstGeom>
                        </pic:spPr>
                      </pic:pic>
                    </a:graphicData>
                  </a:graphic>
                </wp:inline>
              </w:drawing>
            </w:r>
          </w:p>
        </w:tc>
        <w:tc>
          <w:tcPr>
            <w:tcW w:w="4432" w:type="dxa"/>
            <w:tcBorders>
              <w:top w:val="single" w:color="auto" w:sz="4" w:space="0"/>
              <w:left w:val="single" w:color="auto" w:sz="4" w:space="0"/>
              <w:bottom w:val="single" w:color="auto" w:sz="4" w:space="0"/>
              <w:right w:val="single" w:color="auto" w:sz="4" w:space="0"/>
            </w:tcBorders>
            <w:vAlign w:val="center"/>
          </w:tcPr>
          <w:p w14:paraId="1F2EA78A">
            <w:pPr>
              <w:adjustRightInd w:val="0"/>
              <w:snapToGrid w:val="0"/>
              <w:jc w:val="center"/>
              <w:rPr>
                <w:rFonts w:ascii="宋体" w:hAnsi="宋体" w:cs="宋体"/>
                <w:color w:val="auto"/>
              </w:rPr>
            </w:pPr>
            <w:r>
              <w:rPr>
                <w:color w:val="auto"/>
              </w:rPr>
              <w:drawing>
                <wp:inline distT="0" distB="0" distL="0" distR="0">
                  <wp:extent cx="2718435" cy="1953260"/>
                  <wp:effectExtent l="0" t="0" r="5715"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5"/>
                          <a:stretch>
                            <a:fillRect/>
                          </a:stretch>
                        </pic:blipFill>
                        <pic:spPr>
                          <a:xfrm>
                            <a:off x="0" y="0"/>
                            <a:ext cx="2744991" cy="1972834"/>
                          </a:xfrm>
                          <a:prstGeom prst="rect">
                            <a:avLst/>
                          </a:prstGeom>
                        </pic:spPr>
                      </pic:pic>
                    </a:graphicData>
                  </a:graphic>
                </wp:inline>
              </w:drawing>
            </w:r>
          </w:p>
        </w:tc>
      </w:tr>
      <w:tr w14:paraId="68966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89" w:type="dxa"/>
            <w:tcBorders>
              <w:top w:val="single" w:color="auto" w:sz="4" w:space="0"/>
              <w:left w:val="single" w:color="auto" w:sz="4" w:space="0"/>
              <w:bottom w:val="single" w:color="auto" w:sz="4" w:space="0"/>
              <w:right w:val="single" w:color="auto" w:sz="4" w:space="0"/>
            </w:tcBorders>
            <w:vAlign w:val="center"/>
          </w:tcPr>
          <w:p w14:paraId="50926F79">
            <w:pPr>
              <w:adjustRightInd w:val="0"/>
              <w:snapToGrid w:val="0"/>
              <w:jc w:val="center"/>
              <w:rPr>
                <w:rFonts w:ascii="宋体" w:hAnsi="宋体" w:cs="宋体"/>
                <w:color w:val="auto"/>
              </w:rPr>
            </w:pPr>
            <w:r>
              <w:rPr>
                <w:rFonts w:hint="eastAsia" w:ascii="宋体" w:hAnsi="宋体" w:cs="宋体"/>
                <w:color w:val="auto"/>
              </w:rPr>
              <w:t>FJF18-X</w:t>
            </w:r>
            <w:r>
              <w:rPr>
                <w:rFonts w:ascii="宋体" w:hAnsi="宋体" w:cs="宋体"/>
                <w:color w:val="auto"/>
              </w:rPr>
              <w:t>25</w:t>
            </w:r>
            <w:r>
              <w:rPr>
                <w:rFonts w:hint="eastAsia" w:ascii="宋体" w:hAnsi="宋体"/>
                <w:color w:val="auto"/>
              </w:rPr>
              <w:t>井场恢复现状</w:t>
            </w:r>
          </w:p>
        </w:tc>
        <w:tc>
          <w:tcPr>
            <w:tcW w:w="4432" w:type="dxa"/>
            <w:tcBorders>
              <w:top w:val="single" w:color="auto" w:sz="4" w:space="0"/>
              <w:left w:val="single" w:color="auto" w:sz="4" w:space="0"/>
              <w:bottom w:val="single" w:color="auto" w:sz="4" w:space="0"/>
              <w:right w:val="single" w:color="auto" w:sz="4" w:space="0"/>
            </w:tcBorders>
            <w:vAlign w:val="center"/>
          </w:tcPr>
          <w:p w14:paraId="7A61EDF4">
            <w:pPr>
              <w:adjustRightInd w:val="0"/>
              <w:snapToGrid w:val="0"/>
              <w:jc w:val="center"/>
              <w:rPr>
                <w:rFonts w:ascii="宋体" w:hAnsi="宋体" w:cs="宋体"/>
                <w:color w:val="auto"/>
              </w:rPr>
            </w:pPr>
            <w:r>
              <w:rPr>
                <w:rFonts w:hint="eastAsia" w:ascii="宋体" w:hAnsi="宋体" w:cs="宋体"/>
                <w:color w:val="auto"/>
                <w:kern w:val="0"/>
              </w:rPr>
              <w:t>FJF11-X123井场恢复现状</w:t>
            </w:r>
          </w:p>
        </w:tc>
      </w:tr>
    </w:tbl>
    <w:p w14:paraId="553072E6">
      <w:pPr>
        <w:pStyle w:val="15"/>
        <w:spacing w:beforeLines="0"/>
        <w:ind w:firstLine="480"/>
        <w:rPr>
          <w:rFonts w:hAnsi="宋体"/>
          <w:color w:val="auto"/>
          <w:szCs w:val="21"/>
        </w:rPr>
      </w:pPr>
      <w:bookmarkStart w:id="366" w:name="_Ref24414347"/>
      <w:bookmarkEnd w:id="366"/>
      <w:bookmarkStart w:id="367" w:name="_Ref142902616"/>
      <w:r>
        <w:rPr>
          <w:rFonts w:hint="eastAsia" w:hAnsi="宋体"/>
          <w:color w:val="auto"/>
        </w:rPr>
        <w:t xml:space="preserve">图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5.1</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图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367"/>
      <w:r>
        <w:rPr>
          <w:rFonts w:hint="eastAsia" w:hAnsi="宋体"/>
          <w:color w:val="auto"/>
        </w:rPr>
        <w:t xml:space="preserve">  项目占地地貌情况</w:t>
      </w:r>
    </w:p>
    <w:p w14:paraId="38BE142E">
      <w:pPr>
        <w:pStyle w:val="5"/>
        <w:rPr>
          <w:color w:val="auto"/>
        </w:rPr>
      </w:pPr>
      <w:bookmarkStart w:id="368" w:name="_Toc231283635"/>
      <w:r>
        <w:rPr>
          <w:rFonts w:hint="eastAsia"/>
          <w:color w:val="auto"/>
        </w:rPr>
        <w:t>污染防治和</w:t>
      </w:r>
      <w:r>
        <w:rPr>
          <w:color w:val="auto"/>
        </w:rPr>
        <w:t>处置设施</w:t>
      </w:r>
      <w:bookmarkEnd w:id="368"/>
    </w:p>
    <w:p w14:paraId="3A575F73">
      <w:pPr>
        <w:pStyle w:val="6"/>
        <w:rPr>
          <w:color w:val="auto"/>
        </w:rPr>
      </w:pPr>
      <w:r>
        <w:rPr>
          <w:rFonts w:hint="eastAsia"/>
          <w:color w:val="auto"/>
        </w:rPr>
        <w:t>施工期污染防治</w:t>
      </w:r>
      <w:r>
        <w:rPr>
          <w:color w:val="auto"/>
        </w:rPr>
        <w:t>和处置措施</w:t>
      </w:r>
    </w:p>
    <w:p w14:paraId="6064304A">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1）大气污染物</w:t>
      </w:r>
    </w:p>
    <w:p w14:paraId="2C341551">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（1）施工扬尘</w:t>
      </w:r>
    </w:p>
    <w:p w14:paraId="2E22B61F">
      <w:pPr>
        <w:pStyle w:val="4"/>
        <w:ind w:firstLine="480"/>
        <w:rPr>
          <w:color w:val="auto"/>
        </w:rPr>
      </w:pPr>
      <w:r>
        <w:rPr>
          <w:rFonts w:hint="eastAsia"/>
          <w:color w:val="auto"/>
        </w:rPr>
        <w:t>施工单位根据现场施工环保需求，制定了合理的管理制度，并严格监督实施、控制作业面积、硬化道路、定期洒水抑尘、控制车辆装载量并采取密闭或者遮盖措施、大风天停止作业等措施</w:t>
      </w:r>
      <w:r>
        <w:rPr>
          <w:rFonts w:cs="宋体"/>
          <w:color w:val="auto"/>
        </w:rPr>
        <w:t>。</w:t>
      </w:r>
    </w:p>
    <w:p w14:paraId="285A23E7">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（2）施工废气</w:t>
      </w:r>
    </w:p>
    <w:p w14:paraId="5155B2B6">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施工期采用了符合国家标准的汽油、柴油，加强了设备保养，减轻了废气排放对周边环境的影响。</w:t>
      </w:r>
    </w:p>
    <w:p w14:paraId="76630C19">
      <w:pPr>
        <w:tabs>
          <w:tab w:val="left" w:pos="377"/>
        </w:tabs>
        <w:adjustRightInd w:val="0"/>
        <w:snapToGrid w:val="0"/>
        <w:spacing w:line="331" w:lineRule="auto"/>
        <w:ind w:firstLine="480" w:firstLineChars="200"/>
        <w:rPr>
          <w:rFonts w:ascii="宋体" w:hAnsi="宋体" w:cs="宋体"/>
          <w:color w:val="auto"/>
          <w:sz w:val="24"/>
          <w:szCs w:val="24"/>
        </w:rPr>
      </w:pPr>
      <w:r>
        <w:rPr>
          <w:rFonts w:ascii="宋体" w:hAnsi="宋体" w:cs="宋体"/>
          <w:color w:val="auto"/>
          <w:sz w:val="24"/>
          <w:szCs w:val="24"/>
        </w:rPr>
        <w:t>2</w:t>
      </w:r>
      <w:r>
        <w:rPr>
          <w:rFonts w:hint="eastAsia" w:ascii="宋体" w:hAnsi="宋体" w:cs="宋体"/>
          <w:color w:val="auto"/>
          <w:sz w:val="24"/>
          <w:szCs w:val="24"/>
        </w:rPr>
        <w:t>）水</w:t>
      </w:r>
      <w:r>
        <w:rPr>
          <w:rFonts w:ascii="宋体" w:hAnsi="宋体" w:cs="宋体"/>
          <w:color w:val="auto"/>
          <w:sz w:val="24"/>
          <w:szCs w:val="24"/>
        </w:rPr>
        <w:t>污染物</w:t>
      </w:r>
    </w:p>
    <w:p w14:paraId="70F88023">
      <w:pPr>
        <w:pStyle w:val="4"/>
        <w:ind w:firstLine="480"/>
        <w:rPr>
          <w:color w:val="auto"/>
        </w:rPr>
      </w:pPr>
      <w:r>
        <w:rPr>
          <w:rFonts w:hint="eastAsia"/>
          <w:color w:val="auto"/>
        </w:rPr>
        <w:t>（1）钻井废水</w:t>
      </w:r>
    </w:p>
    <w:p w14:paraId="08F5FE0F">
      <w:pPr>
        <w:pStyle w:val="4"/>
        <w:ind w:firstLine="480"/>
        <w:rPr>
          <w:color w:val="auto"/>
        </w:rPr>
      </w:pPr>
      <w:r>
        <w:rPr>
          <w:rFonts w:hint="eastAsia"/>
          <w:color w:val="auto"/>
        </w:rPr>
        <w:t>本期工程采用水基钻井液，钻井</w:t>
      </w:r>
      <w:r>
        <w:rPr>
          <w:color w:val="auto"/>
        </w:rPr>
        <w:t>施工采用</w:t>
      </w:r>
      <w:r>
        <w:rPr>
          <w:rFonts w:hint="eastAsia"/>
          <w:color w:val="auto"/>
        </w:rPr>
        <w:t>“泥浆不落地”工艺，钻井</w:t>
      </w:r>
      <w:r>
        <w:rPr>
          <w:color w:val="auto"/>
        </w:rPr>
        <w:t>废水循环利用，施工结束后</w:t>
      </w:r>
      <w:r>
        <w:rPr>
          <w:rFonts w:hint="eastAsia"/>
          <w:color w:val="auto"/>
        </w:rPr>
        <w:t>钻井固废（废弃泥浆+岩屑）产生量</w:t>
      </w:r>
      <w:r>
        <w:rPr>
          <w:color w:val="auto"/>
        </w:rPr>
        <w:t>15004.3m</w:t>
      </w:r>
      <w:r>
        <w:rPr>
          <w:color w:val="auto"/>
          <w:vertAlign w:val="superscript"/>
        </w:rPr>
        <w:t>3</w:t>
      </w:r>
      <w:r>
        <w:rPr>
          <w:rFonts w:hint="eastAsia"/>
          <w:color w:val="auto"/>
        </w:rPr>
        <w:t>，</w:t>
      </w:r>
      <w:r>
        <w:rPr>
          <w:color w:val="auto"/>
        </w:rPr>
        <w:t>由“泥浆不落地”处置单位</w:t>
      </w:r>
      <w:r>
        <w:rPr>
          <w:rFonts w:hint="eastAsia"/>
          <w:color w:val="auto"/>
        </w:rPr>
        <w:t>天正浚源环保科技有限公司、东营丰实钻井工程有限公司、山东胜兴特种材料有限公司</w:t>
      </w:r>
      <w:r>
        <w:rPr>
          <w:color w:val="auto"/>
        </w:rPr>
        <w:t>拉运处理，施工现场无外排</w:t>
      </w:r>
      <w:r>
        <w:rPr>
          <w:rFonts w:hint="eastAsia"/>
          <w:color w:val="auto"/>
        </w:rPr>
        <w:t>；</w:t>
      </w:r>
    </w:p>
    <w:p w14:paraId="66717A17">
      <w:pPr>
        <w:pStyle w:val="4"/>
        <w:ind w:firstLine="480"/>
        <w:rPr>
          <w:color w:val="auto"/>
        </w:rPr>
      </w:pPr>
      <w:r>
        <w:rPr>
          <w:rFonts w:hint="eastAsia"/>
          <w:color w:val="auto"/>
        </w:rPr>
        <w:t>（2）施工作业废液</w:t>
      </w:r>
    </w:p>
    <w:p w14:paraId="3CDCFF88">
      <w:pPr>
        <w:pStyle w:val="4"/>
        <w:ind w:firstLine="480"/>
        <w:rPr>
          <w:color w:val="auto"/>
        </w:rPr>
      </w:pPr>
      <w:r>
        <w:rPr>
          <w:rFonts w:hint="eastAsia"/>
          <w:color w:val="auto"/>
        </w:rPr>
        <w:t>本期工程施工</w:t>
      </w:r>
      <w:r>
        <w:rPr>
          <w:color w:val="auto"/>
        </w:rPr>
        <w:t>完井时洗井产生的</w:t>
      </w:r>
      <w:r>
        <w:rPr>
          <w:rFonts w:hint="eastAsia"/>
          <w:color w:val="auto"/>
        </w:rPr>
        <w:t>施工</w:t>
      </w:r>
      <w:r>
        <w:rPr>
          <w:color w:val="auto"/>
        </w:rPr>
        <w:t>作业</w:t>
      </w:r>
      <w:r>
        <w:rPr>
          <w:rFonts w:hint="eastAsia"/>
          <w:color w:val="auto"/>
        </w:rPr>
        <w:t>废液</w:t>
      </w:r>
      <w:r>
        <w:rPr>
          <w:color w:val="auto"/>
        </w:rPr>
        <w:t>，</w:t>
      </w:r>
      <w:r>
        <w:rPr>
          <w:rFonts w:hint="eastAsia"/>
          <w:color w:val="auto"/>
        </w:rPr>
        <w:t>从</w:t>
      </w:r>
      <w:r>
        <w:rPr>
          <w:color w:val="auto"/>
        </w:rPr>
        <w:t>井口返排后</w:t>
      </w:r>
      <w:r>
        <w:rPr>
          <w:rFonts w:hint="eastAsia"/>
          <w:color w:val="auto"/>
        </w:rPr>
        <w:t>收集</w:t>
      </w:r>
      <w:r>
        <w:rPr>
          <w:color w:val="auto"/>
        </w:rPr>
        <w:t>至现场废液</w:t>
      </w:r>
      <w:r>
        <w:rPr>
          <w:rFonts w:hint="eastAsia"/>
          <w:color w:val="auto"/>
        </w:rPr>
        <w:t>罐</w:t>
      </w:r>
      <w:r>
        <w:rPr>
          <w:color w:val="auto"/>
        </w:rPr>
        <w:t>中</w:t>
      </w:r>
      <w:r>
        <w:rPr>
          <w:rFonts w:hint="eastAsia"/>
          <w:color w:val="auto"/>
        </w:rPr>
        <w:t>，经调查与统计，施工期间作业废液产生量为</w:t>
      </w:r>
      <w:r>
        <w:rPr>
          <w:color w:val="auto"/>
        </w:rPr>
        <w:t>90</w:t>
      </w:r>
      <w:r>
        <w:rPr>
          <w:rFonts w:hint="eastAsia"/>
          <w:color w:val="auto"/>
        </w:rPr>
        <w:t>m</w:t>
      </w:r>
      <w:r>
        <w:rPr>
          <w:rFonts w:hint="eastAsia"/>
          <w:color w:val="auto"/>
          <w:vertAlign w:val="superscript"/>
        </w:rPr>
        <w:t>3</w:t>
      </w:r>
      <w:r>
        <w:rPr>
          <w:rFonts w:hint="eastAsia"/>
          <w:color w:val="auto"/>
        </w:rPr>
        <w:t>，已通过罐车拉运至高青联合站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p>
    <w:p w14:paraId="00D844CB">
      <w:pPr>
        <w:pStyle w:val="4"/>
        <w:ind w:firstLine="480"/>
        <w:rPr>
          <w:color w:val="auto"/>
        </w:rPr>
      </w:pPr>
      <w:r>
        <w:rPr>
          <w:rFonts w:hint="eastAsia"/>
          <w:color w:val="auto"/>
        </w:rPr>
        <w:t>（</w:t>
      </w:r>
      <w:r>
        <w:rPr>
          <w:color w:val="auto"/>
        </w:rPr>
        <w:t>3</w:t>
      </w:r>
      <w:r>
        <w:rPr>
          <w:rFonts w:hint="eastAsia"/>
          <w:color w:val="auto"/>
        </w:rPr>
        <w:t>）管道试压废水</w:t>
      </w:r>
    </w:p>
    <w:p w14:paraId="1914DDF4">
      <w:pPr>
        <w:pStyle w:val="4"/>
        <w:ind w:firstLine="480"/>
        <w:rPr>
          <w:color w:val="auto"/>
        </w:rPr>
      </w:pPr>
      <w:r>
        <w:rPr>
          <w:rFonts w:hint="eastAsia"/>
          <w:color w:val="auto"/>
        </w:rPr>
        <w:t>本期工程管道试压均采用清洁水，在施工过程中进行了循环利用，管道试压废水产生量较少，试压结束后已用于施工场地洒水降尘，未外排至施工场地外环境。</w:t>
      </w:r>
    </w:p>
    <w:p w14:paraId="0153B5C9">
      <w:pPr>
        <w:pStyle w:val="128"/>
        <w:adjustRightInd w:val="0"/>
        <w:snapToGrid w:val="0"/>
        <w:spacing w:line="328" w:lineRule="auto"/>
        <w:ind w:firstLine="480" w:firstLineChars="0"/>
        <w:jc w:val="both"/>
        <w:rPr>
          <w:color w:val="auto"/>
        </w:rPr>
      </w:pPr>
      <w:r>
        <w:rPr>
          <w:rFonts w:hint="eastAsia"/>
          <w:color w:val="auto"/>
        </w:rPr>
        <w:t>（4）旧管道清洗废水</w:t>
      </w:r>
    </w:p>
    <w:p w14:paraId="6930EFF3">
      <w:pPr>
        <w:pStyle w:val="4"/>
        <w:ind w:firstLine="480"/>
        <w:rPr>
          <w:color w:val="auto"/>
        </w:rPr>
      </w:pPr>
      <w:r>
        <w:rPr>
          <w:rFonts w:hint="eastAsia"/>
          <w:color w:val="auto"/>
        </w:rPr>
        <w:t>旧管道清洗废水经收集后罐车拉运送高青联合站处理，</w:t>
      </w:r>
      <w:r>
        <w:rPr>
          <w:color w:val="auto"/>
        </w:rPr>
        <w:t>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p>
    <w:p w14:paraId="031841DB">
      <w:pPr>
        <w:pStyle w:val="4"/>
        <w:ind w:firstLine="480"/>
        <w:rPr>
          <w:color w:val="auto"/>
        </w:rPr>
      </w:pPr>
      <w:r>
        <w:rPr>
          <w:rFonts w:hint="eastAsia"/>
          <w:color w:val="auto"/>
        </w:rPr>
        <w:t>（</w:t>
      </w:r>
      <w:r>
        <w:rPr>
          <w:color w:val="auto"/>
        </w:rPr>
        <w:t>5</w:t>
      </w:r>
      <w:r>
        <w:rPr>
          <w:rFonts w:hint="eastAsia"/>
          <w:color w:val="auto"/>
        </w:rPr>
        <w:t>）生活污水</w:t>
      </w:r>
    </w:p>
    <w:p w14:paraId="424A646A">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经调查，施工人员生活污水排放依托各环保厕所，定期清运，无外排。</w:t>
      </w:r>
    </w:p>
    <w:p w14:paraId="47701F15">
      <w:pPr>
        <w:pStyle w:val="273"/>
        <w:tabs>
          <w:tab w:val="left" w:pos="377"/>
        </w:tabs>
        <w:adjustRightInd w:val="0"/>
        <w:snapToGrid w:val="0"/>
        <w:spacing w:line="331" w:lineRule="auto"/>
        <w:ind w:left="476" w:firstLine="0" w:firstLineChars="0"/>
        <w:rPr>
          <w:rFonts w:ascii="宋体" w:hAnsi="宋体" w:cs="宋体"/>
          <w:color w:val="auto"/>
          <w:sz w:val="24"/>
          <w:szCs w:val="24"/>
        </w:rPr>
      </w:pPr>
      <w:r>
        <w:rPr>
          <w:rFonts w:hint="eastAsia" w:ascii="宋体" w:hAnsi="宋体" w:cs="宋体"/>
          <w:color w:val="auto"/>
          <w:sz w:val="24"/>
          <w:szCs w:val="24"/>
        </w:rPr>
        <w:t>（6）依托可行性</w:t>
      </w:r>
    </w:p>
    <w:p w14:paraId="1315AB3A">
      <w:pPr>
        <w:pStyle w:val="273"/>
        <w:tabs>
          <w:tab w:val="left" w:pos="377"/>
        </w:tabs>
        <w:adjustRightInd w:val="0"/>
        <w:snapToGrid w:val="0"/>
        <w:spacing w:line="331" w:lineRule="auto"/>
        <w:ind w:left="476" w:firstLine="0" w:firstLineChars="0"/>
        <w:rPr>
          <w:rFonts w:ascii="宋体" w:hAnsi="宋体" w:cs="宋体"/>
          <w:color w:val="auto"/>
          <w:sz w:val="24"/>
          <w:szCs w:val="24"/>
        </w:rPr>
      </w:pPr>
      <w:r>
        <w:rPr>
          <w:rFonts w:ascii="宋体" w:hAnsi="宋体" w:cs="宋体"/>
          <w:color w:val="auto"/>
          <w:sz w:val="24"/>
          <w:szCs w:val="24"/>
        </w:rPr>
        <w:fldChar w:fldCharType="begin"/>
      </w:r>
      <w:r>
        <w:rPr>
          <w:rFonts w:ascii="宋体" w:hAnsi="宋体" w:cs="宋体"/>
          <w:color w:val="auto"/>
          <w:sz w:val="24"/>
          <w:szCs w:val="24"/>
        </w:rPr>
        <w:instrText xml:space="preserve"> </w:instrText>
      </w:r>
      <w:r>
        <w:rPr>
          <w:rFonts w:hint="eastAsia" w:ascii="宋体" w:hAnsi="宋体" w:cs="宋体"/>
          <w:color w:val="auto"/>
          <w:sz w:val="24"/>
          <w:szCs w:val="24"/>
        </w:rPr>
        <w:instrText xml:space="preserve">= 1 \* GB3</w:instrText>
      </w:r>
      <w:r>
        <w:rPr>
          <w:rFonts w:ascii="宋体" w:hAnsi="宋体" w:cs="宋体"/>
          <w:color w:val="auto"/>
          <w:sz w:val="24"/>
          <w:szCs w:val="24"/>
        </w:rPr>
        <w:instrText xml:space="preserve"> </w:instrText>
      </w:r>
      <w:r>
        <w:rPr>
          <w:rFonts w:ascii="宋体" w:hAnsi="宋体" w:cs="宋体"/>
          <w:color w:val="auto"/>
          <w:sz w:val="24"/>
          <w:szCs w:val="24"/>
        </w:rPr>
        <w:fldChar w:fldCharType="separate"/>
      </w:r>
      <w:r>
        <w:rPr>
          <w:rFonts w:hint="eastAsia" w:ascii="宋体" w:hAnsi="宋体" w:cs="宋体"/>
          <w:color w:val="auto"/>
          <w:sz w:val="24"/>
          <w:szCs w:val="24"/>
        </w:rPr>
        <w:t>①</w:t>
      </w:r>
      <w:r>
        <w:rPr>
          <w:rFonts w:ascii="宋体" w:hAnsi="宋体" w:cs="宋体"/>
          <w:color w:val="auto"/>
          <w:sz w:val="24"/>
          <w:szCs w:val="24"/>
        </w:rPr>
        <w:fldChar w:fldCharType="end"/>
      </w:r>
      <w:r>
        <w:rPr>
          <w:rFonts w:hint="eastAsia" w:ascii="宋体" w:hAnsi="宋体" w:cs="宋体"/>
          <w:color w:val="auto"/>
          <w:sz w:val="24"/>
          <w:szCs w:val="24"/>
        </w:rPr>
        <w:t>高青联合站</w:t>
      </w:r>
    </w:p>
    <w:p w14:paraId="10A17E07">
      <w:pPr>
        <w:pStyle w:val="4"/>
        <w:ind w:firstLine="480"/>
        <w:rPr>
          <w:color w:val="auto"/>
        </w:rPr>
      </w:pPr>
      <w:r>
        <w:rPr>
          <w:rFonts w:hint="eastAsia"/>
          <w:color w:val="auto"/>
        </w:rPr>
        <w:t>高青联合站采用“沉降+油水分离”处理工艺，采出水处理系统设计处理能力</w:t>
      </w:r>
      <w:r>
        <w:rPr>
          <w:color w:val="auto"/>
        </w:rPr>
        <w:t>650m</w:t>
      </w:r>
      <w:r>
        <w:rPr>
          <w:color w:val="auto"/>
          <w:vertAlign w:val="superscript"/>
        </w:rPr>
        <w:t>3</w:t>
      </w:r>
      <w:r>
        <w:rPr>
          <w:color w:val="auto"/>
        </w:rPr>
        <w:t>/d，目前实际处理量为350m</w:t>
      </w:r>
      <w:r>
        <w:rPr>
          <w:color w:val="auto"/>
          <w:vertAlign w:val="superscript"/>
        </w:rPr>
        <w:t>3</w:t>
      </w:r>
      <w:r>
        <w:rPr>
          <w:color w:val="auto"/>
        </w:rPr>
        <w:t>/d，富余处理能力</w:t>
      </w:r>
      <w:r>
        <w:rPr>
          <w:rFonts w:hint="eastAsia"/>
          <w:color w:val="auto"/>
        </w:rPr>
        <w:t>约</w:t>
      </w:r>
      <w:r>
        <w:rPr>
          <w:color w:val="auto"/>
        </w:rPr>
        <w:t>300m</w:t>
      </w:r>
      <w:r>
        <w:rPr>
          <w:color w:val="auto"/>
          <w:vertAlign w:val="superscript"/>
        </w:rPr>
        <w:t>3</w:t>
      </w:r>
      <w:r>
        <w:rPr>
          <w:color w:val="auto"/>
        </w:rPr>
        <w:t>/d。</w:t>
      </w:r>
      <w:r>
        <w:rPr>
          <w:rFonts w:hint="eastAsia"/>
          <w:color w:val="auto"/>
        </w:rPr>
        <w:t>施工作业废液通过罐车拉运至高青联合站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w:t>
      </w:r>
      <w:r>
        <w:rPr>
          <w:color w:val="auto"/>
        </w:rPr>
        <w:t>。验收调查期间，</w:t>
      </w:r>
      <w:r>
        <w:rPr>
          <w:rFonts w:hint="eastAsia"/>
          <w:color w:val="auto"/>
        </w:rPr>
        <w:t>高青联合站采出水处理站运转正常，处理</w:t>
      </w:r>
      <w:r>
        <w:rPr>
          <w:color w:val="auto"/>
        </w:rPr>
        <w:t>后的回注水能够满足</w:t>
      </w:r>
      <w:r>
        <w:rPr>
          <w:rFonts w:hint="eastAsia"/>
          <w:color w:val="auto"/>
        </w:rPr>
        <w:t>《碎屑岩油藏注水水质指标技术要求及分析方法》（</w:t>
      </w:r>
      <w:r>
        <w:rPr>
          <w:color w:val="auto"/>
        </w:rPr>
        <w:t>SY/T5329-2022）中对应储层空气渗透率水质标准</w:t>
      </w:r>
      <w:r>
        <w:rPr>
          <w:rFonts w:hint="eastAsia"/>
          <w:color w:val="auto"/>
        </w:rPr>
        <w:t>。</w:t>
      </w:r>
    </w:p>
    <w:p w14:paraId="0CE85B1F">
      <w:pPr>
        <w:pStyle w:val="4"/>
        <w:ind w:firstLine="480"/>
        <w:rPr>
          <w:color w:val="auto"/>
        </w:rPr>
      </w:pPr>
      <w:r>
        <w:rPr>
          <w:rFonts w:hint="eastAsia"/>
          <w:color w:val="auto"/>
        </w:rPr>
        <w:t>本期工程施工期</w:t>
      </w:r>
      <w:r>
        <w:rPr>
          <w:color w:val="auto"/>
        </w:rPr>
        <w:t>产生的钻井废水</w:t>
      </w:r>
      <w:r>
        <w:rPr>
          <w:rFonts w:hint="eastAsia"/>
          <w:color w:val="auto"/>
        </w:rPr>
        <w:t>、施工作业</w:t>
      </w:r>
      <w:r>
        <w:rPr>
          <w:color w:val="auto"/>
        </w:rPr>
        <w:t>废液已分批</w:t>
      </w:r>
      <w:r>
        <w:rPr>
          <w:rFonts w:hint="eastAsia"/>
          <w:color w:val="auto"/>
        </w:rPr>
        <w:t>拉运处理</w:t>
      </w:r>
      <w:r>
        <w:rPr>
          <w:color w:val="auto"/>
        </w:rPr>
        <w:t>完成</w:t>
      </w:r>
      <w:r>
        <w:rPr>
          <w:rFonts w:hint="eastAsia"/>
          <w:color w:val="auto"/>
        </w:rPr>
        <w:t>，可以满足本期工程废水处理的依托需求。</w:t>
      </w:r>
    </w:p>
    <w:p w14:paraId="333D488C">
      <w:pPr>
        <w:pStyle w:val="4"/>
        <w:ind w:firstLine="480"/>
        <w:rPr>
          <w:color w:val="auto"/>
        </w:rPr>
      </w:pPr>
      <w:r>
        <w:rPr>
          <w:rFonts w:hint="eastAsia"/>
          <w:color w:val="auto"/>
        </w:rPr>
        <w:t>高青联合站采出水处理系统工艺流程示意图见</w:t>
      </w:r>
      <w:r>
        <w:rPr>
          <w:color w:val="auto"/>
        </w:rPr>
        <w:fldChar w:fldCharType="begin"/>
      </w:r>
      <w:r>
        <w:instrText xml:space="preserve"> REF _Ref225153658 \h  \* MERGEFORMAT</w:instrText>
      </w:r>
      <w:r>
        <w:rPr>
          <w:color w:val="auto"/>
        </w:rPr>
        <w:fldChar w:fldCharType="separate"/>
      </w:r>
      <w:r>
        <w:rPr>
          <w:rFonts w:hint="eastAsia"/>
          <w:color w:val="auto"/>
        </w:rPr>
        <w:t xml:space="preserve">图 </w:t>
      </w:r>
      <w:r>
        <w:rPr>
          <w:color w:val="auto"/>
        </w:rPr>
        <w:t>5.2</w:t>
      </w:r>
      <w:r>
        <w:rPr>
          <w:color w:val="auto"/>
        </w:rPr>
        <w:noBreakHyphen/>
      </w:r>
      <w:r>
        <w:rPr>
          <w:color w:val="auto"/>
        </w:rPr>
        <w:t>1</w:t>
      </w:r>
      <w:r>
        <w:rPr>
          <w:color w:val="auto"/>
        </w:rPr>
        <w:fldChar w:fldCharType="end"/>
      </w:r>
      <w:r>
        <w:rPr>
          <w:color w:val="auto"/>
        </w:rPr>
        <w:t>，站场</w:t>
      </w:r>
      <w:r>
        <w:rPr>
          <w:rFonts w:hint="eastAsia"/>
          <w:color w:val="auto"/>
        </w:rPr>
        <w:t>现状</w:t>
      </w:r>
      <w:r>
        <w:rPr>
          <w:color w:val="auto"/>
        </w:rPr>
        <w:t>照片见</w:t>
      </w:r>
      <w:r>
        <w:rPr>
          <w:color w:val="auto"/>
        </w:rPr>
        <w:fldChar w:fldCharType="begin"/>
      </w:r>
      <w:r>
        <w:instrText xml:space="preserve"> REF _Ref225153662 \h  \* MERGEFORMAT</w:instrText>
      </w:r>
      <w:r>
        <w:rPr>
          <w:color w:val="auto"/>
        </w:rPr>
        <w:fldChar w:fldCharType="separate"/>
      </w:r>
      <w:r>
        <w:rPr>
          <w:rFonts w:hint="eastAsia"/>
          <w:color w:val="auto"/>
        </w:rPr>
        <w:t xml:space="preserve">图 </w:t>
      </w:r>
      <w:r>
        <w:rPr>
          <w:color w:val="auto"/>
        </w:rPr>
        <w:t>5.2</w:t>
      </w:r>
      <w:r>
        <w:rPr>
          <w:color w:val="auto"/>
        </w:rPr>
        <w:noBreakHyphen/>
      </w:r>
      <w:r>
        <w:rPr>
          <w:color w:val="auto"/>
        </w:rPr>
        <w:t>3</w:t>
      </w:r>
      <w:r>
        <w:rPr>
          <w:color w:val="auto"/>
        </w:rPr>
        <w:fldChar w:fldCharType="end"/>
      </w:r>
      <w:r>
        <w:rPr>
          <w:color w:val="auto"/>
        </w:rPr>
        <w:t>。</w:t>
      </w:r>
    </w:p>
    <w:p w14:paraId="00103CEB">
      <w:pPr>
        <w:pStyle w:val="273"/>
        <w:tabs>
          <w:tab w:val="left" w:pos="377"/>
        </w:tabs>
        <w:adjustRightInd w:val="0"/>
        <w:snapToGrid w:val="0"/>
        <w:spacing w:line="331" w:lineRule="auto"/>
        <w:ind w:left="476" w:firstLine="0" w:firstLineChars="0"/>
        <w:jc w:val="center"/>
        <w:rPr>
          <w:rFonts w:ascii="宋体" w:hAnsi="宋体" w:cs="宋体"/>
          <w:color w:val="auto"/>
          <w:sz w:val="24"/>
          <w:szCs w:val="24"/>
        </w:rPr>
      </w:pPr>
      <w:r>
        <w:rPr>
          <w:color w:val="auto"/>
        </w:rPr>
        <w:drawing>
          <wp:inline distT="0" distB="0" distL="0" distR="0">
            <wp:extent cx="3380740" cy="122809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6"/>
                    <a:stretch>
                      <a:fillRect/>
                    </a:stretch>
                  </pic:blipFill>
                  <pic:spPr>
                    <a:xfrm>
                      <a:off x="0" y="0"/>
                      <a:ext cx="3380952" cy="1228571"/>
                    </a:xfrm>
                    <a:prstGeom prst="rect">
                      <a:avLst/>
                    </a:prstGeom>
                  </pic:spPr>
                </pic:pic>
              </a:graphicData>
            </a:graphic>
          </wp:inline>
        </w:drawing>
      </w:r>
    </w:p>
    <w:p w14:paraId="46682A3D">
      <w:pPr>
        <w:pStyle w:val="15"/>
        <w:spacing w:before="120"/>
        <w:rPr>
          <w:color w:val="auto"/>
        </w:rPr>
      </w:pPr>
      <w:bookmarkStart w:id="369" w:name="_Ref225153658"/>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w:t>
      </w:r>
      <w:r>
        <w:rPr>
          <w:color w:val="auto"/>
        </w:rPr>
        <w:fldChar w:fldCharType="end"/>
      </w:r>
      <w:bookmarkEnd w:id="369"/>
      <w:r>
        <w:rPr>
          <w:color w:val="auto"/>
        </w:rPr>
        <w:t xml:space="preserve"> </w:t>
      </w:r>
      <w:r>
        <w:rPr>
          <w:rFonts w:hint="eastAsia"/>
          <w:color w:val="auto"/>
        </w:rPr>
        <w:t>高青联合站采出水处理系统工艺流程</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3"/>
        <w:gridCol w:w="4218"/>
      </w:tblGrid>
      <w:tr w14:paraId="7336B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0" w:type="dxa"/>
          </w:tcPr>
          <w:p w14:paraId="52D97DE4">
            <w:pPr>
              <w:rPr>
                <w:color w:val="auto"/>
              </w:rPr>
            </w:pPr>
            <w:r>
              <w:rPr>
                <w:color w:val="auto"/>
              </w:rPr>
              <w:drawing>
                <wp:inline distT="0" distB="0" distL="0" distR="0">
                  <wp:extent cx="2860040" cy="21424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7"/>
                          <a:stretch>
                            <a:fillRect/>
                          </a:stretch>
                        </pic:blipFill>
                        <pic:spPr>
                          <a:xfrm>
                            <a:off x="0" y="0"/>
                            <a:ext cx="2873700" cy="2153218"/>
                          </a:xfrm>
                          <a:prstGeom prst="rect">
                            <a:avLst/>
                          </a:prstGeom>
                        </pic:spPr>
                      </pic:pic>
                    </a:graphicData>
                  </a:graphic>
                </wp:inline>
              </w:drawing>
            </w:r>
          </w:p>
        </w:tc>
        <w:tc>
          <w:tcPr>
            <w:tcW w:w="4361" w:type="dxa"/>
          </w:tcPr>
          <w:p w14:paraId="3A7AC5CB">
            <w:pPr>
              <w:rPr>
                <w:color w:val="auto"/>
              </w:rPr>
            </w:pPr>
            <w:r>
              <w:rPr>
                <w:color w:val="auto"/>
              </w:rPr>
              <w:drawing>
                <wp:inline distT="0" distB="0" distL="0" distR="0">
                  <wp:extent cx="2444750" cy="2188845"/>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8"/>
                          <a:stretch>
                            <a:fillRect/>
                          </a:stretch>
                        </pic:blipFill>
                        <pic:spPr>
                          <a:xfrm>
                            <a:off x="0" y="0"/>
                            <a:ext cx="2489699" cy="2229352"/>
                          </a:xfrm>
                          <a:prstGeom prst="rect">
                            <a:avLst/>
                          </a:prstGeom>
                        </pic:spPr>
                      </pic:pic>
                    </a:graphicData>
                  </a:graphic>
                </wp:inline>
              </w:drawing>
            </w:r>
          </w:p>
        </w:tc>
      </w:tr>
      <w:tr w14:paraId="3439A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0" w:type="dxa"/>
          </w:tcPr>
          <w:p w14:paraId="525E7461">
            <w:pPr>
              <w:jc w:val="center"/>
              <w:rPr>
                <w:color w:val="auto"/>
              </w:rPr>
            </w:pPr>
            <w:r>
              <w:rPr>
                <w:rFonts w:hint="eastAsia"/>
                <w:color w:val="auto"/>
              </w:rPr>
              <w:t>储罐区</w:t>
            </w:r>
          </w:p>
        </w:tc>
        <w:tc>
          <w:tcPr>
            <w:tcW w:w="4361" w:type="dxa"/>
          </w:tcPr>
          <w:p w14:paraId="575052EB">
            <w:pPr>
              <w:jc w:val="center"/>
              <w:rPr>
                <w:color w:val="auto"/>
              </w:rPr>
            </w:pPr>
            <w:r>
              <w:rPr>
                <w:rFonts w:hint="eastAsia"/>
                <w:color w:val="auto"/>
              </w:rPr>
              <w:t>三相分离器</w:t>
            </w:r>
          </w:p>
        </w:tc>
      </w:tr>
      <w:tr w14:paraId="79932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0" w:type="dxa"/>
          </w:tcPr>
          <w:p w14:paraId="03D6B825">
            <w:pPr>
              <w:rPr>
                <w:color w:val="auto"/>
              </w:rPr>
            </w:pPr>
            <w:r>
              <w:rPr>
                <w:color w:val="auto"/>
              </w:rPr>
              <w:drawing>
                <wp:inline distT="0" distB="0" distL="0" distR="0">
                  <wp:extent cx="2679065" cy="2008505"/>
                  <wp:effectExtent l="0" t="0" r="698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9"/>
                          <a:stretch>
                            <a:fillRect/>
                          </a:stretch>
                        </pic:blipFill>
                        <pic:spPr>
                          <a:xfrm>
                            <a:off x="0" y="0"/>
                            <a:ext cx="2697890" cy="2022412"/>
                          </a:xfrm>
                          <a:prstGeom prst="rect">
                            <a:avLst/>
                          </a:prstGeom>
                        </pic:spPr>
                      </pic:pic>
                    </a:graphicData>
                  </a:graphic>
                </wp:inline>
              </w:drawing>
            </w:r>
          </w:p>
        </w:tc>
        <w:tc>
          <w:tcPr>
            <w:tcW w:w="4361" w:type="dxa"/>
          </w:tcPr>
          <w:p w14:paraId="4FC94057">
            <w:pPr>
              <w:rPr>
                <w:color w:val="auto"/>
              </w:rPr>
            </w:pPr>
            <w:r>
              <w:rPr>
                <w:color w:val="auto"/>
              </w:rPr>
              <w:drawing>
                <wp:inline distT="0" distB="0" distL="0" distR="0">
                  <wp:extent cx="2669540" cy="2093595"/>
                  <wp:effectExtent l="0" t="0" r="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70"/>
                          <a:stretch>
                            <a:fillRect/>
                          </a:stretch>
                        </pic:blipFill>
                        <pic:spPr>
                          <a:xfrm>
                            <a:off x="0" y="0"/>
                            <a:ext cx="2679538" cy="2101340"/>
                          </a:xfrm>
                          <a:prstGeom prst="rect">
                            <a:avLst/>
                          </a:prstGeom>
                        </pic:spPr>
                      </pic:pic>
                    </a:graphicData>
                  </a:graphic>
                </wp:inline>
              </w:drawing>
            </w:r>
          </w:p>
        </w:tc>
      </w:tr>
      <w:tr w14:paraId="28086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0" w:type="dxa"/>
          </w:tcPr>
          <w:p w14:paraId="5761D978">
            <w:pPr>
              <w:jc w:val="center"/>
              <w:rPr>
                <w:color w:val="auto"/>
              </w:rPr>
            </w:pPr>
            <w:r>
              <w:rPr>
                <w:rFonts w:hint="eastAsia"/>
                <w:color w:val="auto"/>
              </w:rPr>
              <w:t>天然气分离器</w:t>
            </w:r>
          </w:p>
        </w:tc>
        <w:tc>
          <w:tcPr>
            <w:tcW w:w="4361" w:type="dxa"/>
          </w:tcPr>
          <w:p w14:paraId="58DE0A88">
            <w:pPr>
              <w:jc w:val="center"/>
              <w:rPr>
                <w:color w:val="auto"/>
              </w:rPr>
            </w:pPr>
            <w:r>
              <w:rPr>
                <w:rFonts w:hint="eastAsia"/>
                <w:color w:val="auto"/>
              </w:rPr>
              <w:t>加热炉</w:t>
            </w:r>
          </w:p>
        </w:tc>
      </w:tr>
    </w:tbl>
    <w:p w14:paraId="77D73E59">
      <w:pPr>
        <w:rPr>
          <w:color w:val="auto"/>
        </w:rPr>
      </w:pPr>
    </w:p>
    <w:p w14:paraId="6F05ED9A">
      <w:pPr>
        <w:pStyle w:val="15"/>
        <w:spacing w:before="120"/>
        <w:rPr>
          <w:rFonts w:hAnsi="宋体" w:cs="宋体"/>
          <w:color w:val="auto"/>
          <w:sz w:val="24"/>
          <w:szCs w:val="24"/>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2</w:t>
      </w:r>
      <w:r>
        <w:rPr>
          <w:color w:val="auto"/>
        </w:rPr>
        <w:fldChar w:fldCharType="end"/>
      </w:r>
      <w:r>
        <w:rPr>
          <w:color w:val="auto"/>
        </w:rPr>
        <w:t xml:space="preserve"> </w:t>
      </w:r>
      <w:r>
        <w:rPr>
          <w:rFonts w:hint="eastAsia"/>
          <w:color w:val="auto"/>
        </w:rPr>
        <w:t>高青联合站现状照片</w:t>
      </w:r>
    </w:p>
    <w:p w14:paraId="107D4FAC">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3）噪声</w:t>
      </w:r>
    </w:p>
    <w:p w14:paraId="62CC2078">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施工期产生的噪声主要是施工机械运转噪声，本期工程选用了低噪声设备（</w:t>
      </w:r>
      <w:r>
        <w:rPr>
          <w:rFonts w:hint="eastAsia" w:ascii="宋体" w:hAnsi="宋体" w:cs="宋体"/>
          <w:color w:val="auto"/>
          <w:sz w:val="24"/>
          <w:szCs w:val="24"/>
        </w:rPr>
        <w:t>根据现场电网布设情况尽量采用了网电钻机</w:t>
      </w:r>
      <w:r>
        <w:rPr>
          <w:rFonts w:hint="eastAsia" w:ascii="宋体" w:hAnsi="宋体" w:cs="宋体"/>
          <w:color w:val="auto"/>
          <w:sz w:val="24"/>
          <w:szCs w:val="24"/>
        </w:rPr>
        <w:t>），随着施工的结束，对周边环境的影响已消失，未产生不利影响。根据调查，施工期间未收到举报、投诉</w:t>
      </w:r>
      <w:r>
        <w:rPr>
          <w:rFonts w:ascii="宋体" w:hAnsi="宋体" w:cs="宋体"/>
          <w:color w:val="auto"/>
          <w:sz w:val="24"/>
          <w:szCs w:val="24"/>
        </w:rPr>
        <w:t>。</w:t>
      </w:r>
    </w:p>
    <w:p w14:paraId="06394C14">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4）固体废</w:t>
      </w:r>
      <w:r>
        <w:rPr>
          <w:rFonts w:ascii="宋体" w:hAnsi="宋体" w:cs="宋体"/>
          <w:color w:val="auto"/>
          <w:sz w:val="24"/>
          <w:szCs w:val="24"/>
        </w:rPr>
        <w:t>物</w:t>
      </w:r>
    </w:p>
    <w:p w14:paraId="779A67E3">
      <w:pPr>
        <w:pStyle w:val="4"/>
        <w:ind w:firstLine="480"/>
        <w:rPr>
          <w:color w:val="auto"/>
        </w:rPr>
      </w:pPr>
      <w:r>
        <w:rPr>
          <w:rFonts w:hint="eastAsia"/>
          <w:color w:val="auto"/>
        </w:rPr>
        <w:t xml:space="preserve">（1）泥饼 </w:t>
      </w:r>
    </w:p>
    <w:p w14:paraId="33F823D1">
      <w:pPr>
        <w:pStyle w:val="4"/>
        <w:ind w:firstLine="480"/>
        <w:rPr>
          <w:color w:val="auto"/>
        </w:rPr>
      </w:pPr>
      <w:r>
        <w:rPr>
          <w:rFonts w:hint="eastAsia"/>
          <w:color w:val="auto"/>
        </w:rPr>
        <w:t>本期工程钻井采用水基钻井液。</w:t>
      </w:r>
      <w:r>
        <w:rPr>
          <w:color w:val="auto"/>
        </w:rPr>
        <w:t>根据《危险废物排除管理清单（2026年版）》（公告 2026年 第2号），废弃水基钻井泥浆及岩屑为一般固废，</w:t>
      </w:r>
      <w:r>
        <w:rPr>
          <w:rFonts w:hint="eastAsia"/>
          <w:color w:val="auto"/>
        </w:rPr>
        <w:t>施工期</w:t>
      </w:r>
      <w:r>
        <w:rPr>
          <w:color w:val="auto"/>
        </w:rPr>
        <w:t>按照《一般工业固体废物贮存和填埋污染控制标准》（GB 18599-2020）要求进行了管理</w:t>
      </w:r>
      <w:r>
        <w:rPr>
          <w:rFonts w:hint="eastAsia"/>
          <w:color w:val="auto"/>
        </w:rPr>
        <w:t>。</w:t>
      </w:r>
    </w:p>
    <w:p w14:paraId="4D0184FB">
      <w:pPr>
        <w:pStyle w:val="4"/>
        <w:ind w:firstLine="480"/>
        <w:rPr>
          <w:color w:val="auto"/>
        </w:rPr>
      </w:pPr>
      <w:r>
        <w:rPr>
          <w:rFonts w:hint="eastAsia"/>
          <w:color w:val="auto"/>
        </w:rPr>
        <w:t>施工结束</w:t>
      </w:r>
      <w:r>
        <w:rPr>
          <w:color w:val="auto"/>
        </w:rPr>
        <w:t>后</w:t>
      </w:r>
      <w:r>
        <w:rPr>
          <w:rFonts w:hint="eastAsia"/>
          <w:color w:val="auto"/>
        </w:rPr>
        <w:t>分别由钻井施工单位委托“泥浆</w:t>
      </w:r>
      <w:r>
        <w:rPr>
          <w:color w:val="auto"/>
        </w:rPr>
        <w:t>不落地</w:t>
      </w:r>
      <w:r>
        <w:rPr>
          <w:rFonts w:hint="eastAsia"/>
          <w:color w:val="auto"/>
        </w:rPr>
        <w:t>”服务</w:t>
      </w:r>
      <w:r>
        <w:rPr>
          <w:color w:val="auto"/>
        </w:rPr>
        <w:t>单位</w:t>
      </w:r>
      <w:r>
        <w:rPr>
          <w:rFonts w:hint="eastAsia"/>
          <w:color w:val="auto"/>
        </w:rPr>
        <w:t>天正浚源环保科技有限公司、东营丰实钻井工程有限公司、山东胜兴特种材料有限公司拉运后进行固液分离，分离出的固相（</w:t>
      </w:r>
      <w:r>
        <w:rPr>
          <w:color w:val="auto"/>
        </w:rPr>
        <w:t>8752m</w:t>
      </w:r>
      <w:r>
        <w:rPr>
          <w:color w:val="auto"/>
          <w:vertAlign w:val="superscript"/>
        </w:rPr>
        <w:t>3</w:t>
      </w:r>
      <w:r>
        <w:rPr>
          <w:rFonts w:hint="eastAsia"/>
          <w:color w:val="auto"/>
        </w:rPr>
        <w:t>）由东营市垦利区永安镇、山东天龙红木家具股份有限公司、山东法恩生物科技有限公司、东营成寨土石方工程有限公司进行</w:t>
      </w:r>
      <w:r>
        <w:rPr>
          <w:color w:val="auto"/>
        </w:rPr>
        <w:t>了</w:t>
      </w:r>
      <w:r>
        <w:rPr>
          <w:rFonts w:hint="eastAsia"/>
          <w:color w:val="auto"/>
        </w:rPr>
        <w:t>综合利用</w:t>
      </w:r>
      <w:r>
        <w:rPr>
          <w:color w:val="auto"/>
        </w:rPr>
        <w:t>。</w:t>
      </w:r>
      <w:r>
        <w:rPr>
          <w:rFonts w:hint="eastAsia"/>
          <w:color w:val="auto"/>
        </w:rPr>
        <w:t>验收调查期间，现场无</w:t>
      </w:r>
      <w:r>
        <w:rPr>
          <w:color w:val="auto"/>
        </w:rPr>
        <w:t>固废遗留</w:t>
      </w:r>
      <w:r>
        <w:rPr>
          <w:rFonts w:hint="eastAsia"/>
          <w:color w:val="auto"/>
        </w:rPr>
        <w:t>。</w:t>
      </w:r>
    </w:p>
    <w:p w14:paraId="6DAAB87E">
      <w:pPr>
        <w:pStyle w:val="4"/>
        <w:ind w:firstLine="480" w:firstLineChars="0"/>
        <w:rPr>
          <w:color w:val="auto"/>
        </w:rPr>
      </w:pPr>
      <w:r>
        <w:rPr>
          <w:rFonts w:hint="eastAsia"/>
          <w:color w:val="auto"/>
        </w:rPr>
        <w:t>（2）定向钻泥浆</w:t>
      </w:r>
    </w:p>
    <w:p w14:paraId="572954B6">
      <w:pPr>
        <w:pStyle w:val="4"/>
        <w:ind w:firstLine="480"/>
        <w:rPr>
          <w:color w:val="auto"/>
        </w:rPr>
      </w:pPr>
      <w:r>
        <w:rPr>
          <w:rFonts w:hint="eastAsia"/>
          <w:color w:val="auto"/>
        </w:rPr>
        <w:t>经调查，定向钻穿越期间产生的泥浆已委托专业单位拉运处置，泥浆池回填，进行地貌和植被恢复。</w:t>
      </w:r>
    </w:p>
    <w:p w14:paraId="51337FD2">
      <w:pPr>
        <w:pStyle w:val="4"/>
        <w:ind w:firstLine="480"/>
        <w:rPr>
          <w:color w:val="auto"/>
        </w:rPr>
      </w:pPr>
      <w:r>
        <w:rPr>
          <w:rFonts w:hint="eastAsia"/>
          <w:color w:val="auto"/>
        </w:rPr>
        <w:t>（</w:t>
      </w:r>
      <w:r>
        <w:rPr>
          <w:color w:val="auto"/>
        </w:rPr>
        <w:t>3</w:t>
      </w:r>
      <w:r>
        <w:rPr>
          <w:rFonts w:hint="eastAsia"/>
          <w:color w:val="auto"/>
        </w:rPr>
        <w:t>）施工废料及建筑垃圾</w:t>
      </w:r>
    </w:p>
    <w:p w14:paraId="7E5CA967">
      <w:pPr>
        <w:pStyle w:val="4"/>
        <w:ind w:firstLine="480"/>
        <w:rPr>
          <w:color w:val="auto"/>
        </w:rPr>
      </w:pPr>
      <w:r>
        <w:rPr>
          <w:rFonts w:hint="eastAsia"/>
          <w:color w:val="auto"/>
        </w:rPr>
        <w:t>施工废料大部分回收利用，无法利用的已拉运至环卫部门指定地点处理，建筑垃圾用于井场及道路铺设</w:t>
      </w:r>
      <w:r>
        <w:rPr>
          <w:color w:val="auto"/>
        </w:rPr>
        <w:t>。</w:t>
      </w:r>
    </w:p>
    <w:p w14:paraId="4ADE9632">
      <w:pPr>
        <w:pStyle w:val="4"/>
        <w:ind w:firstLine="480" w:firstLineChars="0"/>
        <w:rPr>
          <w:color w:val="auto"/>
        </w:rPr>
      </w:pPr>
      <w:r>
        <w:rPr>
          <w:rFonts w:hint="eastAsia"/>
          <w:color w:val="auto"/>
        </w:rPr>
        <w:t>（</w:t>
      </w:r>
      <w:r>
        <w:rPr>
          <w:color w:val="auto"/>
        </w:rPr>
        <w:t>4</w:t>
      </w:r>
      <w:r>
        <w:rPr>
          <w:rFonts w:hint="eastAsia"/>
          <w:color w:val="auto"/>
        </w:rPr>
        <w:t>）废弃设备</w:t>
      </w:r>
    </w:p>
    <w:p w14:paraId="6196958E">
      <w:pPr>
        <w:pStyle w:val="4"/>
        <w:ind w:firstLine="480" w:firstLineChars="0"/>
        <w:rPr>
          <w:color w:val="auto"/>
        </w:rPr>
      </w:pPr>
      <w:r>
        <w:rPr>
          <w:rFonts w:hint="eastAsia"/>
          <w:color w:val="auto"/>
        </w:rPr>
        <w:t>本期工程主要包括拆除旧加热炉、</w:t>
      </w:r>
      <w:bookmarkStart w:id="370" w:name="OLE_LINK331"/>
      <w:r>
        <w:rPr>
          <w:rFonts w:hint="eastAsia"/>
          <w:color w:val="auto"/>
        </w:rPr>
        <w:t>拉改输压减高架罐</w:t>
      </w:r>
      <w:bookmarkEnd w:id="370"/>
      <w:r>
        <w:rPr>
          <w:rFonts w:hint="eastAsia"/>
          <w:color w:val="auto"/>
        </w:rPr>
        <w:t>等设备，已按照资产报废程序由胜利油田东胜精攻石油开发集团股份有限公司物资管理部门统一处理。</w:t>
      </w:r>
    </w:p>
    <w:p w14:paraId="7AA97D08">
      <w:pPr>
        <w:pStyle w:val="4"/>
        <w:ind w:firstLine="480"/>
        <w:rPr>
          <w:color w:val="auto"/>
        </w:rPr>
      </w:pPr>
      <w:r>
        <w:rPr>
          <w:rFonts w:hint="eastAsia"/>
          <w:color w:val="auto"/>
        </w:rPr>
        <w:t>（</w:t>
      </w:r>
      <w:r>
        <w:rPr>
          <w:color w:val="auto"/>
        </w:rPr>
        <w:t>5</w:t>
      </w:r>
      <w:r>
        <w:rPr>
          <w:rFonts w:hint="eastAsia"/>
          <w:color w:val="auto"/>
        </w:rPr>
        <w:t>）生活垃圾</w:t>
      </w:r>
    </w:p>
    <w:p w14:paraId="2C8008ED">
      <w:pPr>
        <w:pStyle w:val="4"/>
        <w:ind w:firstLine="480"/>
        <w:rPr>
          <w:color w:val="auto"/>
        </w:rPr>
      </w:pPr>
      <w:r>
        <w:rPr>
          <w:rFonts w:hint="eastAsia"/>
          <w:color w:val="auto"/>
        </w:rPr>
        <w:t>施工</w:t>
      </w:r>
      <w:r>
        <w:rPr>
          <w:color w:val="auto"/>
        </w:rPr>
        <w:t>期间</w:t>
      </w:r>
      <w:r>
        <w:rPr>
          <w:rFonts w:hint="eastAsia"/>
          <w:color w:val="auto"/>
        </w:rPr>
        <w:t>产生的</w:t>
      </w:r>
      <w:r>
        <w:rPr>
          <w:color w:val="auto"/>
        </w:rPr>
        <w:t>生活垃圾均</w:t>
      </w:r>
      <w:r>
        <w:rPr>
          <w:rFonts w:hint="eastAsia"/>
          <w:color w:val="auto"/>
        </w:rPr>
        <w:t>暂存</w:t>
      </w:r>
      <w:r>
        <w:rPr>
          <w:color w:val="auto"/>
        </w:rPr>
        <w:t>于施工场地内</w:t>
      </w:r>
      <w:r>
        <w:rPr>
          <w:rFonts w:hint="eastAsia"/>
          <w:color w:val="auto"/>
        </w:rPr>
        <w:t>临时</w:t>
      </w:r>
      <w:r>
        <w:rPr>
          <w:color w:val="auto"/>
        </w:rPr>
        <w:t>垃圾桶中，</w:t>
      </w:r>
      <w:r>
        <w:rPr>
          <w:rFonts w:hint="eastAsia"/>
          <w:color w:val="auto"/>
        </w:rPr>
        <w:t>后由</w:t>
      </w:r>
      <w:r>
        <w:rPr>
          <w:color w:val="auto"/>
        </w:rPr>
        <w:t>施工单位统一</w:t>
      </w:r>
      <w:r>
        <w:rPr>
          <w:rFonts w:hint="eastAsia"/>
          <w:color w:val="auto"/>
        </w:rPr>
        <w:t>拉运至</w:t>
      </w:r>
      <w:r>
        <w:rPr>
          <w:color w:val="auto"/>
        </w:rPr>
        <w:t>市政部门指定地点</w:t>
      </w:r>
      <w:r>
        <w:rPr>
          <w:rFonts w:hint="eastAsia"/>
          <w:color w:val="auto"/>
        </w:rPr>
        <w:t>处理</w:t>
      </w:r>
      <w:r>
        <w:rPr>
          <w:color w:val="auto"/>
        </w:rPr>
        <w:t>，</w:t>
      </w:r>
      <w:r>
        <w:rPr>
          <w:rFonts w:hint="eastAsia"/>
          <w:color w:val="auto"/>
        </w:rPr>
        <w:t>验收</w:t>
      </w:r>
      <w:r>
        <w:rPr>
          <w:color w:val="auto"/>
        </w:rPr>
        <w:t>调查期间，现场未</w:t>
      </w:r>
      <w:r>
        <w:rPr>
          <w:rFonts w:hint="eastAsia"/>
          <w:color w:val="auto"/>
        </w:rPr>
        <w:t>发现生活垃圾遗留</w:t>
      </w:r>
      <w:r>
        <w:rPr>
          <w:color w:val="auto"/>
        </w:rPr>
        <w:t>，</w:t>
      </w:r>
      <w:r>
        <w:rPr>
          <w:rFonts w:hint="eastAsia"/>
          <w:color w:val="auto"/>
        </w:rPr>
        <w:t>未</w:t>
      </w:r>
      <w:r>
        <w:rPr>
          <w:color w:val="auto"/>
        </w:rPr>
        <w:t>对周围环境</w:t>
      </w:r>
      <w:r>
        <w:rPr>
          <w:rFonts w:hint="eastAsia"/>
          <w:color w:val="auto"/>
        </w:rPr>
        <w:t>产生</w:t>
      </w:r>
      <w:r>
        <w:rPr>
          <w:color w:val="auto"/>
        </w:rPr>
        <w:t>不利影响。</w:t>
      </w:r>
    </w:p>
    <w:p w14:paraId="6348990E">
      <w:pPr>
        <w:pStyle w:val="6"/>
        <w:rPr>
          <w:rFonts w:ascii="宋体" w:hAnsi="宋体" w:eastAsia="宋体"/>
          <w:color w:val="auto"/>
        </w:rPr>
      </w:pPr>
      <w:r>
        <w:rPr>
          <w:rFonts w:hint="eastAsia" w:ascii="宋体" w:hAnsi="宋体" w:eastAsia="宋体"/>
          <w:color w:val="auto"/>
        </w:rPr>
        <w:t>运营期污染防治</w:t>
      </w:r>
      <w:r>
        <w:rPr>
          <w:rFonts w:ascii="宋体" w:hAnsi="宋体" w:eastAsia="宋体"/>
          <w:color w:val="auto"/>
        </w:rPr>
        <w:t>和处置措施</w:t>
      </w:r>
    </w:p>
    <w:p w14:paraId="3F9C1DFB">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1）大气污染物</w:t>
      </w:r>
    </w:p>
    <w:p w14:paraId="72CE28CA">
      <w:pPr>
        <w:pStyle w:val="4"/>
        <w:ind w:firstLine="480"/>
        <w:rPr>
          <w:color w:val="auto"/>
        </w:rPr>
      </w:pPr>
      <w:r>
        <w:rPr>
          <w:rFonts w:hint="eastAsia"/>
          <w:color w:val="auto"/>
        </w:rPr>
        <w:t>运营期排放的废气主要为采油井场无组织挥发烃类废气和加热炉燃气废气。无组织废气主要成分为非甲烷总烃和硫化氢。经调查，</w:t>
      </w:r>
      <w:r>
        <w:rPr>
          <w:rFonts w:hint="eastAsia" w:cs="宋体"/>
          <w:color w:val="auto"/>
          <w:kern w:val="0"/>
        </w:rPr>
        <w:t>油井井口均安装套管气回收装置（自喷井后期安装）</w:t>
      </w:r>
      <w:r>
        <w:rPr>
          <w:rFonts w:hint="eastAsia"/>
          <w:color w:val="auto"/>
          <w:kern w:val="0"/>
        </w:rPr>
        <w:t>，起到加强密封作用，</w:t>
      </w:r>
      <w:r>
        <w:rPr>
          <w:rFonts w:hint="eastAsia"/>
          <w:color w:val="auto"/>
        </w:rPr>
        <w:t>可有效降低轻烃无组织挥发量。</w:t>
      </w:r>
      <w:bookmarkStart w:id="371" w:name="OLE_LINK143"/>
      <w:bookmarkStart w:id="372" w:name="OLE_LINK144"/>
      <w:r>
        <w:rPr>
          <w:rFonts w:hint="eastAsia"/>
          <w:color w:val="auto"/>
        </w:rPr>
        <w:t>井场水套加热炉加装低氮燃烧器，</w:t>
      </w:r>
      <w:r>
        <w:rPr>
          <w:rFonts w:hint="eastAsia"/>
          <w:color w:val="auto"/>
        </w:rPr>
        <w:t>燃气废气</w:t>
      </w:r>
      <w:r>
        <w:rPr>
          <w:snapToGrid w:val="0"/>
          <w:color w:val="auto"/>
        </w:rPr>
        <w:t>通过</w:t>
      </w:r>
      <w:r>
        <w:rPr>
          <w:rFonts w:hint="eastAsia"/>
          <w:snapToGrid w:val="0"/>
          <w:color w:val="auto"/>
        </w:rPr>
        <w:t>不低于8m高，内径</w:t>
      </w:r>
      <w:r>
        <w:rPr>
          <w:rFonts w:hint="eastAsia"/>
          <w:color w:val="auto"/>
        </w:rPr>
        <w:t>0</w:t>
      </w:r>
      <w:r>
        <w:rPr>
          <w:color w:val="auto"/>
        </w:rPr>
        <w:t>.15</w:t>
      </w:r>
      <w:r>
        <w:rPr>
          <w:rFonts w:hint="eastAsia"/>
          <w:color w:val="auto"/>
        </w:rPr>
        <w:t>m排气筒排放</w:t>
      </w:r>
      <w:bookmarkEnd w:id="371"/>
      <w:bookmarkEnd w:id="372"/>
      <w:r>
        <w:rPr>
          <w:rFonts w:hint="eastAsia"/>
          <w:color w:val="auto"/>
        </w:rPr>
        <w:t>；高青联合站新更换加热炉，加装低氮燃烧器，燃气废气</w:t>
      </w:r>
      <w:r>
        <w:rPr>
          <w:snapToGrid w:val="0"/>
          <w:color w:val="auto"/>
        </w:rPr>
        <w:t>通过1</w:t>
      </w:r>
      <w:r>
        <w:rPr>
          <w:rFonts w:hint="eastAsia"/>
          <w:snapToGrid w:val="0"/>
          <w:color w:val="auto"/>
        </w:rPr>
        <w:t>根</w:t>
      </w:r>
      <w:r>
        <w:rPr>
          <w:snapToGrid w:val="0"/>
          <w:color w:val="auto"/>
        </w:rPr>
        <w:t>15</w:t>
      </w:r>
      <w:r>
        <w:rPr>
          <w:rFonts w:hint="eastAsia"/>
          <w:snapToGrid w:val="0"/>
          <w:color w:val="auto"/>
        </w:rPr>
        <w:t>m高内径</w:t>
      </w:r>
      <w:r>
        <w:rPr>
          <w:color w:val="auto"/>
        </w:rPr>
        <w:t>0.2</w:t>
      </w:r>
      <w:r>
        <w:rPr>
          <w:rFonts w:hint="eastAsia"/>
          <w:color w:val="auto"/>
        </w:rPr>
        <w:t>m排气筒排放</w:t>
      </w:r>
      <w:r>
        <w:rPr>
          <w:rFonts w:hint="eastAsia"/>
          <w:snapToGrid w:val="0"/>
          <w:color w:val="auto"/>
        </w:rPr>
        <w:t>。</w:t>
      </w:r>
    </w:p>
    <w:p w14:paraId="14E450BD">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2）水污染物</w:t>
      </w:r>
    </w:p>
    <w:p w14:paraId="51806448">
      <w:pPr>
        <w:pStyle w:val="4"/>
        <w:ind w:firstLine="480"/>
        <w:rPr>
          <w:color w:val="auto"/>
        </w:rPr>
      </w:pPr>
      <w:r>
        <w:rPr>
          <w:rFonts w:hint="eastAsia"/>
          <w:color w:val="auto"/>
        </w:rPr>
        <w:t>（1）采出水</w:t>
      </w:r>
    </w:p>
    <w:p w14:paraId="7AC79A13">
      <w:pPr>
        <w:pStyle w:val="4"/>
        <w:ind w:firstLine="480"/>
        <w:rPr>
          <w:color w:val="auto"/>
        </w:rPr>
      </w:pPr>
      <w:r>
        <w:rPr>
          <w:rFonts w:hint="eastAsia"/>
          <w:color w:val="auto"/>
        </w:rPr>
        <w:t>运营期本期工程</w:t>
      </w:r>
      <w:r>
        <w:rPr>
          <w:rFonts w:hint="eastAsia"/>
          <w:color w:val="auto"/>
          <w:kern w:val="0"/>
        </w:rPr>
        <w:t>采油污水（</w:t>
      </w:r>
      <w:r>
        <w:rPr>
          <w:rFonts w:hint="eastAsia"/>
          <w:snapToGrid w:val="0"/>
          <w:color w:val="auto"/>
          <w:kern w:val="0"/>
        </w:rPr>
        <w:t>采出水</w:t>
      </w:r>
      <w:r>
        <w:rPr>
          <w:rFonts w:hint="eastAsia"/>
          <w:color w:val="auto"/>
          <w:kern w:val="0"/>
        </w:rPr>
        <w:t>）依托高青联合站、滨博接转站内</w:t>
      </w:r>
      <w:r>
        <w:rPr>
          <w:rFonts w:hint="eastAsia"/>
          <w:snapToGrid w:val="0"/>
          <w:color w:val="auto"/>
          <w:kern w:val="0"/>
        </w:rPr>
        <w:t>采出水</w:t>
      </w:r>
      <w:r>
        <w:rPr>
          <w:rFonts w:hint="eastAsia"/>
          <w:color w:val="auto"/>
          <w:kern w:val="0"/>
        </w:rPr>
        <w:t>处理系统处理达</w:t>
      </w:r>
      <w:r>
        <w:rPr>
          <w:rFonts w:hint="eastAsia"/>
          <w:color w:val="auto"/>
        </w:rPr>
        <w:t>到《碎屑岩油藏注水水质指标技术要求及分析方法》（SY/T 5329-2022）中水质主要控制指标后回注地层，用于油田注水开发，无外排。</w:t>
      </w:r>
    </w:p>
    <w:p w14:paraId="498AF73E">
      <w:pPr>
        <w:pStyle w:val="4"/>
        <w:ind w:firstLine="480"/>
        <w:rPr>
          <w:color w:val="auto"/>
        </w:rPr>
      </w:pPr>
      <w:r>
        <w:rPr>
          <w:rFonts w:hint="eastAsia"/>
          <w:color w:val="auto"/>
        </w:rPr>
        <w:t>（2）井下作业废水</w:t>
      </w:r>
    </w:p>
    <w:p w14:paraId="3055E973">
      <w:pPr>
        <w:pStyle w:val="4"/>
        <w:ind w:firstLine="480"/>
        <w:rPr>
          <w:color w:val="auto"/>
        </w:rPr>
      </w:pPr>
      <w:bookmarkStart w:id="373" w:name="OLE_LINK146"/>
      <w:bookmarkStart w:id="374" w:name="OLE_LINK145"/>
      <w:r>
        <w:rPr>
          <w:rFonts w:hint="eastAsia"/>
          <w:color w:val="auto"/>
        </w:rPr>
        <w:t>井下作业废水主要包括修井作业产生的井筒循环液、井口返排水、冲洗水等。本次</w:t>
      </w:r>
      <w:r>
        <w:rPr>
          <w:color w:val="auto"/>
        </w:rPr>
        <w:t>验收调查期间</w:t>
      </w:r>
      <w:r>
        <w:rPr>
          <w:rFonts w:hint="eastAsia"/>
          <w:color w:val="auto"/>
        </w:rPr>
        <w:t>，未进行</w:t>
      </w:r>
      <w:r>
        <w:rPr>
          <w:color w:val="auto"/>
        </w:rPr>
        <w:t>修井</w:t>
      </w:r>
      <w:r>
        <w:rPr>
          <w:rFonts w:hint="eastAsia"/>
          <w:color w:val="auto"/>
        </w:rPr>
        <w:t>作业，本期工程后期井下作业废液经收集后由罐车拉运至高青联合站进行处理，经站内</w:t>
      </w:r>
      <w:r>
        <w:rPr>
          <w:rFonts w:hint="eastAsia"/>
          <w:snapToGrid w:val="0"/>
          <w:color w:val="auto"/>
          <w:kern w:val="0"/>
        </w:rPr>
        <w:t>采出水</w:t>
      </w:r>
      <w:r>
        <w:rPr>
          <w:rFonts w:hint="eastAsia"/>
          <w:color w:val="auto"/>
        </w:rPr>
        <w:t>处理系统</w:t>
      </w:r>
      <w:r>
        <w:rPr>
          <w:rFonts w:hint="eastAsia"/>
          <w:color w:val="auto"/>
          <w:kern w:val="0"/>
        </w:rPr>
        <w:t>达</w:t>
      </w:r>
      <w:r>
        <w:rPr>
          <w:rFonts w:hint="eastAsia"/>
          <w:color w:val="auto"/>
        </w:rPr>
        <w:t>到《碎屑岩油藏注水水质指标技术要求及分析方法》（SY/T 5329-2022）中水质主要控制指标后回注地层，用于油田注水开发，不外排</w:t>
      </w:r>
      <w:bookmarkEnd w:id="373"/>
      <w:bookmarkEnd w:id="374"/>
      <w:r>
        <w:rPr>
          <w:rFonts w:hint="eastAsia"/>
          <w:color w:val="auto"/>
        </w:rPr>
        <w:t>。</w:t>
      </w:r>
    </w:p>
    <w:p w14:paraId="23E3F509">
      <w:pPr>
        <w:pStyle w:val="4"/>
        <w:ind w:firstLine="480"/>
        <w:rPr>
          <w:color w:val="auto"/>
        </w:rPr>
      </w:pPr>
      <w:r>
        <w:rPr>
          <w:rFonts w:hint="eastAsia"/>
          <w:color w:val="auto"/>
        </w:rPr>
        <w:t>（3）依托可行性</w:t>
      </w:r>
    </w:p>
    <w:p w14:paraId="2AF2FEEB">
      <w:pPr>
        <w:pStyle w:val="4"/>
        <w:ind w:firstLine="480"/>
        <w:rPr>
          <w:color w:val="auto"/>
        </w:rPr>
      </w:pPr>
      <w:r>
        <w:rPr>
          <w:rFonts w:hint="eastAsia"/>
          <w:color w:val="auto"/>
        </w:rPr>
        <w:t>运营期</w:t>
      </w:r>
      <w:r>
        <w:rPr>
          <w:color w:val="auto"/>
        </w:rPr>
        <w:t>采出水</w:t>
      </w:r>
      <w:r>
        <w:rPr>
          <w:rFonts w:hint="eastAsia"/>
          <w:color w:val="auto"/>
        </w:rPr>
        <w:t>依托</w:t>
      </w:r>
      <w:bookmarkStart w:id="375" w:name="OLE_LINK35"/>
      <w:bookmarkStart w:id="376" w:name="OLE_LINK30"/>
      <w:r>
        <w:rPr>
          <w:rFonts w:hint="eastAsia"/>
          <w:color w:val="auto"/>
        </w:rPr>
        <w:t>高青联合站、滨博接转站</w:t>
      </w:r>
      <w:bookmarkEnd w:id="375"/>
      <w:bookmarkEnd w:id="376"/>
      <w:r>
        <w:rPr>
          <w:rFonts w:hint="eastAsia"/>
          <w:color w:val="auto"/>
        </w:rPr>
        <w:t>采出水处理站处理，油水井</w:t>
      </w:r>
      <w:r>
        <w:rPr>
          <w:color w:val="auto"/>
        </w:rPr>
        <w:t>井下作业废</w:t>
      </w:r>
      <w:r>
        <w:rPr>
          <w:rFonts w:hint="eastAsia"/>
          <w:color w:val="auto"/>
        </w:rPr>
        <w:t>水</w:t>
      </w:r>
      <w:r>
        <w:rPr>
          <w:color w:val="auto"/>
        </w:rPr>
        <w:t>依托</w:t>
      </w:r>
      <w:r>
        <w:rPr>
          <w:rFonts w:hint="eastAsia"/>
          <w:color w:val="auto"/>
        </w:rPr>
        <w:t>高青联合站、滨博接转站</w:t>
      </w:r>
      <w:r>
        <w:rPr>
          <w:color w:val="auto"/>
        </w:rPr>
        <w:t>采出水处理站处理</w:t>
      </w:r>
      <w:r>
        <w:rPr>
          <w:rFonts w:hint="eastAsia"/>
          <w:color w:val="auto"/>
        </w:rPr>
        <w:t>。</w:t>
      </w:r>
    </w:p>
    <w:p w14:paraId="50C9CBF7">
      <w:pPr>
        <w:pStyle w:val="4"/>
        <w:ind w:firstLine="48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高青联合站</w:t>
      </w:r>
    </w:p>
    <w:p w14:paraId="40DD6643">
      <w:pPr>
        <w:pStyle w:val="4"/>
        <w:ind w:firstLine="480"/>
        <w:rPr>
          <w:color w:val="auto"/>
        </w:rPr>
      </w:pPr>
      <w:r>
        <w:rPr>
          <w:rFonts w:hint="eastAsia"/>
          <w:color w:val="auto"/>
        </w:rPr>
        <w:t>高青联合站采出水处理系统处理规模及工艺见前文“施工期污染防治</w:t>
      </w:r>
      <w:r>
        <w:rPr>
          <w:color w:val="auto"/>
        </w:rPr>
        <w:t>和处置措施</w:t>
      </w:r>
      <w:r>
        <w:rPr>
          <w:rFonts w:hint="eastAsia"/>
          <w:color w:val="auto"/>
        </w:rPr>
        <w:t>-依托可行性”。</w:t>
      </w:r>
    </w:p>
    <w:p w14:paraId="14D4BC50">
      <w:pPr>
        <w:pStyle w:val="4"/>
        <w:ind w:firstLine="48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滨博接转站</w:t>
      </w:r>
    </w:p>
    <w:p w14:paraId="09010AA8">
      <w:pPr>
        <w:pStyle w:val="4"/>
        <w:ind w:firstLine="480"/>
        <w:rPr>
          <w:color w:val="auto"/>
        </w:rPr>
      </w:pPr>
      <w:r>
        <w:rPr>
          <w:rFonts w:hint="eastAsia"/>
          <w:color w:val="auto"/>
        </w:rPr>
        <w:t>滨博接转站采用“热化学+一级沉降”原油脱水工艺，具有原油脱水、注水等功能。采出液设计处理能力800m</w:t>
      </w:r>
      <w:r>
        <w:rPr>
          <w:rFonts w:hint="eastAsia"/>
          <w:color w:val="auto"/>
          <w:vertAlign w:val="superscript"/>
        </w:rPr>
        <w:t>3</w:t>
      </w:r>
      <w:r>
        <w:rPr>
          <w:rFonts w:hint="eastAsia"/>
          <w:color w:val="auto"/>
        </w:rPr>
        <w:t>/d，实际处理能力600m</w:t>
      </w:r>
      <w:r>
        <w:rPr>
          <w:rFonts w:hint="eastAsia"/>
          <w:color w:val="auto"/>
          <w:vertAlign w:val="superscript"/>
        </w:rPr>
        <w:t>3</w:t>
      </w:r>
      <w:r>
        <w:rPr>
          <w:rFonts w:hint="eastAsia"/>
          <w:color w:val="auto"/>
        </w:rPr>
        <w:t>/d。运营期滨博管理区油井采出液依托滨博接转站处理，经站内</w:t>
      </w:r>
      <w:r>
        <w:rPr>
          <w:rFonts w:hint="eastAsia"/>
          <w:color w:val="auto"/>
          <w:kern w:val="0"/>
        </w:rPr>
        <w:t>采出水</w:t>
      </w:r>
      <w:r>
        <w:rPr>
          <w:rFonts w:hint="eastAsia"/>
          <w:color w:val="auto"/>
        </w:rPr>
        <w:t>处理系统</w:t>
      </w:r>
      <w:r>
        <w:rPr>
          <w:rFonts w:hint="eastAsia"/>
          <w:color w:val="auto"/>
          <w:kern w:val="0"/>
        </w:rPr>
        <w:t>达</w:t>
      </w:r>
      <w:r>
        <w:rPr>
          <w:rFonts w:hint="eastAsia"/>
          <w:color w:val="auto"/>
        </w:rPr>
        <w:t>到《碎屑岩油藏注水水质指标技术要求及分析方法》（SY/T 5329-2022）中水质主要控制指标后回注地层，用于油田注水开发，不外排。</w:t>
      </w:r>
    </w:p>
    <w:p w14:paraId="7F1A77AD">
      <w:pPr>
        <w:pStyle w:val="4"/>
        <w:ind w:firstLine="480"/>
        <w:rPr>
          <w:color w:val="auto"/>
        </w:rPr>
      </w:pPr>
      <w:r>
        <w:rPr>
          <w:rFonts w:hint="eastAsia"/>
          <w:color w:val="auto"/>
        </w:rPr>
        <w:t>本期工程运营期产生的采出液分批拉运，可以满足本期工程采出液处理的依托需求。</w:t>
      </w:r>
    </w:p>
    <w:p w14:paraId="23F4B8C0">
      <w:pPr>
        <w:pStyle w:val="4"/>
        <w:ind w:firstLine="480"/>
        <w:rPr>
          <w:color w:val="auto"/>
        </w:rPr>
      </w:pPr>
      <w:r>
        <w:rPr>
          <w:rFonts w:hint="eastAsia"/>
          <w:color w:val="auto"/>
        </w:rPr>
        <w:t>滨博接转站工艺流程示意图见图 5.2</w:t>
      </w:r>
      <w:r>
        <w:rPr>
          <w:rFonts w:hint="eastAsia"/>
          <w:color w:val="auto"/>
        </w:rPr>
        <w:noBreakHyphen/>
      </w:r>
      <w:r>
        <w:rPr>
          <w:rFonts w:hint="eastAsia"/>
          <w:color w:val="auto"/>
        </w:rPr>
        <w:t>3。</w:t>
      </w:r>
    </w:p>
    <w:p w14:paraId="12E9B009">
      <w:pPr>
        <w:pStyle w:val="4"/>
        <w:ind w:firstLine="480"/>
        <w:jc w:val="center"/>
        <w:rPr>
          <w:color w:val="auto"/>
        </w:rPr>
      </w:pPr>
      <w:r>
        <w:rPr>
          <w:color w:val="auto"/>
        </w:rPr>
        <w:drawing>
          <wp:inline distT="0" distB="0" distL="0" distR="0">
            <wp:extent cx="5553075" cy="3409950"/>
            <wp:effectExtent l="0" t="0" r="9525" b="0"/>
            <wp:docPr id="459578611" name="图片 459578611" descr="C:\Users\王银苹\AppData\Local\Temp\ksohtml24804\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1" name="图片 459578611" descr="C:\Users\王银苹\AppData\Local\Temp\ksohtml24804\wps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553075" cy="3409950"/>
                    </a:xfrm>
                    <a:prstGeom prst="rect">
                      <a:avLst/>
                    </a:prstGeom>
                    <a:noFill/>
                    <a:ln>
                      <a:noFill/>
                    </a:ln>
                  </pic:spPr>
                </pic:pic>
              </a:graphicData>
            </a:graphic>
          </wp:inline>
        </w:drawing>
      </w:r>
      <w:r>
        <w:rPr>
          <w:rFonts w:hint="eastAsia"/>
          <w:color w:val="auto"/>
        </w:rPr>
        <w:t xml:space="preserve"> </w:t>
      </w:r>
    </w:p>
    <w:p w14:paraId="2A46AB66">
      <w:pPr>
        <w:pStyle w:val="15"/>
        <w:spacing w:before="120"/>
        <w:ind w:firstLine="480"/>
        <w:rPr>
          <w:color w:val="auto"/>
        </w:rPr>
      </w:pPr>
      <w:bookmarkStart w:id="377" w:name="_Ref225753933"/>
      <w:bookmarkEnd w:id="377"/>
      <w:r>
        <w:rPr>
          <w:rFonts w:hint="eastAsia" w:hAnsi="宋体"/>
          <w:color w:val="auto"/>
        </w:rPr>
        <w:t>图</w:t>
      </w:r>
      <w:r>
        <w:rPr>
          <w:rFonts w:hint="eastAsia"/>
          <w:color w:val="auto"/>
        </w:rPr>
        <w:t xml:space="preserve"> 5.2</w:t>
      </w:r>
      <w:r>
        <w:rPr>
          <w:rFonts w:hint="eastAsia"/>
          <w:color w:val="auto"/>
        </w:rPr>
        <w:noBreakHyphen/>
      </w:r>
      <w:r>
        <w:rPr>
          <w:rFonts w:hint="eastAsia"/>
          <w:color w:val="auto"/>
        </w:rPr>
        <w:t xml:space="preserve">3 </w:t>
      </w:r>
      <w:r>
        <w:rPr>
          <w:rFonts w:hint="eastAsia" w:hAnsi="宋体"/>
          <w:color w:val="auto"/>
        </w:rPr>
        <w:t>滨博接转站工艺流程示意图</w:t>
      </w:r>
    </w:p>
    <w:p w14:paraId="57E886F0">
      <w:pPr>
        <w:pStyle w:val="4"/>
        <w:ind w:firstLine="48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回注水水质</w:t>
      </w:r>
      <w:r>
        <w:rPr>
          <w:color w:val="auto"/>
        </w:rPr>
        <w:t>监测</w:t>
      </w:r>
      <w:r>
        <w:rPr>
          <w:rFonts w:hint="eastAsia"/>
          <w:color w:val="auto"/>
        </w:rPr>
        <w:t>结果</w:t>
      </w:r>
    </w:p>
    <w:p w14:paraId="54624408">
      <w:pPr>
        <w:pStyle w:val="4"/>
        <w:ind w:firstLine="480"/>
        <w:rPr>
          <w:color w:val="auto"/>
        </w:rPr>
      </w:pPr>
      <w:r>
        <w:rPr>
          <w:rFonts w:hint="eastAsia"/>
          <w:color w:val="auto"/>
        </w:rPr>
        <w:t>本次收集了高青联合站和滨博接转站</w:t>
      </w:r>
      <w:r>
        <w:rPr>
          <w:color w:val="auto"/>
        </w:rPr>
        <w:t>采出水处理站</w:t>
      </w:r>
      <w:r>
        <w:rPr>
          <w:rFonts w:hint="eastAsia"/>
          <w:color w:val="auto"/>
        </w:rPr>
        <w:t>处理后的回注水水质监测数据。根据监测</w:t>
      </w:r>
      <w:r>
        <w:rPr>
          <w:color w:val="auto"/>
        </w:rPr>
        <w:t>结果</w:t>
      </w:r>
      <w:r>
        <w:rPr>
          <w:rFonts w:hint="eastAsia"/>
          <w:color w:val="auto"/>
        </w:rPr>
        <w:t>，本期工程依托的</w:t>
      </w:r>
      <w:r>
        <w:rPr>
          <w:color w:val="auto"/>
        </w:rPr>
        <w:t>采出水处理站</w:t>
      </w:r>
      <w:r>
        <w:rPr>
          <w:rFonts w:hint="eastAsia"/>
          <w:color w:val="auto"/>
        </w:rPr>
        <w:t>出水指标可满足《碎屑岩油藏注水水质指标技术要求及分析方法》（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w:t>
      </w:r>
      <w:r>
        <w:rPr>
          <w:rFonts w:hint="eastAsia"/>
          <w:color w:val="auto"/>
        </w:rPr>
        <w:t>，</w:t>
      </w:r>
      <w:r>
        <w:rPr>
          <w:color w:val="auto"/>
        </w:rPr>
        <w:t>采出水处理站实际运行效果较好</w:t>
      </w:r>
      <w:r>
        <w:rPr>
          <w:rFonts w:hint="eastAsia"/>
          <w:color w:val="auto"/>
        </w:rPr>
        <w:t>。监测结果见</w:t>
      </w:r>
      <w:r>
        <w:rPr>
          <w:color w:val="auto"/>
        </w:rPr>
        <w:fldChar w:fldCharType="begin"/>
      </w:r>
      <w:r>
        <w:instrText xml:space="preserve"> REF _Ref225155587 \h  \* MERGEFORMAT</w:instrText>
      </w:r>
      <w:r>
        <w:rPr>
          <w:color w:val="auto"/>
        </w:rPr>
        <w:fldChar w:fldCharType="separate"/>
      </w:r>
      <w:r>
        <w:rPr>
          <w:color w:val="auto"/>
        </w:rPr>
        <w:t>表 5.2</w:t>
      </w:r>
      <w:r>
        <w:rPr>
          <w:color w:val="auto"/>
        </w:rPr>
        <w:noBreakHyphen/>
      </w:r>
      <w:r>
        <w:rPr>
          <w:color w:val="auto"/>
        </w:rPr>
        <w:t>1</w:t>
      </w:r>
      <w:r>
        <w:rPr>
          <w:color w:val="auto"/>
        </w:rPr>
        <w:fldChar w:fldCharType="end"/>
      </w:r>
      <w:r>
        <w:rPr>
          <w:rFonts w:hint="eastAsia"/>
          <w:color w:val="auto"/>
        </w:rPr>
        <w:t>。</w:t>
      </w:r>
    </w:p>
    <w:p w14:paraId="694CD85A">
      <w:pPr>
        <w:pStyle w:val="15"/>
        <w:spacing w:before="120"/>
        <w:rPr>
          <w:color w:val="auto"/>
        </w:rPr>
      </w:pPr>
      <w:bookmarkStart w:id="378" w:name="_Ref225155587"/>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5.2</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378"/>
      <w:r>
        <w:rPr>
          <w:color w:val="auto"/>
        </w:rPr>
        <w:t xml:space="preserve"> </w:t>
      </w:r>
      <w:r>
        <w:rPr>
          <w:rFonts w:hint="eastAsia"/>
          <w:color w:val="auto"/>
        </w:rPr>
        <w:t>回注水水质监测数据</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0"/>
        <w:gridCol w:w="951"/>
        <w:gridCol w:w="723"/>
        <w:gridCol w:w="757"/>
        <w:gridCol w:w="758"/>
        <w:gridCol w:w="758"/>
        <w:gridCol w:w="763"/>
        <w:gridCol w:w="759"/>
        <w:gridCol w:w="749"/>
        <w:gridCol w:w="749"/>
        <w:gridCol w:w="744"/>
      </w:tblGrid>
      <w:tr w14:paraId="722F7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85" w:type="pct"/>
            <w:vMerge w:val="restart"/>
            <w:vAlign w:val="center"/>
          </w:tcPr>
          <w:p w14:paraId="0D68FDD1">
            <w:pPr>
              <w:adjustRightInd w:val="0"/>
              <w:snapToGrid w:val="0"/>
              <w:jc w:val="center"/>
              <w:rPr>
                <w:rFonts w:ascii="宋体" w:hAnsi="宋体"/>
                <w:color w:val="auto"/>
              </w:rPr>
            </w:pPr>
            <w:r>
              <w:rPr>
                <w:rFonts w:hint="eastAsia" w:ascii="宋体" w:hAnsi="宋体"/>
                <w:color w:val="auto"/>
              </w:rPr>
              <w:t>类型</w:t>
            </w:r>
          </w:p>
        </w:tc>
        <w:tc>
          <w:tcPr>
            <w:tcW w:w="485" w:type="pct"/>
            <w:vMerge w:val="restart"/>
            <w:vAlign w:val="center"/>
          </w:tcPr>
          <w:p w14:paraId="6A87A367">
            <w:pPr>
              <w:adjustRightInd w:val="0"/>
              <w:snapToGrid w:val="0"/>
              <w:jc w:val="center"/>
              <w:rPr>
                <w:rFonts w:ascii="宋体" w:hAnsi="宋体"/>
                <w:color w:val="auto"/>
              </w:rPr>
            </w:pPr>
            <w:r>
              <w:rPr>
                <w:rFonts w:hint="eastAsia" w:ascii="宋体" w:hAnsi="宋体"/>
                <w:color w:val="auto"/>
              </w:rPr>
              <w:t>监测</w:t>
            </w:r>
            <w:r>
              <w:rPr>
                <w:rFonts w:ascii="宋体" w:hAnsi="宋体"/>
                <w:color w:val="auto"/>
              </w:rPr>
              <w:t>时间</w:t>
            </w:r>
          </w:p>
        </w:tc>
        <w:tc>
          <w:tcPr>
            <w:tcW w:w="421" w:type="pct"/>
            <w:vMerge w:val="restart"/>
            <w:vAlign w:val="center"/>
          </w:tcPr>
          <w:p w14:paraId="2A311084">
            <w:pPr>
              <w:adjustRightInd w:val="0"/>
              <w:snapToGrid w:val="0"/>
              <w:jc w:val="center"/>
              <w:rPr>
                <w:rFonts w:ascii="宋体" w:hAnsi="宋体"/>
                <w:color w:val="auto"/>
              </w:rPr>
            </w:pPr>
            <w:r>
              <w:rPr>
                <w:rFonts w:hint="eastAsia" w:ascii="宋体" w:hAnsi="宋体"/>
                <w:color w:val="auto"/>
              </w:rPr>
              <w:t>水质标准</w:t>
            </w:r>
            <w:r>
              <w:rPr>
                <w:rFonts w:ascii="宋体" w:hAnsi="宋体"/>
                <w:color w:val="auto"/>
              </w:rPr>
              <w:t>分级</w:t>
            </w:r>
          </w:p>
        </w:tc>
        <w:tc>
          <w:tcPr>
            <w:tcW w:w="881" w:type="pct"/>
            <w:gridSpan w:val="2"/>
            <w:vAlign w:val="center"/>
          </w:tcPr>
          <w:p w14:paraId="2C2CDCCC">
            <w:pPr>
              <w:adjustRightInd w:val="0"/>
              <w:snapToGrid w:val="0"/>
              <w:jc w:val="center"/>
              <w:rPr>
                <w:rFonts w:ascii="宋体" w:hAnsi="宋体"/>
                <w:color w:val="auto"/>
              </w:rPr>
            </w:pPr>
            <w:r>
              <w:rPr>
                <w:rFonts w:hint="eastAsia" w:ascii="宋体" w:hAnsi="宋体"/>
                <w:color w:val="auto"/>
              </w:rPr>
              <w:t>含油量（mg</w:t>
            </w:r>
            <w:r>
              <w:rPr>
                <w:rFonts w:ascii="宋体" w:hAnsi="宋体"/>
                <w:color w:val="auto"/>
              </w:rPr>
              <w:t>/L</w:t>
            </w:r>
            <w:r>
              <w:rPr>
                <w:rFonts w:hint="eastAsia" w:ascii="宋体" w:hAnsi="宋体"/>
                <w:color w:val="auto"/>
              </w:rPr>
              <w:t>）</w:t>
            </w:r>
          </w:p>
        </w:tc>
        <w:tc>
          <w:tcPr>
            <w:tcW w:w="884" w:type="pct"/>
            <w:gridSpan w:val="2"/>
            <w:vAlign w:val="center"/>
          </w:tcPr>
          <w:p w14:paraId="30390896">
            <w:pPr>
              <w:adjustRightInd w:val="0"/>
              <w:snapToGrid w:val="0"/>
              <w:jc w:val="center"/>
              <w:rPr>
                <w:rFonts w:ascii="宋体" w:hAnsi="宋体"/>
                <w:color w:val="auto"/>
              </w:rPr>
            </w:pPr>
            <w:r>
              <w:rPr>
                <w:rFonts w:hint="eastAsia" w:ascii="宋体" w:hAnsi="宋体"/>
                <w:color w:val="auto"/>
              </w:rPr>
              <w:t>悬浮固体含量（mg</w:t>
            </w:r>
            <w:r>
              <w:rPr>
                <w:rFonts w:ascii="宋体" w:hAnsi="宋体"/>
                <w:color w:val="auto"/>
              </w:rPr>
              <w:t>/L</w:t>
            </w:r>
            <w:r>
              <w:rPr>
                <w:rFonts w:hint="eastAsia" w:ascii="宋体" w:hAnsi="宋体"/>
                <w:color w:val="auto"/>
              </w:rPr>
              <w:t>）</w:t>
            </w:r>
          </w:p>
        </w:tc>
        <w:tc>
          <w:tcPr>
            <w:tcW w:w="876" w:type="pct"/>
            <w:gridSpan w:val="2"/>
            <w:vAlign w:val="center"/>
          </w:tcPr>
          <w:p w14:paraId="1204FC84">
            <w:pPr>
              <w:adjustRightInd w:val="0"/>
              <w:snapToGrid w:val="0"/>
              <w:jc w:val="center"/>
              <w:rPr>
                <w:rFonts w:ascii="宋体" w:hAnsi="宋体"/>
                <w:color w:val="auto"/>
              </w:rPr>
            </w:pPr>
            <w:r>
              <w:rPr>
                <w:rFonts w:hint="eastAsia" w:ascii="宋体" w:hAnsi="宋体"/>
                <w:color w:val="auto"/>
              </w:rPr>
              <w:t>平均腐蚀率（</w:t>
            </w:r>
            <w:r>
              <w:rPr>
                <w:rFonts w:ascii="宋体" w:hAnsi="宋体"/>
                <w:color w:val="auto"/>
              </w:rPr>
              <w:t>mm/a</w:t>
            </w:r>
            <w:r>
              <w:rPr>
                <w:rFonts w:hint="eastAsia" w:ascii="宋体" w:hAnsi="宋体"/>
                <w:color w:val="auto"/>
              </w:rPr>
              <w:t>）</w:t>
            </w:r>
          </w:p>
        </w:tc>
        <w:tc>
          <w:tcPr>
            <w:tcW w:w="867" w:type="pct"/>
            <w:gridSpan w:val="2"/>
            <w:vAlign w:val="center"/>
          </w:tcPr>
          <w:p w14:paraId="65151359">
            <w:pPr>
              <w:adjustRightInd w:val="0"/>
              <w:snapToGrid w:val="0"/>
              <w:jc w:val="center"/>
              <w:rPr>
                <w:rFonts w:ascii="宋体" w:hAnsi="宋体"/>
                <w:color w:val="auto"/>
              </w:rPr>
            </w:pPr>
            <w:r>
              <w:rPr>
                <w:rFonts w:hint="eastAsia" w:ascii="宋体" w:hAnsi="宋体"/>
                <w:color w:val="auto"/>
              </w:rPr>
              <w:t>粒径中值（μm）</w:t>
            </w:r>
          </w:p>
        </w:tc>
      </w:tr>
      <w:tr w14:paraId="6632D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85" w:type="pct"/>
            <w:vMerge w:val="continue"/>
            <w:vAlign w:val="center"/>
          </w:tcPr>
          <w:p w14:paraId="1EA451CA">
            <w:pPr>
              <w:adjustRightInd w:val="0"/>
              <w:snapToGrid w:val="0"/>
              <w:jc w:val="center"/>
              <w:rPr>
                <w:rFonts w:ascii="宋体" w:hAnsi="宋体"/>
                <w:color w:val="auto"/>
              </w:rPr>
            </w:pPr>
          </w:p>
        </w:tc>
        <w:tc>
          <w:tcPr>
            <w:tcW w:w="485" w:type="pct"/>
            <w:vMerge w:val="continue"/>
            <w:vAlign w:val="center"/>
          </w:tcPr>
          <w:p w14:paraId="7329EA18">
            <w:pPr>
              <w:adjustRightInd w:val="0"/>
              <w:snapToGrid w:val="0"/>
              <w:jc w:val="center"/>
              <w:rPr>
                <w:rFonts w:ascii="宋体" w:hAnsi="宋体"/>
                <w:color w:val="auto"/>
              </w:rPr>
            </w:pPr>
          </w:p>
        </w:tc>
        <w:tc>
          <w:tcPr>
            <w:tcW w:w="421" w:type="pct"/>
            <w:vMerge w:val="continue"/>
            <w:vAlign w:val="center"/>
          </w:tcPr>
          <w:p w14:paraId="5CCB884C">
            <w:pPr>
              <w:adjustRightInd w:val="0"/>
              <w:snapToGrid w:val="0"/>
              <w:jc w:val="center"/>
              <w:rPr>
                <w:rFonts w:ascii="宋体" w:hAnsi="宋体"/>
                <w:color w:val="auto"/>
              </w:rPr>
            </w:pPr>
          </w:p>
        </w:tc>
        <w:tc>
          <w:tcPr>
            <w:tcW w:w="440" w:type="pct"/>
            <w:vAlign w:val="center"/>
          </w:tcPr>
          <w:p w14:paraId="5767B759">
            <w:pPr>
              <w:adjustRightInd w:val="0"/>
              <w:snapToGrid w:val="0"/>
              <w:jc w:val="center"/>
              <w:rPr>
                <w:rFonts w:ascii="宋体" w:hAnsi="宋体"/>
                <w:color w:val="auto"/>
              </w:rPr>
            </w:pPr>
            <w:r>
              <w:rPr>
                <w:rFonts w:hint="eastAsia" w:ascii="宋体" w:hAnsi="宋体"/>
                <w:color w:val="auto"/>
              </w:rPr>
              <w:t>标准值</w:t>
            </w:r>
          </w:p>
        </w:tc>
        <w:tc>
          <w:tcPr>
            <w:tcW w:w="440" w:type="pct"/>
            <w:vAlign w:val="center"/>
          </w:tcPr>
          <w:p w14:paraId="3D7261A4">
            <w:pPr>
              <w:adjustRightInd w:val="0"/>
              <w:snapToGrid w:val="0"/>
              <w:jc w:val="center"/>
              <w:rPr>
                <w:rFonts w:ascii="宋体" w:hAnsi="宋体"/>
                <w:color w:val="auto"/>
              </w:rPr>
            </w:pPr>
            <w:r>
              <w:rPr>
                <w:rFonts w:hint="eastAsia" w:ascii="宋体" w:hAnsi="宋体"/>
                <w:color w:val="auto"/>
              </w:rPr>
              <w:t>实测值</w:t>
            </w:r>
          </w:p>
        </w:tc>
        <w:tc>
          <w:tcPr>
            <w:tcW w:w="441" w:type="pct"/>
            <w:vAlign w:val="center"/>
          </w:tcPr>
          <w:p w14:paraId="6263E1E5">
            <w:pPr>
              <w:adjustRightInd w:val="0"/>
              <w:snapToGrid w:val="0"/>
              <w:jc w:val="center"/>
              <w:rPr>
                <w:rFonts w:ascii="宋体" w:hAnsi="宋体"/>
                <w:color w:val="auto"/>
              </w:rPr>
            </w:pPr>
            <w:r>
              <w:rPr>
                <w:rFonts w:hint="eastAsia" w:ascii="宋体" w:hAnsi="宋体"/>
                <w:color w:val="auto"/>
              </w:rPr>
              <w:t>标准值</w:t>
            </w:r>
          </w:p>
        </w:tc>
        <w:tc>
          <w:tcPr>
            <w:tcW w:w="443" w:type="pct"/>
            <w:vAlign w:val="center"/>
          </w:tcPr>
          <w:p w14:paraId="5DAE48FB">
            <w:pPr>
              <w:adjustRightInd w:val="0"/>
              <w:snapToGrid w:val="0"/>
              <w:jc w:val="center"/>
              <w:rPr>
                <w:rFonts w:ascii="宋体" w:hAnsi="宋体"/>
                <w:color w:val="auto"/>
              </w:rPr>
            </w:pPr>
            <w:r>
              <w:rPr>
                <w:rFonts w:hint="eastAsia" w:ascii="宋体" w:hAnsi="宋体"/>
                <w:color w:val="auto"/>
              </w:rPr>
              <w:t>实测值</w:t>
            </w:r>
          </w:p>
        </w:tc>
        <w:tc>
          <w:tcPr>
            <w:tcW w:w="441" w:type="pct"/>
            <w:vAlign w:val="center"/>
          </w:tcPr>
          <w:p w14:paraId="7F178675">
            <w:pPr>
              <w:adjustRightInd w:val="0"/>
              <w:snapToGrid w:val="0"/>
              <w:jc w:val="center"/>
              <w:rPr>
                <w:rFonts w:ascii="宋体" w:hAnsi="宋体"/>
                <w:color w:val="auto"/>
              </w:rPr>
            </w:pPr>
            <w:r>
              <w:rPr>
                <w:rFonts w:hint="eastAsia" w:ascii="宋体" w:hAnsi="宋体"/>
                <w:color w:val="auto"/>
              </w:rPr>
              <w:t>标准值</w:t>
            </w:r>
          </w:p>
        </w:tc>
        <w:tc>
          <w:tcPr>
            <w:tcW w:w="435" w:type="pct"/>
            <w:vAlign w:val="center"/>
          </w:tcPr>
          <w:p w14:paraId="7639C906">
            <w:pPr>
              <w:adjustRightInd w:val="0"/>
              <w:snapToGrid w:val="0"/>
              <w:jc w:val="center"/>
              <w:rPr>
                <w:rFonts w:ascii="宋体" w:hAnsi="宋体"/>
                <w:color w:val="auto"/>
              </w:rPr>
            </w:pPr>
            <w:r>
              <w:rPr>
                <w:rFonts w:hint="eastAsia" w:ascii="宋体" w:hAnsi="宋体"/>
                <w:color w:val="auto"/>
              </w:rPr>
              <w:t>实测值</w:t>
            </w:r>
          </w:p>
        </w:tc>
        <w:tc>
          <w:tcPr>
            <w:tcW w:w="435" w:type="pct"/>
            <w:vAlign w:val="center"/>
          </w:tcPr>
          <w:p w14:paraId="05BFBF8E">
            <w:pPr>
              <w:adjustRightInd w:val="0"/>
              <w:snapToGrid w:val="0"/>
              <w:jc w:val="center"/>
              <w:rPr>
                <w:rFonts w:ascii="宋体" w:hAnsi="宋体"/>
                <w:color w:val="auto"/>
              </w:rPr>
            </w:pPr>
            <w:r>
              <w:rPr>
                <w:rFonts w:hint="eastAsia" w:ascii="宋体" w:hAnsi="宋体"/>
                <w:color w:val="auto"/>
              </w:rPr>
              <w:t>标准值</w:t>
            </w:r>
          </w:p>
        </w:tc>
        <w:tc>
          <w:tcPr>
            <w:tcW w:w="432" w:type="pct"/>
            <w:vAlign w:val="center"/>
          </w:tcPr>
          <w:p w14:paraId="49AFF7CB">
            <w:pPr>
              <w:adjustRightInd w:val="0"/>
              <w:snapToGrid w:val="0"/>
              <w:jc w:val="center"/>
              <w:rPr>
                <w:rFonts w:ascii="宋体" w:hAnsi="宋体"/>
                <w:color w:val="auto"/>
              </w:rPr>
            </w:pPr>
            <w:r>
              <w:rPr>
                <w:rFonts w:hint="eastAsia" w:ascii="宋体" w:hAnsi="宋体"/>
                <w:color w:val="auto"/>
              </w:rPr>
              <w:t>实测值</w:t>
            </w:r>
          </w:p>
        </w:tc>
      </w:tr>
      <w:tr w14:paraId="0F56E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Align w:val="center"/>
          </w:tcPr>
          <w:p w14:paraId="3B62EF8E">
            <w:pPr>
              <w:adjustRightInd w:val="0"/>
              <w:snapToGrid w:val="0"/>
              <w:jc w:val="center"/>
              <w:rPr>
                <w:rFonts w:ascii="宋体" w:hAnsi="宋体"/>
                <w:color w:val="auto"/>
              </w:rPr>
            </w:pPr>
            <w:r>
              <w:rPr>
                <w:rFonts w:hint="eastAsia" w:ascii="宋体" w:hAnsi="宋体"/>
                <w:color w:val="auto"/>
              </w:rPr>
              <w:t>高青联合站</w:t>
            </w:r>
          </w:p>
        </w:tc>
        <w:tc>
          <w:tcPr>
            <w:tcW w:w="485" w:type="pct"/>
            <w:vAlign w:val="center"/>
          </w:tcPr>
          <w:p w14:paraId="01D0E06F">
            <w:pPr>
              <w:adjustRightInd w:val="0"/>
              <w:snapToGrid w:val="0"/>
              <w:jc w:val="center"/>
              <w:rPr>
                <w:rFonts w:ascii="宋体" w:hAnsi="宋体"/>
                <w:color w:val="auto"/>
              </w:rPr>
            </w:pPr>
            <w:r>
              <w:rPr>
                <w:rFonts w:hint="eastAsia" w:ascii="宋体" w:hAnsi="宋体"/>
                <w:color w:val="auto"/>
              </w:rPr>
              <w:t>202</w:t>
            </w:r>
            <w:r>
              <w:rPr>
                <w:rFonts w:ascii="宋体" w:hAnsi="宋体"/>
                <w:color w:val="auto"/>
              </w:rPr>
              <w:t>5</w:t>
            </w:r>
            <w:r>
              <w:rPr>
                <w:rFonts w:hint="eastAsia" w:ascii="宋体" w:hAnsi="宋体"/>
                <w:color w:val="auto"/>
              </w:rPr>
              <w:t>.</w:t>
            </w:r>
            <w:r>
              <w:rPr>
                <w:rFonts w:ascii="宋体" w:hAnsi="宋体"/>
                <w:color w:val="auto"/>
              </w:rPr>
              <w:t>12</w:t>
            </w:r>
          </w:p>
        </w:tc>
        <w:tc>
          <w:tcPr>
            <w:tcW w:w="421" w:type="pct"/>
            <w:vAlign w:val="center"/>
          </w:tcPr>
          <w:p w14:paraId="2B8D0F97">
            <w:pPr>
              <w:adjustRightInd w:val="0"/>
              <w:snapToGrid w:val="0"/>
              <w:jc w:val="center"/>
              <w:rPr>
                <w:rFonts w:ascii="宋体" w:hAnsi="宋体"/>
                <w:color w:val="auto"/>
              </w:rPr>
            </w:pPr>
            <w:r>
              <w:rPr>
                <w:rFonts w:hint="eastAsia" w:ascii="宋体" w:hAnsi="宋体"/>
                <w:color w:val="auto"/>
              </w:rPr>
              <w:t>Ⅴ</w:t>
            </w:r>
          </w:p>
        </w:tc>
        <w:tc>
          <w:tcPr>
            <w:tcW w:w="440" w:type="pct"/>
            <w:vAlign w:val="center"/>
          </w:tcPr>
          <w:p w14:paraId="07039F22">
            <w:pPr>
              <w:adjustRightInd w:val="0"/>
              <w:snapToGrid w:val="0"/>
              <w:jc w:val="center"/>
              <w:rPr>
                <w:rFonts w:ascii="宋体" w:hAnsi="宋体"/>
                <w:color w:val="auto"/>
              </w:rPr>
            </w:pPr>
            <w:r>
              <w:rPr>
                <w:rFonts w:ascii="宋体" w:hAnsi="宋体"/>
                <w:color w:val="auto"/>
              </w:rPr>
              <w:t>100</w:t>
            </w:r>
          </w:p>
        </w:tc>
        <w:tc>
          <w:tcPr>
            <w:tcW w:w="440" w:type="pct"/>
            <w:vAlign w:val="center"/>
          </w:tcPr>
          <w:p w14:paraId="609F74B3">
            <w:pPr>
              <w:adjustRightInd w:val="0"/>
              <w:snapToGrid w:val="0"/>
              <w:jc w:val="center"/>
              <w:rPr>
                <w:rFonts w:ascii="宋体" w:hAnsi="宋体"/>
                <w:color w:val="auto"/>
              </w:rPr>
            </w:pPr>
            <w:r>
              <w:rPr>
                <w:rFonts w:ascii="宋体" w:hAnsi="宋体"/>
                <w:color w:val="auto"/>
              </w:rPr>
              <w:t>13.51</w:t>
            </w:r>
          </w:p>
        </w:tc>
        <w:tc>
          <w:tcPr>
            <w:tcW w:w="441" w:type="pct"/>
            <w:vAlign w:val="center"/>
          </w:tcPr>
          <w:p w14:paraId="62DDC28E">
            <w:pPr>
              <w:adjustRightInd w:val="0"/>
              <w:snapToGrid w:val="0"/>
              <w:jc w:val="center"/>
              <w:rPr>
                <w:rFonts w:ascii="宋体" w:hAnsi="宋体"/>
                <w:color w:val="auto"/>
              </w:rPr>
            </w:pPr>
            <w:r>
              <w:rPr>
                <w:rFonts w:hint="eastAsia" w:ascii="宋体" w:hAnsi="宋体"/>
                <w:color w:val="auto"/>
              </w:rPr>
              <w:t>3</w:t>
            </w:r>
            <w:r>
              <w:rPr>
                <w:rFonts w:ascii="宋体" w:hAnsi="宋体"/>
                <w:color w:val="auto"/>
              </w:rPr>
              <w:t>5</w:t>
            </w:r>
          </w:p>
        </w:tc>
        <w:tc>
          <w:tcPr>
            <w:tcW w:w="443" w:type="pct"/>
            <w:vAlign w:val="center"/>
          </w:tcPr>
          <w:p w14:paraId="392D4FDA">
            <w:pPr>
              <w:adjustRightInd w:val="0"/>
              <w:snapToGrid w:val="0"/>
              <w:jc w:val="center"/>
              <w:rPr>
                <w:rFonts w:ascii="宋体" w:hAnsi="宋体"/>
                <w:color w:val="auto"/>
              </w:rPr>
            </w:pPr>
            <w:r>
              <w:rPr>
                <w:rFonts w:ascii="宋体" w:hAnsi="宋体"/>
                <w:color w:val="auto"/>
              </w:rPr>
              <w:t>26.59</w:t>
            </w:r>
          </w:p>
        </w:tc>
        <w:tc>
          <w:tcPr>
            <w:tcW w:w="441" w:type="pct"/>
            <w:vAlign w:val="center"/>
          </w:tcPr>
          <w:p w14:paraId="426C100D">
            <w:pPr>
              <w:adjustRightInd w:val="0"/>
              <w:snapToGrid w:val="0"/>
              <w:jc w:val="center"/>
              <w:rPr>
                <w:rFonts w:ascii="宋体" w:hAnsi="宋体"/>
                <w:color w:val="auto"/>
              </w:rPr>
            </w:pPr>
            <w:r>
              <w:rPr>
                <w:rFonts w:hint="eastAsia" w:ascii="宋体" w:hAnsi="宋体"/>
                <w:color w:val="auto"/>
              </w:rPr>
              <w:t>0</w:t>
            </w:r>
            <w:r>
              <w:rPr>
                <w:rFonts w:ascii="宋体" w:hAnsi="宋体"/>
                <w:color w:val="auto"/>
              </w:rPr>
              <w:t>.076</w:t>
            </w:r>
          </w:p>
        </w:tc>
        <w:tc>
          <w:tcPr>
            <w:tcW w:w="435" w:type="pct"/>
            <w:vAlign w:val="center"/>
          </w:tcPr>
          <w:p w14:paraId="40111D06">
            <w:pPr>
              <w:adjustRightInd w:val="0"/>
              <w:snapToGrid w:val="0"/>
              <w:jc w:val="center"/>
              <w:rPr>
                <w:rFonts w:ascii="宋体" w:hAnsi="宋体"/>
                <w:color w:val="auto"/>
              </w:rPr>
            </w:pPr>
            <w:r>
              <w:rPr>
                <w:rFonts w:ascii="宋体" w:hAnsi="宋体"/>
                <w:color w:val="auto"/>
              </w:rPr>
              <w:t>0.043</w:t>
            </w:r>
          </w:p>
        </w:tc>
        <w:tc>
          <w:tcPr>
            <w:tcW w:w="435" w:type="pct"/>
            <w:vAlign w:val="center"/>
          </w:tcPr>
          <w:p w14:paraId="7F595419">
            <w:pPr>
              <w:adjustRightInd w:val="0"/>
              <w:snapToGrid w:val="0"/>
              <w:jc w:val="center"/>
              <w:rPr>
                <w:rFonts w:ascii="宋体" w:hAnsi="宋体"/>
                <w:color w:val="auto"/>
              </w:rPr>
            </w:pPr>
            <w:r>
              <w:rPr>
                <w:rFonts w:hint="eastAsia" w:ascii="宋体" w:hAnsi="宋体"/>
                <w:color w:val="auto"/>
              </w:rPr>
              <w:t>5</w:t>
            </w:r>
            <w:r>
              <w:rPr>
                <w:rFonts w:ascii="宋体" w:hAnsi="宋体"/>
                <w:color w:val="auto"/>
              </w:rPr>
              <w:t>.5</w:t>
            </w:r>
          </w:p>
        </w:tc>
        <w:tc>
          <w:tcPr>
            <w:tcW w:w="432" w:type="pct"/>
            <w:vAlign w:val="center"/>
          </w:tcPr>
          <w:p w14:paraId="273F0B5E">
            <w:pPr>
              <w:adjustRightInd w:val="0"/>
              <w:snapToGrid w:val="0"/>
              <w:jc w:val="center"/>
              <w:rPr>
                <w:rFonts w:ascii="宋体" w:hAnsi="宋体"/>
                <w:color w:val="auto"/>
              </w:rPr>
            </w:pPr>
            <w:r>
              <w:rPr>
                <w:rFonts w:ascii="宋体" w:hAnsi="宋体"/>
                <w:color w:val="auto"/>
              </w:rPr>
              <w:t>4.37</w:t>
            </w:r>
          </w:p>
        </w:tc>
      </w:tr>
      <w:tr w14:paraId="684E4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Align w:val="center"/>
          </w:tcPr>
          <w:p w14:paraId="7FBACDD8">
            <w:pPr>
              <w:adjustRightInd w:val="0"/>
              <w:snapToGrid w:val="0"/>
              <w:jc w:val="center"/>
              <w:rPr>
                <w:rFonts w:ascii="宋体" w:hAnsi="宋体"/>
                <w:color w:val="auto"/>
              </w:rPr>
            </w:pPr>
            <w:r>
              <w:rPr>
                <w:rFonts w:hint="eastAsia" w:ascii="宋体" w:hAnsi="宋体"/>
                <w:color w:val="auto"/>
              </w:rPr>
              <w:t>滨博接转站</w:t>
            </w:r>
          </w:p>
        </w:tc>
        <w:tc>
          <w:tcPr>
            <w:tcW w:w="485" w:type="pct"/>
            <w:vAlign w:val="center"/>
          </w:tcPr>
          <w:p w14:paraId="1700E5FD">
            <w:pPr>
              <w:adjustRightInd w:val="0"/>
              <w:snapToGrid w:val="0"/>
              <w:jc w:val="center"/>
              <w:rPr>
                <w:rFonts w:ascii="宋体" w:hAnsi="宋体"/>
                <w:color w:val="auto"/>
              </w:rPr>
            </w:pPr>
            <w:r>
              <w:rPr>
                <w:rFonts w:hint="eastAsia" w:ascii="宋体" w:hAnsi="宋体"/>
                <w:color w:val="auto"/>
              </w:rPr>
              <w:t>202</w:t>
            </w:r>
            <w:r>
              <w:rPr>
                <w:rFonts w:ascii="宋体" w:hAnsi="宋体"/>
                <w:color w:val="auto"/>
              </w:rPr>
              <w:t>5</w:t>
            </w:r>
            <w:r>
              <w:rPr>
                <w:rFonts w:hint="eastAsia" w:ascii="宋体" w:hAnsi="宋体"/>
                <w:color w:val="auto"/>
              </w:rPr>
              <w:t>.</w:t>
            </w:r>
            <w:r>
              <w:rPr>
                <w:rFonts w:ascii="宋体" w:hAnsi="宋体"/>
                <w:color w:val="auto"/>
              </w:rPr>
              <w:t>12</w:t>
            </w:r>
          </w:p>
        </w:tc>
        <w:tc>
          <w:tcPr>
            <w:tcW w:w="421" w:type="pct"/>
            <w:vAlign w:val="center"/>
          </w:tcPr>
          <w:p w14:paraId="1B36B201">
            <w:pPr>
              <w:adjustRightInd w:val="0"/>
              <w:snapToGrid w:val="0"/>
              <w:jc w:val="center"/>
              <w:rPr>
                <w:rFonts w:ascii="宋体" w:hAnsi="宋体"/>
                <w:color w:val="auto"/>
              </w:rPr>
            </w:pPr>
            <w:r>
              <w:rPr>
                <w:rFonts w:hint="eastAsia" w:ascii="宋体" w:hAnsi="宋体"/>
                <w:color w:val="auto"/>
              </w:rPr>
              <w:t>Ⅴ</w:t>
            </w:r>
          </w:p>
        </w:tc>
        <w:tc>
          <w:tcPr>
            <w:tcW w:w="440" w:type="pct"/>
            <w:vAlign w:val="center"/>
          </w:tcPr>
          <w:p w14:paraId="2D97386D">
            <w:pPr>
              <w:adjustRightInd w:val="0"/>
              <w:snapToGrid w:val="0"/>
              <w:jc w:val="center"/>
              <w:rPr>
                <w:rFonts w:ascii="宋体" w:hAnsi="宋体"/>
                <w:color w:val="auto"/>
              </w:rPr>
            </w:pPr>
            <w:r>
              <w:rPr>
                <w:rFonts w:hint="eastAsia" w:ascii="宋体" w:hAnsi="宋体"/>
                <w:color w:val="auto"/>
              </w:rPr>
              <w:t>1</w:t>
            </w:r>
            <w:r>
              <w:rPr>
                <w:rFonts w:ascii="宋体" w:hAnsi="宋体"/>
                <w:color w:val="auto"/>
              </w:rPr>
              <w:t>00</w:t>
            </w:r>
          </w:p>
        </w:tc>
        <w:tc>
          <w:tcPr>
            <w:tcW w:w="440" w:type="pct"/>
            <w:vAlign w:val="center"/>
          </w:tcPr>
          <w:p w14:paraId="6417CD27">
            <w:pPr>
              <w:adjustRightInd w:val="0"/>
              <w:snapToGrid w:val="0"/>
              <w:jc w:val="center"/>
              <w:rPr>
                <w:rFonts w:ascii="宋体" w:hAnsi="宋体"/>
                <w:color w:val="auto"/>
              </w:rPr>
            </w:pPr>
            <w:r>
              <w:rPr>
                <w:rFonts w:hint="eastAsia" w:ascii="宋体" w:hAnsi="宋体"/>
                <w:color w:val="auto"/>
              </w:rPr>
              <w:t>0</w:t>
            </w:r>
            <w:r>
              <w:rPr>
                <w:rFonts w:ascii="宋体" w:hAnsi="宋体"/>
                <w:color w:val="auto"/>
              </w:rPr>
              <w:t>.1</w:t>
            </w:r>
          </w:p>
        </w:tc>
        <w:tc>
          <w:tcPr>
            <w:tcW w:w="441" w:type="pct"/>
            <w:vAlign w:val="center"/>
          </w:tcPr>
          <w:p w14:paraId="2AAF6748">
            <w:pPr>
              <w:adjustRightInd w:val="0"/>
              <w:snapToGrid w:val="0"/>
              <w:jc w:val="center"/>
              <w:rPr>
                <w:rFonts w:ascii="宋体" w:hAnsi="宋体"/>
                <w:color w:val="auto"/>
              </w:rPr>
            </w:pPr>
            <w:r>
              <w:rPr>
                <w:rFonts w:hint="eastAsia" w:ascii="宋体" w:hAnsi="宋体"/>
                <w:color w:val="auto"/>
              </w:rPr>
              <w:t>3</w:t>
            </w:r>
            <w:r>
              <w:rPr>
                <w:rFonts w:ascii="宋体" w:hAnsi="宋体"/>
                <w:color w:val="auto"/>
              </w:rPr>
              <w:t>5</w:t>
            </w:r>
          </w:p>
        </w:tc>
        <w:tc>
          <w:tcPr>
            <w:tcW w:w="443" w:type="pct"/>
            <w:vAlign w:val="center"/>
          </w:tcPr>
          <w:p w14:paraId="23939AC7">
            <w:pPr>
              <w:adjustRightInd w:val="0"/>
              <w:snapToGrid w:val="0"/>
              <w:jc w:val="center"/>
              <w:rPr>
                <w:rFonts w:ascii="宋体" w:hAnsi="宋体"/>
                <w:color w:val="auto"/>
              </w:rPr>
            </w:pPr>
            <w:r>
              <w:rPr>
                <w:rFonts w:hint="eastAsia" w:ascii="宋体" w:hAnsi="宋体"/>
                <w:color w:val="auto"/>
              </w:rPr>
              <w:t>3</w:t>
            </w:r>
            <w:r>
              <w:rPr>
                <w:rFonts w:ascii="宋体" w:hAnsi="宋体"/>
                <w:color w:val="auto"/>
              </w:rPr>
              <w:t>.6</w:t>
            </w:r>
          </w:p>
        </w:tc>
        <w:tc>
          <w:tcPr>
            <w:tcW w:w="441" w:type="pct"/>
            <w:vAlign w:val="center"/>
          </w:tcPr>
          <w:p w14:paraId="7730CCC9">
            <w:pPr>
              <w:adjustRightInd w:val="0"/>
              <w:snapToGrid w:val="0"/>
              <w:jc w:val="center"/>
              <w:rPr>
                <w:rFonts w:ascii="宋体" w:hAnsi="宋体"/>
                <w:color w:val="auto"/>
              </w:rPr>
            </w:pPr>
            <w:r>
              <w:rPr>
                <w:rFonts w:hint="eastAsia" w:ascii="宋体" w:hAnsi="宋体"/>
                <w:color w:val="auto"/>
              </w:rPr>
              <w:t>0</w:t>
            </w:r>
            <w:r>
              <w:rPr>
                <w:rFonts w:ascii="宋体" w:hAnsi="宋体"/>
                <w:color w:val="auto"/>
              </w:rPr>
              <w:t>.076</w:t>
            </w:r>
          </w:p>
        </w:tc>
        <w:tc>
          <w:tcPr>
            <w:tcW w:w="435" w:type="pct"/>
            <w:vAlign w:val="center"/>
          </w:tcPr>
          <w:p w14:paraId="77A695B6">
            <w:pPr>
              <w:adjustRightInd w:val="0"/>
              <w:snapToGrid w:val="0"/>
              <w:jc w:val="center"/>
              <w:rPr>
                <w:rFonts w:ascii="宋体" w:hAnsi="宋体"/>
                <w:color w:val="auto"/>
              </w:rPr>
            </w:pPr>
            <w:r>
              <w:rPr>
                <w:rFonts w:hint="eastAsia" w:ascii="宋体" w:hAnsi="宋体"/>
                <w:color w:val="auto"/>
              </w:rPr>
              <w:t>/</w:t>
            </w:r>
          </w:p>
        </w:tc>
        <w:tc>
          <w:tcPr>
            <w:tcW w:w="435" w:type="pct"/>
            <w:vAlign w:val="center"/>
          </w:tcPr>
          <w:p w14:paraId="0437A8B9">
            <w:pPr>
              <w:adjustRightInd w:val="0"/>
              <w:snapToGrid w:val="0"/>
              <w:jc w:val="center"/>
              <w:rPr>
                <w:rFonts w:ascii="宋体" w:hAnsi="宋体"/>
                <w:color w:val="auto"/>
              </w:rPr>
            </w:pPr>
            <w:r>
              <w:rPr>
                <w:rFonts w:hint="eastAsia" w:ascii="宋体" w:hAnsi="宋体"/>
                <w:color w:val="auto"/>
              </w:rPr>
              <w:t>5</w:t>
            </w:r>
            <w:r>
              <w:rPr>
                <w:rFonts w:ascii="宋体" w:hAnsi="宋体"/>
                <w:color w:val="auto"/>
              </w:rPr>
              <w:t>.5</w:t>
            </w:r>
          </w:p>
        </w:tc>
        <w:tc>
          <w:tcPr>
            <w:tcW w:w="432" w:type="pct"/>
            <w:vAlign w:val="center"/>
          </w:tcPr>
          <w:p w14:paraId="3C852520">
            <w:pPr>
              <w:adjustRightInd w:val="0"/>
              <w:snapToGrid w:val="0"/>
              <w:jc w:val="center"/>
              <w:rPr>
                <w:rFonts w:ascii="宋体" w:hAnsi="宋体"/>
                <w:color w:val="auto"/>
              </w:rPr>
            </w:pPr>
            <w:r>
              <w:rPr>
                <w:rFonts w:hint="eastAsia" w:ascii="宋体" w:hAnsi="宋体"/>
                <w:color w:val="auto"/>
              </w:rPr>
              <w:t>1</w:t>
            </w:r>
            <w:r>
              <w:rPr>
                <w:rFonts w:ascii="宋体" w:hAnsi="宋体"/>
                <w:color w:val="auto"/>
              </w:rPr>
              <w:t>.3</w:t>
            </w:r>
          </w:p>
        </w:tc>
      </w:tr>
    </w:tbl>
    <w:p w14:paraId="06F85D21">
      <w:pPr>
        <w:rPr>
          <w:color w:val="auto"/>
        </w:rPr>
      </w:pPr>
    </w:p>
    <w:p w14:paraId="718C9136">
      <w:pPr>
        <w:pStyle w:val="4"/>
        <w:ind w:firstLine="480"/>
        <w:rPr>
          <w:color w:val="auto"/>
        </w:rPr>
      </w:pPr>
      <w:r>
        <w:rPr>
          <w:rFonts w:hint="eastAsia"/>
          <w:color w:val="auto"/>
        </w:rPr>
        <w:t>3）噪声</w:t>
      </w:r>
    </w:p>
    <w:p w14:paraId="458F23EC">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（1）采油</w:t>
      </w:r>
      <w:r>
        <w:rPr>
          <w:rFonts w:ascii="宋体" w:hAnsi="宋体" w:cs="宋体"/>
          <w:color w:val="auto"/>
          <w:sz w:val="24"/>
          <w:szCs w:val="24"/>
        </w:rPr>
        <w:t>噪声</w:t>
      </w:r>
    </w:p>
    <w:p w14:paraId="2BE108A7">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本期工程</w:t>
      </w:r>
      <w:r>
        <w:rPr>
          <w:rFonts w:ascii="宋体" w:hAnsi="宋体" w:cs="宋体"/>
          <w:color w:val="auto"/>
          <w:sz w:val="24"/>
          <w:szCs w:val="24"/>
        </w:rPr>
        <w:t>油井</w:t>
      </w:r>
      <w:r>
        <w:rPr>
          <w:rFonts w:hint="eastAsia" w:ascii="宋体" w:hAnsi="宋体" w:cs="宋体"/>
          <w:color w:val="auto"/>
          <w:sz w:val="24"/>
          <w:szCs w:val="24"/>
        </w:rPr>
        <w:t>抽油机</w:t>
      </w:r>
      <w:r>
        <w:rPr>
          <w:rFonts w:ascii="宋体" w:hAnsi="宋体" w:cs="宋体"/>
          <w:color w:val="auto"/>
          <w:sz w:val="24"/>
          <w:szCs w:val="24"/>
        </w:rPr>
        <w:t>采取了底座加固</w:t>
      </w:r>
      <w:r>
        <w:rPr>
          <w:rFonts w:hint="eastAsia" w:ascii="宋体" w:hAnsi="宋体" w:cs="宋体"/>
          <w:color w:val="auto"/>
          <w:sz w:val="24"/>
          <w:szCs w:val="24"/>
        </w:rPr>
        <w:t>、旋转</w:t>
      </w:r>
      <w:r>
        <w:rPr>
          <w:rFonts w:ascii="宋体" w:hAnsi="宋体" w:cs="宋体"/>
          <w:color w:val="auto"/>
          <w:sz w:val="24"/>
          <w:szCs w:val="24"/>
        </w:rPr>
        <w:t>设备</w:t>
      </w:r>
      <w:r>
        <w:rPr>
          <w:rFonts w:hint="eastAsia" w:ascii="宋体" w:hAnsi="宋体" w:cs="宋体"/>
          <w:color w:val="auto"/>
          <w:sz w:val="24"/>
          <w:szCs w:val="24"/>
        </w:rPr>
        <w:t>加注</w:t>
      </w:r>
      <w:r>
        <w:rPr>
          <w:rFonts w:ascii="宋体" w:hAnsi="宋体" w:cs="宋体"/>
          <w:color w:val="auto"/>
          <w:sz w:val="24"/>
          <w:szCs w:val="24"/>
        </w:rPr>
        <w:t>润滑油</w:t>
      </w:r>
      <w:r>
        <w:rPr>
          <w:rFonts w:hint="eastAsia" w:ascii="宋体" w:hAnsi="宋体" w:cs="宋体"/>
          <w:color w:val="auto"/>
          <w:sz w:val="24"/>
          <w:szCs w:val="24"/>
        </w:rPr>
        <w:t>等</w:t>
      </w:r>
      <w:r>
        <w:rPr>
          <w:rFonts w:ascii="宋体" w:hAnsi="宋体" w:cs="宋体"/>
          <w:color w:val="auto"/>
          <w:sz w:val="24"/>
          <w:szCs w:val="24"/>
        </w:rPr>
        <w:t>措施，能够有效降低</w:t>
      </w:r>
      <w:r>
        <w:rPr>
          <w:rFonts w:hint="eastAsia" w:ascii="宋体" w:hAnsi="宋体" w:cs="宋体"/>
          <w:color w:val="auto"/>
          <w:sz w:val="24"/>
          <w:szCs w:val="24"/>
        </w:rPr>
        <w:t>设备</w:t>
      </w:r>
      <w:r>
        <w:rPr>
          <w:rFonts w:ascii="宋体" w:hAnsi="宋体" w:cs="宋体"/>
          <w:color w:val="auto"/>
          <w:sz w:val="24"/>
          <w:szCs w:val="24"/>
        </w:rPr>
        <w:t>运行噪声对周边环境的影响。</w:t>
      </w:r>
    </w:p>
    <w:tbl>
      <w:tblPr>
        <w:tblStyle w:val="82"/>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3"/>
        <w:gridCol w:w="4473"/>
      </w:tblGrid>
      <w:tr w14:paraId="5E880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73" w:type="dxa"/>
            <w:tcBorders>
              <w:top w:val="single" w:color="auto" w:sz="4" w:space="0"/>
              <w:left w:val="single" w:color="auto" w:sz="4" w:space="0"/>
              <w:bottom w:val="single" w:color="auto" w:sz="4" w:space="0"/>
              <w:right w:val="single" w:color="auto" w:sz="4" w:space="0"/>
            </w:tcBorders>
            <w:vAlign w:val="center"/>
          </w:tcPr>
          <w:p w14:paraId="20B9ECE0">
            <w:pPr>
              <w:adjustRightInd w:val="0"/>
              <w:snapToGrid w:val="0"/>
              <w:jc w:val="center"/>
              <w:rPr>
                <w:rFonts w:ascii="宋体" w:hAnsi="宋体"/>
                <w:color w:val="auto"/>
                <w:kern w:val="0"/>
              </w:rPr>
            </w:pPr>
            <w:r>
              <w:rPr>
                <w:color w:val="auto"/>
              </w:rPr>
              <w:drawing>
                <wp:inline distT="0" distB="0" distL="0" distR="0">
                  <wp:extent cx="2703195" cy="3110865"/>
                  <wp:effectExtent l="0" t="0" r="1905" b="0"/>
                  <wp:docPr id="459578563" name="图片 45957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3" name="图片 459578563"/>
                          <pic:cNvPicPr>
                            <a:picLocks noChangeAspect="1"/>
                          </pic:cNvPicPr>
                        </pic:nvPicPr>
                        <pic:blipFill>
                          <a:blip r:embed="rId72"/>
                          <a:stretch>
                            <a:fillRect/>
                          </a:stretch>
                        </pic:blipFill>
                        <pic:spPr>
                          <a:xfrm>
                            <a:off x="0" y="0"/>
                            <a:ext cx="2703195" cy="3110865"/>
                          </a:xfrm>
                          <a:prstGeom prst="rect">
                            <a:avLst/>
                          </a:prstGeom>
                        </pic:spPr>
                      </pic:pic>
                    </a:graphicData>
                  </a:graphic>
                </wp:inline>
              </w:drawing>
            </w:r>
          </w:p>
        </w:tc>
        <w:tc>
          <w:tcPr>
            <w:tcW w:w="4473" w:type="dxa"/>
            <w:tcBorders>
              <w:top w:val="single" w:color="auto" w:sz="4" w:space="0"/>
              <w:left w:val="single" w:color="auto" w:sz="4" w:space="0"/>
              <w:bottom w:val="single" w:color="auto" w:sz="4" w:space="0"/>
              <w:right w:val="single" w:color="auto" w:sz="4" w:space="0"/>
            </w:tcBorders>
            <w:vAlign w:val="center"/>
          </w:tcPr>
          <w:p w14:paraId="4B583CCB">
            <w:pPr>
              <w:adjustRightInd w:val="0"/>
              <w:snapToGrid w:val="0"/>
              <w:jc w:val="center"/>
              <w:rPr>
                <w:rFonts w:ascii="宋体" w:hAnsi="宋体"/>
                <w:color w:val="auto"/>
                <w:kern w:val="0"/>
              </w:rPr>
            </w:pPr>
            <w:r>
              <w:rPr>
                <w:color w:val="auto"/>
              </w:rPr>
              <w:drawing>
                <wp:inline distT="0" distB="0" distL="0" distR="0">
                  <wp:extent cx="2703195" cy="2883535"/>
                  <wp:effectExtent l="0" t="0" r="1905" b="0"/>
                  <wp:docPr id="459578564" name="图片 45957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4" name="图片 459578564"/>
                          <pic:cNvPicPr>
                            <a:picLocks noChangeAspect="1"/>
                          </pic:cNvPicPr>
                        </pic:nvPicPr>
                        <pic:blipFill>
                          <a:blip r:embed="rId73"/>
                          <a:stretch>
                            <a:fillRect/>
                          </a:stretch>
                        </pic:blipFill>
                        <pic:spPr>
                          <a:xfrm>
                            <a:off x="0" y="0"/>
                            <a:ext cx="2703195" cy="2883535"/>
                          </a:xfrm>
                          <a:prstGeom prst="rect">
                            <a:avLst/>
                          </a:prstGeom>
                        </pic:spPr>
                      </pic:pic>
                    </a:graphicData>
                  </a:graphic>
                </wp:inline>
              </w:drawing>
            </w:r>
          </w:p>
        </w:tc>
      </w:tr>
    </w:tbl>
    <w:p w14:paraId="79330A86">
      <w:pPr>
        <w:pStyle w:val="15"/>
        <w:spacing w:beforeLines="0"/>
        <w:ind w:firstLine="480"/>
        <w:rPr>
          <w:rFonts w:hAnsi="宋体"/>
          <w:color w:val="auto"/>
          <w:szCs w:val="21"/>
        </w:rPr>
      </w:pPr>
      <w:bookmarkStart w:id="379" w:name="_Ref225153662"/>
      <w:r>
        <w:rPr>
          <w:rFonts w:hint="eastAsia" w:hAnsi="宋体"/>
          <w:color w:val="auto"/>
        </w:rPr>
        <w:t xml:space="preserve">图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5.2</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图 \* ARABIC \s 2</w:instrText>
      </w:r>
      <w:r>
        <w:rPr>
          <w:rFonts w:hAnsi="宋体"/>
          <w:color w:val="auto"/>
        </w:rPr>
        <w:instrText xml:space="preserve"> </w:instrText>
      </w:r>
      <w:r>
        <w:rPr>
          <w:rFonts w:hAnsi="宋体"/>
          <w:color w:val="auto"/>
        </w:rPr>
        <w:fldChar w:fldCharType="separate"/>
      </w:r>
      <w:r>
        <w:rPr>
          <w:rFonts w:hAnsi="宋体"/>
          <w:color w:val="auto"/>
        </w:rPr>
        <w:t>3</w:t>
      </w:r>
      <w:r>
        <w:rPr>
          <w:rFonts w:hAnsi="宋体"/>
          <w:color w:val="auto"/>
        </w:rPr>
        <w:fldChar w:fldCharType="end"/>
      </w:r>
      <w:bookmarkEnd w:id="379"/>
      <w:r>
        <w:rPr>
          <w:rFonts w:hint="eastAsia" w:hAnsi="宋体"/>
          <w:color w:val="auto"/>
        </w:rPr>
        <w:t xml:space="preserve">  抽油机底座加固措施</w:t>
      </w:r>
    </w:p>
    <w:p w14:paraId="749465DA">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（2）井下</w:t>
      </w:r>
      <w:r>
        <w:rPr>
          <w:rFonts w:ascii="宋体" w:hAnsi="宋体" w:cs="宋体"/>
          <w:color w:val="auto"/>
          <w:sz w:val="24"/>
          <w:szCs w:val="24"/>
        </w:rPr>
        <w:t>作业噪声</w:t>
      </w:r>
    </w:p>
    <w:p w14:paraId="3080C457">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本期工程验收</w:t>
      </w:r>
      <w:r>
        <w:rPr>
          <w:rFonts w:ascii="宋体" w:hAnsi="宋体" w:cs="宋体"/>
          <w:color w:val="auto"/>
          <w:sz w:val="24"/>
          <w:szCs w:val="24"/>
        </w:rPr>
        <w:t>调查期间未开展井下作业工作。</w:t>
      </w:r>
    </w:p>
    <w:p w14:paraId="782ED816">
      <w:pPr>
        <w:tabs>
          <w:tab w:val="left" w:pos="377"/>
        </w:tabs>
        <w:adjustRightInd w:val="0"/>
        <w:snapToGrid w:val="0"/>
        <w:spacing w:line="331" w:lineRule="auto"/>
        <w:ind w:firstLine="480" w:firstLineChars="200"/>
        <w:rPr>
          <w:rFonts w:ascii="宋体" w:hAnsi="宋体" w:cs="宋体"/>
          <w:color w:val="auto"/>
          <w:sz w:val="24"/>
          <w:szCs w:val="24"/>
        </w:rPr>
      </w:pPr>
      <w:r>
        <w:rPr>
          <w:rFonts w:ascii="宋体" w:hAnsi="宋体" w:cs="宋体"/>
          <w:color w:val="auto"/>
          <w:sz w:val="24"/>
          <w:szCs w:val="24"/>
        </w:rPr>
        <w:t>4</w:t>
      </w:r>
      <w:r>
        <w:rPr>
          <w:rFonts w:hint="eastAsia" w:ascii="宋体" w:hAnsi="宋体" w:cs="宋体"/>
          <w:color w:val="auto"/>
          <w:sz w:val="24"/>
          <w:szCs w:val="24"/>
        </w:rPr>
        <w:t>）固体废物</w:t>
      </w:r>
    </w:p>
    <w:p w14:paraId="20E4F6A0">
      <w:pPr>
        <w:pStyle w:val="4"/>
        <w:ind w:firstLine="480"/>
        <w:rPr>
          <w:color w:val="auto"/>
        </w:rPr>
      </w:pPr>
      <w:r>
        <w:rPr>
          <w:rFonts w:hint="eastAsia"/>
          <w:color w:val="auto"/>
        </w:rPr>
        <w:t>运营期本期工程产生的固体废物主要是</w:t>
      </w:r>
      <w:r>
        <w:rPr>
          <w:rFonts w:hint="eastAsia" w:cs="宋体"/>
          <w:color w:val="auto"/>
        </w:rPr>
        <w:t>落地油和清罐底泥</w:t>
      </w:r>
      <w:r>
        <w:rPr>
          <w:rFonts w:hint="eastAsia"/>
          <w:color w:val="auto"/>
        </w:rPr>
        <w:t>，来源于原油集输和井下作业流程，在采出液及采出水处理、井下作业环节中均会少量产生，验收调查期间，本期工程运营过程中暂未产生。后期运营期间产生的</w:t>
      </w:r>
      <w:r>
        <w:rPr>
          <w:rFonts w:hint="eastAsia" w:cs="宋体"/>
          <w:color w:val="auto"/>
        </w:rPr>
        <w:t>落地油和清罐底泥</w:t>
      </w:r>
      <w:r>
        <w:rPr>
          <w:rFonts w:hint="eastAsia" w:cs="宋体"/>
          <w:color w:val="auto"/>
          <w:kern w:val="0"/>
        </w:rPr>
        <w:t>随产随清，委托</w:t>
      </w:r>
      <w:bookmarkStart w:id="380" w:name="OLE_LINK55"/>
      <w:bookmarkStart w:id="381" w:name="OLE_LINK54"/>
      <w:r>
        <w:rPr>
          <w:rFonts w:hint="eastAsia" w:cs="宋体"/>
          <w:color w:val="auto"/>
          <w:kern w:val="0"/>
        </w:rPr>
        <w:t>滨州市瑞峰环保科技有限公司</w:t>
      </w:r>
      <w:bookmarkEnd w:id="380"/>
      <w:bookmarkEnd w:id="381"/>
      <w:r>
        <w:rPr>
          <w:rFonts w:hint="eastAsia" w:cs="宋体"/>
          <w:color w:val="auto"/>
          <w:kern w:val="0"/>
        </w:rPr>
        <w:t>处置</w:t>
      </w:r>
      <w:r>
        <w:rPr>
          <w:rFonts w:hint="eastAsia"/>
          <w:color w:val="auto"/>
        </w:rPr>
        <w:t>。</w:t>
      </w:r>
    </w:p>
    <w:p w14:paraId="25DE4635">
      <w:pPr>
        <w:pStyle w:val="4"/>
        <w:ind w:firstLine="480"/>
        <w:rPr>
          <w:color w:val="auto"/>
        </w:rPr>
      </w:pPr>
      <w:r>
        <w:rPr>
          <w:rFonts w:hint="eastAsia" w:cs="宋体"/>
          <w:color w:val="auto"/>
          <w:kern w:val="0"/>
        </w:rPr>
        <w:t>后期</w:t>
      </w:r>
      <w:r>
        <w:rPr>
          <w:rFonts w:hint="eastAsia"/>
          <w:color w:val="auto"/>
        </w:rPr>
        <w:t>设备维护过程会产生少量的废含油抹布、废劳保用品、废机油等，产生后暂存于高青联合站内危废暂存间，及时委托有资质单位</w:t>
      </w:r>
      <w:r>
        <w:rPr>
          <w:rFonts w:hint="eastAsia" w:cs="宋体"/>
          <w:color w:val="auto"/>
          <w:kern w:val="0"/>
        </w:rPr>
        <w:t>处置</w:t>
      </w:r>
      <w:r>
        <w:rPr>
          <w:rFonts w:hint="eastAsia"/>
          <w:color w:val="auto"/>
        </w:rPr>
        <w:t>。</w:t>
      </w:r>
    </w:p>
    <w:p w14:paraId="053A2C14">
      <w:pPr>
        <w:pStyle w:val="5"/>
        <w:rPr>
          <w:color w:val="auto"/>
        </w:rPr>
      </w:pPr>
      <w:bookmarkStart w:id="382" w:name="_Toc231283636"/>
      <w:r>
        <w:rPr>
          <w:rFonts w:hint="eastAsia"/>
          <w:color w:val="auto"/>
        </w:rPr>
        <w:t>“三同时”落实</w:t>
      </w:r>
      <w:r>
        <w:rPr>
          <w:color w:val="auto"/>
        </w:rPr>
        <w:t>情况</w:t>
      </w:r>
      <w:bookmarkEnd w:id="382"/>
    </w:p>
    <w:p w14:paraId="055B1888">
      <w:pPr>
        <w:pStyle w:val="6"/>
        <w:rPr>
          <w:rFonts w:hAnsi="黑体"/>
          <w:color w:val="auto"/>
        </w:rPr>
      </w:pPr>
      <w:r>
        <w:rPr>
          <w:rFonts w:hint="eastAsia"/>
          <w:color w:val="auto"/>
        </w:rPr>
        <w:t>环评报告书提出的环保</w:t>
      </w:r>
      <w:r>
        <w:rPr>
          <w:color w:val="auto"/>
        </w:rPr>
        <w:t>措施落实情况</w:t>
      </w:r>
    </w:p>
    <w:p w14:paraId="16CCED80">
      <w:pPr>
        <w:pStyle w:val="4"/>
        <w:ind w:firstLine="480"/>
        <w:rPr>
          <w:snapToGrid w:val="0"/>
          <w:color w:val="auto"/>
        </w:rPr>
      </w:pPr>
      <w:r>
        <w:rPr>
          <w:rFonts w:hint="eastAsia"/>
          <w:snapToGrid w:val="0"/>
          <w:color w:val="auto"/>
        </w:rPr>
        <w:t>根据</w:t>
      </w:r>
      <w:r>
        <w:rPr>
          <w:snapToGrid w:val="0"/>
          <w:color w:val="auto"/>
        </w:rPr>
        <w:t>本期工程环评报告书</w:t>
      </w:r>
      <w:r>
        <w:rPr>
          <w:rFonts w:hint="eastAsia"/>
          <w:snapToGrid w:val="0"/>
          <w:color w:val="auto"/>
        </w:rPr>
        <w:t>中</w:t>
      </w:r>
      <w:r>
        <w:rPr>
          <w:snapToGrid w:val="0"/>
          <w:color w:val="auto"/>
        </w:rPr>
        <w:t>提出的“</w:t>
      </w:r>
      <w:r>
        <w:rPr>
          <w:rFonts w:hint="eastAsia"/>
          <w:snapToGrid w:val="0"/>
          <w:color w:val="auto"/>
        </w:rPr>
        <w:t>三同时</w:t>
      </w:r>
      <w:r>
        <w:rPr>
          <w:snapToGrid w:val="0"/>
          <w:color w:val="auto"/>
        </w:rPr>
        <w:t>”</w:t>
      </w:r>
      <w:r>
        <w:rPr>
          <w:rFonts w:hint="eastAsia"/>
          <w:snapToGrid w:val="0"/>
          <w:color w:val="auto"/>
        </w:rPr>
        <w:t>竣工</w:t>
      </w:r>
      <w:r>
        <w:rPr>
          <w:snapToGrid w:val="0"/>
          <w:color w:val="auto"/>
        </w:rPr>
        <w:t>验收</w:t>
      </w:r>
      <w:r>
        <w:rPr>
          <w:rFonts w:hint="eastAsia"/>
          <w:snapToGrid w:val="0"/>
          <w:color w:val="auto"/>
        </w:rPr>
        <w:t>一览表</w:t>
      </w:r>
      <w:r>
        <w:rPr>
          <w:snapToGrid w:val="0"/>
          <w:color w:val="auto"/>
        </w:rPr>
        <w:t>，</w:t>
      </w:r>
      <w:r>
        <w:rPr>
          <w:rFonts w:hint="eastAsia"/>
          <w:snapToGrid w:val="0"/>
          <w:color w:val="auto"/>
        </w:rPr>
        <w:t>经</w:t>
      </w:r>
      <w:r>
        <w:rPr>
          <w:snapToGrid w:val="0"/>
          <w:color w:val="auto"/>
        </w:rPr>
        <w:t>调查，建设单位基本落实了环境影响报告书中提出的环境保护措施，有效地降低了项目对环境的不利影响</w:t>
      </w:r>
      <w:r>
        <w:rPr>
          <w:rFonts w:hint="eastAsia"/>
          <w:snapToGrid w:val="0"/>
          <w:color w:val="auto"/>
        </w:rPr>
        <w:t>，</w:t>
      </w:r>
      <w:r>
        <w:rPr>
          <w:snapToGrid w:val="0"/>
          <w:color w:val="auto"/>
        </w:rPr>
        <w:t>详见</w:t>
      </w:r>
      <w:r>
        <w:rPr>
          <w:snapToGrid w:val="0"/>
          <w:color w:val="auto"/>
        </w:rPr>
        <w:fldChar w:fldCharType="begin"/>
      </w:r>
      <w:r>
        <w:rPr>
          <w:snapToGrid w:val="0"/>
          <w:color w:val="auto"/>
        </w:rPr>
        <w:instrText xml:space="preserve"> REF _Ref6478506 \h  \* MERGEFORMAT </w:instrText>
      </w:r>
      <w:r>
        <w:rPr>
          <w:snapToGrid w:val="0"/>
          <w:color w:val="auto"/>
        </w:rPr>
        <w:fldChar w:fldCharType="separate"/>
      </w:r>
      <w:r>
        <w:rPr>
          <w:rFonts w:hint="eastAsia"/>
          <w:color w:val="auto"/>
        </w:rPr>
        <w:t xml:space="preserve">表 </w:t>
      </w:r>
      <w:r>
        <w:rPr>
          <w:color w:val="auto"/>
        </w:rPr>
        <w:t>5.3</w:t>
      </w:r>
      <w:r>
        <w:rPr>
          <w:color w:val="auto"/>
        </w:rPr>
        <w:noBreakHyphen/>
      </w:r>
      <w:r>
        <w:rPr>
          <w:color w:val="auto"/>
        </w:rPr>
        <w:t>1</w:t>
      </w:r>
      <w:r>
        <w:rPr>
          <w:snapToGrid w:val="0"/>
          <w:color w:val="auto"/>
        </w:rPr>
        <w:fldChar w:fldCharType="end"/>
      </w:r>
      <w:r>
        <w:rPr>
          <w:snapToGrid w:val="0"/>
          <w:color w:val="auto"/>
        </w:rPr>
        <w:t>。</w:t>
      </w:r>
    </w:p>
    <w:p w14:paraId="069178B2">
      <w:pPr>
        <w:pStyle w:val="15"/>
        <w:spacing w:before="120"/>
        <w:rPr>
          <w:rFonts w:hAnsi="宋体"/>
          <w:color w:val="auto"/>
        </w:rPr>
      </w:pPr>
      <w:bookmarkStart w:id="383" w:name="_Ref6478506"/>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5.3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383"/>
      <w:r>
        <w:rPr>
          <w:rFonts w:hAnsi="宋体"/>
          <w:color w:val="auto"/>
        </w:rPr>
        <w:t xml:space="preserve">  </w:t>
      </w:r>
      <w:r>
        <w:rPr>
          <w:rFonts w:hint="eastAsia" w:hAnsi="宋体"/>
          <w:color w:val="auto"/>
        </w:rPr>
        <w:t>“三同时”竣工验收一览表落实情况</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0"/>
        <w:gridCol w:w="1043"/>
        <w:gridCol w:w="3068"/>
        <w:gridCol w:w="3260"/>
        <w:gridCol w:w="930"/>
      </w:tblGrid>
      <w:tr w14:paraId="62E15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shd w:val="clear" w:color="auto" w:fill="auto"/>
            <w:tcMar>
              <w:top w:w="0" w:type="dxa"/>
              <w:left w:w="6" w:type="dxa"/>
              <w:bottom w:w="0" w:type="dxa"/>
              <w:right w:w="6" w:type="dxa"/>
            </w:tcMar>
            <w:vAlign w:val="center"/>
          </w:tcPr>
          <w:p w14:paraId="1F74A695">
            <w:pPr>
              <w:adjustRightInd w:val="0"/>
              <w:snapToGrid w:val="0"/>
              <w:jc w:val="center"/>
              <w:rPr>
                <w:rFonts w:ascii="宋体" w:hAnsi="宋体"/>
                <w:color w:val="auto"/>
              </w:rPr>
            </w:pPr>
            <w:r>
              <w:rPr>
                <w:rFonts w:hint="eastAsia" w:ascii="宋体" w:hAnsi="宋体"/>
                <w:color w:val="auto"/>
              </w:rPr>
              <w:t>阶段</w:t>
            </w:r>
          </w:p>
        </w:tc>
        <w:tc>
          <w:tcPr>
            <w:tcW w:w="598" w:type="pct"/>
            <w:shd w:val="clear" w:color="auto" w:fill="auto"/>
            <w:tcMar>
              <w:top w:w="0" w:type="dxa"/>
              <w:left w:w="6" w:type="dxa"/>
              <w:bottom w:w="0" w:type="dxa"/>
              <w:right w:w="6" w:type="dxa"/>
            </w:tcMar>
            <w:vAlign w:val="center"/>
          </w:tcPr>
          <w:p w14:paraId="558CB02E">
            <w:pPr>
              <w:adjustRightInd w:val="0"/>
              <w:snapToGrid w:val="0"/>
              <w:jc w:val="center"/>
              <w:rPr>
                <w:rFonts w:ascii="宋体" w:hAnsi="宋体"/>
                <w:color w:val="auto"/>
              </w:rPr>
            </w:pPr>
            <w:r>
              <w:rPr>
                <w:rFonts w:hint="eastAsia" w:ascii="宋体" w:hAnsi="宋体"/>
                <w:color w:val="auto"/>
              </w:rPr>
              <w:t>项目</w:t>
            </w:r>
          </w:p>
        </w:tc>
        <w:tc>
          <w:tcPr>
            <w:tcW w:w="1759" w:type="pct"/>
            <w:shd w:val="clear" w:color="auto" w:fill="auto"/>
            <w:vAlign w:val="center"/>
          </w:tcPr>
          <w:p w14:paraId="5B52421B">
            <w:pPr>
              <w:adjustRightInd w:val="0"/>
              <w:snapToGrid w:val="0"/>
              <w:jc w:val="center"/>
              <w:rPr>
                <w:rFonts w:ascii="宋体" w:hAnsi="宋体"/>
                <w:color w:val="auto"/>
              </w:rPr>
            </w:pPr>
            <w:r>
              <w:rPr>
                <w:rFonts w:hint="eastAsia" w:ascii="宋体" w:hAnsi="宋体"/>
                <w:color w:val="auto"/>
              </w:rPr>
              <w:t>环评措施内容</w:t>
            </w:r>
          </w:p>
        </w:tc>
        <w:tc>
          <w:tcPr>
            <w:tcW w:w="1869" w:type="pct"/>
            <w:shd w:val="clear" w:color="auto" w:fill="auto"/>
            <w:vAlign w:val="center"/>
          </w:tcPr>
          <w:p w14:paraId="4A7960CE">
            <w:pPr>
              <w:adjustRightInd w:val="0"/>
              <w:snapToGrid w:val="0"/>
              <w:jc w:val="center"/>
              <w:rPr>
                <w:rFonts w:ascii="宋体" w:hAnsi="宋体"/>
                <w:color w:val="auto"/>
              </w:rPr>
            </w:pPr>
            <w:r>
              <w:rPr>
                <w:rFonts w:hint="eastAsia" w:ascii="宋体" w:hAnsi="宋体"/>
                <w:color w:val="auto"/>
              </w:rPr>
              <w:t>处理效果</w:t>
            </w:r>
          </w:p>
        </w:tc>
        <w:tc>
          <w:tcPr>
            <w:tcW w:w="533" w:type="pct"/>
            <w:shd w:val="clear" w:color="auto" w:fill="auto"/>
            <w:vAlign w:val="center"/>
          </w:tcPr>
          <w:p w14:paraId="0E836B2A">
            <w:pPr>
              <w:adjustRightInd w:val="0"/>
              <w:snapToGrid w:val="0"/>
              <w:jc w:val="center"/>
              <w:rPr>
                <w:rFonts w:ascii="宋体" w:hAnsi="宋体"/>
                <w:color w:val="auto"/>
              </w:rPr>
            </w:pPr>
            <w:r>
              <w:rPr>
                <w:rFonts w:hint="eastAsia" w:ascii="宋体" w:hAnsi="宋体"/>
                <w:color w:val="auto"/>
              </w:rPr>
              <w:t>落实情况</w:t>
            </w:r>
          </w:p>
        </w:tc>
      </w:tr>
      <w:tr w14:paraId="18C63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restart"/>
            <w:shd w:val="clear" w:color="auto" w:fill="auto"/>
            <w:tcMar>
              <w:top w:w="0" w:type="dxa"/>
              <w:left w:w="6" w:type="dxa"/>
              <w:bottom w:w="0" w:type="dxa"/>
              <w:right w:w="6" w:type="dxa"/>
            </w:tcMar>
            <w:vAlign w:val="center"/>
          </w:tcPr>
          <w:p w14:paraId="7E06B322">
            <w:pPr>
              <w:adjustRightInd w:val="0"/>
              <w:snapToGrid w:val="0"/>
              <w:jc w:val="center"/>
              <w:rPr>
                <w:rFonts w:ascii="宋体" w:hAnsi="宋体"/>
                <w:color w:val="auto"/>
              </w:rPr>
            </w:pPr>
            <w:r>
              <w:rPr>
                <w:rFonts w:hint="eastAsia" w:ascii="宋体" w:hAnsi="宋体"/>
                <w:color w:val="auto"/>
              </w:rPr>
              <w:t>施工期</w:t>
            </w:r>
          </w:p>
        </w:tc>
        <w:tc>
          <w:tcPr>
            <w:tcW w:w="598" w:type="pct"/>
            <w:vMerge w:val="restart"/>
            <w:shd w:val="clear" w:color="auto" w:fill="auto"/>
            <w:tcMar>
              <w:top w:w="0" w:type="dxa"/>
              <w:left w:w="6" w:type="dxa"/>
              <w:bottom w:w="0" w:type="dxa"/>
              <w:right w:w="6" w:type="dxa"/>
            </w:tcMar>
            <w:vAlign w:val="center"/>
          </w:tcPr>
          <w:p w14:paraId="3B5FCCF0">
            <w:pPr>
              <w:adjustRightInd w:val="0"/>
              <w:snapToGrid w:val="0"/>
              <w:jc w:val="center"/>
              <w:rPr>
                <w:rFonts w:ascii="宋体" w:hAnsi="宋体"/>
                <w:color w:val="auto"/>
              </w:rPr>
            </w:pPr>
            <w:r>
              <w:rPr>
                <w:rFonts w:hint="eastAsia" w:ascii="宋体" w:hAnsi="宋体"/>
                <w:color w:val="auto"/>
              </w:rPr>
              <w:t>固体废物</w:t>
            </w:r>
          </w:p>
        </w:tc>
        <w:tc>
          <w:tcPr>
            <w:tcW w:w="1759" w:type="pct"/>
            <w:shd w:val="clear" w:color="auto" w:fill="auto"/>
            <w:vAlign w:val="center"/>
          </w:tcPr>
          <w:p w14:paraId="4FE129BD">
            <w:pPr>
              <w:adjustRightInd w:val="0"/>
              <w:snapToGrid w:val="0"/>
              <w:jc w:val="center"/>
              <w:rPr>
                <w:rFonts w:ascii="宋体" w:hAnsi="宋体"/>
                <w:color w:val="auto"/>
              </w:rPr>
            </w:pPr>
            <w:r>
              <w:rPr>
                <w:rFonts w:hint="eastAsia" w:ascii="宋体" w:hAnsi="宋体"/>
                <w:color w:val="auto"/>
              </w:rPr>
              <w:t>钻井固废：采用“泥浆不落地工艺”（即：随钻随治工艺）进行处理。经处理后，钻井固废委托专业单位处理</w:t>
            </w:r>
          </w:p>
        </w:tc>
        <w:tc>
          <w:tcPr>
            <w:tcW w:w="1869" w:type="pct"/>
            <w:shd w:val="clear" w:color="auto" w:fill="auto"/>
            <w:vAlign w:val="center"/>
          </w:tcPr>
          <w:p w14:paraId="74723D0F">
            <w:pPr>
              <w:adjustRightInd w:val="0"/>
              <w:snapToGrid w:val="0"/>
              <w:jc w:val="center"/>
              <w:rPr>
                <w:rFonts w:ascii="宋体" w:hAnsi="宋体"/>
                <w:color w:val="auto"/>
              </w:rPr>
            </w:pPr>
            <w:r>
              <w:rPr>
                <w:rFonts w:hint="eastAsia" w:ascii="宋体" w:hAnsi="宋体" w:cs="宋体"/>
                <w:color w:val="auto"/>
              </w:rPr>
              <w:t>本期工程采用了“泥浆不落地”工艺，施工结束后钻井固废由“泥浆不落地”施工单位拉运后进行固液分离，分离出的泥饼</w:t>
            </w:r>
            <w:r>
              <w:rPr>
                <w:rFonts w:hint="eastAsia" w:ascii="宋体" w:hAnsi="宋体"/>
                <w:color w:val="auto"/>
              </w:rPr>
              <w:t>由东营市垦利区永安镇、山东天龙红木家具股份有限公司、山东法恩生物科技有限公司、东营成寨土石方工程有限公司进行</w:t>
            </w:r>
            <w:r>
              <w:rPr>
                <w:rFonts w:ascii="宋体" w:hAnsi="宋体"/>
                <w:color w:val="auto"/>
              </w:rPr>
              <w:t>了</w:t>
            </w:r>
            <w:r>
              <w:rPr>
                <w:rFonts w:hint="eastAsia" w:ascii="宋体" w:hAnsi="宋体"/>
                <w:color w:val="auto"/>
              </w:rPr>
              <w:t>综合利用</w:t>
            </w:r>
            <w:r>
              <w:rPr>
                <w:rFonts w:ascii="宋体" w:hAnsi="宋体"/>
                <w:color w:val="auto"/>
              </w:rPr>
              <w:t>。</w:t>
            </w:r>
            <w:r>
              <w:rPr>
                <w:rFonts w:hint="eastAsia" w:ascii="宋体" w:hAnsi="宋体"/>
                <w:color w:val="auto"/>
              </w:rPr>
              <w:t>验收调查期间，现场无</w:t>
            </w:r>
            <w:r>
              <w:rPr>
                <w:rFonts w:ascii="宋体" w:hAnsi="宋体"/>
                <w:color w:val="auto"/>
              </w:rPr>
              <w:t>固废遗留</w:t>
            </w:r>
          </w:p>
        </w:tc>
        <w:tc>
          <w:tcPr>
            <w:tcW w:w="533" w:type="pct"/>
            <w:shd w:val="clear" w:color="auto" w:fill="auto"/>
            <w:vAlign w:val="center"/>
          </w:tcPr>
          <w:p w14:paraId="147AB8DE">
            <w:pPr>
              <w:adjustRightInd w:val="0"/>
              <w:snapToGrid w:val="0"/>
              <w:jc w:val="center"/>
              <w:rPr>
                <w:rFonts w:ascii="宋体" w:hAnsi="宋体"/>
                <w:color w:val="auto"/>
              </w:rPr>
            </w:pPr>
            <w:bookmarkStart w:id="384" w:name="OLE_LINK276"/>
            <w:bookmarkStart w:id="385" w:name="OLE_LINK277"/>
            <w:r>
              <w:rPr>
                <w:rFonts w:hint="eastAsia" w:ascii="宋体" w:hAnsi="宋体"/>
                <w:color w:val="auto"/>
              </w:rPr>
              <w:t>已落实</w:t>
            </w:r>
            <w:bookmarkEnd w:id="384"/>
            <w:bookmarkEnd w:id="385"/>
          </w:p>
        </w:tc>
      </w:tr>
      <w:tr w14:paraId="3FCD9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116F0671">
            <w:pPr>
              <w:widowControl/>
              <w:jc w:val="center"/>
              <w:rPr>
                <w:rFonts w:ascii="宋体" w:hAnsi="宋体"/>
                <w:color w:val="auto"/>
              </w:rPr>
            </w:pPr>
          </w:p>
        </w:tc>
        <w:tc>
          <w:tcPr>
            <w:tcW w:w="598" w:type="pct"/>
            <w:vMerge w:val="continue"/>
            <w:shd w:val="clear" w:color="auto" w:fill="auto"/>
            <w:vAlign w:val="center"/>
          </w:tcPr>
          <w:p w14:paraId="2843AB6D">
            <w:pPr>
              <w:widowControl/>
              <w:jc w:val="center"/>
              <w:rPr>
                <w:rFonts w:ascii="宋体" w:hAnsi="宋体"/>
                <w:color w:val="auto"/>
              </w:rPr>
            </w:pPr>
          </w:p>
        </w:tc>
        <w:tc>
          <w:tcPr>
            <w:tcW w:w="1759" w:type="pct"/>
            <w:shd w:val="clear" w:color="auto" w:fill="auto"/>
            <w:vAlign w:val="center"/>
          </w:tcPr>
          <w:p w14:paraId="7BAE4EF5">
            <w:pPr>
              <w:adjustRightInd w:val="0"/>
              <w:snapToGrid w:val="0"/>
              <w:jc w:val="center"/>
              <w:rPr>
                <w:rFonts w:ascii="宋体" w:hAnsi="宋体"/>
                <w:color w:val="auto"/>
              </w:rPr>
            </w:pPr>
            <w:r>
              <w:rPr>
                <w:rFonts w:hint="eastAsia" w:ascii="宋体" w:hAnsi="宋体"/>
                <w:color w:val="auto"/>
              </w:rPr>
              <w:t>建筑垃圾和施工废料：部分回收利用，剩余废料拉运至市政部门指定地点，由环卫部门清运</w:t>
            </w:r>
          </w:p>
        </w:tc>
        <w:tc>
          <w:tcPr>
            <w:tcW w:w="1869" w:type="pct"/>
            <w:shd w:val="clear" w:color="auto" w:fill="auto"/>
            <w:vAlign w:val="center"/>
          </w:tcPr>
          <w:p w14:paraId="4732F326">
            <w:pPr>
              <w:adjustRightInd w:val="0"/>
              <w:snapToGrid w:val="0"/>
              <w:jc w:val="center"/>
              <w:rPr>
                <w:rFonts w:ascii="宋体" w:hAnsi="宋体"/>
                <w:color w:val="auto"/>
              </w:rPr>
            </w:pPr>
            <w:r>
              <w:rPr>
                <w:rFonts w:hint="eastAsia" w:ascii="宋体" w:hAnsi="宋体"/>
                <w:color w:val="auto"/>
              </w:rPr>
              <w:t>施工废料大部分回收利用，无法利用的已拉运至环卫部门指定地点处理，建筑垃圾用于井场及道路铺设</w:t>
            </w:r>
          </w:p>
        </w:tc>
        <w:tc>
          <w:tcPr>
            <w:tcW w:w="533" w:type="pct"/>
            <w:shd w:val="clear" w:color="auto" w:fill="auto"/>
            <w:vAlign w:val="center"/>
          </w:tcPr>
          <w:p w14:paraId="2502D94A">
            <w:pPr>
              <w:adjustRightInd w:val="0"/>
              <w:snapToGrid w:val="0"/>
              <w:jc w:val="center"/>
              <w:rPr>
                <w:rFonts w:ascii="宋体" w:hAnsi="宋体"/>
                <w:color w:val="auto"/>
              </w:rPr>
            </w:pPr>
            <w:r>
              <w:rPr>
                <w:rFonts w:hint="eastAsia" w:ascii="宋体" w:hAnsi="宋体"/>
                <w:color w:val="auto"/>
              </w:rPr>
              <w:t>已落实</w:t>
            </w:r>
          </w:p>
        </w:tc>
      </w:tr>
      <w:tr w14:paraId="472A6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335179CB">
            <w:pPr>
              <w:widowControl/>
              <w:jc w:val="center"/>
              <w:rPr>
                <w:rFonts w:ascii="宋体" w:hAnsi="宋体"/>
                <w:color w:val="auto"/>
              </w:rPr>
            </w:pPr>
          </w:p>
        </w:tc>
        <w:tc>
          <w:tcPr>
            <w:tcW w:w="598" w:type="pct"/>
            <w:vMerge w:val="continue"/>
            <w:shd w:val="clear" w:color="auto" w:fill="auto"/>
            <w:vAlign w:val="center"/>
          </w:tcPr>
          <w:p w14:paraId="5309B884">
            <w:pPr>
              <w:widowControl/>
              <w:jc w:val="center"/>
              <w:rPr>
                <w:rFonts w:ascii="宋体" w:hAnsi="宋体"/>
                <w:color w:val="auto"/>
              </w:rPr>
            </w:pPr>
          </w:p>
        </w:tc>
        <w:tc>
          <w:tcPr>
            <w:tcW w:w="1759" w:type="pct"/>
            <w:shd w:val="clear" w:color="auto" w:fill="auto"/>
            <w:vAlign w:val="center"/>
          </w:tcPr>
          <w:p w14:paraId="2161730A">
            <w:pPr>
              <w:adjustRightInd w:val="0"/>
              <w:snapToGrid w:val="0"/>
              <w:jc w:val="center"/>
              <w:rPr>
                <w:rFonts w:ascii="宋体" w:hAnsi="宋体"/>
                <w:color w:val="auto"/>
              </w:rPr>
            </w:pPr>
            <w:r>
              <w:rPr>
                <w:rFonts w:hint="eastAsia" w:ascii="宋体" w:hAnsi="宋体"/>
                <w:color w:val="auto"/>
              </w:rPr>
              <w:t>废弃定向钻泥浆</w:t>
            </w:r>
            <w:r>
              <w:rPr>
                <w:rFonts w:hint="eastAsia" w:ascii="宋体" w:hAnsi="宋体"/>
                <w:color w:val="auto"/>
              </w:rPr>
              <w:t>委托专业单位拉运处置，泥浆池回填处理</w:t>
            </w:r>
          </w:p>
        </w:tc>
        <w:tc>
          <w:tcPr>
            <w:tcW w:w="1869" w:type="pct"/>
            <w:shd w:val="clear" w:color="auto" w:fill="auto"/>
            <w:vAlign w:val="center"/>
          </w:tcPr>
          <w:p w14:paraId="22DE3C76">
            <w:pPr>
              <w:adjustRightInd w:val="0"/>
              <w:snapToGrid w:val="0"/>
              <w:jc w:val="center"/>
              <w:rPr>
                <w:rFonts w:ascii="宋体" w:hAnsi="宋体"/>
                <w:color w:val="auto"/>
              </w:rPr>
            </w:pPr>
            <w:r>
              <w:rPr>
                <w:rFonts w:hint="eastAsia"/>
                <w:color w:val="auto"/>
              </w:rPr>
              <w:t>定向钻穿越期间产生的泥浆已委托专业单位拉运处置，泥浆池回填，进行地貌和植被恢复</w:t>
            </w:r>
          </w:p>
        </w:tc>
        <w:tc>
          <w:tcPr>
            <w:tcW w:w="533" w:type="pct"/>
            <w:shd w:val="clear" w:color="auto" w:fill="auto"/>
            <w:vAlign w:val="center"/>
          </w:tcPr>
          <w:p w14:paraId="6B4E715B">
            <w:pPr>
              <w:adjustRightInd w:val="0"/>
              <w:snapToGrid w:val="0"/>
              <w:jc w:val="center"/>
              <w:rPr>
                <w:rFonts w:ascii="宋体" w:hAnsi="宋体"/>
                <w:color w:val="auto"/>
              </w:rPr>
            </w:pPr>
            <w:r>
              <w:rPr>
                <w:rFonts w:hint="eastAsia" w:ascii="宋体" w:hAnsi="宋体"/>
                <w:color w:val="auto"/>
              </w:rPr>
              <w:t>已落实</w:t>
            </w:r>
          </w:p>
        </w:tc>
      </w:tr>
      <w:tr w14:paraId="44F09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3A70667F">
            <w:pPr>
              <w:widowControl/>
              <w:jc w:val="center"/>
              <w:rPr>
                <w:rFonts w:ascii="宋体" w:hAnsi="宋体"/>
                <w:color w:val="auto"/>
              </w:rPr>
            </w:pPr>
          </w:p>
        </w:tc>
        <w:tc>
          <w:tcPr>
            <w:tcW w:w="598" w:type="pct"/>
            <w:vMerge w:val="continue"/>
            <w:shd w:val="clear" w:color="auto" w:fill="auto"/>
            <w:vAlign w:val="center"/>
          </w:tcPr>
          <w:p w14:paraId="42AAD6F9">
            <w:pPr>
              <w:widowControl/>
              <w:jc w:val="center"/>
              <w:rPr>
                <w:rFonts w:ascii="宋体" w:hAnsi="宋体"/>
                <w:color w:val="auto"/>
              </w:rPr>
            </w:pPr>
          </w:p>
        </w:tc>
        <w:tc>
          <w:tcPr>
            <w:tcW w:w="1759" w:type="pct"/>
            <w:shd w:val="clear" w:color="auto" w:fill="auto"/>
            <w:vAlign w:val="center"/>
          </w:tcPr>
          <w:p w14:paraId="787604BD">
            <w:pPr>
              <w:adjustRightInd w:val="0"/>
              <w:snapToGrid w:val="0"/>
              <w:jc w:val="center"/>
              <w:rPr>
                <w:rFonts w:ascii="宋体" w:hAnsi="宋体"/>
                <w:color w:val="auto"/>
              </w:rPr>
            </w:pPr>
            <w:r>
              <w:rPr>
                <w:rFonts w:hint="eastAsia" w:ascii="宋体" w:hAnsi="宋体"/>
                <w:color w:val="auto"/>
              </w:rPr>
              <w:t>废弃设备由资产库回收</w:t>
            </w:r>
          </w:p>
        </w:tc>
        <w:tc>
          <w:tcPr>
            <w:tcW w:w="1869" w:type="pct"/>
            <w:shd w:val="clear" w:color="auto" w:fill="auto"/>
            <w:vAlign w:val="center"/>
          </w:tcPr>
          <w:p w14:paraId="1A10EF68">
            <w:pPr>
              <w:adjustRightInd w:val="0"/>
              <w:snapToGrid w:val="0"/>
              <w:jc w:val="center"/>
              <w:rPr>
                <w:rFonts w:ascii="宋体" w:hAnsi="宋体"/>
                <w:color w:val="auto"/>
              </w:rPr>
            </w:pPr>
            <w:r>
              <w:rPr>
                <w:rFonts w:hint="eastAsia" w:ascii="宋体" w:hAnsi="宋体"/>
                <w:color w:val="auto"/>
              </w:rPr>
              <w:t>已由资产库回收</w:t>
            </w:r>
          </w:p>
        </w:tc>
        <w:tc>
          <w:tcPr>
            <w:tcW w:w="533" w:type="pct"/>
            <w:shd w:val="clear" w:color="auto" w:fill="auto"/>
            <w:vAlign w:val="center"/>
          </w:tcPr>
          <w:p w14:paraId="55DEFC10">
            <w:pPr>
              <w:adjustRightInd w:val="0"/>
              <w:snapToGrid w:val="0"/>
              <w:jc w:val="center"/>
              <w:rPr>
                <w:rFonts w:ascii="宋体" w:hAnsi="宋体"/>
                <w:color w:val="auto"/>
              </w:rPr>
            </w:pPr>
            <w:r>
              <w:rPr>
                <w:rFonts w:hint="eastAsia" w:ascii="宋体" w:hAnsi="宋体"/>
                <w:color w:val="auto"/>
              </w:rPr>
              <w:t>已落实</w:t>
            </w:r>
          </w:p>
        </w:tc>
      </w:tr>
      <w:tr w14:paraId="0551B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678791AC">
            <w:pPr>
              <w:widowControl/>
              <w:jc w:val="center"/>
              <w:rPr>
                <w:rFonts w:ascii="宋体" w:hAnsi="宋体"/>
                <w:color w:val="auto"/>
              </w:rPr>
            </w:pPr>
          </w:p>
        </w:tc>
        <w:tc>
          <w:tcPr>
            <w:tcW w:w="598" w:type="pct"/>
            <w:vMerge w:val="continue"/>
            <w:shd w:val="clear" w:color="auto" w:fill="auto"/>
            <w:vAlign w:val="center"/>
          </w:tcPr>
          <w:p w14:paraId="64DE0E54">
            <w:pPr>
              <w:widowControl/>
              <w:jc w:val="center"/>
              <w:rPr>
                <w:rFonts w:ascii="宋体" w:hAnsi="宋体"/>
                <w:color w:val="auto"/>
              </w:rPr>
            </w:pPr>
          </w:p>
        </w:tc>
        <w:tc>
          <w:tcPr>
            <w:tcW w:w="1759" w:type="pct"/>
            <w:shd w:val="clear" w:color="auto" w:fill="auto"/>
            <w:vAlign w:val="center"/>
          </w:tcPr>
          <w:p w14:paraId="27DA82E0">
            <w:pPr>
              <w:adjustRightInd w:val="0"/>
              <w:snapToGrid w:val="0"/>
              <w:jc w:val="center"/>
              <w:rPr>
                <w:rFonts w:ascii="宋体" w:hAnsi="宋体"/>
                <w:color w:val="auto"/>
              </w:rPr>
            </w:pPr>
            <w:r>
              <w:rPr>
                <w:rFonts w:hint="eastAsia" w:ascii="宋体" w:hAnsi="宋体"/>
                <w:color w:val="auto"/>
              </w:rPr>
              <w:t>油泥砂</w:t>
            </w:r>
          </w:p>
        </w:tc>
        <w:tc>
          <w:tcPr>
            <w:tcW w:w="1869" w:type="pct"/>
            <w:shd w:val="clear" w:color="auto" w:fill="auto"/>
            <w:vAlign w:val="center"/>
          </w:tcPr>
          <w:p w14:paraId="4C71C915">
            <w:pPr>
              <w:adjustRightInd w:val="0"/>
              <w:snapToGrid w:val="0"/>
              <w:jc w:val="center"/>
              <w:rPr>
                <w:rFonts w:ascii="宋体" w:hAnsi="宋体"/>
                <w:color w:val="auto"/>
              </w:rPr>
            </w:pPr>
            <w:r>
              <w:rPr>
                <w:rFonts w:hint="eastAsia"/>
                <w:color w:val="auto"/>
              </w:rPr>
              <w:t>本期工程运营过程中暂未产生，产生后将</w:t>
            </w:r>
            <w:r>
              <w:rPr>
                <w:rFonts w:hint="eastAsia" w:cs="宋体"/>
                <w:color w:val="auto"/>
                <w:kern w:val="0"/>
              </w:rPr>
              <w:t>委托滨州市瑞峰环保科技有限公司处置</w:t>
            </w:r>
            <w:r>
              <w:rPr>
                <w:rFonts w:hint="eastAsia" w:ascii="宋体" w:hAnsi="宋体"/>
                <w:color w:val="auto"/>
              </w:rPr>
              <w:t>，不外排</w:t>
            </w:r>
          </w:p>
        </w:tc>
        <w:tc>
          <w:tcPr>
            <w:tcW w:w="533" w:type="pct"/>
            <w:shd w:val="clear" w:color="auto" w:fill="auto"/>
            <w:vAlign w:val="center"/>
          </w:tcPr>
          <w:p w14:paraId="630EE155">
            <w:pPr>
              <w:adjustRightInd w:val="0"/>
              <w:snapToGrid w:val="0"/>
              <w:jc w:val="center"/>
              <w:rPr>
                <w:rFonts w:ascii="宋体" w:hAnsi="宋体"/>
                <w:color w:val="auto"/>
              </w:rPr>
            </w:pPr>
            <w:r>
              <w:rPr>
                <w:rFonts w:hint="eastAsia" w:ascii="宋体" w:hAnsi="宋体"/>
                <w:color w:val="auto"/>
              </w:rPr>
              <w:t>已落实</w:t>
            </w:r>
          </w:p>
        </w:tc>
      </w:tr>
      <w:tr w14:paraId="75D5A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04E3FE23">
            <w:pPr>
              <w:widowControl/>
              <w:jc w:val="center"/>
              <w:rPr>
                <w:rFonts w:ascii="宋体" w:hAnsi="宋体"/>
                <w:color w:val="auto"/>
              </w:rPr>
            </w:pPr>
          </w:p>
        </w:tc>
        <w:tc>
          <w:tcPr>
            <w:tcW w:w="598" w:type="pct"/>
            <w:vMerge w:val="continue"/>
            <w:shd w:val="clear" w:color="auto" w:fill="auto"/>
            <w:vAlign w:val="center"/>
          </w:tcPr>
          <w:p w14:paraId="7A1EDE24">
            <w:pPr>
              <w:widowControl/>
              <w:jc w:val="center"/>
              <w:rPr>
                <w:rFonts w:ascii="宋体" w:hAnsi="宋体"/>
                <w:color w:val="auto"/>
              </w:rPr>
            </w:pPr>
          </w:p>
        </w:tc>
        <w:tc>
          <w:tcPr>
            <w:tcW w:w="1759" w:type="pct"/>
            <w:shd w:val="clear" w:color="auto" w:fill="auto"/>
            <w:vAlign w:val="center"/>
          </w:tcPr>
          <w:p w14:paraId="7EB3E165">
            <w:pPr>
              <w:adjustRightInd w:val="0"/>
              <w:snapToGrid w:val="0"/>
              <w:jc w:val="center"/>
              <w:rPr>
                <w:rFonts w:ascii="宋体" w:hAnsi="宋体"/>
                <w:color w:val="auto"/>
              </w:rPr>
            </w:pPr>
            <w:r>
              <w:rPr>
                <w:rFonts w:hint="eastAsia" w:ascii="宋体" w:hAnsi="宋体"/>
                <w:color w:val="auto"/>
              </w:rPr>
              <w:t>压裂废液</w:t>
            </w:r>
          </w:p>
        </w:tc>
        <w:tc>
          <w:tcPr>
            <w:tcW w:w="1869" w:type="pct"/>
            <w:shd w:val="clear" w:color="auto" w:fill="auto"/>
            <w:vAlign w:val="center"/>
          </w:tcPr>
          <w:p w14:paraId="525F4D36">
            <w:pPr>
              <w:adjustRightInd w:val="0"/>
              <w:snapToGrid w:val="0"/>
              <w:jc w:val="center"/>
              <w:rPr>
                <w:rFonts w:ascii="宋体" w:hAnsi="宋体"/>
                <w:color w:val="auto"/>
              </w:rPr>
            </w:pPr>
            <w:r>
              <w:rPr>
                <w:rFonts w:hint="eastAsia" w:ascii="宋体" w:hAnsi="宋体"/>
                <w:color w:val="auto"/>
              </w:rPr>
              <w:t>本期工程未产生</w:t>
            </w:r>
          </w:p>
        </w:tc>
        <w:tc>
          <w:tcPr>
            <w:tcW w:w="533" w:type="pct"/>
            <w:shd w:val="clear" w:color="auto" w:fill="auto"/>
            <w:vAlign w:val="center"/>
          </w:tcPr>
          <w:p w14:paraId="22FAA066">
            <w:pPr>
              <w:adjustRightInd w:val="0"/>
              <w:snapToGrid w:val="0"/>
              <w:jc w:val="center"/>
              <w:rPr>
                <w:rFonts w:ascii="宋体" w:hAnsi="宋体"/>
                <w:color w:val="auto"/>
                <w:kern w:val="0"/>
              </w:rPr>
            </w:pPr>
            <w:r>
              <w:rPr>
                <w:rFonts w:hint="eastAsia" w:ascii="宋体" w:hAnsi="宋体"/>
                <w:color w:val="auto"/>
              </w:rPr>
              <w:t>已落实</w:t>
            </w:r>
          </w:p>
        </w:tc>
      </w:tr>
      <w:tr w14:paraId="6620F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1B3B8211">
            <w:pPr>
              <w:widowControl/>
              <w:jc w:val="center"/>
              <w:rPr>
                <w:rFonts w:ascii="宋体" w:hAnsi="宋体"/>
                <w:color w:val="auto"/>
              </w:rPr>
            </w:pPr>
          </w:p>
        </w:tc>
        <w:tc>
          <w:tcPr>
            <w:tcW w:w="598" w:type="pct"/>
            <w:vMerge w:val="continue"/>
            <w:shd w:val="clear" w:color="auto" w:fill="auto"/>
            <w:vAlign w:val="center"/>
          </w:tcPr>
          <w:p w14:paraId="59BB6C6B">
            <w:pPr>
              <w:widowControl/>
              <w:jc w:val="center"/>
              <w:rPr>
                <w:rFonts w:ascii="宋体" w:hAnsi="宋体"/>
                <w:color w:val="auto"/>
              </w:rPr>
            </w:pPr>
          </w:p>
        </w:tc>
        <w:tc>
          <w:tcPr>
            <w:tcW w:w="1759" w:type="pct"/>
            <w:shd w:val="clear" w:color="auto" w:fill="auto"/>
            <w:vAlign w:val="center"/>
          </w:tcPr>
          <w:p w14:paraId="3772368F">
            <w:pPr>
              <w:adjustRightInd w:val="0"/>
              <w:snapToGrid w:val="0"/>
              <w:jc w:val="center"/>
              <w:rPr>
                <w:rFonts w:ascii="宋体" w:hAnsi="宋体"/>
                <w:color w:val="auto"/>
              </w:rPr>
            </w:pPr>
            <w:r>
              <w:rPr>
                <w:rFonts w:hint="eastAsia" w:ascii="宋体" w:hAnsi="宋体"/>
                <w:color w:val="auto"/>
              </w:rPr>
              <w:t>生活垃圾：全部收集后拉运至市政部门指定地点，由环卫部门统一处置</w:t>
            </w:r>
          </w:p>
        </w:tc>
        <w:tc>
          <w:tcPr>
            <w:tcW w:w="1869" w:type="pct"/>
            <w:shd w:val="clear" w:color="auto" w:fill="auto"/>
            <w:vAlign w:val="center"/>
          </w:tcPr>
          <w:p w14:paraId="7A8B722F">
            <w:pPr>
              <w:adjustRightInd w:val="0"/>
              <w:snapToGrid w:val="0"/>
              <w:jc w:val="center"/>
              <w:rPr>
                <w:rFonts w:ascii="宋体" w:hAnsi="宋体"/>
                <w:color w:val="auto"/>
              </w:rPr>
            </w:pPr>
            <w:r>
              <w:rPr>
                <w:rFonts w:ascii="宋体" w:hAnsi="宋体"/>
                <w:color w:val="auto"/>
              </w:rPr>
              <w:t>均</w:t>
            </w:r>
            <w:r>
              <w:rPr>
                <w:rFonts w:hint="eastAsia" w:ascii="宋体" w:hAnsi="宋体"/>
                <w:color w:val="auto"/>
              </w:rPr>
              <w:t>暂存</w:t>
            </w:r>
            <w:r>
              <w:rPr>
                <w:rFonts w:ascii="宋体" w:hAnsi="宋体"/>
                <w:color w:val="auto"/>
              </w:rPr>
              <w:t>于施工场地内</w:t>
            </w:r>
            <w:r>
              <w:rPr>
                <w:rFonts w:hint="eastAsia" w:ascii="宋体" w:hAnsi="宋体"/>
                <w:color w:val="auto"/>
              </w:rPr>
              <w:t>临时</w:t>
            </w:r>
            <w:r>
              <w:rPr>
                <w:rFonts w:ascii="宋体" w:hAnsi="宋体"/>
                <w:color w:val="auto"/>
              </w:rPr>
              <w:t>垃圾桶中，</w:t>
            </w:r>
            <w:r>
              <w:rPr>
                <w:rFonts w:hint="eastAsia" w:ascii="宋体" w:hAnsi="宋体"/>
                <w:color w:val="auto"/>
              </w:rPr>
              <w:t>后由</w:t>
            </w:r>
            <w:r>
              <w:rPr>
                <w:rFonts w:ascii="宋体" w:hAnsi="宋体"/>
                <w:color w:val="auto"/>
              </w:rPr>
              <w:t>施工单位统一</w:t>
            </w:r>
            <w:r>
              <w:rPr>
                <w:rFonts w:hint="eastAsia" w:ascii="宋体" w:hAnsi="宋体"/>
                <w:color w:val="auto"/>
              </w:rPr>
              <w:t>拉运至</w:t>
            </w:r>
            <w:r>
              <w:rPr>
                <w:rFonts w:ascii="宋体" w:hAnsi="宋体"/>
                <w:color w:val="auto"/>
              </w:rPr>
              <w:t>市政部门指定地点</w:t>
            </w:r>
            <w:r>
              <w:rPr>
                <w:rFonts w:hint="eastAsia" w:ascii="宋体" w:hAnsi="宋体"/>
                <w:color w:val="auto"/>
              </w:rPr>
              <w:t>处理</w:t>
            </w:r>
            <w:r>
              <w:rPr>
                <w:rFonts w:ascii="宋体" w:hAnsi="宋体"/>
                <w:color w:val="auto"/>
              </w:rPr>
              <w:t>，</w:t>
            </w:r>
            <w:r>
              <w:rPr>
                <w:rFonts w:hint="eastAsia" w:ascii="宋体" w:hAnsi="宋体"/>
                <w:color w:val="auto"/>
              </w:rPr>
              <w:t>验收</w:t>
            </w:r>
            <w:r>
              <w:rPr>
                <w:rFonts w:ascii="宋体" w:hAnsi="宋体"/>
                <w:color w:val="auto"/>
              </w:rPr>
              <w:t>调查期间，现场未</w:t>
            </w:r>
            <w:r>
              <w:rPr>
                <w:rFonts w:hint="eastAsia" w:ascii="宋体" w:hAnsi="宋体"/>
                <w:color w:val="auto"/>
              </w:rPr>
              <w:t>发现生活垃圾遗留</w:t>
            </w:r>
          </w:p>
        </w:tc>
        <w:tc>
          <w:tcPr>
            <w:tcW w:w="533" w:type="pct"/>
            <w:shd w:val="clear" w:color="auto" w:fill="auto"/>
            <w:vAlign w:val="center"/>
          </w:tcPr>
          <w:p w14:paraId="2B2A4849">
            <w:pPr>
              <w:adjustRightInd w:val="0"/>
              <w:snapToGrid w:val="0"/>
              <w:jc w:val="center"/>
              <w:rPr>
                <w:rFonts w:ascii="宋体" w:hAnsi="宋体"/>
                <w:color w:val="auto"/>
              </w:rPr>
            </w:pPr>
            <w:r>
              <w:rPr>
                <w:rFonts w:hint="eastAsia" w:ascii="宋体" w:hAnsi="宋体"/>
                <w:color w:val="auto"/>
              </w:rPr>
              <w:t>已落实</w:t>
            </w:r>
          </w:p>
        </w:tc>
      </w:tr>
      <w:tr w14:paraId="252FF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06666793">
            <w:pPr>
              <w:widowControl/>
              <w:jc w:val="center"/>
              <w:rPr>
                <w:rFonts w:ascii="宋体" w:hAnsi="宋体"/>
                <w:color w:val="auto"/>
              </w:rPr>
            </w:pPr>
          </w:p>
        </w:tc>
        <w:tc>
          <w:tcPr>
            <w:tcW w:w="598" w:type="pct"/>
            <w:vMerge w:val="restart"/>
            <w:shd w:val="clear" w:color="auto" w:fill="auto"/>
            <w:tcMar>
              <w:top w:w="0" w:type="dxa"/>
              <w:left w:w="6" w:type="dxa"/>
              <w:bottom w:w="0" w:type="dxa"/>
              <w:right w:w="6" w:type="dxa"/>
            </w:tcMar>
            <w:vAlign w:val="center"/>
          </w:tcPr>
          <w:p w14:paraId="0C88D7A0">
            <w:pPr>
              <w:adjustRightInd w:val="0"/>
              <w:snapToGrid w:val="0"/>
              <w:jc w:val="center"/>
              <w:rPr>
                <w:rFonts w:ascii="宋体" w:hAnsi="宋体"/>
                <w:color w:val="auto"/>
              </w:rPr>
            </w:pPr>
            <w:r>
              <w:rPr>
                <w:rFonts w:hint="eastAsia" w:ascii="宋体" w:hAnsi="宋体"/>
                <w:color w:val="auto"/>
              </w:rPr>
              <w:t>废水</w:t>
            </w:r>
          </w:p>
        </w:tc>
        <w:tc>
          <w:tcPr>
            <w:tcW w:w="1759" w:type="pct"/>
            <w:shd w:val="clear" w:color="auto" w:fill="auto"/>
            <w:vAlign w:val="center"/>
          </w:tcPr>
          <w:p w14:paraId="7105CA1F">
            <w:pPr>
              <w:adjustRightInd w:val="0"/>
              <w:snapToGrid w:val="0"/>
              <w:jc w:val="center"/>
              <w:rPr>
                <w:rFonts w:ascii="宋体" w:hAnsi="宋体"/>
                <w:color w:val="auto"/>
              </w:rPr>
            </w:pPr>
            <w:r>
              <w:rPr>
                <w:rFonts w:hint="eastAsia" w:ascii="宋体" w:hAnsi="宋体"/>
                <w:color w:val="auto"/>
              </w:rPr>
              <w:t>钻井废水：钻井废水排入泥浆不落地装置，并尽可能实现循环利用，剩余部分由第三方拉运处置</w:t>
            </w:r>
          </w:p>
        </w:tc>
        <w:tc>
          <w:tcPr>
            <w:tcW w:w="1869" w:type="pct"/>
            <w:shd w:val="clear" w:color="auto" w:fill="auto"/>
            <w:vAlign w:val="center"/>
          </w:tcPr>
          <w:p w14:paraId="246FF31D">
            <w:pPr>
              <w:adjustRightInd w:val="0"/>
              <w:snapToGrid w:val="0"/>
              <w:jc w:val="center"/>
              <w:rPr>
                <w:rFonts w:ascii="宋体" w:hAnsi="宋体"/>
                <w:color w:val="auto"/>
              </w:rPr>
            </w:pPr>
            <w:r>
              <w:rPr>
                <w:color w:val="auto"/>
              </w:rPr>
              <w:t>由“泥浆不落地”处置单位</w:t>
            </w:r>
            <w:r>
              <w:rPr>
                <w:rFonts w:hint="eastAsia"/>
                <w:color w:val="auto"/>
              </w:rPr>
              <w:t>天正浚源环保科技有限公司、东营丰实钻井工程有限公司、山东胜兴特种材料有限公司</w:t>
            </w:r>
            <w:r>
              <w:rPr>
                <w:color w:val="auto"/>
              </w:rPr>
              <w:t>拉运处理，施工现场无外排</w:t>
            </w:r>
          </w:p>
        </w:tc>
        <w:tc>
          <w:tcPr>
            <w:tcW w:w="533" w:type="pct"/>
            <w:shd w:val="clear" w:color="auto" w:fill="auto"/>
            <w:vAlign w:val="center"/>
          </w:tcPr>
          <w:p w14:paraId="4C46A722">
            <w:pPr>
              <w:adjustRightInd w:val="0"/>
              <w:snapToGrid w:val="0"/>
              <w:jc w:val="center"/>
              <w:rPr>
                <w:rFonts w:ascii="宋体" w:hAnsi="宋体"/>
                <w:color w:val="auto"/>
              </w:rPr>
            </w:pPr>
            <w:r>
              <w:rPr>
                <w:rFonts w:hint="eastAsia" w:ascii="宋体" w:hAnsi="宋体"/>
                <w:color w:val="auto"/>
              </w:rPr>
              <w:t>已落实</w:t>
            </w:r>
          </w:p>
        </w:tc>
      </w:tr>
      <w:tr w14:paraId="08E07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6731AA2A">
            <w:pPr>
              <w:widowControl/>
              <w:jc w:val="center"/>
              <w:rPr>
                <w:rFonts w:ascii="宋体" w:hAnsi="宋体"/>
                <w:color w:val="auto"/>
              </w:rPr>
            </w:pPr>
          </w:p>
        </w:tc>
        <w:tc>
          <w:tcPr>
            <w:tcW w:w="598" w:type="pct"/>
            <w:vMerge w:val="continue"/>
            <w:shd w:val="clear" w:color="auto" w:fill="auto"/>
            <w:vAlign w:val="center"/>
          </w:tcPr>
          <w:p w14:paraId="0301B93A">
            <w:pPr>
              <w:widowControl/>
              <w:jc w:val="center"/>
              <w:rPr>
                <w:rFonts w:ascii="宋体" w:hAnsi="宋体"/>
                <w:color w:val="auto"/>
              </w:rPr>
            </w:pPr>
          </w:p>
        </w:tc>
        <w:tc>
          <w:tcPr>
            <w:tcW w:w="1759" w:type="pct"/>
            <w:shd w:val="clear" w:color="auto" w:fill="auto"/>
            <w:vAlign w:val="center"/>
          </w:tcPr>
          <w:p w14:paraId="45890F27">
            <w:pPr>
              <w:adjustRightInd w:val="0"/>
              <w:snapToGrid w:val="0"/>
              <w:jc w:val="center"/>
              <w:rPr>
                <w:rFonts w:ascii="宋体" w:hAnsi="宋体"/>
                <w:color w:val="auto"/>
              </w:rPr>
            </w:pPr>
            <w:r>
              <w:rPr>
                <w:rFonts w:hint="eastAsia" w:ascii="宋体" w:hAnsi="宋体"/>
                <w:color w:val="auto"/>
              </w:rPr>
              <w:t>施工作业废液：由罐车拉运至高青联合站处理达标后用于注水开发，不外排</w:t>
            </w:r>
          </w:p>
        </w:tc>
        <w:tc>
          <w:tcPr>
            <w:tcW w:w="1869" w:type="pct"/>
            <w:shd w:val="clear" w:color="auto" w:fill="auto"/>
            <w:vAlign w:val="center"/>
          </w:tcPr>
          <w:p w14:paraId="64C4B252">
            <w:pPr>
              <w:adjustRightInd w:val="0"/>
              <w:snapToGrid w:val="0"/>
              <w:jc w:val="center"/>
              <w:rPr>
                <w:rFonts w:ascii="宋体" w:hAnsi="宋体"/>
                <w:color w:val="auto"/>
              </w:rPr>
            </w:pPr>
            <w:r>
              <w:rPr>
                <w:rFonts w:hint="eastAsia"/>
                <w:color w:val="auto"/>
              </w:rPr>
              <w:t>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p>
        </w:tc>
        <w:tc>
          <w:tcPr>
            <w:tcW w:w="533" w:type="pct"/>
            <w:shd w:val="clear" w:color="auto" w:fill="auto"/>
            <w:vAlign w:val="center"/>
          </w:tcPr>
          <w:p w14:paraId="6163338C">
            <w:pPr>
              <w:adjustRightInd w:val="0"/>
              <w:snapToGrid w:val="0"/>
              <w:jc w:val="center"/>
              <w:rPr>
                <w:rFonts w:ascii="宋体" w:hAnsi="宋体"/>
                <w:color w:val="auto"/>
              </w:rPr>
            </w:pPr>
            <w:r>
              <w:rPr>
                <w:rFonts w:hint="eastAsia" w:ascii="宋体" w:hAnsi="宋体"/>
                <w:color w:val="auto"/>
              </w:rPr>
              <w:t>已落实</w:t>
            </w:r>
          </w:p>
        </w:tc>
      </w:tr>
      <w:tr w14:paraId="72CBC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2E201496">
            <w:pPr>
              <w:widowControl/>
              <w:jc w:val="center"/>
              <w:rPr>
                <w:rFonts w:ascii="宋体" w:hAnsi="宋体"/>
                <w:color w:val="auto"/>
              </w:rPr>
            </w:pPr>
          </w:p>
        </w:tc>
        <w:tc>
          <w:tcPr>
            <w:tcW w:w="598" w:type="pct"/>
            <w:vMerge w:val="continue"/>
            <w:shd w:val="clear" w:color="auto" w:fill="auto"/>
            <w:vAlign w:val="center"/>
          </w:tcPr>
          <w:p w14:paraId="240DA563">
            <w:pPr>
              <w:widowControl/>
              <w:jc w:val="center"/>
              <w:rPr>
                <w:rFonts w:ascii="宋体" w:hAnsi="宋体"/>
                <w:color w:val="auto"/>
              </w:rPr>
            </w:pPr>
          </w:p>
        </w:tc>
        <w:tc>
          <w:tcPr>
            <w:tcW w:w="1759" w:type="pct"/>
            <w:shd w:val="clear" w:color="auto" w:fill="auto"/>
            <w:vAlign w:val="center"/>
          </w:tcPr>
          <w:p w14:paraId="7D4C518C">
            <w:pPr>
              <w:adjustRightInd w:val="0"/>
              <w:snapToGrid w:val="0"/>
              <w:jc w:val="center"/>
              <w:rPr>
                <w:rFonts w:ascii="宋体" w:hAnsi="宋体"/>
                <w:color w:val="auto"/>
              </w:rPr>
            </w:pPr>
            <w:r>
              <w:rPr>
                <w:rFonts w:hint="eastAsia" w:ascii="宋体" w:hAnsi="宋体"/>
                <w:color w:val="auto"/>
              </w:rPr>
              <w:t>生活污水：排入临时移动环保厕所，由当地环卫部门处置，不直接外排于区域环境</w:t>
            </w:r>
          </w:p>
        </w:tc>
        <w:tc>
          <w:tcPr>
            <w:tcW w:w="1869" w:type="pct"/>
            <w:shd w:val="clear" w:color="auto" w:fill="auto"/>
            <w:vAlign w:val="center"/>
          </w:tcPr>
          <w:p w14:paraId="7647B058">
            <w:pPr>
              <w:adjustRightInd w:val="0"/>
              <w:snapToGrid w:val="0"/>
              <w:jc w:val="center"/>
              <w:rPr>
                <w:rFonts w:ascii="宋体" w:hAnsi="宋体"/>
                <w:color w:val="auto"/>
              </w:rPr>
            </w:pPr>
            <w:r>
              <w:rPr>
                <w:rFonts w:hint="eastAsia"/>
                <w:color w:val="auto"/>
              </w:rPr>
              <w:t>施工人员生活污水排放依托各</w:t>
            </w:r>
            <w:r>
              <w:rPr>
                <w:rFonts w:hint="eastAsia" w:cs="宋体"/>
                <w:color w:val="auto"/>
              </w:rPr>
              <w:t>环保厕所</w:t>
            </w:r>
            <w:r>
              <w:rPr>
                <w:rFonts w:hint="eastAsia"/>
                <w:color w:val="auto"/>
              </w:rPr>
              <w:t>，定期清运，无外排</w:t>
            </w:r>
          </w:p>
        </w:tc>
        <w:tc>
          <w:tcPr>
            <w:tcW w:w="533" w:type="pct"/>
            <w:shd w:val="clear" w:color="auto" w:fill="auto"/>
            <w:vAlign w:val="center"/>
          </w:tcPr>
          <w:p w14:paraId="4BB889C9">
            <w:pPr>
              <w:adjustRightInd w:val="0"/>
              <w:snapToGrid w:val="0"/>
              <w:jc w:val="center"/>
              <w:rPr>
                <w:rFonts w:ascii="宋体" w:hAnsi="宋体"/>
                <w:color w:val="auto"/>
              </w:rPr>
            </w:pPr>
            <w:r>
              <w:rPr>
                <w:rFonts w:hint="eastAsia" w:ascii="宋体" w:hAnsi="宋体"/>
                <w:color w:val="auto"/>
              </w:rPr>
              <w:t>已落实</w:t>
            </w:r>
          </w:p>
        </w:tc>
      </w:tr>
      <w:tr w14:paraId="1D78C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4CC34E65">
            <w:pPr>
              <w:widowControl/>
              <w:jc w:val="center"/>
              <w:rPr>
                <w:rFonts w:ascii="宋体" w:hAnsi="宋体"/>
                <w:color w:val="auto"/>
              </w:rPr>
            </w:pPr>
          </w:p>
        </w:tc>
        <w:tc>
          <w:tcPr>
            <w:tcW w:w="598" w:type="pct"/>
            <w:vMerge w:val="continue"/>
            <w:shd w:val="clear" w:color="auto" w:fill="auto"/>
            <w:vAlign w:val="center"/>
          </w:tcPr>
          <w:p w14:paraId="15A93DA4">
            <w:pPr>
              <w:widowControl/>
              <w:jc w:val="center"/>
              <w:rPr>
                <w:rFonts w:ascii="宋体" w:hAnsi="宋体"/>
                <w:color w:val="auto"/>
              </w:rPr>
            </w:pPr>
          </w:p>
        </w:tc>
        <w:tc>
          <w:tcPr>
            <w:tcW w:w="1759" w:type="pct"/>
            <w:shd w:val="clear" w:color="auto" w:fill="auto"/>
            <w:vAlign w:val="center"/>
          </w:tcPr>
          <w:p w14:paraId="592270FD">
            <w:pPr>
              <w:adjustRightInd w:val="0"/>
              <w:snapToGrid w:val="0"/>
              <w:jc w:val="center"/>
              <w:rPr>
                <w:rFonts w:ascii="宋体" w:hAnsi="宋体"/>
                <w:color w:val="auto"/>
              </w:rPr>
            </w:pPr>
            <w:r>
              <w:rPr>
                <w:rFonts w:hint="eastAsia" w:ascii="宋体" w:hAnsi="宋体"/>
                <w:color w:val="auto"/>
              </w:rPr>
              <w:t>新建管线试压废水沉淀后用于现场洒水抑尘</w:t>
            </w:r>
          </w:p>
        </w:tc>
        <w:tc>
          <w:tcPr>
            <w:tcW w:w="1869" w:type="pct"/>
            <w:shd w:val="clear" w:color="auto" w:fill="auto"/>
            <w:vAlign w:val="center"/>
          </w:tcPr>
          <w:p w14:paraId="76196F10">
            <w:pPr>
              <w:adjustRightInd w:val="0"/>
              <w:snapToGrid w:val="0"/>
              <w:jc w:val="center"/>
              <w:rPr>
                <w:rFonts w:ascii="宋体" w:hAnsi="宋体"/>
                <w:color w:val="auto"/>
              </w:rPr>
            </w:pPr>
            <w:r>
              <w:rPr>
                <w:rFonts w:hint="eastAsia"/>
                <w:color w:val="auto"/>
              </w:rPr>
              <w:t>施工过程中进行了循环利用，试压结束后已用于施工场地洒水降尘，未外排至施工场地外环境</w:t>
            </w:r>
          </w:p>
        </w:tc>
        <w:tc>
          <w:tcPr>
            <w:tcW w:w="533" w:type="pct"/>
            <w:shd w:val="clear" w:color="auto" w:fill="auto"/>
            <w:vAlign w:val="center"/>
          </w:tcPr>
          <w:p w14:paraId="379CDD12">
            <w:pPr>
              <w:adjustRightInd w:val="0"/>
              <w:snapToGrid w:val="0"/>
              <w:jc w:val="center"/>
              <w:rPr>
                <w:rFonts w:ascii="宋体" w:hAnsi="宋体"/>
                <w:color w:val="auto"/>
              </w:rPr>
            </w:pPr>
            <w:r>
              <w:rPr>
                <w:rFonts w:hint="eastAsia" w:ascii="宋体" w:hAnsi="宋体"/>
                <w:color w:val="auto"/>
              </w:rPr>
              <w:t>已落实</w:t>
            </w:r>
          </w:p>
        </w:tc>
      </w:tr>
      <w:tr w14:paraId="7395A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149C07B3">
            <w:pPr>
              <w:widowControl/>
              <w:jc w:val="center"/>
              <w:rPr>
                <w:rFonts w:ascii="宋体" w:hAnsi="宋体"/>
                <w:color w:val="auto"/>
              </w:rPr>
            </w:pPr>
          </w:p>
        </w:tc>
        <w:tc>
          <w:tcPr>
            <w:tcW w:w="598" w:type="pct"/>
            <w:vMerge w:val="continue"/>
            <w:shd w:val="clear" w:color="auto" w:fill="auto"/>
            <w:vAlign w:val="center"/>
          </w:tcPr>
          <w:p w14:paraId="6D5F9064">
            <w:pPr>
              <w:widowControl/>
              <w:jc w:val="center"/>
              <w:rPr>
                <w:rFonts w:ascii="宋体" w:hAnsi="宋体"/>
                <w:color w:val="auto"/>
              </w:rPr>
            </w:pPr>
          </w:p>
        </w:tc>
        <w:tc>
          <w:tcPr>
            <w:tcW w:w="1759" w:type="pct"/>
            <w:shd w:val="clear" w:color="auto" w:fill="auto"/>
            <w:vAlign w:val="center"/>
          </w:tcPr>
          <w:p w14:paraId="1BFBBB14">
            <w:pPr>
              <w:adjustRightInd w:val="0"/>
              <w:snapToGrid w:val="0"/>
              <w:jc w:val="center"/>
              <w:rPr>
                <w:rFonts w:ascii="宋体" w:hAnsi="宋体"/>
                <w:color w:val="auto"/>
              </w:rPr>
            </w:pPr>
            <w:r>
              <w:rPr>
                <w:rFonts w:hint="eastAsia" w:ascii="宋体" w:hAnsi="宋体"/>
                <w:color w:val="auto"/>
              </w:rPr>
              <w:t>旧管道清洗废水：沉降处理后用于压驱注水开发</w:t>
            </w:r>
          </w:p>
        </w:tc>
        <w:tc>
          <w:tcPr>
            <w:tcW w:w="1869" w:type="pct"/>
            <w:shd w:val="clear" w:color="auto" w:fill="auto"/>
            <w:vAlign w:val="center"/>
          </w:tcPr>
          <w:p w14:paraId="0A82699E">
            <w:pPr>
              <w:adjustRightInd w:val="0"/>
              <w:snapToGrid w:val="0"/>
              <w:jc w:val="center"/>
              <w:rPr>
                <w:rFonts w:ascii="宋体" w:hAnsi="宋体"/>
                <w:color w:val="auto"/>
              </w:rPr>
            </w:pPr>
            <w:r>
              <w:rPr>
                <w:rFonts w:hint="eastAsia"/>
                <w:color w:val="auto"/>
                <w:szCs w:val="24"/>
              </w:rPr>
              <w:t>经收集后罐车拉运送高青联合站处理，</w:t>
            </w:r>
            <w:r>
              <w:rPr>
                <w:color w:val="auto"/>
              </w:rPr>
              <w:t>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p>
        </w:tc>
        <w:tc>
          <w:tcPr>
            <w:tcW w:w="533" w:type="pct"/>
            <w:shd w:val="clear" w:color="auto" w:fill="auto"/>
            <w:vAlign w:val="center"/>
          </w:tcPr>
          <w:p w14:paraId="3847A676">
            <w:pPr>
              <w:adjustRightInd w:val="0"/>
              <w:snapToGrid w:val="0"/>
              <w:jc w:val="center"/>
              <w:rPr>
                <w:rFonts w:ascii="宋体" w:hAnsi="宋体"/>
                <w:color w:val="auto"/>
              </w:rPr>
            </w:pPr>
            <w:r>
              <w:rPr>
                <w:rFonts w:hint="eastAsia" w:ascii="宋体" w:hAnsi="宋体"/>
                <w:color w:val="auto"/>
              </w:rPr>
              <w:t>已落实</w:t>
            </w:r>
          </w:p>
        </w:tc>
      </w:tr>
      <w:tr w14:paraId="4F655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02BE9810">
            <w:pPr>
              <w:widowControl/>
              <w:jc w:val="center"/>
              <w:rPr>
                <w:rFonts w:ascii="宋体" w:hAnsi="宋体"/>
                <w:color w:val="auto"/>
              </w:rPr>
            </w:pPr>
          </w:p>
        </w:tc>
        <w:tc>
          <w:tcPr>
            <w:tcW w:w="598" w:type="pct"/>
            <w:vMerge w:val="restart"/>
            <w:shd w:val="clear" w:color="auto" w:fill="auto"/>
            <w:tcMar>
              <w:top w:w="0" w:type="dxa"/>
              <w:left w:w="6" w:type="dxa"/>
              <w:bottom w:w="0" w:type="dxa"/>
              <w:right w:w="6" w:type="dxa"/>
            </w:tcMar>
            <w:vAlign w:val="center"/>
          </w:tcPr>
          <w:p w14:paraId="29E358F3">
            <w:pPr>
              <w:adjustRightInd w:val="0"/>
              <w:snapToGrid w:val="0"/>
              <w:jc w:val="center"/>
              <w:rPr>
                <w:rFonts w:ascii="宋体" w:hAnsi="宋体"/>
                <w:color w:val="auto"/>
              </w:rPr>
            </w:pPr>
            <w:r>
              <w:rPr>
                <w:rFonts w:hint="eastAsia" w:ascii="宋体" w:hAnsi="宋体"/>
                <w:color w:val="auto"/>
              </w:rPr>
              <w:t>废气</w:t>
            </w:r>
          </w:p>
        </w:tc>
        <w:tc>
          <w:tcPr>
            <w:tcW w:w="1759" w:type="pct"/>
            <w:shd w:val="clear" w:color="auto" w:fill="auto"/>
            <w:vAlign w:val="center"/>
          </w:tcPr>
          <w:p w14:paraId="05223390">
            <w:pPr>
              <w:adjustRightInd w:val="0"/>
              <w:snapToGrid w:val="0"/>
              <w:jc w:val="center"/>
              <w:rPr>
                <w:rFonts w:ascii="宋体" w:hAnsi="宋体"/>
                <w:color w:val="auto"/>
              </w:rPr>
            </w:pPr>
            <w:r>
              <w:rPr>
                <w:rFonts w:hint="eastAsia" w:ascii="宋体" w:hAnsi="宋体"/>
                <w:color w:val="auto"/>
              </w:rPr>
              <w:t>扬尘：物料集中堆放，表面采取遮盖或集中堆存在库房内；定期洒水抑尘；控制车辆装载量并采取密闭或者遮盖措施，出入车辆清洗、渣土车密闭运输</w:t>
            </w:r>
          </w:p>
        </w:tc>
        <w:tc>
          <w:tcPr>
            <w:tcW w:w="1869" w:type="pct"/>
            <w:shd w:val="clear" w:color="auto" w:fill="auto"/>
            <w:vAlign w:val="center"/>
          </w:tcPr>
          <w:p w14:paraId="6D932005">
            <w:pPr>
              <w:adjustRightInd w:val="0"/>
              <w:snapToGrid w:val="0"/>
              <w:jc w:val="center"/>
              <w:rPr>
                <w:rFonts w:ascii="宋体" w:hAnsi="宋体"/>
                <w:color w:val="auto"/>
              </w:rPr>
            </w:pPr>
            <w:r>
              <w:rPr>
                <w:rFonts w:hint="eastAsia" w:ascii="宋体" w:hAnsi="宋体"/>
                <w:color w:val="auto"/>
              </w:rPr>
              <w:t>物料集中堆放，表面采取了遮盖或集中堆存在库房内；定期洒水抑尘；控制车辆装载量并采取密闭或者遮盖措施，出入车辆清洗、渣土车做到了密闭运输</w:t>
            </w:r>
          </w:p>
        </w:tc>
        <w:tc>
          <w:tcPr>
            <w:tcW w:w="533" w:type="pct"/>
            <w:shd w:val="clear" w:color="auto" w:fill="auto"/>
            <w:vAlign w:val="center"/>
          </w:tcPr>
          <w:p w14:paraId="713AC1C2">
            <w:pPr>
              <w:adjustRightInd w:val="0"/>
              <w:snapToGrid w:val="0"/>
              <w:jc w:val="center"/>
              <w:rPr>
                <w:rFonts w:ascii="宋体" w:hAnsi="宋体"/>
                <w:color w:val="auto"/>
              </w:rPr>
            </w:pPr>
            <w:r>
              <w:rPr>
                <w:rFonts w:hint="eastAsia" w:ascii="宋体" w:hAnsi="宋体"/>
                <w:color w:val="auto"/>
              </w:rPr>
              <w:t>已落实</w:t>
            </w:r>
          </w:p>
        </w:tc>
      </w:tr>
      <w:tr w14:paraId="4CF67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58B0AD9A">
            <w:pPr>
              <w:widowControl/>
              <w:jc w:val="center"/>
              <w:rPr>
                <w:rFonts w:ascii="宋体" w:hAnsi="宋体"/>
                <w:color w:val="auto"/>
              </w:rPr>
            </w:pPr>
          </w:p>
        </w:tc>
        <w:tc>
          <w:tcPr>
            <w:tcW w:w="598" w:type="pct"/>
            <w:vMerge w:val="continue"/>
            <w:shd w:val="clear" w:color="auto" w:fill="auto"/>
            <w:vAlign w:val="center"/>
          </w:tcPr>
          <w:p w14:paraId="4383D0D1">
            <w:pPr>
              <w:widowControl/>
              <w:jc w:val="center"/>
              <w:rPr>
                <w:rFonts w:ascii="宋体" w:hAnsi="宋体"/>
                <w:color w:val="auto"/>
              </w:rPr>
            </w:pPr>
          </w:p>
        </w:tc>
        <w:tc>
          <w:tcPr>
            <w:tcW w:w="1759" w:type="pct"/>
            <w:shd w:val="clear" w:color="auto" w:fill="auto"/>
            <w:vAlign w:val="center"/>
          </w:tcPr>
          <w:p w14:paraId="01CCBAAA">
            <w:pPr>
              <w:adjustRightInd w:val="0"/>
              <w:snapToGrid w:val="0"/>
              <w:jc w:val="center"/>
              <w:rPr>
                <w:rFonts w:ascii="宋体" w:hAnsi="宋体"/>
                <w:color w:val="auto"/>
              </w:rPr>
            </w:pPr>
            <w:r>
              <w:rPr>
                <w:rFonts w:hint="eastAsia" w:ascii="宋体" w:hAnsi="宋体"/>
                <w:color w:val="auto"/>
              </w:rPr>
              <w:t>施工机械废气：选择技术先进的动力机械设备，主要是优良发动机；选择符合国家要求的燃油指标，如国Ⅵ标准柴油。同时加强施工管理，尽可能缩短施工周期</w:t>
            </w:r>
          </w:p>
        </w:tc>
        <w:tc>
          <w:tcPr>
            <w:tcW w:w="1869" w:type="pct"/>
            <w:shd w:val="clear" w:color="auto" w:fill="auto"/>
            <w:vAlign w:val="center"/>
          </w:tcPr>
          <w:p w14:paraId="1BB7D779">
            <w:pPr>
              <w:adjustRightInd w:val="0"/>
              <w:snapToGrid w:val="0"/>
              <w:jc w:val="center"/>
              <w:rPr>
                <w:rFonts w:ascii="宋体" w:hAnsi="宋体"/>
                <w:color w:val="auto"/>
              </w:rPr>
            </w:pPr>
            <w:r>
              <w:rPr>
                <w:rFonts w:hint="eastAsia" w:ascii="宋体" w:hAnsi="宋体"/>
                <w:color w:val="auto"/>
              </w:rPr>
              <w:t>选择技术先进的动力机械设备，主要是优良发动机；选择符合国家要求的燃油指标，加强施工管理，尽可能缩短了施工周期</w:t>
            </w:r>
          </w:p>
        </w:tc>
        <w:tc>
          <w:tcPr>
            <w:tcW w:w="533" w:type="pct"/>
            <w:shd w:val="clear" w:color="auto" w:fill="auto"/>
            <w:vAlign w:val="center"/>
          </w:tcPr>
          <w:p w14:paraId="2D2F6D45">
            <w:pPr>
              <w:adjustRightInd w:val="0"/>
              <w:snapToGrid w:val="0"/>
              <w:jc w:val="center"/>
              <w:rPr>
                <w:rFonts w:ascii="宋体" w:hAnsi="宋体"/>
                <w:color w:val="auto"/>
              </w:rPr>
            </w:pPr>
            <w:r>
              <w:rPr>
                <w:rFonts w:hint="eastAsia" w:ascii="宋体" w:hAnsi="宋体"/>
                <w:color w:val="auto"/>
              </w:rPr>
              <w:t>已落实</w:t>
            </w:r>
          </w:p>
        </w:tc>
      </w:tr>
      <w:tr w14:paraId="52BF5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71C5E968">
            <w:pPr>
              <w:widowControl/>
              <w:jc w:val="center"/>
              <w:rPr>
                <w:rFonts w:ascii="宋体" w:hAnsi="宋体"/>
                <w:color w:val="auto"/>
              </w:rPr>
            </w:pPr>
          </w:p>
        </w:tc>
        <w:tc>
          <w:tcPr>
            <w:tcW w:w="598" w:type="pct"/>
            <w:vMerge w:val="continue"/>
            <w:shd w:val="clear" w:color="auto" w:fill="auto"/>
            <w:vAlign w:val="center"/>
          </w:tcPr>
          <w:p w14:paraId="23FB765F">
            <w:pPr>
              <w:widowControl/>
              <w:jc w:val="center"/>
              <w:rPr>
                <w:rFonts w:ascii="宋体" w:hAnsi="宋体"/>
                <w:color w:val="auto"/>
              </w:rPr>
            </w:pPr>
          </w:p>
        </w:tc>
        <w:tc>
          <w:tcPr>
            <w:tcW w:w="1759" w:type="pct"/>
            <w:shd w:val="clear" w:color="auto" w:fill="auto"/>
            <w:vAlign w:val="center"/>
          </w:tcPr>
          <w:p w14:paraId="35FE9FA9">
            <w:pPr>
              <w:adjustRightInd w:val="0"/>
              <w:snapToGrid w:val="0"/>
              <w:jc w:val="center"/>
              <w:rPr>
                <w:rFonts w:ascii="宋体" w:hAnsi="宋体"/>
                <w:color w:val="auto"/>
              </w:rPr>
            </w:pPr>
            <w:r>
              <w:rPr>
                <w:rFonts w:hint="eastAsia" w:ascii="宋体" w:hAnsi="宋体"/>
                <w:color w:val="auto"/>
              </w:rPr>
              <w:t>焊接颗粒物：规范焊接操作，使用低毒焊条等措施</w:t>
            </w:r>
          </w:p>
        </w:tc>
        <w:tc>
          <w:tcPr>
            <w:tcW w:w="1869" w:type="pct"/>
            <w:shd w:val="clear" w:color="auto" w:fill="auto"/>
            <w:vAlign w:val="center"/>
          </w:tcPr>
          <w:p w14:paraId="424B3FC0">
            <w:pPr>
              <w:adjustRightInd w:val="0"/>
              <w:snapToGrid w:val="0"/>
              <w:jc w:val="center"/>
              <w:rPr>
                <w:rFonts w:ascii="宋体" w:hAnsi="宋体"/>
                <w:color w:val="auto"/>
              </w:rPr>
            </w:pPr>
            <w:r>
              <w:rPr>
                <w:rFonts w:hint="eastAsia" w:ascii="宋体" w:hAnsi="宋体"/>
                <w:color w:val="auto"/>
              </w:rPr>
              <w:t>规范焊接操作，使用了低毒焊条等措施</w:t>
            </w:r>
          </w:p>
        </w:tc>
        <w:tc>
          <w:tcPr>
            <w:tcW w:w="533" w:type="pct"/>
            <w:shd w:val="clear" w:color="auto" w:fill="auto"/>
            <w:vAlign w:val="center"/>
          </w:tcPr>
          <w:p w14:paraId="552B0D7B">
            <w:pPr>
              <w:adjustRightInd w:val="0"/>
              <w:snapToGrid w:val="0"/>
              <w:jc w:val="center"/>
              <w:rPr>
                <w:rFonts w:ascii="宋体" w:hAnsi="宋体"/>
                <w:color w:val="auto"/>
              </w:rPr>
            </w:pPr>
            <w:r>
              <w:rPr>
                <w:rFonts w:hint="eastAsia" w:ascii="宋体" w:hAnsi="宋体"/>
                <w:color w:val="auto"/>
              </w:rPr>
              <w:t>已落实</w:t>
            </w:r>
          </w:p>
        </w:tc>
      </w:tr>
      <w:tr w14:paraId="4BA8B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762B6668">
            <w:pPr>
              <w:widowControl/>
              <w:jc w:val="center"/>
              <w:rPr>
                <w:rFonts w:ascii="宋体" w:hAnsi="宋体"/>
                <w:color w:val="auto"/>
              </w:rPr>
            </w:pPr>
          </w:p>
        </w:tc>
        <w:tc>
          <w:tcPr>
            <w:tcW w:w="598" w:type="pct"/>
            <w:shd w:val="clear" w:color="auto" w:fill="auto"/>
            <w:tcMar>
              <w:top w:w="0" w:type="dxa"/>
              <w:left w:w="6" w:type="dxa"/>
              <w:bottom w:w="0" w:type="dxa"/>
              <w:right w:w="6" w:type="dxa"/>
            </w:tcMar>
            <w:vAlign w:val="center"/>
          </w:tcPr>
          <w:p w14:paraId="268613AD">
            <w:pPr>
              <w:adjustRightInd w:val="0"/>
              <w:snapToGrid w:val="0"/>
              <w:jc w:val="center"/>
              <w:rPr>
                <w:rFonts w:ascii="宋体" w:hAnsi="宋体"/>
                <w:color w:val="auto"/>
              </w:rPr>
            </w:pPr>
            <w:r>
              <w:rPr>
                <w:rFonts w:hint="eastAsia" w:ascii="宋体" w:hAnsi="宋体"/>
                <w:color w:val="auto"/>
              </w:rPr>
              <w:t>噪声</w:t>
            </w:r>
          </w:p>
        </w:tc>
        <w:tc>
          <w:tcPr>
            <w:tcW w:w="1759" w:type="pct"/>
            <w:shd w:val="clear" w:color="auto" w:fill="auto"/>
            <w:vAlign w:val="center"/>
          </w:tcPr>
          <w:p w14:paraId="10FA8D07">
            <w:pPr>
              <w:adjustRightInd w:val="0"/>
              <w:snapToGrid w:val="0"/>
              <w:jc w:val="center"/>
              <w:rPr>
                <w:rFonts w:ascii="宋体" w:hAnsi="宋体"/>
                <w:color w:val="auto"/>
              </w:rPr>
            </w:pPr>
            <w:r>
              <w:rPr>
                <w:rFonts w:hint="eastAsia" w:ascii="宋体" w:hAnsi="宋体"/>
                <w:color w:val="auto"/>
              </w:rPr>
              <w:t>1）制定施工计划时，尽可能避免大量高噪声设备同时施工。同时，高噪声设备施工时间尽量安排在昼间，禁止夜间施工（但需连续作业的除外）。</w:t>
            </w:r>
          </w:p>
          <w:p w14:paraId="44F1DB12">
            <w:pPr>
              <w:adjustRightInd w:val="0"/>
              <w:snapToGrid w:val="0"/>
              <w:jc w:val="center"/>
              <w:rPr>
                <w:rFonts w:ascii="宋体" w:hAnsi="宋体"/>
                <w:color w:val="auto"/>
              </w:rPr>
            </w:pPr>
            <w:r>
              <w:rPr>
                <w:rFonts w:hint="eastAsia" w:ascii="宋体" w:hAnsi="宋体"/>
                <w:color w:val="auto"/>
              </w:rPr>
              <w:t>2）优化钻井平台布局，使柴油发电机高噪声源尽量布置在井场中间，远离井场厂界。</w:t>
            </w:r>
          </w:p>
          <w:p w14:paraId="1CB14748">
            <w:pPr>
              <w:adjustRightInd w:val="0"/>
              <w:snapToGrid w:val="0"/>
              <w:jc w:val="center"/>
              <w:rPr>
                <w:rFonts w:ascii="宋体" w:hAnsi="宋体"/>
                <w:color w:val="auto"/>
              </w:rPr>
            </w:pPr>
            <w:r>
              <w:rPr>
                <w:rFonts w:hint="eastAsia" w:ascii="宋体" w:hAnsi="宋体"/>
                <w:color w:val="auto"/>
              </w:rPr>
              <w:t>3）选用低噪声设备。在工业网电条件具备的地方，尽可能以工业电网替代柴油发电机为钻机提供动力。</w:t>
            </w:r>
          </w:p>
          <w:p w14:paraId="771FC23E">
            <w:pPr>
              <w:adjustRightInd w:val="0"/>
              <w:snapToGrid w:val="0"/>
              <w:jc w:val="center"/>
              <w:rPr>
                <w:rFonts w:ascii="宋体" w:hAnsi="宋体"/>
                <w:color w:val="auto"/>
              </w:rPr>
            </w:pPr>
            <w:r>
              <w:rPr>
                <w:rFonts w:hint="eastAsia" w:ascii="宋体" w:hAnsi="宋体"/>
                <w:color w:val="auto"/>
              </w:rPr>
              <w:t>5）加强检查、维护和保养工作，减少运行振动噪声。</w:t>
            </w:r>
          </w:p>
          <w:p w14:paraId="43E05948">
            <w:pPr>
              <w:adjustRightInd w:val="0"/>
              <w:snapToGrid w:val="0"/>
              <w:jc w:val="center"/>
              <w:rPr>
                <w:rFonts w:ascii="宋体" w:hAnsi="宋体"/>
                <w:color w:val="auto"/>
              </w:rPr>
            </w:pPr>
            <w:r>
              <w:rPr>
                <w:rFonts w:hint="eastAsia" w:ascii="宋体" w:hAnsi="宋体"/>
                <w:color w:val="auto"/>
              </w:rPr>
              <w:t>6）整体设备要安放稳固，并与地面保持良好接触，有条件的应使用减振机座，如柴油机、发电机和各种机泵等要采取机房隔声、基础减振及消声等措施；泥浆泵、振动筛采取加衬弹性垫料的减振措施</w:t>
            </w:r>
          </w:p>
        </w:tc>
        <w:tc>
          <w:tcPr>
            <w:tcW w:w="1869" w:type="pct"/>
            <w:shd w:val="clear" w:color="auto" w:fill="auto"/>
            <w:vAlign w:val="center"/>
          </w:tcPr>
          <w:p w14:paraId="1813903E">
            <w:pPr>
              <w:adjustRightInd w:val="0"/>
              <w:snapToGrid w:val="0"/>
              <w:jc w:val="center"/>
              <w:rPr>
                <w:rFonts w:ascii="宋体" w:hAnsi="宋体"/>
                <w:color w:val="auto"/>
              </w:rPr>
            </w:pPr>
            <w:r>
              <w:rPr>
                <w:rFonts w:hint="eastAsia" w:ascii="宋体" w:hAnsi="宋体"/>
                <w:color w:val="auto"/>
              </w:rPr>
              <w:t>经调查，本期工程井场2</w:t>
            </w:r>
            <w:r>
              <w:rPr>
                <w:rFonts w:ascii="宋体" w:hAnsi="宋体"/>
                <w:color w:val="auto"/>
              </w:rPr>
              <w:t>00m</w:t>
            </w:r>
            <w:r>
              <w:rPr>
                <w:rFonts w:hint="eastAsia" w:ascii="宋体" w:hAnsi="宋体"/>
                <w:color w:val="auto"/>
              </w:rPr>
              <w:t>内无噪声敏感目标，管线施工期间避免了夜间施工，</w:t>
            </w:r>
            <w:r>
              <w:rPr>
                <w:rFonts w:hint="eastAsia" w:ascii="宋体" w:hAnsi="宋体" w:cs="宋体"/>
                <w:color w:val="auto"/>
              </w:rPr>
              <w:t>验收期间未进行井下作业，后期作业施工时需选择合理的施工时间及低噪声设备，可减轻对周边声环境的影响，施工期间未接到投诉。</w:t>
            </w:r>
          </w:p>
        </w:tc>
        <w:tc>
          <w:tcPr>
            <w:tcW w:w="533" w:type="pct"/>
            <w:shd w:val="clear" w:color="auto" w:fill="auto"/>
            <w:vAlign w:val="center"/>
          </w:tcPr>
          <w:p w14:paraId="06EAE8CD">
            <w:pPr>
              <w:adjustRightInd w:val="0"/>
              <w:snapToGrid w:val="0"/>
              <w:jc w:val="center"/>
              <w:rPr>
                <w:rFonts w:ascii="宋体" w:hAnsi="宋体"/>
                <w:color w:val="auto"/>
              </w:rPr>
            </w:pPr>
            <w:r>
              <w:rPr>
                <w:rFonts w:hint="eastAsia" w:ascii="宋体" w:hAnsi="宋体"/>
                <w:color w:val="auto"/>
              </w:rPr>
              <w:t>已落实</w:t>
            </w:r>
          </w:p>
        </w:tc>
      </w:tr>
      <w:tr w14:paraId="36773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4B4E5160">
            <w:pPr>
              <w:widowControl/>
              <w:jc w:val="center"/>
              <w:rPr>
                <w:rFonts w:ascii="宋体" w:hAnsi="宋体"/>
                <w:color w:val="auto"/>
              </w:rPr>
            </w:pPr>
          </w:p>
        </w:tc>
        <w:tc>
          <w:tcPr>
            <w:tcW w:w="598" w:type="pct"/>
            <w:shd w:val="clear" w:color="auto" w:fill="auto"/>
            <w:tcMar>
              <w:top w:w="0" w:type="dxa"/>
              <w:left w:w="6" w:type="dxa"/>
              <w:bottom w:w="0" w:type="dxa"/>
              <w:right w:w="6" w:type="dxa"/>
            </w:tcMar>
            <w:vAlign w:val="center"/>
          </w:tcPr>
          <w:p w14:paraId="07725081">
            <w:pPr>
              <w:adjustRightInd w:val="0"/>
              <w:snapToGrid w:val="0"/>
              <w:jc w:val="center"/>
              <w:rPr>
                <w:rFonts w:ascii="宋体" w:hAnsi="宋体"/>
                <w:color w:val="auto"/>
              </w:rPr>
            </w:pPr>
            <w:r>
              <w:rPr>
                <w:rFonts w:hint="eastAsia" w:ascii="宋体" w:hAnsi="宋体"/>
                <w:color w:val="auto"/>
              </w:rPr>
              <w:t>生态环境</w:t>
            </w:r>
          </w:p>
        </w:tc>
        <w:tc>
          <w:tcPr>
            <w:tcW w:w="1759" w:type="pct"/>
            <w:shd w:val="clear" w:color="auto" w:fill="auto"/>
            <w:vAlign w:val="center"/>
          </w:tcPr>
          <w:p w14:paraId="027E2D33">
            <w:pPr>
              <w:adjustRightInd w:val="0"/>
              <w:snapToGrid w:val="0"/>
              <w:jc w:val="center"/>
              <w:rPr>
                <w:rFonts w:ascii="宋体" w:hAnsi="宋体"/>
                <w:color w:val="auto"/>
              </w:rPr>
            </w:pPr>
            <w:r>
              <w:rPr>
                <w:rFonts w:hint="eastAsia" w:ascii="宋体" w:hAnsi="宋体"/>
                <w:color w:val="auto"/>
              </w:rPr>
              <w:t>1）合理制定施工计划，严格施工现场管理，减少对生态环境的扰动；2）制定合理、可行的生态恢复计划，并按计划落实</w:t>
            </w:r>
          </w:p>
        </w:tc>
        <w:tc>
          <w:tcPr>
            <w:tcW w:w="1869" w:type="pct"/>
            <w:shd w:val="clear" w:color="auto" w:fill="auto"/>
            <w:vAlign w:val="center"/>
          </w:tcPr>
          <w:p w14:paraId="469AAF08">
            <w:pPr>
              <w:adjustRightInd w:val="0"/>
              <w:snapToGrid w:val="0"/>
              <w:jc w:val="center"/>
              <w:rPr>
                <w:rFonts w:ascii="宋体" w:hAnsi="宋体"/>
                <w:color w:val="auto"/>
              </w:rPr>
            </w:pPr>
            <w:r>
              <w:rPr>
                <w:rFonts w:hint="eastAsia" w:ascii="宋体" w:hAnsi="宋体"/>
                <w:color w:val="auto"/>
              </w:rPr>
              <w:t>1）合理制定了施工计划，严格施工现场管理，减少了对生态环境的扰动；2）制定合理、可行的生态恢复计划，并按计划落实</w:t>
            </w:r>
          </w:p>
        </w:tc>
        <w:tc>
          <w:tcPr>
            <w:tcW w:w="533" w:type="pct"/>
            <w:shd w:val="clear" w:color="auto" w:fill="auto"/>
            <w:vAlign w:val="center"/>
          </w:tcPr>
          <w:p w14:paraId="01BB0850">
            <w:pPr>
              <w:adjustRightInd w:val="0"/>
              <w:snapToGrid w:val="0"/>
              <w:jc w:val="center"/>
              <w:rPr>
                <w:rFonts w:ascii="宋体" w:hAnsi="宋体"/>
                <w:color w:val="auto"/>
              </w:rPr>
            </w:pPr>
            <w:r>
              <w:rPr>
                <w:rFonts w:hint="eastAsia" w:ascii="宋体" w:hAnsi="宋体"/>
                <w:color w:val="auto"/>
              </w:rPr>
              <w:t>已落实</w:t>
            </w:r>
          </w:p>
        </w:tc>
      </w:tr>
      <w:tr w14:paraId="18C93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restart"/>
            <w:shd w:val="clear" w:color="auto" w:fill="auto"/>
            <w:tcMar>
              <w:top w:w="0" w:type="dxa"/>
              <w:left w:w="6" w:type="dxa"/>
              <w:bottom w:w="0" w:type="dxa"/>
              <w:right w:w="6" w:type="dxa"/>
            </w:tcMar>
            <w:vAlign w:val="center"/>
          </w:tcPr>
          <w:p w14:paraId="37A391FA">
            <w:pPr>
              <w:adjustRightInd w:val="0"/>
              <w:snapToGrid w:val="0"/>
              <w:jc w:val="center"/>
              <w:rPr>
                <w:rFonts w:ascii="宋体" w:hAnsi="宋体"/>
                <w:color w:val="auto"/>
              </w:rPr>
            </w:pPr>
            <w:r>
              <w:rPr>
                <w:rFonts w:hint="eastAsia" w:ascii="宋体" w:hAnsi="宋体"/>
                <w:color w:val="auto"/>
              </w:rPr>
              <w:t>运营期</w:t>
            </w:r>
          </w:p>
        </w:tc>
        <w:tc>
          <w:tcPr>
            <w:tcW w:w="598" w:type="pct"/>
            <w:shd w:val="clear" w:color="auto" w:fill="auto"/>
            <w:tcMar>
              <w:top w:w="0" w:type="dxa"/>
              <w:left w:w="6" w:type="dxa"/>
              <w:bottom w:w="0" w:type="dxa"/>
              <w:right w:w="6" w:type="dxa"/>
            </w:tcMar>
            <w:vAlign w:val="center"/>
          </w:tcPr>
          <w:p w14:paraId="07372F62">
            <w:pPr>
              <w:adjustRightInd w:val="0"/>
              <w:snapToGrid w:val="0"/>
              <w:jc w:val="center"/>
              <w:rPr>
                <w:rFonts w:ascii="宋体" w:hAnsi="宋体"/>
                <w:color w:val="auto"/>
              </w:rPr>
            </w:pPr>
            <w:r>
              <w:rPr>
                <w:rFonts w:hint="eastAsia" w:ascii="宋体" w:hAnsi="宋体"/>
                <w:color w:val="auto"/>
              </w:rPr>
              <w:t>固体废物</w:t>
            </w:r>
          </w:p>
        </w:tc>
        <w:tc>
          <w:tcPr>
            <w:tcW w:w="1759" w:type="pct"/>
            <w:shd w:val="clear" w:color="auto" w:fill="auto"/>
            <w:vAlign w:val="center"/>
          </w:tcPr>
          <w:p w14:paraId="00BC8B08">
            <w:pPr>
              <w:adjustRightInd w:val="0"/>
              <w:snapToGrid w:val="0"/>
              <w:jc w:val="center"/>
              <w:rPr>
                <w:rFonts w:ascii="宋体" w:hAnsi="宋体"/>
                <w:color w:val="auto"/>
              </w:rPr>
            </w:pPr>
            <w:r>
              <w:rPr>
                <w:rFonts w:hint="eastAsia" w:ascii="宋体" w:hAnsi="宋体"/>
                <w:color w:val="auto"/>
              </w:rPr>
              <w:t>清罐底泥、落地油、废沾油包装物、废润滑油、废油桶、废变压器油、浮油及污泥等：委托</w:t>
            </w:r>
            <w:r>
              <w:rPr>
                <w:rFonts w:hint="eastAsia" w:ascii="宋体" w:hAnsi="宋体"/>
                <w:color w:val="auto"/>
                <w:kern w:val="0"/>
              </w:rPr>
              <w:t>具备危废处理资质的单位</w:t>
            </w:r>
            <w:r>
              <w:rPr>
                <w:rFonts w:hint="eastAsia" w:ascii="宋体" w:hAnsi="宋体"/>
                <w:color w:val="auto"/>
              </w:rPr>
              <w:t>进行无害化处置</w:t>
            </w:r>
          </w:p>
        </w:tc>
        <w:tc>
          <w:tcPr>
            <w:tcW w:w="1869" w:type="pct"/>
            <w:shd w:val="clear" w:color="auto" w:fill="auto"/>
            <w:vAlign w:val="center"/>
          </w:tcPr>
          <w:p w14:paraId="1CFEB8CC">
            <w:pPr>
              <w:adjustRightInd w:val="0"/>
              <w:snapToGrid w:val="0"/>
              <w:jc w:val="center"/>
              <w:rPr>
                <w:rFonts w:ascii="宋体" w:hAnsi="宋体"/>
                <w:color w:val="auto"/>
              </w:rPr>
            </w:pPr>
            <w:r>
              <w:rPr>
                <w:rFonts w:hint="eastAsia"/>
                <w:color w:val="auto"/>
              </w:rPr>
              <w:t>本期工程验收调查期间未产生危险废物；目前高青公司产生的落地油、浮油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w:t>
            </w:r>
          </w:p>
        </w:tc>
        <w:tc>
          <w:tcPr>
            <w:tcW w:w="533" w:type="pct"/>
            <w:shd w:val="clear" w:color="auto" w:fill="auto"/>
            <w:vAlign w:val="center"/>
          </w:tcPr>
          <w:p w14:paraId="5B456760">
            <w:pPr>
              <w:adjustRightInd w:val="0"/>
              <w:snapToGrid w:val="0"/>
              <w:jc w:val="center"/>
              <w:rPr>
                <w:rFonts w:ascii="宋体" w:hAnsi="宋体"/>
                <w:color w:val="auto"/>
              </w:rPr>
            </w:pPr>
            <w:r>
              <w:rPr>
                <w:rFonts w:hint="eastAsia" w:ascii="宋体" w:hAnsi="宋体"/>
                <w:color w:val="auto"/>
              </w:rPr>
              <w:t>已落实</w:t>
            </w:r>
          </w:p>
        </w:tc>
      </w:tr>
      <w:tr w14:paraId="36D11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75D46623">
            <w:pPr>
              <w:widowControl/>
              <w:jc w:val="center"/>
              <w:rPr>
                <w:rFonts w:ascii="宋体" w:hAnsi="宋体"/>
                <w:color w:val="auto"/>
              </w:rPr>
            </w:pPr>
          </w:p>
        </w:tc>
        <w:tc>
          <w:tcPr>
            <w:tcW w:w="598" w:type="pct"/>
            <w:vMerge w:val="restart"/>
            <w:shd w:val="clear" w:color="auto" w:fill="auto"/>
            <w:tcMar>
              <w:top w:w="0" w:type="dxa"/>
              <w:left w:w="6" w:type="dxa"/>
              <w:bottom w:w="0" w:type="dxa"/>
              <w:right w:w="6" w:type="dxa"/>
            </w:tcMar>
            <w:vAlign w:val="center"/>
          </w:tcPr>
          <w:p w14:paraId="0AAD98D7">
            <w:pPr>
              <w:adjustRightInd w:val="0"/>
              <w:snapToGrid w:val="0"/>
              <w:jc w:val="center"/>
              <w:rPr>
                <w:rFonts w:ascii="宋体" w:hAnsi="宋体"/>
                <w:color w:val="auto"/>
              </w:rPr>
            </w:pPr>
            <w:r>
              <w:rPr>
                <w:rFonts w:hint="eastAsia" w:ascii="宋体" w:hAnsi="宋体"/>
                <w:color w:val="auto"/>
              </w:rPr>
              <w:t>废水</w:t>
            </w:r>
          </w:p>
        </w:tc>
        <w:tc>
          <w:tcPr>
            <w:tcW w:w="1759" w:type="pct"/>
            <w:shd w:val="clear" w:color="auto" w:fill="auto"/>
            <w:vAlign w:val="center"/>
          </w:tcPr>
          <w:p w14:paraId="1114943A">
            <w:pPr>
              <w:adjustRightInd w:val="0"/>
              <w:snapToGrid w:val="0"/>
              <w:jc w:val="center"/>
              <w:rPr>
                <w:rFonts w:ascii="宋体" w:hAnsi="宋体"/>
                <w:color w:val="auto"/>
              </w:rPr>
            </w:pPr>
            <w:r>
              <w:rPr>
                <w:rFonts w:hint="eastAsia" w:ascii="宋体" w:hAnsi="宋体"/>
                <w:color w:val="auto"/>
              </w:rPr>
              <w:t>采出水：依托高青联合站、滨博接转站、樊163分水点处理达标后，回注用于油田注水开发，不外排</w:t>
            </w:r>
          </w:p>
        </w:tc>
        <w:tc>
          <w:tcPr>
            <w:tcW w:w="1869" w:type="pct"/>
            <w:shd w:val="clear" w:color="auto" w:fill="auto"/>
            <w:vAlign w:val="center"/>
          </w:tcPr>
          <w:p w14:paraId="23742361">
            <w:pPr>
              <w:adjustRightInd w:val="0"/>
              <w:snapToGrid w:val="0"/>
              <w:jc w:val="center"/>
              <w:rPr>
                <w:rFonts w:ascii="宋体" w:hAnsi="宋体"/>
                <w:color w:val="auto"/>
              </w:rPr>
            </w:pPr>
            <w:r>
              <w:rPr>
                <w:rFonts w:hint="eastAsia" w:ascii="宋体" w:hAnsi="宋体"/>
                <w:color w:val="auto"/>
              </w:rPr>
              <w:t>依托高青联合站、滨博接转站，处理达标后用于油田注水开发，不外排</w:t>
            </w:r>
          </w:p>
        </w:tc>
        <w:tc>
          <w:tcPr>
            <w:tcW w:w="533" w:type="pct"/>
            <w:shd w:val="clear" w:color="auto" w:fill="auto"/>
            <w:vAlign w:val="center"/>
          </w:tcPr>
          <w:p w14:paraId="42F89DC9">
            <w:pPr>
              <w:adjustRightInd w:val="0"/>
              <w:snapToGrid w:val="0"/>
              <w:jc w:val="center"/>
              <w:rPr>
                <w:rFonts w:ascii="宋体" w:hAnsi="宋体"/>
                <w:color w:val="auto"/>
              </w:rPr>
            </w:pPr>
            <w:r>
              <w:rPr>
                <w:rFonts w:hint="eastAsia" w:ascii="宋体" w:hAnsi="宋体"/>
                <w:color w:val="auto"/>
              </w:rPr>
              <w:t>已落实</w:t>
            </w:r>
          </w:p>
        </w:tc>
      </w:tr>
      <w:tr w14:paraId="384C7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15C0BF9B">
            <w:pPr>
              <w:widowControl/>
              <w:jc w:val="center"/>
              <w:rPr>
                <w:rFonts w:ascii="宋体" w:hAnsi="宋体"/>
                <w:color w:val="auto"/>
              </w:rPr>
            </w:pPr>
          </w:p>
        </w:tc>
        <w:tc>
          <w:tcPr>
            <w:tcW w:w="598" w:type="pct"/>
            <w:vMerge w:val="continue"/>
            <w:shd w:val="clear" w:color="auto" w:fill="auto"/>
            <w:vAlign w:val="center"/>
          </w:tcPr>
          <w:p w14:paraId="352A490E">
            <w:pPr>
              <w:widowControl/>
              <w:jc w:val="center"/>
              <w:rPr>
                <w:rFonts w:ascii="宋体" w:hAnsi="宋体"/>
                <w:color w:val="auto"/>
              </w:rPr>
            </w:pPr>
          </w:p>
        </w:tc>
        <w:tc>
          <w:tcPr>
            <w:tcW w:w="1759" w:type="pct"/>
            <w:shd w:val="clear" w:color="auto" w:fill="auto"/>
            <w:vAlign w:val="center"/>
          </w:tcPr>
          <w:p w14:paraId="100E1C4D">
            <w:pPr>
              <w:adjustRightInd w:val="0"/>
              <w:snapToGrid w:val="0"/>
              <w:jc w:val="center"/>
              <w:rPr>
                <w:rFonts w:ascii="宋体" w:hAnsi="宋体"/>
                <w:color w:val="auto"/>
              </w:rPr>
            </w:pPr>
            <w:r>
              <w:rPr>
                <w:rFonts w:hint="eastAsia" w:ascii="宋体" w:hAnsi="宋体"/>
                <w:color w:val="auto"/>
              </w:rPr>
              <w:t>井下作业废液：依托高青联合站采出水处理系统处理达标后用于注水开发，不外排</w:t>
            </w:r>
          </w:p>
        </w:tc>
        <w:tc>
          <w:tcPr>
            <w:tcW w:w="1869" w:type="pct"/>
            <w:shd w:val="clear" w:color="auto" w:fill="auto"/>
            <w:vAlign w:val="center"/>
          </w:tcPr>
          <w:p w14:paraId="06C2C795">
            <w:pPr>
              <w:adjustRightInd w:val="0"/>
              <w:snapToGrid w:val="0"/>
              <w:jc w:val="center"/>
              <w:rPr>
                <w:rFonts w:ascii="宋体" w:hAnsi="宋体"/>
                <w:color w:val="auto"/>
              </w:rPr>
            </w:pPr>
            <w:r>
              <w:rPr>
                <w:rFonts w:hint="eastAsia"/>
                <w:color w:val="auto"/>
              </w:rPr>
              <w:t>本次验收调查期间尚未开展井下作业，经现场调查，实施井下作业过程时，废水收集后均经收集后由罐车拉运至</w:t>
            </w:r>
            <w:r>
              <w:rPr>
                <w:rFonts w:hint="eastAsia"/>
                <w:color w:val="auto"/>
                <w:kern w:val="0"/>
              </w:rPr>
              <w:t>高青联合站、滨博接转站内采出水处理系统，</w:t>
            </w:r>
            <w:r>
              <w:rPr>
                <w:rFonts w:hint="eastAsia" w:ascii="宋体" w:hAnsi="宋体"/>
                <w:color w:val="auto"/>
              </w:rPr>
              <w:t>处理达标后用于油田注水开发，不外排</w:t>
            </w:r>
          </w:p>
        </w:tc>
        <w:tc>
          <w:tcPr>
            <w:tcW w:w="533" w:type="pct"/>
            <w:shd w:val="clear" w:color="auto" w:fill="auto"/>
            <w:vAlign w:val="center"/>
          </w:tcPr>
          <w:p w14:paraId="28042B45">
            <w:pPr>
              <w:adjustRightInd w:val="0"/>
              <w:snapToGrid w:val="0"/>
              <w:jc w:val="center"/>
              <w:rPr>
                <w:rFonts w:ascii="宋体" w:hAnsi="宋体"/>
                <w:color w:val="auto"/>
              </w:rPr>
            </w:pPr>
            <w:r>
              <w:rPr>
                <w:rFonts w:hint="eastAsia" w:ascii="宋体" w:hAnsi="宋体"/>
                <w:color w:val="auto"/>
              </w:rPr>
              <w:t>已落实</w:t>
            </w:r>
          </w:p>
        </w:tc>
      </w:tr>
      <w:tr w14:paraId="61C3C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65F9031C">
            <w:pPr>
              <w:widowControl/>
              <w:jc w:val="center"/>
              <w:rPr>
                <w:rFonts w:ascii="宋体" w:hAnsi="宋体"/>
                <w:color w:val="auto"/>
              </w:rPr>
            </w:pPr>
          </w:p>
        </w:tc>
        <w:tc>
          <w:tcPr>
            <w:tcW w:w="598" w:type="pct"/>
            <w:vMerge w:val="restart"/>
            <w:shd w:val="clear" w:color="auto" w:fill="auto"/>
            <w:tcMar>
              <w:top w:w="0" w:type="dxa"/>
              <w:left w:w="6" w:type="dxa"/>
              <w:bottom w:w="0" w:type="dxa"/>
              <w:right w:w="6" w:type="dxa"/>
            </w:tcMar>
            <w:vAlign w:val="center"/>
          </w:tcPr>
          <w:p w14:paraId="1840DBCF">
            <w:pPr>
              <w:adjustRightInd w:val="0"/>
              <w:snapToGrid w:val="0"/>
              <w:jc w:val="center"/>
              <w:rPr>
                <w:rFonts w:ascii="宋体" w:hAnsi="宋体"/>
                <w:color w:val="auto"/>
              </w:rPr>
            </w:pPr>
            <w:r>
              <w:rPr>
                <w:rFonts w:hint="eastAsia" w:ascii="宋体" w:hAnsi="宋体"/>
                <w:color w:val="auto"/>
              </w:rPr>
              <w:t>废气</w:t>
            </w:r>
          </w:p>
        </w:tc>
        <w:tc>
          <w:tcPr>
            <w:tcW w:w="1759" w:type="pct"/>
            <w:shd w:val="clear" w:color="auto" w:fill="auto"/>
            <w:vAlign w:val="center"/>
          </w:tcPr>
          <w:p w14:paraId="1997DE17">
            <w:pPr>
              <w:adjustRightInd w:val="0"/>
              <w:snapToGrid w:val="0"/>
              <w:jc w:val="center"/>
              <w:rPr>
                <w:rFonts w:ascii="宋体" w:hAnsi="宋体"/>
                <w:color w:val="auto"/>
              </w:rPr>
            </w:pPr>
            <w:r>
              <w:rPr>
                <w:rFonts w:hint="eastAsia" w:ascii="宋体" w:hAnsi="宋体"/>
                <w:color w:val="auto"/>
              </w:rPr>
              <w:t>井场无组织挥发废气：油井安装油套连通套管气回收装置；单井拉油井场采出液采取顶部浸没式装车方式</w:t>
            </w:r>
          </w:p>
        </w:tc>
        <w:tc>
          <w:tcPr>
            <w:tcW w:w="1869" w:type="pct"/>
            <w:shd w:val="clear" w:color="auto" w:fill="auto"/>
            <w:vAlign w:val="center"/>
          </w:tcPr>
          <w:p w14:paraId="2B26C581">
            <w:pPr>
              <w:adjustRightInd w:val="0"/>
              <w:snapToGrid w:val="0"/>
              <w:jc w:val="center"/>
              <w:rPr>
                <w:rFonts w:ascii="宋体" w:hAnsi="宋体"/>
                <w:color w:val="auto"/>
              </w:rPr>
            </w:pPr>
            <w:r>
              <w:rPr>
                <w:rFonts w:hint="eastAsia" w:ascii="宋体" w:hAnsi="宋体"/>
                <w:color w:val="auto"/>
              </w:rPr>
              <w:t>油井安装油套连通套管气回收装置（自喷井后续安装）；单井拉油井场采出液采取顶部浸没式装车方式</w:t>
            </w:r>
          </w:p>
        </w:tc>
        <w:tc>
          <w:tcPr>
            <w:tcW w:w="533" w:type="pct"/>
            <w:shd w:val="clear" w:color="auto" w:fill="auto"/>
            <w:vAlign w:val="center"/>
          </w:tcPr>
          <w:p w14:paraId="4829B749">
            <w:pPr>
              <w:adjustRightInd w:val="0"/>
              <w:snapToGrid w:val="0"/>
              <w:jc w:val="center"/>
              <w:rPr>
                <w:rFonts w:ascii="宋体" w:hAnsi="宋体"/>
                <w:color w:val="auto"/>
              </w:rPr>
            </w:pPr>
            <w:r>
              <w:rPr>
                <w:rFonts w:hint="eastAsia" w:ascii="宋体" w:hAnsi="宋体"/>
                <w:color w:val="auto"/>
              </w:rPr>
              <w:t>已落实</w:t>
            </w:r>
          </w:p>
        </w:tc>
      </w:tr>
      <w:tr w14:paraId="476EE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287EF9EE">
            <w:pPr>
              <w:widowControl/>
              <w:jc w:val="center"/>
              <w:rPr>
                <w:rFonts w:ascii="宋体" w:hAnsi="宋体"/>
                <w:color w:val="auto"/>
              </w:rPr>
            </w:pPr>
          </w:p>
        </w:tc>
        <w:tc>
          <w:tcPr>
            <w:tcW w:w="598" w:type="pct"/>
            <w:vMerge w:val="continue"/>
            <w:shd w:val="clear" w:color="auto" w:fill="auto"/>
            <w:vAlign w:val="center"/>
          </w:tcPr>
          <w:p w14:paraId="159082EA">
            <w:pPr>
              <w:widowControl/>
              <w:jc w:val="center"/>
              <w:rPr>
                <w:rFonts w:ascii="宋体" w:hAnsi="宋体"/>
                <w:color w:val="auto"/>
              </w:rPr>
            </w:pPr>
          </w:p>
        </w:tc>
        <w:tc>
          <w:tcPr>
            <w:tcW w:w="1759" w:type="pct"/>
            <w:shd w:val="clear" w:color="auto" w:fill="auto"/>
            <w:vAlign w:val="center"/>
          </w:tcPr>
          <w:p w14:paraId="49C0950B">
            <w:pPr>
              <w:adjustRightInd w:val="0"/>
              <w:snapToGrid w:val="0"/>
              <w:jc w:val="center"/>
              <w:rPr>
                <w:rFonts w:ascii="宋体" w:hAnsi="宋体"/>
                <w:color w:val="auto"/>
              </w:rPr>
            </w:pPr>
            <w:r>
              <w:rPr>
                <w:rFonts w:hint="eastAsia" w:ascii="宋体" w:hAnsi="宋体"/>
                <w:color w:val="auto"/>
              </w:rPr>
              <w:t>有组织废气：燃烧清洁伴生气，加热炉排气筒高度不低于8m，多功能罐排气筒高度不低于15m；安装低氮燃烧器</w:t>
            </w:r>
          </w:p>
        </w:tc>
        <w:tc>
          <w:tcPr>
            <w:tcW w:w="1869" w:type="pct"/>
            <w:shd w:val="clear" w:color="auto" w:fill="auto"/>
            <w:vAlign w:val="center"/>
          </w:tcPr>
          <w:p w14:paraId="7B122341">
            <w:pPr>
              <w:adjustRightInd w:val="0"/>
              <w:snapToGrid w:val="0"/>
              <w:jc w:val="center"/>
              <w:rPr>
                <w:rFonts w:ascii="宋体" w:hAnsi="宋体"/>
                <w:color w:val="auto"/>
              </w:rPr>
            </w:pPr>
            <w:r>
              <w:rPr>
                <w:rFonts w:hint="eastAsia" w:ascii="宋体" w:hAnsi="宋体"/>
                <w:color w:val="auto"/>
              </w:rPr>
              <w:t>加热炉排气筒高度不低于8m，安装了低氮燃烧器</w:t>
            </w:r>
          </w:p>
        </w:tc>
        <w:tc>
          <w:tcPr>
            <w:tcW w:w="533" w:type="pct"/>
            <w:shd w:val="clear" w:color="auto" w:fill="auto"/>
            <w:vAlign w:val="center"/>
          </w:tcPr>
          <w:p w14:paraId="2A4A56B1">
            <w:pPr>
              <w:adjustRightInd w:val="0"/>
              <w:snapToGrid w:val="0"/>
              <w:jc w:val="center"/>
              <w:rPr>
                <w:rFonts w:ascii="宋体" w:hAnsi="宋体"/>
                <w:color w:val="auto"/>
              </w:rPr>
            </w:pPr>
            <w:r>
              <w:rPr>
                <w:rFonts w:hint="eastAsia" w:ascii="宋体" w:hAnsi="宋体"/>
                <w:color w:val="auto"/>
              </w:rPr>
              <w:t>已落实</w:t>
            </w:r>
          </w:p>
        </w:tc>
      </w:tr>
      <w:tr w14:paraId="388F2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1" w:type="pct"/>
            <w:vMerge w:val="continue"/>
            <w:shd w:val="clear" w:color="auto" w:fill="auto"/>
            <w:vAlign w:val="center"/>
          </w:tcPr>
          <w:p w14:paraId="02E73D40">
            <w:pPr>
              <w:widowControl/>
              <w:jc w:val="center"/>
              <w:rPr>
                <w:rFonts w:ascii="宋体" w:hAnsi="宋体"/>
                <w:color w:val="auto"/>
              </w:rPr>
            </w:pPr>
          </w:p>
        </w:tc>
        <w:tc>
          <w:tcPr>
            <w:tcW w:w="598" w:type="pct"/>
            <w:shd w:val="clear" w:color="auto" w:fill="auto"/>
            <w:tcMar>
              <w:top w:w="0" w:type="dxa"/>
              <w:left w:w="6" w:type="dxa"/>
              <w:bottom w:w="0" w:type="dxa"/>
              <w:right w:w="6" w:type="dxa"/>
            </w:tcMar>
            <w:vAlign w:val="center"/>
          </w:tcPr>
          <w:p w14:paraId="5C4225F2">
            <w:pPr>
              <w:adjustRightInd w:val="0"/>
              <w:snapToGrid w:val="0"/>
              <w:jc w:val="center"/>
              <w:rPr>
                <w:rFonts w:ascii="宋体" w:hAnsi="宋体"/>
                <w:color w:val="auto"/>
              </w:rPr>
            </w:pPr>
            <w:r>
              <w:rPr>
                <w:rFonts w:hint="eastAsia" w:ascii="宋体" w:hAnsi="宋体"/>
                <w:color w:val="auto"/>
              </w:rPr>
              <w:t>噪声</w:t>
            </w:r>
          </w:p>
        </w:tc>
        <w:tc>
          <w:tcPr>
            <w:tcW w:w="1759" w:type="pct"/>
            <w:shd w:val="clear" w:color="auto" w:fill="auto"/>
            <w:vAlign w:val="center"/>
          </w:tcPr>
          <w:p w14:paraId="6B2FB4F3">
            <w:pPr>
              <w:adjustRightInd w:val="0"/>
              <w:snapToGrid w:val="0"/>
              <w:jc w:val="center"/>
              <w:rPr>
                <w:rFonts w:ascii="宋体" w:hAnsi="宋体"/>
                <w:color w:val="auto"/>
              </w:rPr>
            </w:pPr>
            <w:r>
              <w:rPr>
                <w:rFonts w:hint="eastAsia" w:ascii="宋体" w:hAnsi="宋体"/>
                <w:color w:val="auto"/>
              </w:rPr>
              <w:t>1）选择低噪声设备；</w:t>
            </w:r>
          </w:p>
          <w:p w14:paraId="27612FFD">
            <w:pPr>
              <w:adjustRightInd w:val="0"/>
              <w:snapToGrid w:val="0"/>
              <w:jc w:val="center"/>
              <w:rPr>
                <w:rFonts w:ascii="宋体" w:hAnsi="宋体"/>
                <w:color w:val="auto"/>
              </w:rPr>
            </w:pPr>
            <w:r>
              <w:rPr>
                <w:rFonts w:hint="eastAsia" w:ascii="宋体" w:hAnsi="宋体"/>
                <w:color w:val="auto"/>
              </w:rPr>
              <w:t>2）加强设备维护，使其处在最佳运行状态；</w:t>
            </w:r>
          </w:p>
        </w:tc>
        <w:tc>
          <w:tcPr>
            <w:tcW w:w="1869" w:type="pct"/>
            <w:shd w:val="clear" w:color="auto" w:fill="auto"/>
            <w:vAlign w:val="center"/>
          </w:tcPr>
          <w:p w14:paraId="364654FA">
            <w:pPr>
              <w:adjustRightInd w:val="0"/>
              <w:snapToGrid w:val="0"/>
              <w:jc w:val="center"/>
              <w:rPr>
                <w:rFonts w:ascii="宋体" w:hAnsi="宋体"/>
                <w:color w:val="auto"/>
              </w:rPr>
            </w:pPr>
            <w:r>
              <w:rPr>
                <w:rFonts w:hint="eastAsia" w:ascii="宋体" w:hAnsi="宋体"/>
                <w:color w:val="auto"/>
              </w:rPr>
              <w:t>1）选择了低噪声设备；</w:t>
            </w:r>
          </w:p>
          <w:p w14:paraId="04200A19">
            <w:pPr>
              <w:adjustRightInd w:val="0"/>
              <w:snapToGrid w:val="0"/>
              <w:jc w:val="center"/>
              <w:rPr>
                <w:rFonts w:ascii="宋体" w:hAnsi="宋体"/>
                <w:color w:val="auto"/>
              </w:rPr>
            </w:pPr>
            <w:r>
              <w:rPr>
                <w:rFonts w:hint="eastAsia" w:ascii="宋体" w:hAnsi="宋体"/>
                <w:color w:val="auto"/>
              </w:rPr>
              <w:t>2）加强了设备维护，使其处在最佳运行状态</w:t>
            </w:r>
          </w:p>
        </w:tc>
        <w:tc>
          <w:tcPr>
            <w:tcW w:w="533" w:type="pct"/>
            <w:shd w:val="clear" w:color="auto" w:fill="auto"/>
            <w:vAlign w:val="center"/>
          </w:tcPr>
          <w:p w14:paraId="4169998E">
            <w:pPr>
              <w:adjustRightInd w:val="0"/>
              <w:snapToGrid w:val="0"/>
              <w:jc w:val="center"/>
              <w:rPr>
                <w:rFonts w:ascii="宋体" w:hAnsi="宋体"/>
                <w:color w:val="auto"/>
              </w:rPr>
            </w:pPr>
            <w:r>
              <w:rPr>
                <w:rFonts w:hint="eastAsia" w:ascii="宋体" w:hAnsi="宋体"/>
                <w:color w:val="auto"/>
              </w:rPr>
              <w:t>已落实</w:t>
            </w:r>
          </w:p>
        </w:tc>
      </w:tr>
      <w:tr w14:paraId="68771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9" w:type="pct"/>
            <w:gridSpan w:val="2"/>
            <w:shd w:val="clear" w:color="auto" w:fill="auto"/>
            <w:tcMar>
              <w:top w:w="0" w:type="dxa"/>
              <w:left w:w="6" w:type="dxa"/>
              <w:bottom w:w="0" w:type="dxa"/>
              <w:right w:w="6" w:type="dxa"/>
            </w:tcMar>
            <w:vAlign w:val="center"/>
          </w:tcPr>
          <w:p w14:paraId="2B771A98">
            <w:pPr>
              <w:adjustRightInd w:val="0"/>
              <w:snapToGrid w:val="0"/>
              <w:jc w:val="center"/>
              <w:rPr>
                <w:rFonts w:ascii="宋体" w:hAnsi="宋体"/>
                <w:color w:val="auto"/>
              </w:rPr>
            </w:pPr>
            <w:r>
              <w:rPr>
                <w:rFonts w:hint="eastAsia" w:ascii="宋体" w:hAnsi="宋体"/>
                <w:color w:val="auto"/>
              </w:rPr>
              <w:t>环境风险</w:t>
            </w:r>
          </w:p>
        </w:tc>
        <w:tc>
          <w:tcPr>
            <w:tcW w:w="1759" w:type="pct"/>
            <w:shd w:val="clear" w:color="auto" w:fill="auto"/>
            <w:vAlign w:val="center"/>
          </w:tcPr>
          <w:p w14:paraId="123CC30F">
            <w:pPr>
              <w:adjustRightInd w:val="0"/>
              <w:snapToGrid w:val="0"/>
              <w:jc w:val="center"/>
              <w:rPr>
                <w:rFonts w:ascii="宋体" w:hAnsi="宋体"/>
                <w:color w:val="auto"/>
              </w:rPr>
            </w:pPr>
            <w:r>
              <w:rPr>
                <w:rFonts w:hint="eastAsia" w:ascii="宋体" w:hAnsi="宋体"/>
                <w:color w:val="auto"/>
              </w:rPr>
              <w:t>风险防范措施及应急预案</w:t>
            </w:r>
          </w:p>
        </w:tc>
        <w:tc>
          <w:tcPr>
            <w:tcW w:w="1869" w:type="pct"/>
            <w:shd w:val="clear" w:color="auto" w:fill="auto"/>
            <w:vAlign w:val="center"/>
          </w:tcPr>
          <w:p w14:paraId="16FD42CC">
            <w:pPr>
              <w:adjustRightInd w:val="0"/>
              <w:snapToGrid w:val="0"/>
              <w:jc w:val="center"/>
              <w:rPr>
                <w:rFonts w:ascii="宋体" w:hAnsi="宋体"/>
                <w:color w:val="auto"/>
              </w:rPr>
            </w:pPr>
            <w:r>
              <w:rPr>
                <w:rFonts w:hint="eastAsia" w:ascii="宋体" w:hAnsi="宋体" w:cs="宋体"/>
                <w:color w:val="auto"/>
              </w:rPr>
              <w:t>已制定相应的应急预案，并完成</w:t>
            </w:r>
            <w:r>
              <w:rPr>
                <w:rFonts w:ascii="宋体" w:hAnsi="宋体" w:cs="宋体"/>
                <w:color w:val="auto"/>
              </w:rPr>
              <w:t>了备案</w:t>
            </w:r>
            <w:r>
              <w:rPr>
                <w:rFonts w:hint="eastAsia" w:ascii="宋体" w:hAnsi="宋体" w:cs="宋体"/>
                <w:color w:val="auto"/>
              </w:rPr>
              <w:t>，建设单位定期组织了应急演练</w:t>
            </w:r>
          </w:p>
        </w:tc>
        <w:tc>
          <w:tcPr>
            <w:tcW w:w="533" w:type="pct"/>
            <w:shd w:val="clear" w:color="auto" w:fill="auto"/>
            <w:vAlign w:val="center"/>
          </w:tcPr>
          <w:p w14:paraId="2EF91EEC">
            <w:pPr>
              <w:adjustRightInd w:val="0"/>
              <w:snapToGrid w:val="0"/>
              <w:jc w:val="center"/>
              <w:rPr>
                <w:rFonts w:ascii="宋体" w:hAnsi="宋体"/>
                <w:color w:val="auto"/>
              </w:rPr>
            </w:pPr>
            <w:r>
              <w:rPr>
                <w:rFonts w:hint="eastAsia" w:ascii="宋体" w:hAnsi="宋体"/>
                <w:color w:val="auto"/>
              </w:rPr>
              <w:t>已落实</w:t>
            </w:r>
          </w:p>
        </w:tc>
      </w:tr>
      <w:tr w14:paraId="19AF2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9" w:type="pct"/>
            <w:gridSpan w:val="2"/>
            <w:shd w:val="clear" w:color="auto" w:fill="auto"/>
            <w:tcMar>
              <w:top w:w="0" w:type="dxa"/>
              <w:left w:w="6" w:type="dxa"/>
              <w:bottom w:w="0" w:type="dxa"/>
              <w:right w:w="6" w:type="dxa"/>
            </w:tcMar>
            <w:vAlign w:val="center"/>
          </w:tcPr>
          <w:p w14:paraId="30C9FA7C">
            <w:pPr>
              <w:adjustRightInd w:val="0"/>
              <w:snapToGrid w:val="0"/>
              <w:jc w:val="center"/>
              <w:rPr>
                <w:rFonts w:ascii="宋体" w:hAnsi="宋体"/>
                <w:color w:val="auto"/>
              </w:rPr>
            </w:pPr>
            <w:r>
              <w:rPr>
                <w:rFonts w:hint="eastAsia" w:ascii="宋体" w:hAnsi="宋体"/>
                <w:color w:val="auto"/>
              </w:rPr>
              <w:t>环境管理与环境监测</w:t>
            </w:r>
          </w:p>
        </w:tc>
        <w:tc>
          <w:tcPr>
            <w:tcW w:w="1759" w:type="pct"/>
            <w:shd w:val="clear" w:color="auto" w:fill="auto"/>
            <w:vAlign w:val="center"/>
          </w:tcPr>
          <w:p w14:paraId="7A5E62B1">
            <w:pPr>
              <w:adjustRightInd w:val="0"/>
              <w:snapToGrid w:val="0"/>
              <w:jc w:val="center"/>
              <w:rPr>
                <w:rFonts w:ascii="宋体" w:hAnsi="宋体"/>
                <w:color w:val="auto"/>
              </w:rPr>
            </w:pPr>
            <w:r>
              <w:rPr>
                <w:rFonts w:hint="eastAsia" w:ascii="宋体" w:hAnsi="宋体"/>
                <w:color w:val="auto"/>
              </w:rPr>
              <w:t xml:space="preserve">委托有关部门或设备生产厂家，对有关人员进行操作技能培训，培训合格后上岗；制定环境管理制度与监测计划，委托有资质的单位定期进行监测，建立健全设备运行记录 </w:t>
            </w:r>
          </w:p>
        </w:tc>
        <w:tc>
          <w:tcPr>
            <w:tcW w:w="1869" w:type="pct"/>
            <w:shd w:val="clear" w:color="auto" w:fill="auto"/>
            <w:vAlign w:val="center"/>
          </w:tcPr>
          <w:p w14:paraId="65785A22">
            <w:pPr>
              <w:adjustRightInd w:val="0"/>
              <w:snapToGrid w:val="0"/>
              <w:jc w:val="center"/>
              <w:rPr>
                <w:rFonts w:ascii="宋体" w:hAnsi="宋体"/>
                <w:color w:val="auto"/>
              </w:rPr>
            </w:pPr>
            <w:r>
              <w:rPr>
                <w:rFonts w:hint="eastAsia" w:ascii="宋体" w:hAnsi="宋体" w:cs="宋体"/>
                <w:color w:val="auto"/>
              </w:rPr>
              <w:t>建设单位制定了环境管理制度与监测计划，委托有资质的单位定期进行监测，建立健全设备运行记录</w:t>
            </w:r>
          </w:p>
        </w:tc>
        <w:tc>
          <w:tcPr>
            <w:tcW w:w="533" w:type="pct"/>
            <w:shd w:val="clear" w:color="auto" w:fill="auto"/>
            <w:vAlign w:val="center"/>
          </w:tcPr>
          <w:p w14:paraId="0E31227F">
            <w:pPr>
              <w:adjustRightInd w:val="0"/>
              <w:snapToGrid w:val="0"/>
              <w:jc w:val="center"/>
              <w:rPr>
                <w:rFonts w:ascii="宋体" w:hAnsi="宋体"/>
                <w:color w:val="auto"/>
              </w:rPr>
            </w:pPr>
            <w:r>
              <w:rPr>
                <w:rFonts w:hint="eastAsia" w:ascii="宋体" w:hAnsi="宋体"/>
                <w:color w:val="auto"/>
              </w:rPr>
              <w:t>已落实</w:t>
            </w:r>
          </w:p>
        </w:tc>
      </w:tr>
    </w:tbl>
    <w:p w14:paraId="1DD761AC">
      <w:pPr>
        <w:rPr>
          <w:color w:val="auto"/>
        </w:rPr>
      </w:pPr>
    </w:p>
    <w:p w14:paraId="6EC83DE3">
      <w:pPr>
        <w:pStyle w:val="6"/>
        <w:rPr>
          <w:color w:val="auto"/>
        </w:rPr>
      </w:pPr>
      <w:r>
        <w:rPr>
          <w:rFonts w:hint="eastAsia"/>
          <w:color w:val="auto"/>
        </w:rPr>
        <w:t>环评批复意见</w:t>
      </w:r>
      <w:r>
        <w:rPr>
          <w:color w:val="auto"/>
        </w:rPr>
        <w:t>落实情况调查</w:t>
      </w:r>
    </w:p>
    <w:p w14:paraId="7E959D2A">
      <w:pPr>
        <w:pStyle w:val="128"/>
        <w:spacing w:line="331" w:lineRule="auto"/>
        <w:ind w:firstLine="480"/>
        <w:jc w:val="both"/>
        <w:rPr>
          <w:snapToGrid w:val="0"/>
          <w:color w:val="auto"/>
          <w:kern w:val="2"/>
          <w:szCs w:val="24"/>
        </w:rPr>
      </w:pPr>
      <w:r>
        <w:rPr>
          <w:rFonts w:hint="eastAsia"/>
          <w:snapToGrid w:val="0"/>
          <w:color w:val="auto"/>
          <w:kern w:val="2"/>
          <w:szCs w:val="24"/>
        </w:rPr>
        <w:t>生态环境</w:t>
      </w:r>
      <w:r>
        <w:rPr>
          <w:snapToGrid w:val="0"/>
          <w:color w:val="auto"/>
          <w:kern w:val="2"/>
          <w:szCs w:val="24"/>
        </w:rPr>
        <w:t>主管部门提出的批复意见的落实情况见</w:t>
      </w:r>
      <w:r>
        <w:rPr>
          <w:color w:val="auto"/>
        </w:rPr>
        <w:fldChar w:fldCharType="begin"/>
      </w:r>
      <w:r>
        <w:rPr>
          <w:snapToGrid w:val="0"/>
          <w:color w:val="auto"/>
          <w:kern w:val="2"/>
          <w:szCs w:val="24"/>
        </w:rPr>
        <w:instrText xml:space="preserve"> REF _Ref59444035 \h </w:instrText>
      </w:r>
      <w:r>
        <w:rPr>
          <w:color w:val="auto"/>
        </w:rPr>
        <w:instrText xml:space="preserve"> \* MERGEFORMAT </w:instrText>
      </w:r>
      <w:r>
        <w:rPr>
          <w:color w:val="auto"/>
        </w:rPr>
        <w:fldChar w:fldCharType="separate"/>
      </w:r>
      <w:r>
        <w:rPr>
          <w:rFonts w:hint="eastAsia"/>
          <w:color w:val="auto"/>
        </w:rPr>
        <w:t xml:space="preserve">表 </w:t>
      </w:r>
      <w:r>
        <w:rPr>
          <w:color w:val="auto"/>
        </w:rPr>
        <w:t>5.3</w:t>
      </w:r>
      <w:r>
        <w:rPr>
          <w:color w:val="auto"/>
        </w:rPr>
        <w:noBreakHyphen/>
      </w:r>
      <w:r>
        <w:rPr>
          <w:color w:val="auto"/>
        </w:rPr>
        <w:t>2</w:t>
      </w:r>
      <w:r>
        <w:rPr>
          <w:color w:val="auto"/>
        </w:rPr>
        <w:fldChar w:fldCharType="end"/>
      </w:r>
      <w:r>
        <w:rPr>
          <w:snapToGrid w:val="0"/>
          <w:color w:val="auto"/>
          <w:kern w:val="2"/>
          <w:szCs w:val="24"/>
        </w:rPr>
        <w:t>。从表中可以看出，建设单位基本落实了</w:t>
      </w:r>
      <w:r>
        <w:rPr>
          <w:rFonts w:hint="eastAsia"/>
          <w:color w:val="auto"/>
          <w:lang w:val="en-US"/>
        </w:rPr>
        <w:t>淄博市</w:t>
      </w:r>
      <w:r>
        <w:rPr>
          <w:rFonts w:hint="eastAsia"/>
          <w:color w:val="auto"/>
        </w:rPr>
        <w:t>生态环境局</w:t>
      </w:r>
      <w:r>
        <w:rPr>
          <w:rFonts w:hint="eastAsia"/>
          <w:color w:val="auto"/>
          <w:lang w:val="en-US"/>
        </w:rPr>
        <w:t>高青分局</w:t>
      </w:r>
      <w:r>
        <w:rPr>
          <w:snapToGrid w:val="0"/>
          <w:color w:val="auto"/>
          <w:kern w:val="2"/>
          <w:szCs w:val="24"/>
        </w:rPr>
        <w:t>对本期工程提出的环境保护措施，有效地降低了项目对环境的不利影响</w:t>
      </w:r>
      <w:r>
        <w:rPr>
          <w:rFonts w:hint="eastAsia"/>
          <w:snapToGrid w:val="0"/>
          <w:color w:val="auto"/>
          <w:kern w:val="2"/>
          <w:szCs w:val="24"/>
        </w:rPr>
        <w:t>。</w:t>
      </w:r>
    </w:p>
    <w:p w14:paraId="046E0C97">
      <w:pPr>
        <w:pStyle w:val="128"/>
        <w:spacing w:line="331" w:lineRule="auto"/>
        <w:ind w:firstLine="480"/>
        <w:jc w:val="center"/>
        <w:rPr>
          <w:snapToGrid w:val="0"/>
          <w:color w:val="auto"/>
          <w:kern w:val="2"/>
          <w:szCs w:val="24"/>
          <w:lang w:val="en-US"/>
        </w:rPr>
      </w:pPr>
      <w:bookmarkStart w:id="386" w:name="_Ref59444035"/>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2</w:t>
      </w:r>
      <w:r>
        <w:rPr>
          <w:color w:val="auto"/>
        </w:rPr>
        <w:fldChar w:fldCharType="end"/>
      </w:r>
      <w:bookmarkEnd w:id="386"/>
      <w:r>
        <w:rPr>
          <w:color w:val="auto"/>
        </w:rPr>
        <w:t xml:space="preserve">  </w:t>
      </w:r>
      <w:r>
        <w:rPr>
          <w:rFonts w:hint="eastAsia"/>
          <w:color w:val="auto"/>
          <w:szCs w:val="21"/>
        </w:rPr>
        <w:t>环评批复</w:t>
      </w:r>
      <w:r>
        <w:rPr>
          <w:color w:val="auto"/>
          <w:szCs w:val="21"/>
        </w:rPr>
        <w:t>意见落实情况调</w:t>
      </w:r>
      <w:r>
        <w:rPr>
          <w:rFonts w:hint="eastAsia"/>
          <w:color w:val="auto"/>
          <w:szCs w:val="21"/>
          <w:lang w:val="en-US"/>
        </w:rPr>
        <w:t>查</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3828"/>
        <w:gridCol w:w="3815"/>
        <w:gridCol w:w="426"/>
      </w:tblGrid>
      <w:tr w14:paraId="27B57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14:paraId="0E4B886A">
            <w:pPr>
              <w:pStyle w:val="15"/>
              <w:spacing w:before="120"/>
              <w:rPr>
                <w:rFonts w:hAnsi="宋体"/>
                <w:color w:val="auto"/>
                <w:kern w:val="0"/>
              </w:rPr>
            </w:pPr>
            <w:r>
              <w:rPr>
                <w:rFonts w:hint="eastAsia" w:hAnsi="宋体"/>
                <w:color w:val="auto"/>
                <w:kern w:val="0"/>
              </w:rPr>
              <w:t>项目</w:t>
            </w:r>
          </w:p>
        </w:tc>
        <w:tc>
          <w:tcPr>
            <w:tcW w:w="2180" w:type="pct"/>
            <w:tcBorders>
              <w:top w:val="single" w:color="auto" w:sz="4" w:space="0"/>
              <w:left w:val="single" w:color="auto" w:sz="4" w:space="0"/>
              <w:bottom w:val="single" w:color="auto" w:sz="4" w:space="0"/>
              <w:right w:val="single" w:color="auto" w:sz="4" w:space="0"/>
            </w:tcBorders>
            <w:vAlign w:val="center"/>
          </w:tcPr>
          <w:p w14:paraId="7AAE62D8">
            <w:pPr>
              <w:jc w:val="center"/>
              <w:rPr>
                <w:rFonts w:ascii="宋体" w:hAnsi="宋体"/>
                <w:color w:val="auto"/>
                <w:kern w:val="0"/>
              </w:rPr>
            </w:pPr>
            <w:r>
              <w:rPr>
                <w:rFonts w:hint="eastAsia" w:ascii="宋体" w:hAnsi="宋体"/>
                <w:color w:val="auto"/>
                <w:kern w:val="0"/>
              </w:rPr>
              <w:t>环评批复意见</w:t>
            </w:r>
          </w:p>
        </w:tc>
        <w:tc>
          <w:tcPr>
            <w:tcW w:w="2172" w:type="pct"/>
            <w:tcBorders>
              <w:top w:val="single" w:color="auto" w:sz="4" w:space="0"/>
              <w:left w:val="single" w:color="auto" w:sz="4" w:space="0"/>
              <w:bottom w:val="single" w:color="auto" w:sz="4" w:space="0"/>
              <w:right w:val="single" w:color="auto" w:sz="4" w:space="0"/>
            </w:tcBorders>
            <w:vAlign w:val="center"/>
          </w:tcPr>
          <w:p w14:paraId="3365F356">
            <w:pPr>
              <w:jc w:val="center"/>
              <w:rPr>
                <w:rFonts w:ascii="宋体" w:hAnsi="宋体"/>
                <w:color w:val="auto"/>
                <w:kern w:val="0"/>
              </w:rPr>
            </w:pPr>
            <w:r>
              <w:rPr>
                <w:rFonts w:hint="eastAsia" w:ascii="宋体" w:hAnsi="宋体"/>
                <w:color w:val="auto"/>
                <w:kern w:val="0"/>
              </w:rPr>
              <w:t>实际落实情况</w:t>
            </w:r>
          </w:p>
        </w:tc>
        <w:tc>
          <w:tcPr>
            <w:tcW w:w="267" w:type="pct"/>
            <w:tcBorders>
              <w:top w:val="single" w:color="auto" w:sz="4" w:space="0"/>
              <w:left w:val="single" w:color="auto" w:sz="4" w:space="0"/>
              <w:bottom w:val="single" w:color="auto" w:sz="4" w:space="0"/>
              <w:right w:val="single" w:color="auto" w:sz="4" w:space="0"/>
            </w:tcBorders>
            <w:vAlign w:val="center"/>
          </w:tcPr>
          <w:p w14:paraId="3F59CDEC">
            <w:pPr>
              <w:jc w:val="center"/>
              <w:rPr>
                <w:rFonts w:ascii="宋体" w:hAnsi="宋体"/>
                <w:color w:val="auto"/>
                <w:kern w:val="0"/>
              </w:rPr>
            </w:pPr>
            <w:r>
              <w:rPr>
                <w:rFonts w:hint="eastAsia" w:ascii="宋体" w:hAnsi="宋体"/>
                <w:color w:val="auto"/>
                <w:kern w:val="0"/>
              </w:rPr>
              <w:t>结论</w:t>
            </w:r>
          </w:p>
        </w:tc>
      </w:tr>
      <w:tr w14:paraId="34154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42A45469">
            <w:pPr>
              <w:jc w:val="center"/>
              <w:rPr>
                <w:rFonts w:ascii="宋体" w:hAnsi="宋体"/>
                <w:color w:val="auto"/>
                <w:kern w:val="0"/>
              </w:rPr>
            </w:pPr>
            <w:r>
              <w:rPr>
                <w:rFonts w:hint="eastAsia" w:ascii="宋体" w:hAnsi="宋体"/>
                <w:color w:val="auto"/>
                <w:kern w:val="0"/>
              </w:rPr>
              <w:t>废气污染防治</w:t>
            </w:r>
          </w:p>
        </w:tc>
        <w:tc>
          <w:tcPr>
            <w:tcW w:w="2202" w:type="pct"/>
            <w:tcBorders>
              <w:top w:val="single" w:color="auto" w:sz="4" w:space="0"/>
              <w:left w:val="single" w:color="auto" w:sz="4" w:space="0"/>
              <w:bottom w:val="single" w:color="auto" w:sz="4" w:space="0"/>
              <w:right w:val="single" w:color="auto" w:sz="4" w:space="0"/>
            </w:tcBorders>
            <w:vAlign w:val="center"/>
          </w:tcPr>
          <w:p w14:paraId="41B9FE53">
            <w:pPr>
              <w:jc w:val="center"/>
              <w:rPr>
                <w:color w:val="auto"/>
              </w:rPr>
            </w:pPr>
            <w:r>
              <w:rPr>
                <w:rFonts w:hint="eastAsia"/>
                <w:color w:val="auto"/>
              </w:rPr>
              <w:t>1、项目施工前建设单位要编制防止扬尘的操作规范，并安排专人负责工地环境工作。在项目施工期间建设单位须严格落实环评文件中提出的各项施工期扬尘控制措施，防止扬尘污染。</w:t>
            </w:r>
          </w:p>
          <w:p w14:paraId="757DAFB2">
            <w:pPr>
              <w:jc w:val="center"/>
              <w:rPr>
                <w:rFonts w:ascii="宋体" w:hAnsi="宋体"/>
                <w:color w:val="auto"/>
                <w:kern w:val="0"/>
              </w:rPr>
            </w:pPr>
            <w:r>
              <w:rPr>
                <w:color w:val="auto"/>
              </w:rPr>
              <w:t>2</w:t>
            </w:r>
            <w:r>
              <w:rPr>
                <w:rFonts w:hint="eastAsia"/>
                <w:color w:val="auto"/>
              </w:rPr>
              <w:t>、本项目施工期废气主要为扬尘、施工机械废气、焊接颗粒物、非甲烷总烃等；运营期主要为井场无组织挥发非甲烷总烃和硫化氢，加热炉、多功能罐废气；退役期废气为扬尘、施工废气等。加强钻井设施管理，采用低污染设备，加强井口密封，安装油套连通套管气回收装置，加热炉、多功能罐配套低氮燃烧器，确保废气排放符合《锅炉大气污染物排放标准》</w:t>
            </w:r>
            <w:r>
              <w:rPr>
                <w:color w:val="auto"/>
              </w:rPr>
              <w:t>(DB37/2374-2018)</w:t>
            </w:r>
            <w:r>
              <w:rPr>
                <w:rFonts w:hint="eastAsia"/>
                <w:color w:val="auto"/>
              </w:rPr>
              <w:t>表2中重点控制区限值要求、《区域性大气污染物综合排放标准》</w:t>
            </w:r>
            <w:r>
              <w:rPr>
                <w:color w:val="auto"/>
              </w:rPr>
              <w:t>(DB37/2376-2019)</w:t>
            </w:r>
            <w:r>
              <w:rPr>
                <w:rFonts w:hint="eastAsia"/>
                <w:color w:val="auto"/>
              </w:rPr>
              <w:t>中表1重点控制区的限值要求和《挥发性有机物无组织排放控制标准》(GB37822-2019)相关要求、《挥发性有机物排放标准第7部分：其他行业》</w:t>
            </w:r>
            <w:r>
              <w:rPr>
                <w:color w:val="auto"/>
              </w:rPr>
              <w:t>(DB37/2801.7-2019)</w:t>
            </w:r>
            <w:r>
              <w:rPr>
                <w:rFonts w:hint="eastAsia"/>
                <w:color w:val="auto"/>
              </w:rPr>
              <w:t>中厂界浓度限值要求、《恶臭污染物排放标准》</w:t>
            </w:r>
            <w:r>
              <w:rPr>
                <w:color w:val="auto"/>
              </w:rPr>
              <w:t>(GB14554-1993)</w:t>
            </w:r>
            <w:r>
              <w:rPr>
                <w:rFonts w:hint="eastAsia"/>
                <w:color w:val="auto"/>
              </w:rPr>
              <w:t>厂界标准值要求</w:t>
            </w:r>
          </w:p>
        </w:tc>
        <w:tc>
          <w:tcPr>
            <w:tcW w:w="2194" w:type="pct"/>
            <w:tcBorders>
              <w:top w:val="single" w:color="auto" w:sz="4" w:space="0"/>
              <w:left w:val="single" w:color="auto" w:sz="4" w:space="0"/>
              <w:bottom w:val="single" w:color="auto" w:sz="4" w:space="0"/>
              <w:right w:val="single" w:color="auto" w:sz="4" w:space="0"/>
            </w:tcBorders>
            <w:vAlign w:val="center"/>
          </w:tcPr>
          <w:p w14:paraId="525F668A">
            <w:pPr>
              <w:jc w:val="center"/>
              <w:rPr>
                <w:rFonts w:ascii="宋体" w:hAnsi="宋体"/>
                <w:color w:val="auto"/>
                <w:kern w:val="0"/>
              </w:rPr>
            </w:pPr>
            <w:r>
              <w:rPr>
                <w:rFonts w:hint="eastAsia" w:ascii="宋体" w:hAnsi="宋体"/>
                <w:color w:val="auto"/>
                <w:kern w:val="0"/>
              </w:rPr>
              <w:t>1、施工队伍已</w:t>
            </w:r>
            <w:r>
              <w:rPr>
                <w:rFonts w:hint="eastAsia"/>
                <w:color w:val="auto"/>
              </w:rPr>
              <w:t>编制防止扬尘的操作规范，并对施工人员进行培训，施工期配备了环保专人负责工地环境工作。</w:t>
            </w:r>
            <w:r>
              <w:rPr>
                <w:rFonts w:hint="eastAsia" w:ascii="宋体" w:hAnsi="宋体"/>
                <w:color w:val="auto"/>
                <w:kern w:val="0"/>
              </w:rPr>
              <w:t>施工过程中采取了遮盖、洒水抑尘等措施，严格控制了扬尘污染，满足《山东省扬尘污染防治管理办法》（2018年1月24日）的有关要求；</w:t>
            </w:r>
          </w:p>
          <w:p w14:paraId="53ECF3CD">
            <w:pPr>
              <w:jc w:val="center"/>
              <w:rPr>
                <w:rFonts w:ascii="宋体" w:hAnsi="宋体"/>
                <w:color w:val="auto"/>
                <w:kern w:val="0"/>
              </w:rPr>
            </w:pPr>
            <w:r>
              <w:rPr>
                <w:rFonts w:hint="eastAsia" w:ascii="宋体" w:hAnsi="宋体"/>
                <w:color w:val="auto"/>
                <w:kern w:val="0"/>
              </w:rPr>
              <w:t>2、施工期采用了低污染钻井设备，施工周期较短，污染排放量较少，废气排放符合</w:t>
            </w:r>
            <w:r>
              <w:rPr>
                <w:rFonts w:hint="eastAsia" w:ascii="宋体" w:hAnsi="宋体"/>
                <w:color w:val="auto"/>
              </w:rPr>
              <w:t>《挥发性有机物排放标准第 7 部分：其他行业 》（DB37/2801.7-2019）中表2中标准要求；</w:t>
            </w:r>
            <w:r>
              <w:rPr>
                <w:rFonts w:hint="eastAsia" w:ascii="宋体" w:hAnsi="宋体"/>
                <w:color w:val="auto"/>
                <w:kern w:val="0"/>
              </w:rPr>
              <w:t>经监测，井场厂界非甲烷总烃能够满足《挥发性有机物排放标准 第7 部分：其他行业》（DB37/2801.7-2019）中 VOCs厂界监控点浓度限值；硫化氢满足</w:t>
            </w:r>
            <w:r>
              <w:rPr>
                <w:rFonts w:hint="eastAsia" w:ascii="宋体" w:hAnsi="宋体"/>
                <w:color w:val="auto"/>
              </w:rPr>
              <w:t>《恶臭污染物排放标准》（GB 14554-1993）厂界标准；井场加热炉配备低氮燃烧器、不低于8m高排气筒高青联合站加热炉配备低氮燃烧器、</w:t>
            </w:r>
            <w:r>
              <w:rPr>
                <w:rFonts w:ascii="宋体" w:hAnsi="宋体"/>
                <w:color w:val="auto"/>
              </w:rPr>
              <w:t>15</w:t>
            </w:r>
            <w:r>
              <w:rPr>
                <w:rFonts w:hint="eastAsia" w:ascii="宋体" w:hAnsi="宋体"/>
                <w:color w:val="auto"/>
              </w:rPr>
              <w:t>m高排气筒，根据监测结果，满足《锅炉大气污染物排放标准》（DB37/ 2374-2018）大气污染物排放浓度限值，本期工程加热炉有组织排放废气总量远小于环评阶段排放总量，未对环境造成更不利的影响</w:t>
            </w:r>
          </w:p>
        </w:tc>
        <w:tc>
          <w:tcPr>
            <w:tcW w:w="289" w:type="pct"/>
            <w:tcBorders>
              <w:top w:val="single" w:color="auto" w:sz="4" w:space="0"/>
              <w:left w:val="single" w:color="auto" w:sz="4" w:space="0"/>
              <w:bottom w:val="single" w:color="auto" w:sz="4" w:space="0"/>
              <w:right w:val="single" w:color="auto" w:sz="4" w:space="0"/>
            </w:tcBorders>
            <w:vAlign w:val="center"/>
          </w:tcPr>
          <w:p w14:paraId="76D57B3E">
            <w:pPr>
              <w:jc w:val="center"/>
              <w:rPr>
                <w:rFonts w:ascii="宋体" w:hAnsi="宋体"/>
                <w:color w:val="auto"/>
                <w:kern w:val="0"/>
              </w:rPr>
            </w:pPr>
            <w:r>
              <w:rPr>
                <w:rFonts w:hint="eastAsia" w:ascii="宋体" w:hAnsi="宋体"/>
                <w:color w:val="auto"/>
                <w:kern w:val="0"/>
              </w:rPr>
              <w:t>已落实</w:t>
            </w:r>
          </w:p>
        </w:tc>
      </w:tr>
      <w:tr w14:paraId="1A7EE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274838C7">
            <w:pPr>
              <w:jc w:val="center"/>
              <w:rPr>
                <w:rFonts w:ascii="宋体" w:hAnsi="宋体"/>
                <w:color w:val="auto"/>
                <w:kern w:val="0"/>
              </w:rPr>
            </w:pPr>
            <w:r>
              <w:rPr>
                <w:rFonts w:hint="eastAsia" w:ascii="宋体" w:hAnsi="宋体"/>
                <w:color w:val="auto"/>
                <w:kern w:val="0"/>
              </w:rPr>
              <w:t>废水污染防治</w:t>
            </w:r>
          </w:p>
        </w:tc>
        <w:tc>
          <w:tcPr>
            <w:tcW w:w="2202" w:type="pct"/>
            <w:tcBorders>
              <w:top w:val="single" w:color="auto" w:sz="4" w:space="0"/>
              <w:left w:val="single" w:color="auto" w:sz="4" w:space="0"/>
              <w:bottom w:val="single" w:color="auto" w:sz="4" w:space="0"/>
              <w:right w:val="single" w:color="auto" w:sz="4" w:space="0"/>
            </w:tcBorders>
            <w:vAlign w:val="center"/>
          </w:tcPr>
          <w:p w14:paraId="7F062967">
            <w:pPr>
              <w:jc w:val="center"/>
              <w:rPr>
                <w:rFonts w:ascii="宋体" w:hAnsi="宋体"/>
                <w:color w:val="auto"/>
                <w:kern w:val="0"/>
              </w:rPr>
            </w:pPr>
            <w:r>
              <w:rPr>
                <w:rFonts w:hint="eastAsia"/>
                <w:color w:val="auto"/>
              </w:rPr>
              <w:t>项目施工期废水为钻井废水、施工作业废液、清管废水、新建管线试压废水、施工人员生活污水；运营期废水为采出水、井下作业废液；退役期为清洗废水。施工期钻井废水循环利用，部分随钻井固废拉运至专业单位处置；新建管线试压废水用于施工现场洒水抑尘，不外排；生活污水拉运至市政部门指定地点，依托环卫部门处置，不外排。施工作业废液、清管废水、运营期采出水、井下作业废液、退役期清洗废水拉运至高青联合站，经处理达到《碎屑岩油藏注水水质指标技术要求及分析方法》</w:t>
            </w:r>
            <w:r>
              <w:rPr>
                <w:color w:val="auto"/>
              </w:rPr>
              <w:t>(SY/T</w:t>
            </w:r>
            <w:r>
              <w:rPr>
                <w:rFonts w:hint="eastAsia"/>
                <w:color w:val="auto"/>
              </w:rPr>
              <w:t>5329-2022)中相关要求后，用于油田注水开发，不外排</w:t>
            </w:r>
            <w:r>
              <w:rPr>
                <w:rFonts w:hint="eastAsia" w:ascii="宋体" w:hAnsi="宋体"/>
                <w:color w:val="auto"/>
              </w:rPr>
              <w:t>。</w:t>
            </w:r>
          </w:p>
        </w:tc>
        <w:tc>
          <w:tcPr>
            <w:tcW w:w="2194" w:type="pct"/>
            <w:tcBorders>
              <w:top w:val="single" w:color="auto" w:sz="4" w:space="0"/>
              <w:left w:val="single" w:color="auto" w:sz="4" w:space="0"/>
              <w:bottom w:val="single" w:color="auto" w:sz="4" w:space="0"/>
              <w:right w:val="single" w:color="auto" w:sz="4" w:space="0"/>
            </w:tcBorders>
            <w:vAlign w:val="center"/>
          </w:tcPr>
          <w:p w14:paraId="1426F068">
            <w:pPr>
              <w:pStyle w:val="314"/>
              <w:rPr>
                <w:rFonts w:ascii="宋体" w:hAnsi="宋体"/>
                <w:color w:val="auto"/>
              </w:rPr>
            </w:pP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 1 \* GB3</w:instrText>
            </w:r>
            <w:r>
              <w:rPr>
                <w:rFonts w:ascii="宋体" w:hAnsi="宋体"/>
                <w:color w:val="auto"/>
              </w:rPr>
              <w:instrText xml:space="preserve"> </w:instrText>
            </w:r>
            <w:r>
              <w:rPr>
                <w:rFonts w:ascii="宋体" w:hAnsi="宋体"/>
                <w:color w:val="auto"/>
              </w:rPr>
              <w:fldChar w:fldCharType="separate"/>
            </w:r>
            <w:r>
              <w:rPr>
                <w:rFonts w:hint="eastAsia" w:ascii="宋体" w:hAnsi="宋体"/>
                <w:color w:val="auto"/>
              </w:rPr>
              <w:t>①</w:t>
            </w:r>
            <w:r>
              <w:rPr>
                <w:rFonts w:ascii="宋体" w:hAnsi="宋体"/>
                <w:color w:val="auto"/>
              </w:rPr>
              <w:fldChar w:fldCharType="end"/>
            </w:r>
            <w:r>
              <w:rPr>
                <w:rFonts w:hint="eastAsia" w:ascii="宋体" w:hAnsi="宋体"/>
                <w:color w:val="auto"/>
              </w:rPr>
              <w:t>施工期钻井废水随钻井固废一同委托天正浚源环保科技有限公司、东营丰实钻井工程有限公司、山东胜兴特种材料有限公司</w:t>
            </w:r>
            <w:r>
              <w:rPr>
                <w:color w:val="auto"/>
              </w:rPr>
              <w:t>拉运处理，施工现场无外排</w:t>
            </w:r>
            <w:r>
              <w:rPr>
                <w:rFonts w:hint="eastAsia" w:ascii="宋体" w:hAnsi="宋体"/>
                <w:color w:val="auto"/>
              </w:rPr>
              <w:t>；</w:t>
            </w:r>
          </w:p>
          <w:p w14:paraId="75E9D1C9">
            <w:pPr>
              <w:pStyle w:val="314"/>
              <w:rPr>
                <w:rFonts w:ascii="宋体" w:hAnsi="宋体"/>
                <w:color w:val="auto"/>
              </w:rPr>
            </w:pPr>
            <w:r>
              <w:rPr>
                <w:rFonts w:hint="eastAsia" w:ascii="宋体" w:hAnsi="宋体"/>
                <w:color w:val="auto"/>
              </w:rPr>
              <w:t>②施工作业废液、清管废水拉运至高青联合站进行处理，处理满足《碎屑岩油藏注水水质指标技术要求及分析方法》（SY/T 5329-2022）中水质主要控制指标后回注地层，用于油田注水开发，无外排；</w:t>
            </w:r>
          </w:p>
          <w:p w14:paraId="5ED186B9">
            <w:pPr>
              <w:jc w:val="center"/>
              <w:rPr>
                <w:rFonts w:ascii="宋体" w:hAnsi="宋体"/>
                <w:color w:val="auto"/>
              </w:rPr>
            </w:pPr>
            <w:r>
              <w:rPr>
                <w:rFonts w:hint="eastAsia" w:ascii="宋体" w:hAnsi="宋体"/>
                <w:color w:val="auto"/>
              </w:rPr>
              <w:t>③管道试压废水</w:t>
            </w:r>
            <w:r>
              <w:rPr>
                <w:rFonts w:hint="eastAsia"/>
                <w:color w:val="auto"/>
              </w:rPr>
              <w:t>在施工过程中进行了循环利用，管道试压废水产生量较少，试压结束后已用于施工场地洒水降尘，未外排至施工场地外环境</w:t>
            </w:r>
            <w:r>
              <w:rPr>
                <w:rFonts w:hint="eastAsia" w:ascii="宋体" w:hAnsi="宋体"/>
                <w:color w:val="auto"/>
              </w:rPr>
              <w:t>；</w:t>
            </w:r>
          </w:p>
          <w:p w14:paraId="4214C26A">
            <w:pPr>
              <w:jc w:val="center"/>
              <w:rPr>
                <w:rFonts w:ascii="宋体" w:hAnsi="宋体"/>
                <w:color w:val="auto"/>
              </w:rPr>
            </w:pPr>
            <w:r>
              <w:rPr>
                <w:rFonts w:hint="eastAsia" w:ascii="宋体" w:hAnsi="宋体"/>
                <w:color w:val="auto"/>
              </w:rPr>
              <w:t>④生活污水排至周边站场已有</w:t>
            </w:r>
            <w:r>
              <w:rPr>
                <w:rFonts w:hint="eastAsia" w:ascii="宋体" w:hAnsi="宋体" w:cs="宋体"/>
                <w:color w:val="auto"/>
              </w:rPr>
              <w:t>环保厕所</w:t>
            </w:r>
            <w:r>
              <w:rPr>
                <w:rFonts w:hint="eastAsia" w:ascii="宋体" w:hAnsi="宋体"/>
                <w:color w:val="auto"/>
              </w:rPr>
              <w:t>内，由东胜公司内部处理，</w:t>
            </w:r>
            <w:r>
              <w:rPr>
                <w:rFonts w:ascii="宋体" w:hAnsi="宋体"/>
                <w:color w:val="auto"/>
              </w:rPr>
              <w:t>无</w:t>
            </w:r>
            <w:r>
              <w:rPr>
                <w:rFonts w:hint="eastAsia" w:ascii="宋体" w:hAnsi="宋体"/>
                <w:color w:val="auto"/>
              </w:rPr>
              <w:t>外排；</w:t>
            </w:r>
          </w:p>
          <w:p w14:paraId="61483793">
            <w:pPr>
              <w:jc w:val="center"/>
              <w:rPr>
                <w:rFonts w:ascii="宋体" w:hAnsi="宋体"/>
                <w:color w:val="auto"/>
              </w:rPr>
            </w:pPr>
            <w:r>
              <w:rPr>
                <w:rFonts w:hint="eastAsia" w:ascii="宋体" w:hAnsi="宋体"/>
                <w:color w:val="auto"/>
              </w:rPr>
              <w:t>⑤本次验收调查期间，未进行井下作业，</w:t>
            </w:r>
          </w:p>
          <w:p w14:paraId="5E92DDA8">
            <w:pPr>
              <w:jc w:val="center"/>
              <w:rPr>
                <w:rFonts w:ascii="宋体" w:hAnsi="宋体"/>
                <w:color w:val="auto"/>
              </w:rPr>
            </w:pPr>
            <w:r>
              <w:rPr>
                <w:rFonts w:hint="eastAsia" w:ascii="宋体" w:hAnsi="宋体"/>
                <w:color w:val="auto"/>
              </w:rPr>
              <w:t>项目运营过程中产生的井下作业废液，经收集后由罐车送至高青联合站、滨博接转站采出水处理系统处理达标后回注地层用于油田注水开发，无外排；采出液依托高青联合站、滨博接转站采出水处理系统进行处理，处理达标后回注地层。</w:t>
            </w:r>
          </w:p>
        </w:tc>
        <w:tc>
          <w:tcPr>
            <w:tcW w:w="289" w:type="pct"/>
            <w:tcBorders>
              <w:top w:val="single" w:color="auto" w:sz="4" w:space="0"/>
              <w:left w:val="single" w:color="auto" w:sz="4" w:space="0"/>
              <w:bottom w:val="single" w:color="auto" w:sz="4" w:space="0"/>
              <w:right w:val="single" w:color="auto" w:sz="4" w:space="0"/>
            </w:tcBorders>
            <w:vAlign w:val="center"/>
          </w:tcPr>
          <w:p w14:paraId="6BDD7A5F">
            <w:pPr>
              <w:jc w:val="center"/>
              <w:rPr>
                <w:rFonts w:ascii="宋体" w:hAnsi="宋体"/>
                <w:color w:val="auto"/>
                <w:kern w:val="0"/>
              </w:rPr>
            </w:pPr>
            <w:r>
              <w:rPr>
                <w:rFonts w:hint="eastAsia" w:ascii="宋体" w:hAnsi="宋体"/>
                <w:color w:val="auto"/>
                <w:kern w:val="0"/>
              </w:rPr>
              <w:t>已落实</w:t>
            </w:r>
          </w:p>
        </w:tc>
      </w:tr>
      <w:tr w14:paraId="44C95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525793FA">
            <w:pPr>
              <w:jc w:val="center"/>
              <w:rPr>
                <w:rFonts w:ascii="宋体" w:hAnsi="宋体"/>
                <w:color w:val="auto"/>
                <w:kern w:val="0"/>
              </w:rPr>
            </w:pPr>
            <w:r>
              <w:rPr>
                <w:rFonts w:hint="eastAsia" w:ascii="宋体" w:hAnsi="宋体"/>
                <w:color w:val="auto"/>
                <w:kern w:val="0"/>
              </w:rPr>
              <w:t>噪声污染防治</w:t>
            </w:r>
          </w:p>
        </w:tc>
        <w:tc>
          <w:tcPr>
            <w:tcW w:w="2202" w:type="pct"/>
            <w:tcBorders>
              <w:top w:val="single" w:color="auto" w:sz="4" w:space="0"/>
              <w:left w:val="single" w:color="auto" w:sz="4" w:space="0"/>
              <w:bottom w:val="single" w:color="auto" w:sz="4" w:space="0"/>
              <w:right w:val="single" w:color="auto" w:sz="4" w:space="0"/>
            </w:tcBorders>
            <w:vAlign w:val="center"/>
          </w:tcPr>
          <w:p w14:paraId="0659692F">
            <w:pPr>
              <w:jc w:val="center"/>
              <w:rPr>
                <w:rFonts w:ascii="宋体" w:hAnsi="宋体"/>
                <w:color w:val="auto"/>
                <w:kern w:val="0"/>
              </w:rPr>
            </w:pPr>
            <w:r>
              <w:rPr>
                <w:rFonts w:hint="eastAsia"/>
                <w:color w:val="auto"/>
              </w:rPr>
              <w:t>施工期及退役期须合理选择施工时间，选用低噪声设备，施工期还应优化钻井平台布局，噪声排放执行《建筑施工场界环境噪声排放标准》</w:t>
            </w:r>
            <w:r>
              <w:rPr>
                <w:color w:val="auto"/>
              </w:rPr>
              <w:t>(GB12523-2011)</w:t>
            </w:r>
            <w:r>
              <w:rPr>
                <w:rFonts w:hint="eastAsia"/>
                <w:color w:val="auto"/>
              </w:rPr>
              <w:t>中噪声排放限值要求。运营期对高噪设备须进行消声、隔音、减振等降噪措施，厂界噪声执行《工业企业厂界环境噪声排放标准》</w:t>
            </w:r>
            <w:r>
              <w:rPr>
                <w:color w:val="auto"/>
              </w:rPr>
              <w:t>(GB12348-2008)2</w:t>
            </w:r>
            <w:r>
              <w:rPr>
                <w:rFonts w:hint="eastAsia"/>
                <w:color w:val="auto"/>
              </w:rPr>
              <w:t>类功能区标准</w:t>
            </w:r>
          </w:p>
        </w:tc>
        <w:tc>
          <w:tcPr>
            <w:tcW w:w="2194" w:type="pct"/>
            <w:tcBorders>
              <w:top w:val="single" w:color="auto" w:sz="4" w:space="0"/>
              <w:left w:val="single" w:color="auto" w:sz="4" w:space="0"/>
              <w:bottom w:val="single" w:color="auto" w:sz="4" w:space="0"/>
              <w:right w:val="single" w:color="auto" w:sz="4" w:space="0"/>
            </w:tcBorders>
            <w:vAlign w:val="center"/>
          </w:tcPr>
          <w:p w14:paraId="0B592589">
            <w:pPr>
              <w:jc w:val="center"/>
              <w:rPr>
                <w:rFonts w:ascii="宋体" w:hAnsi="宋体"/>
                <w:color w:val="auto"/>
              </w:rPr>
            </w:pPr>
            <w:r>
              <w:rPr>
                <w:rFonts w:hint="eastAsia" w:ascii="宋体" w:hAnsi="宋体"/>
                <w:color w:val="auto"/>
              </w:rPr>
              <w:t>选用了低噪声设备，施工过程加强了生产管理和设备维护，合理布局钻井现场，项目运营期间厂界噪声均能够满足《工业企业厂界环境噪声排放标准》（GB12348-2008）中2类区标准限值。</w:t>
            </w:r>
            <w:r>
              <w:rPr>
                <w:rFonts w:hint="eastAsia"/>
                <w:color w:val="auto"/>
              </w:rPr>
              <w:t>运营期采取了抽油机底座加固等减振措施，经检测，井场厂界昼夜间噪声均可满足《工业企业厂界环境噪声排放标准》</w:t>
            </w:r>
            <w:r>
              <w:rPr>
                <w:color w:val="auto"/>
              </w:rPr>
              <w:t>(GB12348-2008)2</w:t>
            </w:r>
            <w:r>
              <w:rPr>
                <w:rFonts w:hint="eastAsia"/>
                <w:color w:val="auto"/>
              </w:rPr>
              <w:t>类功能区标准。</w:t>
            </w:r>
          </w:p>
        </w:tc>
        <w:tc>
          <w:tcPr>
            <w:tcW w:w="289" w:type="pct"/>
            <w:tcBorders>
              <w:top w:val="single" w:color="auto" w:sz="4" w:space="0"/>
              <w:left w:val="single" w:color="auto" w:sz="4" w:space="0"/>
              <w:bottom w:val="single" w:color="auto" w:sz="4" w:space="0"/>
              <w:right w:val="single" w:color="auto" w:sz="4" w:space="0"/>
            </w:tcBorders>
            <w:vAlign w:val="center"/>
          </w:tcPr>
          <w:p w14:paraId="432E2FD8">
            <w:pPr>
              <w:jc w:val="center"/>
              <w:rPr>
                <w:rFonts w:ascii="宋体" w:hAnsi="宋体"/>
                <w:color w:val="auto"/>
                <w:kern w:val="0"/>
              </w:rPr>
            </w:pPr>
            <w:r>
              <w:rPr>
                <w:rFonts w:hint="eastAsia" w:ascii="宋体" w:hAnsi="宋体"/>
                <w:color w:val="auto"/>
                <w:kern w:val="0"/>
              </w:rPr>
              <w:t>已落实</w:t>
            </w:r>
          </w:p>
        </w:tc>
      </w:tr>
      <w:tr w14:paraId="1EB21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20433F11">
            <w:pPr>
              <w:jc w:val="center"/>
              <w:rPr>
                <w:rFonts w:ascii="宋体" w:hAnsi="宋体"/>
                <w:color w:val="auto"/>
                <w:kern w:val="0"/>
              </w:rPr>
            </w:pPr>
            <w:r>
              <w:rPr>
                <w:rFonts w:hint="eastAsia" w:ascii="宋体" w:hAnsi="宋体"/>
                <w:color w:val="auto"/>
                <w:kern w:val="0"/>
              </w:rPr>
              <w:t>固废污染防治</w:t>
            </w:r>
          </w:p>
        </w:tc>
        <w:tc>
          <w:tcPr>
            <w:tcW w:w="2202" w:type="pct"/>
            <w:tcBorders>
              <w:top w:val="single" w:color="auto" w:sz="4" w:space="0"/>
              <w:left w:val="single" w:color="auto" w:sz="4" w:space="0"/>
              <w:bottom w:val="single" w:color="auto" w:sz="4" w:space="0"/>
              <w:right w:val="single" w:color="auto" w:sz="4" w:space="0"/>
            </w:tcBorders>
            <w:vAlign w:val="center"/>
          </w:tcPr>
          <w:p w14:paraId="37932221">
            <w:pPr>
              <w:jc w:val="center"/>
              <w:rPr>
                <w:rFonts w:ascii="宋体" w:hAnsi="宋体"/>
                <w:color w:val="auto"/>
              </w:rPr>
            </w:pPr>
            <w:r>
              <w:rPr>
                <w:rFonts w:hint="eastAsia"/>
                <w:color w:val="auto"/>
              </w:rPr>
              <w:t>项目施工期产生钻井固废、定向钻废弃泥浆、油泥砂、施工废料、生活垃圾等，经“泥浆不落地工艺”处理后的钻井固废，属于一般固废，委托专业单位进行综合利用；定向钻废弃泥浆委托专业单位拉运处置，泥浆池回填处理；油泥砂全部委托有危险废物处理资质单位进行无害化处置；施工废料能回收的尽量回收利用，剩余废料同生活垃圾一起交由当地环卫部门处理。运营期固体废物主要为清罐底泥、落地油、废沾油包装物、废润滑油、废油桶、废变压器油、浮油及污泥等，以上危险废物全部委托有危险废物处理资质单位进行无害化处置。退役期固废主要包括废弃管线、废弃多功能罐、废弃三相分离器、落地油等。废弃设备应集中收集，按照资产报废程序由胜利油田东胜精攻石油开发集团股份有限公司物资管理部门统一处理，其余不能回收的外运至市政部门指定地点，由环卫部门处置；落地油由有危险废物处理资质的单位拉运并进行无害化处理。一般固体废物暂存和处置须满足《一般工业固体废物贮存和填埋污染控制标准》</w:t>
            </w:r>
            <w:r>
              <w:rPr>
                <w:color w:val="auto"/>
              </w:rPr>
              <w:t>(GB18599-2020)</w:t>
            </w:r>
            <w:r>
              <w:rPr>
                <w:rFonts w:hint="eastAsia"/>
                <w:color w:val="auto"/>
              </w:rPr>
              <w:t>要求，危险废物暂存须执行《危险废物贮存污染控制标准》(GB18597-2023)的相关要求，严格执行《危险废物转移管理办法》</w:t>
            </w:r>
          </w:p>
        </w:tc>
        <w:tc>
          <w:tcPr>
            <w:tcW w:w="2194" w:type="pct"/>
            <w:tcBorders>
              <w:top w:val="single" w:color="auto" w:sz="4" w:space="0"/>
              <w:left w:val="single" w:color="auto" w:sz="4" w:space="0"/>
              <w:bottom w:val="single" w:color="auto" w:sz="4" w:space="0"/>
              <w:right w:val="single" w:color="auto" w:sz="4" w:space="0"/>
            </w:tcBorders>
            <w:vAlign w:val="center"/>
          </w:tcPr>
          <w:p w14:paraId="5F8A4961">
            <w:pPr>
              <w:jc w:val="center"/>
              <w:rPr>
                <w:rFonts w:ascii="宋体" w:hAnsi="宋体"/>
                <w:color w:val="auto"/>
              </w:rPr>
            </w:pP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 1 \* GB3</w:instrText>
            </w:r>
            <w:r>
              <w:rPr>
                <w:rFonts w:ascii="宋体" w:hAnsi="宋体"/>
                <w:color w:val="auto"/>
              </w:rPr>
              <w:instrText xml:space="preserve"> </w:instrText>
            </w:r>
            <w:r>
              <w:rPr>
                <w:rFonts w:ascii="宋体" w:hAnsi="宋体"/>
                <w:color w:val="auto"/>
              </w:rPr>
              <w:fldChar w:fldCharType="separate"/>
            </w:r>
            <w:r>
              <w:rPr>
                <w:rFonts w:hint="eastAsia" w:ascii="宋体" w:hAnsi="宋体"/>
                <w:color w:val="auto"/>
              </w:rPr>
              <w:t>①</w:t>
            </w:r>
            <w:r>
              <w:rPr>
                <w:rFonts w:ascii="宋体" w:hAnsi="宋体"/>
                <w:color w:val="auto"/>
              </w:rPr>
              <w:fldChar w:fldCharType="end"/>
            </w:r>
            <w:r>
              <w:rPr>
                <w:rFonts w:hint="eastAsia" w:ascii="宋体" w:hAnsi="宋体"/>
                <w:color w:val="auto"/>
              </w:rPr>
              <w:t>本期工程泥浆采用“泥浆不落地”工艺，施工结束</w:t>
            </w:r>
            <w:r>
              <w:rPr>
                <w:rFonts w:ascii="宋体" w:hAnsi="宋体"/>
                <w:color w:val="auto"/>
              </w:rPr>
              <w:t>后</w:t>
            </w:r>
            <w:r>
              <w:rPr>
                <w:rFonts w:hint="eastAsia" w:ascii="宋体" w:hAnsi="宋体"/>
                <w:color w:val="auto"/>
              </w:rPr>
              <w:t>分别由钻井施工单位委托“泥浆</w:t>
            </w:r>
            <w:r>
              <w:rPr>
                <w:rFonts w:ascii="宋体" w:hAnsi="宋体"/>
                <w:color w:val="auto"/>
              </w:rPr>
              <w:t>不落地</w:t>
            </w:r>
            <w:r>
              <w:rPr>
                <w:rFonts w:hint="eastAsia" w:ascii="宋体" w:hAnsi="宋体"/>
                <w:color w:val="auto"/>
              </w:rPr>
              <w:t>”服务</w:t>
            </w:r>
            <w:r>
              <w:rPr>
                <w:rFonts w:ascii="宋体" w:hAnsi="宋体"/>
                <w:color w:val="auto"/>
              </w:rPr>
              <w:t>单位</w:t>
            </w:r>
            <w:r>
              <w:rPr>
                <w:rFonts w:hint="eastAsia" w:ascii="宋体" w:hAnsi="宋体"/>
                <w:color w:val="auto"/>
              </w:rPr>
              <w:t>天正浚源环保科技有限公司、东营丰实钻井工程有限公司、山东胜兴特种材料有限公司拉运后进行固液分离，分离出的固相由东营市垦利区永安镇、山东天龙红木家具股份有限公司、山东法恩生物科技有限公司、东营成寨土石方工程有限公司进行</w:t>
            </w:r>
            <w:r>
              <w:rPr>
                <w:rFonts w:ascii="宋体" w:hAnsi="宋体"/>
                <w:color w:val="auto"/>
              </w:rPr>
              <w:t>了</w:t>
            </w:r>
            <w:r>
              <w:rPr>
                <w:rFonts w:hint="eastAsia" w:ascii="宋体" w:hAnsi="宋体"/>
                <w:color w:val="auto"/>
              </w:rPr>
              <w:t>综合利用；</w:t>
            </w:r>
          </w:p>
          <w:p w14:paraId="45919993">
            <w:pPr>
              <w:jc w:val="center"/>
              <w:rPr>
                <w:rFonts w:ascii="宋体" w:hAnsi="宋体"/>
                <w:color w:val="auto"/>
              </w:rPr>
            </w:pPr>
            <w:r>
              <w:rPr>
                <w:rFonts w:hint="eastAsia" w:ascii="宋体" w:hAnsi="宋体"/>
                <w:color w:val="auto"/>
              </w:rPr>
              <w:t>②</w:t>
            </w:r>
            <w:r>
              <w:rPr>
                <w:rFonts w:hint="eastAsia"/>
                <w:color w:val="auto"/>
              </w:rPr>
              <w:t>本期工程验收调查期间未产生危险废物，目前高青公司产生的落地油、浮油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w:t>
            </w:r>
            <w:r>
              <w:rPr>
                <w:rFonts w:hint="eastAsia" w:ascii="宋体" w:hAnsi="宋体"/>
                <w:color w:val="auto"/>
              </w:rPr>
              <w:t>；经调查，危废处置单位满足本期工程的处置需求。</w:t>
            </w:r>
          </w:p>
          <w:p w14:paraId="7B329AB0">
            <w:pPr>
              <w:jc w:val="center"/>
              <w:rPr>
                <w:color w:val="auto"/>
              </w:rPr>
            </w:pP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 3 \* GB3</w:instrText>
            </w:r>
            <w:r>
              <w:rPr>
                <w:rFonts w:ascii="宋体" w:hAnsi="宋体"/>
                <w:color w:val="auto"/>
              </w:rPr>
              <w:instrText xml:space="preserve"> </w:instrText>
            </w:r>
            <w:r>
              <w:rPr>
                <w:rFonts w:ascii="宋体" w:hAnsi="宋体"/>
                <w:color w:val="auto"/>
              </w:rPr>
              <w:fldChar w:fldCharType="separate"/>
            </w:r>
            <w:r>
              <w:rPr>
                <w:rFonts w:hint="eastAsia" w:ascii="宋体" w:hAnsi="宋体"/>
                <w:color w:val="auto"/>
              </w:rPr>
              <w:t>③</w:t>
            </w:r>
            <w:r>
              <w:rPr>
                <w:rFonts w:ascii="宋体" w:hAnsi="宋体"/>
                <w:color w:val="auto"/>
              </w:rPr>
              <w:fldChar w:fldCharType="end"/>
            </w:r>
            <w:r>
              <w:rPr>
                <w:rFonts w:hint="eastAsia"/>
                <w:color w:val="auto"/>
              </w:rPr>
              <w:t>定向钻废弃泥浆</w:t>
            </w:r>
            <w:bookmarkStart w:id="387" w:name="OLE_LINK347"/>
            <w:bookmarkStart w:id="388" w:name="OLE_LINK348"/>
            <w:r>
              <w:rPr>
                <w:rFonts w:hint="eastAsia"/>
                <w:color w:val="auto"/>
              </w:rPr>
              <w:t>委托专业单位拉运处置</w:t>
            </w:r>
            <w:bookmarkEnd w:id="387"/>
            <w:bookmarkEnd w:id="388"/>
            <w:r>
              <w:rPr>
                <w:rFonts w:hint="eastAsia"/>
                <w:color w:val="auto"/>
              </w:rPr>
              <w:t>，泥浆池回填处理；</w:t>
            </w:r>
          </w:p>
          <w:p w14:paraId="32C312EB">
            <w:pPr>
              <w:jc w:val="center"/>
              <w:rPr>
                <w:color w:val="auto"/>
              </w:rPr>
            </w:pP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废弃设备已按照资产报废程序由胜利油田东胜精攻石油开发集团股份有限公司物资管理部门统一处理。</w:t>
            </w:r>
          </w:p>
          <w:p w14:paraId="5076DD2D">
            <w:pPr>
              <w:jc w:val="center"/>
              <w:rPr>
                <w:rFonts w:ascii="宋体" w:hAnsi="宋体"/>
                <w:color w:val="auto"/>
              </w:rPr>
            </w:pPr>
          </w:p>
        </w:tc>
        <w:tc>
          <w:tcPr>
            <w:tcW w:w="289" w:type="pct"/>
            <w:tcBorders>
              <w:top w:val="single" w:color="auto" w:sz="4" w:space="0"/>
              <w:left w:val="single" w:color="auto" w:sz="4" w:space="0"/>
              <w:bottom w:val="single" w:color="auto" w:sz="4" w:space="0"/>
              <w:right w:val="single" w:color="auto" w:sz="4" w:space="0"/>
            </w:tcBorders>
            <w:vAlign w:val="center"/>
          </w:tcPr>
          <w:p w14:paraId="09AB5D25">
            <w:pPr>
              <w:jc w:val="center"/>
              <w:rPr>
                <w:rFonts w:ascii="宋体" w:hAnsi="宋体"/>
                <w:color w:val="auto"/>
                <w:kern w:val="0"/>
              </w:rPr>
            </w:pPr>
            <w:r>
              <w:rPr>
                <w:rFonts w:hint="eastAsia" w:ascii="宋体" w:hAnsi="宋体"/>
                <w:color w:val="auto"/>
                <w:kern w:val="0"/>
              </w:rPr>
              <w:t xml:space="preserve">已落实 </w:t>
            </w:r>
          </w:p>
        </w:tc>
      </w:tr>
      <w:tr w14:paraId="211C2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78736A4D">
            <w:pPr>
              <w:jc w:val="center"/>
              <w:rPr>
                <w:rFonts w:ascii="宋体" w:hAnsi="宋体"/>
                <w:color w:val="auto"/>
                <w:kern w:val="0"/>
              </w:rPr>
            </w:pPr>
            <w:r>
              <w:rPr>
                <w:rFonts w:hint="eastAsia" w:ascii="宋体" w:hAnsi="宋体"/>
                <w:color w:val="auto"/>
                <w:kern w:val="0"/>
              </w:rPr>
              <w:t>环境风险防控</w:t>
            </w:r>
          </w:p>
        </w:tc>
        <w:tc>
          <w:tcPr>
            <w:tcW w:w="2202" w:type="pct"/>
            <w:tcBorders>
              <w:top w:val="single" w:color="auto" w:sz="4" w:space="0"/>
              <w:left w:val="single" w:color="auto" w:sz="4" w:space="0"/>
              <w:bottom w:val="single" w:color="auto" w:sz="4" w:space="0"/>
              <w:right w:val="single" w:color="auto" w:sz="4" w:space="0"/>
            </w:tcBorders>
            <w:vAlign w:val="center"/>
          </w:tcPr>
          <w:p w14:paraId="59AB086F">
            <w:pPr>
              <w:jc w:val="center"/>
              <w:rPr>
                <w:rFonts w:ascii="宋体" w:hAnsi="宋体"/>
                <w:color w:val="auto"/>
                <w:kern w:val="0"/>
              </w:rPr>
            </w:pPr>
            <w:r>
              <w:rPr>
                <w:rFonts w:hint="eastAsia"/>
                <w:color w:val="auto"/>
              </w:rPr>
              <w:t>企业应对各风险源设置完善的预防措施和应急预案，落实应急防范与减缓措施，防止事故发生。根据环境风险评价、环境应急预案和厂区实际现状，建设相配套应急装备和监测仪器，在非事故状态下不得占用，并定期进行维修保养；加强环境风险管理，对风险评价实行动态管理，保证事故发生时立即进入应急状态，确保环境安全。项目存在井喷、泄漏、火灾爆炸等环境风险，定期开展环境风险应急培训和演练，切实加强事故应急处理和防范能力</w:t>
            </w:r>
            <w:r>
              <w:rPr>
                <w:rFonts w:hint="eastAsia" w:ascii="宋体" w:hAnsi="宋体"/>
                <w:color w:val="auto"/>
              </w:rPr>
              <w:t>。</w:t>
            </w:r>
          </w:p>
        </w:tc>
        <w:tc>
          <w:tcPr>
            <w:tcW w:w="2194" w:type="pct"/>
            <w:tcBorders>
              <w:top w:val="single" w:color="auto" w:sz="4" w:space="0"/>
              <w:left w:val="single" w:color="auto" w:sz="4" w:space="0"/>
              <w:bottom w:val="single" w:color="auto" w:sz="4" w:space="0"/>
              <w:right w:val="single" w:color="auto" w:sz="4" w:space="0"/>
            </w:tcBorders>
            <w:vAlign w:val="center"/>
          </w:tcPr>
          <w:p w14:paraId="5301831F">
            <w:pPr>
              <w:jc w:val="center"/>
              <w:rPr>
                <w:rFonts w:ascii="宋体" w:hAnsi="宋体"/>
                <w:color w:val="auto"/>
                <w:kern w:val="0"/>
              </w:rPr>
            </w:pPr>
            <w:r>
              <w:rPr>
                <w:rFonts w:hint="eastAsia" w:ascii="宋体" w:hAnsi="宋体"/>
                <w:color w:val="auto"/>
                <w:kern w:val="0"/>
              </w:rPr>
              <w:t>东胜公司针对井喷、管线、伴生气泄漏等环境风险事故采取了必要的防控措施，并制定环境风险预案，配备了必要的应急设备、应急物资，定期开展培训演练，并记录存档。</w:t>
            </w:r>
          </w:p>
        </w:tc>
        <w:tc>
          <w:tcPr>
            <w:tcW w:w="289" w:type="pct"/>
            <w:tcBorders>
              <w:top w:val="single" w:color="auto" w:sz="4" w:space="0"/>
              <w:left w:val="single" w:color="auto" w:sz="4" w:space="0"/>
              <w:bottom w:val="single" w:color="auto" w:sz="4" w:space="0"/>
              <w:right w:val="single" w:color="auto" w:sz="4" w:space="0"/>
            </w:tcBorders>
            <w:vAlign w:val="center"/>
          </w:tcPr>
          <w:p w14:paraId="21AD18E9">
            <w:pPr>
              <w:jc w:val="center"/>
              <w:rPr>
                <w:rFonts w:ascii="宋体" w:hAnsi="宋体"/>
                <w:color w:val="auto"/>
                <w:kern w:val="0"/>
              </w:rPr>
            </w:pPr>
            <w:r>
              <w:rPr>
                <w:rFonts w:hint="eastAsia" w:ascii="宋体" w:hAnsi="宋体"/>
                <w:color w:val="auto"/>
                <w:kern w:val="0"/>
              </w:rPr>
              <w:t>已落实</w:t>
            </w:r>
          </w:p>
        </w:tc>
      </w:tr>
      <w:tr w14:paraId="4E3D1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vMerge w:val="restart"/>
            <w:tcBorders>
              <w:top w:val="single" w:color="auto" w:sz="4" w:space="0"/>
              <w:left w:val="single" w:color="auto" w:sz="4" w:space="0"/>
              <w:right w:val="single" w:color="auto" w:sz="4" w:space="0"/>
            </w:tcBorders>
            <w:vAlign w:val="center"/>
          </w:tcPr>
          <w:p w14:paraId="6933B0C9">
            <w:pPr>
              <w:jc w:val="center"/>
              <w:rPr>
                <w:rFonts w:ascii="宋体" w:hAnsi="宋体"/>
                <w:color w:val="auto"/>
                <w:kern w:val="0"/>
              </w:rPr>
            </w:pPr>
            <w:r>
              <w:rPr>
                <w:rFonts w:hint="eastAsia" w:ascii="宋体" w:hAnsi="宋体"/>
                <w:color w:val="auto"/>
                <w:kern w:val="0"/>
              </w:rPr>
              <w:t>其他相关要求</w:t>
            </w:r>
          </w:p>
        </w:tc>
        <w:tc>
          <w:tcPr>
            <w:tcW w:w="2202" w:type="pct"/>
            <w:tcBorders>
              <w:top w:val="single" w:color="auto" w:sz="4" w:space="0"/>
              <w:left w:val="single" w:color="auto" w:sz="4" w:space="0"/>
              <w:bottom w:val="single" w:color="auto" w:sz="4" w:space="0"/>
              <w:right w:val="single" w:color="auto" w:sz="4" w:space="0"/>
            </w:tcBorders>
            <w:vAlign w:val="center"/>
          </w:tcPr>
          <w:p w14:paraId="41E87E78">
            <w:pPr>
              <w:jc w:val="center"/>
              <w:rPr>
                <w:rFonts w:ascii="宋体" w:hAnsi="宋体"/>
                <w:color w:val="auto"/>
              </w:rPr>
            </w:pPr>
            <w:r>
              <w:rPr>
                <w:rFonts w:hint="eastAsia"/>
                <w:color w:val="auto"/>
              </w:rPr>
              <w:t>加强钻井及运营期间的生态及土壤保护工作，项目建设完成后及时对</w:t>
            </w:r>
            <w:bookmarkStart w:id="389" w:name="OLE_LINK283"/>
            <w:bookmarkStart w:id="390" w:name="OLE_LINK282"/>
            <w:r>
              <w:rPr>
                <w:rFonts w:hint="eastAsia"/>
                <w:color w:val="auto"/>
              </w:rPr>
              <w:t>钻井区域、钻井泥浆池占地等区域地表植被进行恢复和绿化</w:t>
            </w:r>
            <w:bookmarkEnd w:id="389"/>
            <w:bookmarkEnd w:id="390"/>
          </w:p>
        </w:tc>
        <w:tc>
          <w:tcPr>
            <w:tcW w:w="2194" w:type="pct"/>
            <w:tcBorders>
              <w:top w:val="single" w:color="auto" w:sz="4" w:space="0"/>
              <w:left w:val="single" w:color="auto" w:sz="4" w:space="0"/>
              <w:bottom w:val="single" w:color="auto" w:sz="4" w:space="0"/>
              <w:right w:val="single" w:color="auto" w:sz="4" w:space="0"/>
            </w:tcBorders>
            <w:vAlign w:val="center"/>
          </w:tcPr>
          <w:p w14:paraId="201EE473">
            <w:pPr>
              <w:jc w:val="center"/>
              <w:rPr>
                <w:rFonts w:ascii="宋体" w:hAnsi="宋体"/>
                <w:color w:val="auto"/>
                <w:kern w:val="0"/>
              </w:rPr>
            </w:pPr>
            <w:r>
              <w:rPr>
                <w:rFonts w:hint="eastAsia" w:ascii="宋体" w:hAnsi="宋体"/>
                <w:color w:val="auto"/>
              </w:rPr>
              <w:t>施工期及运营期均对员工进行了环保宣传教育，制定环保管理制度；</w:t>
            </w:r>
            <w:r>
              <w:rPr>
                <w:rFonts w:hint="eastAsia" w:cs="宋体"/>
                <w:color w:val="auto"/>
              </w:rPr>
              <w:t>采取了边铺设管道边分层覆土的措施，减少了裸地的暴露时间，施工结束后，能够做到及时清理现场，恢复地貌，已将施工期对生态环境的影响降到最低程度；</w:t>
            </w:r>
            <w:r>
              <w:rPr>
                <w:rFonts w:hint="eastAsia"/>
                <w:color w:val="auto"/>
              </w:rPr>
              <w:t>钻井区域占地等区域地表植被已进行恢复和绿化；钻井期间采用“泥浆不落地”工艺，未建设泥浆池</w:t>
            </w:r>
          </w:p>
        </w:tc>
        <w:tc>
          <w:tcPr>
            <w:tcW w:w="289" w:type="pct"/>
            <w:tcBorders>
              <w:top w:val="single" w:color="auto" w:sz="4" w:space="0"/>
              <w:left w:val="single" w:color="auto" w:sz="4" w:space="0"/>
              <w:bottom w:val="single" w:color="auto" w:sz="4" w:space="0"/>
              <w:right w:val="single" w:color="auto" w:sz="4" w:space="0"/>
            </w:tcBorders>
            <w:vAlign w:val="center"/>
          </w:tcPr>
          <w:p w14:paraId="05A69A1A">
            <w:pPr>
              <w:jc w:val="center"/>
              <w:rPr>
                <w:rFonts w:ascii="宋体" w:hAnsi="宋体"/>
                <w:color w:val="auto"/>
                <w:kern w:val="0"/>
              </w:rPr>
            </w:pPr>
            <w:r>
              <w:rPr>
                <w:rFonts w:hint="eastAsia" w:ascii="宋体" w:hAnsi="宋体"/>
                <w:color w:val="auto"/>
                <w:kern w:val="0"/>
              </w:rPr>
              <w:t>已落实</w:t>
            </w:r>
          </w:p>
        </w:tc>
      </w:tr>
      <w:tr w14:paraId="2F10B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1" w:type="pct"/>
            <w:vMerge w:val="continue"/>
            <w:tcBorders>
              <w:left w:val="single" w:color="auto" w:sz="4" w:space="0"/>
              <w:right w:val="single" w:color="auto" w:sz="4" w:space="0"/>
            </w:tcBorders>
            <w:vAlign w:val="center"/>
          </w:tcPr>
          <w:p w14:paraId="4B07CC83">
            <w:pPr>
              <w:jc w:val="center"/>
              <w:rPr>
                <w:rFonts w:ascii="宋体" w:hAnsi="宋体"/>
                <w:color w:val="auto"/>
                <w:kern w:val="0"/>
              </w:rPr>
            </w:pPr>
          </w:p>
        </w:tc>
        <w:tc>
          <w:tcPr>
            <w:tcW w:w="2180" w:type="pct"/>
            <w:tcBorders>
              <w:top w:val="single" w:color="auto" w:sz="4" w:space="0"/>
              <w:left w:val="single" w:color="auto" w:sz="4" w:space="0"/>
              <w:bottom w:val="single" w:color="auto" w:sz="4" w:space="0"/>
              <w:right w:val="single" w:color="auto" w:sz="4" w:space="0"/>
            </w:tcBorders>
            <w:vAlign w:val="center"/>
          </w:tcPr>
          <w:p w14:paraId="757CED2F">
            <w:pPr>
              <w:jc w:val="center"/>
              <w:rPr>
                <w:color w:val="auto"/>
              </w:rPr>
            </w:pPr>
            <w:r>
              <w:rPr>
                <w:rFonts w:hint="eastAsia"/>
                <w:color w:val="auto"/>
              </w:rPr>
              <w:t>开展环保设施风险辨识与评估。你公司应当对环保设施开展安全风险辨识评估和隐患排查治理，建立环保治理设施检查台账，确保环保设施安全运行。不得采用国家、地方淘汰的设备和工艺，应当</w:t>
            </w:r>
            <w:bookmarkStart w:id="391" w:name="OLE_LINK281"/>
            <w:bookmarkStart w:id="392" w:name="OLE_LINK280"/>
            <w:r>
              <w:rPr>
                <w:rFonts w:hint="eastAsia"/>
                <w:color w:val="auto"/>
              </w:rPr>
              <w:t>委托有资质的设计单位进行正规设计，施工单位要按照设计方案和相关施工技术标准规范施工，严格落实安全生产相关技术要求</w:t>
            </w:r>
            <w:bookmarkEnd w:id="391"/>
            <w:bookmarkEnd w:id="392"/>
          </w:p>
        </w:tc>
        <w:tc>
          <w:tcPr>
            <w:tcW w:w="2172" w:type="pct"/>
            <w:tcBorders>
              <w:top w:val="single" w:color="auto" w:sz="4" w:space="0"/>
              <w:left w:val="single" w:color="auto" w:sz="4" w:space="0"/>
              <w:bottom w:val="single" w:color="auto" w:sz="4" w:space="0"/>
              <w:right w:val="single" w:color="auto" w:sz="4" w:space="0"/>
            </w:tcBorders>
            <w:vAlign w:val="center"/>
          </w:tcPr>
          <w:p w14:paraId="485CB88E">
            <w:pPr>
              <w:jc w:val="center"/>
              <w:rPr>
                <w:rFonts w:ascii="宋体" w:hAnsi="宋体"/>
                <w:color w:val="auto"/>
              </w:rPr>
            </w:pPr>
            <w:r>
              <w:rPr>
                <w:rFonts w:hint="eastAsia" w:ascii="宋体" w:hAnsi="宋体"/>
                <w:color w:val="auto"/>
              </w:rPr>
              <w:t>经核实，本期工程未</w:t>
            </w:r>
            <w:r>
              <w:rPr>
                <w:rFonts w:hint="eastAsia"/>
                <w:color w:val="auto"/>
              </w:rPr>
              <w:t>采用国家、地方淘汰的设备和工艺，委托了有资质的设计单位进行正规设计，施工单位按照设计方案和相关施工技术标准规范进行了施工，严格落实了安全生产相关技术要求</w:t>
            </w:r>
          </w:p>
        </w:tc>
        <w:tc>
          <w:tcPr>
            <w:tcW w:w="267" w:type="pct"/>
            <w:tcBorders>
              <w:top w:val="single" w:color="auto" w:sz="4" w:space="0"/>
              <w:left w:val="single" w:color="auto" w:sz="4" w:space="0"/>
              <w:bottom w:val="single" w:color="auto" w:sz="4" w:space="0"/>
              <w:right w:val="single" w:color="auto" w:sz="4" w:space="0"/>
            </w:tcBorders>
            <w:vAlign w:val="center"/>
          </w:tcPr>
          <w:p w14:paraId="3463A3CA">
            <w:pPr>
              <w:jc w:val="center"/>
              <w:rPr>
                <w:rFonts w:ascii="宋体" w:hAnsi="宋体"/>
                <w:color w:val="auto"/>
                <w:kern w:val="0"/>
              </w:rPr>
            </w:pPr>
            <w:r>
              <w:rPr>
                <w:rFonts w:hint="eastAsia" w:ascii="宋体" w:hAnsi="宋体"/>
                <w:color w:val="auto"/>
                <w:kern w:val="0"/>
              </w:rPr>
              <w:t>已落实</w:t>
            </w:r>
          </w:p>
        </w:tc>
      </w:tr>
      <w:tr w14:paraId="7144B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1" w:type="pct"/>
            <w:vMerge w:val="continue"/>
            <w:tcBorders>
              <w:left w:val="single" w:color="auto" w:sz="4" w:space="0"/>
              <w:bottom w:val="single" w:color="auto" w:sz="4" w:space="0"/>
              <w:right w:val="single" w:color="auto" w:sz="4" w:space="0"/>
            </w:tcBorders>
            <w:vAlign w:val="center"/>
          </w:tcPr>
          <w:p w14:paraId="4EB00F98">
            <w:pPr>
              <w:jc w:val="center"/>
              <w:rPr>
                <w:rFonts w:ascii="宋体" w:hAnsi="宋体"/>
                <w:color w:val="auto"/>
                <w:kern w:val="0"/>
              </w:rPr>
            </w:pPr>
          </w:p>
        </w:tc>
        <w:tc>
          <w:tcPr>
            <w:tcW w:w="2180" w:type="pct"/>
            <w:tcBorders>
              <w:top w:val="single" w:color="auto" w:sz="4" w:space="0"/>
              <w:left w:val="single" w:color="auto" w:sz="4" w:space="0"/>
              <w:bottom w:val="single" w:color="auto" w:sz="4" w:space="0"/>
              <w:right w:val="single" w:color="auto" w:sz="4" w:space="0"/>
            </w:tcBorders>
            <w:vAlign w:val="center"/>
          </w:tcPr>
          <w:p w14:paraId="0DC47501">
            <w:pPr>
              <w:jc w:val="center"/>
              <w:rPr>
                <w:color w:val="auto"/>
              </w:rPr>
            </w:pPr>
            <w:r>
              <w:rPr>
                <w:rFonts w:hint="eastAsia"/>
                <w:color w:val="auto"/>
              </w:rPr>
              <w:t>该项目建成后，主要污染物排放量应控制在该项目确认的总量控制指标内，并严格按照《排污许可管理条例》及《固定污染源排污许可分类管理名录(2019年版)》等相关要求，做好排污许可证的申请、变更工作，落实排污许可证执行报告制度</w:t>
            </w:r>
          </w:p>
        </w:tc>
        <w:tc>
          <w:tcPr>
            <w:tcW w:w="2172" w:type="pct"/>
            <w:tcBorders>
              <w:top w:val="single" w:color="auto" w:sz="4" w:space="0"/>
              <w:left w:val="single" w:color="auto" w:sz="4" w:space="0"/>
              <w:bottom w:val="single" w:color="auto" w:sz="4" w:space="0"/>
              <w:right w:val="single" w:color="auto" w:sz="4" w:space="0"/>
            </w:tcBorders>
            <w:vAlign w:val="center"/>
          </w:tcPr>
          <w:p w14:paraId="49F2A1BE">
            <w:pPr>
              <w:jc w:val="center"/>
              <w:rPr>
                <w:rFonts w:ascii="宋体" w:hAnsi="宋体"/>
                <w:color w:val="auto"/>
              </w:rPr>
            </w:pPr>
            <w:r>
              <w:rPr>
                <w:rFonts w:hint="eastAsia" w:ascii="宋体" w:hAnsi="宋体"/>
                <w:color w:val="auto"/>
              </w:rPr>
              <w:t>环评阶段：SO</w:t>
            </w:r>
            <w:r>
              <w:rPr>
                <w:rFonts w:hint="eastAsia" w:ascii="宋体" w:hAnsi="宋体"/>
                <w:color w:val="auto"/>
                <w:vertAlign w:val="subscript"/>
              </w:rPr>
              <w:t>2</w:t>
            </w:r>
            <w:r>
              <w:rPr>
                <w:rFonts w:hint="eastAsia" w:ascii="宋体" w:hAnsi="宋体"/>
                <w:color w:val="auto"/>
              </w:rPr>
              <w:t>排放量为0.105t/a，NO</w:t>
            </w:r>
            <w:r>
              <w:rPr>
                <w:rFonts w:hint="eastAsia" w:ascii="宋体" w:hAnsi="宋体"/>
                <w:color w:val="auto"/>
                <w:vertAlign w:val="subscript"/>
              </w:rPr>
              <w:t>X</w:t>
            </w:r>
            <w:r>
              <w:rPr>
                <w:rFonts w:hint="eastAsia" w:ascii="宋体" w:hAnsi="宋体"/>
                <w:color w:val="auto"/>
              </w:rPr>
              <w:t>排放量为1.615t/a，颗粒物排放量为0.139t/a，非甲烷总烃排放量为1.149t/a；</w:t>
            </w:r>
            <w:bookmarkStart w:id="393" w:name="OLE_LINK355"/>
            <w:bookmarkStart w:id="394" w:name="OLE_LINK356"/>
            <w:r>
              <w:rPr>
                <w:rFonts w:hint="eastAsia" w:ascii="宋体" w:hAnsi="宋体"/>
                <w:color w:val="auto"/>
              </w:rPr>
              <w:t>本期工程验收阶段：SO</w:t>
            </w:r>
            <w:r>
              <w:rPr>
                <w:rFonts w:hint="eastAsia" w:ascii="宋体" w:hAnsi="宋体"/>
                <w:color w:val="auto"/>
                <w:vertAlign w:val="subscript"/>
              </w:rPr>
              <w:t>2</w:t>
            </w:r>
            <w:r>
              <w:rPr>
                <w:rFonts w:hint="eastAsia" w:ascii="宋体" w:hAnsi="宋体"/>
                <w:color w:val="auto"/>
              </w:rPr>
              <w:t>排放量为</w:t>
            </w:r>
            <w:r>
              <w:rPr>
                <w:rFonts w:ascii="宋体" w:hAnsi="宋体"/>
                <w:color w:val="auto"/>
              </w:rPr>
              <w:t>0.012t/a</w:t>
            </w:r>
            <w:r>
              <w:rPr>
                <w:rFonts w:hint="eastAsia" w:ascii="宋体" w:hAnsi="宋体"/>
                <w:color w:val="auto"/>
              </w:rPr>
              <w:t>，NO</w:t>
            </w:r>
            <w:r>
              <w:rPr>
                <w:rFonts w:hint="eastAsia" w:ascii="宋体" w:hAnsi="宋体"/>
                <w:color w:val="auto"/>
                <w:vertAlign w:val="subscript"/>
              </w:rPr>
              <w:t>X</w:t>
            </w:r>
            <w:r>
              <w:rPr>
                <w:rFonts w:hint="eastAsia" w:ascii="宋体" w:hAnsi="宋体"/>
                <w:color w:val="auto"/>
              </w:rPr>
              <w:t>排放量为</w:t>
            </w:r>
            <w:r>
              <w:rPr>
                <w:rFonts w:ascii="宋体" w:hAnsi="宋体"/>
                <w:color w:val="auto"/>
              </w:rPr>
              <w:t>0.257t/a</w:t>
            </w:r>
            <w:r>
              <w:rPr>
                <w:rFonts w:hint="eastAsia" w:ascii="宋体" w:hAnsi="宋体"/>
                <w:color w:val="auto"/>
              </w:rPr>
              <w:t>，颗粒物排放量为</w:t>
            </w:r>
            <w:r>
              <w:rPr>
                <w:rFonts w:ascii="宋体" w:hAnsi="宋体"/>
                <w:color w:val="auto"/>
              </w:rPr>
              <w:t>0.027t/a</w:t>
            </w:r>
            <w:bookmarkEnd w:id="393"/>
            <w:bookmarkEnd w:id="394"/>
            <w:r>
              <w:rPr>
                <w:rFonts w:hint="eastAsia" w:ascii="宋体" w:hAnsi="宋体"/>
                <w:color w:val="auto"/>
              </w:rPr>
              <w:t>，</w:t>
            </w:r>
            <w:r>
              <w:rPr>
                <w:rFonts w:hint="eastAsia" w:ascii="宋体" w:hAnsi="宋体"/>
                <w:color w:val="auto"/>
              </w:rPr>
              <w:t>非甲烷总烃排放量为</w:t>
            </w:r>
            <w:r>
              <w:rPr>
                <w:rFonts w:ascii="宋体" w:hAnsi="宋体"/>
                <w:color w:val="auto"/>
              </w:rPr>
              <w:t>0.331t/a</w:t>
            </w:r>
            <w:r>
              <w:rPr>
                <w:rFonts w:hint="eastAsia" w:ascii="宋体" w:hAnsi="宋体"/>
                <w:color w:val="auto"/>
              </w:rPr>
              <w:t>，小于环评阶段排放量；本期工程新增加热炉已纳入排污许可手续管理</w:t>
            </w:r>
          </w:p>
        </w:tc>
        <w:tc>
          <w:tcPr>
            <w:tcW w:w="267" w:type="pct"/>
            <w:tcBorders>
              <w:top w:val="single" w:color="auto" w:sz="4" w:space="0"/>
              <w:left w:val="single" w:color="auto" w:sz="4" w:space="0"/>
              <w:bottom w:val="single" w:color="auto" w:sz="4" w:space="0"/>
              <w:right w:val="single" w:color="auto" w:sz="4" w:space="0"/>
            </w:tcBorders>
            <w:vAlign w:val="center"/>
          </w:tcPr>
          <w:p w14:paraId="4F4A4E8C">
            <w:pPr>
              <w:jc w:val="center"/>
              <w:rPr>
                <w:rFonts w:ascii="宋体" w:hAnsi="宋体"/>
                <w:color w:val="auto"/>
                <w:kern w:val="0"/>
              </w:rPr>
            </w:pPr>
            <w:r>
              <w:rPr>
                <w:rFonts w:hint="eastAsia" w:ascii="宋体" w:hAnsi="宋体"/>
                <w:color w:val="auto"/>
                <w:kern w:val="0"/>
              </w:rPr>
              <w:t>已落实</w:t>
            </w:r>
          </w:p>
        </w:tc>
      </w:tr>
    </w:tbl>
    <w:p w14:paraId="2AAF5D9C">
      <w:pPr>
        <w:rPr>
          <w:rFonts w:ascii="宋体" w:hAnsi="宋体"/>
          <w:color w:val="auto"/>
        </w:rPr>
      </w:pPr>
    </w:p>
    <w:p w14:paraId="11A1766C">
      <w:pPr>
        <w:snapToGrid w:val="0"/>
        <w:rPr>
          <w:rFonts w:ascii="宋体" w:hAnsi="宋体"/>
          <w:color w:val="auto"/>
          <w:sz w:val="18"/>
          <w:szCs w:val="18"/>
        </w:rPr>
        <w:sectPr>
          <w:pgSz w:w="11907" w:h="16839"/>
          <w:pgMar w:top="1560" w:right="1588" w:bottom="1418" w:left="1588" w:header="1134" w:footer="850" w:gutter="0"/>
          <w:cols w:space="720" w:num="1"/>
          <w:docGrid w:linePitch="312" w:charSpace="0"/>
        </w:sectPr>
      </w:pPr>
    </w:p>
    <w:p w14:paraId="1EA6C523">
      <w:pPr>
        <w:pStyle w:val="5"/>
        <w:rPr>
          <w:color w:val="auto"/>
        </w:rPr>
      </w:pPr>
      <w:bookmarkStart w:id="395" w:name="_Toc231283637"/>
      <w:r>
        <w:rPr>
          <w:rFonts w:hint="eastAsia"/>
          <w:color w:val="auto"/>
        </w:rPr>
        <w:t>在线监测装置</w:t>
      </w:r>
      <w:bookmarkEnd w:id="395"/>
    </w:p>
    <w:p w14:paraId="350DD86A">
      <w:pPr>
        <w:autoSpaceDE w:val="0"/>
        <w:autoSpaceDN w:val="0"/>
        <w:adjustRightInd w:val="0"/>
        <w:snapToGrid w:val="0"/>
        <w:spacing w:line="328" w:lineRule="auto"/>
        <w:ind w:firstLine="480" w:firstLineChars="200"/>
        <w:rPr>
          <w:rFonts w:ascii="宋体" w:hAnsi="宋体"/>
          <w:color w:val="auto"/>
          <w:kern w:val="0"/>
          <w:sz w:val="24"/>
          <w:szCs w:val="24"/>
        </w:rPr>
      </w:pPr>
      <w:r>
        <w:rPr>
          <w:rFonts w:hint="eastAsia" w:ascii="宋体" w:hAnsi="宋体"/>
          <w:color w:val="auto"/>
          <w:kern w:val="0"/>
          <w:sz w:val="24"/>
          <w:szCs w:val="24"/>
        </w:rPr>
        <w:t>按照相关文件规定及环评批复要求，本期工程无需安装在线监测装置。</w:t>
      </w:r>
    </w:p>
    <w:p w14:paraId="2ED4CFF9">
      <w:pPr>
        <w:pStyle w:val="3"/>
        <w:rPr>
          <w:color w:val="auto"/>
        </w:rPr>
      </w:pPr>
      <w:bookmarkStart w:id="396" w:name="_Toc231283638"/>
      <w:r>
        <w:rPr>
          <w:rFonts w:hint="eastAsia"/>
          <w:color w:val="auto"/>
        </w:rPr>
        <w:t>环境</w:t>
      </w:r>
      <w:r>
        <w:rPr>
          <w:color w:val="auto"/>
        </w:rPr>
        <w:t>影响调查</w:t>
      </w:r>
      <w:bookmarkEnd w:id="396"/>
    </w:p>
    <w:p w14:paraId="095A0171">
      <w:pPr>
        <w:pStyle w:val="5"/>
        <w:rPr>
          <w:color w:val="auto"/>
        </w:rPr>
      </w:pPr>
      <w:bookmarkStart w:id="397" w:name="_Toc231283639"/>
      <w:r>
        <w:rPr>
          <w:rFonts w:hint="eastAsia"/>
          <w:color w:val="auto"/>
        </w:rPr>
        <w:t>调查目的及</w:t>
      </w:r>
      <w:r>
        <w:rPr>
          <w:color w:val="auto"/>
        </w:rPr>
        <w:t>原则</w:t>
      </w:r>
      <w:bookmarkEnd w:id="397"/>
    </w:p>
    <w:p w14:paraId="4A39C09F">
      <w:pPr>
        <w:pStyle w:val="6"/>
        <w:rPr>
          <w:color w:val="auto"/>
        </w:rPr>
      </w:pPr>
      <w:r>
        <w:rPr>
          <w:rFonts w:hint="eastAsia"/>
          <w:color w:val="auto"/>
        </w:rPr>
        <w:t>调查目的</w:t>
      </w:r>
    </w:p>
    <w:p w14:paraId="2DDF032E">
      <w:pPr>
        <w:pStyle w:val="4"/>
        <w:ind w:firstLine="480"/>
        <w:rPr>
          <w:color w:val="auto"/>
        </w:rPr>
      </w:pPr>
      <w:r>
        <w:rPr>
          <w:rFonts w:hint="eastAsia"/>
          <w:color w:val="auto"/>
        </w:rPr>
        <w:t>1）调查项目实际建设情况</w:t>
      </w:r>
      <w:r>
        <w:rPr>
          <w:color w:val="auto"/>
        </w:rPr>
        <w:t>，落实</w:t>
      </w:r>
      <w:r>
        <w:rPr>
          <w:rFonts w:hint="eastAsia"/>
          <w:color w:val="auto"/>
        </w:rPr>
        <w:t>是否</w:t>
      </w:r>
      <w:r>
        <w:rPr>
          <w:color w:val="auto"/>
        </w:rPr>
        <w:t>存在重大变化</w:t>
      </w:r>
      <w:r>
        <w:rPr>
          <w:rFonts w:hint="eastAsia"/>
          <w:color w:val="auto"/>
        </w:rPr>
        <w:t>及</w:t>
      </w:r>
      <w:r>
        <w:rPr>
          <w:color w:val="auto"/>
        </w:rPr>
        <w:t>变化原因</w:t>
      </w:r>
      <w:r>
        <w:rPr>
          <w:rFonts w:hint="eastAsia"/>
          <w:color w:val="auto"/>
        </w:rPr>
        <w:t>。</w:t>
      </w:r>
    </w:p>
    <w:p w14:paraId="52130C42">
      <w:pPr>
        <w:pStyle w:val="4"/>
        <w:ind w:firstLine="480"/>
        <w:rPr>
          <w:color w:val="auto"/>
        </w:rPr>
      </w:pPr>
      <w:r>
        <w:rPr>
          <w:rFonts w:hint="eastAsia"/>
          <w:color w:val="auto"/>
        </w:rPr>
        <w:t>2）调查项目环境影响报告书所提环保措施及生态环境主管部门批复要求的落实情况。</w:t>
      </w:r>
    </w:p>
    <w:p w14:paraId="1970BD89">
      <w:pPr>
        <w:pStyle w:val="4"/>
        <w:ind w:firstLine="480"/>
        <w:rPr>
          <w:color w:val="auto"/>
        </w:rPr>
      </w:pPr>
      <w:r>
        <w:rPr>
          <w:rFonts w:hint="eastAsia"/>
          <w:color w:val="auto"/>
        </w:rPr>
        <w:t>3）调查本工程采取的生态保护工程</w:t>
      </w:r>
      <w:r>
        <w:rPr>
          <w:color w:val="auto"/>
        </w:rPr>
        <w:t>和措施、</w:t>
      </w:r>
      <w:r>
        <w:rPr>
          <w:rFonts w:hint="eastAsia"/>
          <w:color w:val="auto"/>
        </w:rPr>
        <w:t>污染防治</w:t>
      </w:r>
      <w:r>
        <w:rPr>
          <w:color w:val="auto"/>
        </w:rPr>
        <w:t>和</w:t>
      </w:r>
      <w:r>
        <w:rPr>
          <w:rFonts w:hint="eastAsia"/>
          <w:color w:val="auto"/>
        </w:rPr>
        <w:t>处置</w:t>
      </w:r>
      <w:r>
        <w:rPr>
          <w:color w:val="auto"/>
        </w:rPr>
        <w:t>设施</w:t>
      </w:r>
      <w:r>
        <w:rPr>
          <w:rFonts w:hint="eastAsia"/>
          <w:color w:val="auto"/>
        </w:rPr>
        <w:t>及</w:t>
      </w:r>
      <w:r>
        <w:rPr>
          <w:color w:val="auto"/>
        </w:rPr>
        <w:t>其他</w:t>
      </w:r>
      <w:r>
        <w:rPr>
          <w:rFonts w:hint="eastAsia"/>
          <w:color w:val="auto"/>
        </w:rPr>
        <w:t>环境保护设施；通过对项目污染源及所在区域监测与调查结果，分析各项环保措施实施的有效性。针对该工程已产生的实际环境问题及可能存在的潜在环境影响，提出切实可行的补救措施和应急措施，对实施的尚不完善的措施提出改进意见。</w:t>
      </w:r>
    </w:p>
    <w:p w14:paraId="4BB569BC">
      <w:pPr>
        <w:pStyle w:val="4"/>
        <w:ind w:firstLine="480"/>
        <w:rPr>
          <w:color w:val="auto"/>
        </w:rPr>
      </w:pPr>
      <w:r>
        <w:rPr>
          <w:rFonts w:hint="eastAsia"/>
          <w:color w:val="auto"/>
        </w:rPr>
        <w:t>4）调查</w:t>
      </w:r>
      <w:r>
        <w:rPr>
          <w:color w:val="auto"/>
        </w:rPr>
        <w:t>项目实施过程中是否存在</w:t>
      </w:r>
      <w:r>
        <w:rPr>
          <w:rFonts w:hint="eastAsia"/>
          <w:color w:val="auto"/>
        </w:rPr>
        <w:t>环境</w:t>
      </w:r>
      <w:r>
        <w:rPr>
          <w:color w:val="auto"/>
        </w:rPr>
        <w:t>投诉事件</w:t>
      </w:r>
      <w:r>
        <w:rPr>
          <w:rFonts w:hint="eastAsia"/>
          <w:color w:val="auto"/>
        </w:rPr>
        <w:t>，针对公众提出的合理要求提出解决建议。</w:t>
      </w:r>
    </w:p>
    <w:p w14:paraId="7CD20DFA">
      <w:pPr>
        <w:pStyle w:val="4"/>
        <w:ind w:firstLine="480"/>
        <w:rPr>
          <w:color w:val="auto"/>
        </w:rPr>
      </w:pPr>
      <w:r>
        <w:rPr>
          <w:rFonts w:hint="eastAsia"/>
          <w:color w:val="auto"/>
        </w:rPr>
        <w:t>5）根据调查结果，客观、公正地从技术上论证项目是否符合竣工环境保护验收条件。</w:t>
      </w:r>
    </w:p>
    <w:p w14:paraId="00570B43">
      <w:pPr>
        <w:pStyle w:val="6"/>
        <w:rPr>
          <w:color w:val="auto"/>
        </w:rPr>
      </w:pPr>
      <w:r>
        <w:rPr>
          <w:rFonts w:hint="eastAsia"/>
          <w:color w:val="auto"/>
        </w:rPr>
        <w:t>调查原则</w:t>
      </w:r>
    </w:p>
    <w:p w14:paraId="550B2E71">
      <w:pPr>
        <w:pStyle w:val="4"/>
        <w:ind w:firstLine="480"/>
        <w:rPr>
          <w:color w:val="auto"/>
        </w:rPr>
      </w:pPr>
      <w:r>
        <w:rPr>
          <w:rFonts w:hint="eastAsia"/>
          <w:color w:val="auto"/>
        </w:rPr>
        <w:t>本次环境影响调查坚持以下原则：</w:t>
      </w:r>
    </w:p>
    <w:p w14:paraId="4277BF6E">
      <w:pPr>
        <w:pStyle w:val="4"/>
        <w:ind w:firstLine="480"/>
        <w:rPr>
          <w:color w:val="auto"/>
        </w:rPr>
      </w:pPr>
      <w:r>
        <w:rPr>
          <w:rFonts w:hint="eastAsia"/>
          <w:color w:val="auto"/>
        </w:rPr>
        <w:t>1）认真贯彻国家与地方的环境保护法律、法规及有关规定。</w:t>
      </w:r>
    </w:p>
    <w:p w14:paraId="45AAF014">
      <w:pPr>
        <w:pStyle w:val="4"/>
        <w:ind w:firstLine="480"/>
        <w:rPr>
          <w:color w:val="auto"/>
        </w:rPr>
      </w:pPr>
      <w:r>
        <w:rPr>
          <w:rFonts w:hint="eastAsia"/>
          <w:color w:val="auto"/>
        </w:rPr>
        <w:t>2）遵循污染防治与生态保护并重的原则。</w:t>
      </w:r>
    </w:p>
    <w:p w14:paraId="46B7B0FD">
      <w:pPr>
        <w:pStyle w:val="4"/>
        <w:ind w:firstLine="480"/>
        <w:rPr>
          <w:color w:val="auto"/>
        </w:rPr>
      </w:pPr>
      <w:r>
        <w:rPr>
          <w:color w:val="auto"/>
        </w:rPr>
        <w:t>3</w:t>
      </w:r>
      <w:r>
        <w:rPr>
          <w:rFonts w:hint="eastAsia"/>
          <w:color w:val="auto"/>
        </w:rPr>
        <w:t>）遵循充分利用已有资料与实地踏勘、现场调研、现状监测相结合的原则。</w:t>
      </w:r>
    </w:p>
    <w:p w14:paraId="36FD24CE">
      <w:pPr>
        <w:pStyle w:val="4"/>
        <w:ind w:firstLine="480"/>
        <w:rPr>
          <w:color w:val="auto"/>
        </w:rPr>
      </w:pPr>
      <w:r>
        <w:rPr>
          <w:rFonts w:hint="eastAsia"/>
          <w:color w:val="auto"/>
        </w:rPr>
        <w:t>4）坚持对项目施工期、调试期间环境影响进行全过程分析的原则。</w:t>
      </w:r>
    </w:p>
    <w:p w14:paraId="1F914A31">
      <w:pPr>
        <w:pStyle w:val="4"/>
        <w:ind w:firstLine="480"/>
        <w:rPr>
          <w:color w:val="auto"/>
        </w:rPr>
      </w:pPr>
      <w:r>
        <w:rPr>
          <w:rFonts w:hint="eastAsia"/>
          <w:color w:val="auto"/>
        </w:rPr>
        <w:t>5）坚持客观、公正、科学、实用的原则。</w:t>
      </w:r>
    </w:p>
    <w:p w14:paraId="4323ABCE">
      <w:pPr>
        <w:pStyle w:val="5"/>
        <w:rPr>
          <w:color w:val="auto"/>
        </w:rPr>
      </w:pPr>
      <w:bookmarkStart w:id="398" w:name="_Toc231283640"/>
      <w:r>
        <w:rPr>
          <w:rFonts w:hint="eastAsia"/>
          <w:color w:val="auto"/>
        </w:rPr>
        <w:t>调查方法</w:t>
      </w:r>
      <w:bookmarkEnd w:id="398"/>
    </w:p>
    <w:p w14:paraId="42A5B8C9">
      <w:pPr>
        <w:pStyle w:val="4"/>
        <w:ind w:firstLine="480"/>
        <w:rPr>
          <w:color w:val="auto"/>
        </w:rPr>
      </w:pPr>
      <w:r>
        <w:rPr>
          <w:rFonts w:hint="eastAsia"/>
          <w:color w:val="auto"/>
        </w:rPr>
        <w:t>1）原则上采用《建设项目竣工环境保护验收技术规范 石油天然气开采》（HJ 612-2011）、《建设项目竣工环境保护验收技术规范 生态影响类》（HJ/T 394-2007）中规定的相关方法，同时参照《建设项目竣工环境保护设施验收技术规范 生态影响类（征求意见稿）》（2018年9月25日）</w:t>
      </w:r>
      <w:r>
        <w:rPr>
          <w:rFonts w:hint="eastAsia"/>
          <w:bCs/>
          <w:color w:val="auto"/>
        </w:rPr>
        <w:t>、《建设项目竣工环境保护验收技术指南 污染影响类》（2018年5月15日）中的有关内容。</w:t>
      </w:r>
    </w:p>
    <w:p w14:paraId="70C88440">
      <w:pPr>
        <w:pStyle w:val="4"/>
        <w:ind w:firstLine="480"/>
        <w:rPr>
          <w:color w:val="auto"/>
        </w:rPr>
      </w:pPr>
      <w:r>
        <w:rPr>
          <w:rFonts w:hint="eastAsia"/>
          <w:color w:val="auto"/>
        </w:rPr>
        <w:t>2）环境影响分析采用资料调研、现场调查和实测相结合的方法。</w:t>
      </w:r>
    </w:p>
    <w:p w14:paraId="193CE6AC">
      <w:pPr>
        <w:pStyle w:val="4"/>
        <w:ind w:firstLine="480"/>
        <w:rPr>
          <w:color w:val="auto"/>
        </w:rPr>
      </w:pPr>
      <w:r>
        <w:rPr>
          <w:rFonts w:hint="eastAsia"/>
          <w:color w:val="auto"/>
        </w:rPr>
        <w:t>3）环境保护措施有效性分析主要采用实地调查、监测的方法。</w:t>
      </w:r>
    </w:p>
    <w:p w14:paraId="0335FF7D">
      <w:pPr>
        <w:pStyle w:val="5"/>
        <w:rPr>
          <w:color w:val="auto"/>
        </w:rPr>
      </w:pPr>
      <w:bookmarkStart w:id="399" w:name="_Toc231283641"/>
      <w:r>
        <w:rPr>
          <w:rFonts w:hint="eastAsia"/>
          <w:color w:val="auto"/>
        </w:rPr>
        <w:t>调查范围和</w:t>
      </w:r>
      <w:r>
        <w:rPr>
          <w:color w:val="auto"/>
        </w:rPr>
        <w:t>调查因子</w:t>
      </w:r>
      <w:bookmarkEnd w:id="399"/>
    </w:p>
    <w:p w14:paraId="469FF7AE">
      <w:pPr>
        <w:pStyle w:val="6"/>
        <w:rPr>
          <w:color w:val="auto"/>
        </w:rPr>
      </w:pPr>
      <w:r>
        <w:rPr>
          <w:rFonts w:hint="eastAsia"/>
          <w:color w:val="auto"/>
        </w:rPr>
        <w:t>调查范围</w:t>
      </w:r>
    </w:p>
    <w:p w14:paraId="0EE13AE6">
      <w:pPr>
        <w:pStyle w:val="4"/>
        <w:ind w:firstLine="480"/>
        <w:rPr>
          <w:color w:val="auto"/>
        </w:rPr>
      </w:pPr>
      <w:r>
        <w:rPr>
          <w:rFonts w:hint="eastAsia"/>
          <w:color w:val="auto"/>
        </w:rPr>
        <w:t>本次验收调查的工作范围包括项目开发及受影响的区域，根据有关技术规范的要求以及项目工程特点和环境特征，确定各环境要素调查范围如</w:t>
      </w:r>
      <w:r>
        <w:rPr>
          <w:color w:val="auto"/>
        </w:rPr>
        <w:fldChar w:fldCharType="begin"/>
      </w:r>
      <w:r>
        <w:rPr>
          <w:color w:val="auto"/>
        </w:rPr>
        <w:instrText xml:space="preserve"> </w:instrText>
      </w:r>
      <w:r>
        <w:rPr>
          <w:rFonts w:hint="eastAsia"/>
          <w:color w:val="auto"/>
        </w:rPr>
        <w:instrText xml:space="preserve">REF _Ref59462360 \h</w:instrText>
      </w:r>
      <w:r>
        <w:rPr>
          <w:color w:val="auto"/>
        </w:rPr>
        <w:instrText xml:space="preserve">  \* MERGEFORMAT </w:instrText>
      </w:r>
      <w:r>
        <w:rPr>
          <w:color w:val="auto"/>
        </w:rPr>
        <w:fldChar w:fldCharType="separate"/>
      </w:r>
      <w:r>
        <w:rPr>
          <w:rFonts w:hint="eastAsia"/>
          <w:color w:val="auto"/>
        </w:rPr>
        <w:t xml:space="preserve">表 </w:t>
      </w:r>
      <w:r>
        <w:rPr>
          <w:color w:val="auto"/>
        </w:rPr>
        <w:t>6.3</w:t>
      </w:r>
      <w:r>
        <w:rPr>
          <w:color w:val="auto"/>
        </w:rPr>
        <w:noBreakHyphen/>
      </w:r>
      <w:r>
        <w:rPr>
          <w:color w:val="auto"/>
        </w:rPr>
        <w:t>1</w:t>
      </w:r>
      <w:r>
        <w:rPr>
          <w:color w:val="auto"/>
        </w:rPr>
        <w:fldChar w:fldCharType="end"/>
      </w:r>
      <w:r>
        <w:rPr>
          <w:rFonts w:hint="eastAsia"/>
          <w:color w:val="auto"/>
        </w:rPr>
        <w:t>所示。</w:t>
      </w:r>
    </w:p>
    <w:p w14:paraId="1DF46818">
      <w:pPr>
        <w:pStyle w:val="15"/>
        <w:spacing w:before="120"/>
        <w:rPr>
          <w:rFonts w:hAnsi="宋体"/>
          <w:color w:val="auto"/>
        </w:rPr>
      </w:pPr>
      <w:bookmarkStart w:id="400" w:name="_Ref59462360"/>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400"/>
      <w:r>
        <w:rPr>
          <w:rFonts w:hint="eastAsia" w:hAnsi="宋体"/>
          <w:color w:val="auto"/>
        </w:rPr>
        <w:t xml:space="preserve"> </w:t>
      </w:r>
      <w:r>
        <w:rPr>
          <w:rFonts w:hAnsi="宋体"/>
          <w:color w:val="auto"/>
        </w:rPr>
        <w:t xml:space="preserve"> </w:t>
      </w:r>
      <w:r>
        <w:rPr>
          <w:rFonts w:hint="eastAsia" w:hAnsi="宋体"/>
          <w:color w:val="auto"/>
        </w:rPr>
        <w:t>验收调查范围</w:t>
      </w:r>
      <w:r>
        <w:rPr>
          <w:rFonts w:hAnsi="宋体"/>
          <w:color w:val="auto"/>
        </w:rPr>
        <w:t>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6"/>
        <w:gridCol w:w="7095"/>
      </w:tblGrid>
      <w:tr w14:paraId="1BB8D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32" w:type="pct"/>
            <w:vAlign w:val="center"/>
          </w:tcPr>
          <w:p w14:paraId="1320D714">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环境要素</w:t>
            </w:r>
          </w:p>
        </w:tc>
        <w:tc>
          <w:tcPr>
            <w:tcW w:w="4068" w:type="pct"/>
            <w:vAlign w:val="center"/>
          </w:tcPr>
          <w:p w14:paraId="268C915F">
            <w:pPr>
              <w:pStyle w:val="14"/>
              <w:tabs>
                <w:tab w:val="left" w:pos="1703"/>
              </w:tabs>
              <w:spacing w:line="240" w:lineRule="auto"/>
              <w:ind w:hanging="6"/>
              <w:jc w:val="center"/>
              <w:rPr>
                <w:rFonts w:ascii="宋体" w:hAnsi="宋体"/>
                <w:bCs/>
                <w:color w:val="auto"/>
                <w:sz w:val="21"/>
                <w:szCs w:val="21"/>
              </w:rPr>
            </w:pPr>
            <w:r>
              <w:rPr>
                <w:rFonts w:ascii="宋体" w:hAnsi="宋体"/>
                <w:bCs/>
                <w:color w:val="auto"/>
                <w:sz w:val="21"/>
                <w:szCs w:val="21"/>
              </w:rPr>
              <w:t>调查范围</w:t>
            </w:r>
          </w:p>
        </w:tc>
      </w:tr>
      <w:tr w14:paraId="7C779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2E92CD8F">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生态环境</w:t>
            </w:r>
          </w:p>
        </w:tc>
        <w:tc>
          <w:tcPr>
            <w:tcW w:w="4068" w:type="pct"/>
            <w:vAlign w:val="center"/>
          </w:tcPr>
          <w:p w14:paraId="717EE4CD">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项目地面开发区域，以井场周围</w:t>
            </w:r>
            <w:r>
              <w:rPr>
                <w:rFonts w:ascii="宋体" w:hAnsi="宋体"/>
                <w:bCs/>
                <w:color w:val="auto"/>
                <w:sz w:val="21"/>
                <w:szCs w:val="21"/>
              </w:rPr>
              <w:t>5</w:t>
            </w:r>
            <w:r>
              <w:rPr>
                <w:rFonts w:hint="eastAsia" w:ascii="宋体" w:hAnsi="宋体"/>
                <w:bCs/>
                <w:color w:val="auto"/>
                <w:sz w:val="21"/>
                <w:szCs w:val="21"/>
              </w:rPr>
              <w:t>0m、管线两侧各</w:t>
            </w:r>
            <w:r>
              <w:rPr>
                <w:rFonts w:ascii="宋体" w:hAnsi="宋体"/>
                <w:bCs/>
                <w:color w:val="auto"/>
                <w:sz w:val="21"/>
                <w:szCs w:val="21"/>
              </w:rPr>
              <w:t>3</w:t>
            </w:r>
            <w:r>
              <w:rPr>
                <w:rFonts w:hint="eastAsia" w:ascii="宋体" w:hAnsi="宋体"/>
                <w:bCs/>
                <w:color w:val="auto"/>
                <w:sz w:val="21"/>
                <w:szCs w:val="21"/>
              </w:rPr>
              <w:t>00m范围内为重点调查区域</w:t>
            </w:r>
          </w:p>
        </w:tc>
      </w:tr>
      <w:tr w14:paraId="49234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5D8E5A64">
            <w:pPr>
              <w:pStyle w:val="14"/>
              <w:tabs>
                <w:tab w:val="left" w:pos="1703"/>
              </w:tabs>
              <w:spacing w:line="240" w:lineRule="auto"/>
              <w:ind w:firstLine="31"/>
              <w:jc w:val="center"/>
              <w:rPr>
                <w:rFonts w:ascii="宋体" w:hAnsi="宋体"/>
                <w:bCs/>
                <w:color w:val="auto"/>
                <w:sz w:val="21"/>
                <w:szCs w:val="21"/>
              </w:rPr>
            </w:pPr>
            <w:r>
              <w:rPr>
                <w:rFonts w:hint="eastAsia" w:ascii="宋体" w:hAnsi="宋体"/>
                <w:bCs/>
                <w:color w:val="auto"/>
                <w:sz w:val="21"/>
                <w:szCs w:val="21"/>
              </w:rPr>
              <w:t>土壤</w:t>
            </w:r>
            <w:r>
              <w:rPr>
                <w:rFonts w:ascii="宋体" w:hAnsi="宋体"/>
                <w:bCs/>
                <w:color w:val="auto"/>
                <w:sz w:val="21"/>
                <w:szCs w:val="21"/>
              </w:rPr>
              <w:t>环境</w:t>
            </w:r>
          </w:p>
        </w:tc>
        <w:tc>
          <w:tcPr>
            <w:tcW w:w="4068" w:type="pct"/>
            <w:vAlign w:val="center"/>
          </w:tcPr>
          <w:p w14:paraId="0DF6B7D6">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污染影响型：井场厂界外1000m范围内，管线两侧200m范围内；井场厂界外2000m范围内，管线两侧200m范围内</w:t>
            </w:r>
          </w:p>
        </w:tc>
      </w:tr>
      <w:tr w14:paraId="1903A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5C991532">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大气环境</w:t>
            </w:r>
          </w:p>
        </w:tc>
        <w:tc>
          <w:tcPr>
            <w:tcW w:w="4068" w:type="pct"/>
            <w:vAlign w:val="center"/>
          </w:tcPr>
          <w:p w14:paraId="04E13997">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主要</w:t>
            </w:r>
            <w:r>
              <w:rPr>
                <w:rFonts w:ascii="宋体" w:hAnsi="宋体"/>
                <w:bCs/>
                <w:color w:val="auto"/>
                <w:sz w:val="21"/>
                <w:szCs w:val="21"/>
              </w:rPr>
              <w:t>调查</w:t>
            </w:r>
            <w:r>
              <w:rPr>
                <w:rFonts w:hint="eastAsia" w:ascii="宋体" w:hAnsi="宋体"/>
                <w:bCs/>
                <w:color w:val="auto"/>
                <w:sz w:val="21"/>
                <w:szCs w:val="21"/>
              </w:rPr>
              <w:t>油井井</w:t>
            </w:r>
            <w:r>
              <w:rPr>
                <w:rFonts w:ascii="宋体" w:hAnsi="宋体"/>
                <w:bCs/>
                <w:color w:val="auto"/>
                <w:sz w:val="21"/>
                <w:szCs w:val="21"/>
              </w:rPr>
              <w:t>场周围</w:t>
            </w:r>
            <w:r>
              <w:rPr>
                <w:rFonts w:hint="eastAsia" w:ascii="宋体" w:hAnsi="宋体"/>
                <w:bCs/>
                <w:color w:val="auto"/>
                <w:sz w:val="21"/>
                <w:szCs w:val="21"/>
              </w:rPr>
              <w:t>边长5km范围内</w:t>
            </w:r>
            <w:r>
              <w:rPr>
                <w:rFonts w:ascii="宋体" w:hAnsi="宋体"/>
                <w:bCs/>
                <w:color w:val="auto"/>
                <w:sz w:val="21"/>
                <w:szCs w:val="21"/>
              </w:rPr>
              <w:t>大气环境</w:t>
            </w:r>
          </w:p>
        </w:tc>
      </w:tr>
      <w:tr w14:paraId="087A8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455E3311">
            <w:pPr>
              <w:pStyle w:val="14"/>
              <w:tabs>
                <w:tab w:val="left" w:pos="1703"/>
              </w:tabs>
              <w:spacing w:line="240" w:lineRule="auto"/>
              <w:ind w:firstLine="31"/>
              <w:jc w:val="center"/>
              <w:rPr>
                <w:rFonts w:ascii="宋体" w:hAnsi="宋体"/>
                <w:bCs/>
                <w:color w:val="auto"/>
                <w:sz w:val="21"/>
                <w:szCs w:val="21"/>
              </w:rPr>
            </w:pPr>
            <w:r>
              <w:rPr>
                <w:rFonts w:hint="eastAsia" w:ascii="宋体" w:hAnsi="宋体"/>
                <w:bCs/>
                <w:color w:val="auto"/>
                <w:sz w:val="21"/>
                <w:szCs w:val="21"/>
              </w:rPr>
              <w:t>地下水</w:t>
            </w:r>
            <w:r>
              <w:rPr>
                <w:rFonts w:ascii="宋体" w:hAnsi="宋体"/>
                <w:bCs/>
                <w:color w:val="auto"/>
                <w:sz w:val="21"/>
                <w:szCs w:val="21"/>
              </w:rPr>
              <w:t>环境</w:t>
            </w:r>
          </w:p>
        </w:tc>
        <w:tc>
          <w:tcPr>
            <w:tcW w:w="4068" w:type="pct"/>
            <w:vAlign w:val="center"/>
          </w:tcPr>
          <w:p w14:paraId="328DB0F3">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以收集</w:t>
            </w:r>
            <w:r>
              <w:rPr>
                <w:rFonts w:ascii="宋体" w:hAnsi="宋体"/>
                <w:bCs/>
                <w:color w:val="auto"/>
                <w:sz w:val="21"/>
                <w:szCs w:val="21"/>
              </w:rPr>
              <w:t>项目周边</w:t>
            </w:r>
            <w:r>
              <w:rPr>
                <w:rFonts w:hint="eastAsia" w:ascii="宋体" w:hAnsi="宋体"/>
                <w:bCs/>
                <w:color w:val="auto"/>
                <w:sz w:val="21"/>
                <w:szCs w:val="21"/>
              </w:rPr>
              <w:t>地下</w:t>
            </w:r>
            <w:r>
              <w:rPr>
                <w:rFonts w:ascii="宋体" w:hAnsi="宋体"/>
                <w:bCs/>
                <w:color w:val="auto"/>
                <w:sz w:val="21"/>
                <w:szCs w:val="21"/>
              </w:rPr>
              <w:t>水</w:t>
            </w:r>
            <w:r>
              <w:rPr>
                <w:rFonts w:hint="eastAsia" w:ascii="宋体" w:hAnsi="宋体"/>
                <w:bCs/>
                <w:color w:val="auto"/>
                <w:sz w:val="21"/>
                <w:szCs w:val="21"/>
              </w:rPr>
              <w:t>环境质量状况现有</w:t>
            </w:r>
            <w:r>
              <w:rPr>
                <w:rFonts w:ascii="宋体" w:hAnsi="宋体"/>
                <w:bCs/>
                <w:color w:val="auto"/>
                <w:sz w:val="21"/>
                <w:szCs w:val="21"/>
              </w:rPr>
              <w:t>资料</w:t>
            </w:r>
            <w:r>
              <w:rPr>
                <w:rFonts w:hint="eastAsia" w:ascii="宋体" w:hAnsi="宋体"/>
                <w:bCs/>
                <w:color w:val="auto"/>
                <w:sz w:val="21"/>
                <w:szCs w:val="21"/>
              </w:rPr>
              <w:t>为主</w:t>
            </w:r>
          </w:p>
        </w:tc>
      </w:tr>
      <w:tr w14:paraId="77AFC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687EEAD2">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声环境</w:t>
            </w:r>
          </w:p>
        </w:tc>
        <w:tc>
          <w:tcPr>
            <w:tcW w:w="4068" w:type="pct"/>
            <w:vAlign w:val="center"/>
          </w:tcPr>
          <w:p w14:paraId="7414A1BD">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主要</w:t>
            </w:r>
            <w:r>
              <w:rPr>
                <w:rFonts w:ascii="宋体" w:hAnsi="宋体"/>
                <w:bCs/>
                <w:color w:val="auto"/>
                <w:sz w:val="21"/>
                <w:szCs w:val="21"/>
              </w:rPr>
              <w:t>调查采油井场</w:t>
            </w:r>
            <w:r>
              <w:rPr>
                <w:rFonts w:hint="eastAsia" w:ascii="宋体" w:hAnsi="宋体"/>
                <w:bCs/>
                <w:color w:val="auto"/>
                <w:sz w:val="21"/>
                <w:szCs w:val="21"/>
              </w:rPr>
              <w:t>厂</w:t>
            </w:r>
            <w:r>
              <w:rPr>
                <w:rFonts w:ascii="宋体" w:hAnsi="宋体"/>
                <w:bCs/>
                <w:color w:val="auto"/>
                <w:sz w:val="21"/>
                <w:szCs w:val="21"/>
              </w:rPr>
              <w:t>界</w:t>
            </w:r>
            <w:r>
              <w:rPr>
                <w:rFonts w:hint="eastAsia" w:ascii="宋体" w:hAnsi="宋体"/>
                <w:bCs/>
                <w:color w:val="auto"/>
                <w:sz w:val="21"/>
                <w:szCs w:val="21"/>
              </w:rPr>
              <w:t>2</w:t>
            </w:r>
            <w:r>
              <w:rPr>
                <w:rFonts w:ascii="宋体" w:hAnsi="宋体"/>
                <w:bCs/>
                <w:color w:val="auto"/>
                <w:sz w:val="21"/>
                <w:szCs w:val="21"/>
              </w:rPr>
              <w:t>00</w:t>
            </w:r>
            <w:r>
              <w:rPr>
                <w:rFonts w:hint="eastAsia" w:ascii="宋体" w:hAnsi="宋体"/>
                <w:bCs/>
                <w:color w:val="auto"/>
                <w:sz w:val="21"/>
                <w:szCs w:val="21"/>
              </w:rPr>
              <w:t>米范围内噪声</w:t>
            </w:r>
          </w:p>
        </w:tc>
      </w:tr>
      <w:tr w14:paraId="60D4E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07E2CD5D">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固体废物</w:t>
            </w:r>
          </w:p>
        </w:tc>
        <w:tc>
          <w:tcPr>
            <w:tcW w:w="4068" w:type="pct"/>
            <w:vAlign w:val="center"/>
          </w:tcPr>
          <w:p w14:paraId="600A2ED1">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1、施工期</w:t>
            </w:r>
            <w:r>
              <w:rPr>
                <w:rFonts w:ascii="宋体" w:hAnsi="宋体"/>
                <w:bCs/>
                <w:color w:val="auto"/>
                <w:sz w:val="21"/>
                <w:szCs w:val="21"/>
              </w:rPr>
              <w:t>固体废物的处置情况</w:t>
            </w:r>
            <w:r>
              <w:rPr>
                <w:rFonts w:hint="eastAsia" w:ascii="宋体" w:hAnsi="宋体"/>
                <w:bCs/>
                <w:color w:val="auto"/>
                <w:sz w:val="21"/>
                <w:szCs w:val="21"/>
              </w:rPr>
              <w:t>；</w:t>
            </w:r>
          </w:p>
          <w:p w14:paraId="71BCD2DE">
            <w:pPr>
              <w:pStyle w:val="14"/>
              <w:tabs>
                <w:tab w:val="left" w:pos="1703"/>
              </w:tabs>
              <w:adjustRightInd w:val="0"/>
              <w:spacing w:line="240" w:lineRule="auto"/>
              <w:ind w:firstLine="0"/>
              <w:jc w:val="center"/>
              <w:rPr>
                <w:rFonts w:ascii="宋体" w:hAnsi="宋体"/>
                <w:bCs/>
                <w:color w:val="auto"/>
                <w:sz w:val="21"/>
                <w:szCs w:val="21"/>
              </w:rPr>
            </w:pPr>
            <w:r>
              <w:rPr>
                <w:rFonts w:ascii="宋体" w:hAnsi="宋体"/>
                <w:bCs/>
                <w:color w:val="auto"/>
                <w:sz w:val="21"/>
                <w:szCs w:val="21"/>
              </w:rPr>
              <w:t>2</w:t>
            </w:r>
            <w:r>
              <w:rPr>
                <w:rFonts w:hint="eastAsia" w:ascii="宋体" w:hAnsi="宋体"/>
                <w:bCs/>
                <w:color w:val="auto"/>
                <w:sz w:val="21"/>
                <w:szCs w:val="21"/>
              </w:rPr>
              <w:t>、危险</w:t>
            </w:r>
            <w:r>
              <w:rPr>
                <w:rFonts w:ascii="宋体" w:hAnsi="宋体"/>
                <w:bCs/>
                <w:color w:val="auto"/>
                <w:sz w:val="21"/>
                <w:szCs w:val="21"/>
              </w:rPr>
              <w:t>废物有关贮存、处置情况</w:t>
            </w:r>
          </w:p>
        </w:tc>
      </w:tr>
      <w:tr w14:paraId="43A31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6EFCB0EC">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环境风险</w:t>
            </w:r>
          </w:p>
        </w:tc>
        <w:tc>
          <w:tcPr>
            <w:tcW w:w="4068" w:type="pct"/>
            <w:vAlign w:val="center"/>
          </w:tcPr>
          <w:p w14:paraId="62C050BD">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1、突发环境事件</w:t>
            </w:r>
            <w:r>
              <w:rPr>
                <w:rFonts w:ascii="宋体" w:hAnsi="宋体"/>
                <w:bCs/>
                <w:color w:val="auto"/>
                <w:sz w:val="21"/>
                <w:szCs w:val="21"/>
              </w:rPr>
              <w:t>应急预案的</w:t>
            </w:r>
            <w:r>
              <w:rPr>
                <w:rFonts w:hint="eastAsia" w:ascii="宋体" w:hAnsi="宋体"/>
                <w:bCs/>
                <w:color w:val="auto"/>
                <w:sz w:val="21"/>
                <w:szCs w:val="21"/>
              </w:rPr>
              <w:t>制定</w:t>
            </w:r>
            <w:r>
              <w:rPr>
                <w:rFonts w:ascii="宋体" w:hAnsi="宋体"/>
                <w:bCs/>
                <w:color w:val="auto"/>
                <w:sz w:val="21"/>
                <w:szCs w:val="21"/>
              </w:rPr>
              <w:t>和备案情况；</w:t>
            </w:r>
          </w:p>
          <w:p w14:paraId="7FEEF5E7">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2、应急</w:t>
            </w:r>
            <w:r>
              <w:rPr>
                <w:rFonts w:ascii="宋体" w:hAnsi="宋体"/>
                <w:bCs/>
                <w:color w:val="auto"/>
                <w:sz w:val="21"/>
                <w:szCs w:val="21"/>
              </w:rPr>
              <w:t>物资的储备</w:t>
            </w:r>
            <w:r>
              <w:rPr>
                <w:rFonts w:hint="eastAsia" w:ascii="宋体" w:hAnsi="宋体"/>
                <w:bCs/>
                <w:color w:val="auto"/>
                <w:sz w:val="21"/>
                <w:szCs w:val="21"/>
              </w:rPr>
              <w:t>情况</w:t>
            </w:r>
          </w:p>
        </w:tc>
      </w:tr>
      <w:tr w14:paraId="27078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441987BE">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公众意见</w:t>
            </w:r>
          </w:p>
        </w:tc>
        <w:tc>
          <w:tcPr>
            <w:tcW w:w="4068" w:type="pct"/>
            <w:vAlign w:val="center"/>
          </w:tcPr>
          <w:p w14:paraId="2BD22BAA">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是否存在环境投诉事件</w:t>
            </w:r>
          </w:p>
        </w:tc>
      </w:tr>
    </w:tbl>
    <w:p w14:paraId="14577B66">
      <w:pPr>
        <w:pStyle w:val="4"/>
        <w:spacing w:line="240" w:lineRule="auto"/>
        <w:ind w:firstLine="420"/>
        <w:rPr>
          <w:color w:val="auto"/>
          <w:sz w:val="21"/>
          <w:szCs w:val="21"/>
        </w:rPr>
      </w:pPr>
    </w:p>
    <w:p w14:paraId="07A59388">
      <w:pPr>
        <w:pStyle w:val="4"/>
        <w:spacing w:line="240" w:lineRule="auto"/>
        <w:ind w:firstLine="420"/>
        <w:rPr>
          <w:color w:val="auto"/>
          <w:sz w:val="21"/>
          <w:szCs w:val="21"/>
        </w:rPr>
      </w:pPr>
    </w:p>
    <w:p w14:paraId="6600FBAB">
      <w:pPr>
        <w:pStyle w:val="6"/>
        <w:rPr>
          <w:color w:val="auto"/>
        </w:rPr>
      </w:pPr>
      <w:r>
        <w:rPr>
          <w:rFonts w:hint="eastAsia"/>
          <w:color w:val="auto"/>
        </w:rPr>
        <w:t>调查因子</w:t>
      </w:r>
    </w:p>
    <w:p w14:paraId="036305F8">
      <w:pPr>
        <w:spacing w:line="331" w:lineRule="auto"/>
        <w:ind w:firstLine="480" w:firstLineChars="200"/>
        <w:rPr>
          <w:rFonts w:ascii="宋体" w:hAnsi="宋体"/>
          <w:color w:val="auto"/>
          <w:sz w:val="24"/>
          <w:szCs w:val="24"/>
        </w:rPr>
      </w:pPr>
      <w:r>
        <w:rPr>
          <w:rFonts w:hint="eastAsia" w:ascii="宋体" w:hAnsi="宋体"/>
          <w:color w:val="auto"/>
          <w:sz w:val="24"/>
          <w:szCs w:val="24"/>
        </w:rPr>
        <w:t>1）生态环境：生态系统类型，</w:t>
      </w:r>
      <w:r>
        <w:rPr>
          <w:rFonts w:hint="eastAsia" w:ascii="宋体" w:hAnsi="宋体" w:cs="宋体"/>
          <w:color w:val="auto"/>
          <w:sz w:val="24"/>
          <w:szCs w:val="24"/>
        </w:rPr>
        <w:t>土地占用</w:t>
      </w:r>
      <w:r>
        <w:rPr>
          <w:rFonts w:ascii="宋体" w:hAnsi="宋体" w:cs="宋体"/>
          <w:color w:val="auto"/>
          <w:sz w:val="24"/>
          <w:szCs w:val="24"/>
        </w:rPr>
        <w:t>情况、</w:t>
      </w:r>
      <w:r>
        <w:rPr>
          <w:rFonts w:hint="eastAsia" w:ascii="宋体" w:hAnsi="宋体" w:cs="宋体"/>
          <w:color w:val="auto"/>
          <w:sz w:val="24"/>
          <w:szCs w:val="24"/>
        </w:rPr>
        <w:t>植被类型、野生动物种类、土地利用类型、水土流失情况等</w:t>
      </w:r>
      <w:r>
        <w:rPr>
          <w:rFonts w:hint="eastAsia" w:ascii="宋体" w:hAnsi="宋体"/>
          <w:color w:val="auto"/>
          <w:sz w:val="24"/>
          <w:szCs w:val="24"/>
        </w:rPr>
        <w:t>，并分析油田生产设施对生态环境的影响。</w:t>
      </w:r>
    </w:p>
    <w:p w14:paraId="60201BF3">
      <w:pPr>
        <w:pStyle w:val="122"/>
        <w:spacing w:line="331" w:lineRule="auto"/>
        <w:ind w:firstLine="480"/>
        <w:rPr>
          <w:rFonts w:hAnsi="宋体" w:cs="Times New Roman"/>
          <w:color w:val="auto"/>
          <w:kern w:val="2"/>
        </w:rPr>
      </w:pPr>
      <w:r>
        <w:rPr>
          <w:rFonts w:hint="eastAsia" w:hAnsi="宋体" w:cs="Times New Roman"/>
          <w:color w:val="auto"/>
          <w:kern w:val="2"/>
        </w:rPr>
        <w:t>2）废气：主要调查采油井场厂界无组织排放非甲烷总烃及硫化氢浓度。</w:t>
      </w:r>
    </w:p>
    <w:p w14:paraId="79C54A8B">
      <w:pPr>
        <w:pStyle w:val="122"/>
        <w:spacing w:line="331" w:lineRule="auto"/>
        <w:ind w:firstLine="480"/>
        <w:rPr>
          <w:rFonts w:hAnsi="宋体"/>
          <w:color w:val="auto"/>
        </w:rPr>
      </w:pPr>
      <w:r>
        <w:rPr>
          <w:rFonts w:hAnsi="宋体"/>
          <w:color w:val="auto"/>
        </w:rPr>
        <w:t>3</w:t>
      </w:r>
      <w:r>
        <w:rPr>
          <w:rFonts w:hint="eastAsia" w:hAnsi="宋体"/>
          <w:color w:val="auto"/>
        </w:rPr>
        <w:t>）声环境</w:t>
      </w:r>
      <w:r>
        <w:rPr>
          <w:rFonts w:hAnsi="宋体"/>
          <w:color w:val="auto"/>
        </w:rPr>
        <w:t>：</w:t>
      </w:r>
      <w:r>
        <w:rPr>
          <w:rFonts w:hint="eastAsia" w:hAnsi="宋体"/>
          <w:color w:val="auto"/>
        </w:rPr>
        <w:t>主要调查井场厂界噪声值。</w:t>
      </w:r>
    </w:p>
    <w:p w14:paraId="323435CF">
      <w:pPr>
        <w:pStyle w:val="4"/>
        <w:ind w:firstLine="480"/>
        <w:rPr>
          <w:color w:val="auto"/>
        </w:rPr>
      </w:pPr>
      <w:r>
        <w:rPr>
          <w:rFonts w:hint="eastAsia"/>
          <w:color w:val="auto"/>
        </w:rPr>
        <w:t>4）废水：主要调查施工期和运营期的废水、废液产生与处理情况。</w:t>
      </w:r>
    </w:p>
    <w:p w14:paraId="57A3591B">
      <w:pPr>
        <w:pStyle w:val="122"/>
        <w:spacing w:line="331" w:lineRule="auto"/>
        <w:ind w:firstLine="480"/>
        <w:rPr>
          <w:rFonts w:hAnsi="宋体"/>
          <w:color w:val="auto"/>
        </w:rPr>
      </w:pPr>
      <w:r>
        <w:rPr>
          <w:rFonts w:hAnsi="宋体"/>
          <w:color w:val="auto"/>
        </w:rPr>
        <w:t>5</w:t>
      </w:r>
      <w:r>
        <w:rPr>
          <w:rFonts w:hint="eastAsia" w:hAnsi="宋体"/>
          <w:color w:val="auto"/>
        </w:rPr>
        <w:t>）</w:t>
      </w:r>
      <w:r>
        <w:rPr>
          <w:rFonts w:hAnsi="宋体"/>
          <w:color w:val="auto"/>
        </w:rPr>
        <w:t>土壤环境：</w:t>
      </w:r>
      <w:r>
        <w:rPr>
          <w:rFonts w:hint="eastAsia" w:hAnsi="宋体"/>
          <w:color w:val="auto"/>
        </w:rPr>
        <w:t>井场内土壤执行《土壤环境质量 建设用地土壤污染风险管控标准（试行）》（GB 36600-2018）中的标准要求，调查因子包括：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w:t>
      </w:r>
      <w:r>
        <w:rPr>
          <w:rFonts w:hAnsi="宋体"/>
          <w:color w:val="auto"/>
        </w:rPr>
        <w:t>+</w:t>
      </w:r>
      <w:r>
        <w:rPr>
          <w:rFonts w:hint="eastAsia" w:hAnsi="宋体"/>
          <w:color w:val="auto"/>
        </w:rPr>
        <w:t>对二甲苯、邻二甲苯、硝基苯、苯胺、</w:t>
      </w:r>
      <w:r>
        <w:rPr>
          <w:rFonts w:hAnsi="宋体"/>
          <w:color w:val="auto"/>
        </w:rPr>
        <w:t>2-</w:t>
      </w:r>
      <w:r>
        <w:rPr>
          <w:rFonts w:hint="eastAsia" w:hAnsi="宋体"/>
          <w:color w:val="auto"/>
        </w:rPr>
        <w:t>氯酚、苯并</w:t>
      </w:r>
      <w:r>
        <w:rPr>
          <w:rFonts w:hAnsi="宋体"/>
          <w:color w:val="auto"/>
        </w:rPr>
        <w:t>[a]</w:t>
      </w:r>
      <w:r>
        <w:rPr>
          <w:rFonts w:hint="eastAsia" w:hAnsi="宋体"/>
          <w:color w:val="auto"/>
        </w:rPr>
        <w:t>蒽、苯并</w:t>
      </w:r>
      <w:r>
        <w:rPr>
          <w:rFonts w:hAnsi="宋体"/>
          <w:color w:val="auto"/>
        </w:rPr>
        <w:t>[a]</w:t>
      </w:r>
      <w:r>
        <w:rPr>
          <w:rFonts w:hint="eastAsia" w:hAnsi="宋体"/>
          <w:color w:val="auto"/>
        </w:rPr>
        <w:t>芘、苯并</w:t>
      </w:r>
      <w:r>
        <w:rPr>
          <w:rFonts w:hAnsi="宋体"/>
          <w:color w:val="auto"/>
        </w:rPr>
        <w:t>[b]</w:t>
      </w:r>
      <w:r>
        <w:rPr>
          <w:rFonts w:hint="eastAsia" w:hAnsi="宋体"/>
          <w:color w:val="auto"/>
        </w:rPr>
        <w:t>荧蒽、苯并</w:t>
      </w:r>
      <w:r>
        <w:rPr>
          <w:rFonts w:hAnsi="宋体"/>
          <w:color w:val="auto"/>
        </w:rPr>
        <w:t>[k]</w:t>
      </w:r>
      <w:r>
        <w:rPr>
          <w:rFonts w:hint="eastAsia" w:hAnsi="宋体"/>
          <w:color w:val="auto"/>
        </w:rPr>
        <w:t>荧蒽、䓛、二苯并</w:t>
      </w:r>
      <w:r>
        <w:rPr>
          <w:rFonts w:hAnsi="宋体"/>
          <w:color w:val="auto"/>
        </w:rPr>
        <w:t>[a</w:t>
      </w:r>
      <w:r>
        <w:rPr>
          <w:rFonts w:hint="eastAsia" w:hAnsi="宋体"/>
          <w:color w:val="auto"/>
        </w:rPr>
        <w:t>，</w:t>
      </w:r>
      <w:r>
        <w:rPr>
          <w:rFonts w:hAnsi="宋体"/>
          <w:color w:val="auto"/>
        </w:rPr>
        <w:t>h]</w:t>
      </w:r>
      <w:r>
        <w:rPr>
          <w:rFonts w:hint="eastAsia" w:hAnsi="宋体"/>
          <w:color w:val="auto"/>
        </w:rPr>
        <w:t>蒽、茚并</w:t>
      </w:r>
      <w:r>
        <w:rPr>
          <w:rFonts w:hAnsi="宋体"/>
          <w:color w:val="auto"/>
        </w:rPr>
        <w:t>[1</w:t>
      </w:r>
      <w:r>
        <w:rPr>
          <w:rFonts w:hint="eastAsia" w:hAnsi="宋体"/>
          <w:color w:val="auto"/>
        </w:rPr>
        <w:t>，</w:t>
      </w:r>
      <w:r>
        <w:rPr>
          <w:rFonts w:hAnsi="宋体"/>
          <w:color w:val="auto"/>
        </w:rPr>
        <w:t>2</w:t>
      </w:r>
      <w:r>
        <w:rPr>
          <w:rFonts w:hint="eastAsia" w:hAnsi="宋体"/>
          <w:color w:val="auto"/>
        </w:rPr>
        <w:t>，</w:t>
      </w:r>
      <w:r>
        <w:rPr>
          <w:rFonts w:hAnsi="宋体"/>
          <w:color w:val="auto"/>
        </w:rPr>
        <w:t>3-cd]</w:t>
      </w:r>
      <w:r>
        <w:rPr>
          <w:rFonts w:hint="eastAsia" w:hAnsi="宋体"/>
          <w:color w:val="auto"/>
        </w:rPr>
        <w:t>芘、萘、石油烃（</w:t>
      </w:r>
      <w:r>
        <w:rPr>
          <w:rFonts w:hAnsi="宋体"/>
          <w:color w:val="auto"/>
        </w:rPr>
        <w:t>C</w:t>
      </w:r>
      <w:r>
        <w:rPr>
          <w:rFonts w:hAnsi="宋体"/>
          <w:color w:val="auto"/>
          <w:vertAlign w:val="subscript"/>
        </w:rPr>
        <w:t>10</w:t>
      </w:r>
      <w:r>
        <w:rPr>
          <w:rFonts w:hAnsi="宋体"/>
          <w:color w:val="auto"/>
        </w:rPr>
        <w:t>-C</w:t>
      </w:r>
      <w:r>
        <w:rPr>
          <w:rFonts w:hAnsi="宋体"/>
          <w:color w:val="auto"/>
          <w:vertAlign w:val="subscript"/>
        </w:rPr>
        <w:t>40</w:t>
      </w:r>
      <w:r>
        <w:rPr>
          <w:rFonts w:hint="eastAsia" w:hAnsi="宋体"/>
          <w:color w:val="auto"/>
        </w:rPr>
        <w:t>）共</w:t>
      </w:r>
      <w:r>
        <w:rPr>
          <w:rFonts w:hAnsi="宋体"/>
          <w:color w:val="auto"/>
        </w:rPr>
        <w:t>46</w:t>
      </w:r>
      <w:r>
        <w:rPr>
          <w:rFonts w:hint="eastAsia" w:hAnsi="宋体"/>
          <w:color w:val="auto"/>
        </w:rPr>
        <w:t>项。</w:t>
      </w:r>
      <w:r>
        <w:rPr>
          <w:rFonts w:hint="eastAsia"/>
          <w:color w:val="auto"/>
        </w:rPr>
        <w:t>井场外其他项目：石油烃（C</w:t>
      </w:r>
      <w:r>
        <w:rPr>
          <w:rFonts w:hint="eastAsia"/>
          <w:color w:val="auto"/>
          <w:vertAlign w:val="subscript"/>
        </w:rPr>
        <w:t>10</w:t>
      </w:r>
      <w:r>
        <w:rPr>
          <w:rFonts w:hint="eastAsia"/>
          <w:color w:val="auto"/>
        </w:rPr>
        <w:t>-C</w:t>
      </w:r>
      <w:r>
        <w:rPr>
          <w:rFonts w:hint="eastAsia"/>
          <w:color w:val="auto"/>
          <w:vertAlign w:val="subscript"/>
        </w:rPr>
        <w:t>40</w:t>
      </w:r>
      <w:r>
        <w:rPr>
          <w:rFonts w:hint="eastAsia"/>
          <w:color w:val="auto"/>
        </w:rPr>
        <w:t>）</w:t>
      </w:r>
    </w:p>
    <w:p w14:paraId="06472EF0">
      <w:pPr>
        <w:pStyle w:val="4"/>
        <w:ind w:firstLine="480"/>
        <w:rPr>
          <w:color w:val="auto"/>
        </w:rPr>
      </w:pPr>
      <w:r>
        <w:rPr>
          <w:color w:val="auto"/>
        </w:rPr>
        <w:t>6</w:t>
      </w:r>
      <w:r>
        <w:rPr>
          <w:rFonts w:hint="eastAsia"/>
          <w:color w:val="auto"/>
        </w:rPr>
        <w:t>）地下水环境</w:t>
      </w:r>
      <w:r>
        <w:rPr>
          <w:color w:val="auto"/>
        </w:rPr>
        <w:t>：</w:t>
      </w:r>
    </w:p>
    <w:p w14:paraId="4F3BE30B">
      <w:pPr>
        <w:pStyle w:val="4"/>
        <w:ind w:firstLine="480"/>
        <w:rPr>
          <w:color w:val="auto"/>
        </w:rPr>
      </w:pPr>
      <w:r>
        <w:rPr>
          <w:color w:val="auto"/>
        </w:rPr>
        <w:t>色度、嗅和味、浊度、肉眼可见物、</w:t>
      </w:r>
      <w:r>
        <w:rPr>
          <w:rFonts w:cs="宋体"/>
          <w:color w:val="auto"/>
        </w:rPr>
        <w:t>pH</w:t>
      </w:r>
      <w:r>
        <w:rPr>
          <w:color w:val="auto"/>
        </w:rPr>
        <w:t>、总硬度、溶解性总固体、硫酸盐、氯化物、铁、锰、铜、锌、挥发酚、阴离子表面活性剂、高锰酸盐指数（耗氧量）、氨氮、硫化物、钠、亚硝酸盐氮、氰化物、氟化物、汞、砷、镉、铬（六价）、铅、三氯甲烷、四氯化碳、苯、甲苯、</w:t>
      </w:r>
      <w:r>
        <w:rPr>
          <w:rFonts w:hint="eastAsia"/>
          <w:color w:val="auto"/>
        </w:rPr>
        <w:t>钡、</w:t>
      </w:r>
      <w:r>
        <w:rPr>
          <w:color w:val="auto"/>
        </w:rPr>
        <w:t>石油类</w:t>
      </w:r>
      <w:r>
        <w:rPr>
          <w:rFonts w:hint="eastAsia"/>
          <w:color w:val="auto"/>
        </w:rPr>
        <w:t>共</w:t>
      </w:r>
      <w:r>
        <w:rPr>
          <w:rFonts w:cs="宋体"/>
          <w:color w:val="auto"/>
        </w:rPr>
        <w:t>33</w:t>
      </w:r>
      <w:r>
        <w:rPr>
          <w:rFonts w:hint="eastAsia"/>
          <w:color w:val="auto"/>
        </w:rPr>
        <w:t>项，同时监测水温、井深、地下水埋深，并调查地下水使用功能等。</w:t>
      </w:r>
    </w:p>
    <w:p w14:paraId="7E4C1A48">
      <w:pPr>
        <w:pStyle w:val="122"/>
        <w:spacing w:line="331" w:lineRule="auto"/>
        <w:ind w:firstLine="480"/>
        <w:rPr>
          <w:rFonts w:hAnsi="宋体"/>
          <w:color w:val="auto"/>
        </w:rPr>
      </w:pPr>
      <w:r>
        <w:rPr>
          <w:rFonts w:hAnsi="宋体"/>
          <w:color w:val="auto"/>
        </w:rPr>
        <w:t>7</w:t>
      </w:r>
      <w:r>
        <w:rPr>
          <w:rFonts w:hint="eastAsia" w:hAnsi="宋体"/>
          <w:color w:val="auto"/>
        </w:rPr>
        <w:t>）固体废物</w:t>
      </w:r>
    </w:p>
    <w:p w14:paraId="79E99367">
      <w:pPr>
        <w:pStyle w:val="122"/>
        <w:spacing w:line="331" w:lineRule="auto"/>
        <w:ind w:firstLine="480"/>
        <w:rPr>
          <w:rFonts w:hAnsi="宋体"/>
          <w:color w:val="auto"/>
        </w:rPr>
      </w:pPr>
      <w:r>
        <w:rPr>
          <w:rFonts w:hint="eastAsia" w:hAnsi="宋体"/>
          <w:color w:val="auto"/>
        </w:rPr>
        <w:t>（1）施工过程及运营过程</w:t>
      </w:r>
      <w:r>
        <w:rPr>
          <w:rFonts w:hAnsi="宋体"/>
          <w:color w:val="auto"/>
        </w:rPr>
        <w:t>产生固体废物的处置情况</w:t>
      </w:r>
      <w:r>
        <w:rPr>
          <w:rFonts w:hint="eastAsia" w:hAnsi="宋体"/>
          <w:color w:val="auto"/>
        </w:rPr>
        <w:t>；</w:t>
      </w:r>
    </w:p>
    <w:p w14:paraId="579D10AA">
      <w:pPr>
        <w:pStyle w:val="97"/>
        <w:ind w:left="476"/>
        <w:rPr>
          <w:color w:val="auto"/>
        </w:rPr>
      </w:pPr>
      <w:r>
        <w:rPr>
          <w:rFonts w:hint="eastAsia"/>
          <w:color w:val="auto"/>
        </w:rPr>
        <w:t>（2）调查项目落地油和清罐底泥处理单位的资质、拉运处置合同的签订情况。</w:t>
      </w:r>
    </w:p>
    <w:p w14:paraId="5844C627">
      <w:pPr>
        <w:pStyle w:val="122"/>
        <w:spacing w:line="331" w:lineRule="auto"/>
        <w:ind w:firstLine="480"/>
        <w:rPr>
          <w:rFonts w:hAnsi="宋体"/>
          <w:color w:val="auto"/>
        </w:rPr>
      </w:pPr>
      <w:r>
        <w:rPr>
          <w:rFonts w:hAnsi="宋体"/>
          <w:color w:val="auto"/>
        </w:rPr>
        <w:t>8</w:t>
      </w:r>
      <w:r>
        <w:rPr>
          <w:rFonts w:hint="eastAsia" w:hAnsi="宋体"/>
          <w:color w:val="auto"/>
        </w:rPr>
        <w:t>）环境</w:t>
      </w:r>
      <w:r>
        <w:rPr>
          <w:rFonts w:hAnsi="宋体"/>
          <w:color w:val="auto"/>
        </w:rPr>
        <w:t>风险</w:t>
      </w:r>
      <w:r>
        <w:rPr>
          <w:rFonts w:hint="eastAsia" w:hAnsi="宋体"/>
          <w:color w:val="auto"/>
        </w:rPr>
        <w:t xml:space="preserve"> </w:t>
      </w:r>
    </w:p>
    <w:p w14:paraId="522F0A6C">
      <w:pPr>
        <w:pStyle w:val="122"/>
        <w:spacing w:line="331" w:lineRule="auto"/>
        <w:ind w:firstLine="480"/>
        <w:rPr>
          <w:rFonts w:hAnsi="宋体"/>
          <w:color w:val="auto"/>
        </w:rPr>
      </w:pPr>
      <w:r>
        <w:rPr>
          <w:rFonts w:hint="eastAsia" w:hAnsi="宋体"/>
          <w:color w:val="auto"/>
        </w:rPr>
        <w:t>建设单位制定的突发</w:t>
      </w:r>
      <w:r>
        <w:rPr>
          <w:rFonts w:hAnsi="宋体"/>
          <w:color w:val="auto"/>
        </w:rPr>
        <w:t>环境事件应急预案</w:t>
      </w:r>
      <w:r>
        <w:rPr>
          <w:rFonts w:hint="eastAsia" w:hAnsi="宋体"/>
          <w:color w:val="auto"/>
        </w:rPr>
        <w:t>是否备案，</w:t>
      </w:r>
      <w:r>
        <w:rPr>
          <w:rFonts w:hAnsi="宋体"/>
          <w:color w:val="auto"/>
        </w:rPr>
        <w:t>其中包含的风险防范措施是否能够满足本期工程的应急处置要求。</w:t>
      </w:r>
    </w:p>
    <w:p w14:paraId="55F9C1FC">
      <w:pPr>
        <w:pStyle w:val="5"/>
        <w:rPr>
          <w:color w:val="auto"/>
        </w:rPr>
      </w:pPr>
      <w:bookmarkStart w:id="401" w:name="_Toc231283642"/>
      <w:r>
        <w:rPr>
          <w:rFonts w:hint="eastAsia"/>
          <w:color w:val="auto"/>
        </w:rPr>
        <w:t>环境影响监测</w:t>
      </w:r>
      <w:bookmarkEnd w:id="401"/>
    </w:p>
    <w:p w14:paraId="11A64E78">
      <w:pPr>
        <w:pStyle w:val="122"/>
        <w:spacing w:line="331" w:lineRule="auto"/>
        <w:ind w:firstLine="480"/>
        <w:rPr>
          <w:rFonts w:hAnsi="宋体"/>
          <w:color w:val="auto"/>
        </w:rPr>
      </w:pPr>
      <w:r>
        <w:rPr>
          <w:rFonts w:hint="eastAsia" w:hAnsi="宋体"/>
          <w:color w:val="auto"/>
        </w:rPr>
        <w:t>验收</w:t>
      </w:r>
      <w:r>
        <w:rPr>
          <w:rFonts w:hAnsi="宋体"/>
          <w:color w:val="auto"/>
        </w:rPr>
        <w:t>调查组</w:t>
      </w:r>
      <w:r>
        <w:rPr>
          <w:rFonts w:hint="eastAsia" w:hAnsi="宋体"/>
          <w:color w:val="auto"/>
        </w:rPr>
        <w:t>于202</w:t>
      </w:r>
      <w:r>
        <w:rPr>
          <w:rFonts w:hAnsi="宋体"/>
          <w:color w:val="auto"/>
        </w:rPr>
        <w:t>6</w:t>
      </w:r>
      <w:r>
        <w:rPr>
          <w:rFonts w:hint="eastAsia" w:hAnsi="宋体"/>
          <w:color w:val="auto"/>
        </w:rPr>
        <w:t>年</w:t>
      </w:r>
      <w:r>
        <w:rPr>
          <w:rFonts w:hAnsi="宋体"/>
          <w:color w:val="auto"/>
        </w:rPr>
        <w:t>2</w:t>
      </w:r>
      <w:r>
        <w:rPr>
          <w:rFonts w:hint="eastAsia" w:hAnsi="宋体"/>
          <w:color w:val="auto"/>
        </w:rPr>
        <w:t>月</w:t>
      </w:r>
      <w:r>
        <w:rPr>
          <w:rFonts w:hAnsi="宋体"/>
          <w:color w:val="auto"/>
        </w:rPr>
        <w:t>28</w:t>
      </w:r>
      <w:r>
        <w:rPr>
          <w:rFonts w:hint="eastAsia" w:hAnsi="宋体"/>
          <w:color w:val="auto"/>
        </w:rPr>
        <w:t>日～</w:t>
      </w:r>
      <w:r>
        <w:rPr>
          <w:rFonts w:hAnsi="宋体"/>
          <w:color w:val="auto"/>
        </w:rPr>
        <w:t>3</w:t>
      </w:r>
      <w:r>
        <w:rPr>
          <w:rFonts w:hint="eastAsia" w:hAnsi="宋体"/>
          <w:color w:val="auto"/>
        </w:rPr>
        <w:t>月</w:t>
      </w:r>
      <w:r>
        <w:rPr>
          <w:rFonts w:hAnsi="宋体"/>
          <w:color w:val="auto"/>
        </w:rPr>
        <w:t>10</w:t>
      </w:r>
      <w:r>
        <w:rPr>
          <w:rFonts w:hint="eastAsia" w:hAnsi="宋体"/>
          <w:color w:val="auto"/>
        </w:rPr>
        <w:t>日，202</w:t>
      </w:r>
      <w:r>
        <w:rPr>
          <w:rFonts w:hAnsi="宋体"/>
          <w:color w:val="auto"/>
        </w:rPr>
        <w:t>6</w:t>
      </w:r>
      <w:r>
        <w:rPr>
          <w:rFonts w:hint="eastAsia" w:hAnsi="宋体"/>
          <w:color w:val="auto"/>
        </w:rPr>
        <w:t>年</w:t>
      </w:r>
      <w:r>
        <w:rPr>
          <w:rFonts w:hAnsi="宋体"/>
          <w:color w:val="auto"/>
        </w:rPr>
        <w:t>3</w:t>
      </w:r>
      <w:r>
        <w:rPr>
          <w:rFonts w:hint="eastAsia" w:hAnsi="宋体"/>
          <w:color w:val="auto"/>
        </w:rPr>
        <w:t>月</w:t>
      </w:r>
      <w:r>
        <w:rPr>
          <w:rFonts w:hAnsi="宋体"/>
          <w:color w:val="auto"/>
        </w:rPr>
        <w:t>16</w:t>
      </w:r>
      <w:r>
        <w:rPr>
          <w:rFonts w:hint="eastAsia" w:hAnsi="宋体"/>
          <w:color w:val="auto"/>
        </w:rPr>
        <w:t>日～</w:t>
      </w:r>
      <w:r>
        <w:rPr>
          <w:rFonts w:hAnsi="宋体"/>
          <w:color w:val="auto"/>
        </w:rPr>
        <w:t>3</w:t>
      </w:r>
      <w:r>
        <w:rPr>
          <w:rFonts w:hint="eastAsia" w:hAnsi="宋体"/>
          <w:color w:val="auto"/>
        </w:rPr>
        <w:t>月</w:t>
      </w:r>
      <w:r>
        <w:rPr>
          <w:rFonts w:hAnsi="宋体"/>
          <w:color w:val="auto"/>
        </w:rPr>
        <w:t>20</w:t>
      </w:r>
      <w:r>
        <w:rPr>
          <w:rFonts w:hint="eastAsia" w:hAnsi="宋体"/>
          <w:color w:val="auto"/>
        </w:rPr>
        <w:t>日对本期工程进行了现场调查工作，同步制定了本期工程</w:t>
      </w:r>
      <w:r>
        <w:rPr>
          <w:rFonts w:hAnsi="宋体"/>
          <w:color w:val="auto"/>
        </w:rPr>
        <w:t>验收调查监测方案，监测内容包括</w:t>
      </w:r>
      <w:r>
        <w:rPr>
          <w:rFonts w:hint="eastAsia" w:hAnsi="宋体"/>
          <w:color w:val="auto"/>
        </w:rPr>
        <w:t>大气</w:t>
      </w:r>
      <w:r>
        <w:rPr>
          <w:rFonts w:hAnsi="宋体"/>
          <w:color w:val="auto"/>
        </w:rPr>
        <w:t>、噪声、土壤</w:t>
      </w:r>
      <w:r>
        <w:rPr>
          <w:rFonts w:hint="eastAsia" w:hAnsi="宋体"/>
          <w:color w:val="auto"/>
        </w:rPr>
        <w:t>、地下水等</w:t>
      </w:r>
      <w:r>
        <w:rPr>
          <w:rFonts w:hAnsi="宋体"/>
          <w:color w:val="auto"/>
        </w:rPr>
        <w:t>4</w:t>
      </w:r>
      <w:r>
        <w:rPr>
          <w:rFonts w:hint="eastAsia" w:hAnsi="宋体"/>
          <w:color w:val="auto"/>
        </w:rPr>
        <w:t>个方面</w:t>
      </w:r>
      <w:r>
        <w:rPr>
          <w:rFonts w:hAnsi="宋体"/>
          <w:color w:val="auto"/>
        </w:rPr>
        <w:t>。</w:t>
      </w:r>
      <w:r>
        <w:rPr>
          <w:rFonts w:hint="eastAsia" w:hAnsi="宋体"/>
          <w:color w:val="auto"/>
        </w:rPr>
        <w:t>我公司（CMA：171512055405）开展</w:t>
      </w:r>
      <w:r>
        <w:rPr>
          <w:rFonts w:hAnsi="宋体"/>
          <w:color w:val="auto"/>
        </w:rPr>
        <w:t>了</w:t>
      </w:r>
      <w:r>
        <w:rPr>
          <w:rFonts w:hint="eastAsia" w:hAnsi="宋体"/>
          <w:color w:val="auto"/>
        </w:rPr>
        <w:t>本期工程</w:t>
      </w:r>
      <w:r>
        <w:rPr>
          <w:rFonts w:hAnsi="宋体"/>
          <w:color w:val="auto"/>
        </w:rPr>
        <w:t>的监测工作</w:t>
      </w:r>
      <w:r>
        <w:rPr>
          <w:rFonts w:hint="eastAsia" w:hAnsi="宋体"/>
          <w:color w:val="auto"/>
        </w:rPr>
        <w:t>。</w:t>
      </w:r>
    </w:p>
    <w:p w14:paraId="2568D58A">
      <w:pPr>
        <w:pStyle w:val="6"/>
        <w:rPr>
          <w:color w:val="auto"/>
        </w:rPr>
      </w:pPr>
      <w:r>
        <w:rPr>
          <w:rFonts w:hint="eastAsia"/>
          <w:color w:val="auto"/>
        </w:rPr>
        <w:t>质量保证</w:t>
      </w:r>
      <w:r>
        <w:rPr>
          <w:color w:val="auto"/>
        </w:rPr>
        <w:t>和</w:t>
      </w:r>
      <w:r>
        <w:rPr>
          <w:rFonts w:hint="eastAsia"/>
          <w:color w:val="auto"/>
        </w:rPr>
        <w:t>质量</w:t>
      </w:r>
      <w:r>
        <w:rPr>
          <w:color w:val="auto"/>
        </w:rPr>
        <w:t>控制</w:t>
      </w:r>
      <w:r>
        <w:rPr>
          <w:rFonts w:hint="eastAsia"/>
          <w:color w:val="auto"/>
        </w:rPr>
        <w:t xml:space="preserve"> </w:t>
      </w:r>
      <w:r>
        <w:rPr>
          <w:color w:val="auto"/>
        </w:rPr>
        <w:t xml:space="preserve">  </w:t>
      </w:r>
    </w:p>
    <w:p w14:paraId="207F55AC">
      <w:pPr>
        <w:pStyle w:val="122"/>
        <w:spacing w:line="331" w:lineRule="auto"/>
        <w:ind w:firstLine="480"/>
        <w:rPr>
          <w:rFonts w:hAnsi="宋体"/>
          <w:color w:val="auto"/>
        </w:rPr>
      </w:pPr>
      <w:r>
        <w:rPr>
          <w:rFonts w:hint="eastAsia" w:hAnsi="宋体"/>
          <w:color w:val="auto"/>
        </w:rPr>
        <w:t>1）监测分析</w:t>
      </w:r>
      <w:r>
        <w:rPr>
          <w:rFonts w:hAnsi="宋体"/>
          <w:color w:val="auto"/>
        </w:rPr>
        <w:t>方法</w:t>
      </w:r>
    </w:p>
    <w:p w14:paraId="56E81FB6">
      <w:pPr>
        <w:pStyle w:val="122"/>
        <w:spacing w:line="331" w:lineRule="auto"/>
        <w:ind w:firstLine="480"/>
        <w:rPr>
          <w:rFonts w:hAnsi="宋体"/>
          <w:color w:val="auto"/>
        </w:rPr>
      </w:pPr>
      <w:r>
        <w:rPr>
          <w:rFonts w:hint="eastAsia" w:hAnsi="宋体"/>
          <w:color w:val="auto"/>
        </w:rPr>
        <w:t>本期工程监测分析方法见</w:t>
      </w:r>
      <w:r>
        <w:rPr>
          <w:rFonts w:hAnsi="宋体"/>
          <w:color w:val="auto"/>
        </w:rPr>
        <w:fldChar w:fldCharType="begin"/>
      </w:r>
      <w:r>
        <w:rPr>
          <w:rFonts w:hAnsi="宋体"/>
          <w:color w:val="auto"/>
        </w:rPr>
        <w:instrText xml:space="preserve"> </w:instrText>
      </w:r>
      <w:r>
        <w:rPr>
          <w:rFonts w:hint="eastAsia" w:hAnsi="宋体"/>
          <w:color w:val="auto"/>
        </w:rPr>
        <w:instrText xml:space="preserve">REF _Ref59462370 \h</w:instrText>
      </w:r>
      <w:r>
        <w:rPr>
          <w:rFonts w:hAnsi="宋体"/>
          <w:color w:val="auto"/>
        </w:rPr>
        <w:instrText xml:space="preserve">  \* MERGEFORMAT </w:instrText>
      </w:r>
      <w:r>
        <w:rPr>
          <w:rFonts w:hAnsi="宋体"/>
          <w:color w:val="auto"/>
        </w:rPr>
        <w:fldChar w:fldCharType="separate"/>
      </w:r>
      <w:r>
        <w:rPr>
          <w:rFonts w:hint="eastAsia" w:hAnsi="宋体"/>
          <w:color w:val="auto"/>
        </w:rPr>
        <w:t xml:space="preserve">表 </w:t>
      </w:r>
      <w:r>
        <w:rPr>
          <w:rFonts w:hAnsi="宋体"/>
          <w:color w:val="auto"/>
        </w:rPr>
        <w:t>6.4</w:t>
      </w:r>
      <w:r>
        <w:rPr>
          <w:rFonts w:hAnsi="宋体"/>
          <w:color w:val="auto"/>
        </w:rPr>
        <w:noBreakHyphen/>
      </w:r>
      <w:r>
        <w:rPr>
          <w:rFonts w:hAnsi="宋体"/>
          <w:color w:val="auto"/>
        </w:rPr>
        <w:t>1</w:t>
      </w:r>
      <w:r>
        <w:rPr>
          <w:rFonts w:hAnsi="宋体"/>
          <w:color w:val="auto"/>
        </w:rPr>
        <w:fldChar w:fldCharType="end"/>
      </w:r>
      <w:r>
        <w:rPr>
          <w:rFonts w:hint="eastAsia" w:hAnsi="宋体"/>
          <w:color w:val="auto"/>
        </w:rPr>
        <w:t>。</w:t>
      </w:r>
    </w:p>
    <w:p w14:paraId="64A42662">
      <w:pPr>
        <w:pStyle w:val="15"/>
        <w:spacing w:before="120"/>
        <w:rPr>
          <w:rFonts w:hAnsi="宋体"/>
          <w:color w:val="auto"/>
          <w:szCs w:val="21"/>
        </w:rPr>
      </w:pPr>
      <w:bookmarkStart w:id="402" w:name="_Ref59462370"/>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402"/>
      <w:r>
        <w:rPr>
          <w:rFonts w:hAnsi="宋体"/>
          <w:color w:val="auto"/>
          <w:szCs w:val="21"/>
        </w:rPr>
        <w:t xml:space="preserve">  </w:t>
      </w:r>
      <w:r>
        <w:rPr>
          <w:rFonts w:hint="eastAsia" w:hAnsi="宋体"/>
          <w:color w:val="auto"/>
          <w:szCs w:val="21"/>
        </w:rPr>
        <w:t>本期工程监测分析方法</w:t>
      </w:r>
      <w:r>
        <w:rPr>
          <w:rFonts w:hAnsi="宋体"/>
          <w:color w:val="auto"/>
          <w:szCs w:val="21"/>
        </w:rPr>
        <w:t>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776"/>
        <w:gridCol w:w="3462"/>
        <w:gridCol w:w="1718"/>
        <w:gridCol w:w="1308"/>
      </w:tblGrid>
      <w:tr w14:paraId="31A8C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B00260F">
            <w:pPr>
              <w:suppressLineNumbers/>
              <w:autoSpaceDE w:val="0"/>
              <w:autoSpaceDN w:val="0"/>
              <w:ind w:left="-69" w:leftChars="-33" w:right="-129"/>
              <w:contextualSpacing/>
              <w:jc w:val="center"/>
              <w:textAlignment w:val="bottom"/>
              <w:rPr>
                <w:rFonts w:ascii="宋体" w:hAnsi="宋体"/>
                <w:b/>
                <w:color w:val="auto"/>
              </w:rPr>
            </w:pPr>
            <w:r>
              <w:rPr>
                <w:rFonts w:ascii="宋体" w:hAnsi="宋体"/>
                <w:b/>
                <w:color w:val="auto"/>
              </w:rPr>
              <w:t>序号</w:t>
            </w:r>
          </w:p>
        </w:tc>
        <w:tc>
          <w:tcPr>
            <w:tcW w:w="1018" w:type="pct"/>
            <w:shd w:val="clear" w:color="auto" w:fill="auto"/>
            <w:vAlign w:val="center"/>
          </w:tcPr>
          <w:p w14:paraId="16C8DC29">
            <w:pPr>
              <w:suppressLineNumbers/>
              <w:autoSpaceDE w:val="0"/>
              <w:autoSpaceDN w:val="0"/>
              <w:contextualSpacing/>
              <w:jc w:val="center"/>
              <w:textAlignment w:val="bottom"/>
              <w:rPr>
                <w:rFonts w:ascii="宋体" w:hAnsi="宋体"/>
                <w:b/>
                <w:color w:val="auto"/>
              </w:rPr>
            </w:pPr>
            <w:r>
              <w:rPr>
                <w:rFonts w:ascii="宋体" w:hAnsi="宋体"/>
                <w:b/>
                <w:color w:val="auto"/>
              </w:rPr>
              <w:t>检测项目</w:t>
            </w:r>
          </w:p>
        </w:tc>
        <w:tc>
          <w:tcPr>
            <w:tcW w:w="1985" w:type="pct"/>
            <w:shd w:val="clear" w:color="auto" w:fill="auto"/>
            <w:vAlign w:val="center"/>
          </w:tcPr>
          <w:p w14:paraId="55CE80D2">
            <w:pPr>
              <w:suppressLineNumbers/>
              <w:autoSpaceDE w:val="0"/>
              <w:autoSpaceDN w:val="0"/>
              <w:contextualSpacing/>
              <w:jc w:val="center"/>
              <w:textAlignment w:val="bottom"/>
              <w:rPr>
                <w:rFonts w:ascii="宋体" w:hAnsi="宋体"/>
                <w:b/>
                <w:color w:val="auto"/>
              </w:rPr>
            </w:pPr>
            <w:r>
              <w:rPr>
                <w:rFonts w:ascii="宋体" w:hAnsi="宋体"/>
                <w:b/>
                <w:color w:val="auto"/>
              </w:rPr>
              <w:t>检测方法</w:t>
            </w:r>
          </w:p>
        </w:tc>
        <w:tc>
          <w:tcPr>
            <w:tcW w:w="985" w:type="pct"/>
            <w:shd w:val="clear" w:color="auto" w:fill="auto"/>
            <w:vAlign w:val="center"/>
          </w:tcPr>
          <w:p w14:paraId="151A1ACF">
            <w:pPr>
              <w:suppressLineNumbers/>
              <w:autoSpaceDE w:val="0"/>
              <w:autoSpaceDN w:val="0"/>
              <w:contextualSpacing/>
              <w:jc w:val="center"/>
              <w:textAlignment w:val="bottom"/>
              <w:rPr>
                <w:rFonts w:ascii="宋体" w:hAnsi="宋体"/>
                <w:b/>
                <w:color w:val="auto"/>
              </w:rPr>
            </w:pPr>
            <w:r>
              <w:rPr>
                <w:rFonts w:ascii="宋体" w:hAnsi="宋体"/>
                <w:b/>
                <w:color w:val="auto"/>
              </w:rPr>
              <w:t>方法来源</w:t>
            </w:r>
          </w:p>
        </w:tc>
        <w:tc>
          <w:tcPr>
            <w:tcW w:w="750" w:type="pct"/>
            <w:shd w:val="clear" w:color="auto" w:fill="auto"/>
            <w:vAlign w:val="center"/>
          </w:tcPr>
          <w:p w14:paraId="303DCB6F">
            <w:pPr>
              <w:suppressLineNumbers/>
              <w:autoSpaceDE w:val="0"/>
              <w:autoSpaceDN w:val="0"/>
              <w:contextualSpacing/>
              <w:jc w:val="center"/>
              <w:textAlignment w:val="bottom"/>
              <w:rPr>
                <w:rFonts w:ascii="宋体" w:hAnsi="宋体"/>
                <w:b/>
                <w:color w:val="auto"/>
              </w:rPr>
            </w:pPr>
            <w:r>
              <w:rPr>
                <w:rFonts w:ascii="宋体" w:hAnsi="宋体"/>
                <w:b/>
                <w:color w:val="auto"/>
              </w:rPr>
              <w:t>检出限</w:t>
            </w:r>
          </w:p>
        </w:tc>
      </w:tr>
      <w:tr w14:paraId="41230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shd w:val="clear" w:color="auto" w:fill="auto"/>
            <w:vAlign w:val="center"/>
          </w:tcPr>
          <w:p w14:paraId="25E7A149">
            <w:pPr>
              <w:widowControl/>
              <w:jc w:val="center"/>
              <w:rPr>
                <w:rFonts w:ascii="宋体" w:hAnsi="宋体"/>
                <w:color w:val="auto"/>
              </w:rPr>
            </w:pPr>
            <w:r>
              <w:rPr>
                <w:rFonts w:hint="eastAsia" w:ascii="宋体" w:hAnsi="宋体"/>
                <w:b/>
                <w:bCs/>
                <w:color w:val="auto"/>
              </w:rPr>
              <w:t>无组织废气检测方法</w:t>
            </w:r>
          </w:p>
        </w:tc>
      </w:tr>
      <w:tr w14:paraId="16A68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BFAA9FC">
            <w:pPr>
              <w:widowControl/>
              <w:jc w:val="center"/>
              <w:rPr>
                <w:rFonts w:ascii="宋体" w:hAnsi="宋体"/>
                <w:color w:val="auto"/>
              </w:rPr>
            </w:pPr>
            <w:r>
              <w:rPr>
                <w:rFonts w:hint="eastAsia" w:ascii="宋体" w:hAnsi="宋体"/>
                <w:color w:val="auto"/>
              </w:rPr>
              <w:t>1</w:t>
            </w:r>
          </w:p>
        </w:tc>
        <w:tc>
          <w:tcPr>
            <w:tcW w:w="1018" w:type="pct"/>
            <w:shd w:val="clear" w:color="auto" w:fill="auto"/>
            <w:vAlign w:val="center"/>
          </w:tcPr>
          <w:p w14:paraId="7AE416FF">
            <w:pPr>
              <w:widowControl/>
              <w:jc w:val="center"/>
              <w:rPr>
                <w:rFonts w:ascii="宋体" w:hAnsi="宋体"/>
                <w:color w:val="auto"/>
              </w:rPr>
            </w:pPr>
            <w:r>
              <w:rPr>
                <w:rFonts w:hint="eastAsia" w:ascii="宋体" w:hAnsi="宋体"/>
                <w:color w:val="auto"/>
              </w:rPr>
              <w:t>非甲烷总烃</w:t>
            </w:r>
          </w:p>
        </w:tc>
        <w:tc>
          <w:tcPr>
            <w:tcW w:w="1985" w:type="pct"/>
            <w:shd w:val="clear" w:color="auto" w:fill="auto"/>
            <w:vAlign w:val="center"/>
          </w:tcPr>
          <w:p w14:paraId="3BE9DF9A">
            <w:pPr>
              <w:widowControl/>
              <w:jc w:val="center"/>
              <w:rPr>
                <w:rFonts w:ascii="宋体" w:hAnsi="宋体"/>
                <w:color w:val="auto"/>
              </w:rPr>
            </w:pPr>
            <w:r>
              <w:rPr>
                <w:rFonts w:hint="eastAsia" w:ascii="宋体" w:hAnsi="宋体"/>
                <w:color w:val="auto"/>
              </w:rPr>
              <w:t>环境空气 总烃、甲烷和非甲烷总烃的测定 直接进样-气相色谱法</w:t>
            </w:r>
          </w:p>
        </w:tc>
        <w:tc>
          <w:tcPr>
            <w:tcW w:w="985" w:type="pct"/>
            <w:shd w:val="clear" w:color="auto" w:fill="auto"/>
            <w:vAlign w:val="center"/>
          </w:tcPr>
          <w:p w14:paraId="78A318D6">
            <w:pPr>
              <w:widowControl/>
              <w:jc w:val="center"/>
              <w:rPr>
                <w:rFonts w:ascii="宋体" w:hAnsi="宋体"/>
                <w:color w:val="auto"/>
              </w:rPr>
            </w:pPr>
            <w:r>
              <w:rPr>
                <w:rFonts w:hint="eastAsia" w:ascii="宋体" w:hAnsi="宋体"/>
                <w:color w:val="auto"/>
              </w:rPr>
              <w:t>HJ 604-2017</w:t>
            </w:r>
          </w:p>
        </w:tc>
        <w:tc>
          <w:tcPr>
            <w:tcW w:w="750" w:type="pct"/>
            <w:shd w:val="clear" w:color="auto" w:fill="auto"/>
            <w:vAlign w:val="center"/>
          </w:tcPr>
          <w:p w14:paraId="321E0FD7">
            <w:pPr>
              <w:widowControl/>
              <w:jc w:val="center"/>
              <w:rPr>
                <w:rFonts w:ascii="宋体" w:hAnsi="宋体"/>
                <w:color w:val="auto"/>
              </w:rPr>
            </w:pPr>
            <w:r>
              <w:rPr>
                <w:rFonts w:hint="eastAsia" w:ascii="宋体" w:hAnsi="宋体"/>
                <w:color w:val="auto"/>
              </w:rPr>
              <w:t>0.07mg/m</w:t>
            </w:r>
            <w:r>
              <w:rPr>
                <w:rFonts w:hint="eastAsia" w:ascii="宋体" w:hAnsi="宋体"/>
                <w:color w:val="auto"/>
                <w:vertAlign w:val="superscript"/>
              </w:rPr>
              <w:t>3</w:t>
            </w:r>
            <w:r>
              <w:rPr>
                <w:rFonts w:hint="eastAsia" w:ascii="宋体" w:hAnsi="宋体"/>
                <w:color w:val="auto"/>
              </w:rPr>
              <w:t>（以碳计）</w:t>
            </w:r>
          </w:p>
        </w:tc>
      </w:tr>
      <w:tr w14:paraId="0883B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747D145">
            <w:pPr>
              <w:widowControl/>
              <w:jc w:val="center"/>
              <w:rPr>
                <w:rFonts w:ascii="宋体" w:hAnsi="宋体"/>
                <w:color w:val="auto"/>
              </w:rPr>
            </w:pPr>
            <w:r>
              <w:rPr>
                <w:rFonts w:hint="eastAsia" w:ascii="宋体" w:hAnsi="宋体"/>
                <w:color w:val="auto"/>
              </w:rPr>
              <w:t>2</w:t>
            </w:r>
          </w:p>
        </w:tc>
        <w:tc>
          <w:tcPr>
            <w:tcW w:w="1018" w:type="pct"/>
            <w:shd w:val="clear" w:color="auto" w:fill="auto"/>
            <w:vAlign w:val="center"/>
          </w:tcPr>
          <w:p w14:paraId="1C2D960B">
            <w:pPr>
              <w:widowControl/>
              <w:jc w:val="center"/>
              <w:rPr>
                <w:rFonts w:ascii="宋体" w:hAnsi="宋体"/>
                <w:color w:val="auto"/>
              </w:rPr>
            </w:pPr>
            <w:r>
              <w:rPr>
                <w:rFonts w:hint="eastAsia" w:ascii="宋体" w:hAnsi="宋体"/>
                <w:color w:val="auto"/>
              </w:rPr>
              <w:t>硫化氢</w:t>
            </w:r>
          </w:p>
        </w:tc>
        <w:tc>
          <w:tcPr>
            <w:tcW w:w="1985" w:type="pct"/>
            <w:shd w:val="clear" w:color="auto" w:fill="auto"/>
            <w:vAlign w:val="center"/>
          </w:tcPr>
          <w:p w14:paraId="788A6194">
            <w:pPr>
              <w:widowControl/>
              <w:jc w:val="center"/>
              <w:rPr>
                <w:rFonts w:ascii="宋体" w:hAnsi="宋体"/>
                <w:color w:val="auto"/>
              </w:rPr>
            </w:pPr>
            <w:r>
              <w:rPr>
                <w:rFonts w:hint="eastAsia" w:ascii="宋体" w:hAnsi="宋体"/>
                <w:color w:val="auto"/>
              </w:rPr>
              <w:t>空气和废气监测分析方法 第三篇 第一章 十一(二) 亚甲基蓝分光光度法(B)</w:t>
            </w:r>
          </w:p>
        </w:tc>
        <w:tc>
          <w:tcPr>
            <w:tcW w:w="985" w:type="pct"/>
            <w:shd w:val="clear" w:color="auto" w:fill="auto"/>
            <w:vAlign w:val="center"/>
          </w:tcPr>
          <w:p w14:paraId="0B79A8F0">
            <w:pPr>
              <w:widowControl/>
              <w:jc w:val="center"/>
              <w:rPr>
                <w:rFonts w:ascii="宋体" w:hAnsi="宋体"/>
                <w:color w:val="auto"/>
              </w:rPr>
            </w:pPr>
            <w:r>
              <w:rPr>
                <w:rFonts w:hint="eastAsia" w:ascii="宋体" w:hAnsi="宋体"/>
                <w:color w:val="auto"/>
              </w:rPr>
              <w:t>国家环保总局 (2003) 第四版增补版</w:t>
            </w:r>
          </w:p>
        </w:tc>
        <w:tc>
          <w:tcPr>
            <w:tcW w:w="750" w:type="pct"/>
            <w:shd w:val="clear" w:color="auto" w:fill="auto"/>
            <w:vAlign w:val="center"/>
          </w:tcPr>
          <w:p w14:paraId="4E748626">
            <w:pPr>
              <w:widowControl/>
              <w:jc w:val="center"/>
              <w:rPr>
                <w:rFonts w:ascii="宋体" w:hAnsi="宋体"/>
                <w:color w:val="auto"/>
              </w:rPr>
            </w:pPr>
            <w:r>
              <w:rPr>
                <w:rFonts w:hint="eastAsia" w:ascii="宋体" w:hAnsi="宋体"/>
                <w:color w:val="auto"/>
              </w:rPr>
              <w:t>0.001mg/m</w:t>
            </w:r>
            <w:r>
              <w:rPr>
                <w:rFonts w:hint="eastAsia" w:ascii="宋体" w:hAnsi="宋体"/>
                <w:color w:val="auto"/>
                <w:vertAlign w:val="superscript"/>
              </w:rPr>
              <w:t>3</w:t>
            </w:r>
          </w:p>
        </w:tc>
      </w:tr>
      <w:tr w14:paraId="0EFD8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shd w:val="clear" w:color="auto" w:fill="auto"/>
            <w:vAlign w:val="center"/>
          </w:tcPr>
          <w:p w14:paraId="4186ABF8">
            <w:pPr>
              <w:widowControl/>
              <w:jc w:val="center"/>
              <w:rPr>
                <w:rFonts w:ascii="宋体" w:hAnsi="宋体"/>
                <w:color w:val="auto"/>
              </w:rPr>
            </w:pPr>
            <w:r>
              <w:rPr>
                <w:rFonts w:hint="eastAsia" w:ascii="宋体" w:hAnsi="宋体"/>
                <w:color w:val="auto"/>
              </w:rPr>
              <w:t>有组织废气检测方法</w:t>
            </w:r>
          </w:p>
        </w:tc>
      </w:tr>
      <w:tr w14:paraId="6EE6C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2BE2A70">
            <w:pPr>
              <w:pStyle w:val="76"/>
              <w:numPr>
                <w:ilvl w:val="0"/>
                <w:numId w:val="22"/>
              </w:numPr>
              <w:rPr>
                <w:rFonts w:hAnsi="宋体"/>
                <w:color w:val="auto"/>
              </w:rPr>
            </w:pPr>
          </w:p>
        </w:tc>
        <w:tc>
          <w:tcPr>
            <w:tcW w:w="1018" w:type="pct"/>
            <w:shd w:val="clear" w:color="auto" w:fill="auto"/>
            <w:vAlign w:val="center"/>
          </w:tcPr>
          <w:p w14:paraId="03936EE4">
            <w:pPr>
              <w:widowControl/>
              <w:jc w:val="center"/>
              <w:rPr>
                <w:rFonts w:ascii="宋体" w:hAnsi="宋体"/>
                <w:color w:val="auto"/>
              </w:rPr>
            </w:pPr>
            <w:r>
              <w:rPr>
                <w:rFonts w:hint="eastAsia" w:ascii="宋体" w:hAnsi="宋体"/>
                <w:color w:val="auto"/>
              </w:rPr>
              <w:t>*</w:t>
            </w:r>
            <w:r>
              <w:rPr>
                <w:rFonts w:ascii="宋体" w:hAnsi="宋体"/>
                <w:color w:val="auto"/>
              </w:rPr>
              <w:t>二氧化硫</w:t>
            </w:r>
          </w:p>
        </w:tc>
        <w:tc>
          <w:tcPr>
            <w:tcW w:w="1985" w:type="pct"/>
            <w:shd w:val="clear" w:color="auto" w:fill="auto"/>
            <w:vAlign w:val="center"/>
          </w:tcPr>
          <w:p w14:paraId="11030DEB">
            <w:pPr>
              <w:widowControl/>
              <w:jc w:val="center"/>
              <w:rPr>
                <w:rFonts w:ascii="宋体" w:hAnsi="宋体"/>
                <w:color w:val="auto"/>
              </w:rPr>
            </w:pPr>
            <w:r>
              <w:rPr>
                <w:rFonts w:hint="eastAsia" w:ascii="宋体" w:hAnsi="宋体"/>
                <w:color w:val="auto"/>
              </w:rPr>
              <w:t>固定污染源废气 二氧化硫的测定 定电位电解法</w:t>
            </w:r>
          </w:p>
        </w:tc>
        <w:tc>
          <w:tcPr>
            <w:tcW w:w="985" w:type="pct"/>
            <w:shd w:val="clear" w:color="auto" w:fill="auto"/>
            <w:vAlign w:val="center"/>
          </w:tcPr>
          <w:p w14:paraId="37FC4542">
            <w:pPr>
              <w:widowControl/>
              <w:jc w:val="center"/>
              <w:rPr>
                <w:rFonts w:ascii="宋体" w:hAnsi="宋体"/>
                <w:color w:val="auto"/>
              </w:rPr>
            </w:pPr>
            <w:r>
              <w:rPr>
                <w:rFonts w:ascii="宋体" w:hAnsi="宋体"/>
                <w:color w:val="auto"/>
              </w:rPr>
              <w:t>HJ 57-2017</w:t>
            </w:r>
          </w:p>
        </w:tc>
        <w:tc>
          <w:tcPr>
            <w:tcW w:w="750" w:type="pct"/>
            <w:shd w:val="clear" w:color="auto" w:fill="auto"/>
            <w:vAlign w:val="center"/>
          </w:tcPr>
          <w:p w14:paraId="1BC9B357">
            <w:pPr>
              <w:widowControl/>
              <w:jc w:val="center"/>
              <w:rPr>
                <w:rFonts w:ascii="宋体" w:hAnsi="宋体"/>
                <w:color w:val="auto"/>
              </w:rPr>
            </w:pPr>
            <w:r>
              <w:rPr>
                <w:rFonts w:ascii="宋体" w:hAnsi="宋体"/>
                <w:color w:val="auto"/>
              </w:rPr>
              <w:t>3mg/m</w:t>
            </w:r>
            <w:r>
              <w:rPr>
                <w:rFonts w:ascii="宋体" w:hAnsi="宋体"/>
                <w:color w:val="auto"/>
                <w:vertAlign w:val="superscript"/>
              </w:rPr>
              <w:t>3</w:t>
            </w:r>
          </w:p>
        </w:tc>
      </w:tr>
      <w:tr w14:paraId="32667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7243135">
            <w:pPr>
              <w:pStyle w:val="76"/>
              <w:rPr>
                <w:rFonts w:hAnsi="宋体"/>
                <w:color w:val="auto"/>
              </w:rPr>
            </w:pPr>
          </w:p>
        </w:tc>
        <w:tc>
          <w:tcPr>
            <w:tcW w:w="1018" w:type="pct"/>
            <w:shd w:val="clear" w:color="auto" w:fill="auto"/>
            <w:vAlign w:val="center"/>
          </w:tcPr>
          <w:p w14:paraId="3F68D2FF">
            <w:pPr>
              <w:widowControl/>
              <w:jc w:val="center"/>
              <w:rPr>
                <w:rFonts w:ascii="宋体" w:hAnsi="宋体"/>
                <w:color w:val="auto"/>
              </w:rPr>
            </w:pPr>
            <w:r>
              <w:rPr>
                <w:rFonts w:hint="eastAsia" w:ascii="宋体" w:hAnsi="宋体"/>
                <w:color w:val="auto"/>
              </w:rPr>
              <w:t>*</w:t>
            </w:r>
            <w:r>
              <w:rPr>
                <w:rFonts w:ascii="宋体" w:hAnsi="宋体"/>
                <w:color w:val="auto"/>
              </w:rPr>
              <w:t>一氧化碳</w:t>
            </w:r>
          </w:p>
        </w:tc>
        <w:tc>
          <w:tcPr>
            <w:tcW w:w="1985" w:type="pct"/>
            <w:shd w:val="clear" w:color="auto" w:fill="auto"/>
            <w:vAlign w:val="center"/>
          </w:tcPr>
          <w:p w14:paraId="0D1585E4">
            <w:pPr>
              <w:widowControl/>
              <w:jc w:val="center"/>
              <w:rPr>
                <w:rFonts w:ascii="宋体" w:hAnsi="宋体"/>
                <w:color w:val="auto"/>
              </w:rPr>
            </w:pPr>
            <w:r>
              <w:rPr>
                <w:rFonts w:ascii="宋体" w:hAnsi="宋体"/>
                <w:color w:val="auto"/>
              </w:rPr>
              <w:t>固定污染源废气 一氧化碳的测定 定电位电解法</w:t>
            </w:r>
          </w:p>
        </w:tc>
        <w:tc>
          <w:tcPr>
            <w:tcW w:w="985" w:type="pct"/>
            <w:shd w:val="clear" w:color="auto" w:fill="auto"/>
            <w:vAlign w:val="center"/>
          </w:tcPr>
          <w:p w14:paraId="1FE87F50">
            <w:pPr>
              <w:widowControl/>
              <w:jc w:val="center"/>
              <w:rPr>
                <w:rFonts w:ascii="宋体" w:hAnsi="宋体"/>
                <w:color w:val="auto"/>
              </w:rPr>
            </w:pPr>
            <w:r>
              <w:rPr>
                <w:rFonts w:ascii="宋体" w:hAnsi="宋体"/>
                <w:color w:val="auto"/>
              </w:rPr>
              <w:t>HJ 973-2018</w:t>
            </w:r>
          </w:p>
        </w:tc>
        <w:tc>
          <w:tcPr>
            <w:tcW w:w="750" w:type="pct"/>
            <w:shd w:val="clear" w:color="auto" w:fill="auto"/>
            <w:vAlign w:val="center"/>
          </w:tcPr>
          <w:p w14:paraId="7AC21FB8">
            <w:pPr>
              <w:widowControl/>
              <w:jc w:val="center"/>
              <w:rPr>
                <w:rFonts w:ascii="宋体" w:hAnsi="宋体"/>
                <w:color w:val="auto"/>
              </w:rPr>
            </w:pPr>
            <w:r>
              <w:rPr>
                <w:rFonts w:ascii="宋体" w:hAnsi="宋体"/>
                <w:color w:val="auto"/>
              </w:rPr>
              <w:t>3mg/m</w:t>
            </w:r>
            <w:r>
              <w:rPr>
                <w:rFonts w:ascii="宋体" w:hAnsi="宋体"/>
                <w:color w:val="auto"/>
                <w:vertAlign w:val="superscript"/>
              </w:rPr>
              <w:t>3</w:t>
            </w:r>
          </w:p>
        </w:tc>
      </w:tr>
      <w:tr w14:paraId="54F9D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0950158">
            <w:pPr>
              <w:pStyle w:val="76"/>
              <w:rPr>
                <w:rFonts w:hAnsi="宋体"/>
                <w:color w:val="auto"/>
              </w:rPr>
            </w:pPr>
          </w:p>
        </w:tc>
        <w:tc>
          <w:tcPr>
            <w:tcW w:w="1018" w:type="pct"/>
            <w:shd w:val="clear" w:color="auto" w:fill="auto"/>
            <w:vAlign w:val="center"/>
          </w:tcPr>
          <w:p w14:paraId="24EF4424">
            <w:pPr>
              <w:widowControl/>
              <w:jc w:val="center"/>
              <w:rPr>
                <w:rFonts w:ascii="宋体" w:hAnsi="宋体"/>
                <w:color w:val="auto"/>
              </w:rPr>
            </w:pPr>
            <w:r>
              <w:rPr>
                <w:rFonts w:hint="eastAsia" w:ascii="宋体" w:hAnsi="宋体"/>
                <w:color w:val="auto"/>
              </w:rPr>
              <w:t>*</w:t>
            </w:r>
            <w:r>
              <w:rPr>
                <w:rFonts w:ascii="宋体" w:hAnsi="宋体"/>
                <w:color w:val="auto"/>
              </w:rPr>
              <w:t>氮氧化物</w:t>
            </w:r>
          </w:p>
        </w:tc>
        <w:tc>
          <w:tcPr>
            <w:tcW w:w="1985" w:type="pct"/>
            <w:shd w:val="clear" w:color="auto" w:fill="auto"/>
            <w:vAlign w:val="center"/>
          </w:tcPr>
          <w:p w14:paraId="6BB72662">
            <w:pPr>
              <w:widowControl/>
              <w:jc w:val="center"/>
              <w:rPr>
                <w:rFonts w:ascii="宋体" w:hAnsi="宋体"/>
                <w:color w:val="auto"/>
              </w:rPr>
            </w:pPr>
            <w:r>
              <w:rPr>
                <w:rFonts w:hint="eastAsia" w:ascii="宋体" w:hAnsi="宋体"/>
                <w:color w:val="auto"/>
              </w:rPr>
              <w:t>固定污染源废气 氮氧化物的测定 定电位电解法</w:t>
            </w:r>
          </w:p>
        </w:tc>
        <w:tc>
          <w:tcPr>
            <w:tcW w:w="985" w:type="pct"/>
            <w:shd w:val="clear" w:color="auto" w:fill="auto"/>
            <w:vAlign w:val="center"/>
          </w:tcPr>
          <w:p w14:paraId="4B5E73A3">
            <w:pPr>
              <w:widowControl/>
              <w:jc w:val="center"/>
              <w:rPr>
                <w:rFonts w:ascii="宋体" w:hAnsi="宋体"/>
                <w:color w:val="auto"/>
              </w:rPr>
            </w:pPr>
            <w:r>
              <w:rPr>
                <w:rFonts w:ascii="宋体" w:hAnsi="宋体"/>
                <w:color w:val="auto"/>
              </w:rPr>
              <w:t>HJ 693-2014</w:t>
            </w:r>
          </w:p>
        </w:tc>
        <w:tc>
          <w:tcPr>
            <w:tcW w:w="750" w:type="pct"/>
            <w:shd w:val="clear" w:color="auto" w:fill="auto"/>
            <w:vAlign w:val="center"/>
          </w:tcPr>
          <w:p w14:paraId="40C0F4A9">
            <w:pPr>
              <w:widowControl/>
              <w:jc w:val="center"/>
              <w:rPr>
                <w:rFonts w:ascii="宋体" w:hAnsi="宋体"/>
                <w:color w:val="auto"/>
              </w:rPr>
            </w:pPr>
            <w:r>
              <w:rPr>
                <w:rFonts w:ascii="宋体" w:hAnsi="宋体"/>
                <w:color w:val="auto"/>
              </w:rPr>
              <w:t>3mg/m</w:t>
            </w:r>
            <w:r>
              <w:rPr>
                <w:rFonts w:ascii="宋体" w:hAnsi="宋体"/>
                <w:color w:val="auto"/>
                <w:vertAlign w:val="superscript"/>
              </w:rPr>
              <w:t>3</w:t>
            </w:r>
          </w:p>
        </w:tc>
      </w:tr>
      <w:tr w14:paraId="24CBD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A706FDB">
            <w:pPr>
              <w:pStyle w:val="76"/>
              <w:rPr>
                <w:rFonts w:hAnsi="宋体"/>
                <w:color w:val="auto"/>
              </w:rPr>
            </w:pPr>
          </w:p>
        </w:tc>
        <w:tc>
          <w:tcPr>
            <w:tcW w:w="1018" w:type="pct"/>
            <w:shd w:val="clear" w:color="auto" w:fill="auto"/>
            <w:vAlign w:val="center"/>
          </w:tcPr>
          <w:p w14:paraId="716FA3E9">
            <w:pPr>
              <w:widowControl/>
              <w:jc w:val="center"/>
              <w:rPr>
                <w:rFonts w:ascii="宋体" w:hAnsi="宋体"/>
                <w:color w:val="auto"/>
              </w:rPr>
            </w:pPr>
            <w:r>
              <w:rPr>
                <w:rFonts w:hint="eastAsia" w:ascii="宋体" w:hAnsi="宋体"/>
                <w:color w:val="auto"/>
              </w:rPr>
              <w:t>*</w:t>
            </w:r>
            <w:r>
              <w:rPr>
                <w:rFonts w:ascii="宋体" w:hAnsi="宋体"/>
                <w:color w:val="auto"/>
              </w:rPr>
              <w:t>颗粒物</w:t>
            </w:r>
          </w:p>
        </w:tc>
        <w:tc>
          <w:tcPr>
            <w:tcW w:w="1985" w:type="pct"/>
            <w:shd w:val="clear" w:color="auto" w:fill="auto"/>
            <w:vAlign w:val="center"/>
          </w:tcPr>
          <w:p w14:paraId="1A4579F8">
            <w:pPr>
              <w:widowControl/>
              <w:jc w:val="center"/>
              <w:rPr>
                <w:rFonts w:ascii="宋体" w:hAnsi="宋体"/>
                <w:color w:val="auto"/>
              </w:rPr>
            </w:pPr>
            <w:r>
              <w:rPr>
                <w:rFonts w:hint="eastAsia" w:ascii="宋体" w:hAnsi="宋体"/>
                <w:color w:val="auto"/>
              </w:rPr>
              <w:t>固定污染源废气 低浓度颗粒物的测定 重量法</w:t>
            </w:r>
          </w:p>
        </w:tc>
        <w:tc>
          <w:tcPr>
            <w:tcW w:w="985" w:type="pct"/>
            <w:shd w:val="clear" w:color="auto" w:fill="auto"/>
            <w:vAlign w:val="center"/>
          </w:tcPr>
          <w:p w14:paraId="23D03754">
            <w:pPr>
              <w:widowControl/>
              <w:jc w:val="center"/>
              <w:rPr>
                <w:rFonts w:ascii="宋体" w:hAnsi="宋体"/>
                <w:color w:val="auto"/>
              </w:rPr>
            </w:pPr>
            <w:r>
              <w:rPr>
                <w:rFonts w:ascii="宋体" w:hAnsi="宋体"/>
                <w:color w:val="auto"/>
              </w:rPr>
              <w:t>HJ 836-2017</w:t>
            </w:r>
          </w:p>
        </w:tc>
        <w:tc>
          <w:tcPr>
            <w:tcW w:w="750" w:type="pct"/>
            <w:shd w:val="clear" w:color="auto" w:fill="auto"/>
            <w:vAlign w:val="center"/>
          </w:tcPr>
          <w:p w14:paraId="15F9BDA5">
            <w:pPr>
              <w:widowControl/>
              <w:jc w:val="center"/>
              <w:rPr>
                <w:rFonts w:ascii="宋体" w:hAnsi="宋体"/>
                <w:color w:val="auto"/>
              </w:rPr>
            </w:pPr>
            <w:r>
              <w:rPr>
                <w:rFonts w:ascii="宋体" w:hAnsi="宋体"/>
                <w:color w:val="auto"/>
              </w:rPr>
              <w:t>1.0mg/m</w:t>
            </w:r>
            <w:r>
              <w:rPr>
                <w:rFonts w:ascii="宋体" w:hAnsi="宋体"/>
                <w:color w:val="auto"/>
                <w:vertAlign w:val="superscript"/>
              </w:rPr>
              <w:t>3</w:t>
            </w:r>
          </w:p>
        </w:tc>
      </w:tr>
      <w:tr w14:paraId="425D0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8A6AC0A">
            <w:pPr>
              <w:pStyle w:val="76"/>
              <w:rPr>
                <w:rFonts w:hAnsi="宋体"/>
                <w:color w:val="auto"/>
              </w:rPr>
            </w:pPr>
          </w:p>
        </w:tc>
        <w:tc>
          <w:tcPr>
            <w:tcW w:w="1018" w:type="pct"/>
            <w:shd w:val="clear" w:color="auto" w:fill="auto"/>
            <w:vAlign w:val="center"/>
          </w:tcPr>
          <w:p w14:paraId="3016A4BC">
            <w:pPr>
              <w:widowControl/>
              <w:jc w:val="center"/>
              <w:rPr>
                <w:rFonts w:ascii="宋体" w:hAnsi="宋体"/>
                <w:color w:val="auto"/>
              </w:rPr>
            </w:pPr>
            <w:r>
              <w:rPr>
                <w:rFonts w:hint="eastAsia" w:ascii="宋体" w:hAnsi="宋体"/>
                <w:color w:val="auto"/>
              </w:rPr>
              <w:t>*</w:t>
            </w:r>
            <w:r>
              <w:rPr>
                <w:rFonts w:ascii="宋体" w:hAnsi="宋体"/>
                <w:color w:val="auto"/>
                <w:kern w:val="0"/>
              </w:rPr>
              <w:t>烟气黑度</w:t>
            </w:r>
          </w:p>
        </w:tc>
        <w:tc>
          <w:tcPr>
            <w:tcW w:w="1985" w:type="pct"/>
            <w:shd w:val="clear" w:color="auto" w:fill="auto"/>
            <w:vAlign w:val="center"/>
          </w:tcPr>
          <w:p w14:paraId="53766688">
            <w:pPr>
              <w:widowControl/>
              <w:jc w:val="center"/>
              <w:rPr>
                <w:rFonts w:ascii="宋体" w:hAnsi="宋体"/>
                <w:color w:val="auto"/>
              </w:rPr>
            </w:pPr>
            <w:r>
              <w:rPr>
                <w:rFonts w:ascii="宋体" w:hAnsi="宋体"/>
                <w:color w:val="auto"/>
                <w:kern w:val="0"/>
              </w:rPr>
              <w:t>固定污染源废气 烟气黑度的测定 林格曼望远镜法</w:t>
            </w:r>
          </w:p>
        </w:tc>
        <w:tc>
          <w:tcPr>
            <w:tcW w:w="985" w:type="pct"/>
            <w:shd w:val="clear" w:color="auto" w:fill="auto"/>
            <w:vAlign w:val="center"/>
          </w:tcPr>
          <w:p w14:paraId="79DF63A3">
            <w:pPr>
              <w:widowControl/>
              <w:jc w:val="center"/>
              <w:rPr>
                <w:rFonts w:ascii="宋体" w:hAnsi="宋体"/>
                <w:color w:val="auto"/>
              </w:rPr>
            </w:pPr>
            <w:r>
              <w:rPr>
                <w:rFonts w:ascii="宋体" w:hAnsi="宋体"/>
                <w:color w:val="auto"/>
                <w:kern w:val="0"/>
              </w:rPr>
              <w:t xml:space="preserve">HJ 1287-2023 </w:t>
            </w:r>
          </w:p>
        </w:tc>
        <w:tc>
          <w:tcPr>
            <w:tcW w:w="750" w:type="pct"/>
            <w:shd w:val="clear" w:color="auto" w:fill="auto"/>
            <w:vAlign w:val="center"/>
          </w:tcPr>
          <w:p w14:paraId="70901510">
            <w:pPr>
              <w:widowControl/>
              <w:jc w:val="center"/>
              <w:rPr>
                <w:rFonts w:ascii="宋体" w:hAnsi="宋体"/>
                <w:color w:val="auto"/>
              </w:rPr>
            </w:pPr>
            <w:r>
              <w:rPr>
                <w:rFonts w:hint="eastAsia" w:ascii="宋体" w:hAnsi="宋体"/>
                <w:color w:val="auto"/>
                <w:kern w:val="0"/>
              </w:rPr>
              <w:t>/</w:t>
            </w:r>
          </w:p>
        </w:tc>
      </w:tr>
      <w:tr w14:paraId="6B449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19D26E4">
            <w:pPr>
              <w:pStyle w:val="76"/>
              <w:rPr>
                <w:rFonts w:hAnsi="宋体"/>
                <w:color w:val="auto"/>
              </w:rPr>
            </w:pPr>
          </w:p>
        </w:tc>
        <w:tc>
          <w:tcPr>
            <w:tcW w:w="1018" w:type="pct"/>
            <w:shd w:val="clear" w:color="auto" w:fill="auto"/>
            <w:vAlign w:val="center"/>
          </w:tcPr>
          <w:p w14:paraId="19897F28">
            <w:pPr>
              <w:widowControl/>
              <w:jc w:val="center"/>
              <w:rPr>
                <w:rFonts w:ascii="宋体" w:hAnsi="宋体"/>
                <w:color w:val="auto"/>
              </w:rPr>
            </w:pPr>
            <w:r>
              <w:rPr>
                <w:rFonts w:hint="eastAsia" w:ascii="宋体" w:hAnsi="宋体"/>
                <w:color w:val="auto"/>
              </w:rPr>
              <w:t>*</w:t>
            </w:r>
            <w:r>
              <w:rPr>
                <w:rFonts w:ascii="宋体" w:hAnsi="宋体"/>
                <w:color w:val="auto"/>
              </w:rPr>
              <w:t>/</w:t>
            </w:r>
          </w:p>
        </w:tc>
        <w:tc>
          <w:tcPr>
            <w:tcW w:w="1985" w:type="pct"/>
            <w:shd w:val="clear" w:color="auto" w:fill="auto"/>
            <w:vAlign w:val="center"/>
          </w:tcPr>
          <w:p w14:paraId="6F99A31C">
            <w:pPr>
              <w:widowControl/>
              <w:jc w:val="center"/>
              <w:rPr>
                <w:rFonts w:ascii="宋体" w:hAnsi="宋体"/>
                <w:color w:val="auto"/>
              </w:rPr>
            </w:pPr>
            <w:r>
              <w:rPr>
                <w:rFonts w:ascii="宋体" w:hAnsi="宋体"/>
                <w:color w:val="auto"/>
              </w:rPr>
              <w:t>固定污染源排气中颗粒物测定与气态污染物采样方法</w:t>
            </w:r>
          </w:p>
        </w:tc>
        <w:tc>
          <w:tcPr>
            <w:tcW w:w="985" w:type="pct"/>
            <w:shd w:val="clear" w:color="auto" w:fill="auto"/>
            <w:vAlign w:val="center"/>
          </w:tcPr>
          <w:p w14:paraId="6DA1F11A">
            <w:pPr>
              <w:widowControl/>
              <w:jc w:val="center"/>
              <w:rPr>
                <w:rFonts w:ascii="宋体" w:hAnsi="宋体"/>
                <w:color w:val="auto"/>
              </w:rPr>
            </w:pPr>
            <w:r>
              <w:rPr>
                <w:rFonts w:ascii="宋体" w:hAnsi="宋体"/>
                <w:color w:val="auto"/>
              </w:rPr>
              <w:t>GB/T 16157-1996</w:t>
            </w:r>
          </w:p>
        </w:tc>
        <w:tc>
          <w:tcPr>
            <w:tcW w:w="750" w:type="pct"/>
            <w:shd w:val="clear" w:color="auto" w:fill="auto"/>
            <w:vAlign w:val="center"/>
          </w:tcPr>
          <w:p w14:paraId="527EC14F">
            <w:pPr>
              <w:widowControl/>
              <w:jc w:val="center"/>
              <w:rPr>
                <w:rFonts w:ascii="宋体" w:hAnsi="宋体"/>
                <w:color w:val="auto"/>
              </w:rPr>
            </w:pPr>
            <w:r>
              <w:rPr>
                <w:rFonts w:ascii="宋体" w:hAnsi="宋体"/>
                <w:color w:val="auto"/>
              </w:rPr>
              <w:t>/</w:t>
            </w:r>
          </w:p>
        </w:tc>
      </w:tr>
      <w:tr w14:paraId="38CE9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D14E046">
            <w:pPr>
              <w:pStyle w:val="76"/>
              <w:rPr>
                <w:rFonts w:hAnsi="宋体"/>
                <w:color w:val="auto"/>
              </w:rPr>
            </w:pPr>
          </w:p>
        </w:tc>
        <w:tc>
          <w:tcPr>
            <w:tcW w:w="1018" w:type="pct"/>
            <w:shd w:val="clear" w:color="auto" w:fill="auto"/>
            <w:vAlign w:val="center"/>
          </w:tcPr>
          <w:p w14:paraId="7383C089">
            <w:pPr>
              <w:widowControl/>
              <w:jc w:val="center"/>
              <w:rPr>
                <w:rFonts w:ascii="宋体" w:hAnsi="宋体"/>
                <w:color w:val="auto"/>
              </w:rPr>
            </w:pPr>
            <w:r>
              <w:rPr>
                <w:rFonts w:hint="eastAsia" w:ascii="宋体" w:hAnsi="宋体"/>
                <w:color w:val="auto"/>
              </w:rPr>
              <w:t>烟气黑度</w:t>
            </w:r>
          </w:p>
        </w:tc>
        <w:tc>
          <w:tcPr>
            <w:tcW w:w="1985" w:type="pct"/>
            <w:shd w:val="clear" w:color="auto" w:fill="auto"/>
            <w:vAlign w:val="center"/>
          </w:tcPr>
          <w:p w14:paraId="0EA76F81">
            <w:pPr>
              <w:widowControl/>
              <w:jc w:val="center"/>
              <w:rPr>
                <w:rFonts w:ascii="宋体" w:hAnsi="宋体"/>
                <w:color w:val="auto"/>
              </w:rPr>
            </w:pPr>
            <w:r>
              <w:rPr>
                <w:rFonts w:hint="eastAsia" w:ascii="宋体" w:hAnsi="宋体"/>
                <w:color w:val="auto"/>
              </w:rPr>
              <w:t>固定污染源排放烟气黑度的测定 林格曼烟气黑度图法</w:t>
            </w:r>
          </w:p>
        </w:tc>
        <w:tc>
          <w:tcPr>
            <w:tcW w:w="985" w:type="pct"/>
            <w:shd w:val="clear" w:color="auto" w:fill="auto"/>
            <w:vAlign w:val="center"/>
          </w:tcPr>
          <w:p w14:paraId="7DCBF832">
            <w:pPr>
              <w:widowControl/>
              <w:jc w:val="center"/>
              <w:rPr>
                <w:rFonts w:ascii="宋体" w:hAnsi="宋体"/>
                <w:color w:val="auto"/>
              </w:rPr>
            </w:pPr>
            <w:r>
              <w:rPr>
                <w:rFonts w:ascii="宋体" w:hAnsi="宋体"/>
                <w:color w:val="auto"/>
              </w:rPr>
              <w:t>HJ/T 398-2007</w:t>
            </w:r>
          </w:p>
        </w:tc>
        <w:tc>
          <w:tcPr>
            <w:tcW w:w="750" w:type="pct"/>
            <w:shd w:val="clear" w:color="auto" w:fill="auto"/>
            <w:vAlign w:val="center"/>
          </w:tcPr>
          <w:p w14:paraId="6D7A085F">
            <w:pPr>
              <w:widowControl/>
              <w:jc w:val="center"/>
              <w:rPr>
                <w:rFonts w:ascii="宋体" w:hAnsi="宋体"/>
                <w:color w:val="auto"/>
              </w:rPr>
            </w:pPr>
            <w:r>
              <w:rPr>
                <w:rFonts w:ascii="宋体" w:hAnsi="宋体"/>
                <w:color w:val="auto"/>
              </w:rPr>
              <w:t>/</w:t>
            </w:r>
          </w:p>
        </w:tc>
      </w:tr>
      <w:tr w14:paraId="537F3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6C0C31C">
            <w:pPr>
              <w:pStyle w:val="76"/>
              <w:rPr>
                <w:rFonts w:hAnsi="宋体"/>
                <w:color w:val="auto"/>
              </w:rPr>
            </w:pPr>
          </w:p>
        </w:tc>
        <w:tc>
          <w:tcPr>
            <w:tcW w:w="1018" w:type="pct"/>
            <w:shd w:val="clear" w:color="auto" w:fill="auto"/>
            <w:vAlign w:val="center"/>
          </w:tcPr>
          <w:p w14:paraId="6E9FA4B6">
            <w:pPr>
              <w:widowControl/>
              <w:jc w:val="center"/>
              <w:rPr>
                <w:rFonts w:ascii="宋体" w:hAnsi="宋体"/>
                <w:color w:val="auto"/>
              </w:rPr>
            </w:pPr>
            <w:r>
              <w:rPr>
                <w:rFonts w:hint="eastAsia" w:ascii="宋体" w:hAnsi="宋体"/>
                <w:color w:val="auto"/>
              </w:rPr>
              <w:t>烟气温度</w:t>
            </w:r>
          </w:p>
        </w:tc>
        <w:tc>
          <w:tcPr>
            <w:tcW w:w="1985" w:type="pct"/>
            <w:shd w:val="clear" w:color="auto" w:fill="auto"/>
            <w:vAlign w:val="center"/>
          </w:tcPr>
          <w:p w14:paraId="1A8DEAF2">
            <w:pPr>
              <w:widowControl/>
              <w:jc w:val="center"/>
              <w:rPr>
                <w:rFonts w:ascii="宋体" w:hAnsi="宋体"/>
                <w:color w:val="auto"/>
              </w:rPr>
            </w:pPr>
            <w:r>
              <w:rPr>
                <w:rFonts w:hint="eastAsia" w:ascii="宋体" w:hAnsi="宋体"/>
                <w:color w:val="auto"/>
              </w:rPr>
              <w:t>固定污染源排气中颗粒物测定与气态污染物采样方法（5.1排气温度的测定）</w:t>
            </w:r>
          </w:p>
        </w:tc>
        <w:tc>
          <w:tcPr>
            <w:tcW w:w="985" w:type="pct"/>
            <w:shd w:val="clear" w:color="auto" w:fill="auto"/>
            <w:vAlign w:val="center"/>
          </w:tcPr>
          <w:p w14:paraId="266F124E">
            <w:pPr>
              <w:widowControl/>
              <w:jc w:val="center"/>
              <w:rPr>
                <w:rFonts w:ascii="宋体" w:hAnsi="宋体"/>
                <w:color w:val="auto"/>
              </w:rPr>
            </w:pPr>
            <w:r>
              <w:rPr>
                <w:rFonts w:hint="eastAsia" w:ascii="宋体" w:hAnsi="宋体"/>
                <w:color w:val="auto"/>
              </w:rPr>
              <w:t>GB/T 16157-1996</w:t>
            </w:r>
          </w:p>
        </w:tc>
        <w:tc>
          <w:tcPr>
            <w:tcW w:w="750" w:type="pct"/>
            <w:shd w:val="clear" w:color="auto" w:fill="auto"/>
            <w:vAlign w:val="center"/>
          </w:tcPr>
          <w:p w14:paraId="44808591">
            <w:pPr>
              <w:widowControl/>
              <w:jc w:val="center"/>
              <w:rPr>
                <w:rFonts w:ascii="宋体" w:hAnsi="宋体"/>
                <w:color w:val="auto"/>
              </w:rPr>
            </w:pPr>
            <w:r>
              <w:rPr>
                <w:rFonts w:hint="eastAsia" w:ascii="宋体" w:hAnsi="宋体"/>
                <w:color w:val="auto"/>
              </w:rPr>
              <w:t>/</w:t>
            </w:r>
          </w:p>
        </w:tc>
      </w:tr>
      <w:tr w14:paraId="3915A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60CDF0D">
            <w:pPr>
              <w:pStyle w:val="76"/>
              <w:rPr>
                <w:rFonts w:hAnsi="宋体"/>
                <w:color w:val="auto"/>
              </w:rPr>
            </w:pPr>
          </w:p>
        </w:tc>
        <w:tc>
          <w:tcPr>
            <w:tcW w:w="1018" w:type="pct"/>
            <w:shd w:val="clear" w:color="auto" w:fill="auto"/>
            <w:vAlign w:val="center"/>
          </w:tcPr>
          <w:p w14:paraId="269C554D">
            <w:pPr>
              <w:widowControl/>
              <w:jc w:val="center"/>
              <w:rPr>
                <w:rFonts w:ascii="宋体" w:hAnsi="宋体"/>
                <w:color w:val="auto"/>
              </w:rPr>
            </w:pPr>
            <w:r>
              <w:rPr>
                <w:rFonts w:hint="eastAsia" w:ascii="宋体" w:hAnsi="宋体"/>
                <w:color w:val="auto"/>
              </w:rPr>
              <w:t>烟气含氧量</w:t>
            </w:r>
          </w:p>
        </w:tc>
        <w:tc>
          <w:tcPr>
            <w:tcW w:w="1985" w:type="pct"/>
            <w:shd w:val="clear" w:color="auto" w:fill="auto"/>
            <w:vAlign w:val="center"/>
          </w:tcPr>
          <w:p w14:paraId="7BD07FD6">
            <w:pPr>
              <w:widowControl/>
              <w:jc w:val="center"/>
              <w:rPr>
                <w:rFonts w:ascii="宋体" w:hAnsi="宋体"/>
                <w:color w:val="auto"/>
              </w:rPr>
            </w:pPr>
            <w:r>
              <w:rPr>
                <w:rFonts w:hint="eastAsia" w:ascii="宋体" w:hAnsi="宋体"/>
                <w:color w:val="auto"/>
              </w:rPr>
              <w:t>固定源废气监测技术规范（ 6.3.3 电化学法测定O</w:t>
            </w:r>
            <w:r>
              <w:rPr>
                <w:rFonts w:hint="eastAsia" w:ascii="宋体" w:hAnsi="宋体"/>
                <w:color w:val="auto"/>
                <w:vertAlign w:val="subscript"/>
              </w:rPr>
              <w:t>2</w:t>
            </w:r>
            <w:r>
              <w:rPr>
                <w:rFonts w:hint="eastAsia" w:ascii="宋体" w:hAnsi="宋体"/>
                <w:color w:val="auto"/>
              </w:rPr>
              <w:t>）</w:t>
            </w:r>
          </w:p>
        </w:tc>
        <w:tc>
          <w:tcPr>
            <w:tcW w:w="985" w:type="pct"/>
            <w:shd w:val="clear" w:color="auto" w:fill="auto"/>
            <w:vAlign w:val="center"/>
          </w:tcPr>
          <w:p w14:paraId="31737AA7">
            <w:pPr>
              <w:widowControl/>
              <w:jc w:val="center"/>
              <w:rPr>
                <w:rFonts w:ascii="宋体" w:hAnsi="宋体"/>
                <w:color w:val="auto"/>
              </w:rPr>
            </w:pPr>
            <w:r>
              <w:rPr>
                <w:rFonts w:hint="eastAsia" w:ascii="宋体" w:hAnsi="宋体"/>
                <w:color w:val="auto"/>
              </w:rPr>
              <w:t>HJ/T 397-2007</w:t>
            </w:r>
          </w:p>
        </w:tc>
        <w:tc>
          <w:tcPr>
            <w:tcW w:w="750" w:type="pct"/>
            <w:shd w:val="clear" w:color="auto" w:fill="auto"/>
            <w:vAlign w:val="center"/>
          </w:tcPr>
          <w:p w14:paraId="47F40B80">
            <w:pPr>
              <w:widowControl/>
              <w:jc w:val="center"/>
              <w:rPr>
                <w:rFonts w:ascii="宋体" w:hAnsi="宋体"/>
                <w:color w:val="auto"/>
              </w:rPr>
            </w:pPr>
            <w:r>
              <w:rPr>
                <w:rFonts w:hint="eastAsia" w:ascii="宋体" w:hAnsi="宋体"/>
                <w:color w:val="auto"/>
              </w:rPr>
              <w:t>/</w:t>
            </w:r>
          </w:p>
        </w:tc>
      </w:tr>
      <w:tr w14:paraId="706D5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shd w:val="clear" w:color="auto" w:fill="auto"/>
            <w:vAlign w:val="center"/>
          </w:tcPr>
          <w:p w14:paraId="2AB9C3DA">
            <w:pPr>
              <w:widowControl/>
              <w:jc w:val="center"/>
              <w:rPr>
                <w:rFonts w:ascii="宋体" w:hAnsi="宋体"/>
                <w:color w:val="auto"/>
              </w:rPr>
            </w:pPr>
            <w:r>
              <w:rPr>
                <w:rFonts w:ascii="宋体" w:hAnsi="宋体"/>
                <w:b/>
                <w:color w:val="auto"/>
              </w:rPr>
              <w:t>噪声检测分析方法</w:t>
            </w:r>
          </w:p>
        </w:tc>
      </w:tr>
      <w:tr w14:paraId="02EA6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CB4C229">
            <w:pPr>
              <w:jc w:val="center"/>
              <w:rPr>
                <w:rFonts w:ascii="宋体" w:hAnsi="宋体"/>
                <w:color w:val="auto"/>
              </w:rPr>
            </w:pPr>
            <w:r>
              <w:rPr>
                <w:rFonts w:ascii="宋体" w:hAnsi="宋体"/>
                <w:color w:val="auto"/>
              </w:rPr>
              <w:t>1</w:t>
            </w:r>
          </w:p>
        </w:tc>
        <w:tc>
          <w:tcPr>
            <w:tcW w:w="1018" w:type="pct"/>
            <w:shd w:val="clear" w:color="auto" w:fill="auto"/>
            <w:vAlign w:val="center"/>
          </w:tcPr>
          <w:p w14:paraId="599AED7C">
            <w:pPr>
              <w:jc w:val="center"/>
              <w:rPr>
                <w:rFonts w:ascii="宋体" w:hAnsi="宋体"/>
                <w:color w:val="auto"/>
              </w:rPr>
            </w:pPr>
            <w:r>
              <w:rPr>
                <w:rFonts w:ascii="宋体" w:hAnsi="宋体"/>
                <w:color w:val="auto"/>
              </w:rPr>
              <w:t>工业企业厂界环境噪声</w:t>
            </w:r>
          </w:p>
        </w:tc>
        <w:tc>
          <w:tcPr>
            <w:tcW w:w="1985" w:type="pct"/>
            <w:shd w:val="clear" w:color="auto" w:fill="auto"/>
            <w:vAlign w:val="center"/>
          </w:tcPr>
          <w:p w14:paraId="21C75D86">
            <w:pPr>
              <w:jc w:val="center"/>
              <w:rPr>
                <w:rFonts w:ascii="宋体" w:hAnsi="宋体"/>
                <w:color w:val="auto"/>
              </w:rPr>
            </w:pPr>
            <w:r>
              <w:rPr>
                <w:rFonts w:hint="eastAsia" w:ascii="宋体" w:hAnsi="宋体"/>
                <w:color w:val="auto"/>
              </w:rPr>
              <w:t>工业企业厂界环境噪声排放标准</w:t>
            </w:r>
          </w:p>
        </w:tc>
        <w:tc>
          <w:tcPr>
            <w:tcW w:w="985" w:type="pct"/>
            <w:shd w:val="clear" w:color="auto" w:fill="auto"/>
            <w:vAlign w:val="center"/>
          </w:tcPr>
          <w:p w14:paraId="79BC3666">
            <w:pPr>
              <w:jc w:val="center"/>
              <w:rPr>
                <w:rFonts w:ascii="宋体" w:hAnsi="宋体"/>
                <w:color w:val="auto"/>
              </w:rPr>
            </w:pPr>
            <w:r>
              <w:rPr>
                <w:rFonts w:ascii="宋体" w:hAnsi="宋体"/>
                <w:color w:val="auto"/>
              </w:rPr>
              <w:t>GB 12348-2008</w:t>
            </w:r>
          </w:p>
        </w:tc>
        <w:tc>
          <w:tcPr>
            <w:tcW w:w="750" w:type="pct"/>
            <w:shd w:val="clear" w:color="auto" w:fill="auto"/>
            <w:vAlign w:val="center"/>
          </w:tcPr>
          <w:p w14:paraId="0B7D3F24">
            <w:pPr>
              <w:jc w:val="center"/>
              <w:rPr>
                <w:rFonts w:ascii="宋体" w:hAnsi="宋体"/>
                <w:color w:val="auto"/>
              </w:rPr>
            </w:pPr>
            <w:r>
              <w:rPr>
                <w:rFonts w:ascii="宋体" w:hAnsi="宋体"/>
                <w:color w:val="auto"/>
              </w:rPr>
              <w:t>/</w:t>
            </w:r>
          </w:p>
        </w:tc>
      </w:tr>
      <w:tr w14:paraId="5FEA4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shd w:val="clear" w:color="auto" w:fill="auto"/>
            <w:vAlign w:val="center"/>
          </w:tcPr>
          <w:p w14:paraId="3B5B24F9">
            <w:pPr>
              <w:widowControl/>
              <w:jc w:val="center"/>
              <w:rPr>
                <w:rFonts w:ascii="宋体" w:hAnsi="宋体"/>
                <w:color w:val="auto"/>
              </w:rPr>
            </w:pPr>
            <w:r>
              <w:rPr>
                <w:rFonts w:hint="eastAsia" w:ascii="宋体" w:hAnsi="宋体"/>
                <w:b/>
                <w:color w:val="auto"/>
              </w:rPr>
              <w:t>地下水检测方法</w:t>
            </w:r>
          </w:p>
        </w:tc>
      </w:tr>
      <w:tr w14:paraId="2BA9C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A4C3C83">
            <w:pPr>
              <w:pStyle w:val="76"/>
              <w:numPr>
                <w:ilvl w:val="0"/>
                <w:numId w:val="23"/>
              </w:numPr>
              <w:rPr>
                <w:rFonts w:hAnsi="宋体"/>
                <w:color w:val="auto"/>
              </w:rPr>
            </w:pPr>
          </w:p>
        </w:tc>
        <w:tc>
          <w:tcPr>
            <w:tcW w:w="1018" w:type="pct"/>
            <w:shd w:val="clear" w:color="auto" w:fill="auto"/>
            <w:vAlign w:val="center"/>
          </w:tcPr>
          <w:p w14:paraId="1428C635">
            <w:pPr>
              <w:adjustRightInd w:val="0"/>
              <w:snapToGrid w:val="0"/>
              <w:jc w:val="center"/>
              <w:rPr>
                <w:rFonts w:ascii="宋体" w:hAnsi="宋体"/>
                <w:color w:val="auto"/>
              </w:rPr>
            </w:pPr>
            <w:r>
              <w:rPr>
                <w:rFonts w:ascii="宋体" w:hAnsi="宋体"/>
                <w:color w:val="auto"/>
              </w:rPr>
              <w:t>pH</w:t>
            </w:r>
            <w:r>
              <w:rPr>
                <w:rFonts w:hint="eastAsia" w:ascii="宋体" w:hAnsi="宋体"/>
                <w:color w:val="auto"/>
              </w:rPr>
              <w:t>值</w:t>
            </w:r>
          </w:p>
        </w:tc>
        <w:tc>
          <w:tcPr>
            <w:tcW w:w="1985" w:type="pct"/>
            <w:shd w:val="clear" w:color="auto" w:fill="auto"/>
            <w:vAlign w:val="center"/>
          </w:tcPr>
          <w:p w14:paraId="3F18A2F1">
            <w:pPr>
              <w:adjustRightInd w:val="0"/>
              <w:snapToGrid w:val="0"/>
              <w:jc w:val="center"/>
              <w:rPr>
                <w:rFonts w:ascii="宋体" w:hAnsi="宋体"/>
                <w:color w:val="auto"/>
              </w:rPr>
            </w:pPr>
            <w:r>
              <w:rPr>
                <w:rFonts w:ascii="宋体" w:hAnsi="宋体"/>
                <w:color w:val="auto"/>
              </w:rPr>
              <w:t>水质 pH的测定 电极法</w:t>
            </w:r>
          </w:p>
        </w:tc>
        <w:tc>
          <w:tcPr>
            <w:tcW w:w="985" w:type="pct"/>
            <w:shd w:val="clear" w:color="auto" w:fill="auto"/>
            <w:vAlign w:val="center"/>
          </w:tcPr>
          <w:p w14:paraId="1EF6DFE2">
            <w:pPr>
              <w:adjustRightInd w:val="0"/>
              <w:snapToGrid w:val="0"/>
              <w:jc w:val="center"/>
              <w:rPr>
                <w:rFonts w:ascii="宋体" w:hAnsi="宋体"/>
                <w:color w:val="auto"/>
              </w:rPr>
            </w:pPr>
            <w:r>
              <w:rPr>
                <w:rFonts w:ascii="宋体" w:hAnsi="宋体"/>
                <w:color w:val="auto"/>
              </w:rPr>
              <w:t>HJ 1147-2020</w:t>
            </w:r>
          </w:p>
        </w:tc>
        <w:tc>
          <w:tcPr>
            <w:tcW w:w="750" w:type="pct"/>
            <w:shd w:val="clear" w:color="auto" w:fill="auto"/>
            <w:vAlign w:val="center"/>
          </w:tcPr>
          <w:p w14:paraId="4FCFE267">
            <w:pPr>
              <w:adjustRightInd w:val="0"/>
              <w:snapToGrid w:val="0"/>
              <w:jc w:val="center"/>
              <w:rPr>
                <w:rFonts w:ascii="宋体" w:hAnsi="宋体"/>
                <w:color w:val="auto"/>
              </w:rPr>
            </w:pPr>
            <w:r>
              <w:rPr>
                <w:rFonts w:hint="eastAsia" w:ascii="宋体" w:hAnsi="宋体"/>
                <w:color w:val="auto"/>
              </w:rPr>
              <w:t>/</w:t>
            </w:r>
          </w:p>
        </w:tc>
      </w:tr>
      <w:tr w14:paraId="7BA05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64508A5">
            <w:pPr>
              <w:pStyle w:val="76"/>
              <w:rPr>
                <w:rFonts w:hAnsi="宋体"/>
                <w:color w:val="auto"/>
              </w:rPr>
            </w:pPr>
          </w:p>
        </w:tc>
        <w:tc>
          <w:tcPr>
            <w:tcW w:w="1018" w:type="pct"/>
            <w:shd w:val="clear" w:color="auto" w:fill="auto"/>
            <w:vAlign w:val="center"/>
          </w:tcPr>
          <w:p w14:paraId="13B23814">
            <w:pPr>
              <w:adjustRightInd w:val="0"/>
              <w:snapToGrid w:val="0"/>
              <w:jc w:val="center"/>
              <w:rPr>
                <w:rFonts w:ascii="宋体" w:hAnsi="宋体"/>
                <w:color w:val="auto"/>
              </w:rPr>
            </w:pPr>
            <w:r>
              <w:rPr>
                <w:rFonts w:hint="eastAsia" w:ascii="宋体" w:hAnsi="宋体"/>
                <w:color w:val="auto"/>
              </w:rPr>
              <w:t>色度</w:t>
            </w:r>
          </w:p>
        </w:tc>
        <w:tc>
          <w:tcPr>
            <w:tcW w:w="1985" w:type="pct"/>
            <w:shd w:val="clear" w:color="auto" w:fill="auto"/>
            <w:vAlign w:val="center"/>
          </w:tcPr>
          <w:p w14:paraId="68331766">
            <w:pPr>
              <w:jc w:val="center"/>
              <w:rPr>
                <w:rFonts w:ascii="宋体" w:hAnsi="宋体"/>
                <w:color w:val="auto"/>
              </w:rPr>
            </w:pPr>
            <w:r>
              <w:rPr>
                <w:rFonts w:ascii="宋体" w:hAnsi="宋体"/>
                <w:color w:val="auto"/>
              </w:rPr>
              <w:t>水质 色度的测定（3 铂钴比色法）</w:t>
            </w:r>
          </w:p>
        </w:tc>
        <w:tc>
          <w:tcPr>
            <w:tcW w:w="985" w:type="pct"/>
            <w:shd w:val="clear" w:color="auto" w:fill="auto"/>
            <w:vAlign w:val="center"/>
          </w:tcPr>
          <w:p w14:paraId="672DF153">
            <w:pPr>
              <w:jc w:val="center"/>
              <w:rPr>
                <w:rFonts w:ascii="宋体" w:hAnsi="宋体"/>
                <w:color w:val="auto"/>
              </w:rPr>
            </w:pPr>
            <w:r>
              <w:rPr>
                <w:rFonts w:ascii="宋体" w:hAnsi="宋体"/>
                <w:color w:val="auto"/>
              </w:rPr>
              <w:t>GB/T 11903-1989</w:t>
            </w:r>
          </w:p>
        </w:tc>
        <w:tc>
          <w:tcPr>
            <w:tcW w:w="750" w:type="pct"/>
            <w:shd w:val="clear" w:color="auto" w:fill="auto"/>
            <w:vAlign w:val="center"/>
          </w:tcPr>
          <w:p w14:paraId="3BAB2532">
            <w:pPr>
              <w:adjustRightInd w:val="0"/>
              <w:snapToGrid w:val="0"/>
              <w:jc w:val="center"/>
              <w:rPr>
                <w:rFonts w:ascii="宋体" w:hAnsi="宋体"/>
                <w:color w:val="auto"/>
              </w:rPr>
            </w:pPr>
            <w:r>
              <w:rPr>
                <w:rFonts w:hint="eastAsia" w:ascii="宋体" w:hAnsi="宋体"/>
                <w:color w:val="auto"/>
              </w:rPr>
              <w:t>/</w:t>
            </w:r>
          </w:p>
        </w:tc>
      </w:tr>
      <w:tr w14:paraId="552B4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81E9ED3">
            <w:pPr>
              <w:pStyle w:val="76"/>
              <w:rPr>
                <w:rFonts w:hAnsi="宋体"/>
                <w:color w:val="auto"/>
              </w:rPr>
            </w:pPr>
          </w:p>
        </w:tc>
        <w:tc>
          <w:tcPr>
            <w:tcW w:w="1018" w:type="pct"/>
            <w:shd w:val="clear" w:color="auto" w:fill="auto"/>
            <w:vAlign w:val="center"/>
          </w:tcPr>
          <w:p w14:paraId="715410E9">
            <w:pPr>
              <w:adjustRightInd w:val="0"/>
              <w:snapToGrid w:val="0"/>
              <w:jc w:val="center"/>
              <w:rPr>
                <w:rFonts w:ascii="宋体" w:hAnsi="宋体"/>
                <w:color w:val="auto"/>
              </w:rPr>
            </w:pPr>
            <w:r>
              <w:rPr>
                <w:rFonts w:hint="eastAsia" w:ascii="宋体" w:hAnsi="宋体"/>
                <w:color w:val="auto"/>
              </w:rPr>
              <w:t>臭和味</w:t>
            </w:r>
          </w:p>
        </w:tc>
        <w:tc>
          <w:tcPr>
            <w:tcW w:w="1985" w:type="pct"/>
            <w:shd w:val="clear" w:color="auto" w:fill="auto"/>
            <w:vAlign w:val="center"/>
          </w:tcPr>
          <w:p w14:paraId="18F0A1F3">
            <w:pPr>
              <w:jc w:val="center"/>
              <w:rPr>
                <w:rFonts w:ascii="宋体" w:hAnsi="宋体"/>
                <w:color w:val="auto"/>
              </w:rPr>
            </w:pPr>
            <w:r>
              <w:rPr>
                <w:rFonts w:hint="eastAsia" w:ascii="宋体" w:hAnsi="宋体"/>
                <w:color w:val="auto"/>
              </w:rPr>
              <w:t>生活饮用水标准检验方法 第4部分：感官性状和物理指标( 6.1 嗅气和尝味法)</w:t>
            </w:r>
          </w:p>
        </w:tc>
        <w:tc>
          <w:tcPr>
            <w:tcW w:w="985" w:type="pct"/>
            <w:shd w:val="clear" w:color="auto" w:fill="auto"/>
            <w:vAlign w:val="center"/>
          </w:tcPr>
          <w:p w14:paraId="41C3BA56">
            <w:pPr>
              <w:jc w:val="center"/>
              <w:rPr>
                <w:rFonts w:ascii="宋体" w:hAnsi="宋体"/>
                <w:color w:val="auto"/>
              </w:rPr>
            </w:pPr>
            <w:r>
              <w:rPr>
                <w:rFonts w:ascii="宋体" w:hAnsi="宋体"/>
                <w:color w:val="auto"/>
              </w:rPr>
              <w:t>GB/T 5750.4-2023</w:t>
            </w:r>
          </w:p>
        </w:tc>
        <w:tc>
          <w:tcPr>
            <w:tcW w:w="750" w:type="pct"/>
            <w:shd w:val="clear" w:color="auto" w:fill="auto"/>
            <w:vAlign w:val="center"/>
          </w:tcPr>
          <w:p w14:paraId="2302EA2F">
            <w:pPr>
              <w:adjustRightInd w:val="0"/>
              <w:snapToGrid w:val="0"/>
              <w:jc w:val="center"/>
              <w:rPr>
                <w:rFonts w:ascii="宋体" w:hAnsi="宋体"/>
                <w:color w:val="auto"/>
              </w:rPr>
            </w:pPr>
            <w:r>
              <w:rPr>
                <w:rFonts w:hint="eastAsia" w:ascii="宋体" w:hAnsi="宋体"/>
                <w:color w:val="auto"/>
              </w:rPr>
              <w:t>/</w:t>
            </w:r>
          </w:p>
        </w:tc>
      </w:tr>
      <w:tr w14:paraId="17985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861D627">
            <w:pPr>
              <w:pStyle w:val="76"/>
              <w:rPr>
                <w:rFonts w:hAnsi="宋体"/>
                <w:color w:val="auto"/>
              </w:rPr>
            </w:pPr>
          </w:p>
        </w:tc>
        <w:tc>
          <w:tcPr>
            <w:tcW w:w="1018" w:type="pct"/>
            <w:shd w:val="clear" w:color="auto" w:fill="auto"/>
            <w:vAlign w:val="center"/>
          </w:tcPr>
          <w:p w14:paraId="34967018">
            <w:pPr>
              <w:adjustRightInd w:val="0"/>
              <w:snapToGrid w:val="0"/>
              <w:jc w:val="center"/>
              <w:rPr>
                <w:rFonts w:ascii="宋体" w:hAnsi="宋体"/>
                <w:color w:val="auto"/>
              </w:rPr>
            </w:pPr>
            <w:r>
              <w:rPr>
                <w:rFonts w:hint="eastAsia" w:ascii="宋体" w:hAnsi="宋体"/>
                <w:color w:val="auto"/>
              </w:rPr>
              <w:t>浊度</w:t>
            </w:r>
          </w:p>
        </w:tc>
        <w:tc>
          <w:tcPr>
            <w:tcW w:w="1985" w:type="pct"/>
            <w:shd w:val="clear" w:color="auto" w:fill="auto"/>
            <w:vAlign w:val="center"/>
          </w:tcPr>
          <w:p w14:paraId="1CE9A21F">
            <w:pPr>
              <w:adjustRightInd w:val="0"/>
              <w:snapToGrid w:val="0"/>
              <w:jc w:val="center"/>
              <w:rPr>
                <w:rFonts w:ascii="宋体" w:hAnsi="宋体"/>
                <w:color w:val="auto"/>
              </w:rPr>
            </w:pPr>
            <w:r>
              <w:rPr>
                <w:rFonts w:ascii="宋体" w:hAnsi="宋体"/>
                <w:color w:val="auto"/>
              </w:rPr>
              <w:t>水质 浊度的测定 浊度计法</w:t>
            </w:r>
          </w:p>
        </w:tc>
        <w:tc>
          <w:tcPr>
            <w:tcW w:w="985" w:type="pct"/>
            <w:shd w:val="clear" w:color="auto" w:fill="auto"/>
            <w:vAlign w:val="center"/>
          </w:tcPr>
          <w:p w14:paraId="13B71B31">
            <w:pPr>
              <w:adjustRightInd w:val="0"/>
              <w:snapToGrid w:val="0"/>
              <w:jc w:val="center"/>
              <w:rPr>
                <w:rFonts w:ascii="宋体" w:hAnsi="宋体"/>
                <w:color w:val="auto"/>
              </w:rPr>
            </w:pPr>
            <w:r>
              <w:rPr>
                <w:rFonts w:ascii="宋体" w:hAnsi="宋体"/>
                <w:color w:val="auto"/>
              </w:rPr>
              <w:t>HJ 1075-2019</w:t>
            </w:r>
          </w:p>
        </w:tc>
        <w:tc>
          <w:tcPr>
            <w:tcW w:w="750" w:type="pct"/>
            <w:shd w:val="clear" w:color="auto" w:fill="auto"/>
            <w:vAlign w:val="center"/>
          </w:tcPr>
          <w:p w14:paraId="5FBE5579">
            <w:pPr>
              <w:adjustRightInd w:val="0"/>
              <w:snapToGrid w:val="0"/>
              <w:jc w:val="center"/>
              <w:rPr>
                <w:rFonts w:ascii="宋体" w:hAnsi="宋体"/>
                <w:color w:val="auto"/>
              </w:rPr>
            </w:pPr>
            <w:r>
              <w:rPr>
                <w:rFonts w:hint="eastAsia" w:ascii="宋体" w:hAnsi="宋体"/>
                <w:color w:val="auto"/>
              </w:rPr>
              <w:t>0.3NTU</w:t>
            </w:r>
          </w:p>
        </w:tc>
      </w:tr>
      <w:tr w14:paraId="32011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2A59D6B">
            <w:pPr>
              <w:pStyle w:val="76"/>
              <w:rPr>
                <w:rFonts w:hAnsi="宋体"/>
                <w:color w:val="auto"/>
              </w:rPr>
            </w:pPr>
          </w:p>
        </w:tc>
        <w:tc>
          <w:tcPr>
            <w:tcW w:w="1018" w:type="pct"/>
            <w:shd w:val="clear" w:color="auto" w:fill="auto"/>
            <w:vAlign w:val="center"/>
          </w:tcPr>
          <w:p w14:paraId="63E7A6E2">
            <w:pPr>
              <w:adjustRightInd w:val="0"/>
              <w:snapToGrid w:val="0"/>
              <w:jc w:val="center"/>
              <w:rPr>
                <w:rFonts w:ascii="宋体" w:hAnsi="宋体"/>
                <w:color w:val="auto"/>
              </w:rPr>
            </w:pPr>
            <w:r>
              <w:rPr>
                <w:rFonts w:hint="eastAsia" w:ascii="宋体" w:hAnsi="宋体"/>
                <w:color w:val="auto"/>
              </w:rPr>
              <w:t>肉眼可见物</w:t>
            </w:r>
          </w:p>
        </w:tc>
        <w:tc>
          <w:tcPr>
            <w:tcW w:w="1985" w:type="pct"/>
            <w:shd w:val="clear" w:color="auto" w:fill="auto"/>
            <w:vAlign w:val="center"/>
          </w:tcPr>
          <w:p w14:paraId="420D0E44">
            <w:pPr>
              <w:adjustRightInd w:val="0"/>
              <w:snapToGrid w:val="0"/>
              <w:jc w:val="center"/>
              <w:rPr>
                <w:rFonts w:ascii="宋体" w:hAnsi="宋体"/>
                <w:color w:val="auto"/>
              </w:rPr>
            </w:pPr>
            <w:r>
              <w:rPr>
                <w:rFonts w:ascii="宋体" w:hAnsi="宋体"/>
                <w:color w:val="auto"/>
              </w:rPr>
              <w:t>生活饮用水标准检验方法 第4部分：感官性状和物理指标(7.1 直接观察法)</w:t>
            </w:r>
          </w:p>
        </w:tc>
        <w:tc>
          <w:tcPr>
            <w:tcW w:w="985" w:type="pct"/>
            <w:shd w:val="clear" w:color="auto" w:fill="auto"/>
            <w:vAlign w:val="center"/>
          </w:tcPr>
          <w:p w14:paraId="302933EB">
            <w:pPr>
              <w:adjustRightInd w:val="0"/>
              <w:snapToGrid w:val="0"/>
              <w:jc w:val="center"/>
              <w:rPr>
                <w:rFonts w:ascii="宋体" w:hAnsi="宋体"/>
                <w:color w:val="auto"/>
              </w:rPr>
            </w:pPr>
            <w:r>
              <w:rPr>
                <w:rFonts w:ascii="宋体" w:hAnsi="宋体"/>
                <w:color w:val="auto"/>
              </w:rPr>
              <w:t>GB/T 5750.4-2023</w:t>
            </w:r>
          </w:p>
        </w:tc>
        <w:tc>
          <w:tcPr>
            <w:tcW w:w="750" w:type="pct"/>
            <w:shd w:val="clear" w:color="auto" w:fill="auto"/>
            <w:vAlign w:val="center"/>
          </w:tcPr>
          <w:p w14:paraId="44CE3C40">
            <w:pPr>
              <w:adjustRightInd w:val="0"/>
              <w:snapToGrid w:val="0"/>
              <w:jc w:val="center"/>
              <w:rPr>
                <w:rFonts w:ascii="宋体" w:hAnsi="宋体"/>
                <w:color w:val="auto"/>
              </w:rPr>
            </w:pPr>
            <w:r>
              <w:rPr>
                <w:rFonts w:hint="eastAsia" w:ascii="宋体" w:hAnsi="宋体"/>
                <w:color w:val="auto"/>
              </w:rPr>
              <w:t>/</w:t>
            </w:r>
          </w:p>
        </w:tc>
      </w:tr>
      <w:tr w14:paraId="3C5DC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C284918">
            <w:pPr>
              <w:pStyle w:val="76"/>
              <w:rPr>
                <w:rFonts w:hAnsi="宋体"/>
                <w:color w:val="auto"/>
              </w:rPr>
            </w:pPr>
          </w:p>
        </w:tc>
        <w:tc>
          <w:tcPr>
            <w:tcW w:w="1018" w:type="pct"/>
            <w:shd w:val="clear" w:color="auto" w:fill="auto"/>
            <w:vAlign w:val="center"/>
          </w:tcPr>
          <w:p w14:paraId="42F6A093">
            <w:pPr>
              <w:adjustRightInd w:val="0"/>
              <w:snapToGrid w:val="0"/>
              <w:jc w:val="center"/>
              <w:rPr>
                <w:rFonts w:ascii="宋体" w:hAnsi="宋体"/>
                <w:color w:val="auto"/>
              </w:rPr>
            </w:pPr>
            <w:r>
              <w:rPr>
                <w:rFonts w:ascii="宋体" w:hAnsi="宋体"/>
                <w:color w:val="auto"/>
              </w:rPr>
              <w:t>总硬度</w:t>
            </w:r>
          </w:p>
        </w:tc>
        <w:tc>
          <w:tcPr>
            <w:tcW w:w="1985" w:type="pct"/>
            <w:shd w:val="clear" w:color="auto" w:fill="auto"/>
            <w:vAlign w:val="center"/>
          </w:tcPr>
          <w:p w14:paraId="7B98493B">
            <w:pPr>
              <w:adjustRightInd w:val="0"/>
              <w:snapToGrid w:val="0"/>
              <w:jc w:val="center"/>
              <w:rPr>
                <w:rFonts w:ascii="宋体" w:hAnsi="宋体"/>
                <w:color w:val="auto"/>
              </w:rPr>
            </w:pPr>
            <w:r>
              <w:rPr>
                <w:rFonts w:ascii="宋体" w:hAnsi="宋体"/>
                <w:color w:val="auto"/>
              </w:rPr>
              <w:t>生活饮用水标准检验方法 第4部分：感官性状和物理指标(10.1 乙二胺四乙酸二钠滴定法)</w:t>
            </w:r>
          </w:p>
        </w:tc>
        <w:tc>
          <w:tcPr>
            <w:tcW w:w="985" w:type="pct"/>
            <w:shd w:val="clear" w:color="auto" w:fill="auto"/>
            <w:vAlign w:val="center"/>
          </w:tcPr>
          <w:p w14:paraId="4A02A801">
            <w:pPr>
              <w:adjustRightInd w:val="0"/>
              <w:snapToGrid w:val="0"/>
              <w:jc w:val="center"/>
              <w:rPr>
                <w:rFonts w:ascii="宋体" w:hAnsi="宋体"/>
                <w:color w:val="auto"/>
              </w:rPr>
            </w:pPr>
            <w:r>
              <w:rPr>
                <w:rFonts w:ascii="宋体" w:hAnsi="宋体"/>
                <w:color w:val="auto"/>
              </w:rPr>
              <w:t>GB/T 5750.4-2023</w:t>
            </w:r>
          </w:p>
        </w:tc>
        <w:tc>
          <w:tcPr>
            <w:tcW w:w="750" w:type="pct"/>
            <w:shd w:val="clear" w:color="auto" w:fill="auto"/>
            <w:vAlign w:val="center"/>
          </w:tcPr>
          <w:p w14:paraId="24685D6C">
            <w:pPr>
              <w:adjustRightInd w:val="0"/>
              <w:snapToGrid w:val="0"/>
              <w:jc w:val="center"/>
              <w:rPr>
                <w:rFonts w:ascii="宋体" w:hAnsi="宋体"/>
                <w:color w:val="auto"/>
              </w:rPr>
            </w:pPr>
            <w:r>
              <w:rPr>
                <w:rFonts w:hint="eastAsia" w:ascii="宋体" w:hAnsi="宋体"/>
                <w:color w:val="auto"/>
              </w:rPr>
              <w:t>1</w:t>
            </w:r>
            <w:r>
              <w:rPr>
                <w:rFonts w:ascii="宋体" w:hAnsi="宋体"/>
                <w:color w:val="auto"/>
              </w:rPr>
              <w:t>.0 mg/L</w:t>
            </w:r>
          </w:p>
        </w:tc>
      </w:tr>
      <w:tr w14:paraId="5D0AD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426FF01">
            <w:pPr>
              <w:pStyle w:val="76"/>
              <w:rPr>
                <w:rFonts w:hAnsi="宋体"/>
                <w:color w:val="auto"/>
              </w:rPr>
            </w:pPr>
          </w:p>
        </w:tc>
        <w:tc>
          <w:tcPr>
            <w:tcW w:w="1018" w:type="pct"/>
            <w:shd w:val="clear" w:color="auto" w:fill="auto"/>
            <w:vAlign w:val="center"/>
          </w:tcPr>
          <w:p w14:paraId="64022FF4">
            <w:pPr>
              <w:adjustRightInd w:val="0"/>
              <w:snapToGrid w:val="0"/>
              <w:jc w:val="center"/>
              <w:rPr>
                <w:rFonts w:ascii="宋体" w:hAnsi="宋体"/>
                <w:color w:val="auto"/>
              </w:rPr>
            </w:pPr>
            <w:r>
              <w:rPr>
                <w:rFonts w:ascii="宋体" w:hAnsi="宋体"/>
                <w:color w:val="auto"/>
              </w:rPr>
              <w:t>溶解性总固体</w:t>
            </w:r>
          </w:p>
        </w:tc>
        <w:tc>
          <w:tcPr>
            <w:tcW w:w="1985" w:type="pct"/>
            <w:shd w:val="clear" w:color="auto" w:fill="auto"/>
            <w:vAlign w:val="center"/>
          </w:tcPr>
          <w:p w14:paraId="536E4E4E">
            <w:pPr>
              <w:adjustRightInd w:val="0"/>
              <w:snapToGrid w:val="0"/>
              <w:jc w:val="center"/>
              <w:rPr>
                <w:rFonts w:ascii="宋体" w:hAnsi="宋体"/>
                <w:color w:val="auto"/>
              </w:rPr>
            </w:pPr>
            <w:r>
              <w:rPr>
                <w:rFonts w:ascii="宋体" w:hAnsi="宋体"/>
                <w:color w:val="auto"/>
              </w:rPr>
              <w:t>生活饮用水标准检验方法 第4部分：感官性状和物理指标(11.1 称量法)</w:t>
            </w:r>
          </w:p>
        </w:tc>
        <w:tc>
          <w:tcPr>
            <w:tcW w:w="985" w:type="pct"/>
            <w:shd w:val="clear" w:color="auto" w:fill="auto"/>
            <w:vAlign w:val="center"/>
          </w:tcPr>
          <w:p w14:paraId="25EC29E0">
            <w:pPr>
              <w:adjustRightInd w:val="0"/>
              <w:snapToGrid w:val="0"/>
              <w:jc w:val="center"/>
              <w:rPr>
                <w:rFonts w:ascii="宋体" w:hAnsi="宋体"/>
                <w:color w:val="auto"/>
              </w:rPr>
            </w:pPr>
            <w:r>
              <w:rPr>
                <w:rFonts w:ascii="宋体" w:hAnsi="宋体"/>
                <w:color w:val="auto"/>
              </w:rPr>
              <w:t>GB/T 5750.4-2023</w:t>
            </w:r>
          </w:p>
        </w:tc>
        <w:tc>
          <w:tcPr>
            <w:tcW w:w="750" w:type="pct"/>
            <w:shd w:val="clear" w:color="auto" w:fill="auto"/>
            <w:vAlign w:val="center"/>
          </w:tcPr>
          <w:p w14:paraId="5B39238A">
            <w:pPr>
              <w:adjustRightInd w:val="0"/>
              <w:snapToGrid w:val="0"/>
              <w:jc w:val="center"/>
              <w:rPr>
                <w:rFonts w:ascii="宋体" w:hAnsi="宋体"/>
                <w:color w:val="auto"/>
              </w:rPr>
            </w:pPr>
            <w:r>
              <w:rPr>
                <w:rFonts w:hint="eastAsia" w:ascii="宋体" w:hAnsi="宋体"/>
                <w:color w:val="auto"/>
              </w:rPr>
              <w:t>/</w:t>
            </w:r>
          </w:p>
        </w:tc>
      </w:tr>
      <w:tr w14:paraId="1808D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A368C23">
            <w:pPr>
              <w:pStyle w:val="76"/>
              <w:rPr>
                <w:rFonts w:hAnsi="宋体"/>
                <w:color w:val="auto"/>
              </w:rPr>
            </w:pPr>
          </w:p>
        </w:tc>
        <w:tc>
          <w:tcPr>
            <w:tcW w:w="1018" w:type="pct"/>
            <w:shd w:val="clear" w:color="auto" w:fill="auto"/>
            <w:vAlign w:val="center"/>
          </w:tcPr>
          <w:p w14:paraId="0DDDDD7A">
            <w:pPr>
              <w:adjustRightInd w:val="0"/>
              <w:snapToGrid w:val="0"/>
              <w:jc w:val="center"/>
              <w:rPr>
                <w:rFonts w:ascii="宋体" w:hAnsi="宋体"/>
                <w:color w:val="auto"/>
              </w:rPr>
            </w:pPr>
            <w:r>
              <w:rPr>
                <w:rFonts w:hint="eastAsia" w:ascii="宋体" w:hAnsi="宋体"/>
                <w:color w:val="auto"/>
              </w:rPr>
              <w:t>硫酸盐</w:t>
            </w:r>
          </w:p>
        </w:tc>
        <w:tc>
          <w:tcPr>
            <w:tcW w:w="1985" w:type="pct"/>
            <w:shd w:val="clear" w:color="auto" w:fill="auto"/>
            <w:vAlign w:val="center"/>
          </w:tcPr>
          <w:p w14:paraId="61584612">
            <w:pPr>
              <w:adjustRightInd w:val="0"/>
              <w:snapToGrid w:val="0"/>
              <w:jc w:val="center"/>
              <w:rPr>
                <w:rFonts w:ascii="宋体" w:hAnsi="宋体"/>
                <w:color w:val="auto"/>
              </w:rPr>
            </w:pPr>
            <w:r>
              <w:rPr>
                <w:rFonts w:ascii="宋体" w:hAnsi="宋体"/>
                <w:color w:val="auto"/>
              </w:rPr>
              <w:t>水质 硫酸盐的测定 铬酸钡分光光度法(试行)</w:t>
            </w:r>
          </w:p>
        </w:tc>
        <w:tc>
          <w:tcPr>
            <w:tcW w:w="985" w:type="pct"/>
            <w:shd w:val="clear" w:color="auto" w:fill="auto"/>
            <w:vAlign w:val="center"/>
          </w:tcPr>
          <w:p w14:paraId="1D8C7EDF">
            <w:pPr>
              <w:adjustRightInd w:val="0"/>
              <w:snapToGrid w:val="0"/>
              <w:jc w:val="center"/>
              <w:rPr>
                <w:rFonts w:ascii="宋体" w:hAnsi="宋体"/>
                <w:color w:val="auto"/>
              </w:rPr>
            </w:pPr>
            <w:r>
              <w:rPr>
                <w:rFonts w:ascii="宋体" w:hAnsi="宋体"/>
                <w:color w:val="auto"/>
              </w:rPr>
              <w:t>HJ/T 342-2007</w:t>
            </w:r>
          </w:p>
        </w:tc>
        <w:tc>
          <w:tcPr>
            <w:tcW w:w="750" w:type="pct"/>
            <w:shd w:val="clear" w:color="auto" w:fill="auto"/>
            <w:vAlign w:val="center"/>
          </w:tcPr>
          <w:p w14:paraId="2B4090AC">
            <w:pPr>
              <w:adjustRightInd w:val="0"/>
              <w:snapToGrid w:val="0"/>
              <w:jc w:val="center"/>
              <w:rPr>
                <w:rFonts w:ascii="宋体" w:hAnsi="宋体"/>
                <w:color w:val="auto"/>
              </w:rPr>
            </w:pPr>
            <w:r>
              <w:rPr>
                <w:rFonts w:hint="eastAsia" w:ascii="宋体" w:hAnsi="宋体"/>
                <w:color w:val="auto"/>
              </w:rPr>
              <w:t xml:space="preserve">8 </w:t>
            </w:r>
            <w:r>
              <w:rPr>
                <w:rFonts w:ascii="宋体" w:hAnsi="宋体"/>
                <w:color w:val="auto"/>
              </w:rPr>
              <w:t>mg/L</w:t>
            </w:r>
          </w:p>
        </w:tc>
      </w:tr>
      <w:tr w14:paraId="1B1F7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55082EB">
            <w:pPr>
              <w:pStyle w:val="76"/>
              <w:rPr>
                <w:rFonts w:hAnsi="宋体"/>
                <w:color w:val="auto"/>
              </w:rPr>
            </w:pPr>
          </w:p>
        </w:tc>
        <w:tc>
          <w:tcPr>
            <w:tcW w:w="1018" w:type="pct"/>
            <w:shd w:val="clear" w:color="auto" w:fill="auto"/>
            <w:vAlign w:val="center"/>
          </w:tcPr>
          <w:p w14:paraId="0622CBC2">
            <w:pPr>
              <w:jc w:val="center"/>
              <w:rPr>
                <w:rFonts w:ascii="宋体" w:hAnsi="宋体"/>
                <w:color w:val="auto"/>
              </w:rPr>
            </w:pPr>
            <w:r>
              <w:rPr>
                <w:rFonts w:ascii="宋体" w:hAnsi="宋体"/>
                <w:color w:val="auto"/>
              </w:rPr>
              <w:t>氯化物</w:t>
            </w:r>
          </w:p>
        </w:tc>
        <w:tc>
          <w:tcPr>
            <w:tcW w:w="1985" w:type="pct"/>
            <w:shd w:val="clear" w:color="auto" w:fill="auto"/>
            <w:vAlign w:val="center"/>
          </w:tcPr>
          <w:p w14:paraId="2FC75143">
            <w:pPr>
              <w:jc w:val="center"/>
              <w:rPr>
                <w:rFonts w:ascii="宋体" w:hAnsi="宋体"/>
                <w:color w:val="auto"/>
              </w:rPr>
            </w:pPr>
            <w:r>
              <w:rPr>
                <w:rFonts w:ascii="宋体" w:hAnsi="宋体"/>
                <w:color w:val="auto"/>
              </w:rPr>
              <w:t>水质 氯化物的测定 硝酸银滴定法</w:t>
            </w:r>
          </w:p>
        </w:tc>
        <w:tc>
          <w:tcPr>
            <w:tcW w:w="985" w:type="pct"/>
            <w:shd w:val="clear" w:color="auto" w:fill="auto"/>
            <w:vAlign w:val="center"/>
          </w:tcPr>
          <w:p w14:paraId="618AC7AD">
            <w:pPr>
              <w:jc w:val="center"/>
              <w:rPr>
                <w:rFonts w:ascii="宋体" w:hAnsi="宋体"/>
                <w:color w:val="auto"/>
              </w:rPr>
            </w:pPr>
            <w:r>
              <w:rPr>
                <w:rFonts w:ascii="宋体" w:hAnsi="宋体"/>
                <w:color w:val="auto"/>
              </w:rPr>
              <w:t>GB/T 11896-1989</w:t>
            </w:r>
          </w:p>
        </w:tc>
        <w:tc>
          <w:tcPr>
            <w:tcW w:w="750" w:type="pct"/>
            <w:shd w:val="clear" w:color="auto" w:fill="auto"/>
            <w:vAlign w:val="center"/>
          </w:tcPr>
          <w:p w14:paraId="61AA653C">
            <w:pPr>
              <w:jc w:val="center"/>
              <w:rPr>
                <w:rFonts w:ascii="宋体" w:hAnsi="宋体"/>
                <w:color w:val="auto"/>
              </w:rPr>
            </w:pPr>
            <w:r>
              <w:rPr>
                <w:rFonts w:hint="eastAsia" w:ascii="宋体" w:hAnsi="宋体"/>
                <w:color w:val="auto"/>
              </w:rPr>
              <w:t xml:space="preserve">10 </w:t>
            </w:r>
            <w:r>
              <w:rPr>
                <w:rFonts w:ascii="宋体" w:hAnsi="宋体"/>
                <w:color w:val="auto"/>
              </w:rPr>
              <w:t>mg/L</w:t>
            </w:r>
          </w:p>
        </w:tc>
      </w:tr>
      <w:tr w14:paraId="2D333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DE4662B">
            <w:pPr>
              <w:pStyle w:val="76"/>
              <w:rPr>
                <w:rFonts w:hAnsi="宋体"/>
                <w:color w:val="auto"/>
              </w:rPr>
            </w:pPr>
          </w:p>
        </w:tc>
        <w:tc>
          <w:tcPr>
            <w:tcW w:w="1018" w:type="pct"/>
            <w:shd w:val="clear" w:color="auto" w:fill="auto"/>
            <w:vAlign w:val="center"/>
          </w:tcPr>
          <w:p w14:paraId="64908D06">
            <w:pPr>
              <w:adjustRightInd w:val="0"/>
              <w:snapToGrid w:val="0"/>
              <w:jc w:val="center"/>
              <w:rPr>
                <w:rFonts w:ascii="宋体" w:hAnsi="宋体"/>
                <w:color w:val="auto"/>
              </w:rPr>
            </w:pPr>
            <w:r>
              <w:rPr>
                <w:rFonts w:ascii="宋体" w:hAnsi="宋体"/>
                <w:color w:val="auto"/>
              </w:rPr>
              <w:t>铁</w:t>
            </w:r>
          </w:p>
        </w:tc>
        <w:tc>
          <w:tcPr>
            <w:tcW w:w="1985" w:type="pct"/>
            <w:shd w:val="clear" w:color="auto" w:fill="auto"/>
            <w:vAlign w:val="center"/>
          </w:tcPr>
          <w:p w14:paraId="526D6974">
            <w:pPr>
              <w:adjustRightInd w:val="0"/>
              <w:snapToGrid w:val="0"/>
              <w:jc w:val="center"/>
              <w:rPr>
                <w:rFonts w:ascii="宋体" w:hAnsi="宋体"/>
                <w:color w:val="auto"/>
              </w:rPr>
            </w:pPr>
            <w:r>
              <w:rPr>
                <w:rFonts w:ascii="宋体" w:hAnsi="宋体"/>
                <w:color w:val="auto"/>
              </w:rPr>
              <w:t>水质 铁、锰的测定 火焰原子吸收分光光度法</w:t>
            </w:r>
          </w:p>
        </w:tc>
        <w:tc>
          <w:tcPr>
            <w:tcW w:w="985" w:type="pct"/>
            <w:shd w:val="clear" w:color="auto" w:fill="auto"/>
            <w:vAlign w:val="center"/>
          </w:tcPr>
          <w:p w14:paraId="2420B720">
            <w:pPr>
              <w:adjustRightInd w:val="0"/>
              <w:snapToGrid w:val="0"/>
              <w:jc w:val="center"/>
              <w:rPr>
                <w:rFonts w:ascii="宋体" w:hAnsi="宋体"/>
                <w:color w:val="auto"/>
              </w:rPr>
            </w:pPr>
            <w:r>
              <w:rPr>
                <w:rFonts w:ascii="宋体" w:hAnsi="宋体"/>
                <w:color w:val="auto"/>
              </w:rPr>
              <w:t>GB/T 11911-1989</w:t>
            </w:r>
          </w:p>
        </w:tc>
        <w:tc>
          <w:tcPr>
            <w:tcW w:w="750" w:type="pct"/>
            <w:shd w:val="clear" w:color="auto" w:fill="auto"/>
            <w:vAlign w:val="center"/>
          </w:tcPr>
          <w:p w14:paraId="532008B7">
            <w:pPr>
              <w:adjustRightInd w:val="0"/>
              <w:snapToGrid w:val="0"/>
              <w:jc w:val="center"/>
              <w:rPr>
                <w:rFonts w:ascii="宋体" w:hAnsi="宋体"/>
                <w:color w:val="auto"/>
              </w:rPr>
            </w:pPr>
            <w:r>
              <w:rPr>
                <w:rFonts w:ascii="宋体" w:hAnsi="宋体"/>
                <w:color w:val="auto"/>
              </w:rPr>
              <w:t>0.03mg/L</w:t>
            </w:r>
          </w:p>
        </w:tc>
      </w:tr>
      <w:tr w14:paraId="385DB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B4B2916">
            <w:pPr>
              <w:pStyle w:val="76"/>
              <w:rPr>
                <w:rFonts w:hAnsi="宋体"/>
                <w:color w:val="auto"/>
              </w:rPr>
            </w:pPr>
          </w:p>
        </w:tc>
        <w:tc>
          <w:tcPr>
            <w:tcW w:w="1018" w:type="pct"/>
            <w:shd w:val="clear" w:color="auto" w:fill="auto"/>
            <w:vAlign w:val="center"/>
          </w:tcPr>
          <w:p w14:paraId="56A42259">
            <w:pPr>
              <w:adjustRightInd w:val="0"/>
              <w:snapToGrid w:val="0"/>
              <w:jc w:val="center"/>
              <w:rPr>
                <w:rFonts w:ascii="宋体" w:hAnsi="宋体"/>
                <w:color w:val="auto"/>
              </w:rPr>
            </w:pPr>
            <w:r>
              <w:rPr>
                <w:rFonts w:ascii="宋体" w:hAnsi="宋体"/>
                <w:color w:val="auto"/>
              </w:rPr>
              <w:t>锰</w:t>
            </w:r>
          </w:p>
        </w:tc>
        <w:tc>
          <w:tcPr>
            <w:tcW w:w="1985" w:type="pct"/>
            <w:shd w:val="clear" w:color="auto" w:fill="auto"/>
            <w:vAlign w:val="center"/>
          </w:tcPr>
          <w:p w14:paraId="400F49E9">
            <w:pPr>
              <w:adjustRightInd w:val="0"/>
              <w:snapToGrid w:val="0"/>
              <w:jc w:val="center"/>
              <w:rPr>
                <w:rFonts w:ascii="宋体" w:hAnsi="宋体"/>
                <w:color w:val="auto"/>
              </w:rPr>
            </w:pPr>
            <w:r>
              <w:rPr>
                <w:rFonts w:ascii="宋体" w:hAnsi="宋体"/>
                <w:color w:val="auto"/>
              </w:rPr>
              <w:t>水质 铁、锰的测定 火焰原子吸收分光光度法</w:t>
            </w:r>
          </w:p>
        </w:tc>
        <w:tc>
          <w:tcPr>
            <w:tcW w:w="985" w:type="pct"/>
            <w:shd w:val="clear" w:color="auto" w:fill="auto"/>
            <w:vAlign w:val="center"/>
          </w:tcPr>
          <w:p w14:paraId="3E08476C">
            <w:pPr>
              <w:adjustRightInd w:val="0"/>
              <w:snapToGrid w:val="0"/>
              <w:jc w:val="center"/>
              <w:rPr>
                <w:rFonts w:ascii="宋体" w:hAnsi="宋体"/>
                <w:color w:val="auto"/>
              </w:rPr>
            </w:pPr>
            <w:r>
              <w:rPr>
                <w:rFonts w:ascii="宋体" w:hAnsi="宋体"/>
                <w:color w:val="auto"/>
              </w:rPr>
              <w:t>GB/T 11911-1989</w:t>
            </w:r>
          </w:p>
        </w:tc>
        <w:tc>
          <w:tcPr>
            <w:tcW w:w="750" w:type="pct"/>
            <w:shd w:val="clear" w:color="auto" w:fill="auto"/>
            <w:vAlign w:val="center"/>
          </w:tcPr>
          <w:p w14:paraId="73B2835A">
            <w:pPr>
              <w:adjustRightInd w:val="0"/>
              <w:snapToGrid w:val="0"/>
              <w:jc w:val="center"/>
              <w:rPr>
                <w:rFonts w:ascii="宋体" w:hAnsi="宋体"/>
                <w:color w:val="auto"/>
              </w:rPr>
            </w:pPr>
            <w:r>
              <w:rPr>
                <w:rFonts w:ascii="宋体" w:hAnsi="宋体"/>
                <w:color w:val="auto"/>
              </w:rPr>
              <w:t>0.01mg/L</w:t>
            </w:r>
          </w:p>
        </w:tc>
      </w:tr>
      <w:tr w14:paraId="0CC20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E56D8DC">
            <w:pPr>
              <w:pStyle w:val="76"/>
              <w:rPr>
                <w:rFonts w:hAnsi="宋体"/>
                <w:color w:val="auto"/>
              </w:rPr>
            </w:pPr>
          </w:p>
        </w:tc>
        <w:tc>
          <w:tcPr>
            <w:tcW w:w="1018" w:type="pct"/>
            <w:shd w:val="clear" w:color="auto" w:fill="auto"/>
            <w:vAlign w:val="center"/>
          </w:tcPr>
          <w:p w14:paraId="3719D48D">
            <w:pPr>
              <w:jc w:val="center"/>
              <w:rPr>
                <w:rFonts w:ascii="宋体" w:hAnsi="宋体"/>
                <w:color w:val="auto"/>
              </w:rPr>
            </w:pPr>
            <w:r>
              <w:rPr>
                <w:rFonts w:hint="eastAsia" w:ascii="宋体" w:hAnsi="宋体"/>
                <w:color w:val="auto"/>
              </w:rPr>
              <w:t>铜</w:t>
            </w:r>
          </w:p>
        </w:tc>
        <w:tc>
          <w:tcPr>
            <w:tcW w:w="1985" w:type="pct"/>
            <w:shd w:val="clear" w:color="auto" w:fill="auto"/>
            <w:vAlign w:val="center"/>
          </w:tcPr>
          <w:p w14:paraId="2E7DFF32">
            <w:pPr>
              <w:adjustRightInd w:val="0"/>
              <w:snapToGrid w:val="0"/>
              <w:jc w:val="center"/>
              <w:rPr>
                <w:rFonts w:ascii="宋体" w:hAnsi="宋体"/>
                <w:color w:val="auto"/>
              </w:rPr>
            </w:pPr>
            <w:r>
              <w:rPr>
                <w:rFonts w:ascii="宋体" w:hAnsi="宋体"/>
                <w:color w:val="auto"/>
              </w:rPr>
              <w:t>水质 铜、锌、铅、镉的测定 原子吸收分光光度法</w:t>
            </w:r>
          </w:p>
        </w:tc>
        <w:tc>
          <w:tcPr>
            <w:tcW w:w="985" w:type="pct"/>
            <w:shd w:val="clear" w:color="auto" w:fill="auto"/>
            <w:vAlign w:val="center"/>
          </w:tcPr>
          <w:p w14:paraId="0C31B9F1">
            <w:pPr>
              <w:adjustRightInd w:val="0"/>
              <w:snapToGrid w:val="0"/>
              <w:jc w:val="center"/>
              <w:rPr>
                <w:rFonts w:ascii="宋体" w:hAnsi="宋体"/>
                <w:color w:val="auto"/>
              </w:rPr>
            </w:pPr>
            <w:r>
              <w:rPr>
                <w:rFonts w:ascii="宋体" w:hAnsi="宋体"/>
                <w:color w:val="auto"/>
              </w:rPr>
              <w:t>GB/T 7475-1987</w:t>
            </w:r>
          </w:p>
        </w:tc>
        <w:tc>
          <w:tcPr>
            <w:tcW w:w="750" w:type="pct"/>
            <w:shd w:val="clear" w:color="auto" w:fill="auto"/>
            <w:vAlign w:val="center"/>
          </w:tcPr>
          <w:p w14:paraId="02D5515E">
            <w:pPr>
              <w:jc w:val="center"/>
              <w:rPr>
                <w:rFonts w:ascii="宋体" w:hAnsi="宋体"/>
                <w:color w:val="auto"/>
              </w:rPr>
            </w:pPr>
            <w:r>
              <w:rPr>
                <w:rFonts w:ascii="宋体" w:hAnsi="宋体"/>
                <w:color w:val="auto"/>
              </w:rPr>
              <w:t>0.0</w:t>
            </w:r>
            <w:r>
              <w:rPr>
                <w:rFonts w:hint="eastAsia" w:ascii="宋体" w:hAnsi="宋体"/>
                <w:color w:val="auto"/>
              </w:rPr>
              <w:t>5</w:t>
            </w:r>
            <w:r>
              <w:rPr>
                <w:rFonts w:ascii="宋体" w:hAnsi="宋体"/>
                <w:color w:val="auto"/>
              </w:rPr>
              <w:t>mg/L</w:t>
            </w:r>
          </w:p>
        </w:tc>
      </w:tr>
      <w:tr w14:paraId="2AD3E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DDB0BF0">
            <w:pPr>
              <w:pStyle w:val="76"/>
              <w:rPr>
                <w:rFonts w:hAnsi="宋体"/>
                <w:color w:val="auto"/>
              </w:rPr>
            </w:pPr>
          </w:p>
        </w:tc>
        <w:tc>
          <w:tcPr>
            <w:tcW w:w="1018" w:type="pct"/>
            <w:shd w:val="clear" w:color="auto" w:fill="auto"/>
            <w:vAlign w:val="center"/>
          </w:tcPr>
          <w:p w14:paraId="2793114B">
            <w:pPr>
              <w:jc w:val="center"/>
              <w:rPr>
                <w:rFonts w:ascii="宋体" w:hAnsi="宋体"/>
                <w:color w:val="auto"/>
              </w:rPr>
            </w:pPr>
            <w:r>
              <w:rPr>
                <w:rFonts w:hint="eastAsia" w:ascii="宋体" w:hAnsi="宋体"/>
                <w:color w:val="auto"/>
              </w:rPr>
              <w:t>锌</w:t>
            </w:r>
          </w:p>
        </w:tc>
        <w:tc>
          <w:tcPr>
            <w:tcW w:w="1985" w:type="pct"/>
            <w:shd w:val="clear" w:color="auto" w:fill="auto"/>
            <w:vAlign w:val="center"/>
          </w:tcPr>
          <w:p w14:paraId="6473AACA">
            <w:pPr>
              <w:adjustRightInd w:val="0"/>
              <w:snapToGrid w:val="0"/>
              <w:jc w:val="center"/>
              <w:rPr>
                <w:rFonts w:ascii="宋体" w:hAnsi="宋体"/>
                <w:color w:val="auto"/>
              </w:rPr>
            </w:pPr>
            <w:r>
              <w:rPr>
                <w:rFonts w:ascii="宋体" w:hAnsi="宋体"/>
                <w:color w:val="auto"/>
              </w:rPr>
              <w:t>水质 铜、锌、铅、镉的测定 原子吸收分光光度法</w:t>
            </w:r>
          </w:p>
        </w:tc>
        <w:tc>
          <w:tcPr>
            <w:tcW w:w="985" w:type="pct"/>
            <w:shd w:val="clear" w:color="auto" w:fill="auto"/>
            <w:vAlign w:val="center"/>
          </w:tcPr>
          <w:p w14:paraId="2AB85F74">
            <w:pPr>
              <w:adjustRightInd w:val="0"/>
              <w:snapToGrid w:val="0"/>
              <w:jc w:val="center"/>
              <w:rPr>
                <w:rFonts w:ascii="宋体" w:hAnsi="宋体"/>
                <w:color w:val="auto"/>
              </w:rPr>
            </w:pPr>
            <w:r>
              <w:rPr>
                <w:rFonts w:ascii="宋体" w:hAnsi="宋体"/>
                <w:color w:val="auto"/>
              </w:rPr>
              <w:t>GB/T 7475-1987</w:t>
            </w:r>
          </w:p>
        </w:tc>
        <w:tc>
          <w:tcPr>
            <w:tcW w:w="750" w:type="pct"/>
            <w:shd w:val="clear" w:color="auto" w:fill="auto"/>
            <w:vAlign w:val="center"/>
          </w:tcPr>
          <w:p w14:paraId="456512C4">
            <w:pPr>
              <w:jc w:val="center"/>
              <w:rPr>
                <w:rFonts w:ascii="宋体" w:hAnsi="宋体"/>
                <w:color w:val="auto"/>
              </w:rPr>
            </w:pPr>
            <w:r>
              <w:rPr>
                <w:rFonts w:ascii="宋体" w:hAnsi="宋体"/>
                <w:color w:val="auto"/>
              </w:rPr>
              <w:t>0.0</w:t>
            </w:r>
            <w:r>
              <w:rPr>
                <w:rFonts w:hint="eastAsia" w:ascii="宋体" w:hAnsi="宋体"/>
                <w:color w:val="auto"/>
              </w:rPr>
              <w:t>5</w:t>
            </w:r>
            <w:r>
              <w:rPr>
                <w:rFonts w:ascii="宋体" w:hAnsi="宋体"/>
                <w:color w:val="auto"/>
              </w:rPr>
              <w:t>mg/L</w:t>
            </w:r>
          </w:p>
        </w:tc>
      </w:tr>
      <w:tr w14:paraId="1650F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B273CF7">
            <w:pPr>
              <w:pStyle w:val="76"/>
              <w:rPr>
                <w:rFonts w:hAnsi="宋体"/>
                <w:color w:val="auto"/>
              </w:rPr>
            </w:pPr>
          </w:p>
        </w:tc>
        <w:tc>
          <w:tcPr>
            <w:tcW w:w="1018" w:type="pct"/>
            <w:shd w:val="clear" w:color="auto" w:fill="auto"/>
            <w:vAlign w:val="center"/>
          </w:tcPr>
          <w:p w14:paraId="70B4CFA9">
            <w:pPr>
              <w:jc w:val="center"/>
              <w:rPr>
                <w:rFonts w:ascii="宋体" w:hAnsi="宋体"/>
                <w:color w:val="auto"/>
              </w:rPr>
            </w:pPr>
            <w:r>
              <w:rPr>
                <w:rFonts w:ascii="宋体" w:hAnsi="宋体"/>
                <w:color w:val="auto"/>
              </w:rPr>
              <w:t>挥发酚</w:t>
            </w:r>
          </w:p>
        </w:tc>
        <w:tc>
          <w:tcPr>
            <w:tcW w:w="1985" w:type="pct"/>
            <w:shd w:val="clear" w:color="auto" w:fill="auto"/>
            <w:vAlign w:val="center"/>
          </w:tcPr>
          <w:p w14:paraId="519244E2">
            <w:pPr>
              <w:adjustRightInd w:val="0"/>
              <w:snapToGrid w:val="0"/>
              <w:jc w:val="center"/>
              <w:rPr>
                <w:rFonts w:ascii="宋体" w:hAnsi="宋体"/>
                <w:color w:val="auto"/>
              </w:rPr>
            </w:pPr>
            <w:r>
              <w:rPr>
                <w:rFonts w:ascii="宋体" w:hAnsi="宋体"/>
                <w:color w:val="auto"/>
              </w:rPr>
              <w:t>水质 挥发酚的测定 4-氨基安替比林分光光度法</w:t>
            </w:r>
          </w:p>
        </w:tc>
        <w:tc>
          <w:tcPr>
            <w:tcW w:w="985" w:type="pct"/>
            <w:shd w:val="clear" w:color="auto" w:fill="auto"/>
            <w:vAlign w:val="center"/>
          </w:tcPr>
          <w:p w14:paraId="0D3C3B85">
            <w:pPr>
              <w:adjustRightInd w:val="0"/>
              <w:snapToGrid w:val="0"/>
              <w:jc w:val="center"/>
              <w:rPr>
                <w:rFonts w:ascii="宋体" w:hAnsi="宋体"/>
                <w:color w:val="auto"/>
              </w:rPr>
            </w:pPr>
            <w:r>
              <w:rPr>
                <w:rFonts w:ascii="宋体" w:hAnsi="宋体"/>
                <w:color w:val="auto"/>
              </w:rPr>
              <w:t>HJ 503-2009</w:t>
            </w:r>
          </w:p>
        </w:tc>
        <w:tc>
          <w:tcPr>
            <w:tcW w:w="750" w:type="pct"/>
            <w:shd w:val="clear" w:color="auto" w:fill="auto"/>
            <w:vAlign w:val="center"/>
          </w:tcPr>
          <w:p w14:paraId="34811EBA">
            <w:pPr>
              <w:jc w:val="center"/>
              <w:rPr>
                <w:rFonts w:ascii="宋体" w:hAnsi="宋体"/>
                <w:color w:val="auto"/>
              </w:rPr>
            </w:pPr>
            <w:r>
              <w:rPr>
                <w:rFonts w:ascii="宋体" w:hAnsi="宋体"/>
                <w:color w:val="auto"/>
              </w:rPr>
              <w:t>0.0003mg/L</w:t>
            </w:r>
          </w:p>
        </w:tc>
      </w:tr>
      <w:tr w14:paraId="164FC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B6C8DAD">
            <w:pPr>
              <w:pStyle w:val="76"/>
              <w:rPr>
                <w:rFonts w:hAnsi="宋体"/>
                <w:color w:val="auto"/>
              </w:rPr>
            </w:pPr>
          </w:p>
        </w:tc>
        <w:tc>
          <w:tcPr>
            <w:tcW w:w="1018" w:type="pct"/>
            <w:shd w:val="clear" w:color="auto" w:fill="auto"/>
            <w:vAlign w:val="center"/>
          </w:tcPr>
          <w:p w14:paraId="3996BCD0">
            <w:pPr>
              <w:jc w:val="center"/>
              <w:rPr>
                <w:rFonts w:ascii="宋体" w:hAnsi="宋体"/>
                <w:color w:val="auto"/>
              </w:rPr>
            </w:pPr>
            <w:r>
              <w:rPr>
                <w:rFonts w:hint="eastAsia" w:ascii="宋体" w:hAnsi="宋体"/>
                <w:color w:val="auto"/>
              </w:rPr>
              <w:t>阴离子表面活性剂</w:t>
            </w:r>
          </w:p>
        </w:tc>
        <w:tc>
          <w:tcPr>
            <w:tcW w:w="1985" w:type="pct"/>
            <w:shd w:val="clear" w:color="auto" w:fill="auto"/>
            <w:vAlign w:val="center"/>
          </w:tcPr>
          <w:p w14:paraId="736E8E55">
            <w:pPr>
              <w:jc w:val="center"/>
              <w:rPr>
                <w:rFonts w:ascii="宋体" w:hAnsi="宋体"/>
                <w:color w:val="auto"/>
              </w:rPr>
            </w:pPr>
            <w:r>
              <w:rPr>
                <w:rFonts w:ascii="宋体" w:hAnsi="宋体"/>
                <w:color w:val="auto"/>
              </w:rPr>
              <w:t>水质 阴离子表面活性剂的测定 亚甲蓝分光光度法</w:t>
            </w:r>
          </w:p>
        </w:tc>
        <w:tc>
          <w:tcPr>
            <w:tcW w:w="985" w:type="pct"/>
            <w:shd w:val="clear" w:color="auto" w:fill="auto"/>
            <w:vAlign w:val="center"/>
          </w:tcPr>
          <w:p w14:paraId="0520E33D">
            <w:pPr>
              <w:jc w:val="center"/>
              <w:rPr>
                <w:rFonts w:ascii="宋体" w:hAnsi="宋体"/>
                <w:color w:val="auto"/>
              </w:rPr>
            </w:pPr>
            <w:r>
              <w:rPr>
                <w:rFonts w:ascii="宋体" w:hAnsi="宋体"/>
                <w:color w:val="auto"/>
              </w:rPr>
              <w:t>GB/T 7494-1987</w:t>
            </w:r>
          </w:p>
        </w:tc>
        <w:tc>
          <w:tcPr>
            <w:tcW w:w="750" w:type="pct"/>
            <w:shd w:val="clear" w:color="auto" w:fill="auto"/>
            <w:vAlign w:val="center"/>
          </w:tcPr>
          <w:p w14:paraId="3DB418ED">
            <w:pPr>
              <w:adjustRightInd w:val="0"/>
              <w:snapToGrid w:val="0"/>
              <w:jc w:val="center"/>
              <w:rPr>
                <w:rFonts w:ascii="宋体" w:hAnsi="宋体"/>
                <w:color w:val="auto"/>
              </w:rPr>
            </w:pPr>
            <w:r>
              <w:rPr>
                <w:rFonts w:ascii="宋体" w:hAnsi="宋体"/>
                <w:color w:val="auto"/>
              </w:rPr>
              <w:t>0.</w:t>
            </w:r>
            <w:r>
              <w:rPr>
                <w:rFonts w:hint="eastAsia" w:ascii="宋体" w:hAnsi="宋体"/>
                <w:color w:val="auto"/>
              </w:rPr>
              <w:t>0</w:t>
            </w:r>
            <w:r>
              <w:rPr>
                <w:rFonts w:ascii="宋体" w:hAnsi="宋体"/>
                <w:color w:val="auto"/>
              </w:rPr>
              <w:t>5mg/L</w:t>
            </w:r>
          </w:p>
        </w:tc>
      </w:tr>
      <w:tr w14:paraId="5F825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769A64E">
            <w:pPr>
              <w:pStyle w:val="76"/>
              <w:rPr>
                <w:rFonts w:hAnsi="宋体"/>
                <w:color w:val="auto"/>
              </w:rPr>
            </w:pPr>
          </w:p>
        </w:tc>
        <w:tc>
          <w:tcPr>
            <w:tcW w:w="1018" w:type="pct"/>
            <w:shd w:val="clear" w:color="auto" w:fill="auto"/>
            <w:vAlign w:val="center"/>
          </w:tcPr>
          <w:p w14:paraId="089CE05A">
            <w:pPr>
              <w:jc w:val="center"/>
              <w:rPr>
                <w:rFonts w:ascii="宋体" w:hAnsi="宋体"/>
                <w:color w:val="auto"/>
              </w:rPr>
            </w:pPr>
            <w:r>
              <w:rPr>
                <w:rFonts w:hint="eastAsia" w:ascii="宋体" w:hAnsi="宋体"/>
                <w:color w:val="auto"/>
              </w:rPr>
              <w:t>耗氧量</w:t>
            </w:r>
          </w:p>
        </w:tc>
        <w:tc>
          <w:tcPr>
            <w:tcW w:w="1985" w:type="pct"/>
            <w:shd w:val="clear" w:color="auto" w:fill="auto"/>
            <w:vAlign w:val="center"/>
          </w:tcPr>
          <w:p w14:paraId="6557D5BB">
            <w:pPr>
              <w:jc w:val="center"/>
              <w:rPr>
                <w:rFonts w:ascii="宋体" w:hAnsi="宋体"/>
                <w:color w:val="auto"/>
              </w:rPr>
            </w:pPr>
            <w:r>
              <w:rPr>
                <w:rFonts w:ascii="宋体" w:hAnsi="宋体"/>
                <w:color w:val="auto"/>
              </w:rPr>
              <w:t>生活饮用水标准检验方法 第7部分：有机物综合指标(4.1 酸性高锰酸钾滴定法；4.2 碱性高锰酸钾滴定法)</w:t>
            </w:r>
          </w:p>
        </w:tc>
        <w:tc>
          <w:tcPr>
            <w:tcW w:w="985" w:type="pct"/>
            <w:shd w:val="clear" w:color="auto" w:fill="auto"/>
            <w:vAlign w:val="center"/>
          </w:tcPr>
          <w:p w14:paraId="5DD082FF">
            <w:pPr>
              <w:jc w:val="center"/>
              <w:rPr>
                <w:rFonts w:ascii="宋体" w:hAnsi="宋体"/>
                <w:color w:val="auto"/>
              </w:rPr>
            </w:pPr>
            <w:r>
              <w:rPr>
                <w:rFonts w:ascii="宋体" w:hAnsi="宋体"/>
                <w:color w:val="auto"/>
              </w:rPr>
              <w:t>GB/T 5750.7-2023</w:t>
            </w:r>
          </w:p>
        </w:tc>
        <w:tc>
          <w:tcPr>
            <w:tcW w:w="750" w:type="pct"/>
            <w:shd w:val="clear" w:color="auto" w:fill="auto"/>
            <w:vAlign w:val="center"/>
          </w:tcPr>
          <w:p w14:paraId="44396865">
            <w:pPr>
              <w:adjustRightInd w:val="0"/>
              <w:snapToGrid w:val="0"/>
              <w:jc w:val="center"/>
              <w:rPr>
                <w:rFonts w:ascii="宋体" w:hAnsi="宋体"/>
                <w:color w:val="auto"/>
              </w:rPr>
            </w:pPr>
            <w:r>
              <w:rPr>
                <w:rFonts w:ascii="宋体" w:hAnsi="宋体"/>
                <w:color w:val="auto"/>
              </w:rPr>
              <w:t>0.</w:t>
            </w:r>
            <w:r>
              <w:rPr>
                <w:rFonts w:hint="eastAsia" w:ascii="宋体" w:hAnsi="宋体"/>
                <w:color w:val="auto"/>
              </w:rPr>
              <w:t>0</w:t>
            </w:r>
            <w:r>
              <w:rPr>
                <w:rFonts w:ascii="宋体" w:hAnsi="宋体"/>
                <w:color w:val="auto"/>
              </w:rPr>
              <w:t>5mg/L</w:t>
            </w:r>
          </w:p>
        </w:tc>
      </w:tr>
      <w:tr w14:paraId="04FF8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9018A2A">
            <w:pPr>
              <w:pStyle w:val="76"/>
              <w:rPr>
                <w:rFonts w:hAnsi="宋体"/>
                <w:color w:val="auto"/>
              </w:rPr>
            </w:pPr>
          </w:p>
        </w:tc>
        <w:tc>
          <w:tcPr>
            <w:tcW w:w="1018" w:type="pct"/>
            <w:shd w:val="clear" w:color="auto" w:fill="auto"/>
            <w:vAlign w:val="center"/>
          </w:tcPr>
          <w:p w14:paraId="3F9C5613">
            <w:pPr>
              <w:jc w:val="center"/>
              <w:rPr>
                <w:rFonts w:ascii="宋体" w:hAnsi="宋体"/>
                <w:color w:val="auto"/>
              </w:rPr>
            </w:pPr>
            <w:r>
              <w:rPr>
                <w:rFonts w:ascii="宋体" w:hAnsi="宋体"/>
                <w:color w:val="auto"/>
              </w:rPr>
              <w:t>氨氮</w:t>
            </w:r>
          </w:p>
        </w:tc>
        <w:tc>
          <w:tcPr>
            <w:tcW w:w="1985" w:type="pct"/>
            <w:shd w:val="clear" w:color="auto" w:fill="auto"/>
            <w:vAlign w:val="center"/>
          </w:tcPr>
          <w:p w14:paraId="7BB7B573">
            <w:pPr>
              <w:jc w:val="center"/>
              <w:rPr>
                <w:rFonts w:ascii="宋体" w:hAnsi="宋体"/>
                <w:color w:val="auto"/>
              </w:rPr>
            </w:pPr>
            <w:r>
              <w:rPr>
                <w:rFonts w:ascii="宋体" w:hAnsi="宋体"/>
                <w:color w:val="auto"/>
              </w:rPr>
              <w:t>水质 氨氮的测定 纳氏试剂分光光度法</w:t>
            </w:r>
          </w:p>
        </w:tc>
        <w:tc>
          <w:tcPr>
            <w:tcW w:w="985" w:type="pct"/>
            <w:shd w:val="clear" w:color="auto" w:fill="auto"/>
            <w:vAlign w:val="center"/>
          </w:tcPr>
          <w:p w14:paraId="050C60AA">
            <w:pPr>
              <w:jc w:val="center"/>
              <w:rPr>
                <w:rFonts w:ascii="宋体" w:hAnsi="宋体"/>
                <w:color w:val="auto"/>
              </w:rPr>
            </w:pPr>
            <w:r>
              <w:rPr>
                <w:rFonts w:ascii="宋体" w:hAnsi="宋体"/>
                <w:color w:val="auto"/>
              </w:rPr>
              <w:t>HJ 535-2009</w:t>
            </w:r>
          </w:p>
        </w:tc>
        <w:tc>
          <w:tcPr>
            <w:tcW w:w="750" w:type="pct"/>
            <w:shd w:val="clear" w:color="auto" w:fill="auto"/>
            <w:vAlign w:val="center"/>
          </w:tcPr>
          <w:p w14:paraId="6D64C6B6">
            <w:pPr>
              <w:adjustRightInd w:val="0"/>
              <w:snapToGrid w:val="0"/>
              <w:jc w:val="center"/>
              <w:rPr>
                <w:rFonts w:ascii="宋体" w:hAnsi="宋体"/>
                <w:color w:val="auto"/>
              </w:rPr>
            </w:pPr>
            <w:r>
              <w:rPr>
                <w:rFonts w:ascii="宋体" w:hAnsi="宋体"/>
                <w:color w:val="auto"/>
              </w:rPr>
              <w:t>0.025mg/L</w:t>
            </w:r>
          </w:p>
        </w:tc>
      </w:tr>
      <w:tr w14:paraId="51146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3BB19BF">
            <w:pPr>
              <w:pStyle w:val="76"/>
              <w:rPr>
                <w:rFonts w:hAnsi="宋体"/>
                <w:color w:val="auto"/>
              </w:rPr>
            </w:pPr>
          </w:p>
        </w:tc>
        <w:tc>
          <w:tcPr>
            <w:tcW w:w="1018" w:type="pct"/>
            <w:shd w:val="clear" w:color="auto" w:fill="auto"/>
            <w:vAlign w:val="center"/>
          </w:tcPr>
          <w:p w14:paraId="6869C5FB">
            <w:pPr>
              <w:jc w:val="center"/>
              <w:rPr>
                <w:rFonts w:ascii="宋体" w:hAnsi="宋体"/>
                <w:color w:val="auto"/>
              </w:rPr>
            </w:pPr>
            <w:r>
              <w:rPr>
                <w:rFonts w:ascii="宋体" w:hAnsi="宋体"/>
                <w:color w:val="auto"/>
              </w:rPr>
              <w:t>硫化物</w:t>
            </w:r>
          </w:p>
        </w:tc>
        <w:tc>
          <w:tcPr>
            <w:tcW w:w="1985" w:type="pct"/>
            <w:shd w:val="clear" w:color="auto" w:fill="auto"/>
            <w:vAlign w:val="center"/>
          </w:tcPr>
          <w:p w14:paraId="6DC1D8A2">
            <w:pPr>
              <w:jc w:val="center"/>
              <w:rPr>
                <w:rFonts w:ascii="宋体" w:hAnsi="宋体"/>
                <w:color w:val="auto"/>
              </w:rPr>
            </w:pPr>
            <w:r>
              <w:rPr>
                <w:rFonts w:ascii="宋体" w:hAnsi="宋体"/>
                <w:color w:val="auto"/>
              </w:rPr>
              <w:t>水质 硫化物的测定 亚甲基蓝分光光度法</w:t>
            </w:r>
          </w:p>
        </w:tc>
        <w:tc>
          <w:tcPr>
            <w:tcW w:w="985" w:type="pct"/>
            <w:shd w:val="clear" w:color="auto" w:fill="auto"/>
            <w:vAlign w:val="center"/>
          </w:tcPr>
          <w:p w14:paraId="0F5F983F">
            <w:pPr>
              <w:jc w:val="center"/>
              <w:rPr>
                <w:rFonts w:ascii="宋体" w:hAnsi="宋体"/>
                <w:color w:val="auto"/>
              </w:rPr>
            </w:pPr>
            <w:r>
              <w:rPr>
                <w:rFonts w:ascii="宋体" w:hAnsi="宋体"/>
                <w:color w:val="auto"/>
              </w:rPr>
              <w:t>HJ1226-2021</w:t>
            </w:r>
          </w:p>
        </w:tc>
        <w:tc>
          <w:tcPr>
            <w:tcW w:w="750" w:type="pct"/>
            <w:shd w:val="clear" w:color="auto" w:fill="auto"/>
            <w:vAlign w:val="center"/>
          </w:tcPr>
          <w:p w14:paraId="5E64643A">
            <w:pPr>
              <w:adjustRightInd w:val="0"/>
              <w:snapToGrid w:val="0"/>
              <w:jc w:val="center"/>
              <w:rPr>
                <w:rFonts w:ascii="宋体" w:hAnsi="宋体"/>
                <w:color w:val="auto"/>
              </w:rPr>
            </w:pPr>
            <w:r>
              <w:rPr>
                <w:rFonts w:ascii="宋体" w:hAnsi="宋体"/>
                <w:color w:val="auto"/>
              </w:rPr>
              <w:t>0.003mg/L</w:t>
            </w:r>
          </w:p>
        </w:tc>
      </w:tr>
      <w:tr w14:paraId="0D207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7A48E2D">
            <w:pPr>
              <w:pStyle w:val="76"/>
              <w:rPr>
                <w:rFonts w:hAnsi="宋体"/>
                <w:color w:val="auto"/>
              </w:rPr>
            </w:pPr>
          </w:p>
        </w:tc>
        <w:tc>
          <w:tcPr>
            <w:tcW w:w="1018" w:type="pct"/>
            <w:shd w:val="clear" w:color="auto" w:fill="auto"/>
            <w:vAlign w:val="center"/>
          </w:tcPr>
          <w:p w14:paraId="53E3126D">
            <w:pPr>
              <w:jc w:val="center"/>
              <w:rPr>
                <w:rFonts w:ascii="宋体" w:hAnsi="宋体"/>
                <w:color w:val="auto"/>
              </w:rPr>
            </w:pPr>
            <w:r>
              <w:rPr>
                <w:rFonts w:hint="eastAsia" w:ascii="宋体" w:hAnsi="宋体"/>
                <w:color w:val="auto"/>
              </w:rPr>
              <w:t>钠</w:t>
            </w:r>
          </w:p>
        </w:tc>
        <w:tc>
          <w:tcPr>
            <w:tcW w:w="1985" w:type="pct"/>
            <w:shd w:val="clear" w:color="auto" w:fill="auto"/>
            <w:vAlign w:val="center"/>
          </w:tcPr>
          <w:p w14:paraId="68A8AA2F">
            <w:pPr>
              <w:adjustRightInd w:val="0"/>
              <w:snapToGrid w:val="0"/>
              <w:jc w:val="center"/>
              <w:rPr>
                <w:rFonts w:ascii="宋体" w:hAnsi="宋体"/>
                <w:color w:val="auto"/>
              </w:rPr>
            </w:pPr>
            <w:r>
              <w:rPr>
                <w:rFonts w:hint="eastAsia" w:ascii="宋体" w:hAnsi="宋体"/>
                <w:color w:val="auto"/>
              </w:rPr>
              <w:t>水质 钾和钠的测定 火焰原子吸收分光光度法</w:t>
            </w:r>
          </w:p>
        </w:tc>
        <w:tc>
          <w:tcPr>
            <w:tcW w:w="985" w:type="pct"/>
            <w:shd w:val="clear" w:color="auto" w:fill="auto"/>
            <w:vAlign w:val="center"/>
          </w:tcPr>
          <w:p w14:paraId="79FF7A7F">
            <w:pPr>
              <w:adjustRightInd w:val="0"/>
              <w:snapToGrid w:val="0"/>
              <w:jc w:val="center"/>
              <w:rPr>
                <w:rFonts w:ascii="宋体" w:hAnsi="宋体"/>
                <w:color w:val="auto"/>
              </w:rPr>
            </w:pPr>
            <w:r>
              <w:rPr>
                <w:rFonts w:hint="eastAsia" w:ascii="宋体" w:hAnsi="宋体"/>
                <w:color w:val="auto"/>
              </w:rPr>
              <w:t>GB/T 11904-1989</w:t>
            </w:r>
          </w:p>
        </w:tc>
        <w:tc>
          <w:tcPr>
            <w:tcW w:w="750" w:type="pct"/>
            <w:shd w:val="clear" w:color="auto" w:fill="auto"/>
            <w:vAlign w:val="center"/>
          </w:tcPr>
          <w:p w14:paraId="1136E51D">
            <w:pPr>
              <w:adjustRightInd w:val="0"/>
              <w:jc w:val="center"/>
              <w:rPr>
                <w:rFonts w:ascii="宋体" w:hAnsi="宋体"/>
                <w:color w:val="auto"/>
              </w:rPr>
            </w:pPr>
            <w:r>
              <w:rPr>
                <w:rFonts w:hint="eastAsia" w:ascii="宋体" w:hAnsi="宋体"/>
                <w:color w:val="auto"/>
              </w:rPr>
              <w:t>0.01</w:t>
            </w:r>
            <w:r>
              <w:rPr>
                <w:rFonts w:ascii="宋体" w:hAnsi="宋体"/>
                <w:color w:val="auto"/>
              </w:rPr>
              <w:t>mg/L</w:t>
            </w:r>
          </w:p>
        </w:tc>
      </w:tr>
      <w:tr w14:paraId="5F38B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0E6DCEE">
            <w:pPr>
              <w:pStyle w:val="76"/>
              <w:rPr>
                <w:rFonts w:hAnsi="宋体"/>
                <w:color w:val="auto"/>
              </w:rPr>
            </w:pPr>
          </w:p>
        </w:tc>
        <w:tc>
          <w:tcPr>
            <w:tcW w:w="1018" w:type="pct"/>
            <w:shd w:val="clear" w:color="auto" w:fill="auto"/>
            <w:vAlign w:val="center"/>
          </w:tcPr>
          <w:p w14:paraId="172F0545">
            <w:pPr>
              <w:widowControl/>
              <w:adjustRightInd w:val="0"/>
              <w:snapToGrid w:val="0"/>
              <w:jc w:val="center"/>
              <w:rPr>
                <w:rFonts w:ascii="宋体" w:hAnsi="宋体"/>
                <w:color w:val="auto"/>
              </w:rPr>
            </w:pPr>
            <w:r>
              <w:rPr>
                <w:rFonts w:ascii="宋体" w:hAnsi="宋体"/>
                <w:color w:val="auto"/>
              </w:rPr>
              <w:t>亚硝酸盐氮</w:t>
            </w:r>
          </w:p>
        </w:tc>
        <w:tc>
          <w:tcPr>
            <w:tcW w:w="1985" w:type="pct"/>
            <w:shd w:val="clear" w:color="auto" w:fill="auto"/>
            <w:vAlign w:val="center"/>
          </w:tcPr>
          <w:p w14:paraId="6B6EA411">
            <w:pPr>
              <w:widowControl/>
              <w:adjustRightInd w:val="0"/>
              <w:snapToGrid w:val="0"/>
              <w:jc w:val="center"/>
              <w:rPr>
                <w:rFonts w:ascii="宋体" w:hAnsi="宋体"/>
                <w:color w:val="auto"/>
              </w:rPr>
            </w:pPr>
            <w:r>
              <w:rPr>
                <w:rFonts w:hint="eastAsia" w:ascii="宋体" w:hAnsi="宋体"/>
                <w:color w:val="auto"/>
              </w:rPr>
              <w:t>生活饮用水标准检验方法</w:t>
            </w:r>
            <w:r>
              <w:rPr>
                <w:rFonts w:ascii="宋体" w:hAnsi="宋体"/>
                <w:color w:val="auto"/>
              </w:rPr>
              <w:t xml:space="preserve"> </w:t>
            </w:r>
            <w:r>
              <w:rPr>
                <w:rFonts w:hint="eastAsia" w:ascii="宋体" w:hAnsi="宋体"/>
                <w:color w:val="auto"/>
              </w:rPr>
              <w:t>第5部分： 无机非金属指标(12.1 重氮偶合分光光度法)</w:t>
            </w:r>
          </w:p>
        </w:tc>
        <w:tc>
          <w:tcPr>
            <w:tcW w:w="985" w:type="pct"/>
            <w:shd w:val="clear" w:color="auto" w:fill="auto"/>
            <w:vAlign w:val="center"/>
          </w:tcPr>
          <w:p w14:paraId="001E182F">
            <w:pPr>
              <w:widowControl/>
              <w:adjustRightInd w:val="0"/>
              <w:snapToGrid w:val="0"/>
              <w:jc w:val="center"/>
              <w:rPr>
                <w:rFonts w:ascii="宋体" w:hAnsi="宋体"/>
                <w:color w:val="auto"/>
              </w:rPr>
            </w:pPr>
            <w:r>
              <w:rPr>
                <w:rFonts w:hint="eastAsia" w:ascii="宋体" w:hAnsi="宋体"/>
                <w:color w:val="auto"/>
              </w:rPr>
              <w:t>GB/T 5750.5-20</w:t>
            </w:r>
            <w:r>
              <w:rPr>
                <w:rFonts w:ascii="宋体" w:hAnsi="宋体"/>
                <w:color w:val="auto"/>
              </w:rPr>
              <w:t>23</w:t>
            </w:r>
          </w:p>
        </w:tc>
        <w:tc>
          <w:tcPr>
            <w:tcW w:w="750" w:type="pct"/>
            <w:shd w:val="clear" w:color="auto" w:fill="auto"/>
            <w:vAlign w:val="center"/>
          </w:tcPr>
          <w:p w14:paraId="2F329205">
            <w:pPr>
              <w:widowControl/>
              <w:adjustRightInd w:val="0"/>
              <w:snapToGrid w:val="0"/>
              <w:jc w:val="center"/>
              <w:rPr>
                <w:rFonts w:ascii="宋体" w:hAnsi="宋体"/>
                <w:color w:val="auto"/>
              </w:rPr>
            </w:pPr>
            <w:r>
              <w:rPr>
                <w:rFonts w:hint="eastAsia" w:ascii="宋体" w:hAnsi="宋体"/>
                <w:color w:val="auto"/>
              </w:rPr>
              <w:t>0</w:t>
            </w:r>
            <w:r>
              <w:rPr>
                <w:rFonts w:ascii="宋体" w:hAnsi="宋体"/>
                <w:color w:val="auto"/>
              </w:rPr>
              <w:t>.001mg/L</w:t>
            </w:r>
          </w:p>
        </w:tc>
      </w:tr>
      <w:tr w14:paraId="1FC47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35D6F4B">
            <w:pPr>
              <w:pStyle w:val="76"/>
              <w:rPr>
                <w:rFonts w:hAnsi="宋体"/>
                <w:color w:val="auto"/>
              </w:rPr>
            </w:pPr>
          </w:p>
        </w:tc>
        <w:tc>
          <w:tcPr>
            <w:tcW w:w="1018" w:type="pct"/>
            <w:shd w:val="clear" w:color="auto" w:fill="auto"/>
            <w:vAlign w:val="center"/>
          </w:tcPr>
          <w:p w14:paraId="302ACF67">
            <w:pPr>
              <w:widowControl/>
              <w:adjustRightInd w:val="0"/>
              <w:snapToGrid w:val="0"/>
              <w:jc w:val="center"/>
              <w:rPr>
                <w:rFonts w:ascii="宋体" w:hAnsi="宋体"/>
                <w:color w:val="auto"/>
              </w:rPr>
            </w:pPr>
            <w:r>
              <w:rPr>
                <w:rFonts w:ascii="宋体" w:hAnsi="宋体"/>
                <w:color w:val="auto"/>
              </w:rPr>
              <w:t>氰化物</w:t>
            </w:r>
          </w:p>
        </w:tc>
        <w:tc>
          <w:tcPr>
            <w:tcW w:w="1985" w:type="pct"/>
            <w:shd w:val="clear" w:color="auto" w:fill="auto"/>
            <w:vAlign w:val="center"/>
          </w:tcPr>
          <w:p w14:paraId="1F837E87">
            <w:pPr>
              <w:widowControl/>
              <w:adjustRightInd w:val="0"/>
              <w:snapToGrid w:val="0"/>
              <w:jc w:val="center"/>
              <w:rPr>
                <w:rFonts w:ascii="宋体" w:hAnsi="宋体"/>
                <w:color w:val="auto"/>
              </w:rPr>
            </w:pPr>
            <w:r>
              <w:rPr>
                <w:rFonts w:hint="eastAsia" w:ascii="宋体" w:hAnsi="宋体"/>
                <w:color w:val="auto"/>
              </w:rPr>
              <w:t>生活饮用水标准检验方法 第5部分：无机非金属指标(7.1 异烟酸-吡唑酮分光光度法)</w:t>
            </w:r>
          </w:p>
        </w:tc>
        <w:tc>
          <w:tcPr>
            <w:tcW w:w="985" w:type="pct"/>
            <w:shd w:val="clear" w:color="auto" w:fill="auto"/>
            <w:vAlign w:val="center"/>
          </w:tcPr>
          <w:p w14:paraId="1E81A488">
            <w:pPr>
              <w:widowControl/>
              <w:adjustRightInd w:val="0"/>
              <w:snapToGrid w:val="0"/>
              <w:jc w:val="center"/>
              <w:rPr>
                <w:rFonts w:ascii="宋体" w:hAnsi="宋体"/>
                <w:color w:val="auto"/>
              </w:rPr>
            </w:pPr>
            <w:r>
              <w:rPr>
                <w:rFonts w:hint="eastAsia" w:ascii="宋体" w:hAnsi="宋体"/>
                <w:color w:val="auto"/>
              </w:rPr>
              <w:t>GB/T 5750.5-2023</w:t>
            </w:r>
          </w:p>
        </w:tc>
        <w:tc>
          <w:tcPr>
            <w:tcW w:w="750" w:type="pct"/>
            <w:shd w:val="clear" w:color="auto" w:fill="auto"/>
            <w:vAlign w:val="center"/>
          </w:tcPr>
          <w:p w14:paraId="268F88C7">
            <w:pPr>
              <w:widowControl/>
              <w:adjustRightInd w:val="0"/>
              <w:snapToGrid w:val="0"/>
              <w:jc w:val="center"/>
              <w:rPr>
                <w:rFonts w:ascii="宋体" w:hAnsi="宋体"/>
                <w:color w:val="auto"/>
              </w:rPr>
            </w:pPr>
            <w:r>
              <w:rPr>
                <w:rFonts w:ascii="宋体" w:hAnsi="宋体"/>
                <w:color w:val="auto"/>
              </w:rPr>
              <w:t>0.00</w:t>
            </w:r>
            <w:r>
              <w:rPr>
                <w:rFonts w:hint="eastAsia" w:ascii="宋体" w:hAnsi="宋体"/>
                <w:color w:val="auto"/>
              </w:rPr>
              <w:t>2</w:t>
            </w:r>
            <w:r>
              <w:rPr>
                <w:rFonts w:ascii="宋体" w:hAnsi="宋体"/>
                <w:color w:val="auto"/>
              </w:rPr>
              <w:t>mg/L</w:t>
            </w:r>
          </w:p>
        </w:tc>
      </w:tr>
      <w:tr w14:paraId="28074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F835C71">
            <w:pPr>
              <w:pStyle w:val="76"/>
              <w:rPr>
                <w:rFonts w:hAnsi="宋体"/>
                <w:color w:val="auto"/>
              </w:rPr>
            </w:pPr>
          </w:p>
        </w:tc>
        <w:tc>
          <w:tcPr>
            <w:tcW w:w="1018" w:type="pct"/>
            <w:shd w:val="clear" w:color="auto" w:fill="auto"/>
            <w:vAlign w:val="center"/>
          </w:tcPr>
          <w:p w14:paraId="18F82033">
            <w:pPr>
              <w:widowControl/>
              <w:adjustRightInd w:val="0"/>
              <w:snapToGrid w:val="0"/>
              <w:jc w:val="center"/>
              <w:rPr>
                <w:rFonts w:ascii="宋体" w:hAnsi="宋体"/>
                <w:color w:val="auto"/>
              </w:rPr>
            </w:pPr>
            <w:r>
              <w:rPr>
                <w:rFonts w:ascii="宋体" w:hAnsi="宋体"/>
                <w:color w:val="auto"/>
              </w:rPr>
              <w:t>氟化物</w:t>
            </w:r>
          </w:p>
        </w:tc>
        <w:tc>
          <w:tcPr>
            <w:tcW w:w="1985" w:type="pct"/>
            <w:shd w:val="clear" w:color="auto" w:fill="auto"/>
            <w:vAlign w:val="center"/>
          </w:tcPr>
          <w:p w14:paraId="5CCC9E2F">
            <w:pPr>
              <w:widowControl/>
              <w:adjustRightInd w:val="0"/>
              <w:snapToGrid w:val="0"/>
              <w:jc w:val="center"/>
              <w:rPr>
                <w:rFonts w:ascii="宋体" w:hAnsi="宋体"/>
                <w:color w:val="auto"/>
              </w:rPr>
            </w:pPr>
            <w:r>
              <w:rPr>
                <w:rFonts w:ascii="宋体" w:hAnsi="宋体"/>
                <w:color w:val="auto"/>
              </w:rPr>
              <w:t>水质 氟化物的测定 离子选择电极法</w:t>
            </w:r>
          </w:p>
        </w:tc>
        <w:tc>
          <w:tcPr>
            <w:tcW w:w="985" w:type="pct"/>
            <w:shd w:val="clear" w:color="auto" w:fill="auto"/>
            <w:vAlign w:val="center"/>
          </w:tcPr>
          <w:p w14:paraId="5A8C30DF">
            <w:pPr>
              <w:widowControl/>
              <w:adjustRightInd w:val="0"/>
              <w:snapToGrid w:val="0"/>
              <w:jc w:val="center"/>
              <w:rPr>
                <w:rFonts w:ascii="宋体" w:hAnsi="宋体"/>
                <w:color w:val="auto"/>
              </w:rPr>
            </w:pPr>
            <w:r>
              <w:rPr>
                <w:rFonts w:ascii="宋体" w:hAnsi="宋体"/>
                <w:color w:val="auto"/>
              </w:rPr>
              <w:t>GB/T 7484-1987</w:t>
            </w:r>
          </w:p>
        </w:tc>
        <w:tc>
          <w:tcPr>
            <w:tcW w:w="750" w:type="pct"/>
            <w:shd w:val="clear" w:color="auto" w:fill="auto"/>
            <w:vAlign w:val="center"/>
          </w:tcPr>
          <w:p w14:paraId="5A012BC9">
            <w:pPr>
              <w:widowControl/>
              <w:adjustRightInd w:val="0"/>
              <w:snapToGrid w:val="0"/>
              <w:jc w:val="center"/>
              <w:rPr>
                <w:rFonts w:ascii="宋体" w:hAnsi="宋体"/>
                <w:color w:val="auto"/>
              </w:rPr>
            </w:pPr>
            <w:r>
              <w:rPr>
                <w:rFonts w:ascii="宋体" w:hAnsi="宋体"/>
                <w:color w:val="auto"/>
              </w:rPr>
              <w:t>0.05mg/L</w:t>
            </w:r>
          </w:p>
        </w:tc>
      </w:tr>
      <w:tr w14:paraId="4BECA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0B6D6DE">
            <w:pPr>
              <w:pStyle w:val="76"/>
              <w:rPr>
                <w:rFonts w:hAnsi="宋体"/>
                <w:color w:val="auto"/>
              </w:rPr>
            </w:pPr>
          </w:p>
        </w:tc>
        <w:tc>
          <w:tcPr>
            <w:tcW w:w="1018" w:type="pct"/>
            <w:shd w:val="clear" w:color="auto" w:fill="auto"/>
            <w:vAlign w:val="center"/>
          </w:tcPr>
          <w:p w14:paraId="3EC35D6B">
            <w:pPr>
              <w:widowControl/>
              <w:adjustRightInd w:val="0"/>
              <w:snapToGrid w:val="0"/>
              <w:jc w:val="center"/>
              <w:rPr>
                <w:rFonts w:ascii="宋体" w:hAnsi="宋体"/>
                <w:color w:val="auto"/>
              </w:rPr>
            </w:pPr>
            <w:r>
              <w:rPr>
                <w:rFonts w:ascii="宋体" w:hAnsi="宋体"/>
                <w:color w:val="auto"/>
              </w:rPr>
              <w:t>汞</w:t>
            </w:r>
          </w:p>
        </w:tc>
        <w:tc>
          <w:tcPr>
            <w:tcW w:w="1985" w:type="pct"/>
            <w:shd w:val="clear" w:color="auto" w:fill="auto"/>
            <w:vAlign w:val="center"/>
          </w:tcPr>
          <w:p w14:paraId="0EE21917">
            <w:pPr>
              <w:widowControl/>
              <w:adjustRightInd w:val="0"/>
              <w:snapToGrid w:val="0"/>
              <w:jc w:val="center"/>
              <w:rPr>
                <w:rFonts w:ascii="宋体" w:hAnsi="宋体"/>
                <w:color w:val="auto"/>
              </w:rPr>
            </w:pPr>
            <w:r>
              <w:rPr>
                <w:rFonts w:ascii="宋体" w:hAnsi="宋体"/>
                <w:color w:val="auto"/>
              </w:rPr>
              <w:t>水质 汞、砷、硒、铋和锑的测定 原子荧光法</w:t>
            </w:r>
          </w:p>
        </w:tc>
        <w:tc>
          <w:tcPr>
            <w:tcW w:w="985" w:type="pct"/>
            <w:shd w:val="clear" w:color="auto" w:fill="auto"/>
            <w:vAlign w:val="center"/>
          </w:tcPr>
          <w:p w14:paraId="13C1CC19">
            <w:pPr>
              <w:widowControl/>
              <w:adjustRightInd w:val="0"/>
              <w:snapToGrid w:val="0"/>
              <w:jc w:val="center"/>
              <w:rPr>
                <w:rFonts w:ascii="宋体" w:hAnsi="宋体"/>
                <w:color w:val="auto"/>
              </w:rPr>
            </w:pPr>
            <w:r>
              <w:rPr>
                <w:rFonts w:ascii="宋体" w:hAnsi="宋体"/>
                <w:color w:val="auto"/>
              </w:rPr>
              <w:t>HJ 694-2014</w:t>
            </w:r>
          </w:p>
        </w:tc>
        <w:tc>
          <w:tcPr>
            <w:tcW w:w="750" w:type="pct"/>
            <w:shd w:val="clear" w:color="auto" w:fill="auto"/>
            <w:vAlign w:val="center"/>
          </w:tcPr>
          <w:p w14:paraId="2CC468DC">
            <w:pPr>
              <w:widowControl/>
              <w:adjustRightInd w:val="0"/>
              <w:snapToGrid w:val="0"/>
              <w:jc w:val="center"/>
              <w:rPr>
                <w:rFonts w:ascii="宋体" w:hAnsi="宋体"/>
                <w:color w:val="auto"/>
              </w:rPr>
            </w:pPr>
            <w:r>
              <w:rPr>
                <w:rFonts w:ascii="宋体" w:hAnsi="宋体"/>
                <w:color w:val="auto"/>
              </w:rPr>
              <w:t>0.04μg/L</w:t>
            </w:r>
          </w:p>
        </w:tc>
      </w:tr>
      <w:tr w14:paraId="44A66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FCB9C6B">
            <w:pPr>
              <w:pStyle w:val="76"/>
              <w:rPr>
                <w:rFonts w:hAnsi="宋体"/>
                <w:color w:val="auto"/>
              </w:rPr>
            </w:pPr>
          </w:p>
        </w:tc>
        <w:tc>
          <w:tcPr>
            <w:tcW w:w="1018" w:type="pct"/>
            <w:shd w:val="clear" w:color="auto" w:fill="auto"/>
            <w:vAlign w:val="center"/>
          </w:tcPr>
          <w:p w14:paraId="22CFE40E">
            <w:pPr>
              <w:widowControl/>
              <w:adjustRightInd w:val="0"/>
              <w:snapToGrid w:val="0"/>
              <w:jc w:val="center"/>
              <w:rPr>
                <w:rFonts w:ascii="宋体" w:hAnsi="宋体"/>
                <w:color w:val="auto"/>
              </w:rPr>
            </w:pPr>
            <w:r>
              <w:rPr>
                <w:rFonts w:ascii="宋体" w:hAnsi="宋体"/>
                <w:color w:val="auto"/>
              </w:rPr>
              <w:t>砷</w:t>
            </w:r>
          </w:p>
        </w:tc>
        <w:tc>
          <w:tcPr>
            <w:tcW w:w="1985" w:type="pct"/>
            <w:shd w:val="clear" w:color="auto" w:fill="auto"/>
            <w:vAlign w:val="center"/>
          </w:tcPr>
          <w:p w14:paraId="53D73A84">
            <w:pPr>
              <w:widowControl/>
              <w:adjustRightInd w:val="0"/>
              <w:snapToGrid w:val="0"/>
              <w:jc w:val="center"/>
              <w:rPr>
                <w:rFonts w:ascii="宋体" w:hAnsi="宋体"/>
                <w:color w:val="auto"/>
              </w:rPr>
            </w:pPr>
            <w:r>
              <w:rPr>
                <w:rFonts w:ascii="宋体" w:hAnsi="宋体"/>
                <w:color w:val="auto"/>
              </w:rPr>
              <w:t>水质 汞、砷、硒、铋和锑的测定 原子荧光法</w:t>
            </w:r>
          </w:p>
        </w:tc>
        <w:tc>
          <w:tcPr>
            <w:tcW w:w="985" w:type="pct"/>
            <w:shd w:val="clear" w:color="auto" w:fill="auto"/>
            <w:vAlign w:val="center"/>
          </w:tcPr>
          <w:p w14:paraId="57E9FE58">
            <w:pPr>
              <w:widowControl/>
              <w:adjustRightInd w:val="0"/>
              <w:snapToGrid w:val="0"/>
              <w:jc w:val="center"/>
              <w:rPr>
                <w:rFonts w:ascii="宋体" w:hAnsi="宋体"/>
                <w:color w:val="auto"/>
              </w:rPr>
            </w:pPr>
            <w:r>
              <w:rPr>
                <w:rFonts w:ascii="宋体" w:hAnsi="宋体"/>
                <w:color w:val="auto"/>
              </w:rPr>
              <w:t>HJ 694-2014</w:t>
            </w:r>
          </w:p>
        </w:tc>
        <w:tc>
          <w:tcPr>
            <w:tcW w:w="750" w:type="pct"/>
            <w:shd w:val="clear" w:color="auto" w:fill="auto"/>
            <w:vAlign w:val="center"/>
          </w:tcPr>
          <w:p w14:paraId="59A58972">
            <w:pPr>
              <w:widowControl/>
              <w:adjustRightInd w:val="0"/>
              <w:snapToGrid w:val="0"/>
              <w:jc w:val="center"/>
              <w:rPr>
                <w:rFonts w:ascii="宋体" w:hAnsi="宋体"/>
                <w:color w:val="auto"/>
              </w:rPr>
            </w:pPr>
            <w:r>
              <w:rPr>
                <w:rFonts w:ascii="宋体" w:hAnsi="宋体"/>
                <w:color w:val="auto"/>
              </w:rPr>
              <w:t>0.3μg/L</w:t>
            </w:r>
          </w:p>
        </w:tc>
      </w:tr>
      <w:tr w14:paraId="220F7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77E17EE">
            <w:pPr>
              <w:pStyle w:val="76"/>
              <w:rPr>
                <w:rFonts w:hAnsi="宋体"/>
                <w:color w:val="auto"/>
              </w:rPr>
            </w:pPr>
          </w:p>
        </w:tc>
        <w:tc>
          <w:tcPr>
            <w:tcW w:w="1018" w:type="pct"/>
            <w:shd w:val="clear" w:color="auto" w:fill="auto"/>
            <w:vAlign w:val="center"/>
          </w:tcPr>
          <w:p w14:paraId="75CF9E5B">
            <w:pPr>
              <w:widowControl/>
              <w:adjustRightInd w:val="0"/>
              <w:snapToGrid w:val="0"/>
              <w:jc w:val="center"/>
              <w:rPr>
                <w:rFonts w:ascii="宋体" w:hAnsi="宋体"/>
                <w:color w:val="auto"/>
              </w:rPr>
            </w:pPr>
            <w:r>
              <w:rPr>
                <w:rFonts w:ascii="宋体" w:hAnsi="宋体"/>
                <w:color w:val="auto"/>
              </w:rPr>
              <w:t>镉</w:t>
            </w:r>
          </w:p>
        </w:tc>
        <w:tc>
          <w:tcPr>
            <w:tcW w:w="1985" w:type="pct"/>
            <w:shd w:val="clear" w:color="auto" w:fill="auto"/>
            <w:vAlign w:val="center"/>
          </w:tcPr>
          <w:p w14:paraId="53B89AC6">
            <w:pPr>
              <w:widowControl/>
              <w:adjustRightInd w:val="0"/>
              <w:snapToGrid w:val="0"/>
              <w:jc w:val="center"/>
              <w:rPr>
                <w:rFonts w:ascii="宋体" w:hAnsi="宋体"/>
                <w:color w:val="auto"/>
              </w:rPr>
            </w:pPr>
            <w:r>
              <w:rPr>
                <w:rFonts w:hint="eastAsia" w:ascii="宋体" w:hAnsi="宋体"/>
                <w:color w:val="auto"/>
              </w:rPr>
              <w:t xml:space="preserve">水和废水监测分析方法 </w:t>
            </w:r>
            <w:r>
              <w:rPr>
                <w:rFonts w:ascii="宋体" w:hAnsi="宋体"/>
                <w:color w:val="auto"/>
              </w:rPr>
              <w:t xml:space="preserve"> </w:t>
            </w:r>
            <w:r>
              <w:rPr>
                <w:rFonts w:hint="eastAsia" w:ascii="宋体" w:hAnsi="宋体"/>
                <w:color w:val="auto"/>
              </w:rPr>
              <w:t>第三篇/第四章/七(四) 石墨炉原子吸收法测定镉、铜和铅</w:t>
            </w:r>
          </w:p>
        </w:tc>
        <w:tc>
          <w:tcPr>
            <w:tcW w:w="985" w:type="pct"/>
            <w:shd w:val="clear" w:color="auto" w:fill="auto"/>
            <w:vAlign w:val="center"/>
          </w:tcPr>
          <w:p w14:paraId="6194E18D">
            <w:pPr>
              <w:widowControl/>
              <w:adjustRightInd w:val="0"/>
              <w:snapToGrid w:val="0"/>
              <w:jc w:val="center"/>
              <w:rPr>
                <w:rFonts w:ascii="宋体" w:hAnsi="宋体"/>
                <w:color w:val="auto"/>
              </w:rPr>
            </w:pPr>
            <w:r>
              <w:rPr>
                <w:rFonts w:hint="eastAsia" w:ascii="宋体" w:hAnsi="宋体"/>
                <w:color w:val="auto"/>
              </w:rPr>
              <w:t>国家环境保护总(2002) 第四版(增补版）</w:t>
            </w:r>
          </w:p>
        </w:tc>
        <w:tc>
          <w:tcPr>
            <w:tcW w:w="750" w:type="pct"/>
            <w:shd w:val="clear" w:color="auto" w:fill="auto"/>
            <w:vAlign w:val="center"/>
          </w:tcPr>
          <w:p w14:paraId="61DFE0D3">
            <w:pPr>
              <w:widowControl/>
              <w:adjustRightInd w:val="0"/>
              <w:snapToGrid w:val="0"/>
              <w:jc w:val="center"/>
              <w:rPr>
                <w:rFonts w:ascii="宋体" w:hAnsi="宋体"/>
                <w:color w:val="auto"/>
              </w:rPr>
            </w:pPr>
            <w:r>
              <w:rPr>
                <w:rFonts w:hint="eastAsia" w:ascii="宋体" w:hAnsi="宋体"/>
                <w:color w:val="auto"/>
              </w:rPr>
              <w:t>0.</w:t>
            </w:r>
            <w:r>
              <w:rPr>
                <w:rFonts w:ascii="宋体" w:hAnsi="宋体"/>
                <w:color w:val="auto"/>
              </w:rPr>
              <w:t>1μg/L</w:t>
            </w:r>
          </w:p>
        </w:tc>
      </w:tr>
      <w:tr w14:paraId="02948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538459E">
            <w:pPr>
              <w:pStyle w:val="76"/>
              <w:rPr>
                <w:rFonts w:hAnsi="宋体"/>
                <w:color w:val="auto"/>
              </w:rPr>
            </w:pPr>
          </w:p>
        </w:tc>
        <w:tc>
          <w:tcPr>
            <w:tcW w:w="1018" w:type="pct"/>
            <w:shd w:val="clear" w:color="auto" w:fill="auto"/>
            <w:vAlign w:val="center"/>
          </w:tcPr>
          <w:p w14:paraId="50C74BE5">
            <w:pPr>
              <w:widowControl/>
              <w:adjustRightInd w:val="0"/>
              <w:snapToGrid w:val="0"/>
              <w:jc w:val="center"/>
              <w:rPr>
                <w:rFonts w:ascii="宋体" w:hAnsi="宋体"/>
                <w:color w:val="auto"/>
              </w:rPr>
            </w:pPr>
            <w:r>
              <w:rPr>
                <w:rFonts w:ascii="宋体" w:hAnsi="宋体"/>
                <w:color w:val="auto"/>
              </w:rPr>
              <w:t>六价铬</w:t>
            </w:r>
          </w:p>
        </w:tc>
        <w:tc>
          <w:tcPr>
            <w:tcW w:w="1985" w:type="pct"/>
            <w:shd w:val="clear" w:color="auto" w:fill="auto"/>
            <w:vAlign w:val="center"/>
          </w:tcPr>
          <w:p w14:paraId="45AB9688">
            <w:pPr>
              <w:widowControl/>
              <w:adjustRightInd w:val="0"/>
              <w:snapToGrid w:val="0"/>
              <w:jc w:val="center"/>
              <w:rPr>
                <w:rFonts w:ascii="宋体" w:hAnsi="宋体"/>
                <w:color w:val="auto"/>
              </w:rPr>
            </w:pPr>
            <w:r>
              <w:rPr>
                <w:rFonts w:ascii="宋体" w:hAnsi="宋体"/>
                <w:color w:val="auto"/>
              </w:rPr>
              <w:t>生活饮用水标准检验方法 第6部分：金属和类金属指标(13.1 二苯碳酰二肼分光光度法)</w:t>
            </w:r>
          </w:p>
        </w:tc>
        <w:tc>
          <w:tcPr>
            <w:tcW w:w="985" w:type="pct"/>
            <w:shd w:val="clear" w:color="auto" w:fill="auto"/>
            <w:vAlign w:val="center"/>
          </w:tcPr>
          <w:p w14:paraId="558188B1">
            <w:pPr>
              <w:widowControl/>
              <w:adjustRightInd w:val="0"/>
              <w:snapToGrid w:val="0"/>
              <w:jc w:val="center"/>
              <w:rPr>
                <w:rFonts w:ascii="宋体" w:hAnsi="宋体"/>
                <w:color w:val="auto"/>
              </w:rPr>
            </w:pPr>
            <w:r>
              <w:rPr>
                <w:rFonts w:ascii="宋体" w:hAnsi="宋体"/>
                <w:color w:val="auto"/>
              </w:rPr>
              <w:t>GB/T 5750.6-2023</w:t>
            </w:r>
          </w:p>
        </w:tc>
        <w:tc>
          <w:tcPr>
            <w:tcW w:w="750" w:type="pct"/>
            <w:shd w:val="clear" w:color="auto" w:fill="auto"/>
            <w:vAlign w:val="center"/>
          </w:tcPr>
          <w:p w14:paraId="6183438E">
            <w:pPr>
              <w:widowControl/>
              <w:adjustRightInd w:val="0"/>
              <w:snapToGrid w:val="0"/>
              <w:jc w:val="center"/>
              <w:rPr>
                <w:rFonts w:ascii="宋体" w:hAnsi="宋体"/>
                <w:color w:val="auto"/>
              </w:rPr>
            </w:pPr>
            <w:r>
              <w:rPr>
                <w:rFonts w:ascii="宋体" w:hAnsi="宋体"/>
                <w:color w:val="auto"/>
              </w:rPr>
              <w:t>0.004mg/L</w:t>
            </w:r>
          </w:p>
        </w:tc>
      </w:tr>
      <w:tr w14:paraId="01ADB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4EDA4CE">
            <w:pPr>
              <w:pStyle w:val="76"/>
              <w:rPr>
                <w:rFonts w:hAnsi="宋体"/>
                <w:color w:val="auto"/>
              </w:rPr>
            </w:pPr>
          </w:p>
        </w:tc>
        <w:tc>
          <w:tcPr>
            <w:tcW w:w="1018" w:type="pct"/>
            <w:shd w:val="clear" w:color="auto" w:fill="auto"/>
            <w:vAlign w:val="center"/>
          </w:tcPr>
          <w:p w14:paraId="04172576">
            <w:pPr>
              <w:widowControl/>
              <w:adjustRightInd w:val="0"/>
              <w:snapToGrid w:val="0"/>
              <w:jc w:val="center"/>
              <w:rPr>
                <w:rFonts w:ascii="宋体" w:hAnsi="宋体"/>
                <w:color w:val="auto"/>
              </w:rPr>
            </w:pPr>
            <w:r>
              <w:rPr>
                <w:rFonts w:ascii="宋体" w:hAnsi="宋体"/>
                <w:color w:val="auto"/>
              </w:rPr>
              <w:t>铅</w:t>
            </w:r>
          </w:p>
        </w:tc>
        <w:tc>
          <w:tcPr>
            <w:tcW w:w="1985" w:type="pct"/>
            <w:shd w:val="clear" w:color="auto" w:fill="auto"/>
            <w:vAlign w:val="center"/>
          </w:tcPr>
          <w:p w14:paraId="02B23281">
            <w:pPr>
              <w:widowControl/>
              <w:adjustRightInd w:val="0"/>
              <w:snapToGrid w:val="0"/>
              <w:jc w:val="center"/>
              <w:rPr>
                <w:rFonts w:ascii="宋体" w:hAnsi="宋体"/>
                <w:color w:val="auto"/>
              </w:rPr>
            </w:pPr>
            <w:r>
              <w:rPr>
                <w:rFonts w:hint="eastAsia" w:ascii="宋体" w:hAnsi="宋体"/>
                <w:color w:val="auto"/>
              </w:rPr>
              <w:t xml:space="preserve">水和废水监测分析方法 </w:t>
            </w:r>
            <w:r>
              <w:rPr>
                <w:rFonts w:ascii="宋体" w:hAnsi="宋体"/>
                <w:color w:val="auto"/>
              </w:rPr>
              <w:t xml:space="preserve"> </w:t>
            </w:r>
            <w:r>
              <w:rPr>
                <w:rFonts w:hint="eastAsia" w:ascii="宋体" w:hAnsi="宋体"/>
                <w:color w:val="auto"/>
              </w:rPr>
              <w:t>第三篇/第四章/七(四) 石墨炉原子吸收法测定镉、铜和铅</w:t>
            </w:r>
          </w:p>
        </w:tc>
        <w:tc>
          <w:tcPr>
            <w:tcW w:w="985" w:type="pct"/>
            <w:shd w:val="clear" w:color="auto" w:fill="auto"/>
            <w:vAlign w:val="center"/>
          </w:tcPr>
          <w:p w14:paraId="3DD03327">
            <w:pPr>
              <w:widowControl/>
              <w:adjustRightInd w:val="0"/>
              <w:snapToGrid w:val="0"/>
              <w:jc w:val="center"/>
              <w:rPr>
                <w:rFonts w:ascii="宋体" w:hAnsi="宋体"/>
                <w:color w:val="auto"/>
              </w:rPr>
            </w:pPr>
            <w:r>
              <w:rPr>
                <w:rFonts w:hint="eastAsia" w:ascii="宋体" w:hAnsi="宋体"/>
                <w:color w:val="auto"/>
              </w:rPr>
              <w:t>国家环境保护总(2002) 第四版(增补版）</w:t>
            </w:r>
          </w:p>
        </w:tc>
        <w:tc>
          <w:tcPr>
            <w:tcW w:w="750" w:type="pct"/>
            <w:shd w:val="clear" w:color="auto" w:fill="auto"/>
            <w:vAlign w:val="center"/>
          </w:tcPr>
          <w:p w14:paraId="7ECE992F">
            <w:pPr>
              <w:widowControl/>
              <w:adjustRightInd w:val="0"/>
              <w:snapToGrid w:val="0"/>
              <w:jc w:val="center"/>
              <w:rPr>
                <w:rFonts w:ascii="宋体" w:hAnsi="宋体"/>
                <w:color w:val="auto"/>
              </w:rPr>
            </w:pPr>
            <w:r>
              <w:rPr>
                <w:rFonts w:hint="eastAsia" w:ascii="宋体" w:hAnsi="宋体"/>
                <w:color w:val="auto"/>
              </w:rPr>
              <w:t>1</w:t>
            </w:r>
            <w:r>
              <w:rPr>
                <w:rFonts w:ascii="宋体" w:hAnsi="宋体"/>
                <w:color w:val="auto"/>
              </w:rPr>
              <w:t>μg/L</w:t>
            </w:r>
          </w:p>
        </w:tc>
      </w:tr>
      <w:tr w14:paraId="74C39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8D01497">
            <w:pPr>
              <w:pStyle w:val="76"/>
              <w:rPr>
                <w:rFonts w:hAnsi="宋体"/>
                <w:color w:val="auto"/>
              </w:rPr>
            </w:pPr>
          </w:p>
        </w:tc>
        <w:tc>
          <w:tcPr>
            <w:tcW w:w="1018" w:type="pct"/>
            <w:shd w:val="clear" w:color="auto" w:fill="auto"/>
            <w:vAlign w:val="center"/>
          </w:tcPr>
          <w:p w14:paraId="577672A5">
            <w:pPr>
              <w:widowControl/>
              <w:adjustRightInd w:val="0"/>
              <w:snapToGrid w:val="0"/>
              <w:jc w:val="center"/>
              <w:rPr>
                <w:rFonts w:ascii="宋体" w:hAnsi="宋体"/>
                <w:color w:val="auto"/>
              </w:rPr>
            </w:pPr>
            <w:r>
              <w:rPr>
                <w:rFonts w:hint="eastAsia" w:ascii="宋体" w:hAnsi="宋体"/>
                <w:color w:val="auto"/>
              </w:rPr>
              <w:t>三氯甲烷</w:t>
            </w:r>
          </w:p>
        </w:tc>
        <w:tc>
          <w:tcPr>
            <w:tcW w:w="1985" w:type="pct"/>
            <w:shd w:val="clear" w:color="auto" w:fill="auto"/>
            <w:vAlign w:val="center"/>
          </w:tcPr>
          <w:p w14:paraId="3D641041">
            <w:pPr>
              <w:widowControl/>
              <w:adjustRightInd w:val="0"/>
              <w:snapToGrid w:val="0"/>
              <w:jc w:val="center"/>
              <w:rPr>
                <w:rFonts w:ascii="宋体" w:hAnsi="宋体"/>
                <w:color w:val="auto"/>
              </w:rPr>
            </w:pPr>
            <w:r>
              <w:rPr>
                <w:rFonts w:ascii="宋体" w:hAnsi="宋体"/>
                <w:color w:val="auto"/>
              </w:rPr>
              <w:t>水质 挥发性有机物的测定 吹扫捕集/气相色谱-质谱法</w:t>
            </w:r>
          </w:p>
        </w:tc>
        <w:tc>
          <w:tcPr>
            <w:tcW w:w="985" w:type="pct"/>
            <w:shd w:val="clear" w:color="auto" w:fill="auto"/>
            <w:vAlign w:val="center"/>
          </w:tcPr>
          <w:p w14:paraId="5C7FC31C">
            <w:pPr>
              <w:widowControl/>
              <w:adjustRightInd w:val="0"/>
              <w:snapToGrid w:val="0"/>
              <w:jc w:val="center"/>
              <w:rPr>
                <w:rFonts w:ascii="宋体" w:hAnsi="宋体"/>
                <w:color w:val="auto"/>
              </w:rPr>
            </w:pPr>
            <w:r>
              <w:rPr>
                <w:rFonts w:ascii="宋体" w:hAnsi="宋体"/>
                <w:color w:val="auto"/>
              </w:rPr>
              <w:t>HJ 639-2012</w:t>
            </w:r>
          </w:p>
        </w:tc>
        <w:tc>
          <w:tcPr>
            <w:tcW w:w="750" w:type="pct"/>
            <w:shd w:val="clear" w:color="auto" w:fill="auto"/>
            <w:vAlign w:val="center"/>
          </w:tcPr>
          <w:p w14:paraId="3D9F05E0">
            <w:pPr>
              <w:widowControl/>
              <w:adjustRightInd w:val="0"/>
              <w:snapToGrid w:val="0"/>
              <w:jc w:val="center"/>
              <w:rPr>
                <w:rFonts w:ascii="宋体" w:hAnsi="宋体"/>
                <w:color w:val="auto"/>
              </w:rPr>
            </w:pPr>
            <w:r>
              <w:rPr>
                <w:rFonts w:hint="eastAsia" w:ascii="宋体" w:hAnsi="宋体"/>
                <w:color w:val="auto"/>
              </w:rPr>
              <w:t>1.4</w:t>
            </w:r>
            <w:r>
              <w:rPr>
                <w:rFonts w:ascii="宋体" w:hAnsi="宋体"/>
                <w:color w:val="auto"/>
              </w:rPr>
              <w:t>μg/L</w:t>
            </w:r>
          </w:p>
        </w:tc>
      </w:tr>
      <w:tr w14:paraId="6C0D6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5079C60">
            <w:pPr>
              <w:pStyle w:val="76"/>
              <w:rPr>
                <w:rFonts w:hAnsi="宋体"/>
                <w:color w:val="auto"/>
              </w:rPr>
            </w:pPr>
          </w:p>
        </w:tc>
        <w:tc>
          <w:tcPr>
            <w:tcW w:w="1018" w:type="pct"/>
            <w:shd w:val="clear" w:color="auto" w:fill="auto"/>
            <w:vAlign w:val="center"/>
          </w:tcPr>
          <w:p w14:paraId="0D63AE6D">
            <w:pPr>
              <w:widowControl/>
              <w:adjustRightInd w:val="0"/>
              <w:snapToGrid w:val="0"/>
              <w:jc w:val="center"/>
              <w:rPr>
                <w:rFonts w:ascii="宋体" w:hAnsi="宋体"/>
                <w:color w:val="auto"/>
              </w:rPr>
            </w:pPr>
            <w:r>
              <w:rPr>
                <w:rFonts w:hint="eastAsia" w:ascii="宋体" w:hAnsi="宋体"/>
                <w:color w:val="auto"/>
              </w:rPr>
              <w:t>四氯化碳</w:t>
            </w:r>
          </w:p>
        </w:tc>
        <w:tc>
          <w:tcPr>
            <w:tcW w:w="1985" w:type="pct"/>
            <w:shd w:val="clear" w:color="auto" w:fill="auto"/>
            <w:vAlign w:val="center"/>
          </w:tcPr>
          <w:p w14:paraId="5F1F12DA">
            <w:pPr>
              <w:widowControl/>
              <w:adjustRightInd w:val="0"/>
              <w:snapToGrid w:val="0"/>
              <w:jc w:val="center"/>
              <w:rPr>
                <w:rFonts w:ascii="宋体" w:hAnsi="宋体"/>
                <w:color w:val="auto"/>
              </w:rPr>
            </w:pPr>
            <w:r>
              <w:rPr>
                <w:rFonts w:ascii="宋体" w:hAnsi="宋体"/>
                <w:color w:val="auto"/>
              </w:rPr>
              <w:t>水质 挥发性有机物的测定 吹扫捕集/气相色谱-质谱法</w:t>
            </w:r>
          </w:p>
        </w:tc>
        <w:tc>
          <w:tcPr>
            <w:tcW w:w="985" w:type="pct"/>
            <w:shd w:val="clear" w:color="auto" w:fill="auto"/>
            <w:vAlign w:val="center"/>
          </w:tcPr>
          <w:p w14:paraId="1FA5B576">
            <w:pPr>
              <w:widowControl/>
              <w:adjustRightInd w:val="0"/>
              <w:snapToGrid w:val="0"/>
              <w:jc w:val="center"/>
              <w:rPr>
                <w:rFonts w:ascii="宋体" w:hAnsi="宋体"/>
                <w:color w:val="auto"/>
              </w:rPr>
            </w:pPr>
            <w:r>
              <w:rPr>
                <w:rFonts w:ascii="宋体" w:hAnsi="宋体"/>
                <w:color w:val="auto"/>
              </w:rPr>
              <w:t>HJ 639-2012</w:t>
            </w:r>
          </w:p>
        </w:tc>
        <w:tc>
          <w:tcPr>
            <w:tcW w:w="750" w:type="pct"/>
            <w:shd w:val="clear" w:color="auto" w:fill="auto"/>
            <w:vAlign w:val="center"/>
          </w:tcPr>
          <w:p w14:paraId="3082261F">
            <w:pPr>
              <w:widowControl/>
              <w:adjustRightInd w:val="0"/>
              <w:snapToGrid w:val="0"/>
              <w:jc w:val="center"/>
              <w:rPr>
                <w:rFonts w:ascii="宋体" w:hAnsi="宋体"/>
                <w:color w:val="auto"/>
              </w:rPr>
            </w:pPr>
            <w:r>
              <w:rPr>
                <w:rFonts w:hint="eastAsia" w:ascii="宋体" w:hAnsi="宋体"/>
                <w:color w:val="auto"/>
              </w:rPr>
              <w:t>1.5</w:t>
            </w:r>
            <w:r>
              <w:rPr>
                <w:rFonts w:ascii="宋体" w:hAnsi="宋体"/>
                <w:color w:val="auto"/>
              </w:rPr>
              <w:t>μg/L</w:t>
            </w:r>
          </w:p>
        </w:tc>
      </w:tr>
      <w:tr w14:paraId="391AE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76E4097">
            <w:pPr>
              <w:pStyle w:val="76"/>
              <w:rPr>
                <w:rFonts w:hAnsi="宋体"/>
                <w:color w:val="auto"/>
              </w:rPr>
            </w:pPr>
          </w:p>
        </w:tc>
        <w:tc>
          <w:tcPr>
            <w:tcW w:w="1018" w:type="pct"/>
            <w:shd w:val="clear" w:color="auto" w:fill="auto"/>
            <w:vAlign w:val="center"/>
          </w:tcPr>
          <w:p w14:paraId="4A247188">
            <w:pPr>
              <w:widowControl/>
              <w:adjustRightInd w:val="0"/>
              <w:snapToGrid w:val="0"/>
              <w:jc w:val="center"/>
              <w:rPr>
                <w:rFonts w:ascii="宋体" w:hAnsi="宋体"/>
                <w:color w:val="auto"/>
              </w:rPr>
            </w:pPr>
            <w:r>
              <w:rPr>
                <w:rFonts w:hint="eastAsia" w:ascii="宋体" w:hAnsi="宋体"/>
                <w:color w:val="auto"/>
              </w:rPr>
              <w:t>苯</w:t>
            </w:r>
          </w:p>
        </w:tc>
        <w:tc>
          <w:tcPr>
            <w:tcW w:w="1985" w:type="pct"/>
            <w:shd w:val="clear" w:color="auto" w:fill="auto"/>
            <w:vAlign w:val="center"/>
          </w:tcPr>
          <w:p w14:paraId="4F535CA5">
            <w:pPr>
              <w:widowControl/>
              <w:adjustRightInd w:val="0"/>
              <w:snapToGrid w:val="0"/>
              <w:jc w:val="center"/>
              <w:rPr>
                <w:rFonts w:ascii="宋体" w:hAnsi="宋体"/>
                <w:color w:val="auto"/>
              </w:rPr>
            </w:pPr>
            <w:r>
              <w:rPr>
                <w:rFonts w:ascii="宋体" w:hAnsi="宋体"/>
                <w:color w:val="auto"/>
              </w:rPr>
              <w:t>水质 挥发性有机物的测定 吹扫捕集/气相色谱-质谱法</w:t>
            </w:r>
          </w:p>
        </w:tc>
        <w:tc>
          <w:tcPr>
            <w:tcW w:w="985" w:type="pct"/>
            <w:shd w:val="clear" w:color="auto" w:fill="auto"/>
            <w:vAlign w:val="center"/>
          </w:tcPr>
          <w:p w14:paraId="147A938C">
            <w:pPr>
              <w:widowControl/>
              <w:adjustRightInd w:val="0"/>
              <w:snapToGrid w:val="0"/>
              <w:jc w:val="center"/>
              <w:rPr>
                <w:rFonts w:ascii="宋体" w:hAnsi="宋体"/>
                <w:color w:val="auto"/>
              </w:rPr>
            </w:pPr>
            <w:r>
              <w:rPr>
                <w:rFonts w:ascii="宋体" w:hAnsi="宋体"/>
                <w:color w:val="auto"/>
              </w:rPr>
              <w:t>HJ 639-2012</w:t>
            </w:r>
          </w:p>
        </w:tc>
        <w:tc>
          <w:tcPr>
            <w:tcW w:w="750" w:type="pct"/>
            <w:shd w:val="clear" w:color="auto" w:fill="auto"/>
            <w:vAlign w:val="center"/>
          </w:tcPr>
          <w:p w14:paraId="3380BE29">
            <w:pPr>
              <w:widowControl/>
              <w:adjustRightInd w:val="0"/>
              <w:snapToGrid w:val="0"/>
              <w:jc w:val="center"/>
              <w:rPr>
                <w:rFonts w:ascii="宋体" w:hAnsi="宋体"/>
                <w:color w:val="auto"/>
              </w:rPr>
            </w:pPr>
            <w:r>
              <w:rPr>
                <w:rFonts w:hint="eastAsia" w:ascii="宋体" w:hAnsi="宋体"/>
                <w:color w:val="auto"/>
              </w:rPr>
              <w:t>1.4</w:t>
            </w:r>
            <w:r>
              <w:rPr>
                <w:rFonts w:ascii="宋体" w:hAnsi="宋体"/>
                <w:color w:val="auto"/>
              </w:rPr>
              <w:t>μg/L</w:t>
            </w:r>
          </w:p>
        </w:tc>
      </w:tr>
      <w:tr w14:paraId="1790B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9C95594">
            <w:pPr>
              <w:pStyle w:val="76"/>
              <w:rPr>
                <w:rFonts w:hAnsi="宋体"/>
                <w:color w:val="auto"/>
              </w:rPr>
            </w:pPr>
          </w:p>
        </w:tc>
        <w:tc>
          <w:tcPr>
            <w:tcW w:w="1018" w:type="pct"/>
            <w:shd w:val="clear" w:color="auto" w:fill="auto"/>
            <w:vAlign w:val="center"/>
          </w:tcPr>
          <w:p w14:paraId="4BBCB2DF">
            <w:pPr>
              <w:widowControl/>
              <w:adjustRightInd w:val="0"/>
              <w:snapToGrid w:val="0"/>
              <w:jc w:val="center"/>
              <w:rPr>
                <w:rFonts w:ascii="宋体" w:hAnsi="宋体"/>
                <w:color w:val="auto"/>
              </w:rPr>
            </w:pPr>
            <w:r>
              <w:rPr>
                <w:rFonts w:hint="eastAsia" w:ascii="宋体" w:hAnsi="宋体"/>
                <w:color w:val="auto"/>
              </w:rPr>
              <w:t>甲苯</w:t>
            </w:r>
          </w:p>
        </w:tc>
        <w:tc>
          <w:tcPr>
            <w:tcW w:w="1985" w:type="pct"/>
            <w:shd w:val="clear" w:color="auto" w:fill="auto"/>
            <w:vAlign w:val="center"/>
          </w:tcPr>
          <w:p w14:paraId="0BC3D63E">
            <w:pPr>
              <w:widowControl/>
              <w:adjustRightInd w:val="0"/>
              <w:snapToGrid w:val="0"/>
              <w:jc w:val="center"/>
              <w:rPr>
                <w:rFonts w:ascii="宋体" w:hAnsi="宋体"/>
                <w:color w:val="auto"/>
              </w:rPr>
            </w:pPr>
            <w:r>
              <w:rPr>
                <w:rFonts w:ascii="宋体" w:hAnsi="宋体"/>
                <w:color w:val="auto"/>
              </w:rPr>
              <w:t>水质 挥发性有机物的测定 吹扫捕集/气相色谱-质谱法</w:t>
            </w:r>
          </w:p>
        </w:tc>
        <w:tc>
          <w:tcPr>
            <w:tcW w:w="985" w:type="pct"/>
            <w:shd w:val="clear" w:color="auto" w:fill="auto"/>
            <w:vAlign w:val="center"/>
          </w:tcPr>
          <w:p w14:paraId="7C19E108">
            <w:pPr>
              <w:widowControl/>
              <w:adjustRightInd w:val="0"/>
              <w:snapToGrid w:val="0"/>
              <w:jc w:val="center"/>
              <w:rPr>
                <w:rFonts w:ascii="宋体" w:hAnsi="宋体"/>
                <w:color w:val="auto"/>
              </w:rPr>
            </w:pPr>
            <w:r>
              <w:rPr>
                <w:rFonts w:ascii="宋体" w:hAnsi="宋体"/>
                <w:color w:val="auto"/>
              </w:rPr>
              <w:t>HJ 639-2012</w:t>
            </w:r>
          </w:p>
        </w:tc>
        <w:tc>
          <w:tcPr>
            <w:tcW w:w="750" w:type="pct"/>
            <w:shd w:val="clear" w:color="auto" w:fill="auto"/>
            <w:vAlign w:val="center"/>
          </w:tcPr>
          <w:p w14:paraId="5CFBCB34">
            <w:pPr>
              <w:widowControl/>
              <w:adjustRightInd w:val="0"/>
              <w:snapToGrid w:val="0"/>
              <w:jc w:val="center"/>
              <w:rPr>
                <w:rFonts w:ascii="宋体" w:hAnsi="宋体"/>
                <w:color w:val="auto"/>
              </w:rPr>
            </w:pPr>
            <w:r>
              <w:rPr>
                <w:rFonts w:hint="eastAsia" w:ascii="宋体" w:hAnsi="宋体"/>
                <w:color w:val="auto"/>
              </w:rPr>
              <w:t>1.4</w:t>
            </w:r>
            <w:r>
              <w:rPr>
                <w:rFonts w:ascii="宋体" w:hAnsi="宋体"/>
                <w:color w:val="auto"/>
              </w:rPr>
              <w:t>μg/L</w:t>
            </w:r>
          </w:p>
        </w:tc>
      </w:tr>
      <w:tr w14:paraId="22763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7B38BDC">
            <w:pPr>
              <w:pStyle w:val="76"/>
              <w:rPr>
                <w:rFonts w:hAnsi="宋体"/>
                <w:color w:val="auto"/>
              </w:rPr>
            </w:pPr>
          </w:p>
        </w:tc>
        <w:tc>
          <w:tcPr>
            <w:tcW w:w="1018" w:type="pct"/>
            <w:shd w:val="clear" w:color="auto" w:fill="auto"/>
            <w:vAlign w:val="center"/>
          </w:tcPr>
          <w:p w14:paraId="234125A9">
            <w:pPr>
              <w:widowControl/>
              <w:adjustRightInd w:val="0"/>
              <w:snapToGrid w:val="0"/>
              <w:jc w:val="center"/>
              <w:rPr>
                <w:rFonts w:ascii="宋体" w:hAnsi="宋体"/>
                <w:color w:val="auto"/>
              </w:rPr>
            </w:pPr>
            <w:r>
              <w:rPr>
                <w:rFonts w:hint="eastAsia" w:ascii="宋体" w:hAnsi="宋体"/>
                <w:color w:val="auto"/>
              </w:rPr>
              <w:t>钡</w:t>
            </w:r>
          </w:p>
        </w:tc>
        <w:tc>
          <w:tcPr>
            <w:tcW w:w="1985" w:type="pct"/>
            <w:shd w:val="clear" w:color="auto" w:fill="auto"/>
            <w:vAlign w:val="center"/>
          </w:tcPr>
          <w:p w14:paraId="229B9C0A">
            <w:pPr>
              <w:widowControl/>
              <w:adjustRightInd w:val="0"/>
              <w:snapToGrid w:val="0"/>
              <w:jc w:val="center"/>
              <w:rPr>
                <w:rFonts w:ascii="宋体" w:hAnsi="宋体"/>
                <w:color w:val="auto"/>
              </w:rPr>
            </w:pPr>
            <w:r>
              <w:rPr>
                <w:rFonts w:hint="eastAsia" w:ascii="宋体" w:hAnsi="宋体"/>
                <w:color w:val="auto"/>
              </w:rPr>
              <w:t>水质 32种元素的测定 电感耦合等离子体发射光谱法</w:t>
            </w:r>
          </w:p>
        </w:tc>
        <w:tc>
          <w:tcPr>
            <w:tcW w:w="985" w:type="pct"/>
            <w:shd w:val="clear" w:color="auto" w:fill="auto"/>
            <w:vAlign w:val="center"/>
          </w:tcPr>
          <w:p w14:paraId="1EA0E20C">
            <w:pPr>
              <w:widowControl/>
              <w:adjustRightInd w:val="0"/>
              <w:snapToGrid w:val="0"/>
              <w:jc w:val="center"/>
              <w:rPr>
                <w:rFonts w:ascii="宋体" w:hAnsi="宋体"/>
                <w:color w:val="auto"/>
              </w:rPr>
            </w:pPr>
            <w:r>
              <w:rPr>
                <w:rFonts w:ascii="宋体" w:hAnsi="宋体"/>
                <w:color w:val="auto"/>
              </w:rPr>
              <w:t>HJ 776-2015</w:t>
            </w:r>
          </w:p>
        </w:tc>
        <w:tc>
          <w:tcPr>
            <w:tcW w:w="750" w:type="pct"/>
            <w:shd w:val="clear" w:color="auto" w:fill="auto"/>
            <w:vAlign w:val="center"/>
          </w:tcPr>
          <w:p w14:paraId="1DC24C67">
            <w:pPr>
              <w:widowControl/>
              <w:adjustRightInd w:val="0"/>
              <w:snapToGrid w:val="0"/>
              <w:jc w:val="center"/>
              <w:rPr>
                <w:rFonts w:ascii="宋体" w:hAnsi="宋体"/>
                <w:color w:val="auto"/>
              </w:rPr>
            </w:pPr>
            <w:r>
              <w:rPr>
                <w:rFonts w:ascii="宋体" w:hAnsi="宋体"/>
                <w:color w:val="auto"/>
              </w:rPr>
              <w:t>0.0</w:t>
            </w:r>
            <w:r>
              <w:rPr>
                <w:rFonts w:hint="eastAsia" w:ascii="宋体" w:hAnsi="宋体"/>
                <w:color w:val="auto"/>
              </w:rPr>
              <w:t>1</w:t>
            </w:r>
            <w:r>
              <w:rPr>
                <w:rFonts w:ascii="宋体" w:hAnsi="宋体"/>
                <w:color w:val="auto"/>
              </w:rPr>
              <w:t>mg/L</w:t>
            </w:r>
          </w:p>
        </w:tc>
      </w:tr>
      <w:tr w14:paraId="331A8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5A80733">
            <w:pPr>
              <w:pStyle w:val="76"/>
              <w:rPr>
                <w:rFonts w:hAnsi="宋体"/>
                <w:color w:val="auto"/>
              </w:rPr>
            </w:pPr>
          </w:p>
        </w:tc>
        <w:tc>
          <w:tcPr>
            <w:tcW w:w="1018" w:type="pct"/>
            <w:shd w:val="clear" w:color="auto" w:fill="auto"/>
            <w:vAlign w:val="center"/>
          </w:tcPr>
          <w:p w14:paraId="78686CD3">
            <w:pPr>
              <w:widowControl/>
              <w:adjustRightInd w:val="0"/>
              <w:snapToGrid w:val="0"/>
              <w:jc w:val="center"/>
              <w:rPr>
                <w:rFonts w:ascii="宋体" w:hAnsi="宋体"/>
                <w:color w:val="auto"/>
              </w:rPr>
            </w:pPr>
            <w:r>
              <w:rPr>
                <w:rFonts w:hint="eastAsia" w:ascii="宋体" w:hAnsi="宋体"/>
                <w:color w:val="auto"/>
              </w:rPr>
              <w:t>石油类</w:t>
            </w:r>
          </w:p>
        </w:tc>
        <w:tc>
          <w:tcPr>
            <w:tcW w:w="1985" w:type="pct"/>
            <w:shd w:val="clear" w:color="auto" w:fill="auto"/>
            <w:vAlign w:val="center"/>
          </w:tcPr>
          <w:p w14:paraId="1F1B7AB8">
            <w:pPr>
              <w:widowControl/>
              <w:adjustRightInd w:val="0"/>
              <w:snapToGrid w:val="0"/>
              <w:jc w:val="center"/>
              <w:rPr>
                <w:rFonts w:ascii="宋体" w:hAnsi="宋体"/>
                <w:color w:val="auto"/>
              </w:rPr>
            </w:pPr>
            <w:r>
              <w:rPr>
                <w:rFonts w:ascii="宋体" w:hAnsi="宋体"/>
                <w:color w:val="auto"/>
              </w:rPr>
              <w:t>水质石油类的测定 紫外分光光度法（试行）</w:t>
            </w:r>
          </w:p>
        </w:tc>
        <w:tc>
          <w:tcPr>
            <w:tcW w:w="985" w:type="pct"/>
            <w:shd w:val="clear" w:color="auto" w:fill="auto"/>
            <w:vAlign w:val="center"/>
          </w:tcPr>
          <w:p w14:paraId="6EED5536">
            <w:pPr>
              <w:widowControl/>
              <w:adjustRightInd w:val="0"/>
              <w:snapToGrid w:val="0"/>
              <w:jc w:val="center"/>
              <w:rPr>
                <w:rFonts w:ascii="宋体" w:hAnsi="宋体"/>
                <w:color w:val="auto"/>
              </w:rPr>
            </w:pPr>
            <w:r>
              <w:rPr>
                <w:rFonts w:ascii="宋体" w:hAnsi="宋体"/>
                <w:color w:val="auto"/>
              </w:rPr>
              <w:t>HJ 970-2018</w:t>
            </w:r>
          </w:p>
        </w:tc>
        <w:tc>
          <w:tcPr>
            <w:tcW w:w="750" w:type="pct"/>
            <w:shd w:val="clear" w:color="auto" w:fill="auto"/>
            <w:vAlign w:val="center"/>
          </w:tcPr>
          <w:p w14:paraId="569A6F91">
            <w:pPr>
              <w:widowControl/>
              <w:adjustRightInd w:val="0"/>
              <w:snapToGrid w:val="0"/>
              <w:jc w:val="center"/>
              <w:rPr>
                <w:rFonts w:ascii="宋体" w:hAnsi="宋体"/>
                <w:color w:val="auto"/>
              </w:rPr>
            </w:pPr>
            <w:r>
              <w:rPr>
                <w:rFonts w:ascii="宋体" w:hAnsi="宋体"/>
                <w:color w:val="auto"/>
              </w:rPr>
              <w:t>0.0</w:t>
            </w:r>
            <w:r>
              <w:rPr>
                <w:rFonts w:hint="eastAsia" w:ascii="宋体" w:hAnsi="宋体"/>
                <w:color w:val="auto"/>
              </w:rPr>
              <w:t>1</w:t>
            </w:r>
            <w:r>
              <w:rPr>
                <w:rFonts w:ascii="宋体" w:hAnsi="宋体"/>
                <w:color w:val="auto"/>
              </w:rPr>
              <w:t>mg/L</w:t>
            </w:r>
          </w:p>
        </w:tc>
      </w:tr>
      <w:tr w14:paraId="4A36D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shd w:val="clear" w:color="auto" w:fill="auto"/>
            <w:vAlign w:val="center"/>
          </w:tcPr>
          <w:p w14:paraId="3D6C13EC">
            <w:pPr>
              <w:widowControl/>
              <w:jc w:val="center"/>
              <w:rPr>
                <w:rFonts w:ascii="宋体" w:hAnsi="宋体"/>
                <w:color w:val="auto"/>
              </w:rPr>
            </w:pPr>
            <w:r>
              <w:rPr>
                <w:rFonts w:hint="eastAsia" w:ascii="宋体" w:hAnsi="宋体"/>
                <w:b/>
                <w:color w:val="auto"/>
              </w:rPr>
              <w:t>土壤检测方法</w:t>
            </w:r>
          </w:p>
        </w:tc>
      </w:tr>
      <w:tr w14:paraId="69915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4B23915">
            <w:pPr>
              <w:jc w:val="center"/>
              <w:rPr>
                <w:rFonts w:ascii="宋体" w:hAnsi="宋体"/>
                <w:color w:val="auto"/>
              </w:rPr>
            </w:pPr>
            <w:r>
              <w:rPr>
                <w:rFonts w:ascii="宋体" w:hAnsi="宋体"/>
                <w:color w:val="auto"/>
              </w:rPr>
              <w:t>1</w:t>
            </w:r>
          </w:p>
        </w:tc>
        <w:tc>
          <w:tcPr>
            <w:tcW w:w="1018" w:type="pct"/>
            <w:shd w:val="clear" w:color="auto" w:fill="auto"/>
            <w:vAlign w:val="center"/>
          </w:tcPr>
          <w:p w14:paraId="21CBE460">
            <w:pPr>
              <w:jc w:val="center"/>
              <w:rPr>
                <w:rFonts w:ascii="宋体" w:hAnsi="宋体"/>
                <w:color w:val="auto"/>
              </w:rPr>
            </w:pPr>
            <w:r>
              <w:rPr>
                <w:rFonts w:hint="eastAsia" w:ascii="宋体" w:hAnsi="宋体"/>
                <w:color w:val="auto"/>
              </w:rPr>
              <w:t>铅</w:t>
            </w:r>
          </w:p>
        </w:tc>
        <w:tc>
          <w:tcPr>
            <w:tcW w:w="1985" w:type="pct"/>
            <w:shd w:val="clear" w:color="auto" w:fill="auto"/>
            <w:vAlign w:val="center"/>
          </w:tcPr>
          <w:p w14:paraId="3315C609">
            <w:pPr>
              <w:jc w:val="center"/>
              <w:rPr>
                <w:rFonts w:ascii="宋体" w:hAnsi="宋体"/>
                <w:color w:val="auto"/>
              </w:rPr>
            </w:pPr>
            <w:r>
              <w:rPr>
                <w:rFonts w:hint="eastAsia" w:ascii="宋体" w:hAnsi="宋体"/>
                <w:color w:val="auto"/>
              </w:rPr>
              <w:t>土壤质量 铅、镉的测定 石墨炉原子吸收分光光度法</w:t>
            </w:r>
          </w:p>
        </w:tc>
        <w:tc>
          <w:tcPr>
            <w:tcW w:w="985" w:type="pct"/>
            <w:shd w:val="clear" w:color="auto" w:fill="auto"/>
            <w:vAlign w:val="center"/>
          </w:tcPr>
          <w:p w14:paraId="74769485">
            <w:pPr>
              <w:jc w:val="center"/>
              <w:rPr>
                <w:rFonts w:ascii="宋体" w:hAnsi="宋体"/>
                <w:iCs/>
                <w:color w:val="auto"/>
              </w:rPr>
            </w:pPr>
            <w:r>
              <w:rPr>
                <w:rFonts w:hint="eastAsia" w:ascii="宋体" w:hAnsi="宋体"/>
                <w:iCs/>
                <w:color w:val="auto"/>
              </w:rPr>
              <w:t>GB/T 17141-1997</w:t>
            </w:r>
          </w:p>
        </w:tc>
        <w:tc>
          <w:tcPr>
            <w:tcW w:w="750" w:type="pct"/>
            <w:shd w:val="clear" w:color="auto" w:fill="auto"/>
            <w:vAlign w:val="center"/>
          </w:tcPr>
          <w:p w14:paraId="47E2FCE1">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0.1</w:t>
            </w:r>
            <w:r>
              <w:rPr>
                <w:rFonts w:hint="eastAsia" w:ascii="宋体" w:hAnsi="宋体"/>
                <w:color w:val="auto"/>
              </w:rPr>
              <w:t>mg/kg</w:t>
            </w:r>
          </w:p>
        </w:tc>
      </w:tr>
      <w:tr w14:paraId="0C25D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5830B81">
            <w:pPr>
              <w:jc w:val="center"/>
              <w:rPr>
                <w:rFonts w:ascii="宋体" w:hAnsi="宋体"/>
                <w:color w:val="auto"/>
              </w:rPr>
            </w:pPr>
            <w:r>
              <w:rPr>
                <w:rFonts w:ascii="宋体" w:hAnsi="宋体"/>
                <w:color w:val="auto"/>
              </w:rPr>
              <w:t>2</w:t>
            </w:r>
          </w:p>
        </w:tc>
        <w:tc>
          <w:tcPr>
            <w:tcW w:w="1018" w:type="pct"/>
            <w:shd w:val="clear" w:color="auto" w:fill="auto"/>
            <w:vAlign w:val="center"/>
          </w:tcPr>
          <w:p w14:paraId="7166D91F">
            <w:pPr>
              <w:jc w:val="center"/>
              <w:rPr>
                <w:rFonts w:ascii="宋体" w:hAnsi="宋体"/>
                <w:color w:val="auto"/>
              </w:rPr>
            </w:pPr>
            <w:r>
              <w:rPr>
                <w:rFonts w:hint="eastAsia" w:ascii="宋体" w:hAnsi="宋体"/>
                <w:color w:val="auto"/>
              </w:rPr>
              <w:t>铜</w:t>
            </w:r>
          </w:p>
        </w:tc>
        <w:tc>
          <w:tcPr>
            <w:tcW w:w="1985" w:type="pct"/>
            <w:shd w:val="clear" w:color="auto" w:fill="auto"/>
            <w:vAlign w:val="center"/>
          </w:tcPr>
          <w:p w14:paraId="0A8B810B">
            <w:pPr>
              <w:jc w:val="center"/>
              <w:rPr>
                <w:rFonts w:ascii="宋体" w:hAnsi="宋体"/>
                <w:color w:val="auto"/>
              </w:rPr>
            </w:pPr>
            <w:r>
              <w:rPr>
                <w:rFonts w:hint="eastAsia" w:ascii="宋体" w:hAnsi="宋体"/>
                <w:color w:val="auto"/>
              </w:rPr>
              <w:t>土壤和沉积物 铜、锌、铅、镍、铬的测定 火焰原子吸收分光光度法</w:t>
            </w:r>
          </w:p>
        </w:tc>
        <w:tc>
          <w:tcPr>
            <w:tcW w:w="985" w:type="pct"/>
            <w:shd w:val="clear" w:color="auto" w:fill="auto"/>
            <w:vAlign w:val="center"/>
          </w:tcPr>
          <w:p w14:paraId="101CFABE">
            <w:pPr>
              <w:jc w:val="center"/>
              <w:rPr>
                <w:rFonts w:ascii="宋体" w:hAnsi="宋体"/>
                <w:iCs/>
                <w:color w:val="auto"/>
              </w:rPr>
            </w:pPr>
            <w:r>
              <w:rPr>
                <w:rFonts w:hint="eastAsia" w:ascii="宋体" w:hAnsi="宋体"/>
                <w:iCs/>
                <w:color w:val="auto"/>
              </w:rPr>
              <w:t>HJ 491-2019</w:t>
            </w:r>
          </w:p>
        </w:tc>
        <w:tc>
          <w:tcPr>
            <w:tcW w:w="750" w:type="pct"/>
            <w:shd w:val="clear" w:color="auto" w:fill="auto"/>
            <w:vAlign w:val="center"/>
          </w:tcPr>
          <w:p w14:paraId="22BFAA4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1mg/kg</w:t>
            </w:r>
          </w:p>
        </w:tc>
      </w:tr>
      <w:tr w14:paraId="26A35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CF1D0C5">
            <w:pPr>
              <w:jc w:val="center"/>
              <w:rPr>
                <w:rFonts w:ascii="宋体" w:hAnsi="宋体"/>
                <w:color w:val="auto"/>
              </w:rPr>
            </w:pPr>
            <w:r>
              <w:rPr>
                <w:rFonts w:ascii="宋体" w:hAnsi="宋体"/>
                <w:color w:val="auto"/>
              </w:rPr>
              <w:t>3</w:t>
            </w:r>
          </w:p>
        </w:tc>
        <w:tc>
          <w:tcPr>
            <w:tcW w:w="1018" w:type="pct"/>
            <w:shd w:val="clear" w:color="auto" w:fill="auto"/>
            <w:vAlign w:val="center"/>
          </w:tcPr>
          <w:p w14:paraId="31F38138">
            <w:pPr>
              <w:jc w:val="center"/>
              <w:rPr>
                <w:rFonts w:ascii="宋体" w:hAnsi="宋体"/>
                <w:color w:val="auto"/>
              </w:rPr>
            </w:pPr>
            <w:r>
              <w:rPr>
                <w:rFonts w:hint="eastAsia" w:ascii="宋体" w:hAnsi="宋体"/>
                <w:color w:val="auto"/>
              </w:rPr>
              <w:t>镍</w:t>
            </w:r>
          </w:p>
        </w:tc>
        <w:tc>
          <w:tcPr>
            <w:tcW w:w="1985" w:type="pct"/>
            <w:shd w:val="clear" w:color="auto" w:fill="auto"/>
            <w:vAlign w:val="center"/>
          </w:tcPr>
          <w:p w14:paraId="1D7404DD">
            <w:pPr>
              <w:jc w:val="center"/>
              <w:rPr>
                <w:rFonts w:ascii="宋体" w:hAnsi="宋体"/>
                <w:color w:val="auto"/>
              </w:rPr>
            </w:pPr>
            <w:r>
              <w:rPr>
                <w:rFonts w:hint="eastAsia" w:ascii="宋体" w:hAnsi="宋体"/>
                <w:color w:val="auto"/>
              </w:rPr>
              <w:t>土壤和沉积物 铜、锌、铅、镍、铬的测定 火焰原子吸收分光光度法</w:t>
            </w:r>
          </w:p>
        </w:tc>
        <w:tc>
          <w:tcPr>
            <w:tcW w:w="985" w:type="pct"/>
            <w:shd w:val="clear" w:color="auto" w:fill="auto"/>
            <w:vAlign w:val="center"/>
          </w:tcPr>
          <w:p w14:paraId="15688AED">
            <w:pPr>
              <w:jc w:val="center"/>
              <w:rPr>
                <w:rFonts w:ascii="宋体" w:hAnsi="宋体"/>
                <w:iCs/>
                <w:color w:val="auto"/>
              </w:rPr>
            </w:pPr>
            <w:r>
              <w:rPr>
                <w:rFonts w:hint="eastAsia" w:ascii="宋体" w:hAnsi="宋体"/>
                <w:iCs/>
                <w:color w:val="auto"/>
              </w:rPr>
              <w:t>HJ 491-2019</w:t>
            </w:r>
          </w:p>
        </w:tc>
        <w:tc>
          <w:tcPr>
            <w:tcW w:w="750" w:type="pct"/>
            <w:shd w:val="clear" w:color="auto" w:fill="auto"/>
            <w:vAlign w:val="center"/>
          </w:tcPr>
          <w:p w14:paraId="6BD45456">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3</w:t>
            </w:r>
            <w:r>
              <w:rPr>
                <w:rFonts w:hint="eastAsia" w:ascii="宋体" w:hAnsi="宋体"/>
                <w:color w:val="auto"/>
              </w:rPr>
              <w:t>mg/kg</w:t>
            </w:r>
          </w:p>
        </w:tc>
      </w:tr>
      <w:tr w14:paraId="3B34B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44C86DD">
            <w:pPr>
              <w:jc w:val="center"/>
              <w:rPr>
                <w:rFonts w:ascii="宋体" w:hAnsi="宋体"/>
                <w:color w:val="auto"/>
              </w:rPr>
            </w:pPr>
            <w:r>
              <w:rPr>
                <w:rFonts w:ascii="宋体" w:hAnsi="宋体"/>
                <w:color w:val="auto"/>
              </w:rPr>
              <w:t>4</w:t>
            </w:r>
          </w:p>
        </w:tc>
        <w:tc>
          <w:tcPr>
            <w:tcW w:w="1018" w:type="pct"/>
            <w:shd w:val="clear" w:color="auto" w:fill="auto"/>
            <w:vAlign w:val="center"/>
          </w:tcPr>
          <w:p w14:paraId="5BAEBC18">
            <w:pPr>
              <w:jc w:val="center"/>
              <w:rPr>
                <w:rFonts w:ascii="宋体" w:hAnsi="宋体"/>
                <w:color w:val="auto"/>
              </w:rPr>
            </w:pPr>
            <w:r>
              <w:rPr>
                <w:rFonts w:hint="eastAsia" w:ascii="宋体" w:hAnsi="宋体"/>
                <w:color w:val="auto"/>
              </w:rPr>
              <w:t>镉</w:t>
            </w:r>
          </w:p>
        </w:tc>
        <w:tc>
          <w:tcPr>
            <w:tcW w:w="1985" w:type="pct"/>
            <w:shd w:val="clear" w:color="auto" w:fill="auto"/>
            <w:vAlign w:val="center"/>
          </w:tcPr>
          <w:p w14:paraId="4939B887">
            <w:pPr>
              <w:jc w:val="center"/>
              <w:rPr>
                <w:rFonts w:ascii="宋体" w:hAnsi="宋体"/>
                <w:color w:val="auto"/>
              </w:rPr>
            </w:pPr>
            <w:r>
              <w:rPr>
                <w:rFonts w:hint="eastAsia" w:ascii="宋体" w:hAnsi="宋体"/>
                <w:color w:val="auto"/>
              </w:rPr>
              <w:t>土壤质量 铅、镉的测定 石墨炉原子吸收分光光度法</w:t>
            </w:r>
          </w:p>
        </w:tc>
        <w:tc>
          <w:tcPr>
            <w:tcW w:w="985" w:type="pct"/>
            <w:shd w:val="clear" w:color="auto" w:fill="auto"/>
            <w:vAlign w:val="center"/>
          </w:tcPr>
          <w:p w14:paraId="45EB3EDC">
            <w:pPr>
              <w:jc w:val="center"/>
              <w:rPr>
                <w:rFonts w:ascii="宋体" w:hAnsi="宋体"/>
                <w:iCs/>
                <w:color w:val="auto"/>
              </w:rPr>
            </w:pPr>
            <w:r>
              <w:rPr>
                <w:rFonts w:hint="eastAsia" w:ascii="宋体" w:hAnsi="宋体"/>
                <w:iCs/>
                <w:color w:val="auto"/>
              </w:rPr>
              <w:t>GB/T 17141-1997</w:t>
            </w:r>
          </w:p>
        </w:tc>
        <w:tc>
          <w:tcPr>
            <w:tcW w:w="750" w:type="pct"/>
            <w:shd w:val="clear" w:color="auto" w:fill="auto"/>
            <w:vAlign w:val="center"/>
          </w:tcPr>
          <w:p w14:paraId="6169202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w:t>
            </w:r>
            <w:r>
              <w:rPr>
                <w:rFonts w:ascii="宋体" w:hAnsi="宋体"/>
                <w:color w:val="auto"/>
              </w:rPr>
              <w:t xml:space="preserve">.01 </w:t>
            </w:r>
            <w:r>
              <w:rPr>
                <w:rFonts w:hint="eastAsia" w:ascii="宋体" w:hAnsi="宋体"/>
                <w:color w:val="auto"/>
              </w:rPr>
              <w:t>mg/kg</w:t>
            </w:r>
          </w:p>
        </w:tc>
      </w:tr>
      <w:tr w14:paraId="7F454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24C9A50">
            <w:pPr>
              <w:jc w:val="center"/>
              <w:rPr>
                <w:rFonts w:ascii="宋体" w:hAnsi="宋体"/>
                <w:color w:val="auto"/>
              </w:rPr>
            </w:pPr>
            <w:r>
              <w:rPr>
                <w:rFonts w:ascii="宋体" w:hAnsi="宋体"/>
                <w:color w:val="auto"/>
              </w:rPr>
              <w:t>5</w:t>
            </w:r>
          </w:p>
        </w:tc>
        <w:tc>
          <w:tcPr>
            <w:tcW w:w="1018" w:type="pct"/>
            <w:shd w:val="clear" w:color="auto" w:fill="auto"/>
            <w:vAlign w:val="center"/>
          </w:tcPr>
          <w:p w14:paraId="507807F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六价铬</w:t>
            </w:r>
          </w:p>
        </w:tc>
        <w:tc>
          <w:tcPr>
            <w:tcW w:w="1985" w:type="pct"/>
            <w:shd w:val="clear" w:color="auto" w:fill="auto"/>
            <w:vAlign w:val="center"/>
          </w:tcPr>
          <w:p w14:paraId="68EABA7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六价铬的测定 碱溶液提取-火焰原子吸收分光光度法</w:t>
            </w:r>
          </w:p>
        </w:tc>
        <w:tc>
          <w:tcPr>
            <w:tcW w:w="985" w:type="pct"/>
            <w:shd w:val="clear" w:color="auto" w:fill="auto"/>
            <w:vAlign w:val="center"/>
          </w:tcPr>
          <w:p w14:paraId="23186766">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HJ 1082-2019</w:t>
            </w:r>
          </w:p>
        </w:tc>
        <w:tc>
          <w:tcPr>
            <w:tcW w:w="750" w:type="pct"/>
            <w:shd w:val="clear" w:color="auto" w:fill="auto"/>
            <w:vAlign w:val="center"/>
          </w:tcPr>
          <w:p w14:paraId="7198597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w:t>
            </w:r>
            <w:r>
              <w:rPr>
                <w:rFonts w:ascii="宋体" w:hAnsi="宋体"/>
                <w:color w:val="auto"/>
              </w:rPr>
              <w:t>.5</w:t>
            </w:r>
            <w:r>
              <w:rPr>
                <w:rFonts w:hint="eastAsia" w:ascii="宋体" w:hAnsi="宋体"/>
                <w:color w:val="auto"/>
              </w:rPr>
              <w:t>mg/kg</w:t>
            </w:r>
          </w:p>
        </w:tc>
      </w:tr>
      <w:tr w14:paraId="03248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B6ADBB5">
            <w:pPr>
              <w:jc w:val="center"/>
              <w:rPr>
                <w:rFonts w:ascii="宋体" w:hAnsi="宋体"/>
                <w:color w:val="auto"/>
              </w:rPr>
            </w:pPr>
            <w:r>
              <w:rPr>
                <w:rFonts w:ascii="宋体" w:hAnsi="宋体"/>
                <w:color w:val="auto"/>
              </w:rPr>
              <w:t>6</w:t>
            </w:r>
          </w:p>
        </w:tc>
        <w:tc>
          <w:tcPr>
            <w:tcW w:w="1018" w:type="pct"/>
            <w:shd w:val="clear" w:color="auto" w:fill="auto"/>
            <w:vAlign w:val="center"/>
          </w:tcPr>
          <w:p w14:paraId="7D7CB21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汞</w:t>
            </w:r>
          </w:p>
        </w:tc>
        <w:tc>
          <w:tcPr>
            <w:tcW w:w="1985" w:type="pct"/>
            <w:shd w:val="clear" w:color="auto" w:fill="auto"/>
            <w:vAlign w:val="center"/>
          </w:tcPr>
          <w:p w14:paraId="5EAA649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汞、砷、硒、铋、锑的测定 微波消解/原子荧光法</w:t>
            </w:r>
          </w:p>
        </w:tc>
        <w:tc>
          <w:tcPr>
            <w:tcW w:w="985" w:type="pct"/>
            <w:shd w:val="clear" w:color="auto" w:fill="auto"/>
            <w:vAlign w:val="center"/>
          </w:tcPr>
          <w:p w14:paraId="0D24A7CD">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HJ 680-2013</w:t>
            </w:r>
          </w:p>
        </w:tc>
        <w:tc>
          <w:tcPr>
            <w:tcW w:w="750" w:type="pct"/>
            <w:shd w:val="clear" w:color="auto" w:fill="auto"/>
            <w:vAlign w:val="center"/>
          </w:tcPr>
          <w:p w14:paraId="5FB35FF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0.002mg/kg</w:t>
            </w:r>
          </w:p>
        </w:tc>
      </w:tr>
      <w:tr w14:paraId="7A9E7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31E2BF4">
            <w:pPr>
              <w:jc w:val="center"/>
              <w:rPr>
                <w:rFonts w:ascii="宋体" w:hAnsi="宋体"/>
                <w:color w:val="auto"/>
              </w:rPr>
            </w:pPr>
            <w:r>
              <w:rPr>
                <w:rFonts w:ascii="宋体" w:hAnsi="宋体"/>
                <w:color w:val="auto"/>
              </w:rPr>
              <w:t>7</w:t>
            </w:r>
          </w:p>
        </w:tc>
        <w:tc>
          <w:tcPr>
            <w:tcW w:w="1018" w:type="pct"/>
            <w:shd w:val="clear" w:color="auto" w:fill="auto"/>
            <w:vAlign w:val="center"/>
          </w:tcPr>
          <w:p w14:paraId="6BBE6FC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砷</w:t>
            </w:r>
          </w:p>
        </w:tc>
        <w:tc>
          <w:tcPr>
            <w:tcW w:w="1985" w:type="pct"/>
            <w:shd w:val="clear" w:color="auto" w:fill="auto"/>
            <w:vAlign w:val="center"/>
          </w:tcPr>
          <w:p w14:paraId="387BC45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汞、砷、硒、铋、锑的测定 微波消解/原子荧光法</w:t>
            </w:r>
          </w:p>
        </w:tc>
        <w:tc>
          <w:tcPr>
            <w:tcW w:w="985" w:type="pct"/>
            <w:shd w:val="clear" w:color="auto" w:fill="auto"/>
            <w:vAlign w:val="center"/>
          </w:tcPr>
          <w:p w14:paraId="30DD5B97">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HJ 680-2013</w:t>
            </w:r>
          </w:p>
        </w:tc>
        <w:tc>
          <w:tcPr>
            <w:tcW w:w="750" w:type="pct"/>
            <w:shd w:val="clear" w:color="auto" w:fill="auto"/>
            <w:vAlign w:val="center"/>
          </w:tcPr>
          <w:p w14:paraId="70DAFAC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0.01 mg/kg</w:t>
            </w:r>
          </w:p>
        </w:tc>
      </w:tr>
      <w:tr w14:paraId="104B5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21535AA">
            <w:pPr>
              <w:jc w:val="center"/>
              <w:rPr>
                <w:rFonts w:ascii="宋体" w:hAnsi="宋体"/>
                <w:color w:val="auto"/>
              </w:rPr>
            </w:pPr>
            <w:r>
              <w:rPr>
                <w:rFonts w:ascii="宋体" w:hAnsi="宋体"/>
                <w:color w:val="auto"/>
              </w:rPr>
              <w:t>8</w:t>
            </w:r>
          </w:p>
        </w:tc>
        <w:tc>
          <w:tcPr>
            <w:tcW w:w="1018" w:type="pct"/>
            <w:shd w:val="clear" w:color="auto" w:fill="auto"/>
            <w:vAlign w:val="center"/>
          </w:tcPr>
          <w:p w14:paraId="73A7DC3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四氯化碳</w:t>
            </w:r>
          </w:p>
        </w:tc>
        <w:tc>
          <w:tcPr>
            <w:tcW w:w="1985" w:type="pct"/>
            <w:shd w:val="clear" w:color="auto" w:fill="auto"/>
            <w:vAlign w:val="center"/>
          </w:tcPr>
          <w:p w14:paraId="489278D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63042C3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7EAB0C4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2186E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F3B0A41">
            <w:pPr>
              <w:jc w:val="center"/>
              <w:rPr>
                <w:rFonts w:ascii="宋体" w:hAnsi="宋体"/>
                <w:color w:val="auto"/>
              </w:rPr>
            </w:pPr>
            <w:r>
              <w:rPr>
                <w:rFonts w:ascii="宋体" w:hAnsi="宋体"/>
                <w:color w:val="auto"/>
              </w:rPr>
              <w:t>9</w:t>
            </w:r>
          </w:p>
        </w:tc>
        <w:tc>
          <w:tcPr>
            <w:tcW w:w="1018" w:type="pct"/>
            <w:shd w:val="clear" w:color="auto" w:fill="auto"/>
            <w:vAlign w:val="center"/>
          </w:tcPr>
          <w:p w14:paraId="3120D67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氯仿</w:t>
            </w:r>
          </w:p>
        </w:tc>
        <w:tc>
          <w:tcPr>
            <w:tcW w:w="1985" w:type="pct"/>
            <w:shd w:val="clear" w:color="auto" w:fill="auto"/>
            <w:vAlign w:val="center"/>
          </w:tcPr>
          <w:p w14:paraId="5CD818D0">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73E54FD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EC7A19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1.1µg/kg</w:t>
            </w:r>
          </w:p>
        </w:tc>
      </w:tr>
      <w:tr w14:paraId="795D9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625864D">
            <w:pPr>
              <w:jc w:val="center"/>
              <w:rPr>
                <w:rFonts w:ascii="宋体" w:hAnsi="宋体"/>
                <w:color w:val="auto"/>
              </w:rPr>
            </w:pPr>
            <w:r>
              <w:rPr>
                <w:rFonts w:ascii="宋体" w:hAnsi="宋体"/>
                <w:color w:val="auto"/>
              </w:rPr>
              <w:t>10</w:t>
            </w:r>
          </w:p>
        </w:tc>
        <w:tc>
          <w:tcPr>
            <w:tcW w:w="1018" w:type="pct"/>
            <w:shd w:val="clear" w:color="auto" w:fill="auto"/>
            <w:vAlign w:val="center"/>
          </w:tcPr>
          <w:p w14:paraId="74D6C51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氯甲烷</w:t>
            </w:r>
          </w:p>
        </w:tc>
        <w:tc>
          <w:tcPr>
            <w:tcW w:w="1985" w:type="pct"/>
            <w:shd w:val="clear" w:color="auto" w:fill="auto"/>
            <w:vAlign w:val="center"/>
          </w:tcPr>
          <w:p w14:paraId="295074E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097D884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A93C06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1.0µg/kg</w:t>
            </w:r>
          </w:p>
        </w:tc>
      </w:tr>
      <w:tr w14:paraId="5F08F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7AA8D4E">
            <w:pPr>
              <w:jc w:val="center"/>
              <w:rPr>
                <w:rFonts w:ascii="宋体" w:hAnsi="宋体"/>
                <w:color w:val="auto"/>
              </w:rPr>
            </w:pPr>
            <w:r>
              <w:rPr>
                <w:rFonts w:ascii="宋体" w:hAnsi="宋体"/>
                <w:color w:val="auto"/>
              </w:rPr>
              <w:t>11</w:t>
            </w:r>
          </w:p>
        </w:tc>
        <w:tc>
          <w:tcPr>
            <w:tcW w:w="1018" w:type="pct"/>
            <w:shd w:val="clear" w:color="auto" w:fill="auto"/>
            <w:vAlign w:val="center"/>
          </w:tcPr>
          <w:p w14:paraId="3C0A4EC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1，1-二氯乙烷</w:t>
            </w:r>
          </w:p>
        </w:tc>
        <w:tc>
          <w:tcPr>
            <w:tcW w:w="1985" w:type="pct"/>
            <w:shd w:val="clear" w:color="auto" w:fill="auto"/>
            <w:vAlign w:val="center"/>
          </w:tcPr>
          <w:p w14:paraId="139BDC2E">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3AB69E4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34D7912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43654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23F7896">
            <w:pPr>
              <w:spacing w:before="100" w:beforeAutospacing="1" w:after="100" w:afterAutospacing="1"/>
              <w:jc w:val="center"/>
              <w:rPr>
                <w:rFonts w:ascii="宋体" w:hAnsi="宋体"/>
                <w:color w:val="auto"/>
                <w:spacing w:val="-5"/>
              </w:rPr>
            </w:pPr>
            <w:r>
              <w:rPr>
                <w:rFonts w:ascii="宋体" w:hAnsi="宋体"/>
                <w:color w:val="auto"/>
                <w:spacing w:val="-5"/>
              </w:rPr>
              <w:t>12</w:t>
            </w:r>
          </w:p>
        </w:tc>
        <w:tc>
          <w:tcPr>
            <w:tcW w:w="1018" w:type="pct"/>
            <w:shd w:val="clear" w:color="auto" w:fill="auto"/>
            <w:vAlign w:val="center"/>
          </w:tcPr>
          <w:p w14:paraId="6BE5CFF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1，2-二氯乙烷</w:t>
            </w:r>
          </w:p>
        </w:tc>
        <w:tc>
          <w:tcPr>
            <w:tcW w:w="1985" w:type="pct"/>
            <w:shd w:val="clear" w:color="auto" w:fill="auto"/>
            <w:vAlign w:val="center"/>
          </w:tcPr>
          <w:p w14:paraId="4BA8E23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24A5B0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029A307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00B89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21098D0">
            <w:pPr>
              <w:spacing w:before="100" w:beforeAutospacing="1" w:after="100" w:afterAutospacing="1"/>
              <w:jc w:val="center"/>
              <w:rPr>
                <w:rFonts w:ascii="宋体" w:hAnsi="宋体"/>
                <w:color w:val="auto"/>
                <w:spacing w:val="-5"/>
              </w:rPr>
            </w:pPr>
            <w:r>
              <w:rPr>
                <w:rFonts w:ascii="宋体" w:hAnsi="宋体"/>
                <w:color w:val="auto"/>
                <w:spacing w:val="-5"/>
              </w:rPr>
              <w:t>13</w:t>
            </w:r>
          </w:p>
        </w:tc>
        <w:tc>
          <w:tcPr>
            <w:tcW w:w="1018" w:type="pct"/>
            <w:shd w:val="clear" w:color="auto" w:fill="auto"/>
            <w:vAlign w:val="center"/>
          </w:tcPr>
          <w:p w14:paraId="3D750ED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w:t>
            </w:r>
          </w:p>
        </w:tc>
        <w:tc>
          <w:tcPr>
            <w:tcW w:w="1985" w:type="pct"/>
            <w:shd w:val="clear" w:color="auto" w:fill="auto"/>
            <w:vAlign w:val="center"/>
          </w:tcPr>
          <w:p w14:paraId="37BFD480">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1DE98C5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071969E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1.9µg/kg</w:t>
            </w:r>
          </w:p>
        </w:tc>
      </w:tr>
      <w:tr w14:paraId="0869B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B8CE648">
            <w:pPr>
              <w:spacing w:before="100" w:beforeAutospacing="1" w:after="100" w:afterAutospacing="1"/>
              <w:jc w:val="center"/>
              <w:rPr>
                <w:rFonts w:ascii="宋体" w:hAnsi="宋体"/>
                <w:color w:val="auto"/>
                <w:spacing w:val="-5"/>
              </w:rPr>
            </w:pPr>
            <w:r>
              <w:rPr>
                <w:rFonts w:ascii="宋体" w:hAnsi="宋体"/>
                <w:color w:val="auto"/>
                <w:spacing w:val="-5"/>
              </w:rPr>
              <w:t>14</w:t>
            </w:r>
          </w:p>
        </w:tc>
        <w:tc>
          <w:tcPr>
            <w:tcW w:w="1018" w:type="pct"/>
            <w:shd w:val="clear" w:color="auto" w:fill="auto"/>
            <w:vAlign w:val="center"/>
          </w:tcPr>
          <w:p w14:paraId="50BD2DC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1，1-二氯乙烯</w:t>
            </w:r>
          </w:p>
        </w:tc>
        <w:tc>
          <w:tcPr>
            <w:tcW w:w="1985" w:type="pct"/>
            <w:shd w:val="clear" w:color="auto" w:fill="auto"/>
            <w:vAlign w:val="center"/>
          </w:tcPr>
          <w:p w14:paraId="6869B56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7FCA8C9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224ACA8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1.0µg/kg</w:t>
            </w:r>
          </w:p>
        </w:tc>
      </w:tr>
      <w:tr w14:paraId="099A8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437C5DB">
            <w:pPr>
              <w:spacing w:before="100" w:beforeAutospacing="1" w:after="100" w:afterAutospacing="1"/>
              <w:jc w:val="center"/>
              <w:rPr>
                <w:rFonts w:ascii="宋体" w:hAnsi="宋体"/>
                <w:color w:val="auto"/>
                <w:spacing w:val="-5"/>
              </w:rPr>
            </w:pPr>
            <w:r>
              <w:rPr>
                <w:rFonts w:ascii="宋体" w:hAnsi="宋体"/>
                <w:color w:val="auto"/>
                <w:spacing w:val="-5"/>
              </w:rPr>
              <w:t>15</w:t>
            </w:r>
          </w:p>
        </w:tc>
        <w:tc>
          <w:tcPr>
            <w:tcW w:w="1018" w:type="pct"/>
            <w:shd w:val="clear" w:color="auto" w:fill="auto"/>
            <w:vAlign w:val="center"/>
          </w:tcPr>
          <w:p w14:paraId="492721A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顺-1,2-二氯乙烯</w:t>
            </w:r>
          </w:p>
        </w:tc>
        <w:tc>
          <w:tcPr>
            <w:tcW w:w="1985" w:type="pct"/>
            <w:shd w:val="clear" w:color="auto" w:fill="auto"/>
            <w:vAlign w:val="center"/>
          </w:tcPr>
          <w:p w14:paraId="0CD76105">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50EE0C6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5BF2DFA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37989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6A80F8D">
            <w:pPr>
              <w:spacing w:before="100" w:beforeAutospacing="1" w:after="100" w:afterAutospacing="1"/>
              <w:jc w:val="center"/>
              <w:rPr>
                <w:rFonts w:ascii="宋体" w:hAnsi="宋体"/>
                <w:color w:val="auto"/>
                <w:spacing w:val="-5"/>
              </w:rPr>
            </w:pPr>
            <w:r>
              <w:rPr>
                <w:rFonts w:ascii="宋体" w:hAnsi="宋体"/>
                <w:color w:val="auto"/>
                <w:spacing w:val="-5"/>
              </w:rPr>
              <w:t>16</w:t>
            </w:r>
          </w:p>
        </w:tc>
        <w:tc>
          <w:tcPr>
            <w:tcW w:w="1018" w:type="pct"/>
            <w:shd w:val="clear" w:color="auto" w:fill="auto"/>
            <w:vAlign w:val="center"/>
          </w:tcPr>
          <w:p w14:paraId="26E4D2B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反-1,2-二氯乙烯</w:t>
            </w:r>
          </w:p>
        </w:tc>
        <w:tc>
          <w:tcPr>
            <w:tcW w:w="1985" w:type="pct"/>
            <w:shd w:val="clear" w:color="auto" w:fill="auto"/>
            <w:vAlign w:val="center"/>
          </w:tcPr>
          <w:p w14:paraId="7684843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5E749CD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FDF0B9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1.4µg/kg</w:t>
            </w:r>
          </w:p>
        </w:tc>
      </w:tr>
      <w:tr w14:paraId="5CCC2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2830632">
            <w:pPr>
              <w:spacing w:before="100" w:beforeAutospacing="1" w:after="100" w:afterAutospacing="1"/>
              <w:jc w:val="center"/>
              <w:rPr>
                <w:rFonts w:ascii="宋体" w:hAnsi="宋体"/>
                <w:color w:val="auto"/>
                <w:spacing w:val="-5"/>
              </w:rPr>
            </w:pPr>
            <w:r>
              <w:rPr>
                <w:rFonts w:ascii="宋体" w:hAnsi="宋体"/>
                <w:color w:val="auto"/>
                <w:spacing w:val="-5"/>
              </w:rPr>
              <w:t>17</w:t>
            </w:r>
          </w:p>
        </w:tc>
        <w:tc>
          <w:tcPr>
            <w:tcW w:w="1018" w:type="pct"/>
            <w:shd w:val="clear" w:color="auto" w:fill="auto"/>
            <w:vAlign w:val="center"/>
          </w:tcPr>
          <w:p w14:paraId="6E59BCF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二氯甲烷</w:t>
            </w:r>
          </w:p>
        </w:tc>
        <w:tc>
          <w:tcPr>
            <w:tcW w:w="1985" w:type="pct"/>
            <w:shd w:val="clear" w:color="auto" w:fill="auto"/>
            <w:vAlign w:val="center"/>
          </w:tcPr>
          <w:p w14:paraId="5DA0163B">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182B4CE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0395E2D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1.5µg/kg</w:t>
            </w:r>
          </w:p>
        </w:tc>
      </w:tr>
      <w:tr w14:paraId="68CCA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885CC86">
            <w:pPr>
              <w:spacing w:before="100" w:beforeAutospacing="1" w:after="100" w:afterAutospacing="1"/>
              <w:jc w:val="center"/>
              <w:rPr>
                <w:rFonts w:ascii="宋体" w:hAnsi="宋体"/>
                <w:color w:val="auto"/>
                <w:spacing w:val="-5"/>
              </w:rPr>
            </w:pPr>
            <w:r>
              <w:rPr>
                <w:rFonts w:ascii="宋体" w:hAnsi="宋体"/>
                <w:color w:val="auto"/>
                <w:spacing w:val="-5"/>
              </w:rPr>
              <w:t>18</w:t>
            </w:r>
          </w:p>
        </w:tc>
        <w:tc>
          <w:tcPr>
            <w:tcW w:w="1018" w:type="pct"/>
            <w:shd w:val="clear" w:color="auto" w:fill="auto"/>
            <w:vAlign w:val="center"/>
          </w:tcPr>
          <w:p w14:paraId="6665D5D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1，2-二氯丙烷</w:t>
            </w:r>
          </w:p>
        </w:tc>
        <w:tc>
          <w:tcPr>
            <w:tcW w:w="1985" w:type="pct"/>
            <w:shd w:val="clear" w:color="auto" w:fill="auto"/>
            <w:vAlign w:val="center"/>
          </w:tcPr>
          <w:p w14:paraId="69F5993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49F953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3B5BDB3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1.1µg/kg</w:t>
            </w:r>
          </w:p>
        </w:tc>
      </w:tr>
      <w:tr w14:paraId="6725E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2652260">
            <w:pPr>
              <w:spacing w:before="100" w:beforeAutospacing="1" w:after="100" w:afterAutospacing="1"/>
              <w:jc w:val="center"/>
              <w:rPr>
                <w:rFonts w:ascii="宋体" w:hAnsi="宋体"/>
                <w:color w:val="auto"/>
                <w:spacing w:val="-5"/>
              </w:rPr>
            </w:pPr>
            <w:r>
              <w:rPr>
                <w:rFonts w:ascii="宋体" w:hAnsi="宋体"/>
                <w:color w:val="auto"/>
                <w:spacing w:val="-5"/>
              </w:rPr>
              <w:t>19</w:t>
            </w:r>
          </w:p>
        </w:tc>
        <w:tc>
          <w:tcPr>
            <w:tcW w:w="1018" w:type="pct"/>
            <w:shd w:val="clear" w:color="auto" w:fill="auto"/>
            <w:vAlign w:val="center"/>
          </w:tcPr>
          <w:p w14:paraId="4D7B1BB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1，1，1，2-四氯乙烷</w:t>
            </w:r>
          </w:p>
        </w:tc>
        <w:tc>
          <w:tcPr>
            <w:tcW w:w="1985" w:type="pct"/>
            <w:shd w:val="clear" w:color="auto" w:fill="auto"/>
            <w:vAlign w:val="center"/>
          </w:tcPr>
          <w:p w14:paraId="494AF7E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68CAC7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43E7C08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0906D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6568E07">
            <w:pPr>
              <w:spacing w:before="100" w:beforeAutospacing="1" w:after="100" w:afterAutospacing="1"/>
              <w:jc w:val="center"/>
              <w:rPr>
                <w:rFonts w:ascii="宋体" w:hAnsi="宋体"/>
                <w:color w:val="auto"/>
                <w:spacing w:val="-5"/>
              </w:rPr>
            </w:pPr>
            <w:r>
              <w:rPr>
                <w:rFonts w:ascii="宋体" w:hAnsi="宋体"/>
                <w:color w:val="auto"/>
                <w:spacing w:val="-5"/>
              </w:rPr>
              <w:t>20</w:t>
            </w:r>
          </w:p>
        </w:tc>
        <w:tc>
          <w:tcPr>
            <w:tcW w:w="1018" w:type="pct"/>
            <w:shd w:val="clear" w:color="auto" w:fill="auto"/>
            <w:vAlign w:val="center"/>
          </w:tcPr>
          <w:p w14:paraId="44B8F8D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1，1，2，2-四氯乙烷</w:t>
            </w:r>
          </w:p>
        </w:tc>
        <w:tc>
          <w:tcPr>
            <w:tcW w:w="1985" w:type="pct"/>
            <w:shd w:val="clear" w:color="auto" w:fill="auto"/>
            <w:vAlign w:val="center"/>
          </w:tcPr>
          <w:p w14:paraId="0ACFBE9A">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1C7246B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7BF5E60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05735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F87D278">
            <w:pPr>
              <w:spacing w:before="100" w:beforeAutospacing="1" w:after="100" w:afterAutospacing="1"/>
              <w:jc w:val="center"/>
              <w:rPr>
                <w:rFonts w:ascii="宋体" w:hAnsi="宋体"/>
                <w:color w:val="auto"/>
                <w:spacing w:val="-5"/>
              </w:rPr>
            </w:pPr>
            <w:r>
              <w:rPr>
                <w:rFonts w:ascii="宋体" w:hAnsi="宋体"/>
                <w:color w:val="auto"/>
                <w:spacing w:val="-5"/>
              </w:rPr>
              <w:t>21</w:t>
            </w:r>
          </w:p>
        </w:tc>
        <w:tc>
          <w:tcPr>
            <w:tcW w:w="1018" w:type="pct"/>
            <w:shd w:val="clear" w:color="auto" w:fill="auto"/>
            <w:vAlign w:val="center"/>
          </w:tcPr>
          <w:p w14:paraId="446E6CF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四氯乙烯</w:t>
            </w:r>
          </w:p>
        </w:tc>
        <w:tc>
          <w:tcPr>
            <w:tcW w:w="1985" w:type="pct"/>
            <w:shd w:val="clear" w:color="auto" w:fill="auto"/>
            <w:vAlign w:val="center"/>
          </w:tcPr>
          <w:p w14:paraId="6F69F4D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7E89460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8DCF91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1.4µg/kg</w:t>
            </w:r>
          </w:p>
        </w:tc>
      </w:tr>
      <w:tr w14:paraId="000A0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170D2C3">
            <w:pPr>
              <w:spacing w:before="100" w:beforeAutospacing="1" w:after="100" w:afterAutospacing="1"/>
              <w:jc w:val="center"/>
              <w:rPr>
                <w:rFonts w:ascii="宋体" w:hAnsi="宋体"/>
                <w:color w:val="auto"/>
                <w:spacing w:val="-5"/>
              </w:rPr>
            </w:pPr>
            <w:r>
              <w:rPr>
                <w:rFonts w:ascii="宋体" w:hAnsi="宋体"/>
                <w:color w:val="auto"/>
                <w:spacing w:val="-5"/>
              </w:rPr>
              <w:t>22</w:t>
            </w:r>
          </w:p>
        </w:tc>
        <w:tc>
          <w:tcPr>
            <w:tcW w:w="1018" w:type="pct"/>
            <w:shd w:val="clear" w:color="auto" w:fill="auto"/>
            <w:vAlign w:val="center"/>
          </w:tcPr>
          <w:p w14:paraId="300DA45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1，1，1-三氯乙烷</w:t>
            </w:r>
          </w:p>
        </w:tc>
        <w:tc>
          <w:tcPr>
            <w:tcW w:w="1985" w:type="pct"/>
            <w:shd w:val="clear" w:color="auto" w:fill="auto"/>
            <w:vAlign w:val="center"/>
          </w:tcPr>
          <w:p w14:paraId="1E57E330">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1C2258C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5C5C395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6A80A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A2E4265">
            <w:pPr>
              <w:spacing w:before="100" w:beforeAutospacing="1" w:after="100" w:afterAutospacing="1"/>
              <w:jc w:val="center"/>
              <w:rPr>
                <w:rFonts w:ascii="宋体" w:hAnsi="宋体"/>
                <w:color w:val="auto"/>
                <w:spacing w:val="-5"/>
              </w:rPr>
            </w:pPr>
            <w:r>
              <w:rPr>
                <w:rFonts w:ascii="宋体" w:hAnsi="宋体"/>
                <w:color w:val="auto"/>
                <w:spacing w:val="-5"/>
              </w:rPr>
              <w:t>23</w:t>
            </w:r>
          </w:p>
        </w:tc>
        <w:tc>
          <w:tcPr>
            <w:tcW w:w="1018" w:type="pct"/>
            <w:shd w:val="clear" w:color="auto" w:fill="auto"/>
            <w:vAlign w:val="center"/>
          </w:tcPr>
          <w:p w14:paraId="20351A9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1，1，2-三氯乙烷</w:t>
            </w:r>
          </w:p>
        </w:tc>
        <w:tc>
          <w:tcPr>
            <w:tcW w:w="1985" w:type="pct"/>
            <w:shd w:val="clear" w:color="auto" w:fill="auto"/>
            <w:vAlign w:val="center"/>
          </w:tcPr>
          <w:p w14:paraId="7DA5E18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BB38F4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3D2C620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70302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A5FCD3B">
            <w:pPr>
              <w:spacing w:before="100" w:beforeAutospacing="1" w:after="100" w:afterAutospacing="1"/>
              <w:jc w:val="center"/>
              <w:rPr>
                <w:rFonts w:ascii="宋体" w:hAnsi="宋体"/>
                <w:color w:val="auto"/>
                <w:spacing w:val="-5"/>
              </w:rPr>
            </w:pPr>
            <w:r>
              <w:rPr>
                <w:rFonts w:ascii="宋体" w:hAnsi="宋体"/>
                <w:color w:val="auto"/>
                <w:spacing w:val="-5"/>
              </w:rPr>
              <w:t>24</w:t>
            </w:r>
          </w:p>
        </w:tc>
        <w:tc>
          <w:tcPr>
            <w:tcW w:w="1018" w:type="pct"/>
            <w:shd w:val="clear" w:color="auto" w:fill="auto"/>
            <w:vAlign w:val="center"/>
          </w:tcPr>
          <w:p w14:paraId="41DF903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三氯乙烯</w:t>
            </w:r>
          </w:p>
        </w:tc>
        <w:tc>
          <w:tcPr>
            <w:tcW w:w="1985" w:type="pct"/>
            <w:shd w:val="clear" w:color="auto" w:fill="auto"/>
            <w:vAlign w:val="center"/>
          </w:tcPr>
          <w:p w14:paraId="679CC0DB">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CBE8A0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55F3EC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17CAF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A4C971B">
            <w:pPr>
              <w:spacing w:before="100" w:beforeAutospacing="1" w:after="100" w:afterAutospacing="1"/>
              <w:jc w:val="center"/>
              <w:rPr>
                <w:rFonts w:ascii="宋体" w:hAnsi="宋体"/>
                <w:color w:val="auto"/>
                <w:spacing w:val="-5"/>
              </w:rPr>
            </w:pPr>
            <w:r>
              <w:rPr>
                <w:rFonts w:ascii="宋体" w:hAnsi="宋体"/>
                <w:color w:val="auto"/>
                <w:spacing w:val="-5"/>
              </w:rPr>
              <w:t>25</w:t>
            </w:r>
          </w:p>
        </w:tc>
        <w:tc>
          <w:tcPr>
            <w:tcW w:w="1018" w:type="pct"/>
            <w:shd w:val="clear" w:color="auto" w:fill="auto"/>
            <w:vAlign w:val="center"/>
          </w:tcPr>
          <w:p w14:paraId="388C557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1，2，3-三氯丙烷</w:t>
            </w:r>
          </w:p>
        </w:tc>
        <w:tc>
          <w:tcPr>
            <w:tcW w:w="1985" w:type="pct"/>
            <w:shd w:val="clear" w:color="auto" w:fill="auto"/>
            <w:vAlign w:val="center"/>
          </w:tcPr>
          <w:p w14:paraId="4617303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298E4DE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6FF196A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4C4CB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2816389">
            <w:pPr>
              <w:spacing w:before="100" w:beforeAutospacing="1" w:after="100" w:afterAutospacing="1"/>
              <w:jc w:val="center"/>
              <w:rPr>
                <w:rFonts w:ascii="宋体" w:hAnsi="宋体"/>
                <w:color w:val="auto"/>
                <w:spacing w:val="-5"/>
              </w:rPr>
            </w:pPr>
            <w:r>
              <w:rPr>
                <w:rFonts w:ascii="宋体" w:hAnsi="宋体"/>
                <w:color w:val="auto"/>
                <w:spacing w:val="-5"/>
              </w:rPr>
              <w:t>26</w:t>
            </w:r>
          </w:p>
        </w:tc>
        <w:tc>
          <w:tcPr>
            <w:tcW w:w="1018" w:type="pct"/>
            <w:shd w:val="clear" w:color="auto" w:fill="auto"/>
            <w:vAlign w:val="center"/>
          </w:tcPr>
          <w:p w14:paraId="7EEBCDC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氯乙烯</w:t>
            </w:r>
          </w:p>
        </w:tc>
        <w:tc>
          <w:tcPr>
            <w:tcW w:w="1985" w:type="pct"/>
            <w:shd w:val="clear" w:color="auto" w:fill="auto"/>
            <w:vAlign w:val="center"/>
          </w:tcPr>
          <w:p w14:paraId="723F4B33">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6383A7A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B592E0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1.0µg/kg</w:t>
            </w:r>
          </w:p>
        </w:tc>
      </w:tr>
      <w:tr w14:paraId="6C814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62F7D9C">
            <w:pPr>
              <w:spacing w:before="100" w:beforeAutospacing="1" w:after="100" w:afterAutospacing="1"/>
              <w:jc w:val="center"/>
              <w:rPr>
                <w:rFonts w:ascii="宋体" w:hAnsi="宋体"/>
                <w:color w:val="auto"/>
                <w:spacing w:val="-5"/>
              </w:rPr>
            </w:pPr>
            <w:r>
              <w:rPr>
                <w:rFonts w:ascii="宋体" w:hAnsi="宋体"/>
                <w:color w:val="auto"/>
                <w:spacing w:val="-5"/>
              </w:rPr>
              <w:t>27</w:t>
            </w:r>
          </w:p>
        </w:tc>
        <w:tc>
          <w:tcPr>
            <w:tcW w:w="1018" w:type="pct"/>
            <w:shd w:val="clear" w:color="auto" w:fill="auto"/>
            <w:vAlign w:val="center"/>
          </w:tcPr>
          <w:p w14:paraId="3944AE0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氯苯</w:t>
            </w:r>
          </w:p>
        </w:tc>
        <w:tc>
          <w:tcPr>
            <w:tcW w:w="1985" w:type="pct"/>
            <w:shd w:val="clear" w:color="auto" w:fill="auto"/>
            <w:vAlign w:val="center"/>
          </w:tcPr>
          <w:p w14:paraId="6B9F496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713CC32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31B352A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13CD0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6C76D69">
            <w:pPr>
              <w:spacing w:before="100" w:beforeAutospacing="1" w:after="100" w:afterAutospacing="1"/>
              <w:jc w:val="center"/>
              <w:rPr>
                <w:rFonts w:ascii="宋体" w:hAnsi="宋体"/>
                <w:color w:val="auto"/>
                <w:spacing w:val="-5"/>
              </w:rPr>
            </w:pPr>
            <w:r>
              <w:rPr>
                <w:rFonts w:ascii="宋体" w:hAnsi="宋体"/>
                <w:color w:val="auto"/>
                <w:spacing w:val="-5"/>
              </w:rPr>
              <w:t>28</w:t>
            </w:r>
          </w:p>
        </w:tc>
        <w:tc>
          <w:tcPr>
            <w:tcW w:w="1018" w:type="pct"/>
            <w:shd w:val="clear" w:color="auto" w:fill="auto"/>
            <w:vAlign w:val="center"/>
          </w:tcPr>
          <w:p w14:paraId="223941F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1,2-二氯苯</w:t>
            </w:r>
          </w:p>
        </w:tc>
        <w:tc>
          <w:tcPr>
            <w:tcW w:w="1985" w:type="pct"/>
            <w:shd w:val="clear" w:color="auto" w:fill="auto"/>
            <w:vAlign w:val="center"/>
          </w:tcPr>
          <w:p w14:paraId="1B656AF4">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10F8C44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50B9BF0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1.5µg/kg</w:t>
            </w:r>
          </w:p>
        </w:tc>
      </w:tr>
      <w:tr w14:paraId="5E118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E0A10B8">
            <w:pPr>
              <w:spacing w:before="100" w:beforeAutospacing="1" w:after="100" w:afterAutospacing="1"/>
              <w:jc w:val="center"/>
              <w:rPr>
                <w:rFonts w:ascii="宋体" w:hAnsi="宋体"/>
                <w:color w:val="auto"/>
                <w:spacing w:val="-5"/>
              </w:rPr>
            </w:pPr>
            <w:r>
              <w:rPr>
                <w:rFonts w:ascii="宋体" w:hAnsi="宋体"/>
                <w:color w:val="auto"/>
                <w:spacing w:val="-5"/>
              </w:rPr>
              <w:t>29</w:t>
            </w:r>
          </w:p>
        </w:tc>
        <w:tc>
          <w:tcPr>
            <w:tcW w:w="1018" w:type="pct"/>
            <w:shd w:val="clear" w:color="auto" w:fill="auto"/>
            <w:vAlign w:val="center"/>
          </w:tcPr>
          <w:p w14:paraId="30B743E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1,4-二氯苯</w:t>
            </w:r>
          </w:p>
        </w:tc>
        <w:tc>
          <w:tcPr>
            <w:tcW w:w="1985" w:type="pct"/>
            <w:shd w:val="clear" w:color="auto" w:fill="auto"/>
            <w:vAlign w:val="center"/>
          </w:tcPr>
          <w:p w14:paraId="20F4F83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522E9AF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5B310D2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1.5µg/kg</w:t>
            </w:r>
          </w:p>
        </w:tc>
      </w:tr>
      <w:tr w14:paraId="48B53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1D17E22">
            <w:pPr>
              <w:spacing w:before="100" w:beforeAutospacing="1" w:after="100" w:afterAutospacing="1"/>
              <w:jc w:val="center"/>
              <w:rPr>
                <w:rFonts w:ascii="宋体" w:hAnsi="宋体"/>
                <w:color w:val="auto"/>
                <w:spacing w:val="-5"/>
              </w:rPr>
            </w:pPr>
            <w:r>
              <w:rPr>
                <w:rFonts w:ascii="宋体" w:hAnsi="宋体"/>
                <w:color w:val="auto"/>
                <w:spacing w:val="-5"/>
              </w:rPr>
              <w:t>30</w:t>
            </w:r>
          </w:p>
        </w:tc>
        <w:tc>
          <w:tcPr>
            <w:tcW w:w="1018" w:type="pct"/>
            <w:shd w:val="clear" w:color="auto" w:fill="auto"/>
            <w:vAlign w:val="center"/>
          </w:tcPr>
          <w:p w14:paraId="57A8C6D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乙苯</w:t>
            </w:r>
          </w:p>
        </w:tc>
        <w:tc>
          <w:tcPr>
            <w:tcW w:w="1985" w:type="pct"/>
            <w:shd w:val="clear" w:color="auto" w:fill="auto"/>
            <w:vAlign w:val="center"/>
          </w:tcPr>
          <w:p w14:paraId="4CD7307F">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00988A1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6442C7A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0EAE6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247507A">
            <w:pPr>
              <w:spacing w:before="100" w:beforeAutospacing="1" w:after="100" w:afterAutospacing="1"/>
              <w:jc w:val="center"/>
              <w:rPr>
                <w:rFonts w:ascii="宋体" w:hAnsi="宋体"/>
                <w:color w:val="auto"/>
                <w:spacing w:val="-5"/>
              </w:rPr>
            </w:pPr>
            <w:r>
              <w:rPr>
                <w:rFonts w:ascii="宋体" w:hAnsi="宋体"/>
                <w:color w:val="auto"/>
                <w:spacing w:val="-5"/>
              </w:rPr>
              <w:t>31</w:t>
            </w:r>
          </w:p>
        </w:tc>
        <w:tc>
          <w:tcPr>
            <w:tcW w:w="1018" w:type="pct"/>
            <w:shd w:val="clear" w:color="auto" w:fill="auto"/>
            <w:vAlign w:val="center"/>
          </w:tcPr>
          <w:p w14:paraId="6DB14BA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邻二甲苯</w:t>
            </w:r>
          </w:p>
        </w:tc>
        <w:tc>
          <w:tcPr>
            <w:tcW w:w="1985" w:type="pct"/>
            <w:shd w:val="clear" w:color="auto" w:fill="auto"/>
            <w:vAlign w:val="center"/>
          </w:tcPr>
          <w:p w14:paraId="5B9DF25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7E9D489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29B119A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74CBB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B6440B7">
            <w:pPr>
              <w:spacing w:before="100" w:beforeAutospacing="1" w:after="100" w:afterAutospacing="1"/>
              <w:jc w:val="center"/>
              <w:rPr>
                <w:rFonts w:ascii="宋体" w:hAnsi="宋体"/>
                <w:color w:val="auto"/>
                <w:spacing w:val="-5"/>
              </w:rPr>
            </w:pPr>
            <w:r>
              <w:rPr>
                <w:rFonts w:ascii="宋体" w:hAnsi="宋体"/>
                <w:color w:val="auto"/>
                <w:spacing w:val="-5"/>
              </w:rPr>
              <w:t>32</w:t>
            </w:r>
          </w:p>
        </w:tc>
        <w:tc>
          <w:tcPr>
            <w:tcW w:w="1018" w:type="pct"/>
            <w:shd w:val="clear" w:color="auto" w:fill="auto"/>
            <w:vAlign w:val="center"/>
          </w:tcPr>
          <w:p w14:paraId="74B1184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苯乙烯</w:t>
            </w:r>
          </w:p>
        </w:tc>
        <w:tc>
          <w:tcPr>
            <w:tcW w:w="1985" w:type="pct"/>
            <w:shd w:val="clear" w:color="auto" w:fill="auto"/>
            <w:vAlign w:val="center"/>
          </w:tcPr>
          <w:p w14:paraId="0AC158F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64BB2FC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585605A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1.1µg/kg</w:t>
            </w:r>
          </w:p>
        </w:tc>
      </w:tr>
      <w:tr w14:paraId="35F63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000CAB3">
            <w:pPr>
              <w:spacing w:before="100" w:beforeAutospacing="1" w:after="100" w:afterAutospacing="1"/>
              <w:jc w:val="center"/>
              <w:rPr>
                <w:rFonts w:ascii="宋体" w:hAnsi="宋体"/>
                <w:color w:val="auto"/>
                <w:spacing w:val="-5"/>
              </w:rPr>
            </w:pPr>
            <w:r>
              <w:rPr>
                <w:rFonts w:ascii="宋体" w:hAnsi="宋体"/>
                <w:color w:val="auto"/>
              </w:rPr>
              <w:t>33</w:t>
            </w:r>
          </w:p>
        </w:tc>
        <w:tc>
          <w:tcPr>
            <w:tcW w:w="1018" w:type="pct"/>
            <w:shd w:val="clear" w:color="auto" w:fill="auto"/>
            <w:vAlign w:val="center"/>
          </w:tcPr>
          <w:p w14:paraId="0221A51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甲苯</w:t>
            </w:r>
          </w:p>
        </w:tc>
        <w:tc>
          <w:tcPr>
            <w:tcW w:w="1985" w:type="pct"/>
            <w:shd w:val="clear" w:color="auto" w:fill="auto"/>
            <w:vAlign w:val="center"/>
          </w:tcPr>
          <w:p w14:paraId="077A9F05">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232D07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6B9066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1C602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A32ED4A">
            <w:pPr>
              <w:spacing w:before="100" w:beforeAutospacing="1" w:after="100" w:afterAutospacing="1"/>
              <w:jc w:val="center"/>
              <w:rPr>
                <w:rFonts w:ascii="宋体" w:hAnsi="宋体"/>
                <w:color w:val="auto"/>
                <w:spacing w:val="-5"/>
              </w:rPr>
            </w:pPr>
            <w:r>
              <w:rPr>
                <w:rFonts w:ascii="宋体" w:hAnsi="宋体"/>
                <w:color w:val="auto"/>
                <w:spacing w:val="-5"/>
              </w:rPr>
              <w:t>34</w:t>
            </w:r>
          </w:p>
        </w:tc>
        <w:tc>
          <w:tcPr>
            <w:tcW w:w="1018" w:type="pct"/>
            <w:shd w:val="clear" w:color="auto" w:fill="auto"/>
            <w:vAlign w:val="center"/>
          </w:tcPr>
          <w:p w14:paraId="1D430E9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间二甲苯+对二甲苯</w:t>
            </w:r>
          </w:p>
        </w:tc>
        <w:tc>
          <w:tcPr>
            <w:tcW w:w="1985" w:type="pct"/>
            <w:shd w:val="clear" w:color="auto" w:fill="auto"/>
            <w:vAlign w:val="center"/>
          </w:tcPr>
          <w:p w14:paraId="4D70C8A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628E6A2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7AD6B48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4F705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9FAEF53">
            <w:pPr>
              <w:spacing w:before="100" w:beforeAutospacing="1" w:after="100" w:afterAutospacing="1"/>
              <w:jc w:val="center"/>
              <w:rPr>
                <w:rFonts w:ascii="宋体" w:hAnsi="宋体"/>
                <w:color w:val="auto"/>
                <w:spacing w:val="-5"/>
              </w:rPr>
            </w:pPr>
            <w:r>
              <w:rPr>
                <w:rFonts w:ascii="宋体" w:hAnsi="宋体"/>
                <w:color w:val="auto"/>
                <w:spacing w:val="-5"/>
              </w:rPr>
              <w:t>35</w:t>
            </w:r>
          </w:p>
        </w:tc>
        <w:tc>
          <w:tcPr>
            <w:tcW w:w="1018" w:type="pct"/>
            <w:shd w:val="clear" w:color="auto" w:fill="auto"/>
            <w:vAlign w:val="center"/>
          </w:tcPr>
          <w:p w14:paraId="20928BA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硝基苯</w:t>
            </w:r>
          </w:p>
        </w:tc>
        <w:tc>
          <w:tcPr>
            <w:tcW w:w="1985" w:type="pct"/>
            <w:shd w:val="clear" w:color="auto" w:fill="auto"/>
            <w:vAlign w:val="center"/>
          </w:tcPr>
          <w:p w14:paraId="13C76DA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2105AB1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6DA5574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0.09mg/kg</w:t>
            </w:r>
          </w:p>
        </w:tc>
      </w:tr>
      <w:tr w14:paraId="03CB1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168ADA0">
            <w:pPr>
              <w:spacing w:before="100" w:beforeAutospacing="1" w:after="100" w:afterAutospacing="1"/>
              <w:jc w:val="center"/>
              <w:rPr>
                <w:rFonts w:ascii="宋体" w:hAnsi="宋体"/>
                <w:color w:val="auto"/>
                <w:spacing w:val="-5"/>
              </w:rPr>
            </w:pPr>
            <w:r>
              <w:rPr>
                <w:rFonts w:ascii="宋体" w:hAnsi="宋体"/>
                <w:color w:val="auto"/>
                <w:spacing w:val="-5"/>
              </w:rPr>
              <w:t>36</w:t>
            </w:r>
          </w:p>
        </w:tc>
        <w:tc>
          <w:tcPr>
            <w:tcW w:w="1018" w:type="pct"/>
            <w:shd w:val="clear" w:color="auto" w:fill="auto"/>
            <w:vAlign w:val="center"/>
          </w:tcPr>
          <w:p w14:paraId="51A3FAE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苯胺</w:t>
            </w:r>
          </w:p>
        </w:tc>
        <w:tc>
          <w:tcPr>
            <w:tcW w:w="1985" w:type="pct"/>
            <w:shd w:val="clear" w:color="auto" w:fill="auto"/>
            <w:vAlign w:val="center"/>
          </w:tcPr>
          <w:p w14:paraId="058D5C7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2317F96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08F768D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0.08mg/kg</w:t>
            </w:r>
          </w:p>
        </w:tc>
      </w:tr>
      <w:tr w14:paraId="0B929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4B05358">
            <w:pPr>
              <w:spacing w:before="100" w:beforeAutospacing="1" w:after="100" w:afterAutospacing="1"/>
              <w:jc w:val="center"/>
              <w:rPr>
                <w:rFonts w:ascii="宋体" w:hAnsi="宋体"/>
                <w:color w:val="auto"/>
                <w:spacing w:val="-5"/>
              </w:rPr>
            </w:pPr>
            <w:r>
              <w:rPr>
                <w:rFonts w:ascii="宋体" w:hAnsi="宋体"/>
                <w:color w:val="auto"/>
                <w:spacing w:val="-5"/>
              </w:rPr>
              <w:t>37</w:t>
            </w:r>
          </w:p>
        </w:tc>
        <w:tc>
          <w:tcPr>
            <w:tcW w:w="1018" w:type="pct"/>
            <w:shd w:val="clear" w:color="auto" w:fill="auto"/>
            <w:vAlign w:val="center"/>
          </w:tcPr>
          <w:p w14:paraId="51E9CD7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2-氯酚</w:t>
            </w:r>
          </w:p>
        </w:tc>
        <w:tc>
          <w:tcPr>
            <w:tcW w:w="1985" w:type="pct"/>
            <w:shd w:val="clear" w:color="auto" w:fill="auto"/>
            <w:vAlign w:val="center"/>
          </w:tcPr>
          <w:p w14:paraId="6D8374F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4764272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00691C6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0.06mg/kg</w:t>
            </w:r>
          </w:p>
        </w:tc>
      </w:tr>
      <w:tr w14:paraId="4143B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AAD3682">
            <w:pPr>
              <w:spacing w:before="100" w:beforeAutospacing="1" w:after="100" w:afterAutospacing="1"/>
              <w:jc w:val="center"/>
              <w:rPr>
                <w:rFonts w:ascii="宋体" w:hAnsi="宋体"/>
                <w:color w:val="auto"/>
                <w:spacing w:val="-5"/>
              </w:rPr>
            </w:pPr>
            <w:r>
              <w:rPr>
                <w:rFonts w:ascii="宋体" w:hAnsi="宋体"/>
                <w:color w:val="auto"/>
                <w:spacing w:val="-5"/>
              </w:rPr>
              <w:t>38</w:t>
            </w:r>
          </w:p>
        </w:tc>
        <w:tc>
          <w:tcPr>
            <w:tcW w:w="1018" w:type="pct"/>
            <w:shd w:val="clear" w:color="auto" w:fill="auto"/>
            <w:vAlign w:val="center"/>
          </w:tcPr>
          <w:p w14:paraId="2056B97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苯并[a]蒽</w:t>
            </w:r>
          </w:p>
        </w:tc>
        <w:tc>
          <w:tcPr>
            <w:tcW w:w="1985" w:type="pct"/>
            <w:shd w:val="clear" w:color="auto" w:fill="auto"/>
            <w:vAlign w:val="center"/>
          </w:tcPr>
          <w:p w14:paraId="7B41F3A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5D82C8B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757F06B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729F9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6E054AF">
            <w:pPr>
              <w:spacing w:before="100" w:beforeAutospacing="1" w:after="100" w:afterAutospacing="1"/>
              <w:jc w:val="center"/>
              <w:rPr>
                <w:rFonts w:ascii="宋体" w:hAnsi="宋体"/>
                <w:color w:val="auto"/>
                <w:spacing w:val="-5"/>
              </w:rPr>
            </w:pPr>
            <w:r>
              <w:rPr>
                <w:rFonts w:ascii="宋体" w:hAnsi="宋体"/>
                <w:color w:val="auto"/>
                <w:spacing w:val="-5"/>
              </w:rPr>
              <w:t>39</w:t>
            </w:r>
          </w:p>
        </w:tc>
        <w:tc>
          <w:tcPr>
            <w:tcW w:w="1018" w:type="pct"/>
            <w:shd w:val="clear" w:color="auto" w:fill="auto"/>
            <w:vAlign w:val="center"/>
          </w:tcPr>
          <w:p w14:paraId="5675DAE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苯并[a]芘</w:t>
            </w:r>
          </w:p>
        </w:tc>
        <w:tc>
          <w:tcPr>
            <w:tcW w:w="1985" w:type="pct"/>
            <w:shd w:val="clear" w:color="auto" w:fill="auto"/>
            <w:vAlign w:val="center"/>
          </w:tcPr>
          <w:p w14:paraId="1E954B0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206FEAD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45542C7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2F662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FF3EA20">
            <w:pPr>
              <w:spacing w:before="100" w:beforeAutospacing="1" w:after="100" w:afterAutospacing="1"/>
              <w:jc w:val="center"/>
              <w:rPr>
                <w:rFonts w:ascii="宋体" w:hAnsi="宋体"/>
                <w:color w:val="auto"/>
                <w:spacing w:val="-5"/>
              </w:rPr>
            </w:pPr>
            <w:r>
              <w:rPr>
                <w:rFonts w:ascii="宋体" w:hAnsi="宋体"/>
                <w:color w:val="auto"/>
                <w:spacing w:val="-5"/>
              </w:rPr>
              <w:t>40</w:t>
            </w:r>
          </w:p>
        </w:tc>
        <w:tc>
          <w:tcPr>
            <w:tcW w:w="1018" w:type="pct"/>
            <w:shd w:val="clear" w:color="auto" w:fill="auto"/>
            <w:vAlign w:val="center"/>
          </w:tcPr>
          <w:p w14:paraId="1B22499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苯并[b]荧蒽</w:t>
            </w:r>
          </w:p>
        </w:tc>
        <w:tc>
          <w:tcPr>
            <w:tcW w:w="1985" w:type="pct"/>
            <w:shd w:val="clear" w:color="auto" w:fill="auto"/>
            <w:vAlign w:val="center"/>
          </w:tcPr>
          <w:p w14:paraId="1E98501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3BA333D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07943EB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0.2mg/kg</w:t>
            </w:r>
          </w:p>
        </w:tc>
      </w:tr>
      <w:tr w14:paraId="7475C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4DFCD33">
            <w:pPr>
              <w:spacing w:before="100" w:beforeAutospacing="1" w:after="100" w:afterAutospacing="1"/>
              <w:jc w:val="center"/>
              <w:rPr>
                <w:rFonts w:ascii="宋体" w:hAnsi="宋体"/>
                <w:color w:val="auto"/>
                <w:spacing w:val="-5"/>
              </w:rPr>
            </w:pPr>
            <w:r>
              <w:rPr>
                <w:rFonts w:ascii="宋体" w:hAnsi="宋体"/>
                <w:color w:val="auto"/>
                <w:spacing w:val="-5"/>
              </w:rPr>
              <w:t>41</w:t>
            </w:r>
          </w:p>
        </w:tc>
        <w:tc>
          <w:tcPr>
            <w:tcW w:w="1018" w:type="pct"/>
            <w:shd w:val="clear" w:color="auto" w:fill="auto"/>
            <w:vAlign w:val="center"/>
          </w:tcPr>
          <w:p w14:paraId="194D253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苯并[k]荧蒽</w:t>
            </w:r>
          </w:p>
        </w:tc>
        <w:tc>
          <w:tcPr>
            <w:tcW w:w="1985" w:type="pct"/>
            <w:shd w:val="clear" w:color="auto" w:fill="auto"/>
            <w:vAlign w:val="center"/>
          </w:tcPr>
          <w:p w14:paraId="208B296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72739F0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71AC2E2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2EAA1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1EA1D45">
            <w:pPr>
              <w:spacing w:before="100" w:beforeAutospacing="1" w:after="100" w:afterAutospacing="1"/>
              <w:jc w:val="center"/>
              <w:rPr>
                <w:rFonts w:ascii="宋体" w:hAnsi="宋体"/>
                <w:color w:val="auto"/>
                <w:spacing w:val="-5"/>
              </w:rPr>
            </w:pPr>
            <w:r>
              <w:rPr>
                <w:rFonts w:ascii="宋体" w:hAnsi="宋体"/>
                <w:color w:val="auto"/>
                <w:spacing w:val="-5"/>
              </w:rPr>
              <w:t>42</w:t>
            </w:r>
          </w:p>
        </w:tc>
        <w:tc>
          <w:tcPr>
            <w:tcW w:w="1018" w:type="pct"/>
            <w:shd w:val="clear" w:color="auto" w:fill="auto"/>
            <w:vAlign w:val="center"/>
          </w:tcPr>
          <w:p w14:paraId="53A321C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䓛</w:t>
            </w:r>
          </w:p>
        </w:tc>
        <w:tc>
          <w:tcPr>
            <w:tcW w:w="1985" w:type="pct"/>
            <w:shd w:val="clear" w:color="auto" w:fill="auto"/>
            <w:vAlign w:val="center"/>
          </w:tcPr>
          <w:p w14:paraId="73196FC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75644DE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7688588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45389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760D39F">
            <w:pPr>
              <w:spacing w:before="100" w:beforeAutospacing="1" w:after="100" w:afterAutospacing="1"/>
              <w:jc w:val="center"/>
              <w:rPr>
                <w:rFonts w:ascii="宋体" w:hAnsi="宋体"/>
                <w:color w:val="auto"/>
                <w:spacing w:val="-5"/>
              </w:rPr>
            </w:pPr>
            <w:r>
              <w:rPr>
                <w:rFonts w:ascii="宋体" w:hAnsi="宋体"/>
                <w:color w:val="auto"/>
                <w:spacing w:val="-5"/>
              </w:rPr>
              <w:t>43</w:t>
            </w:r>
          </w:p>
        </w:tc>
        <w:tc>
          <w:tcPr>
            <w:tcW w:w="1018" w:type="pct"/>
            <w:shd w:val="clear" w:color="auto" w:fill="auto"/>
            <w:vAlign w:val="center"/>
          </w:tcPr>
          <w:p w14:paraId="58054CB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二苯并[a，h]蒽</w:t>
            </w:r>
          </w:p>
        </w:tc>
        <w:tc>
          <w:tcPr>
            <w:tcW w:w="1985" w:type="pct"/>
            <w:shd w:val="clear" w:color="auto" w:fill="auto"/>
            <w:vAlign w:val="center"/>
          </w:tcPr>
          <w:p w14:paraId="5DCC838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46F5A4D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3146A69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287FC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FC013C3">
            <w:pPr>
              <w:spacing w:before="100" w:beforeAutospacing="1" w:after="100" w:afterAutospacing="1"/>
              <w:jc w:val="center"/>
              <w:rPr>
                <w:rFonts w:ascii="宋体" w:hAnsi="宋体"/>
                <w:color w:val="auto"/>
                <w:spacing w:val="-5"/>
              </w:rPr>
            </w:pPr>
            <w:r>
              <w:rPr>
                <w:rFonts w:ascii="宋体" w:hAnsi="宋体"/>
                <w:color w:val="auto"/>
                <w:spacing w:val="-5"/>
              </w:rPr>
              <w:t>44</w:t>
            </w:r>
          </w:p>
        </w:tc>
        <w:tc>
          <w:tcPr>
            <w:tcW w:w="1018" w:type="pct"/>
            <w:shd w:val="clear" w:color="auto" w:fill="auto"/>
            <w:vAlign w:val="center"/>
          </w:tcPr>
          <w:p w14:paraId="73C4078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茚并[1,2,3-cd]芘</w:t>
            </w:r>
          </w:p>
        </w:tc>
        <w:tc>
          <w:tcPr>
            <w:tcW w:w="1985" w:type="pct"/>
            <w:shd w:val="clear" w:color="auto" w:fill="auto"/>
            <w:vAlign w:val="center"/>
          </w:tcPr>
          <w:p w14:paraId="6E97EFA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63333C9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642660D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74672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1761677">
            <w:pPr>
              <w:spacing w:before="100" w:beforeAutospacing="1" w:after="100" w:afterAutospacing="1"/>
              <w:jc w:val="center"/>
              <w:rPr>
                <w:rFonts w:ascii="宋体" w:hAnsi="宋体"/>
                <w:color w:val="auto"/>
                <w:spacing w:val="-5"/>
              </w:rPr>
            </w:pPr>
            <w:r>
              <w:rPr>
                <w:rFonts w:ascii="宋体" w:hAnsi="宋体"/>
                <w:color w:val="auto"/>
              </w:rPr>
              <w:t>45</w:t>
            </w:r>
          </w:p>
        </w:tc>
        <w:tc>
          <w:tcPr>
            <w:tcW w:w="1018" w:type="pct"/>
            <w:shd w:val="clear" w:color="auto" w:fill="auto"/>
            <w:vAlign w:val="center"/>
          </w:tcPr>
          <w:p w14:paraId="436EAF7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萘</w:t>
            </w:r>
          </w:p>
        </w:tc>
        <w:tc>
          <w:tcPr>
            <w:tcW w:w="1985" w:type="pct"/>
            <w:shd w:val="clear" w:color="auto" w:fill="auto"/>
            <w:vAlign w:val="center"/>
          </w:tcPr>
          <w:p w14:paraId="60E1EFB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0B99216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4E2A2FE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0.09mg/kg</w:t>
            </w:r>
          </w:p>
        </w:tc>
      </w:tr>
      <w:tr w14:paraId="1EBC1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9DA79E3">
            <w:pPr>
              <w:spacing w:before="100" w:beforeAutospacing="1" w:after="100" w:afterAutospacing="1"/>
              <w:jc w:val="center"/>
              <w:rPr>
                <w:rFonts w:ascii="宋体" w:hAnsi="宋体"/>
                <w:color w:val="auto"/>
              </w:rPr>
            </w:pPr>
            <w:r>
              <w:rPr>
                <w:rFonts w:hint="eastAsia" w:ascii="宋体" w:hAnsi="宋体"/>
                <w:color w:val="auto"/>
              </w:rPr>
              <w:t>4</w:t>
            </w:r>
            <w:r>
              <w:rPr>
                <w:rFonts w:ascii="宋体" w:hAnsi="宋体"/>
                <w:color w:val="auto"/>
              </w:rPr>
              <w:t>6</w:t>
            </w:r>
          </w:p>
        </w:tc>
        <w:tc>
          <w:tcPr>
            <w:tcW w:w="1018" w:type="pct"/>
            <w:shd w:val="clear" w:color="auto" w:fill="auto"/>
            <w:vAlign w:val="center"/>
          </w:tcPr>
          <w:p w14:paraId="32F0120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石油烃（C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hint="eastAsia" w:ascii="宋体" w:hAnsi="宋体"/>
                <w:color w:val="auto"/>
              </w:rPr>
              <w:t>）</w:t>
            </w:r>
          </w:p>
        </w:tc>
        <w:tc>
          <w:tcPr>
            <w:tcW w:w="1985" w:type="pct"/>
            <w:shd w:val="clear" w:color="auto" w:fill="auto"/>
            <w:vAlign w:val="center"/>
          </w:tcPr>
          <w:p w14:paraId="7139E32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石油烃（C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hint="eastAsia" w:ascii="宋体" w:hAnsi="宋体"/>
                <w:color w:val="auto"/>
              </w:rPr>
              <w:t>）的测定 气相色谱法</w:t>
            </w:r>
          </w:p>
        </w:tc>
        <w:tc>
          <w:tcPr>
            <w:tcW w:w="985" w:type="pct"/>
            <w:shd w:val="clear" w:color="auto" w:fill="auto"/>
            <w:vAlign w:val="center"/>
          </w:tcPr>
          <w:p w14:paraId="78DA8243">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HJ 1021-2019</w:t>
            </w:r>
          </w:p>
        </w:tc>
        <w:tc>
          <w:tcPr>
            <w:tcW w:w="750" w:type="pct"/>
            <w:shd w:val="clear" w:color="auto" w:fill="auto"/>
            <w:vAlign w:val="center"/>
          </w:tcPr>
          <w:p w14:paraId="2F62633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6mg/kg</w:t>
            </w:r>
          </w:p>
        </w:tc>
      </w:tr>
      <w:tr w14:paraId="53433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0753AE8">
            <w:pPr>
              <w:spacing w:before="100" w:beforeAutospacing="1" w:after="100" w:afterAutospacing="1"/>
              <w:jc w:val="center"/>
              <w:rPr>
                <w:rFonts w:ascii="宋体" w:hAnsi="宋体"/>
                <w:color w:val="auto"/>
              </w:rPr>
            </w:pPr>
            <w:r>
              <w:rPr>
                <w:rFonts w:hint="eastAsia" w:ascii="宋体" w:hAnsi="宋体"/>
                <w:color w:val="auto"/>
              </w:rPr>
              <w:t>4</w:t>
            </w:r>
            <w:r>
              <w:rPr>
                <w:rFonts w:ascii="宋体" w:hAnsi="宋体"/>
                <w:color w:val="auto"/>
              </w:rPr>
              <w:t>7</w:t>
            </w:r>
          </w:p>
        </w:tc>
        <w:tc>
          <w:tcPr>
            <w:tcW w:w="1018" w:type="pct"/>
            <w:shd w:val="clear" w:color="auto" w:fill="auto"/>
            <w:vAlign w:val="center"/>
          </w:tcPr>
          <w:p w14:paraId="17B1D1A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pH值</w:t>
            </w:r>
          </w:p>
        </w:tc>
        <w:tc>
          <w:tcPr>
            <w:tcW w:w="1985" w:type="pct"/>
            <w:shd w:val="clear" w:color="auto" w:fill="auto"/>
            <w:vAlign w:val="center"/>
          </w:tcPr>
          <w:p w14:paraId="09B43C25">
            <w:pPr>
              <w:jc w:val="center"/>
              <w:rPr>
                <w:rFonts w:ascii="宋体" w:hAnsi="宋体"/>
                <w:color w:val="auto"/>
              </w:rPr>
            </w:pPr>
            <w:r>
              <w:rPr>
                <w:rFonts w:ascii="宋体" w:hAnsi="宋体"/>
                <w:color w:val="auto"/>
              </w:rPr>
              <w:t>土壤 pH值的测定 电位法</w:t>
            </w:r>
          </w:p>
        </w:tc>
        <w:tc>
          <w:tcPr>
            <w:tcW w:w="985" w:type="pct"/>
            <w:shd w:val="clear" w:color="auto" w:fill="auto"/>
            <w:vAlign w:val="center"/>
          </w:tcPr>
          <w:p w14:paraId="58310383">
            <w:pPr>
              <w:jc w:val="center"/>
              <w:rPr>
                <w:rFonts w:ascii="宋体" w:hAnsi="宋体"/>
                <w:color w:val="auto"/>
              </w:rPr>
            </w:pPr>
            <w:r>
              <w:rPr>
                <w:rFonts w:ascii="宋体" w:hAnsi="宋体"/>
                <w:color w:val="auto"/>
              </w:rPr>
              <w:t>HJ 962-2018</w:t>
            </w:r>
          </w:p>
        </w:tc>
        <w:tc>
          <w:tcPr>
            <w:tcW w:w="750" w:type="pct"/>
            <w:shd w:val="clear" w:color="auto" w:fill="auto"/>
            <w:vAlign w:val="center"/>
          </w:tcPr>
          <w:p w14:paraId="3BDC9B4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w:t>
            </w:r>
          </w:p>
        </w:tc>
      </w:tr>
    </w:tbl>
    <w:p w14:paraId="642E68E5">
      <w:pPr>
        <w:rPr>
          <w:rFonts w:ascii="宋体" w:hAnsi="宋体"/>
          <w:color w:val="auto"/>
        </w:rPr>
      </w:pPr>
    </w:p>
    <w:p w14:paraId="05CCF851">
      <w:pPr>
        <w:pStyle w:val="122"/>
        <w:spacing w:line="331" w:lineRule="auto"/>
        <w:ind w:firstLine="480"/>
        <w:rPr>
          <w:rFonts w:hAnsi="宋体"/>
          <w:color w:val="auto"/>
        </w:rPr>
      </w:pPr>
      <w:r>
        <w:rPr>
          <w:rFonts w:hint="eastAsia" w:hAnsi="宋体"/>
          <w:color w:val="auto"/>
        </w:rPr>
        <w:t>2）监测仪器</w:t>
      </w:r>
    </w:p>
    <w:p w14:paraId="3183F1F1">
      <w:pPr>
        <w:pStyle w:val="122"/>
        <w:spacing w:line="331" w:lineRule="auto"/>
        <w:ind w:firstLine="480"/>
        <w:rPr>
          <w:rFonts w:hAnsi="宋体"/>
          <w:color w:val="auto"/>
        </w:rPr>
      </w:pPr>
      <w:r>
        <w:rPr>
          <w:rFonts w:hint="eastAsia" w:hAnsi="宋体"/>
          <w:color w:val="auto"/>
        </w:rPr>
        <w:t>本期工程</w:t>
      </w:r>
      <w:r>
        <w:rPr>
          <w:rFonts w:hAnsi="宋体"/>
          <w:color w:val="auto"/>
        </w:rPr>
        <w:t>监测主要仪器</w:t>
      </w:r>
      <w:r>
        <w:rPr>
          <w:rFonts w:hint="eastAsia" w:hAnsi="宋体"/>
          <w:color w:val="auto"/>
        </w:rPr>
        <w:t>、</w:t>
      </w:r>
      <w:r>
        <w:rPr>
          <w:rFonts w:hAnsi="宋体"/>
          <w:color w:val="auto"/>
        </w:rPr>
        <w:t>设备见</w:t>
      </w:r>
      <w:r>
        <w:rPr>
          <w:rFonts w:hAnsi="宋体"/>
          <w:color w:val="auto"/>
        </w:rPr>
        <w:fldChar w:fldCharType="begin"/>
      </w:r>
      <w:r>
        <w:rPr>
          <w:rFonts w:hAnsi="宋体"/>
          <w:color w:val="auto"/>
        </w:rPr>
        <w:instrText xml:space="preserve"> REF _Ref59462583 \h  \* MERGEFORMAT </w:instrText>
      </w:r>
      <w:r>
        <w:rPr>
          <w:rFonts w:hAnsi="宋体"/>
          <w:color w:val="auto"/>
        </w:rPr>
        <w:fldChar w:fldCharType="separate"/>
      </w:r>
      <w:r>
        <w:rPr>
          <w:rFonts w:hint="eastAsia" w:hAnsi="宋体"/>
          <w:color w:val="auto"/>
        </w:rPr>
        <w:t xml:space="preserve">表 </w:t>
      </w:r>
      <w:r>
        <w:rPr>
          <w:rFonts w:hAnsi="宋体"/>
          <w:color w:val="auto"/>
        </w:rPr>
        <w:t>6.4</w:t>
      </w:r>
      <w:r>
        <w:rPr>
          <w:rFonts w:hAnsi="宋体"/>
          <w:color w:val="auto"/>
        </w:rPr>
        <w:noBreakHyphen/>
      </w:r>
      <w:r>
        <w:rPr>
          <w:rFonts w:hAnsi="宋体"/>
          <w:color w:val="auto"/>
        </w:rPr>
        <w:t>2</w:t>
      </w:r>
      <w:r>
        <w:rPr>
          <w:rFonts w:hAnsi="宋体"/>
          <w:color w:val="auto"/>
        </w:rPr>
        <w:fldChar w:fldCharType="end"/>
      </w:r>
      <w:r>
        <w:rPr>
          <w:rFonts w:hint="eastAsia" w:hAnsi="宋体"/>
          <w:color w:val="auto"/>
        </w:rPr>
        <w:t>。</w:t>
      </w:r>
    </w:p>
    <w:p w14:paraId="294067AB">
      <w:pPr>
        <w:pStyle w:val="15"/>
        <w:spacing w:before="120"/>
        <w:rPr>
          <w:rFonts w:hAnsi="宋体"/>
          <w:color w:val="auto"/>
          <w:szCs w:val="21"/>
        </w:rPr>
      </w:pPr>
      <w:bookmarkStart w:id="403" w:name="_Ref59462583"/>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2</w:t>
      </w:r>
      <w:r>
        <w:rPr>
          <w:rFonts w:hAnsi="宋体"/>
          <w:color w:val="auto"/>
        </w:rPr>
        <w:fldChar w:fldCharType="end"/>
      </w:r>
      <w:bookmarkEnd w:id="403"/>
      <w:r>
        <w:rPr>
          <w:rFonts w:hAnsi="宋体"/>
          <w:color w:val="auto"/>
          <w:szCs w:val="21"/>
        </w:rPr>
        <w:t xml:space="preserve">  </w:t>
      </w:r>
      <w:r>
        <w:rPr>
          <w:rFonts w:hint="eastAsia" w:hAnsi="宋体"/>
          <w:color w:val="auto"/>
          <w:szCs w:val="21"/>
        </w:rPr>
        <w:t>主要</w:t>
      </w:r>
      <w:r>
        <w:rPr>
          <w:rFonts w:hAnsi="宋体"/>
          <w:color w:val="auto"/>
          <w:szCs w:val="21"/>
        </w:rPr>
        <w:t>监测仪器</w:t>
      </w:r>
      <w:r>
        <w:rPr>
          <w:rFonts w:hint="eastAsia" w:hAnsi="宋体"/>
          <w:color w:val="auto"/>
          <w:szCs w:val="21"/>
        </w:rPr>
        <w:t>、</w:t>
      </w:r>
      <w:r>
        <w:rPr>
          <w:rFonts w:hAnsi="宋体"/>
          <w:color w:val="auto"/>
          <w:szCs w:val="21"/>
        </w:rPr>
        <w:t>设备</w:t>
      </w:r>
      <w:r>
        <w:rPr>
          <w:rFonts w:hint="eastAsia" w:hAnsi="宋体"/>
          <w:color w:val="auto"/>
          <w:szCs w:val="21"/>
        </w:rPr>
        <w:t>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3474"/>
        <w:gridCol w:w="2400"/>
        <w:gridCol w:w="2015"/>
      </w:tblGrid>
      <w:tr w14:paraId="389AA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0333A8FF">
            <w:pPr>
              <w:jc w:val="center"/>
              <w:rPr>
                <w:rFonts w:ascii="宋体" w:hAnsi="宋体"/>
                <w:b/>
                <w:color w:val="auto"/>
              </w:rPr>
            </w:pPr>
            <w:r>
              <w:rPr>
                <w:rFonts w:ascii="宋体" w:hAnsi="宋体"/>
                <w:b/>
                <w:color w:val="auto"/>
              </w:rPr>
              <w:t>序号</w:t>
            </w:r>
          </w:p>
        </w:tc>
        <w:tc>
          <w:tcPr>
            <w:tcW w:w="1992" w:type="pct"/>
            <w:shd w:val="clear" w:color="auto" w:fill="auto"/>
            <w:vAlign w:val="center"/>
          </w:tcPr>
          <w:p w14:paraId="596D04FB">
            <w:pPr>
              <w:jc w:val="center"/>
              <w:rPr>
                <w:rFonts w:ascii="宋体" w:hAnsi="宋体"/>
                <w:b/>
                <w:color w:val="auto"/>
              </w:rPr>
            </w:pPr>
            <w:r>
              <w:rPr>
                <w:rFonts w:ascii="宋体" w:hAnsi="宋体"/>
                <w:b/>
                <w:color w:val="auto"/>
              </w:rPr>
              <w:t>设备名称</w:t>
            </w:r>
          </w:p>
        </w:tc>
        <w:tc>
          <w:tcPr>
            <w:tcW w:w="1376" w:type="pct"/>
            <w:shd w:val="clear" w:color="auto" w:fill="auto"/>
            <w:vAlign w:val="center"/>
          </w:tcPr>
          <w:p w14:paraId="1909BFDE">
            <w:pPr>
              <w:jc w:val="center"/>
              <w:rPr>
                <w:rFonts w:ascii="宋体" w:hAnsi="宋体"/>
                <w:b/>
                <w:color w:val="auto"/>
              </w:rPr>
            </w:pPr>
            <w:r>
              <w:rPr>
                <w:rFonts w:ascii="宋体" w:hAnsi="宋体"/>
                <w:b/>
                <w:color w:val="auto"/>
              </w:rPr>
              <w:t>设备型号</w:t>
            </w:r>
          </w:p>
        </w:tc>
        <w:tc>
          <w:tcPr>
            <w:tcW w:w="1155" w:type="pct"/>
            <w:shd w:val="clear" w:color="auto" w:fill="auto"/>
            <w:vAlign w:val="center"/>
          </w:tcPr>
          <w:p w14:paraId="6B470627">
            <w:pPr>
              <w:jc w:val="center"/>
              <w:rPr>
                <w:rFonts w:ascii="宋体" w:hAnsi="宋体"/>
                <w:b/>
                <w:color w:val="auto"/>
              </w:rPr>
            </w:pPr>
            <w:r>
              <w:rPr>
                <w:rFonts w:ascii="宋体" w:hAnsi="宋体"/>
                <w:b/>
                <w:color w:val="auto"/>
              </w:rPr>
              <w:t>设备编号</w:t>
            </w:r>
          </w:p>
        </w:tc>
      </w:tr>
      <w:tr w14:paraId="7A039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shd w:val="clear" w:color="auto" w:fill="auto"/>
            <w:vAlign w:val="center"/>
          </w:tcPr>
          <w:p w14:paraId="47E40067">
            <w:pPr>
              <w:jc w:val="center"/>
              <w:rPr>
                <w:rFonts w:ascii="宋体" w:hAnsi="宋体"/>
                <w:color w:val="auto"/>
              </w:rPr>
            </w:pPr>
            <w:r>
              <w:rPr>
                <w:rFonts w:hint="eastAsia" w:ascii="宋体" w:hAnsi="宋体"/>
                <w:b/>
                <w:bCs/>
                <w:color w:val="auto"/>
              </w:rPr>
              <w:t>现场主要检测仪器及设备</w:t>
            </w:r>
          </w:p>
        </w:tc>
      </w:tr>
      <w:tr w14:paraId="1C04A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011082EE">
            <w:pPr>
              <w:jc w:val="center"/>
              <w:rPr>
                <w:rFonts w:ascii="宋体" w:hAnsi="宋体"/>
                <w:color w:val="auto"/>
              </w:rPr>
            </w:pPr>
            <w:r>
              <w:rPr>
                <w:rFonts w:hint="eastAsia" w:ascii="宋体" w:hAnsi="宋体"/>
                <w:color w:val="auto"/>
              </w:rPr>
              <w:t>1</w:t>
            </w:r>
          </w:p>
        </w:tc>
        <w:tc>
          <w:tcPr>
            <w:tcW w:w="1992" w:type="pct"/>
            <w:shd w:val="clear" w:color="auto" w:fill="auto"/>
            <w:vAlign w:val="center"/>
          </w:tcPr>
          <w:p w14:paraId="57F71AF9">
            <w:pPr>
              <w:jc w:val="center"/>
              <w:rPr>
                <w:rFonts w:ascii="宋体" w:hAnsi="宋体"/>
                <w:color w:val="auto"/>
              </w:rPr>
            </w:pPr>
            <w:r>
              <w:rPr>
                <w:rFonts w:hint="eastAsia" w:ascii="宋体" w:hAnsi="宋体"/>
                <w:color w:val="auto"/>
              </w:rPr>
              <w:t>便携式多参数分析仪</w:t>
            </w:r>
          </w:p>
        </w:tc>
        <w:tc>
          <w:tcPr>
            <w:tcW w:w="1376" w:type="pct"/>
            <w:shd w:val="clear" w:color="auto" w:fill="auto"/>
            <w:vAlign w:val="center"/>
          </w:tcPr>
          <w:p w14:paraId="0BB9E11C">
            <w:pPr>
              <w:jc w:val="center"/>
              <w:rPr>
                <w:rFonts w:ascii="宋体" w:hAnsi="宋体"/>
                <w:color w:val="auto"/>
              </w:rPr>
            </w:pPr>
            <w:r>
              <w:rPr>
                <w:rFonts w:hint="eastAsia" w:ascii="宋体" w:hAnsi="宋体"/>
                <w:color w:val="auto"/>
              </w:rPr>
              <w:t>DZB-712F</w:t>
            </w:r>
          </w:p>
        </w:tc>
        <w:tc>
          <w:tcPr>
            <w:tcW w:w="1155" w:type="pct"/>
            <w:shd w:val="clear" w:color="auto" w:fill="auto"/>
            <w:vAlign w:val="center"/>
          </w:tcPr>
          <w:p w14:paraId="75D58EB2">
            <w:pPr>
              <w:jc w:val="center"/>
              <w:rPr>
                <w:rFonts w:ascii="宋体" w:hAnsi="宋体"/>
                <w:color w:val="auto"/>
              </w:rPr>
            </w:pPr>
            <w:r>
              <w:rPr>
                <w:rFonts w:hint="eastAsia" w:ascii="宋体" w:hAnsi="宋体"/>
                <w:color w:val="auto"/>
              </w:rPr>
              <w:t>LP-X-167</w:t>
            </w:r>
          </w:p>
        </w:tc>
      </w:tr>
      <w:tr w14:paraId="00A91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1835914">
            <w:pPr>
              <w:widowControl/>
              <w:jc w:val="center"/>
              <w:rPr>
                <w:rFonts w:ascii="宋体" w:hAnsi="宋体"/>
                <w:color w:val="auto"/>
              </w:rPr>
            </w:pPr>
            <w:r>
              <w:rPr>
                <w:rFonts w:hint="eastAsia" w:ascii="宋体" w:hAnsi="宋体"/>
                <w:color w:val="auto"/>
              </w:rPr>
              <w:t>2</w:t>
            </w:r>
          </w:p>
        </w:tc>
        <w:tc>
          <w:tcPr>
            <w:tcW w:w="1992" w:type="pct"/>
            <w:shd w:val="clear" w:color="auto" w:fill="auto"/>
            <w:vAlign w:val="center"/>
          </w:tcPr>
          <w:p w14:paraId="18A006E3">
            <w:pPr>
              <w:jc w:val="center"/>
              <w:rPr>
                <w:rFonts w:ascii="宋体" w:hAnsi="宋体"/>
                <w:color w:val="auto"/>
              </w:rPr>
            </w:pPr>
            <w:r>
              <w:rPr>
                <w:rFonts w:hint="eastAsia" w:ascii="宋体" w:hAnsi="宋体"/>
                <w:color w:val="auto"/>
              </w:rPr>
              <w:t>便携式浊度计</w:t>
            </w:r>
          </w:p>
        </w:tc>
        <w:tc>
          <w:tcPr>
            <w:tcW w:w="1376" w:type="pct"/>
            <w:shd w:val="clear" w:color="auto" w:fill="auto"/>
            <w:vAlign w:val="center"/>
          </w:tcPr>
          <w:p w14:paraId="606B221D">
            <w:pPr>
              <w:jc w:val="center"/>
              <w:rPr>
                <w:rFonts w:ascii="宋体" w:hAnsi="宋体"/>
                <w:color w:val="auto"/>
              </w:rPr>
            </w:pPr>
            <w:r>
              <w:rPr>
                <w:rFonts w:hint="eastAsia" w:ascii="宋体" w:hAnsi="宋体"/>
                <w:color w:val="auto"/>
              </w:rPr>
              <w:t>WZB-170</w:t>
            </w:r>
          </w:p>
        </w:tc>
        <w:tc>
          <w:tcPr>
            <w:tcW w:w="1155" w:type="pct"/>
            <w:shd w:val="clear" w:color="auto" w:fill="auto"/>
            <w:vAlign w:val="center"/>
          </w:tcPr>
          <w:p w14:paraId="2814062C">
            <w:pPr>
              <w:jc w:val="center"/>
              <w:rPr>
                <w:rFonts w:ascii="宋体" w:hAnsi="宋体"/>
                <w:color w:val="auto"/>
              </w:rPr>
            </w:pPr>
            <w:r>
              <w:rPr>
                <w:rFonts w:hint="eastAsia" w:ascii="宋体" w:hAnsi="宋体"/>
                <w:color w:val="auto"/>
              </w:rPr>
              <w:t>LP-X-168</w:t>
            </w:r>
          </w:p>
        </w:tc>
      </w:tr>
      <w:tr w14:paraId="0ECE5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EAAEA79">
            <w:pPr>
              <w:jc w:val="center"/>
              <w:rPr>
                <w:rFonts w:ascii="宋体" w:hAnsi="宋体"/>
                <w:color w:val="auto"/>
              </w:rPr>
            </w:pPr>
            <w:r>
              <w:rPr>
                <w:rFonts w:hint="eastAsia" w:ascii="宋体" w:hAnsi="宋体"/>
                <w:color w:val="auto"/>
              </w:rPr>
              <w:t>3</w:t>
            </w:r>
          </w:p>
        </w:tc>
        <w:tc>
          <w:tcPr>
            <w:tcW w:w="1992" w:type="pct"/>
            <w:shd w:val="clear" w:color="auto" w:fill="auto"/>
            <w:vAlign w:val="center"/>
          </w:tcPr>
          <w:p w14:paraId="38FC7100">
            <w:pPr>
              <w:jc w:val="center"/>
              <w:rPr>
                <w:rFonts w:ascii="宋体" w:hAnsi="宋体"/>
                <w:color w:val="auto"/>
              </w:rPr>
            </w:pPr>
            <w:r>
              <w:rPr>
                <w:rFonts w:hint="eastAsia" w:ascii="宋体" w:hAnsi="宋体"/>
                <w:color w:val="auto"/>
              </w:rPr>
              <w:t>水温计</w:t>
            </w:r>
          </w:p>
        </w:tc>
        <w:tc>
          <w:tcPr>
            <w:tcW w:w="1376" w:type="pct"/>
            <w:shd w:val="clear" w:color="auto" w:fill="auto"/>
            <w:vAlign w:val="center"/>
          </w:tcPr>
          <w:p w14:paraId="43AD7726">
            <w:pPr>
              <w:jc w:val="center"/>
              <w:rPr>
                <w:rFonts w:ascii="宋体" w:hAnsi="宋体"/>
                <w:color w:val="auto"/>
              </w:rPr>
            </w:pPr>
            <w:r>
              <w:rPr>
                <w:rFonts w:hint="eastAsia" w:ascii="宋体" w:hAnsi="宋体"/>
                <w:color w:val="auto"/>
              </w:rPr>
              <w:t>-6-40</w:t>
            </w:r>
            <w:r>
              <w:rPr>
                <w:rFonts w:hint="eastAsia" w:ascii="宋体" w:hAnsi="宋体" w:cs="微软雅黑"/>
                <w:color w:val="auto"/>
              </w:rPr>
              <w:t>℃</w:t>
            </w:r>
          </w:p>
        </w:tc>
        <w:tc>
          <w:tcPr>
            <w:tcW w:w="1155" w:type="pct"/>
            <w:shd w:val="clear" w:color="auto" w:fill="auto"/>
            <w:vAlign w:val="center"/>
          </w:tcPr>
          <w:p w14:paraId="2FEFB96D">
            <w:pPr>
              <w:jc w:val="center"/>
              <w:rPr>
                <w:rFonts w:ascii="宋体" w:hAnsi="宋体"/>
                <w:color w:val="auto"/>
              </w:rPr>
            </w:pPr>
            <w:r>
              <w:rPr>
                <w:rFonts w:hint="eastAsia" w:ascii="宋体" w:hAnsi="宋体"/>
                <w:color w:val="auto"/>
              </w:rPr>
              <w:t>LP-X-128</w:t>
            </w:r>
          </w:p>
        </w:tc>
      </w:tr>
      <w:tr w14:paraId="110DF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3715426">
            <w:pPr>
              <w:jc w:val="center"/>
              <w:rPr>
                <w:rFonts w:ascii="宋体" w:hAnsi="宋体"/>
                <w:color w:val="auto"/>
              </w:rPr>
            </w:pPr>
            <w:r>
              <w:rPr>
                <w:rFonts w:hint="eastAsia" w:ascii="宋体" w:hAnsi="宋体"/>
                <w:color w:val="auto"/>
              </w:rPr>
              <w:t>4</w:t>
            </w:r>
          </w:p>
        </w:tc>
        <w:tc>
          <w:tcPr>
            <w:tcW w:w="1992" w:type="pct"/>
            <w:shd w:val="clear" w:color="auto" w:fill="auto"/>
            <w:vAlign w:val="center"/>
          </w:tcPr>
          <w:p w14:paraId="074E6480">
            <w:pPr>
              <w:jc w:val="center"/>
              <w:rPr>
                <w:rFonts w:ascii="宋体" w:hAnsi="宋体"/>
                <w:color w:val="auto"/>
              </w:rPr>
            </w:pPr>
            <w:r>
              <w:rPr>
                <w:rFonts w:hint="eastAsia" w:ascii="宋体" w:hAnsi="宋体"/>
                <w:color w:val="auto"/>
              </w:rPr>
              <w:t>温湿度计</w:t>
            </w:r>
          </w:p>
        </w:tc>
        <w:tc>
          <w:tcPr>
            <w:tcW w:w="1376" w:type="pct"/>
            <w:shd w:val="clear" w:color="auto" w:fill="auto"/>
            <w:vAlign w:val="center"/>
          </w:tcPr>
          <w:p w14:paraId="1D441A01">
            <w:pPr>
              <w:jc w:val="center"/>
              <w:rPr>
                <w:rFonts w:ascii="宋体" w:hAnsi="宋体"/>
                <w:color w:val="auto"/>
              </w:rPr>
            </w:pPr>
            <w:r>
              <w:rPr>
                <w:rFonts w:hint="eastAsia" w:ascii="宋体" w:hAnsi="宋体"/>
                <w:color w:val="auto"/>
              </w:rPr>
              <w:t>TES-1360A</w:t>
            </w:r>
          </w:p>
        </w:tc>
        <w:tc>
          <w:tcPr>
            <w:tcW w:w="1155" w:type="pct"/>
            <w:shd w:val="clear" w:color="auto" w:fill="auto"/>
            <w:vAlign w:val="center"/>
          </w:tcPr>
          <w:p w14:paraId="47C86F01">
            <w:pPr>
              <w:jc w:val="center"/>
              <w:rPr>
                <w:rFonts w:ascii="宋体" w:hAnsi="宋体"/>
                <w:color w:val="auto"/>
              </w:rPr>
            </w:pPr>
            <w:r>
              <w:rPr>
                <w:rFonts w:hint="eastAsia" w:ascii="宋体" w:hAnsi="宋体"/>
                <w:color w:val="auto"/>
              </w:rPr>
              <w:t>LP-X-083</w:t>
            </w:r>
          </w:p>
        </w:tc>
      </w:tr>
      <w:tr w14:paraId="2232A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6648A6A8">
            <w:pPr>
              <w:jc w:val="center"/>
              <w:rPr>
                <w:rFonts w:ascii="宋体" w:hAnsi="宋体"/>
                <w:color w:val="auto"/>
              </w:rPr>
            </w:pPr>
            <w:r>
              <w:rPr>
                <w:rFonts w:hint="eastAsia" w:ascii="宋体" w:hAnsi="宋体"/>
                <w:color w:val="auto"/>
              </w:rPr>
              <w:t>5</w:t>
            </w:r>
          </w:p>
        </w:tc>
        <w:tc>
          <w:tcPr>
            <w:tcW w:w="1992" w:type="pct"/>
            <w:shd w:val="clear" w:color="auto" w:fill="auto"/>
            <w:vAlign w:val="center"/>
          </w:tcPr>
          <w:p w14:paraId="43369582">
            <w:pPr>
              <w:jc w:val="center"/>
              <w:rPr>
                <w:rFonts w:ascii="宋体" w:hAnsi="宋体"/>
                <w:color w:val="auto"/>
              </w:rPr>
            </w:pPr>
            <w:r>
              <w:rPr>
                <w:rFonts w:hint="eastAsia" w:ascii="宋体" w:hAnsi="宋体"/>
                <w:color w:val="auto"/>
              </w:rPr>
              <w:t>温湿度计</w:t>
            </w:r>
          </w:p>
        </w:tc>
        <w:tc>
          <w:tcPr>
            <w:tcW w:w="1376" w:type="pct"/>
            <w:shd w:val="clear" w:color="auto" w:fill="auto"/>
            <w:vAlign w:val="center"/>
          </w:tcPr>
          <w:p w14:paraId="1776A434">
            <w:pPr>
              <w:jc w:val="center"/>
              <w:rPr>
                <w:rFonts w:ascii="宋体" w:hAnsi="宋体"/>
                <w:color w:val="auto"/>
              </w:rPr>
            </w:pPr>
            <w:r>
              <w:rPr>
                <w:rFonts w:hint="eastAsia" w:ascii="宋体" w:hAnsi="宋体"/>
                <w:color w:val="auto"/>
              </w:rPr>
              <w:t>TES-1360A</w:t>
            </w:r>
          </w:p>
        </w:tc>
        <w:tc>
          <w:tcPr>
            <w:tcW w:w="1155" w:type="pct"/>
            <w:shd w:val="clear" w:color="auto" w:fill="auto"/>
            <w:vAlign w:val="center"/>
          </w:tcPr>
          <w:p w14:paraId="6A1CE2D2">
            <w:pPr>
              <w:jc w:val="center"/>
              <w:rPr>
                <w:rFonts w:ascii="宋体" w:hAnsi="宋体"/>
                <w:color w:val="auto"/>
              </w:rPr>
            </w:pPr>
            <w:r>
              <w:rPr>
                <w:rFonts w:hint="eastAsia" w:ascii="宋体" w:hAnsi="宋体"/>
                <w:color w:val="auto"/>
              </w:rPr>
              <w:t>LP-X-080</w:t>
            </w:r>
          </w:p>
        </w:tc>
      </w:tr>
      <w:tr w14:paraId="7D077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6F50EB69">
            <w:pPr>
              <w:jc w:val="center"/>
              <w:rPr>
                <w:rFonts w:ascii="宋体" w:hAnsi="宋体"/>
                <w:color w:val="auto"/>
              </w:rPr>
            </w:pPr>
            <w:r>
              <w:rPr>
                <w:rFonts w:hint="eastAsia" w:ascii="宋体" w:hAnsi="宋体"/>
                <w:color w:val="auto"/>
              </w:rPr>
              <w:t>6</w:t>
            </w:r>
          </w:p>
        </w:tc>
        <w:tc>
          <w:tcPr>
            <w:tcW w:w="1992" w:type="pct"/>
            <w:shd w:val="clear" w:color="auto" w:fill="auto"/>
            <w:vAlign w:val="center"/>
          </w:tcPr>
          <w:p w14:paraId="24A30AC7">
            <w:pPr>
              <w:jc w:val="center"/>
              <w:rPr>
                <w:rFonts w:ascii="宋体" w:hAnsi="宋体"/>
                <w:color w:val="auto"/>
              </w:rPr>
            </w:pPr>
            <w:r>
              <w:rPr>
                <w:rFonts w:hint="eastAsia" w:ascii="宋体" w:hAnsi="宋体"/>
                <w:color w:val="auto"/>
              </w:rPr>
              <w:t>温湿度计</w:t>
            </w:r>
          </w:p>
        </w:tc>
        <w:tc>
          <w:tcPr>
            <w:tcW w:w="1376" w:type="pct"/>
            <w:shd w:val="clear" w:color="auto" w:fill="auto"/>
            <w:vAlign w:val="center"/>
          </w:tcPr>
          <w:p w14:paraId="5F6F5E5D">
            <w:pPr>
              <w:jc w:val="center"/>
              <w:rPr>
                <w:rFonts w:ascii="宋体" w:hAnsi="宋体"/>
                <w:color w:val="auto"/>
              </w:rPr>
            </w:pPr>
            <w:r>
              <w:rPr>
                <w:rFonts w:hint="eastAsia" w:ascii="宋体" w:hAnsi="宋体"/>
                <w:color w:val="auto"/>
              </w:rPr>
              <w:t>TES-1360A</w:t>
            </w:r>
          </w:p>
        </w:tc>
        <w:tc>
          <w:tcPr>
            <w:tcW w:w="1155" w:type="pct"/>
            <w:shd w:val="clear" w:color="auto" w:fill="auto"/>
            <w:vAlign w:val="center"/>
          </w:tcPr>
          <w:p w14:paraId="53D7C37A">
            <w:pPr>
              <w:jc w:val="center"/>
              <w:rPr>
                <w:rFonts w:ascii="宋体" w:hAnsi="宋体"/>
                <w:color w:val="auto"/>
              </w:rPr>
            </w:pPr>
            <w:r>
              <w:rPr>
                <w:rFonts w:hint="eastAsia" w:ascii="宋体" w:hAnsi="宋体"/>
                <w:color w:val="auto"/>
              </w:rPr>
              <w:t>LP-X-093</w:t>
            </w:r>
          </w:p>
        </w:tc>
      </w:tr>
      <w:tr w14:paraId="0D6C2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698A6DF1">
            <w:pPr>
              <w:jc w:val="center"/>
              <w:rPr>
                <w:rFonts w:ascii="宋体" w:hAnsi="宋体"/>
                <w:color w:val="auto"/>
              </w:rPr>
            </w:pPr>
            <w:r>
              <w:rPr>
                <w:rFonts w:hint="eastAsia" w:ascii="宋体" w:hAnsi="宋体"/>
                <w:color w:val="auto"/>
              </w:rPr>
              <w:t>7</w:t>
            </w:r>
          </w:p>
        </w:tc>
        <w:tc>
          <w:tcPr>
            <w:tcW w:w="1992" w:type="pct"/>
            <w:shd w:val="clear" w:color="auto" w:fill="auto"/>
            <w:vAlign w:val="center"/>
          </w:tcPr>
          <w:p w14:paraId="7B71A24D">
            <w:pPr>
              <w:jc w:val="center"/>
              <w:rPr>
                <w:rFonts w:ascii="宋体" w:hAnsi="宋体"/>
                <w:color w:val="auto"/>
              </w:rPr>
            </w:pPr>
            <w:r>
              <w:rPr>
                <w:rFonts w:hint="eastAsia" w:ascii="宋体" w:hAnsi="宋体"/>
                <w:color w:val="auto"/>
              </w:rPr>
              <w:t>五合一风速计</w:t>
            </w:r>
          </w:p>
        </w:tc>
        <w:tc>
          <w:tcPr>
            <w:tcW w:w="1376" w:type="pct"/>
            <w:shd w:val="clear" w:color="auto" w:fill="auto"/>
            <w:vAlign w:val="center"/>
          </w:tcPr>
          <w:p w14:paraId="6D897BCA">
            <w:pPr>
              <w:jc w:val="center"/>
              <w:rPr>
                <w:rFonts w:ascii="宋体" w:hAnsi="宋体"/>
                <w:color w:val="auto"/>
              </w:rPr>
            </w:pPr>
            <w:r>
              <w:rPr>
                <w:rFonts w:hint="eastAsia" w:ascii="宋体" w:hAnsi="宋体"/>
                <w:color w:val="auto"/>
              </w:rPr>
              <w:t>DEM6</w:t>
            </w:r>
          </w:p>
        </w:tc>
        <w:tc>
          <w:tcPr>
            <w:tcW w:w="1155" w:type="pct"/>
            <w:shd w:val="clear" w:color="auto" w:fill="auto"/>
            <w:vAlign w:val="center"/>
          </w:tcPr>
          <w:p w14:paraId="6DC884CC">
            <w:pPr>
              <w:jc w:val="center"/>
              <w:rPr>
                <w:rFonts w:ascii="宋体" w:hAnsi="宋体"/>
                <w:color w:val="auto"/>
              </w:rPr>
            </w:pPr>
            <w:r>
              <w:rPr>
                <w:rFonts w:hint="eastAsia" w:ascii="宋体" w:hAnsi="宋体"/>
                <w:color w:val="auto"/>
              </w:rPr>
              <w:t>LP-X-172</w:t>
            </w:r>
          </w:p>
        </w:tc>
      </w:tr>
      <w:tr w14:paraId="7D8C4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1168010">
            <w:pPr>
              <w:jc w:val="center"/>
              <w:rPr>
                <w:rFonts w:ascii="宋体" w:hAnsi="宋体"/>
                <w:color w:val="auto"/>
              </w:rPr>
            </w:pPr>
            <w:r>
              <w:rPr>
                <w:rFonts w:hint="eastAsia" w:ascii="宋体" w:hAnsi="宋体"/>
                <w:color w:val="auto"/>
              </w:rPr>
              <w:t>8</w:t>
            </w:r>
          </w:p>
        </w:tc>
        <w:tc>
          <w:tcPr>
            <w:tcW w:w="1992" w:type="pct"/>
            <w:shd w:val="clear" w:color="auto" w:fill="auto"/>
            <w:vAlign w:val="center"/>
          </w:tcPr>
          <w:p w14:paraId="55B5A98D">
            <w:pPr>
              <w:jc w:val="center"/>
              <w:rPr>
                <w:rFonts w:ascii="宋体" w:hAnsi="宋体"/>
                <w:color w:val="auto"/>
              </w:rPr>
            </w:pPr>
            <w:r>
              <w:rPr>
                <w:rFonts w:hint="eastAsia" w:ascii="宋体" w:hAnsi="宋体"/>
                <w:color w:val="auto"/>
              </w:rPr>
              <w:t>轻便三杯风向风速表</w:t>
            </w:r>
          </w:p>
        </w:tc>
        <w:tc>
          <w:tcPr>
            <w:tcW w:w="1376" w:type="pct"/>
            <w:shd w:val="clear" w:color="auto" w:fill="auto"/>
            <w:vAlign w:val="center"/>
          </w:tcPr>
          <w:p w14:paraId="169AF574">
            <w:pPr>
              <w:jc w:val="center"/>
              <w:rPr>
                <w:rFonts w:ascii="宋体" w:hAnsi="宋体"/>
                <w:color w:val="auto"/>
              </w:rPr>
            </w:pPr>
            <w:r>
              <w:rPr>
                <w:rFonts w:hint="eastAsia" w:ascii="宋体" w:hAnsi="宋体"/>
                <w:color w:val="auto"/>
              </w:rPr>
              <w:t>FB-8</w:t>
            </w:r>
          </w:p>
        </w:tc>
        <w:tc>
          <w:tcPr>
            <w:tcW w:w="1155" w:type="pct"/>
            <w:shd w:val="clear" w:color="auto" w:fill="auto"/>
            <w:vAlign w:val="center"/>
          </w:tcPr>
          <w:p w14:paraId="241D4B55">
            <w:pPr>
              <w:jc w:val="center"/>
              <w:rPr>
                <w:rFonts w:ascii="宋体" w:hAnsi="宋体"/>
                <w:color w:val="auto"/>
              </w:rPr>
            </w:pPr>
            <w:r>
              <w:rPr>
                <w:rFonts w:hint="eastAsia" w:ascii="宋体" w:hAnsi="宋体"/>
                <w:color w:val="auto"/>
              </w:rPr>
              <w:t>LP-X-072</w:t>
            </w:r>
          </w:p>
        </w:tc>
      </w:tr>
      <w:tr w14:paraId="5F702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B24591F">
            <w:pPr>
              <w:jc w:val="center"/>
              <w:rPr>
                <w:rFonts w:ascii="宋体" w:hAnsi="宋体"/>
                <w:color w:val="auto"/>
              </w:rPr>
            </w:pPr>
            <w:r>
              <w:rPr>
                <w:rFonts w:hint="eastAsia" w:ascii="宋体" w:hAnsi="宋体"/>
                <w:color w:val="auto"/>
              </w:rPr>
              <w:t>9</w:t>
            </w:r>
          </w:p>
        </w:tc>
        <w:tc>
          <w:tcPr>
            <w:tcW w:w="1992" w:type="pct"/>
            <w:shd w:val="clear" w:color="auto" w:fill="auto"/>
            <w:vAlign w:val="center"/>
          </w:tcPr>
          <w:p w14:paraId="107EB7C3">
            <w:pPr>
              <w:jc w:val="center"/>
              <w:rPr>
                <w:rFonts w:ascii="宋体" w:hAnsi="宋体"/>
                <w:color w:val="auto"/>
              </w:rPr>
            </w:pPr>
            <w:r>
              <w:rPr>
                <w:rFonts w:hint="eastAsia" w:ascii="宋体" w:hAnsi="宋体"/>
                <w:color w:val="auto"/>
              </w:rPr>
              <w:t>轻便三杯风向风速表</w:t>
            </w:r>
          </w:p>
        </w:tc>
        <w:tc>
          <w:tcPr>
            <w:tcW w:w="1376" w:type="pct"/>
            <w:shd w:val="clear" w:color="auto" w:fill="auto"/>
            <w:vAlign w:val="center"/>
          </w:tcPr>
          <w:p w14:paraId="23786023">
            <w:pPr>
              <w:jc w:val="center"/>
              <w:rPr>
                <w:rFonts w:ascii="宋体" w:hAnsi="宋体"/>
                <w:color w:val="auto"/>
              </w:rPr>
            </w:pPr>
            <w:r>
              <w:rPr>
                <w:rFonts w:hint="eastAsia" w:ascii="宋体" w:hAnsi="宋体"/>
                <w:color w:val="auto"/>
              </w:rPr>
              <w:t>DEM6</w:t>
            </w:r>
          </w:p>
        </w:tc>
        <w:tc>
          <w:tcPr>
            <w:tcW w:w="1155" w:type="pct"/>
            <w:shd w:val="clear" w:color="auto" w:fill="auto"/>
            <w:vAlign w:val="center"/>
          </w:tcPr>
          <w:p w14:paraId="1BEC13F7">
            <w:pPr>
              <w:jc w:val="center"/>
              <w:rPr>
                <w:rFonts w:ascii="宋体" w:hAnsi="宋体"/>
                <w:color w:val="auto"/>
              </w:rPr>
            </w:pPr>
            <w:r>
              <w:rPr>
                <w:rFonts w:hint="eastAsia" w:ascii="宋体" w:hAnsi="宋体"/>
                <w:color w:val="auto"/>
              </w:rPr>
              <w:t>LP-X-018</w:t>
            </w:r>
          </w:p>
        </w:tc>
      </w:tr>
      <w:tr w14:paraId="00BA9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1AD210C">
            <w:pPr>
              <w:jc w:val="center"/>
              <w:rPr>
                <w:rFonts w:ascii="宋体" w:hAnsi="宋体"/>
                <w:color w:val="auto"/>
              </w:rPr>
            </w:pPr>
            <w:r>
              <w:rPr>
                <w:rFonts w:hint="eastAsia" w:ascii="宋体" w:hAnsi="宋体"/>
                <w:color w:val="auto"/>
              </w:rPr>
              <w:t>1</w:t>
            </w:r>
            <w:r>
              <w:rPr>
                <w:rFonts w:ascii="宋体" w:hAnsi="宋体"/>
                <w:color w:val="auto"/>
              </w:rPr>
              <w:t>0</w:t>
            </w:r>
          </w:p>
        </w:tc>
        <w:tc>
          <w:tcPr>
            <w:tcW w:w="1992" w:type="pct"/>
            <w:shd w:val="clear" w:color="auto" w:fill="auto"/>
            <w:vAlign w:val="center"/>
          </w:tcPr>
          <w:p w14:paraId="3E43EF8B">
            <w:pPr>
              <w:jc w:val="center"/>
              <w:rPr>
                <w:rFonts w:ascii="宋体" w:hAnsi="宋体"/>
                <w:color w:val="auto"/>
              </w:rPr>
            </w:pPr>
            <w:r>
              <w:rPr>
                <w:rFonts w:hint="eastAsia" w:ascii="宋体" w:hAnsi="宋体"/>
                <w:color w:val="auto"/>
              </w:rPr>
              <w:t>空盒气压表</w:t>
            </w:r>
          </w:p>
        </w:tc>
        <w:tc>
          <w:tcPr>
            <w:tcW w:w="1376" w:type="pct"/>
            <w:shd w:val="clear" w:color="auto" w:fill="auto"/>
            <w:vAlign w:val="center"/>
          </w:tcPr>
          <w:p w14:paraId="65F66E6B">
            <w:pPr>
              <w:jc w:val="center"/>
              <w:rPr>
                <w:rFonts w:ascii="宋体" w:hAnsi="宋体"/>
                <w:color w:val="auto"/>
              </w:rPr>
            </w:pPr>
            <w:r>
              <w:rPr>
                <w:rFonts w:hint="eastAsia" w:ascii="宋体" w:hAnsi="宋体"/>
                <w:color w:val="auto"/>
              </w:rPr>
              <w:t>DYM3</w:t>
            </w:r>
          </w:p>
        </w:tc>
        <w:tc>
          <w:tcPr>
            <w:tcW w:w="1155" w:type="pct"/>
            <w:shd w:val="clear" w:color="auto" w:fill="auto"/>
            <w:vAlign w:val="center"/>
          </w:tcPr>
          <w:p w14:paraId="10887F2C">
            <w:pPr>
              <w:jc w:val="center"/>
              <w:rPr>
                <w:rFonts w:ascii="宋体" w:hAnsi="宋体"/>
                <w:color w:val="auto"/>
              </w:rPr>
            </w:pPr>
            <w:r>
              <w:rPr>
                <w:rFonts w:hint="eastAsia" w:ascii="宋体" w:hAnsi="宋体"/>
                <w:color w:val="auto"/>
              </w:rPr>
              <w:t>LP-X-101</w:t>
            </w:r>
          </w:p>
        </w:tc>
      </w:tr>
      <w:tr w14:paraId="48299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08D3DA40">
            <w:pPr>
              <w:jc w:val="center"/>
              <w:rPr>
                <w:rFonts w:ascii="宋体" w:hAnsi="宋体"/>
                <w:color w:val="auto"/>
              </w:rPr>
            </w:pPr>
            <w:r>
              <w:rPr>
                <w:rFonts w:hint="eastAsia" w:ascii="宋体" w:hAnsi="宋体"/>
                <w:color w:val="auto"/>
              </w:rPr>
              <w:t>1</w:t>
            </w:r>
            <w:r>
              <w:rPr>
                <w:rFonts w:ascii="宋体" w:hAnsi="宋体"/>
                <w:color w:val="auto"/>
              </w:rPr>
              <w:t>1</w:t>
            </w:r>
          </w:p>
        </w:tc>
        <w:tc>
          <w:tcPr>
            <w:tcW w:w="1992" w:type="pct"/>
            <w:shd w:val="clear" w:color="auto" w:fill="auto"/>
            <w:vAlign w:val="center"/>
          </w:tcPr>
          <w:p w14:paraId="280650F5">
            <w:pPr>
              <w:jc w:val="center"/>
              <w:rPr>
                <w:rFonts w:ascii="宋体" w:hAnsi="宋体"/>
                <w:color w:val="auto"/>
              </w:rPr>
            </w:pPr>
            <w:r>
              <w:rPr>
                <w:rFonts w:hint="eastAsia" w:ascii="宋体" w:hAnsi="宋体"/>
                <w:color w:val="auto"/>
              </w:rPr>
              <w:t>空盒气压表</w:t>
            </w:r>
          </w:p>
        </w:tc>
        <w:tc>
          <w:tcPr>
            <w:tcW w:w="1376" w:type="pct"/>
            <w:shd w:val="clear" w:color="auto" w:fill="auto"/>
            <w:vAlign w:val="center"/>
          </w:tcPr>
          <w:p w14:paraId="4A603A70">
            <w:pPr>
              <w:jc w:val="center"/>
              <w:rPr>
                <w:rFonts w:ascii="宋体" w:hAnsi="宋体"/>
                <w:color w:val="auto"/>
              </w:rPr>
            </w:pPr>
            <w:r>
              <w:rPr>
                <w:rFonts w:hint="eastAsia" w:ascii="宋体" w:hAnsi="宋体"/>
                <w:color w:val="auto"/>
              </w:rPr>
              <w:t>DYM3</w:t>
            </w:r>
          </w:p>
        </w:tc>
        <w:tc>
          <w:tcPr>
            <w:tcW w:w="1155" w:type="pct"/>
            <w:shd w:val="clear" w:color="auto" w:fill="auto"/>
            <w:vAlign w:val="center"/>
          </w:tcPr>
          <w:p w14:paraId="6E3E494D">
            <w:pPr>
              <w:jc w:val="center"/>
              <w:rPr>
                <w:rFonts w:ascii="宋体" w:hAnsi="宋体"/>
                <w:color w:val="auto"/>
              </w:rPr>
            </w:pPr>
            <w:r>
              <w:rPr>
                <w:rFonts w:hint="eastAsia" w:ascii="宋体" w:hAnsi="宋体"/>
                <w:color w:val="auto"/>
              </w:rPr>
              <w:t>LP-X-097</w:t>
            </w:r>
          </w:p>
        </w:tc>
      </w:tr>
      <w:tr w14:paraId="0FE66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0C92B5D5">
            <w:pPr>
              <w:jc w:val="center"/>
              <w:rPr>
                <w:rFonts w:ascii="宋体" w:hAnsi="宋体"/>
                <w:color w:val="auto"/>
              </w:rPr>
            </w:pPr>
            <w:r>
              <w:rPr>
                <w:rFonts w:hint="eastAsia" w:ascii="宋体" w:hAnsi="宋体"/>
                <w:color w:val="auto"/>
              </w:rPr>
              <w:t>1</w:t>
            </w:r>
            <w:r>
              <w:rPr>
                <w:rFonts w:ascii="宋体" w:hAnsi="宋体"/>
                <w:color w:val="auto"/>
              </w:rPr>
              <w:t>2</w:t>
            </w:r>
          </w:p>
        </w:tc>
        <w:tc>
          <w:tcPr>
            <w:tcW w:w="1992" w:type="pct"/>
            <w:shd w:val="clear" w:color="auto" w:fill="auto"/>
            <w:vAlign w:val="center"/>
          </w:tcPr>
          <w:p w14:paraId="75FEF9EB">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619FCC2B">
            <w:pPr>
              <w:jc w:val="center"/>
              <w:rPr>
                <w:rFonts w:ascii="宋体" w:hAnsi="宋体"/>
                <w:color w:val="auto"/>
              </w:rPr>
            </w:pPr>
            <w:r>
              <w:rPr>
                <w:rFonts w:hint="eastAsia" w:ascii="宋体" w:hAnsi="宋体"/>
                <w:color w:val="auto"/>
              </w:rPr>
              <w:t>TW-7000D</w:t>
            </w:r>
          </w:p>
        </w:tc>
        <w:tc>
          <w:tcPr>
            <w:tcW w:w="1155" w:type="pct"/>
            <w:shd w:val="clear" w:color="auto" w:fill="auto"/>
            <w:vAlign w:val="center"/>
          </w:tcPr>
          <w:p w14:paraId="179AEC0A">
            <w:pPr>
              <w:jc w:val="center"/>
              <w:rPr>
                <w:rFonts w:ascii="宋体" w:hAnsi="宋体"/>
                <w:color w:val="auto"/>
              </w:rPr>
            </w:pPr>
            <w:r>
              <w:rPr>
                <w:rFonts w:hint="eastAsia" w:ascii="宋体" w:hAnsi="宋体"/>
                <w:color w:val="auto"/>
              </w:rPr>
              <w:t>LP-X-149</w:t>
            </w:r>
          </w:p>
        </w:tc>
      </w:tr>
      <w:tr w14:paraId="1D281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DD09FC3">
            <w:pPr>
              <w:jc w:val="center"/>
              <w:rPr>
                <w:rFonts w:ascii="宋体" w:hAnsi="宋体"/>
                <w:color w:val="auto"/>
              </w:rPr>
            </w:pPr>
            <w:r>
              <w:rPr>
                <w:rFonts w:hint="eastAsia" w:ascii="宋体" w:hAnsi="宋体"/>
                <w:color w:val="auto"/>
              </w:rPr>
              <w:t>1</w:t>
            </w:r>
            <w:r>
              <w:rPr>
                <w:rFonts w:ascii="宋体" w:hAnsi="宋体"/>
                <w:color w:val="auto"/>
              </w:rPr>
              <w:t>3</w:t>
            </w:r>
          </w:p>
        </w:tc>
        <w:tc>
          <w:tcPr>
            <w:tcW w:w="1992" w:type="pct"/>
            <w:shd w:val="clear" w:color="auto" w:fill="auto"/>
            <w:vAlign w:val="center"/>
          </w:tcPr>
          <w:p w14:paraId="5B6A8ED8">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14814549">
            <w:pPr>
              <w:jc w:val="center"/>
              <w:rPr>
                <w:rFonts w:ascii="宋体" w:hAnsi="宋体"/>
                <w:color w:val="auto"/>
              </w:rPr>
            </w:pPr>
            <w:r>
              <w:rPr>
                <w:rFonts w:hint="eastAsia" w:ascii="宋体" w:hAnsi="宋体"/>
                <w:color w:val="auto"/>
              </w:rPr>
              <w:t>TW-7000D</w:t>
            </w:r>
          </w:p>
        </w:tc>
        <w:tc>
          <w:tcPr>
            <w:tcW w:w="1155" w:type="pct"/>
            <w:shd w:val="clear" w:color="auto" w:fill="auto"/>
            <w:vAlign w:val="center"/>
          </w:tcPr>
          <w:p w14:paraId="2E110883">
            <w:pPr>
              <w:jc w:val="center"/>
              <w:rPr>
                <w:rFonts w:ascii="宋体" w:hAnsi="宋体"/>
                <w:color w:val="auto"/>
              </w:rPr>
            </w:pPr>
            <w:r>
              <w:rPr>
                <w:rFonts w:hint="eastAsia" w:ascii="宋体" w:hAnsi="宋体"/>
                <w:color w:val="auto"/>
              </w:rPr>
              <w:t>LP-X-150</w:t>
            </w:r>
          </w:p>
        </w:tc>
      </w:tr>
      <w:tr w14:paraId="49517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20CF9611">
            <w:pPr>
              <w:jc w:val="center"/>
              <w:rPr>
                <w:rFonts w:ascii="宋体" w:hAnsi="宋体"/>
                <w:color w:val="auto"/>
              </w:rPr>
            </w:pPr>
            <w:r>
              <w:rPr>
                <w:rFonts w:hint="eastAsia" w:ascii="宋体" w:hAnsi="宋体"/>
                <w:color w:val="auto"/>
              </w:rPr>
              <w:t>1</w:t>
            </w:r>
            <w:r>
              <w:rPr>
                <w:rFonts w:ascii="宋体" w:hAnsi="宋体"/>
                <w:color w:val="auto"/>
              </w:rPr>
              <w:t>4</w:t>
            </w:r>
          </w:p>
        </w:tc>
        <w:tc>
          <w:tcPr>
            <w:tcW w:w="1992" w:type="pct"/>
            <w:shd w:val="clear" w:color="auto" w:fill="auto"/>
            <w:vAlign w:val="center"/>
          </w:tcPr>
          <w:p w14:paraId="04C42B68">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611FA783">
            <w:pPr>
              <w:jc w:val="center"/>
              <w:rPr>
                <w:rFonts w:ascii="宋体" w:hAnsi="宋体"/>
                <w:color w:val="auto"/>
              </w:rPr>
            </w:pPr>
            <w:r>
              <w:rPr>
                <w:rFonts w:hint="eastAsia" w:ascii="宋体" w:hAnsi="宋体"/>
                <w:color w:val="auto"/>
              </w:rPr>
              <w:t>TW-7000D</w:t>
            </w:r>
          </w:p>
        </w:tc>
        <w:tc>
          <w:tcPr>
            <w:tcW w:w="1155" w:type="pct"/>
            <w:shd w:val="clear" w:color="auto" w:fill="auto"/>
            <w:vAlign w:val="center"/>
          </w:tcPr>
          <w:p w14:paraId="6A9B4548">
            <w:pPr>
              <w:jc w:val="center"/>
              <w:rPr>
                <w:rFonts w:ascii="宋体" w:hAnsi="宋体"/>
                <w:color w:val="auto"/>
              </w:rPr>
            </w:pPr>
            <w:r>
              <w:rPr>
                <w:rFonts w:hint="eastAsia" w:ascii="宋体" w:hAnsi="宋体"/>
                <w:color w:val="auto"/>
              </w:rPr>
              <w:t>LP-X-151</w:t>
            </w:r>
          </w:p>
        </w:tc>
      </w:tr>
      <w:tr w14:paraId="58777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3430D45">
            <w:pPr>
              <w:jc w:val="center"/>
              <w:rPr>
                <w:rFonts w:ascii="宋体" w:hAnsi="宋体"/>
                <w:color w:val="auto"/>
              </w:rPr>
            </w:pPr>
            <w:r>
              <w:rPr>
                <w:rFonts w:hint="eastAsia" w:ascii="宋体" w:hAnsi="宋体"/>
                <w:color w:val="auto"/>
              </w:rPr>
              <w:t>1</w:t>
            </w:r>
            <w:r>
              <w:rPr>
                <w:rFonts w:ascii="宋体" w:hAnsi="宋体"/>
                <w:color w:val="auto"/>
              </w:rPr>
              <w:t>5</w:t>
            </w:r>
          </w:p>
        </w:tc>
        <w:tc>
          <w:tcPr>
            <w:tcW w:w="1992" w:type="pct"/>
            <w:shd w:val="clear" w:color="auto" w:fill="auto"/>
            <w:vAlign w:val="center"/>
          </w:tcPr>
          <w:p w14:paraId="2F586021">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5C6400CD">
            <w:pPr>
              <w:jc w:val="center"/>
              <w:rPr>
                <w:rFonts w:ascii="宋体" w:hAnsi="宋体"/>
                <w:color w:val="auto"/>
              </w:rPr>
            </w:pPr>
            <w:r>
              <w:rPr>
                <w:rFonts w:hint="eastAsia" w:ascii="宋体" w:hAnsi="宋体"/>
                <w:color w:val="auto"/>
              </w:rPr>
              <w:t>TW-7000D</w:t>
            </w:r>
          </w:p>
        </w:tc>
        <w:tc>
          <w:tcPr>
            <w:tcW w:w="1155" w:type="pct"/>
            <w:shd w:val="clear" w:color="auto" w:fill="auto"/>
            <w:vAlign w:val="center"/>
          </w:tcPr>
          <w:p w14:paraId="394F5118">
            <w:pPr>
              <w:jc w:val="center"/>
              <w:rPr>
                <w:rFonts w:ascii="宋体" w:hAnsi="宋体"/>
                <w:color w:val="auto"/>
              </w:rPr>
            </w:pPr>
            <w:r>
              <w:rPr>
                <w:rFonts w:hint="eastAsia" w:ascii="宋体" w:hAnsi="宋体"/>
                <w:color w:val="auto"/>
              </w:rPr>
              <w:t>LP-X-152</w:t>
            </w:r>
          </w:p>
        </w:tc>
      </w:tr>
      <w:tr w14:paraId="14DC7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051108D">
            <w:pPr>
              <w:jc w:val="center"/>
              <w:rPr>
                <w:rFonts w:ascii="宋体" w:hAnsi="宋体"/>
                <w:color w:val="auto"/>
              </w:rPr>
            </w:pPr>
            <w:r>
              <w:rPr>
                <w:rFonts w:hint="eastAsia" w:ascii="宋体" w:hAnsi="宋体"/>
                <w:color w:val="auto"/>
              </w:rPr>
              <w:t>1</w:t>
            </w:r>
            <w:r>
              <w:rPr>
                <w:rFonts w:ascii="宋体" w:hAnsi="宋体"/>
                <w:color w:val="auto"/>
              </w:rPr>
              <w:t>6</w:t>
            </w:r>
          </w:p>
        </w:tc>
        <w:tc>
          <w:tcPr>
            <w:tcW w:w="1992" w:type="pct"/>
            <w:shd w:val="clear" w:color="auto" w:fill="auto"/>
            <w:vAlign w:val="center"/>
          </w:tcPr>
          <w:p w14:paraId="1D42B360">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0E86CEE9">
            <w:pPr>
              <w:jc w:val="center"/>
              <w:rPr>
                <w:rFonts w:ascii="宋体" w:hAnsi="宋体"/>
                <w:color w:val="auto"/>
              </w:rPr>
            </w:pPr>
            <w:r>
              <w:rPr>
                <w:rFonts w:hint="eastAsia" w:ascii="宋体" w:hAnsi="宋体"/>
                <w:color w:val="auto"/>
              </w:rPr>
              <w:t>TW-7000D</w:t>
            </w:r>
          </w:p>
        </w:tc>
        <w:tc>
          <w:tcPr>
            <w:tcW w:w="1155" w:type="pct"/>
            <w:shd w:val="clear" w:color="auto" w:fill="auto"/>
            <w:vAlign w:val="center"/>
          </w:tcPr>
          <w:p w14:paraId="01656852">
            <w:pPr>
              <w:jc w:val="center"/>
              <w:rPr>
                <w:rFonts w:ascii="宋体" w:hAnsi="宋体"/>
                <w:color w:val="auto"/>
              </w:rPr>
            </w:pPr>
            <w:r>
              <w:rPr>
                <w:rFonts w:hint="eastAsia" w:ascii="宋体" w:hAnsi="宋体"/>
                <w:color w:val="auto"/>
              </w:rPr>
              <w:t>LP-X-153</w:t>
            </w:r>
          </w:p>
        </w:tc>
      </w:tr>
      <w:tr w14:paraId="12C3F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AF8C9DC">
            <w:pPr>
              <w:jc w:val="center"/>
              <w:rPr>
                <w:rFonts w:ascii="宋体" w:hAnsi="宋体"/>
                <w:color w:val="auto"/>
              </w:rPr>
            </w:pPr>
            <w:r>
              <w:rPr>
                <w:rFonts w:hint="eastAsia" w:ascii="宋体" w:hAnsi="宋体"/>
                <w:color w:val="auto"/>
              </w:rPr>
              <w:t>1</w:t>
            </w:r>
            <w:r>
              <w:rPr>
                <w:rFonts w:ascii="宋体" w:hAnsi="宋体"/>
                <w:color w:val="auto"/>
              </w:rPr>
              <w:t>7</w:t>
            </w:r>
          </w:p>
        </w:tc>
        <w:tc>
          <w:tcPr>
            <w:tcW w:w="1992" w:type="pct"/>
            <w:shd w:val="clear" w:color="auto" w:fill="auto"/>
            <w:vAlign w:val="center"/>
          </w:tcPr>
          <w:p w14:paraId="729A2C82">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5016E4EC">
            <w:pPr>
              <w:jc w:val="center"/>
              <w:rPr>
                <w:rFonts w:ascii="宋体" w:hAnsi="宋体"/>
                <w:color w:val="auto"/>
              </w:rPr>
            </w:pPr>
            <w:r>
              <w:rPr>
                <w:rFonts w:hint="eastAsia" w:ascii="宋体" w:hAnsi="宋体"/>
                <w:color w:val="auto"/>
              </w:rPr>
              <w:t>TW-7000D</w:t>
            </w:r>
          </w:p>
        </w:tc>
        <w:tc>
          <w:tcPr>
            <w:tcW w:w="1155" w:type="pct"/>
            <w:shd w:val="clear" w:color="auto" w:fill="auto"/>
            <w:vAlign w:val="center"/>
          </w:tcPr>
          <w:p w14:paraId="09BFBC0F">
            <w:pPr>
              <w:jc w:val="center"/>
              <w:rPr>
                <w:rFonts w:ascii="宋体" w:hAnsi="宋体"/>
                <w:color w:val="auto"/>
              </w:rPr>
            </w:pPr>
            <w:r>
              <w:rPr>
                <w:rFonts w:hint="eastAsia" w:ascii="宋体" w:hAnsi="宋体"/>
                <w:color w:val="auto"/>
              </w:rPr>
              <w:t>LP-X-154</w:t>
            </w:r>
          </w:p>
        </w:tc>
      </w:tr>
      <w:tr w14:paraId="44A6E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307E2478">
            <w:pPr>
              <w:jc w:val="center"/>
              <w:rPr>
                <w:rFonts w:ascii="宋体" w:hAnsi="宋体"/>
                <w:color w:val="auto"/>
              </w:rPr>
            </w:pPr>
            <w:r>
              <w:rPr>
                <w:rFonts w:hint="eastAsia" w:ascii="宋体" w:hAnsi="宋体"/>
                <w:color w:val="auto"/>
              </w:rPr>
              <w:t>1</w:t>
            </w:r>
            <w:r>
              <w:rPr>
                <w:rFonts w:ascii="宋体" w:hAnsi="宋体"/>
                <w:color w:val="auto"/>
              </w:rPr>
              <w:t>8</w:t>
            </w:r>
          </w:p>
        </w:tc>
        <w:tc>
          <w:tcPr>
            <w:tcW w:w="1992" w:type="pct"/>
            <w:shd w:val="clear" w:color="auto" w:fill="auto"/>
            <w:vAlign w:val="center"/>
          </w:tcPr>
          <w:p w14:paraId="2326FB5D">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4F03BD5F">
            <w:pPr>
              <w:jc w:val="center"/>
              <w:rPr>
                <w:rFonts w:ascii="宋体" w:hAnsi="宋体"/>
                <w:color w:val="auto"/>
              </w:rPr>
            </w:pPr>
            <w:r>
              <w:rPr>
                <w:rFonts w:hint="eastAsia" w:ascii="宋体" w:hAnsi="宋体"/>
                <w:color w:val="auto"/>
              </w:rPr>
              <w:t>TW-7000D</w:t>
            </w:r>
          </w:p>
        </w:tc>
        <w:tc>
          <w:tcPr>
            <w:tcW w:w="1155" w:type="pct"/>
            <w:shd w:val="clear" w:color="auto" w:fill="auto"/>
            <w:vAlign w:val="center"/>
          </w:tcPr>
          <w:p w14:paraId="543EBD3C">
            <w:pPr>
              <w:jc w:val="center"/>
              <w:rPr>
                <w:rFonts w:ascii="宋体" w:hAnsi="宋体"/>
                <w:color w:val="auto"/>
              </w:rPr>
            </w:pPr>
            <w:r>
              <w:rPr>
                <w:rFonts w:hint="eastAsia" w:ascii="宋体" w:hAnsi="宋体"/>
                <w:color w:val="auto"/>
              </w:rPr>
              <w:t>LP-X-155</w:t>
            </w:r>
          </w:p>
        </w:tc>
      </w:tr>
      <w:tr w14:paraId="025DC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219C2723">
            <w:pPr>
              <w:widowControl/>
              <w:jc w:val="center"/>
              <w:rPr>
                <w:rFonts w:ascii="宋体" w:hAnsi="宋体"/>
                <w:color w:val="auto"/>
              </w:rPr>
            </w:pPr>
            <w:r>
              <w:rPr>
                <w:rFonts w:hint="eastAsia" w:ascii="宋体" w:hAnsi="宋体"/>
                <w:color w:val="auto"/>
              </w:rPr>
              <w:t>19</w:t>
            </w:r>
          </w:p>
        </w:tc>
        <w:tc>
          <w:tcPr>
            <w:tcW w:w="1992" w:type="pct"/>
            <w:shd w:val="clear" w:color="auto" w:fill="auto"/>
            <w:vAlign w:val="center"/>
          </w:tcPr>
          <w:p w14:paraId="1E5EC955">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1ACF1CB1">
            <w:pPr>
              <w:jc w:val="center"/>
              <w:rPr>
                <w:rFonts w:ascii="宋体" w:hAnsi="宋体"/>
                <w:color w:val="auto"/>
              </w:rPr>
            </w:pPr>
            <w:r>
              <w:rPr>
                <w:rFonts w:hint="eastAsia" w:ascii="宋体" w:hAnsi="宋体"/>
                <w:color w:val="auto"/>
              </w:rPr>
              <w:t>TW-7000D</w:t>
            </w:r>
          </w:p>
        </w:tc>
        <w:tc>
          <w:tcPr>
            <w:tcW w:w="1155" w:type="pct"/>
            <w:shd w:val="clear" w:color="auto" w:fill="auto"/>
            <w:vAlign w:val="center"/>
          </w:tcPr>
          <w:p w14:paraId="3427B1EE">
            <w:pPr>
              <w:jc w:val="center"/>
              <w:rPr>
                <w:rFonts w:ascii="宋体" w:hAnsi="宋体"/>
                <w:color w:val="auto"/>
              </w:rPr>
            </w:pPr>
            <w:r>
              <w:rPr>
                <w:rFonts w:hint="eastAsia" w:ascii="宋体" w:hAnsi="宋体"/>
                <w:color w:val="auto"/>
              </w:rPr>
              <w:t>LP-X-156</w:t>
            </w:r>
          </w:p>
        </w:tc>
      </w:tr>
      <w:tr w14:paraId="3BE8C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3DD63FE2">
            <w:pPr>
              <w:widowControl/>
              <w:jc w:val="center"/>
              <w:rPr>
                <w:rFonts w:ascii="宋体" w:hAnsi="宋体"/>
                <w:color w:val="auto"/>
              </w:rPr>
            </w:pPr>
            <w:r>
              <w:rPr>
                <w:rFonts w:hint="eastAsia" w:ascii="宋体" w:hAnsi="宋体"/>
                <w:color w:val="auto"/>
              </w:rPr>
              <w:t>20</w:t>
            </w:r>
          </w:p>
        </w:tc>
        <w:tc>
          <w:tcPr>
            <w:tcW w:w="1992" w:type="pct"/>
            <w:shd w:val="clear" w:color="auto" w:fill="auto"/>
            <w:vAlign w:val="center"/>
          </w:tcPr>
          <w:p w14:paraId="47C0F907">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146217BE">
            <w:pPr>
              <w:jc w:val="center"/>
              <w:rPr>
                <w:rFonts w:ascii="宋体" w:hAnsi="宋体"/>
                <w:color w:val="auto"/>
              </w:rPr>
            </w:pPr>
            <w:r>
              <w:rPr>
                <w:rFonts w:hint="eastAsia" w:ascii="宋体" w:hAnsi="宋体"/>
                <w:color w:val="auto"/>
              </w:rPr>
              <w:t>KB-6D</w:t>
            </w:r>
          </w:p>
        </w:tc>
        <w:tc>
          <w:tcPr>
            <w:tcW w:w="1155" w:type="pct"/>
            <w:shd w:val="clear" w:color="auto" w:fill="auto"/>
            <w:vAlign w:val="center"/>
          </w:tcPr>
          <w:p w14:paraId="0E978D75">
            <w:pPr>
              <w:jc w:val="center"/>
              <w:rPr>
                <w:rFonts w:ascii="宋体" w:hAnsi="宋体"/>
                <w:color w:val="auto"/>
              </w:rPr>
            </w:pPr>
            <w:r>
              <w:rPr>
                <w:rFonts w:hint="eastAsia" w:ascii="宋体" w:hAnsi="宋体"/>
                <w:color w:val="auto"/>
              </w:rPr>
              <w:t>LP-X-091</w:t>
            </w:r>
          </w:p>
        </w:tc>
      </w:tr>
      <w:tr w14:paraId="4B608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C80ED96">
            <w:pPr>
              <w:jc w:val="center"/>
              <w:rPr>
                <w:rFonts w:ascii="宋体" w:hAnsi="宋体"/>
                <w:color w:val="auto"/>
              </w:rPr>
            </w:pPr>
            <w:r>
              <w:rPr>
                <w:rFonts w:hint="eastAsia" w:ascii="宋体" w:hAnsi="宋体"/>
                <w:color w:val="auto"/>
              </w:rPr>
              <w:t>21</w:t>
            </w:r>
          </w:p>
        </w:tc>
        <w:tc>
          <w:tcPr>
            <w:tcW w:w="1992" w:type="pct"/>
            <w:shd w:val="clear" w:color="auto" w:fill="auto"/>
            <w:vAlign w:val="center"/>
          </w:tcPr>
          <w:p w14:paraId="1A4F5177">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5517C31C">
            <w:pPr>
              <w:jc w:val="center"/>
              <w:rPr>
                <w:rFonts w:ascii="宋体" w:hAnsi="宋体"/>
                <w:color w:val="auto"/>
              </w:rPr>
            </w:pPr>
            <w:r>
              <w:rPr>
                <w:rFonts w:hint="eastAsia" w:ascii="宋体" w:hAnsi="宋体"/>
                <w:color w:val="auto"/>
              </w:rPr>
              <w:t>KB-6D</w:t>
            </w:r>
          </w:p>
        </w:tc>
        <w:tc>
          <w:tcPr>
            <w:tcW w:w="1155" w:type="pct"/>
            <w:shd w:val="clear" w:color="auto" w:fill="auto"/>
            <w:vAlign w:val="center"/>
          </w:tcPr>
          <w:p w14:paraId="0D1C106C">
            <w:pPr>
              <w:jc w:val="center"/>
              <w:rPr>
                <w:rFonts w:ascii="宋体" w:hAnsi="宋体"/>
                <w:color w:val="auto"/>
              </w:rPr>
            </w:pPr>
            <w:r>
              <w:rPr>
                <w:rFonts w:hint="eastAsia" w:ascii="宋体" w:hAnsi="宋体"/>
                <w:color w:val="auto"/>
              </w:rPr>
              <w:t>LP-X-108</w:t>
            </w:r>
          </w:p>
        </w:tc>
      </w:tr>
      <w:tr w14:paraId="047B1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A744D56">
            <w:pPr>
              <w:jc w:val="center"/>
              <w:rPr>
                <w:rFonts w:ascii="宋体" w:hAnsi="宋体"/>
                <w:color w:val="auto"/>
              </w:rPr>
            </w:pPr>
            <w:r>
              <w:rPr>
                <w:rFonts w:hint="eastAsia" w:ascii="宋体" w:hAnsi="宋体"/>
                <w:color w:val="auto"/>
              </w:rPr>
              <w:t>22</w:t>
            </w:r>
          </w:p>
        </w:tc>
        <w:tc>
          <w:tcPr>
            <w:tcW w:w="1992" w:type="pct"/>
            <w:shd w:val="clear" w:color="auto" w:fill="auto"/>
            <w:vAlign w:val="center"/>
          </w:tcPr>
          <w:p w14:paraId="6BF167CD">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7E30E8D6">
            <w:pPr>
              <w:jc w:val="center"/>
              <w:rPr>
                <w:rFonts w:ascii="宋体" w:hAnsi="宋体"/>
                <w:color w:val="auto"/>
              </w:rPr>
            </w:pPr>
            <w:r>
              <w:rPr>
                <w:rFonts w:hint="eastAsia" w:ascii="宋体" w:hAnsi="宋体"/>
                <w:color w:val="auto"/>
              </w:rPr>
              <w:t>KB-6D</w:t>
            </w:r>
          </w:p>
        </w:tc>
        <w:tc>
          <w:tcPr>
            <w:tcW w:w="1155" w:type="pct"/>
            <w:shd w:val="clear" w:color="auto" w:fill="auto"/>
            <w:vAlign w:val="center"/>
          </w:tcPr>
          <w:p w14:paraId="404809E3">
            <w:pPr>
              <w:jc w:val="center"/>
              <w:rPr>
                <w:rFonts w:ascii="宋体" w:hAnsi="宋体"/>
                <w:color w:val="auto"/>
              </w:rPr>
            </w:pPr>
            <w:r>
              <w:rPr>
                <w:rFonts w:hint="eastAsia" w:ascii="宋体" w:hAnsi="宋体"/>
                <w:color w:val="auto"/>
              </w:rPr>
              <w:t>LP-X-109</w:t>
            </w:r>
          </w:p>
        </w:tc>
      </w:tr>
      <w:tr w14:paraId="5BB59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1A401B1">
            <w:pPr>
              <w:jc w:val="center"/>
              <w:rPr>
                <w:rFonts w:ascii="宋体" w:hAnsi="宋体"/>
                <w:color w:val="auto"/>
              </w:rPr>
            </w:pPr>
            <w:r>
              <w:rPr>
                <w:rFonts w:hint="eastAsia" w:ascii="宋体" w:hAnsi="宋体"/>
                <w:color w:val="auto"/>
              </w:rPr>
              <w:t>23</w:t>
            </w:r>
          </w:p>
        </w:tc>
        <w:tc>
          <w:tcPr>
            <w:tcW w:w="1992" w:type="pct"/>
            <w:shd w:val="clear" w:color="auto" w:fill="auto"/>
            <w:vAlign w:val="center"/>
          </w:tcPr>
          <w:p w14:paraId="608B620A">
            <w:pPr>
              <w:jc w:val="center"/>
              <w:rPr>
                <w:rFonts w:ascii="宋体" w:hAnsi="宋体"/>
                <w:color w:val="auto"/>
              </w:rPr>
            </w:pPr>
            <w:r>
              <w:rPr>
                <w:rFonts w:hint="eastAsia" w:ascii="宋体" w:hAnsi="宋体"/>
                <w:color w:val="auto"/>
              </w:rPr>
              <w:t>真空箱气袋采样器</w:t>
            </w:r>
          </w:p>
        </w:tc>
        <w:tc>
          <w:tcPr>
            <w:tcW w:w="1376" w:type="pct"/>
            <w:shd w:val="clear" w:color="auto" w:fill="auto"/>
            <w:vAlign w:val="center"/>
          </w:tcPr>
          <w:p w14:paraId="475104D1">
            <w:pPr>
              <w:jc w:val="center"/>
              <w:rPr>
                <w:rFonts w:ascii="宋体" w:hAnsi="宋体"/>
                <w:color w:val="auto"/>
              </w:rPr>
            </w:pPr>
            <w:r>
              <w:rPr>
                <w:rFonts w:hint="eastAsia" w:ascii="宋体" w:hAnsi="宋体"/>
                <w:color w:val="auto"/>
              </w:rPr>
              <w:t>KB-6D</w:t>
            </w:r>
          </w:p>
        </w:tc>
        <w:tc>
          <w:tcPr>
            <w:tcW w:w="1155" w:type="pct"/>
            <w:shd w:val="clear" w:color="auto" w:fill="auto"/>
            <w:vAlign w:val="center"/>
          </w:tcPr>
          <w:p w14:paraId="31902010">
            <w:pPr>
              <w:jc w:val="center"/>
              <w:rPr>
                <w:rFonts w:ascii="宋体" w:hAnsi="宋体"/>
                <w:color w:val="auto"/>
              </w:rPr>
            </w:pPr>
            <w:r>
              <w:rPr>
                <w:rFonts w:hint="eastAsia" w:ascii="宋体" w:hAnsi="宋体"/>
                <w:color w:val="auto"/>
              </w:rPr>
              <w:t>LP-X-110</w:t>
            </w:r>
          </w:p>
        </w:tc>
      </w:tr>
      <w:tr w14:paraId="1B64F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2051E31F">
            <w:pPr>
              <w:jc w:val="center"/>
              <w:rPr>
                <w:rFonts w:ascii="宋体" w:hAnsi="宋体"/>
                <w:color w:val="auto"/>
              </w:rPr>
            </w:pPr>
            <w:r>
              <w:rPr>
                <w:rFonts w:hint="eastAsia" w:ascii="宋体" w:hAnsi="宋体"/>
                <w:color w:val="auto"/>
              </w:rPr>
              <w:t>24</w:t>
            </w:r>
          </w:p>
        </w:tc>
        <w:tc>
          <w:tcPr>
            <w:tcW w:w="1992" w:type="pct"/>
            <w:shd w:val="clear" w:color="auto" w:fill="auto"/>
            <w:vAlign w:val="center"/>
          </w:tcPr>
          <w:p w14:paraId="21CD5A24">
            <w:pPr>
              <w:jc w:val="center"/>
              <w:rPr>
                <w:rFonts w:ascii="宋体" w:hAnsi="宋体"/>
                <w:color w:val="auto"/>
              </w:rPr>
            </w:pPr>
            <w:r>
              <w:rPr>
                <w:rFonts w:hint="eastAsia" w:ascii="宋体" w:hAnsi="宋体"/>
                <w:color w:val="auto"/>
              </w:rPr>
              <w:t>综合大气采样器</w:t>
            </w:r>
          </w:p>
        </w:tc>
        <w:tc>
          <w:tcPr>
            <w:tcW w:w="1376" w:type="pct"/>
            <w:shd w:val="clear" w:color="auto" w:fill="auto"/>
            <w:vAlign w:val="center"/>
          </w:tcPr>
          <w:p w14:paraId="7DDD3776">
            <w:pPr>
              <w:jc w:val="center"/>
              <w:rPr>
                <w:rFonts w:ascii="宋体" w:hAnsi="宋体"/>
                <w:color w:val="auto"/>
              </w:rPr>
            </w:pPr>
            <w:r>
              <w:rPr>
                <w:rFonts w:hint="eastAsia" w:ascii="宋体" w:hAnsi="宋体"/>
                <w:color w:val="auto"/>
              </w:rPr>
              <w:t>KB-6120</w:t>
            </w:r>
          </w:p>
        </w:tc>
        <w:tc>
          <w:tcPr>
            <w:tcW w:w="1155" w:type="pct"/>
            <w:shd w:val="clear" w:color="auto" w:fill="auto"/>
            <w:vAlign w:val="center"/>
          </w:tcPr>
          <w:p w14:paraId="613CF272">
            <w:pPr>
              <w:jc w:val="center"/>
              <w:rPr>
                <w:rFonts w:ascii="宋体" w:hAnsi="宋体"/>
                <w:color w:val="auto"/>
              </w:rPr>
            </w:pPr>
            <w:r>
              <w:rPr>
                <w:rFonts w:hint="eastAsia" w:ascii="宋体" w:hAnsi="宋体"/>
                <w:color w:val="auto"/>
              </w:rPr>
              <w:t>LP-X-056</w:t>
            </w:r>
          </w:p>
        </w:tc>
      </w:tr>
      <w:tr w14:paraId="27204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04BC44C">
            <w:pPr>
              <w:jc w:val="center"/>
              <w:rPr>
                <w:rFonts w:ascii="宋体" w:hAnsi="宋体"/>
                <w:color w:val="auto"/>
              </w:rPr>
            </w:pPr>
            <w:r>
              <w:rPr>
                <w:rFonts w:hint="eastAsia" w:ascii="宋体" w:hAnsi="宋体"/>
                <w:color w:val="auto"/>
              </w:rPr>
              <w:t>25</w:t>
            </w:r>
          </w:p>
        </w:tc>
        <w:tc>
          <w:tcPr>
            <w:tcW w:w="1992" w:type="pct"/>
            <w:shd w:val="clear" w:color="auto" w:fill="auto"/>
            <w:vAlign w:val="center"/>
          </w:tcPr>
          <w:p w14:paraId="0B8545A1">
            <w:pPr>
              <w:jc w:val="center"/>
              <w:rPr>
                <w:rFonts w:ascii="宋体" w:hAnsi="宋体"/>
                <w:color w:val="auto"/>
              </w:rPr>
            </w:pPr>
            <w:r>
              <w:rPr>
                <w:rFonts w:hint="eastAsia" w:ascii="宋体" w:hAnsi="宋体"/>
                <w:color w:val="auto"/>
              </w:rPr>
              <w:t>综合大气采样器</w:t>
            </w:r>
          </w:p>
        </w:tc>
        <w:tc>
          <w:tcPr>
            <w:tcW w:w="1376" w:type="pct"/>
            <w:shd w:val="clear" w:color="auto" w:fill="auto"/>
            <w:vAlign w:val="center"/>
          </w:tcPr>
          <w:p w14:paraId="45DACFB6">
            <w:pPr>
              <w:jc w:val="center"/>
              <w:rPr>
                <w:rFonts w:ascii="宋体" w:hAnsi="宋体"/>
                <w:color w:val="auto"/>
              </w:rPr>
            </w:pPr>
            <w:r>
              <w:rPr>
                <w:rFonts w:hint="eastAsia" w:ascii="宋体" w:hAnsi="宋体"/>
                <w:color w:val="auto"/>
              </w:rPr>
              <w:t>KB-6120</w:t>
            </w:r>
          </w:p>
        </w:tc>
        <w:tc>
          <w:tcPr>
            <w:tcW w:w="1155" w:type="pct"/>
            <w:shd w:val="clear" w:color="auto" w:fill="auto"/>
            <w:vAlign w:val="center"/>
          </w:tcPr>
          <w:p w14:paraId="144F5F54">
            <w:pPr>
              <w:jc w:val="center"/>
              <w:rPr>
                <w:rFonts w:ascii="宋体" w:hAnsi="宋体"/>
                <w:color w:val="auto"/>
              </w:rPr>
            </w:pPr>
            <w:r>
              <w:rPr>
                <w:rFonts w:hint="eastAsia" w:ascii="宋体" w:hAnsi="宋体"/>
                <w:color w:val="auto"/>
              </w:rPr>
              <w:t>LP-X-057</w:t>
            </w:r>
          </w:p>
        </w:tc>
      </w:tr>
      <w:tr w14:paraId="120DC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65F5A384">
            <w:pPr>
              <w:jc w:val="center"/>
              <w:rPr>
                <w:rFonts w:ascii="宋体" w:hAnsi="宋体"/>
                <w:color w:val="auto"/>
              </w:rPr>
            </w:pPr>
            <w:r>
              <w:rPr>
                <w:rFonts w:hint="eastAsia" w:ascii="宋体" w:hAnsi="宋体"/>
                <w:color w:val="auto"/>
              </w:rPr>
              <w:t>26</w:t>
            </w:r>
          </w:p>
        </w:tc>
        <w:tc>
          <w:tcPr>
            <w:tcW w:w="1992" w:type="pct"/>
            <w:shd w:val="clear" w:color="auto" w:fill="auto"/>
            <w:vAlign w:val="center"/>
          </w:tcPr>
          <w:p w14:paraId="08790DAF">
            <w:pPr>
              <w:jc w:val="center"/>
              <w:rPr>
                <w:rFonts w:ascii="宋体" w:hAnsi="宋体"/>
                <w:color w:val="auto"/>
              </w:rPr>
            </w:pPr>
            <w:r>
              <w:rPr>
                <w:rFonts w:hint="eastAsia" w:ascii="宋体" w:hAnsi="宋体"/>
                <w:color w:val="auto"/>
              </w:rPr>
              <w:t>综合大气采样器</w:t>
            </w:r>
          </w:p>
        </w:tc>
        <w:tc>
          <w:tcPr>
            <w:tcW w:w="1376" w:type="pct"/>
            <w:shd w:val="clear" w:color="auto" w:fill="auto"/>
            <w:vAlign w:val="center"/>
          </w:tcPr>
          <w:p w14:paraId="19F5F5F3">
            <w:pPr>
              <w:jc w:val="center"/>
              <w:rPr>
                <w:rFonts w:ascii="宋体" w:hAnsi="宋体"/>
                <w:color w:val="auto"/>
              </w:rPr>
            </w:pPr>
            <w:r>
              <w:rPr>
                <w:rFonts w:hint="eastAsia" w:ascii="宋体" w:hAnsi="宋体"/>
                <w:color w:val="auto"/>
              </w:rPr>
              <w:t>KB-6120</w:t>
            </w:r>
          </w:p>
        </w:tc>
        <w:tc>
          <w:tcPr>
            <w:tcW w:w="1155" w:type="pct"/>
            <w:shd w:val="clear" w:color="auto" w:fill="auto"/>
            <w:vAlign w:val="center"/>
          </w:tcPr>
          <w:p w14:paraId="5950463B">
            <w:pPr>
              <w:jc w:val="center"/>
              <w:rPr>
                <w:rFonts w:ascii="宋体" w:hAnsi="宋体"/>
                <w:color w:val="auto"/>
              </w:rPr>
            </w:pPr>
            <w:r>
              <w:rPr>
                <w:rFonts w:hint="eastAsia" w:ascii="宋体" w:hAnsi="宋体"/>
                <w:color w:val="auto"/>
              </w:rPr>
              <w:t>LP-X-058</w:t>
            </w:r>
          </w:p>
        </w:tc>
      </w:tr>
      <w:tr w14:paraId="2E3F8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B740F10">
            <w:pPr>
              <w:jc w:val="center"/>
              <w:rPr>
                <w:rFonts w:ascii="宋体" w:hAnsi="宋体"/>
                <w:color w:val="auto"/>
              </w:rPr>
            </w:pPr>
            <w:r>
              <w:rPr>
                <w:rFonts w:hint="eastAsia" w:ascii="宋体" w:hAnsi="宋体"/>
                <w:color w:val="auto"/>
              </w:rPr>
              <w:t>27</w:t>
            </w:r>
          </w:p>
        </w:tc>
        <w:tc>
          <w:tcPr>
            <w:tcW w:w="1992" w:type="pct"/>
            <w:shd w:val="clear" w:color="auto" w:fill="auto"/>
            <w:vAlign w:val="center"/>
          </w:tcPr>
          <w:p w14:paraId="132662DD">
            <w:pPr>
              <w:jc w:val="center"/>
              <w:rPr>
                <w:rFonts w:ascii="宋体" w:hAnsi="宋体"/>
                <w:color w:val="auto"/>
              </w:rPr>
            </w:pPr>
            <w:r>
              <w:rPr>
                <w:rFonts w:hint="eastAsia" w:ascii="宋体" w:hAnsi="宋体"/>
                <w:color w:val="auto"/>
              </w:rPr>
              <w:t>综合大气采样器</w:t>
            </w:r>
          </w:p>
        </w:tc>
        <w:tc>
          <w:tcPr>
            <w:tcW w:w="1376" w:type="pct"/>
            <w:shd w:val="clear" w:color="auto" w:fill="auto"/>
            <w:vAlign w:val="center"/>
          </w:tcPr>
          <w:p w14:paraId="3C90FCA4">
            <w:pPr>
              <w:jc w:val="center"/>
              <w:rPr>
                <w:rFonts w:ascii="宋体" w:hAnsi="宋体"/>
                <w:color w:val="auto"/>
              </w:rPr>
            </w:pPr>
            <w:r>
              <w:rPr>
                <w:rFonts w:hint="eastAsia" w:ascii="宋体" w:hAnsi="宋体"/>
                <w:color w:val="auto"/>
              </w:rPr>
              <w:t>KB-6120</w:t>
            </w:r>
          </w:p>
        </w:tc>
        <w:tc>
          <w:tcPr>
            <w:tcW w:w="1155" w:type="pct"/>
            <w:shd w:val="clear" w:color="auto" w:fill="auto"/>
            <w:vAlign w:val="center"/>
          </w:tcPr>
          <w:p w14:paraId="6DF1F978">
            <w:pPr>
              <w:jc w:val="center"/>
              <w:rPr>
                <w:rFonts w:ascii="宋体" w:hAnsi="宋体"/>
                <w:color w:val="auto"/>
              </w:rPr>
            </w:pPr>
            <w:r>
              <w:rPr>
                <w:rFonts w:hint="eastAsia" w:ascii="宋体" w:hAnsi="宋体"/>
                <w:color w:val="auto"/>
              </w:rPr>
              <w:t>LP-X-059</w:t>
            </w:r>
          </w:p>
        </w:tc>
      </w:tr>
      <w:tr w14:paraId="4D3B3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F9983F6">
            <w:pPr>
              <w:jc w:val="center"/>
              <w:rPr>
                <w:rFonts w:ascii="宋体" w:hAnsi="宋体"/>
                <w:color w:val="auto"/>
              </w:rPr>
            </w:pPr>
            <w:r>
              <w:rPr>
                <w:rFonts w:hint="eastAsia" w:ascii="宋体" w:hAnsi="宋体"/>
                <w:color w:val="auto"/>
              </w:rPr>
              <w:t>28</w:t>
            </w:r>
          </w:p>
        </w:tc>
        <w:tc>
          <w:tcPr>
            <w:tcW w:w="1992" w:type="pct"/>
            <w:shd w:val="clear" w:color="auto" w:fill="auto"/>
            <w:vAlign w:val="center"/>
          </w:tcPr>
          <w:p w14:paraId="1D2558C1">
            <w:pPr>
              <w:jc w:val="center"/>
              <w:rPr>
                <w:rFonts w:ascii="宋体" w:hAnsi="宋体"/>
                <w:color w:val="auto"/>
              </w:rPr>
            </w:pPr>
            <w:r>
              <w:rPr>
                <w:rFonts w:hint="eastAsia" w:ascii="宋体" w:hAnsi="宋体"/>
                <w:color w:val="auto"/>
              </w:rPr>
              <w:t>综合大气采样器</w:t>
            </w:r>
          </w:p>
        </w:tc>
        <w:tc>
          <w:tcPr>
            <w:tcW w:w="1376" w:type="pct"/>
            <w:shd w:val="clear" w:color="auto" w:fill="auto"/>
            <w:vAlign w:val="center"/>
          </w:tcPr>
          <w:p w14:paraId="6A3221EA">
            <w:pPr>
              <w:jc w:val="center"/>
              <w:rPr>
                <w:rFonts w:ascii="宋体" w:hAnsi="宋体"/>
                <w:color w:val="auto"/>
              </w:rPr>
            </w:pPr>
            <w:r>
              <w:rPr>
                <w:rFonts w:hint="eastAsia" w:ascii="宋体" w:hAnsi="宋体"/>
                <w:color w:val="auto"/>
              </w:rPr>
              <w:t>KB-6120</w:t>
            </w:r>
          </w:p>
        </w:tc>
        <w:tc>
          <w:tcPr>
            <w:tcW w:w="1155" w:type="pct"/>
            <w:shd w:val="clear" w:color="auto" w:fill="auto"/>
            <w:vAlign w:val="center"/>
          </w:tcPr>
          <w:p w14:paraId="4CB1538D">
            <w:pPr>
              <w:jc w:val="center"/>
              <w:rPr>
                <w:rFonts w:ascii="宋体" w:hAnsi="宋体"/>
                <w:color w:val="auto"/>
              </w:rPr>
            </w:pPr>
            <w:r>
              <w:rPr>
                <w:rFonts w:hint="eastAsia" w:ascii="宋体" w:hAnsi="宋体"/>
                <w:color w:val="auto"/>
              </w:rPr>
              <w:t>LP-X-052</w:t>
            </w:r>
          </w:p>
        </w:tc>
      </w:tr>
      <w:tr w14:paraId="5983B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9EBBCEC">
            <w:pPr>
              <w:jc w:val="center"/>
              <w:rPr>
                <w:rFonts w:ascii="宋体" w:hAnsi="宋体"/>
                <w:color w:val="auto"/>
              </w:rPr>
            </w:pPr>
            <w:r>
              <w:rPr>
                <w:rFonts w:hint="eastAsia" w:ascii="宋体" w:hAnsi="宋体"/>
                <w:color w:val="auto"/>
              </w:rPr>
              <w:t>29</w:t>
            </w:r>
          </w:p>
        </w:tc>
        <w:tc>
          <w:tcPr>
            <w:tcW w:w="1992" w:type="pct"/>
            <w:shd w:val="clear" w:color="auto" w:fill="auto"/>
            <w:vAlign w:val="center"/>
          </w:tcPr>
          <w:p w14:paraId="43B6C249">
            <w:pPr>
              <w:jc w:val="center"/>
              <w:rPr>
                <w:rFonts w:ascii="宋体" w:hAnsi="宋体"/>
                <w:color w:val="auto"/>
              </w:rPr>
            </w:pPr>
            <w:r>
              <w:rPr>
                <w:rFonts w:hint="eastAsia" w:ascii="宋体" w:hAnsi="宋体"/>
                <w:color w:val="auto"/>
              </w:rPr>
              <w:t>综合大气采样器</w:t>
            </w:r>
          </w:p>
        </w:tc>
        <w:tc>
          <w:tcPr>
            <w:tcW w:w="1376" w:type="pct"/>
            <w:shd w:val="clear" w:color="auto" w:fill="auto"/>
            <w:vAlign w:val="center"/>
          </w:tcPr>
          <w:p w14:paraId="37F132B4">
            <w:pPr>
              <w:jc w:val="center"/>
              <w:rPr>
                <w:rFonts w:ascii="宋体" w:hAnsi="宋体"/>
                <w:color w:val="auto"/>
              </w:rPr>
            </w:pPr>
            <w:r>
              <w:rPr>
                <w:rFonts w:hint="eastAsia" w:ascii="宋体" w:hAnsi="宋体"/>
                <w:color w:val="auto"/>
              </w:rPr>
              <w:t>KB-6120</w:t>
            </w:r>
          </w:p>
        </w:tc>
        <w:tc>
          <w:tcPr>
            <w:tcW w:w="1155" w:type="pct"/>
            <w:shd w:val="clear" w:color="auto" w:fill="auto"/>
            <w:vAlign w:val="center"/>
          </w:tcPr>
          <w:p w14:paraId="3A4F4201">
            <w:pPr>
              <w:jc w:val="center"/>
              <w:rPr>
                <w:rFonts w:ascii="宋体" w:hAnsi="宋体"/>
                <w:color w:val="auto"/>
              </w:rPr>
            </w:pPr>
            <w:r>
              <w:rPr>
                <w:rFonts w:hint="eastAsia" w:ascii="宋体" w:hAnsi="宋体"/>
                <w:color w:val="auto"/>
              </w:rPr>
              <w:t>LP-X-053</w:t>
            </w:r>
          </w:p>
        </w:tc>
      </w:tr>
      <w:tr w14:paraId="51BBA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335C3D17">
            <w:pPr>
              <w:jc w:val="center"/>
              <w:rPr>
                <w:rFonts w:ascii="宋体" w:hAnsi="宋体"/>
                <w:color w:val="auto"/>
              </w:rPr>
            </w:pPr>
            <w:r>
              <w:rPr>
                <w:rFonts w:hint="eastAsia" w:ascii="宋体" w:hAnsi="宋体"/>
                <w:color w:val="auto"/>
              </w:rPr>
              <w:t>30</w:t>
            </w:r>
          </w:p>
        </w:tc>
        <w:tc>
          <w:tcPr>
            <w:tcW w:w="1992" w:type="pct"/>
            <w:shd w:val="clear" w:color="auto" w:fill="auto"/>
            <w:vAlign w:val="center"/>
          </w:tcPr>
          <w:p w14:paraId="72C9C743">
            <w:pPr>
              <w:jc w:val="center"/>
              <w:rPr>
                <w:rFonts w:ascii="宋体" w:hAnsi="宋体"/>
                <w:color w:val="auto"/>
              </w:rPr>
            </w:pPr>
            <w:r>
              <w:rPr>
                <w:rFonts w:hint="eastAsia" w:ascii="宋体" w:hAnsi="宋体"/>
                <w:color w:val="auto"/>
              </w:rPr>
              <w:t>综合大气采样器</w:t>
            </w:r>
          </w:p>
        </w:tc>
        <w:tc>
          <w:tcPr>
            <w:tcW w:w="1376" w:type="pct"/>
            <w:shd w:val="clear" w:color="auto" w:fill="auto"/>
            <w:vAlign w:val="center"/>
          </w:tcPr>
          <w:p w14:paraId="2B1999DF">
            <w:pPr>
              <w:jc w:val="center"/>
              <w:rPr>
                <w:rFonts w:ascii="宋体" w:hAnsi="宋体"/>
                <w:color w:val="auto"/>
              </w:rPr>
            </w:pPr>
            <w:r>
              <w:rPr>
                <w:rFonts w:hint="eastAsia" w:ascii="宋体" w:hAnsi="宋体"/>
                <w:color w:val="auto"/>
              </w:rPr>
              <w:t>KB-6120</w:t>
            </w:r>
          </w:p>
        </w:tc>
        <w:tc>
          <w:tcPr>
            <w:tcW w:w="1155" w:type="pct"/>
            <w:shd w:val="clear" w:color="auto" w:fill="auto"/>
            <w:vAlign w:val="center"/>
          </w:tcPr>
          <w:p w14:paraId="5D6E2549">
            <w:pPr>
              <w:jc w:val="center"/>
              <w:rPr>
                <w:rFonts w:ascii="宋体" w:hAnsi="宋体"/>
                <w:color w:val="auto"/>
              </w:rPr>
            </w:pPr>
            <w:r>
              <w:rPr>
                <w:rFonts w:hint="eastAsia" w:ascii="宋体" w:hAnsi="宋体"/>
                <w:color w:val="auto"/>
              </w:rPr>
              <w:t>LP-X-054</w:t>
            </w:r>
          </w:p>
        </w:tc>
      </w:tr>
      <w:tr w14:paraId="32646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26712086">
            <w:pPr>
              <w:jc w:val="center"/>
              <w:rPr>
                <w:rFonts w:ascii="宋体" w:hAnsi="宋体"/>
                <w:color w:val="auto"/>
              </w:rPr>
            </w:pPr>
            <w:r>
              <w:rPr>
                <w:rFonts w:hint="eastAsia" w:ascii="宋体" w:hAnsi="宋体"/>
                <w:color w:val="auto"/>
              </w:rPr>
              <w:t>31</w:t>
            </w:r>
          </w:p>
        </w:tc>
        <w:tc>
          <w:tcPr>
            <w:tcW w:w="1992" w:type="pct"/>
            <w:shd w:val="clear" w:color="auto" w:fill="auto"/>
            <w:vAlign w:val="center"/>
          </w:tcPr>
          <w:p w14:paraId="6FB497AF">
            <w:pPr>
              <w:jc w:val="center"/>
              <w:rPr>
                <w:rFonts w:ascii="宋体" w:hAnsi="宋体"/>
                <w:color w:val="auto"/>
              </w:rPr>
            </w:pPr>
            <w:r>
              <w:rPr>
                <w:rFonts w:hint="eastAsia" w:ascii="宋体" w:hAnsi="宋体"/>
                <w:color w:val="auto"/>
              </w:rPr>
              <w:t>综合大气采样器</w:t>
            </w:r>
          </w:p>
        </w:tc>
        <w:tc>
          <w:tcPr>
            <w:tcW w:w="1376" w:type="pct"/>
            <w:shd w:val="clear" w:color="auto" w:fill="auto"/>
            <w:vAlign w:val="center"/>
          </w:tcPr>
          <w:p w14:paraId="56598562">
            <w:pPr>
              <w:jc w:val="center"/>
              <w:rPr>
                <w:rFonts w:ascii="宋体" w:hAnsi="宋体"/>
                <w:color w:val="auto"/>
              </w:rPr>
            </w:pPr>
            <w:r>
              <w:rPr>
                <w:rFonts w:hint="eastAsia" w:ascii="宋体" w:hAnsi="宋体"/>
                <w:color w:val="auto"/>
              </w:rPr>
              <w:t>KB-6120</w:t>
            </w:r>
          </w:p>
        </w:tc>
        <w:tc>
          <w:tcPr>
            <w:tcW w:w="1155" w:type="pct"/>
            <w:shd w:val="clear" w:color="auto" w:fill="auto"/>
            <w:vAlign w:val="center"/>
          </w:tcPr>
          <w:p w14:paraId="3FC9AF0E">
            <w:pPr>
              <w:jc w:val="center"/>
              <w:rPr>
                <w:rFonts w:ascii="宋体" w:hAnsi="宋体"/>
                <w:color w:val="auto"/>
              </w:rPr>
            </w:pPr>
            <w:r>
              <w:rPr>
                <w:rFonts w:hint="eastAsia" w:ascii="宋体" w:hAnsi="宋体"/>
                <w:color w:val="auto"/>
              </w:rPr>
              <w:t>LP-X-055</w:t>
            </w:r>
          </w:p>
        </w:tc>
      </w:tr>
      <w:tr w14:paraId="0B00A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FE9BABA">
            <w:pPr>
              <w:jc w:val="center"/>
              <w:rPr>
                <w:rFonts w:ascii="宋体" w:hAnsi="宋体"/>
                <w:color w:val="auto"/>
              </w:rPr>
            </w:pPr>
            <w:r>
              <w:rPr>
                <w:rFonts w:hint="eastAsia" w:ascii="宋体" w:hAnsi="宋体"/>
                <w:color w:val="auto"/>
              </w:rPr>
              <w:t>32</w:t>
            </w:r>
          </w:p>
        </w:tc>
        <w:tc>
          <w:tcPr>
            <w:tcW w:w="1992" w:type="pct"/>
            <w:shd w:val="clear" w:color="auto" w:fill="auto"/>
            <w:vAlign w:val="center"/>
          </w:tcPr>
          <w:p w14:paraId="4084E433">
            <w:pPr>
              <w:jc w:val="center"/>
              <w:rPr>
                <w:rFonts w:ascii="宋体" w:hAnsi="宋体"/>
                <w:color w:val="auto"/>
              </w:rPr>
            </w:pPr>
            <w:r>
              <w:rPr>
                <w:rFonts w:hint="eastAsia" w:ascii="宋体" w:hAnsi="宋体"/>
                <w:color w:val="auto"/>
              </w:rPr>
              <w:t>空气/智能TSP综合采样器</w:t>
            </w:r>
          </w:p>
        </w:tc>
        <w:tc>
          <w:tcPr>
            <w:tcW w:w="1376" w:type="pct"/>
            <w:shd w:val="clear" w:color="auto" w:fill="auto"/>
            <w:vAlign w:val="center"/>
          </w:tcPr>
          <w:p w14:paraId="7C2C1A1F">
            <w:pPr>
              <w:jc w:val="center"/>
              <w:rPr>
                <w:rFonts w:ascii="宋体" w:hAnsi="宋体"/>
                <w:color w:val="auto"/>
              </w:rPr>
            </w:pPr>
            <w:r>
              <w:rPr>
                <w:rFonts w:hint="eastAsia" w:ascii="宋体" w:hAnsi="宋体"/>
                <w:color w:val="auto"/>
              </w:rPr>
              <w:t>崂应2050</w:t>
            </w:r>
          </w:p>
        </w:tc>
        <w:tc>
          <w:tcPr>
            <w:tcW w:w="1155" w:type="pct"/>
            <w:shd w:val="clear" w:color="auto" w:fill="auto"/>
            <w:vAlign w:val="center"/>
          </w:tcPr>
          <w:p w14:paraId="3156CCF7">
            <w:pPr>
              <w:jc w:val="center"/>
              <w:rPr>
                <w:rFonts w:ascii="宋体" w:hAnsi="宋体"/>
                <w:color w:val="auto"/>
              </w:rPr>
            </w:pPr>
            <w:r>
              <w:rPr>
                <w:rFonts w:hint="eastAsia" w:ascii="宋体" w:hAnsi="宋体"/>
                <w:color w:val="auto"/>
              </w:rPr>
              <w:t>LP-X-009</w:t>
            </w:r>
          </w:p>
        </w:tc>
      </w:tr>
      <w:tr w14:paraId="65B71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3E2191BE">
            <w:pPr>
              <w:jc w:val="center"/>
              <w:rPr>
                <w:rFonts w:ascii="宋体" w:hAnsi="宋体"/>
                <w:color w:val="auto"/>
              </w:rPr>
            </w:pPr>
            <w:r>
              <w:rPr>
                <w:rFonts w:hint="eastAsia" w:ascii="宋体" w:hAnsi="宋体"/>
                <w:color w:val="auto"/>
              </w:rPr>
              <w:t>33</w:t>
            </w:r>
          </w:p>
        </w:tc>
        <w:tc>
          <w:tcPr>
            <w:tcW w:w="1992" w:type="pct"/>
            <w:shd w:val="clear" w:color="auto" w:fill="auto"/>
            <w:vAlign w:val="center"/>
          </w:tcPr>
          <w:p w14:paraId="44F08BE6">
            <w:pPr>
              <w:jc w:val="center"/>
              <w:rPr>
                <w:rFonts w:ascii="宋体" w:hAnsi="宋体"/>
                <w:color w:val="auto"/>
              </w:rPr>
            </w:pPr>
            <w:r>
              <w:rPr>
                <w:rFonts w:hint="eastAsia" w:ascii="宋体" w:hAnsi="宋体"/>
                <w:color w:val="auto"/>
              </w:rPr>
              <w:t>空气/智能TSP综合采样器</w:t>
            </w:r>
          </w:p>
        </w:tc>
        <w:tc>
          <w:tcPr>
            <w:tcW w:w="1376" w:type="pct"/>
            <w:shd w:val="clear" w:color="auto" w:fill="auto"/>
            <w:vAlign w:val="center"/>
          </w:tcPr>
          <w:p w14:paraId="4DEE0148">
            <w:pPr>
              <w:jc w:val="center"/>
              <w:rPr>
                <w:rFonts w:ascii="宋体" w:hAnsi="宋体"/>
                <w:color w:val="auto"/>
              </w:rPr>
            </w:pPr>
            <w:r>
              <w:rPr>
                <w:rFonts w:hint="eastAsia" w:ascii="宋体" w:hAnsi="宋体"/>
                <w:color w:val="auto"/>
              </w:rPr>
              <w:t>崂应2050</w:t>
            </w:r>
          </w:p>
        </w:tc>
        <w:tc>
          <w:tcPr>
            <w:tcW w:w="1155" w:type="pct"/>
            <w:shd w:val="clear" w:color="auto" w:fill="auto"/>
            <w:vAlign w:val="center"/>
          </w:tcPr>
          <w:p w14:paraId="50534E75">
            <w:pPr>
              <w:jc w:val="center"/>
              <w:rPr>
                <w:rFonts w:ascii="宋体" w:hAnsi="宋体"/>
                <w:color w:val="auto"/>
              </w:rPr>
            </w:pPr>
            <w:r>
              <w:rPr>
                <w:rFonts w:hint="eastAsia" w:ascii="宋体" w:hAnsi="宋体"/>
                <w:color w:val="auto"/>
              </w:rPr>
              <w:t>LP-X-010</w:t>
            </w:r>
          </w:p>
        </w:tc>
      </w:tr>
      <w:tr w14:paraId="215B8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CE4C1E3">
            <w:pPr>
              <w:jc w:val="center"/>
              <w:rPr>
                <w:rFonts w:ascii="宋体" w:hAnsi="宋体"/>
                <w:color w:val="auto"/>
              </w:rPr>
            </w:pPr>
            <w:r>
              <w:rPr>
                <w:rFonts w:hint="eastAsia" w:ascii="宋体" w:hAnsi="宋体"/>
                <w:color w:val="auto"/>
              </w:rPr>
              <w:t>34</w:t>
            </w:r>
          </w:p>
        </w:tc>
        <w:tc>
          <w:tcPr>
            <w:tcW w:w="1992" w:type="pct"/>
            <w:shd w:val="clear" w:color="auto" w:fill="auto"/>
            <w:vAlign w:val="center"/>
          </w:tcPr>
          <w:p w14:paraId="6B2EA8B4">
            <w:pPr>
              <w:jc w:val="center"/>
              <w:rPr>
                <w:rFonts w:ascii="宋体" w:hAnsi="宋体"/>
                <w:color w:val="auto"/>
              </w:rPr>
            </w:pPr>
            <w:r>
              <w:rPr>
                <w:rFonts w:hint="eastAsia" w:ascii="宋体" w:hAnsi="宋体"/>
                <w:color w:val="auto"/>
              </w:rPr>
              <w:t>空气/智能TSP综合采样器</w:t>
            </w:r>
          </w:p>
        </w:tc>
        <w:tc>
          <w:tcPr>
            <w:tcW w:w="1376" w:type="pct"/>
            <w:shd w:val="clear" w:color="auto" w:fill="auto"/>
            <w:vAlign w:val="center"/>
          </w:tcPr>
          <w:p w14:paraId="0057801D">
            <w:pPr>
              <w:jc w:val="center"/>
              <w:rPr>
                <w:rFonts w:ascii="宋体" w:hAnsi="宋体"/>
                <w:color w:val="auto"/>
              </w:rPr>
            </w:pPr>
            <w:r>
              <w:rPr>
                <w:rFonts w:hint="eastAsia" w:ascii="宋体" w:hAnsi="宋体"/>
                <w:color w:val="auto"/>
              </w:rPr>
              <w:t>崂应2050</w:t>
            </w:r>
          </w:p>
        </w:tc>
        <w:tc>
          <w:tcPr>
            <w:tcW w:w="1155" w:type="pct"/>
            <w:shd w:val="clear" w:color="auto" w:fill="auto"/>
            <w:vAlign w:val="center"/>
          </w:tcPr>
          <w:p w14:paraId="6B6038E7">
            <w:pPr>
              <w:jc w:val="center"/>
              <w:rPr>
                <w:rFonts w:ascii="宋体" w:hAnsi="宋体"/>
                <w:color w:val="auto"/>
              </w:rPr>
            </w:pPr>
            <w:r>
              <w:rPr>
                <w:rFonts w:hint="eastAsia" w:ascii="宋体" w:hAnsi="宋体"/>
                <w:color w:val="auto"/>
              </w:rPr>
              <w:t>LP-X-011</w:t>
            </w:r>
          </w:p>
        </w:tc>
      </w:tr>
      <w:tr w14:paraId="2B216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312C9BA3">
            <w:pPr>
              <w:jc w:val="center"/>
              <w:rPr>
                <w:rFonts w:ascii="宋体" w:hAnsi="宋体"/>
                <w:color w:val="auto"/>
              </w:rPr>
            </w:pPr>
            <w:r>
              <w:rPr>
                <w:rFonts w:hint="eastAsia" w:ascii="宋体" w:hAnsi="宋体"/>
                <w:color w:val="auto"/>
              </w:rPr>
              <w:t>35</w:t>
            </w:r>
          </w:p>
        </w:tc>
        <w:tc>
          <w:tcPr>
            <w:tcW w:w="1992" w:type="pct"/>
            <w:shd w:val="clear" w:color="auto" w:fill="auto"/>
            <w:vAlign w:val="center"/>
          </w:tcPr>
          <w:p w14:paraId="257E5A70">
            <w:pPr>
              <w:jc w:val="center"/>
              <w:rPr>
                <w:rFonts w:ascii="宋体" w:hAnsi="宋体"/>
                <w:color w:val="auto"/>
              </w:rPr>
            </w:pPr>
            <w:r>
              <w:rPr>
                <w:rFonts w:hint="eastAsia" w:ascii="宋体" w:hAnsi="宋体"/>
                <w:color w:val="auto"/>
              </w:rPr>
              <w:t>空气/智能TSP综合采样器</w:t>
            </w:r>
          </w:p>
        </w:tc>
        <w:tc>
          <w:tcPr>
            <w:tcW w:w="1376" w:type="pct"/>
            <w:shd w:val="clear" w:color="auto" w:fill="auto"/>
            <w:vAlign w:val="center"/>
          </w:tcPr>
          <w:p w14:paraId="1012AA91">
            <w:pPr>
              <w:jc w:val="center"/>
              <w:rPr>
                <w:rFonts w:ascii="宋体" w:hAnsi="宋体"/>
                <w:color w:val="auto"/>
              </w:rPr>
            </w:pPr>
            <w:r>
              <w:rPr>
                <w:rFonts w:hint="eastAsia" w:ascii="宋体" w:hAnsi="宋体"/>
                <w:color w:val="auto"/>
              </w:rPr>
              <w:t>崂应2050</w:t>
            </w:r>
          </w:p>
        </w:tc>
        <w:tc>
          <w:tcPr>
            <w:tcW w:w="1155" w:type="pct"/>
            <w:shd w:val="clear" w:color="auto" w:fill="auto"/>
            <w:vAlign w:val="center"/>
          </w:tcPr>
          <w:p w14:paraId="4512DB11">
            <w:pPr>
              <w:jc w:val="center"/>
              <w:rPr>
                <w:rFonts w:ascii="宋体" w:hAnsi="宋体"/>
                <w:color w:val="auto"/>
              </w:rPr>
            </w:pPr>
            <w:r>
              <w:rPr>
                <w:rFonts w:hint="eastAsia" w:ascii="宋体" w:hAnsi="宋体"/>
                <w:color w:val="auto"/>
              </w:rPr>
              <w:t>LP-X-012</w:t>
            </w:r>
          </w:p>
        </w:tc>
      </w:tr>
      <w:tr w14:paraId="4EB8B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74C1275">
            <w:pPr>
              <w:jc w:val="center"/>
              <w:rPr>
                <w:rFonts w:ascii="宋体" w:hAnsi="宋体"/>
                <w:color w:val="auto"/>
              </w:rPr>
            </w:pPr>
            <w:r>
              <w:rPr>
                <w:rFonts w:hint="eastAsia" w:ascii="宋体" w:hAnsi="宋体"/>
                <w:color w:val="auto"/>
              </w:rPr>
              <w:t>36</w:t>
            </w:r>
          </w:p>
        </w:tc>
        <w:tc>
          <w:tcPr>
            <w:tcW w:w="1992" w:type="pct"/>
            <w:shd w:val="clear" w:color="auto" w:fill="auto"/>
            <w:vAlign w:val="center"/>
          </w:tcPr>
          <w:p w14:paraId="1E01F920">
            <w:pPr>
              <w:jc w:val="center"/>
              <w:rPr>
                <w:rFonts w:ascii="宋体" w:hAnsi="宋体"/>
                <w:color w:val="auto"/>
              </w:rPr>
            </w:pPr>
            <w:r>
              <w:rPr>
                <w:rFonts w:hint="eastAsia" w:ascii="宋体" w:hAnsi="宋体"/>
                <w:color w:val="auto"/>
              </w:rPr>
              <w:t>多功能声级计</w:t>
            </w:r>
          </w:p>
        </w:tc>
        <w:tc>
          <w:tcPr>
            <w:tcW w:w="1376" w:type="pct"/>
            <w:shd w:val="clear" w:color="auto" w:fill="auto"/>
            <w:vAlign w:val="center"/>
          </w:tcPr>
          <w:p w14:paraId="42D17B68">
            <w:pPr>
              <w:jc w:val="center"/>
              <w:rPr>
                <w:rFonts w:ascii="宋体" w:hAnsi="宋体"/>
                <w:color w:val="auto"/>
              </w:rPr>
            </w:pPr>
            <w:r>
              <w:rPr>
                <w:rFonts w:hint="eastAsia" w:ascii="宋体" w:hAnsi="宋体"/>
                <w:color w:val="auto"/>
              </w:rPr>
              <w:t>AWA5688</w:t>
            </w:r>
          </w:p>
        </w:tc>
        <w:tc>
          <w:tcPr>
            <w:tcW w:w="1155" w:type="pct"/>
            <w:shd w:val="clear" w:color="auto" w:fill="auto"/>
            <w:vAlign w:val="center"/>
          </w:tcPr>
          <w:p w14:paraId="299A9EB8">
            <w:pPr>
              <w:jc w:val="center"/>
              <w:rPr>
                <w:rFonts w:ascii="宋体" w:hAnsi="宋体"/>
                <w:color w:val="auto"/>
              </w:rPr>
            </w:pPr>
            <w:r>
              <w:rPr>
                <w:rFonts w:hint="eastAsia" w:ascii="宋体" w:hAnsi="宋体"/>
                <w:color w:val="auto"/>
              </w:rPr>
              <w:t>LP-X-174</w:t>
            </w:r>
          </w:p>
        </w:tc>
      </w:tr>
      <w:tr w14:paraId="244DB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3E34D47">
            <w:pPr>
              <w:jc w:val="center"/>
              <w:rPr>
                <w:rFonts w:ascii="宋体" w:hAnsi="宋体"/>
                <w:color w:val="auto"/>
              </w:rPr>
            </w:pPr>
            <w:r>
              <w:rPr>
                <w:rFonts w:hint="eastAsia" w:ascii="宋体" w:hAnsi="宋体"/>
                <w:color w:val="auto"/>
              </w:rPr>
              <w:t>37</w:t>
            </w:r>
          </w:p>
        </w:tc>
        <w:tc>
          <w:tcPr>
            <w:tcW w:w="1992" w:type="pct"/>
            <w:shd w:val="clear" w:color="auto" w:fill="auto"/>
            <w:vAlign w:val="center"/>
          </w:tcPr>
          <w:p w14:paraId="1D1EF052">
            <w:pPr>
              <w:jc w:val="center"/>
              <w:rPr>
                <w:rFonts w:ascii="宋体" w:hAnsi="宋体"/>
                <w:color w:val="auto"/>
              </w:rPr>
            </w:pPr>
            <w:r>
              <w:rPr>
                <w:rFonts w:hint="eastAsia" w:ascii="宋体" w:hAnsi="宋体"/>
                <w:color w:val="auto"/>
              </w:rPr>
              <w:t>声校准器</w:t>
            </w:r>
          </w:p>
        </w:tc>
        <w:tc>
          <w:tcPr>
            <w:tcW w:w="1376" w:type="pct"/>
            <w:shd w:val="clear" w:color="auto" w:fill="auto"/>
            <w:vAlign w:val="center"/>
          </w:tcPr>
          <w:p w14:paraId="12650C3D">
            <w:pPr>
              <w:jc w:val="center"/>
              <w:rPr>
                <w:rFonts w:ascii="宋体" w:hAnsi="宋体"/>
                <w:color w:val="auto"/>
              </w:rPr>
            </w:pPr>
            <w:r>
              <w:rPr>
                <w:rFonts w:hint="eastAsia" w:ascii="宋体" w:hAnsi="宋体"/>
                <w:color w:val="auto"/>
              </w:rPr>
              <w:t>AWA6221A</w:t>
            </w:r>
          </w:p>
        </w:tc>
        <w:tc>
          <w:tcPr>
            <w:tcW w:w="1155" w:type="pct"/>
            <w:shd w:val="clear" w:color="auto" w:fill="auto"/>
            <w:vAlign w:val="center"/>
          </w:tcPr>
          <w:p w14:paraId="7A2B2A4E">
            <w:pPr>
              <w:jc w:val="center"/>
              <w:rPr>
                <w:rFonts w:ascii="宋体" w:hAnsi="宋体"/>
                <w:color w:val="auto"/>
              </w:rPr>
            </w:pPr>
            <w:r>
              <w:rPr>
                <w:rFonts w:hint="eastAsia" w:ascii="宋体" w:hAnsi="宋体"/>
                <w:color w:val="auto"/>
              </w:rPr>
              <w:t>LP-X-024</w:t>
            </w:r>
          </w:p>
        </w:tc>
      </w:tr>
      <w:tr w14:paraId="0D74C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AA66202">
            <w:pPr>
              <w:jc w:val="center"/>
              <w:rPr>
                <w:rFonts w:ascii="宋体" w:hAnsi="宋体"/>
                <w:color w:val="auto"/>
              </w:rPr>
            </w:pPr>
            <w:r>
              <w:rPr>
                <w:rFonts w:hint="eastAsia" w:ascii="宋体" w:hAnsi="宋体"/>
                <w:color w:val="auto"/>
              </w:rPr>
              <w:t>38</w:t>
            </w:r>
          </w:p>
        </w:tc>
        <w:tc>
          <w:tcPr>
            <w:tcW w:w="1992" w:type="pct"/>
            <w:shd w:val="clear" w:color="auto" w:fill="auto"/>
            <w:vAlign w:val="center"/>
          </w:tcPr>
          <w:p w14:paraId="03195A1E">
            <w:pPr>
              <w:jc w:val="center"/>
              <w:rPr>
                <w:rFonts w:ascii="宋体" w:hAnsi="宋体"/>
                <w:color w:val="auto"/>
              </w:rPr>
            </w:pPr>
            <w:r>
              <w:rPr>
                <w:rFonts w:hint="eastAsia" w:ascii="宋体" w:hAnsi="宋体"/>
                <w:color w:val="auto"/>
              </w:rPr>
              <w:t>林格曼黑度图</w:t>
            </w:r>
          </w:p>
        </w:tc>
        <w:tc>
          <w:tcPr>
            <w:tcW w:w="1376" w:type="pct"/>
            <w:shd w:val="clear" w:color="auto" w:fill="auto"/>
            <w:vAlign w:val="center"/>
          </w:tcPr>
          <w:p w14:paraId="481ADB47">
            <w:pPr>
              <w:jc w:val="center"/>
              <w:rPr>
                <w:rFonts w:ascii="宋体" w:hAnsi="宋体"/>
                <w:color w:val="auto"/>
              </w:rPr>
            </w:pPr>
            <w:r>
              <w:rPr>
                <w:rFonts w:hint="eastAsia" w:ascii="宋体" w:hAnsi="宋体"/>
                <w:color w:val="auto"/>
              </w:rPr>
              <w:t>JK-LG30</w:t>
            </w:r>
          </w:p>
        </w:tc>
        <w:tc>
          <w:tcPr>
            <w:tcW w:w="1155" w:type="pct"/>
            <w:shd w:val="clear" w:color="auto" w:fill="auto"/>
            <w:vAlign w:val="center"/>
          </w:tcPr>
          <w:p w14:paraId="445B8B56">
            <w:pPr>
              <w:jc w:val="center"/>
              <w:rPr>
                <w:rFonts w:ascii="宋体" w:hAnsi="宋体"/>
                <w:color w:val="auto"/>
              </w:rPr>
            </w:pPr>
            <w:r>
              <w:rPr>
                <w:rFonts w:hint="eastAsia" w:ascii="宋体" w:hAnsi="宋体"/>
                <w:color w:val="auto"/>
              </w:rPr>
              <w:t>LP-X-175</w:t>
            </w:r>
          </w:p>
        </w:tc>
      </w:tr>
      <w:tr w14:paraId="21AE3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3A39D2E0">
            <w:pPr>
              <w:jc w:val="center"/>
              <w:rPr>
                <w:rFonts w:ascii="宋体" w:hAnsi="宋体"/>
                <w:color w:val="auto"/>
              </w:rPr>
            </w:pPr>
            <w:r>
              <w:rPr>
                <w:rFonts w:hint="eastAsia" w:ascii="宋体" w:hAnsi="宋体"/>
                <w:color w:val="auto"/>
              </w:rPr>
              <w:t>39</w:t>
            </w:r>
          </w:p>
        </w:tc>
        <w:tc>
          <w:tcPr>
            <w:tcW w:w="1992" w:type="pct"/>
            <w:shd w:val="clear" w:color="auto" w:fill="auto"/>
            <w:vAlign w:val="center"/>
          </w:tcPr>
          <w:p w14:paraId="6E3E9C6D">
            <w:pPr>
              <w:jc w:val="center"/>
              <w:rPr>
                <w:rFonts w:ascii="宋体" w:hAnsi="宋体"/>
                <w:color w:val="auto"/>
              </w:rPr>
            </w:pPr>
            <w:r>
              <w:rPr>
                <w:rFonts w:hint="eastAsia" w:ascii="宋体" w:hAnsi="宋体"/>
                <w:color w:val="auto"/>
              </w:rPr>
              <w:t>自动烟尘烟气测试仪</w:t>
            </w:r>
          </w:p>
        </w:tc>
        <w:tc>
          <w:tcPr>
            <w:tcW w:w="1376" w:type="pct"/>
            <w:shd w:val="clear" w:color="auto" w:fill="auto"/>
            <w:vAlign w:val="center"/>
          </w:tcPr>
          <w:p w14:paraId="5136789B">
            <w:pPr>
              <w:jc w:val="center"/>
              <w:rPr>
                <w:rFonts w:ascii="宋体" w:hAnsi="宋体"/>
                <w:color w:val="auto"/>
              </w:rPr>
            </w:pPr>
            <w:r>
              <w:rPr>
                <w:rFonts w:hint="eastAsia" w:ascii="宋体" w:hAnsi="宋体"/>
                <w:color w:val="auto"/>
              </w:rPr>
              <w:t>GH-60E</w:t>
            </w:r>
          </w:p>
        </w:tc>
        <w:tc>
          <w:tcPr>
            <w:tcW w:w="1155" w:type="pct"/>
            <w:shd w:val="clear" w:color="auto" w:fill="auto"/>
            <w:vAlign w:val="center"/>
          </w:tcPr>
          <w:p w14:paraId="0C2BEA58">
            <w:pPr>
              <w:jc w:val="center"/>
              <w:rPr>
                <w:rFonts w:ascii="宋体" w:hAnsi="宋体"/>
                <w:color w:val="auto"/>
              </w:rPr>
            </w:pPr>
            <w:r>
              <w:rPr>
                <w:rFonts w:hint="eastAsia" w:ascii="宋体" w:hAnsi="宋体"/>
                <w:color w:val="auto"/>
              </w:rPr>
              <w:t>LP-X-107</w:t>
            </w:r>
          </w:p>
        </w:tc>
      </w:tr>
      <w:tr w14:paraId="14182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5608E10">
            <w:pPr>
              <w:jc w:val="center"/>
              <w:rPr>
                <w:rFonts w:ascii="宋体" w:hAnsi="宋体"/>
                <w:color w:val="auto"/>
              </w:rPr>
            </w:pPr>
            <w:r>
              <w:rPr>
                <w:rFonts w:hint="eastAsia" w:ascii="宋体" w:hAnsi="宋体"/>
                <w:color w:val="auto"/>
              </w:rPr>
              <w:t>40</w:t>
            </w:r>
          </w:p>
        </w:tc>
        <w:tc>
          <w:tcPr>
            <w:tcW w:w="1992" w:type="pct"/>
            <w:shd w:val="clear" w:color="auto" w:fill="auto"/>
            <w:vAlign w:val="center"/>
          </w:tcPr>
          <w:p w14:paraId="21CB92A3">
            <w:pPr>
              <w:jc w:val="center"/>
              <w:rPr>
                <w:rFonts w:ascii="宋体" w:hAnsi="宋体"/>
                <w:color w:val="auto"/>
              </w:rPr>
            </w:pPr>
            <w:r>
              <w:rPr>
                <w:rFonts w:hint="eastAsia" w:ascii="宋体" w:hAnsi="宋体"/>
                <w:color w:val="auto"/>
              </w:rPr>
              <w:t>*便携式烟尘测试仪</w:t>
            </w:r>
          </w:p>
        </w:tc>
        <w:tc>
          <w:tcPr>
            <w:tcW w:w="1376" w:type="pct"/>
            <w:shd w:val="clear" w:color="auto" w:fill="auto"/>
            <w:vAlign w:val="center"/>
          </w:tcPr>
          <w:p w14:paraId="082530B3">
            <w:pPr>
              <w:jc w:val="center"/>
              <w:rPr>
                <w:rFonts w:ascii="宋体" w:hAnsi="宋体"/>
                <w:color w:val="auto"/>
              </w:rPr>
            </w:pPr>
            <w:r>
              <w:rPr>
                <w:rFonts w:hint="eastAsia" w:ascii="宋体" w:hAnsi="宋体"/>
                <w:color w:val="auto"/>
              </w:rPr>
              <w:t>QL9010</w:t>
            </w:r>
          </w:p>
        </w:tc>
        <w:tc>
          <w:tcPr>
            <w:tcW w:w="1155" w:type="pct"/>
            <w:shd w:val="clear" w:color="auto" w:fill="auto"/>
            <w:vAlign w:val="center"/>
          </w:tcPr>
          <w:p w14:paraId="46223142">
            <w:pPr>
              <w:jc w:val="center"/>
              <w:rPr>
                <w:rFonts w:ascii="宋体" w:hAnsi="宋体"/>
                <w:color w:val="auto"/>
              </w:rPr>
            </w:pPr>
            <w:r>
              <w:rPr>
                <w:rFonts w:hint="eastAsia" w:ascii="宋体" w:hAnsi="宋体"/>
                <w:color w:val="auto"/>
              </w:rPr>
              <w:t>QL90100120241225</w:t>
            </w:r>
          </w:p>
        </w:tc>
      </w:tr>
      <w:tr w14:paraId="54A0A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1961D87">
            <w:pPr>
              <w:jc w:val="center"/>
              <w:rPr>
                <w:rFonts w:ascii="宋体" w:hAnsi="宋体"/>
                <w:color w:val="auto"/>
              </w:rPr>
            </w:pPr>
            <w:r>
              <w:rPr>
                <w:rFonts w:hint="eastAsia" w:ascii="宋体" w:hAnsi="宋体"/>
                <w:color w:val="auto"/>
              </w:rPr>
              <w:t>41</w:t>
            </w:r>
          </w:p>
        </w:tc>
        <w:tc>
          <w:tcPr>
            <w:tcW w:w="1992" w:type="pct"/>
            <w:shd w:val="clear" w:color="auto" w:fill="auto"/>
            <w:vAlign w:val="center"/>
          </w:tcPr>
          <w:p w14:paraId="2D7D2E6C">
            <w:pPr>
              <w:jc w:val="center"/>
              <w:rPr>
                <w:rFonts w:ascii="宋体" w:hAnsi="宋体"/>
                <w:color w:val="auto"/>
              </w:rPr>
            </w:pPr>
            <w:r>
              <w:rPr>
                <w:rFonts w:hint="eastAsia" w:ascii="宋体" w:hAnsi="宋体"/>
                <w:color w:val="auto"/>
              </w:rPr>
              <w:t>*</w:t>
            </w:r>
            <w:r>
              <w:rPr>
                <w:rFonts w:ascii="宋体" w:hAnsi="宋体"/>
                <w:color w:val="auto"/>
              </w:rPr>
              <w:t>烟气烟尘颗粒物浓度测试仪</w:t>
            </w:r>
          </w:p>
        </w:tc>
        <w:tc>
          <w:tcPr>
            <w:tcW w:w="1376" w:type="pct"/>
            <w:shd w:val="clear" w:color="auto" w:fill="auto"/>
            <w:vAlign w:val="center"/>
          </w:tcPr>
          <w:p w14:paraId="48906A7E">
            <w:pPr>
              <w:jc w:val="center"/>
              <w:rPr>
                <w:rFonts w:ascii="宋体" w:hAnsi="宋体"/>
                <w:color w:val="auto"/>
              </w:rPr>
            </w:pPr>
            <w:r>
              <w:rPr>
                <w:rFonts w:ascii="宋体" w:hAnsi="宋体"/>
                <w:color w:val="auto"/>
              </w:rPr>
              <w:t>MH3300型</w:t>
            </w:r>
          </w:p>
        </w:tc>
        <w:tc>
          <w:tcPr>
            <w:tcW w:w="1155" w:type="pct"/>
            <w:shd w:val="clear" w:color="auto" w:fill="auto"/>
            <w:vAlign w:val="center"/>
          </w:tcPr>
          <w:p w14:paraId="4B1FCF0B">
            <w:pPr>
              <w:jc w:val="center"/>
              <w:rPr>
                <w:rFonts w:ascii="宋体" w:hAnsi="宋体"/>
                <w:color w:val="auto"/>
              </w:rPr>
            </w:pPr>
            <w:r>
              <w:rPr>
                <w:rFonts w:ascii="宋体" w:hAnsi="宋体"/>
                <w:color w:val="auto"/>
              </w:rPr>
              <w:t>MD0794210308</w:t>
            </w:r>
          </w:p>
        </w:tc>
      </w:tr>
      <w:tr w14:paraId="69A65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0A94EDA">
            <w:pPr>
              <w:jc w:val="center"/>
              <w:rPr>
                <w:rFonts w:ascii="宋体" w:hAnsi="宋体"/>
                <w:color w:val="auto"/>
              </w:rPr>
            </w:pPr>
            <w:r>
              <w:rPr>
                <w:rFonts w:hint="eastAsia" w:ascii="宋体" w:hAnsi="宋体"/>
                <w:color w:val="auto"/>
              </w:rPr>
              <w:t>42</w:t>
            </w:r>
          </w:p>
        </w:tc>
        <w:tc>
          <w:tcPr>
            <w:tcW w:w="1992" w:type="pct"/>
            <w:shd w:val="clear" w:color="auto" w:fill="auto"/>
            <w:vAlign w:val="center"/>
          </w:tcPr>
          <w:p w14:paraId="0AE90C4F">
            <w:pPr>
              <w:jc w:val="center"/>
              <w:rPr>
                <w:rFonts w:ascii="宋体" w:hAnsi="宋体"/>
                <w:color w:val="auto"/>
              </w:rPr>
            </w:pPr>
            <w:r>
              <w:rPr>
                <w:rFonts w:hint="eastAsia" w:ascii="宋体" w:hAnsi="宋体"/>
                <w:color w:val="auto"/>
              </w:rPr>
              <w:t>*大流量烟尘（气）测试仪</w:t>
            </w:r>
          </w:p>
        </w:tc>
        <w:tc>
          <w:tcPr>
            <w:tcW w:w="1376" w:type="pct"/>
            <w:shd w:val="clear" w:color="auto" w:fill="auto"/>
            <w:vAlign w:val="center"/>
          </w:tcPr>
          <w:p w14:paraId="1C540F32">
            <w:pPr>
              <w:jc w:val="center"/>
              <w:rPr>
                <w:rFonts w:ascii="宋体" w:hAnsi="宋体"/>
                <w:color w:val="auto"/>
              </w:rPr>
            </w:pPr>
            <w:r>
              <w:rPr>
                <w:rFonts w:hint="eastAsia" w:ascii="宋体" w:hAnsi="宋体"/>
                <w:color w:val="auto"/>
              </w:rPr>
              <w:t>YQ3000-D</w:t>
            </w:r>
          </w:p>
        </w:tc>
        <w:tc>
          <w:tcPr>
            <w:tcW w:w="1155" w:type="pct"/>
            <w:shd w:val="clear" w:color="auto" w:fill="auto"/>
            <w:vAlign w:val="center"/>
          </w:tcPr>
          <w:p w14:paraId="2B306A0F">
            <w:pPr>
              <w:jc w:val="center"/>
              <w:rPr>
                <w:rFonts w:ascii="宋体" w:hAnsi="宋体"/>
                <w:color w:val="auto"/>
              </w:rPr>
            </w:pPr>
            <w:r>
              <w:rPr>
                <w:rFonts w:hint="eastAsia" w:ascii="宋体" w:hAnsi="宋体"/>
                <w:color w:val="auto"/>
              </w:rPr>
              <w:t>5045230327</w:t>
            </w:r>
          </w:p>
        </w:tc>
      </w:tr>
      <w:tr w14:paraId="73E6C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6D736C3">
            <w:pPr>
              <w:jc w:val="center"/>
              <w:rPr>
                <w:rFonts w:ascii="宋体" w:hAnsi="宋体"/>
                <w:color w:val="auto"/>
              </w:rPr>
            </w:pPr>
            <w:r>
              <w:rPr>
                <w:rFonts w:hint="eastAsia" w:ascii="宋体" w:hAnsi="宋体"/>
                <w:color w:val="auto"/>
              </w:rPr>
              <w:t>43</w:t>
            </w:r>
          </w:p>
        </w:tc>
        <w:tc>
          <w:tcPr>
            <w:tcW w:w="1992" w:type="pct"/>
            <w:shd w:val="clear" w:color="auto" w:fill="auto"/>
            <w:vAlign w:val="center"/>
          </w:tcPr>
          <w:p w14:paraId="402BCBE4">
            <w:pPr>
              <w:jc w:val="center"/>
              <w:rPr>
                <w:rFonts w:ascii="宋体" w:hAnsi="宋体"/>
                <w:color w:val="auto"/>
              </w:rPr>
            </w:pPr>
            <w:r>
              <w:rPr>
                <w:rFonts w:hint="eastAsia" w:ascii="宋体" w:hAnsi="宋体"/>
                <w:color w:val="auto"/>
              </w:rPr>
              <w:t>*多功能声级计</w:t>
            </w:r>
          </w:p>
        </w:tc>
        <w:tc>
          <w:tcPr>
            <w:tcW w:w="1376" w:type="pct"/>
            <w:shd w:val="clear" w:color="auto" w:fill="auto"/>
            <w:vAlign w:val="center"/>
          </w:tcPr>
          <w:p w14:paraId="3467B3CB">
            <w:pPr>
              <w:jc w:val="center"/>
              <w:rPr>
                <w:rFonts w:ascii="宋体" w:hAnsi="宋体"/>
                <w:color w:val="auto"/>
              </w:rPr>
            </w:pPr>
            <w:r>
              <w:rPr>
                <w:rFonts w:ascii="宋体" w:hAnsi="宋体"/>
                <w:color w:val="auto"/>
              </w:rPr>
              <w:t>AWA5688</w:t>
            </w:r>
          </w:p>
        </w:tc>
        <w:tc>
          <w:tcPr>
            <w:tcW w:w="1155" w:type="pct"/>
            <w:shd w:val="clear" w:color="auto" w:fill="auto"/>
            <w:vAlign w:val="center"/>
          </w:tcPr>
          <w:p w14:paraId="69116A14">
            <w:pPr>
              <w:jc w:val="center"/>
              <w:rPr>
                <w:rFonts w:ascii="宋体" w:hAnsi="宋体"/>
                <w:color w:val="auto"/>
              </w:rPr>
            </w:pPr>
            <w:r>
              <w:rPr>
                <w:rFonts w:ascii="宋体" w:hAnsi="宋体"/>
                <w:color w:val="auto"/>
              </w:rPr>
              <w:t>00315533</w:t>
            </w:r>
          </w:p>
        </w:tc>
      </w:tr>
      <w:tr w14:paraId="6A214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3B8AB85">
            <w:pPr>
              <w:jc w:val="center"/>
              <w:rPr>
                <w:rFonts w:ascii="宋体" w:hAnsi="宋体"/>
                <w:color w:val="auto"/>
              </w:rPr>
            </w:pPr>
            <w:r>
              <w:rPr>
                <w:rFonts w:hint="eastAsia" w:ascii="宋体" w:hAnsi="宋体"/>
                <w:color w:val="auto"/>
              </w:rPr>
              <w:t>44</w:t>
            </w:r>
          </w:p>
        </w:tc>
        <w:tc>
          <w:tcPr>
            <w:tcW w:w="1992" w:type="pct"/>
            <w:shd w:val="clear" w:color="auto" w:fill="auto"/>
            <w:vAlign w:val="center"/>
          </w:tcPr>
          <w:p w14:paraId="21E19920">
            <w:pPr>
              <w:jc w:val="center"/>
              <w:rPr>
                <w:rFonts w:ascii="宋体" w:hAnsi="宋体"/>
                <w:color w:val="auto"/>
              </w:rPr>
            </w:pPr>
            <w:r>
              <w:rPr>
                <w:rFonts w:hint="eastAsia" w:ascii="宋体" w:hAnsi="宋体"/>
                <w:color w:val="auto"/>
              </w:rPr>
              <w:t>*多功能声级计</w:t>
            </w:r>
          </w:p>
        </w:tc>
        <w:tc>
          <w:tcPr>
            <w:tcW w:w="1376" w:type="pct"/>
            <w:shd w:val="clear" w:color="auto" w:fill="auto"/>
            <w:vAlign w:val="center"/>
          </w:tcPr>
          <w:p w14:paraId="48A675F8">
            <w:pPr>
              <w:jc w:val="center"/>
              <w:rPr>
                <w:rFonts w:ascii="宋体" w:hAnsi="宋体"/>
                <w:color w:val="auto"/>
              </w:rPr>
            </w:pPr>
            <w:r>
              <w:rPr>
                <w:rFonts w:ascii="宋体" w:hAnsi="宋体"/>
                <w:color w:val="auto"/>
              </w:rPr>
              <w:t>AWA5688</w:t>
            </w:r>
          </w:p>
        </w:tc>
        <w:tc>
          <w:tcPr>
            <w:tcW w:w="1155" w:type="pct"/>
            <w:shd w:val="clear" w:color="auto" w:fill="auto"/>
            <w:vAlign w:val="center"/>
          </w:tcPr>
          <w:p w14:paraId="5E34CE77">
            <w:pPr>
              <w:jc w:val="center"/>
              <w:rPr>
                <w:rFonts w:ascii="宋体" w:hAnsi="宋体"/>
                <w:color w:val="auto"/>
              </w:rPr>
            </w:pPr>
            <w:r>
              <w:rPr>
                <w:rFonts w:ascii="宋体" w:hAnsi="宋体"/>
                <w:color w:val="auto"/>
              </w:rPr>
              <w:t>00315438</w:t>
            </w:r>
          </w:p>
        </w:tc>
      </w:tr>
      <w:tr w14:paraId="2442F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0158FA47">
            <w:pPr>
              <w:jc w:val="center"/>
              <w:rPr>
                <w:rFonts w:ascii="宋体" w:hAnsi="宋体"/>
                <w:color w:val="auto"/>
              </w:rPr>
            </w:pPr>
            <w:r>
              <w:rPr>
                <w:rFonts w:hint="eastAsia" w:ascii="宋体" w:hAnsi="宋体"/>
                <w:color w:val="auto"/>
              </w:rPr>
              <w:t>45</w:t>
            </w:r>
          </w:p>
        </w:tc>
        <w:tc>
          <w:tcPr>
            <w:tcW w:w="1992" w:type="pct"/>
            <w:shd w:val="clear" w:color="auto" w:fill="auto"/>
            <w:vAlign w:val="center"/>
          </w:tcPr>
          <w:p w14:paraId="5DABB3DD">
            <w:pPr>
              <w:jc w:val="center"/>
              <w:rPr>
                <w:rFonts w:ascii="宋体" w:hAnsi="宋体"/>
                <w:color w:val="auto"/>
              </w:rPr>
            </w:pPr>
            <w:r>
              <w:rPr>
                <w:rFonts w:hint="eastAsia" w:ascii="宋体" w:hAnsi="宋体"/>
                <w:color w:val="auto"/>
              </w:rPr>
              <w:t>*</w:t>
            </w:r>
            <w:r>
              <w:rPr>
                <w:rFonts w:ascii="宋体" w:hAnsi="宋体"/>
                <w:color w:val="auto"/>
              </w:rPr>
              <w:t>声校准器</w:t>
            </w:r>
          </w:p>
        </w:tc>
        <w:tc>
          <w:tcPr>
            <w:tcW w:w="1376" w:type="pct"/>
            <w:shd w:val="clear" w:color="auto" w:fill="auto"/>
            <w:vAlign w:val="center"/>
          </w:tcPr>
          <w:p w14:paraId="384C1559">
            <w:pPr>
              <w:jc w:val="center"/>
              <w:rPr>
                <w:rFonts w:ascii="宋体" w:hAnsi="宋体"/>
                <w:color w:val="auto"/>
              </w:rPr>
            </w:pPr>
            <w:r>
              <w:rPr>
                <w:rFonts w:ascii="宋体" w:hAnsi="宋体"/>
                <w:color w:val="auto"/>
              </w:rPr>
              <w:t>AWA</w:t>
            </w:r>
            <w:r>
              <w:rPr>
                <w:rFonts w:hint="eastAsia" w:ascii="宋体" w:hAnsi="宋体"/>
                <w:color w:val="auto"/>
              </w:rPr>
              <w:t>6021</w:t>
            </w:r>
            <w:r>
              <w:rPr>
                <w:rFonts w:ascii="宋体" w:hAnsi="宋体"/>
                <w:color w:val="auto"/>
              </w:rPr>
              <w:t>A</w:t>
            </w:r>
          </w:p>
        </w:tc>
        <w:tc>
          <w:tcPr>
            <w:tcW w:w="1155" w:type="pct"/>
            <w:shd w:val="clear" w:color="auto" w:fill="auto"/>
            <w:vAlign w:val="center"/>
          </w:tcPr>
          <w:p w14:paraId="53290895">
            <w:pPr>
              <w:jc w:val="center"/>
              <w:rPr>
                <w:rFonts w:ascii="宋体" w:hAnsi="宋体"/>
                <w:color w:val="auto"/>
              </w:rPr>
            </w:pPr>
            <w:r>
              <w:rPr>
                <w:rFonts w:ascii="宋体" w:hAnsi="宋体"/>
                <w:color w:val="auto"/>
              </w:rPr>
              <w:t>1015864</w:t>
            </w:r>
          </w:p>
        </w:tc>
      </w:tr>
      <w:tr w14:paraId="1BEB3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0A870E85">
            <w:pPr>
              <w:jc w:val="center"/>
              <w:rPr>
                <w:rFonts w:ascii="宋体" w:hAnsi="宋体"/>
                <w:color w:val="auto"/>
              </w:rPr>
            </w:pPr>
            <w:r>
              <w:rPr>
                <w:rFonts w:hint="eastAsia" w:ascii="宋体" w:hAnsi="宋体"/>
                <w:color w:val="auto"/>
              </w:rPr>
              <w:t>46</w:t>
            </w:r>
          </w:p>
        </w:tc>
        <w:tc>
          <w:tcPr>
            <w:tcW w:w="1992" w:type="pct"/>
            <w:shd w:val="clear" w:color="auto" w:fill="auto"/>
            <w:vAlign w:val="center"/>
          </w:tcPr>
          <w:p w14:paraId="45461DAE">
            <w:pPr>
              <w:jc w:val="center"/>
              <w:rPr>
                <w:rFonts w:ascii="宋体" w:hAnsi="宋体"/>
                <w:color w:val="auto"/>
              </w:rPr>
            </w:pPr>
            <w:r>
              <w:rPr>
                <w:rFonts w:hint="eastAsia" w:ascii="宋体" w:hAnsi="宋体"/>
                <w:color w:val="auto"/>
              </w:rPr>
              <w:t>*</w:t>
            </w:r>
            <w:r>
              <w:rPr>
                <w:rFonts w:ascii="宋体" w:hAnsi="宋体"/>
                <w:color w:val="auto"/>
              </w:rPr>
              <w:t>电子天平</w:t>
            </w:r>
          </w:p>
        </w:tc>
        <w:tc>
          <w:tcPr>
            <w:tcW w:w="1376" w:type="pct"/>
            <w:shd w:val="clear" w:color="auto" w:fill="auto"/>
            <w:vAlign w:val="center"/>
          </w:tcPr>
          <w:p w14:paraId="3D853FB6">
            <w:pPr>
              <w:jc w:val="center"/>
              <w:rPr>
                <w:rFonts w:ascii="宋体" w:hAnsi="宋体"/>
                <w:color w:val="auto"/>
              </w:rPr>
            </w:pPr>
            <w:r>
              <w:rPr>
                <w:rFonts w:ascii="宋体" w:hAnsi="宋体"/>
                <w:color w:val="auto"/>
              </w:rPr>
              <w:t>EX125DZH</w:t>
            </w:r>
          </w:p>
        </w:tc>
        <w:tc>
          <w:tcPr>
            <w:tcW w:w="1155" w:type="pct"/>
            <w:shd w:val="clear" w:color="auto" w:fill="auto"/>
            <w:vAlign w:val="center"/>
          </w:tcPr>
          <w:p w14:paraId="25656491">
            <w:pPr>
              <w:jc w:val="center"/>
              <w:rPr>
                <w:rFonts w:ascii="宋体" w:hAnsi="宋体"/>
                <w:color w:val="auto"/>
              </w:rPr>
            </w:pPr>
            <w:r>
              <w:rPr>
                <w:rFonts w:ascii="宋体" w:hAnsi="宋体"/>
                <w:color w:val="auto"/>
              </w:rPr>
              <w:t>B815678867</w:t>
            </w:r>
          </w:p>
        </w:tc>
      </w:tr>
      <w:tr w14:paraId="57DA5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2C0C827">
            <w:pPr>
              <w:jc w:val="center"/>
              <w:rPr>
                <w:rFonts w:ascii="宋体" w:hAnsi="宋体"/>
                <w:color w:val="auto"/>
              </w:rPr>
            </w:pPr>
            <w:r>
              <w:rPr>
                <w:rFonts w:hint="eastAsia" w:ascii="宋体" w:hAnsi="宋体"/>
                <w:color w:val="auto"/>
              </w:rPr>
              <w:t>47</w:t>
            </w:r>
          </w:p>
        </w:tc>
        <w:tc>
          <w:tcPr>
            <w:tcW w:w="1992" w:type="pct"/>
            <w:shd w:val="clear" w:color="auto" w:fill="auto"/>
            <w:vAlign w:val="center"/>
          </w:tcPr>
          <w:p w14:paraId="002E5A70">
            <w:pPr>
              <w:jc w:val="center"/>
              <w:rPr>
                <w:rFonts w:ascii="宋体" w:hAnsi="宋体"/>
                <w:color w:val="auto"/>
              </w:rPr>
            </w:pPr>
            <w:r>
              <w:rPr>
                <w:rFonts w:hint="eastAsia" w:ascii="宋体" w:hAnsi="宋体"/>
                <w:color w:val="auto"/>
              </w:rPr>
              <w:t>*林格曼黑望远镜</w:t>
            </w:r>
          </w:p>
        </w:tc>
        <w:tc>
          <w:tcPr>
            <w:tcW w:w="1376" w:type="pct"/>
            <w:shd w:val="clear" w:color="auto" w:fill="auto"/>
            <w:vAlign w:val="center"/>
          </w:tcPr>
          <w:p w14:paraId="14ED220D">
            <w:pPr>
              <w:jc w:val="center"/>
              <w:rPr>
                <w:rFonts w:ascii="宋体" w:hAnsi="宋体"/>
                <w:color w:val="auto"/>
              </w:rPr>
            </w:pPr>
            <w:r>
              <w:rPr>
                <w:rFonts w:hint="eastAsia" w:ascii="宋体" w:hAnsi="宋体"/>
                <w:color w:val="auto"/>
              </w:rPr>
              <w:t>JK-CG</w:t>
            </w:r>
          </w:p>
        </w:tc>
        <w:tc>
          <w:tcPr>
            <w:tcW w:w="1155" w:type="pct"/>
            <w:shd w:val="clear" w:color="auto" w:fill="auto"/>
            <w:vAlign w:val="center"/>
          </w:tcPr>
          <w:p w14:paraId="3862E522">
            <w:pPr>
              <w:jc w:val="center"/>
              <w:rPr>
                <w:rFonts w:ascii="宋体" w:hAnsi="宋体"/>
                <w:color w:val="auto"/>
              </w:rPr>
            </w:pPr>
            <w:r>
              <w:rPr>
                <w:rFonts w:hint="eastAsia" w:ascii="宋体" w:hAnsi="宋体"/>
                <w:color w:val="auto"/>
              </w:rPr>
              <w:t>020761513</w:t>
            </w:r>
          </w:p>
        </w:tc>
      </w:tr>
      <w:tr w14:paraId="0CDD2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1407A64">
            <w:pPr>
              <w:jc w:val="center"/>
              <w:rPr>
                <w:rFonts w:ascii="宋体" w:hAnsi="宋体"/>
                <w:color w:val="auto"/>
              </w:rPr>
            </w:pPr>
            <w:r>
              <w:rPr>
                <w:rFonts w:hint="eastAsia" w:ascii="宋体" w:hAnsi="宋体"/>
                <w:color w:val="auto"/>
              </w:rPr>
              <w:t>48</w:t>
            </w:r>
          </w:p>
        </w:tc>
        <w:tc>
          <w:tcPr>
            <w:tcW w:w="1992" w:type="pct"/>
            <w:shd w:val="clear" w:color="auto" w:fill="auto"/>
            <w:vAlign w:val="center"/>
          </w:tcPr>
          <w:p w14:paraId="42606B7D">
            <w:pPr>
              <w:jc w:val="center"/>
              <w:rPr>
                <w:rFonts w:ascii="宋体" w:hAnsi="宋体"/>
                <w:color w:val="auto"/>
              </w:rPr>
            </w:pPr>
            <w:r>
              <w:rPr>
                <w:rFonts w:hint="eastAsia" w:ascii="宋体" w:hAnsi="宋体"/>
                <w:color w:val="auto"/>
              </w:rPr>
              <w:t>*</w:t>
            </w:r>
            <w:r>
              <w:rPr>
                <w:rFonts w:ascii="宋体" w:hAnsi="宋体"/>
                <w:color w:val="auto"/>
              </w:rPr>
              <w:t>林格曼黑度测定仪</w:t>
            </w:r>
          </w:p>
        </w:tc>
        <w:tc>
          <w:tcPr>
            <w:tcW w:w="1376" w:type="pct"/>
            <w:shd w:val="clear" w:color="auto" w:fill="auto"/>
            <w:vAlign w:val="center"/>
          </w:tcPr>
          <w:p w14:paraId="41891D4C">
            <w:pPr>
              <w:jc w:val="center"/>
              <w:rPr>
                <w:rFonts w:ascii="宋体" w:hAnsi="宋体"/>
                <w:color w:val="auto"/>
              </w:rPr>
            </w:pPr>
            <w:r>
              <w:rPr>
                <w:rFonts w:ascii="宋体" w:hAnsi="宋体"/>
                <w:color w:val="auto"/>
              </w:rPr>
              <w:t>JC-LK</w:t>
            </w:r>
          </w:p>
        </w:tc>
        <w:tc>
          <w:tcPr>
            <w:tcW w:w="1155" w:type="pct"/>
            <w:shd w:val="clear" w:color="auto" w:fill="auto"/>
            <w:vAlign w:val="center"/>
          </w:tcPr>
          <w:p w14:paraId="0508C00D">
            <w:pPr>
              <w:jc w:val="center"/>
              <w:rPr>
                <w:rFonts w:ascii="宋体" w:hAnsi="宋体"/>
                <w:color w:val="auto"/>
              </w:rPr>
            </w:pPr>
            <w:r>
              <w:rPr>
                <w:rFonts w:ascii="宋体" w:hAnsi="宋体"/>
                <w:color w:val="auto"/>
              </w:rPr>
              <w:t>180345</w:t>
            </w:r>
          </w:p>
        </w:tc>
      </w:tr>
      <w:tr w14:paraId="1AF9B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0CD2FD06">
            <w:pPr>
              <w:jc w:val="center"/>
              <w:rPr>
                <w:rFonts w:ascii="宋体" w:hAnsi="宋体"/>
                <w:color w:val="auto"/>
              </w:rPr>
            </w:pPr>
            <w:r>
              <w:rPr>
                <w:rFonts w:hint="eastAsia" w:ascii="宋体" w:hAnsi="宋体"/>
                <w:color w:val="auto"/>
              </w:rPr>
              <w:t>49</w:t>
            </w:r>
          </w:p>
        </w:tc>
        <w:tc>
          <w:tcPr>
            <w:tcW w:w="1992" w:type="pct"/>
            <w:shd w:val="clear" w:color="auto" w:fill="auto"/>
            <w:vAlign w:val="center"/>
          </w:tcPr>
          <w:p w14:paraId="33A060FD">
            <w:pPr>
              <w:jc w:val="center"/>
              <w:rPr>
                <w:rFonts w:ascii="宋体" w:hAnsi="宋体"/>
                <w:color w:val="auto"/>
              </w:rPr>
            </w:pPr>
            <w:r>
              <w:rPr>
                <w:rFonts w:hint="eastAsia" w:ascii="宋体" w:hAnsi="宋体"/>
                <w:color w:val="auto"/>
              </w:rPr>
              <w:t>*自动烟尘 烟气检测仪</w:t>
            </w:r>
          </w:p>
        </w:tc>
        <w:tc>
          <w:tcPr>
            <w:tcW w:w="1376" w:type="pct"/>
            <w:shd w:val="clear" w:color="auto" w:fill="auto"/>
            <w:vAlign w:val="center"/>
          </w:tcPr>
          <w:p w14:paraId="1923E554">
            <w:pPr>
              <w:jc w:val="center"/>
              <w:rPr>
                <w:rFonts w:ascii="宋体" w:hAnsi="宋体"/>
                <w:color w:val="auto"/>
              </w:rPr>
            </w:pPr>
            <w:r>
              <w:rPr>
                <w:rFonts w:ascii="宋体" w:hAnsi="宋体"/>
                <w:color w:val="auto"/>
              </w:rPr>
              <w:t>GH-60E</w:t>
            </w:r>
          </w:p>
        </w:tc>
        <w:tc>
          <w:tcPr>
            <w:tcW w:w="1155" w:type="pct"/>
            <w:shd w:val="clear" w:color="auto" w:fill="auto"/>
            <w:vAlign w:val="center"/>
          </w:tcPr>
          <w:p w14:paraId="5B98EF9D">
            <w:pPr>
              <w:jc w:val="center"/>
              <w:rPr>
                <w:rFonts w:ascii="宋体" w:hAnsi="宋体"/>
                <w:color w:val="auto"/>
              </w:rPr>
            </w:pPr>
            <w:r>
              <w:rPr>
                <w:rFonts w:ascii="宋体" w:hAnsi="宋体"/>
                <w:color w:val="auto"/>
              </w:rPr>
              <w:t>1709295</w:t>
            </w:r>
          </w:p>
        </w:tc>
      </w:tr>
      <w:tr w14:paraId="05778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297A7113">
            <w:pPr>
              <w:jc w:val="center"/>
              <w:rPr>
                <w:rFonts w:ascii="宋体" w:hAnsi="宋体"/>
                <w:color w:val="auto"/>
              </w:rPr>
            </w:pPr>
            <w:r>
              <w:rPr>
                <w:rFonts w:hint="eastAsia" w:ascii="宋体" w:hAnsi="宋体"/>
                <w:color w:val="auto"/>
              </w:rPr>
              <w:t>50</w:t>
            </w:r>
          </w:p>
        </w:tc>
        <w:tc>
          <w:tcPr>
            <w:tcW w:w="1992" w:type="pct"/>
            <w:shd w:val="clear" w:color="auto" w:fill="auto"/>
            <w:vAlign w:val="center"/>
          </w:tcPr>
          <w:p w14:paraId="271FFE4D">
            <w:pPr>
              <w:jc w:val="center"/>
              <w:rPr>
                <w:rFonts w:ascii="宋体" w:hAnsi="宋体"/>
                <w:color w:val="auto"/>
              </w:rPr>
            </w:pPr>
            <w:r>
              <w:rPr>
                <w:rFonts w:hint="eastAsia" w:ascii="宋体" w:hAnsi="宋体"/>
                <w:color w:val="auto"/>
              </w:rPr>
              <w:t>*</w:t>
            </w:r>
            <w:r>
              <w:rPr>
                <w:rFonts w:ascii="宋体" w:hAnsi="宋体"/>
                <w:color w:val="auto"/>
              </w:rPr>
              <w:t>声校准器</w:t>
            </w:r>
          </w:p>
        </w:tc>
        <w:tc>
          <w:tcPr>
            <w:tcW w:w="1376" w:type="pct"/>
            <w:shd w:val="clear" w:color="auto" w:fill="auto"/>
            <w:vAlign w:val="center"/>
          </w:tcPr>
          <w:p w14:paraId="290BC0DB">
            <w:pPr>
              <w:jc w:val="center"/>
              <w:rPr>
                <w:rFonts w:ascii="宋体" w:hAnsi="宋体"/>
                <w:color w:val="auto"/>
              </w:rPr>
            </w:pPr>
            <w:r>
              <w:rPr>
                <w:rFonts w:ascii="宋体" w:hAnsi="宋体"/>
                <w:color w:val="auto"/>
              </w:rPr>
              <w:t>AWA6021A</w:t>
            </w:r>
          </w:p>
        </w:tc>
        <w:tc>
          <w:tcPr>
            <w:tcW w:w="1155" w:type="pct"/>
            <w:shd w:val="clear" w:color="auto" w:fill="auto"/>
            <w:vAlign w:val="center"/>
          </w:tcPr>
          <w:p w14:paraId="569AF946">
            <w:pPr>
              <w:jc w:val="center"/>
              <w:rPr>
                <w:rFonts w:ascii="宋体" w:hAnsi="宋体"/>
                <w:color w:val="auto"/>
              </w:rPr>
            </w:pPr>
            <w:r>
              <w:rPr>
                <w:rFonts w:ascii="宋体" w:hAnsi="宋体"/>
                <w:color w:val="auto"/>
              </w:rPr>
              <w:t>1011183</w:t>
            </w:r>
          </w:p>
        </w:tc>
      </w:tr>
      <w:tr w14:paraId="1121E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DBFF832">
            <w:pPr>
              <w:jc w:val="center"/>
              <w:rPr>
                <w:rFonts w:ascii="宋体" w:hAnsi="宋体"/>
                <w:color w:val="auto"/>
              </w:rPr>
            </w:pPr>
            <w:r>
              <w:rPr>
                <w:rFonts w:hint="eastAsia" w:ascii="宋体" w:hAnsi="宋体"/>
                <w:color w:val="auto"/>
              </w:rPr>
              <w:t>51</w:t>
            </w:r>
          </w:p>
        </w:tc>
        <w:tc>
          <w:tcPr>
            <w:tcW w:w="1992" w:type="pct"/>
            <w:shd w:val="clear" w:color="auto" w:fill="auto"/>
            <w:vAlign w:val="center"/>
          </w:tcPr>
          <w:p w14:paraId="0B5040E2">
            <w:pPr>
              <w:jc w:val="center"/>
              <w:rPr>
                <w:rFonts w:ascii="宋体" w:hAnsi="宋体"/>
                <w:color w:val="auto"/>
              </w:rPr>
            </w:pPr>
            <w:r>
              <w:rPr>
                <w:rFonts w:hint="eastAsia" w:ascii="宋体" w:hAnsi="宋体"/>
                <w:color w:val="auto"/>
              </w:rPr>
              <w:t>*</w:t>
            </w:r>
            <w:r>
              <w:rPr>
                <w:rFonts w:ascii="宋体" w:hAnsi="宋体"/>
                <w:color w:val="auto"/>
              </w:rPr>
              <w:t>多功能声级计</w:t>
            </w:r>
          </w:p>
        </w:tc>
        <w:tc>
          <w:tcPr>
            <w:tcW w:w="1376" w:type="pct"/>
            <w:shd w:val="clear" w:color="auto" w:fill="auto"/>
            <w:vAlign w:val="center"/>
          </w:tcPr>
          <w:p w14:paraId="360B39EA">
            <w:pPr>
              <w:jc w:val="center"/>
              <w:rPr>
                <w:rFonts w:ascii="宋体" w:hAnsi="宋体"/>
                <w:color w:val="auto"/>
              </w:rPr>
            </w:pPr>
            <w:r>
              <w:rPr>
                <w:rFonts w:ascii="宋体" w:hAnsi="宋体"/>
                <w:color w:val="auto"/>
              </w:rPr>
              <w:t>AWA6228</w:t>
            </w:r>
            <w:r>
              <w:rPr>
                <w:rFonts w:ascii="宋体" w:hAnsi="宋体"/>
                <w:color w:val="auto"/>
                <w:vertAlign w:val="superscript"/>
              </w:rPr>
              <w:t>+</w:t>
            </w:r>
          </w:p>
        </w:tc>
        <w:tc>
          <w:tcPr>
            <w:tcW w:w="1155" w:type="pct"/>
            <w:shd w:val="clear" w:color="auto" w:fill="auto"/>
            <w:vAlign w:val="center"/>
          </w:tcPr>
          <w:p w14:paraId="1386026A">
            <w:pPr>
              <w:jc w:val="center"/>
              <w:rPr>
                <w:rFonts w:ascii="宋体" w:hAnsi="宋体"/>
                <w:color w:val="auto"/>
              </w:rPr>
            </w:pPr>
            <w:r>
              <w:rPr>
                <w:rFonts w:ascii="宋体" w:hAnsi="宋体"/>
                <w:color w:val="auto"/>
              </w:rPr>
              <w:t>00316159</w:t>
            </w:r>
          </w:p>
        </w:tc>
      </w:tr>
      <w:tr w14:paraId="6FD48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26A841E">
            <w:pPr>
              <w:jc w:val="center"/>
              <w:rPr>
                <w:rFonts w:ascii="宋体" w:hAnsi="宋体"/>
                <w:color w:val="auto"/>
              </w:rPr>
            </w:pPr>
            <w:r>
              <w:rPr>
                <w:rFonts w:hint="eastAsia" w:ascii="宋体" w:hAnsi="宋体"/>
                <w:color w:val="auto"/>
              </w:rPr>
              <w:t>52</w:t>
            </w:r>
          </w:p>
        </w:tc>
        <w:tc>
          <w:tcPr>
            <w:tcW w:w="1992" w:type="pct"/>
            <w:shd w:val="clear" w:color="auto" w:fill="auto"/>
            <w:vAlign w:val="center"/>
          </w:tcPr>
          <w:p w14:paraId="6FDB332E">
            <w:pPr>
              <w:jc w:val="center"/>
              <w:rPr>
                <w:rFonts w:ascii="宋体" w:hAnsi="宋体"/>
                <w:color w:val="auto"/>
              </w:rPr>
            </w:pPr>
            <w:r>
              <w:rPr>
                <w:rFonts w:hint="eastAsia" w:ascii="宋体" w:hAnsi="宋体"/>
                <w:color w:val="auto"/>
              </w:rPr>
              <w:t>*声校准器</w:t>
            </w:r>
          </w:p>
        </w:tc>
        <w:tc>
          <w:tcPr>
            <w:tcW w:w="1376" w:type="pct"/>
            <w:shd w:val="clear" w:color="auto" w:fill="auto"/>
            <w:vAlign w:val="center"/>
          </w:tcPr>
          <w:p w14:paraId="3450F59D">
            <w:pPr>
              <w:jc w:val="center"/>
              <w:rPr>
                <w:rFonts w:ascii="宋体" w:hAnsi="宋体"/>
                <w:color w:val="auto"/>
              </w:rPr>
            </w:pPr>
            <w:r>
              <w:rPr>
                <w:rFonts w:ascii="宋体" w:hAnsi="宋体"/>
                <w:color w:val="auto"/>
              </w:rPr>
              <w:t>AWA6021A</w:t>
            </w:r>
          </w:p>
        </w:tc>
        <w:tc>
          <w:tcPr>
            <w:tcW w:w="1155" w:type="pct"/>
            <w:shd w:val="clear" w:color="auto" w:fill="auto"/>
            <w:vAlign w:val="center"/>
          </w:tcPr>
          <w:p w14:paraId="09562278">
            <w:pPr>
              <w:jc w:val="center"/>
              <w:rPr>
                <w:rFonts w:ascii="宋体" w:hAnsi="宋体"/>
                <w:color w:val="auto"/>
              </w:rPr>
            </w:pPr>
            <w:r>
              <w:rPr>
                <w:rFonts w:ascii="宋体" w:hAnsi="宋体"/>
                <w:color w:val="auto"/>
              </w:rPr>
              <w:t>1009443</w:t>
            </w:r>
          </w:p>
        </w:tc>
      </w:tr>
      <w:tr w14:paraId="7ED7D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shd w:val="clear" w:color="auto" w:fill="auto"/>
            <w:vAlign w:val="center"/>
          </w:tcPr>
          <w:p w14:paraId="3C4E7008">
            <w:pPr>
              <w:widowControl/>
              <w:jc w:val="center"/>
              <w:rPr>
                <w:rFonts w:ascii="宋体" w:hAnsi="宋体"/>
                <w:color w:val="auto"/>
              </w:rPr>
            </w:pPr>
            <w:r>
              <w:rPr>
                <w:rFonts w:hint="eastAsia" w:ascii="宋体" w:hAnsi="宋体"/>
                <w:b/>
                <w:color w:val="auto"/>
              </w:rPr>
              <w:t>室内分析主要检测仪器</w:t>
            </w:r>
          </w:p>
        </w:tc>
      </w:tr>
      <w:tr w14:paraId="75874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1D92C24">
            <w:pPr>
              <w:jc w:val="center"/>
              <w:rPr>
                <w:rFonts w:ascii="宋体" w:hAnsi="宋体"/>
                <w:color w:val="auto"/>
              </w:rPr>
            </w:pPr>
            <w:r>
              <w:rPr>
                <w:rFonts w:hint="eastAsia" w:ascii="宋体" w:hAnsi="宋体"/>
                <w:color w:val="auto"/>
              </w:rPr>
              <w:t>1</w:t>
            </w:r>
          </w:p>
        </w:tc>
        <w:tc>
          <w:tcPr>
            <w:tcW w:w="1992" w:type="pct"/>
            <w:shd w:val="clear" w:color="auto" w:fill="auto"/>
            <w:vAlign w:val="center"/>
          </w:tcPr>
          <w:p w14:paraId="1A550A6E">
            <w:pPr>
              <w:widowControl/>
              <w:jc w:val="center"/>
              <w:rPr>
                <w:rFonts w:ascii="宋体" w:hAnsi="宋体"/>
                <w:color w:val="auto"/>
              </w:rPr>
            </w:pPr>
            <w:r>
              <w:rPr>
                <w:rFonts w:hint="eastAsia" w:ascii="宋体" w:hAnsi="宋体"/>
                <w:color w:val="auto"/>
              </w:rPr>
              <w:t>气相色谱仪</w:t>
            </w:r>
          </w:p>
        </w:tc>
        <w:tc>
          <w:tcPr>
            <w:tcW w:w="1376" w:type="pct"/>
            <w:shd w:val="clear" w:color="auto" w:fill="auto"/>
            <w:vAlign w:val="center"/>
          </w:tcPr>
          <w:p w14:paraId="72ECF789">
            <w:pPr>
              <w:widowControl/>
              <w:jc w:val="center"/>
              <w:rPr>
                <w:rFonts w:ascii="宋体" w:hAnsi="宋体"/>
                <w:color w:val="auto"/>
              </w:rPr>
            </w:pPr>
            <w:r>
              <w:rPr>
                <w:rFonts w:hint="eastAsia" w:ascii="宋体" w:hAnsi="宋体"/>
                <w:color w:val="auto"/>
              </w:rPr>
              <w:t>GC-7900</w:t>
            </w:r>
          </w:p>
        </w:tc>
        <w:tc>
          <w:tcPr>
            <w:tcW w:w="1155" w:type="pct"/>
            <w:shd w:val="clear" w:color="auto" w:fill="auto"/>
            <w:vAlign w:val="center"/>
          </w:tcPr>
          <w:p w14:paraId="47BE60C4">
            <w:pPr>
              <w:widowControl/>
              <w:jc w:val="center"/>
              <w:rPr>
                <w:rFonts w:ascii="宋体" w:hAnsi="宋体"/>
                <w:color w:val="auto"/>
              </w:rPr>
            </w:pPr>
            <w:r>
              <w:rPr>
                <w:rFonts w:hint="eastAsia" w:ascii="宋体" w:hAnsi="宋体"/>
                <w:color w:val="auto"/>
              </w:rPr>
              <w:t>LP-S-042</w:t>
            </w:r>
          </w:p>
        </w:tc>
      </w:tr>
      <w:tr w14:paraId="225D6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3CCF6F15">
            <w:pPr>
              <w:widowControl/>
              <w:jc w:val="center"/>
              <w:rPr>
                <w:rFonts w:ascii="宋体" w:hAnsi="宋体"/>
                <w:color w:val="auto"/>
              </w:rPr>
            </w:pPr>
            <w:r>
              <w:rPr>
                <w:rFonts w:hint="eastAsia" w:ascii="宋体" w:hAnsi="宋体"/>
                <w:color w:val="auto"/>
              </w:rPr>
              <w:t>2</w:t>
            </w:r>
          </w:p>
        </w:tc>
        <w:tc>
          <w:tcPr>
            <w:tcW w:w="1992" w:type="pct"/>
            <w:shd w:val="clear" w:color="auto" w:fill="auto"/>
            <w:vAlign w:val="center"/>
          </w:tcPr>
          <w:p w14:paraId="5B476B3C">
            <w:pPr>
              <w:widowControl/>
              <w:jc w:val="center"/>
              <w:rPr>
                <w:rFonts w:ascii="宋体" w:hAnsi="宋体"/>
                <w:color w:val="auto"/>
              </w:rPr>
            </w:pPr>
            <w:r>
              <w:rPr>
                <w:rFonts w:hint="eastAsia" w:ascii="宋体" w:hAnsi="宋体"/>
                <w:color w:val="auto"/>
              </w:rPr>
              <w:t>气相-质谱联用仪</w:t>
            </w:r>
          </w:p>
        </w:tc>
        <w:tc>
          <w:tcPr>
            <w:tcW w:w="1376" w:type="pct"/>
            <w:shd w:val="clear" w:color="auto" w:fill="auto"/>
            <w:vAlign w:val="center"/>
          </w:tcPr>
          <w:p w14:paraId="127C1664">
            <w:pPr>
              <w:widowControl/>
              <w:jc w:val="center"/>
              <w:rPr>
                <w:rFonts w:ascii="宋体" w:hAnsi="宋体"/>
                <w:color w:val="auto"/>
              </w:rPr>
            </w:pPr>
            <w:r>
              <w:rPr>
                <w:rFonts w:hint="eastAsia" w:ascii="宋体" w:hAnsi="宋体"/>
                <w:color w:val="auto"/>
              </w:rPr>
              <w:t>TRACE 1310-ISQ QD300</w:t>
            </w:r>
          </w:p>
        </w:tc>
        <w:tc>
          <w:tcPr>
            <w:tcW w:w="1155" w:type="pct"/>
            <w:shd w:val="clear" w:color="auto" w:fill="auto"/>
            <w:vAlign w:val="center"/>
          </w:tcPr>
          <w:p w14:paraId="2D161498">
            <w:pPr>
              <w:widowControl/>
              <w:jc w:val="center"/>
              <w:rPr>
                <w:rFonts w:ascii="宋体" w:hAnsi="宋体"/>
                <w:color w:val="auto"/>
              </w:rPr>
            </w:pPr>
            <w:r>
              <w:rPr>
                <w:rFonts w:hint="eastAsia" w:ascii="宋体" w:hAnsi="宋体"/>
                <w:color w:val="auto"/>
              </w:rPr>
              <w:t>LP-S-040</w:t>
            </w:r>
          </w:p>
        </w:tc>
      </w:tr>
      <w:tr w14:paraId="7F305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A6BE002">
            <w:pPr>
              <w:jc w:val="center"/>
              <w:rPr>
                <w:rFonts w:ascii="宋体" w:hAnsi="宋体"/>
                <w:color w:val="auto"/>
              </w:rPr>
            </w:pPr>
            <w:r>
              <w:rPr>
                <w:rFonts w:hint="eastAsia" w:ascii="宋体" w:hAnsi="宋体"/>
                <w:color w:val="auto"/>
              </w:rPr>
              <w:t>3</w:t>
            </w:r>
          </w:p>
        </w:tc>
        <w:tc>
          <w:tcPr>
            <w:tcW w:w="1992" w:type="pct"/>
            <w:shd w:val="clear" w:color="auto" w:fill="auto"/>
            <w:vAlign w:val="center"/>
          </w:tcPr>
          <w:p w14:paraId="383FFB79">
            <w:pPr>
              <w:widowControl/>
              <w:jc w:val="center"/>
              <w:rPr>
                <w:rFonts w:ascii="宋体" w:hAnsi="宋体"/>
                <w:color w:val="auto"/>
              </w:rPr>
            </w:pPr>
            <w:r>
              <w:rPr>
                <w:rFonts w:hint="eastAsia" w:ascii="宋体" w:hAnsi="宋体"/>
                <w:color w:val="auto"/>
              </w:rPr>
              <w:t>电子天平</w:t>
            </w:r>
          </w:p>
        </w:tc>
        <w:tc>
          <w:tcPr>
            <w:tcW w:w="1376" w:type="pct"/>
            <w:shd w:val="clear" w:color="auto" w:fill="auto"/>
            <w:vAlign w:val="center"/>
          </w:tcPr>
          <w:p w14:paraId="7C934BEC">
            <w:pPr>
              <w:widowControl/>
              <w:jc w:val="center"/>
              <w:rPr>
                <w:rFonts w:ascii="宋体" w:hAnsi="宋体"/>
                <w:color w:val="auto"/>
              </w:rPr>
            </w:pPr>
            <w:r>
              <w:rPr>
                <w:rFonts w:hint="eastAsia" w:ascii="宋体" w:hAnsi="宋体"/>
                <w:color w:val="auto"/>
              </w:rPr>
              <w:t>GL2204B</w:t>
            </w:r>
          </w:p>
        </w:tc>
        <w:tc>
          <w:tcPr>
            <w:tcW w:w="1155" w:type="pct"/>
            <w:shd w:val="clear" w:color="auto" w:fill="auto"/>
            <w:vAlign w:val="center"/>
          </w:tcPr>
          <w:p w14:paraId="0C30404F">
            <w:pPr>
              <w:widowControl/>
              <w:jc w:val="center"/>
              <w:rPr>
                <w:rFonts w:ascii="宋体" w:hAnsi="宋体"/>
                <w:color w:val="auto"/>
              </w:rPr>
            </w:pPr>
            <w:r>
              <w:rPr>
                <w:rFonts w:hint="eastAsia" w:ascii="宋体" w:hAnsi="宋体"/>
                <w:color w:val="auto"/>
              </w:rPr>
              <w:t>LP-S-126</w:t>
            </w:r>
          </w:p>
        </w:tc>
      </w:tr>
      <w:tr w14:paraId="756AD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40CC598">
            <w:pPr>
              <w:jc w:val="center"/>
              <w:rPr>
                <w:rFonts w:ascii="宋体" w:hAnsi="宋体"/>
                <w:color w:val="auto"/>
              </w:rPr>
            </w:pPr>
            <w:r>
              <w:rPr>
                <w:rFonts w:hint="eastAsia" w:ascii="宋体" w:hAnsi="宋体"/>
                <w:color w:val="auto"/>
              </w:rPr>
              <w:t>4</w:t>
            </w:r>
          </w:p>
        </w:tc>
        <w:tc>
          <w:tcPr>
            <w:tcW w:w="1992" w:type="pct"/>
            <w:shd w:val="clear" w:color="auto" w:fill="auto"/>
            <w:vAlign w:val="center"/>
          </w:tcPr>
          <w:p w14:paraId="5CF37BA6">
            <w:pPr>
              <w:widowControl/>
              <w:jc w:val="center"/>
              <w:rPr>
                <w:rFonts w:ascii="宋体" w:hAnsi="宋体"/>
                <w:color w:val="auto"/>
              </w:rPr>
            </w:pPr>
            <w:r>
              <w:rPr>
                <w:rFonts w:ascii="宋体" w:hAnsi="宋体"/>
                <w:color w:val="auto"/>
              </w:rPr>
              <w:t>电子精密天平</w:t>
            </w:r>
          </w:p>
        </w:tc>
        <w:tc>
          <w:tcPr>
            <w:tcW w:w="1376" w:type="pct"/>
            <w:shd w:val="clear" w:color="auto" w:fill="auto"/>
            <w:vAlign w:val="center"/>
          </w:tcPr>
          <w:p w14:paraId="335D71CE">
            <w:pPr>
              <w:widowControl/>
              <w:jc w:val="center"/>
              <w:rPr>
                <w:rFonts w:ascii="宋体" w:hAnsi="宋体"/>
                <w:color w:val="auto"/>
              </w:rPr>
            </w:pPr>
            <w:r>
              <w:rPr>
                <w:rFonts w:ascii="宋体" w:hAnsi="宋体"/>
                <w:color w:val="auto"/>
              </w:rPr>
              <w:t>JA21002</w:t>
            </w:r>
          </w:p>
        </w:tc>
        <w:tc>
          <w:tcPr>
            <w:tcW w:w="1155" w:type="pct"/>
            <w:shd w:val="clear" w:color="auto" w:fill="auto"/>
            <w:vAlign w:val="center"/>
          </w:tcPr>
          <w:p w14:paraId="6454634B">
            <w:pPr>
              <w:widowControl/>
              <w:jc w:val="center"/>
              <w:rPr>
                <w:rFonts w:ascii="宋体" w:hAnsi="宋体"/>
                <w:color w:val="auto"/>
              </w:rPr>
            </w:pPr>
            <w:r>
              <w:rPr>
                <w:rFonts w:ascii="宋体" w:hAnsi="宋体"/>
                <w:color w:val="auto"/>
              </w:rPr>
              <w:t>LP-S-064</w:t>
            </w:r>
          </w:p>
        </w:tc>
      </w:tr>
      <w:tr w14:paraId="7D353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6615CD56">
            <w:pPr>
              <w:jc w:val="center"/>
              <w:rPr>
                <w:rFonts w:ascii="宋体" w:hAnsi="宋体"/>
                <w:color w:val="auto"/>
              </w:rPr>
            </w:pPr>
            <w:r>
              <w:rPr>
                <w:rFonts w:hint="eastAsia" w:ascii="宋体" w:hAnsi="宋体"/>
                <w:color w:val="auto"/>
              </w:rPr>
              <w:t>5</w:t>
            </w:r>
          </w:p>
        </w:tc>
        <w:tc>
          <w:tcPr>
            <w:tcW w:w="1992" w:type="pct"/>
            <w:shd w:val="clear" w:color="auto" w:fill="auto"/>
            <w:vAlign w:val="center"/>
          </w:tcPr>
          <w:p w14:paraId="6EDC58D1">
            <w:pPr>
              <w:widowControl/>
              <w:jc w:val="center"/>
              <w:rPr>
                <w:rFonts w:ascii="宋体" w:hAnsi="宋体"/>
                <w:color w:val="auto"/>
              </w:rPr>
            </w:pPr>
            <w:r>
              <w:rPr>
                <w:rFonts w:hint="eastAsia" w:ascii="宋体" w:hAnsi="宋体"/>
                <w:color w:val="auto"/>
              </w:rPr>
              <w:t>电子天平</w:t>
            </w:r>
          </w:p>
        </w:tc>
        <w:tc>
          <w:tcPr>
            <w:tcW w:w="1376" w:type="pct"/>
            <w:shd w:val="clear" w:color="auto" w:fill="auto"/>
            <w:vAlign w:val="center"/>
          </w:tcPr>
          <w:p w14:paraId="1E5F4094">
            <w:pPr>
              <w:widowControl/>
              <w:jc w:val="center"/>
              <w:rPr>
                <w:rFonts w:ascii="宋体" w:hAnsi="宋体"/>
                <w:color w:val="auto"/>
              </w:rPr>
            </w:pPr>
            <w:r>
              <w:rPr>
                <w:rFonts w:hint="eastAsia" w:ascii="宋体" w:hAnsi="宋体"/>
                <w:color w:val="auto"/>
              </w:rPr>
              <w:t>JA21002</w:t>
            </w:r>
          </w:p>
        </w:tc>
        <w:tc>
          <w:tcPr>
            <w:tcW w:w="1155" w:type="pct"/>
            <w:shd w:val="clear" w:color="auto" w:fill="auto"/>
            <w:vAlign w:val="center"/>
          </w:tcPr>
          <w:p w14:paraId="3018C879">
            <w:pPr>
              <w:widowControl/>
              <w:jc w:val="center"/>
              <w:rPr>
                <w:rFonts w:ascii="宋体" w:hAnsi="宋体"/>
                <w:color w:val="auto"/>
              </w:rPr>
            </w:pPr>
            <w:r>
              <w:rPr>
                <w:rFonts w:hint="eastAsia" w:ascii="宋体" w:hAnsi="宋体"/>
                <w:color w:val="auto"/>
              </w:rPr>
              <w:t>LP-S-021</w:t>
            </w:r>
          </w:p>
        </w:tc>
      </w:tr>
      <w:tr w14:paraId="6D119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8BDAA29">
            <w:pPr>
              <w:jc w:val="center"/>
              <w:rPr>
                <w:rFonts w:ascii="宋体" w:hAnsi="宋体"/>
                <w:color w:val="auto"/>
              </w:rPr>
            </w:pPr>
            <w:r>
              <w:rPr>
                <w:rFonts w:hint="eastAsia" w:ascii="宋体" w:hAnsi="宋体"/>
                <w:color w:val="auto"/>
              </w:rPr>
              <w:t>6</w:t>
            </w:r>
          </w:p>
        </w:tc>
        <w:tc>
          <w:tcPr>
            <w:tcW w:w="1992" w:type="pct"/>
            <w:shd w:val="clear" w:color="auto" w:fill="auto"/>
            <w:vAlign w:val="center"/>
          </w:tcPr>
          <w:p w14:paraId="4D1EA49C">
            <w:pPr>
              <w:jc w:val="center"/>
              <w:rPr>
                <w:rFonts w:ascii="宋体" w:hAnsi="宋体"/>
                <w:color w:val="auto"/>
              </w:rPr>
            </w:pPr>
            <w:r>
              <w:rPr>
                <w:rFonts w:hint="eastAsia" w:ascii="宋体" w:hAnsi="宋体"/>
                <w:color w:val="auto"/>
              </w:rPr>
              <w:t>气质联用仪</w:t>
            </w:r>
          </w:p>
        </w:tc>
        <w:tc>
          <w:tcPr>
            <w:tcW w:w="1376" w:type="pct"/>
            <w:shd w:val="clear" w:color="auto" w:fill="auto"/>
            <w:vAlign w:val="center"/>
          </w:tcPr>
          <w:p w14:paraId="4C51E27F">
            <w:pPr>
              <w:jc w:val="center"/>
              <w:rPr>
                <w:rFonts w:ascii="宋体" w:hAnsi="宋体"/>
                <w:color w:val="auto"/>
              </w:rPr>
            </w:pPr>
            <w:r>
              <w:rPr>
                <w:rFonts w:hint="eastAsia" w:ascii="宋体" w:hAnsi="宋体"/>
                <w:color w:val="auto"/>
              </w:rPr>
              <w:t>I</w:t>
            </w:r>
            <w:r>
              <w:rPr>
                <w:rFonts w:ascii="宋体" w:hAnsi="宋体"/>
                <w:color w:val="auto"/>
              </w:rPr>
              <w:t>SQ7000</w:t>
            </w:r>
            <w:r>
              <w:rPr>
                <w:rFonts w:hint="eastAsia" w:ascii="宋体" w:hAnsi="宋体"/>
                <w:color w:val="auto"/>
              </w:rPr>
              <w:t>、</w:t>
            </w:r>
            <w:r>
              <w:rPr>
                <w:rFonts w:ascii="宋体" w:hAnsi="宋体"/>
                <w:color w:val="auto"/>
              </w:rPr>
              <w:t>TRACE 1300</w:t>
            </w:r>
          </w:p>
        </w:tc>
        <w:tc>
          <w:tcPr>
            <w:tcW w:w="1155" w:type="pct"/>
            <w:shd w:val="clear" w:color="auto" w:fill="auto"/>
            <w:vAlign w:val="center"/>
          </w:tcPr>
          <w:p w14:paraId="5D231AB9">
            <w:pPr>
              <w:jc w:val="center"/>
              <w:rPr>
                <w:rFonts w:ascii="宋体" w:hAnsi="宋体"/>
                <w:color w:val="auto"/>
              </w:rPr>
            </w:pPr>
            <w:r>
              <w:rPr>
                <w:rFonts w:hint="eastAsia" w:ascii="宋体" w:hAnsi="宋体"/>
                <w:color w:val="auto"/>
              </w:rPr>
              <w:t>L</w:t>
            </w:r>
            <w:r>
              <w:rPr>
                <w:rFonts w:ascii="宋体" w:hAnsi="宋体"/>
                <w:color w:val="auto"/>
              </w:rPr>
              <w:t>P-S-109</w:t>
            </w:r>
          </w:p>
        </w:tc>
      </w:tr>
      <w:tr w14:paraId="0DD04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0840B873">
            <w:pPr>
              <w:jc w:val="center"/>
              <w:rPr>
                <w:rFonts w:ascii="宋体" w:hAnsi="宋体"/>
                <w:color w:val="auto"/>
              </w:rPr>
            </w:pPr>
            <w:r>
              <w:rPr>
                <w:rFonts w:hint="eastAsia" w:ascii="宋体" w:hAnsi="宋体"/>
                <w:color w:val="auto"/>
              </w:rPr>
              <w:t>7</w:t>
            </w:r>
          </w:p>
        </w:tc>
        <w:tc>
          <w:tcPr>
            <w:tcW w:w="1992" w:type="pct"/>
            <w:shd w:val="clear" w:color="auto" w:fill="auto"/>
            <w:vAlign w:val="center"/>
          </w:tcPr>
          <w:p w14:paraId="3F791158">
            <w:pPr>
              <w:widowControl/>
              <w:jc w:val="center"/>
              <w:rPr>
                <w:rFonts w:ascii="宋体" w:hAnsi="宋体"/>
                <w:color w:val="auto"/>
              </w:rPr>
            </w:pPr>
            <w:r>
              <w:rPr>
                <w:rFonts w:ascii="宋体" w:hAnsi="宋体"/>
                <w:color w:val="auto"/>
              </w:rPr>
              <w:t>石墨炉原子吸收光谱仪</w:t>
            </w:r>
          </w:p>
        </w:tc>
        <w:tc>
          <w:tcPr>
            <w:tcW w:w="1376" w:type="pct"/>
            <w:shd w:val="clear" w:color="auto" w:fill="auto"/>
            <w:vAlign w:val="center"/>
          </w:tcPr>
          <w:p w14:paraId="6E74CB80">
            <w:pPr>
              <w:widowControl/>
              <w:jc w:val="center"/>
              <w:rPr>
                <w:rFonts w:ascii="宋体" w:hAnsi="宋体"/>
                <w:color w:val="auto"/>
              </w:rPr>
            </w:pPr>
            <w:r>
              <w:rPr>
                <w:rFonts w:ascii="宋体" w:hAnsi="宋体"/>
                <w:color w:val="auto"/>
              </w:rPr>
              <w:t>iCE 3400</w:t>
            </w:r>
          </w:p>
        </w:tc>
        <w:tc>
          <w:tcPr>
            <w:tcW w:w="1155" w:type="pct"/>
            <w:shd w:val="clear" w:color="auto" w:fill="auto"/>
            <w:vAlign w:val="center"/>
          </w:tcPr>
          <w:p w14:paraId="29BBE3FB">
            <w:pPr>
              <w:widowControl/>
              <w:jc w:val="center"/>
              <w:rPr>
                <w:rFonts w:ascii="宋体" w:hAnsi="宋体"/>
                <w:color w:val="auto"/>
              </w:rPr>
            </w:pPr>
            <w:r>
              <w:rPr>
                <w:rFonts w:ascii="宋体" w:hAnsi="宋体"/>
                <w:color w:val="auto"/>
              </w:rPr>
              <w:t>LP-S-035</w:t>
            </w:r>
          </w:p>
        </w:tc>
      </w:tr>
      <w:tr w14:paraId="1B483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0A13812">
            <w:pPr>
              <w:jc w:val="center"/>
              <w:rPr>
                <w:rFonts w:ascii="宋体" w:hAnsi="宋体"/>
                <w:color w:val="auto"/>
              </w:rPr>
            </w:pPr>
            <w:r>
              <w:rPr>
                <w:rFonts w:hint="eastAsia" w:ascii="宋体" w:hAnsi="宋体"/>
                <w:color w:val="auto"/>
              </w:rPr>
              <w:t>8</w:t>
            </w:r>
          </w:p>
        </w:tc>
        <w:tc>
          <w:tcPr>
            <w:tcW w:w="1992" w:type="pct"/>
            <w:shd w:val="clear" w:color="auto" w:fill="auto"/>
            <w:vAlign w:val="center"/>
          </w:tcPr>
          <w:p w14:paraId="6F54235E">
            <w:pPr>
              <w:widowControl/>
              <w:jc w:val="center"/>
              <w:rPr>
                <w:rFonts w:ascii="宋体" w:hAnsi="宋体"/>
                <w:color w:val="auto"/>
              </w:rPr>
            </w:pPr>
            <w:r>
              <w:rPr>
                <w:rFonts w:ascii="宋体" w:hAnsi="宋体"/>
                <w:color w:val="auto"/>
              </w:rPr>
              <w:t>原子吸收分光光度计（火焰）</w:t>
            </w:r>
          </w:p>
        </w:tc>
        <w:tc>
          <w:tcPr>
            <w:tcW w:w="1376" w:type="pct"/>
            <w:shd w:val="clear" w:color="auto" w:fill="auto"/>
            <w:vAlign w:val="center"/>
          </w:tcPr>
          <w:p w14:paraId="7B189412">
            <w:pPr>
              <w:widowControl/>
              <w:jc w:val="center"/>
              <w:rPr>
                <w:rFonts w:ascii="宋体" w:hAnsi="宋体"/>
                <w:color w:val="auto"/>
              </w:rPr>
            </w:pPr>
            <w:r>
              <w:rPr>
                <w:rFonts w:ascii="宋体" w:hAnsi="宋体"/>
                <w:color w:val="auto"/>
              </w:rPr>
              <w:t>TAS-990F</w:t>
            </w:r>
          </w:p>
        </w:tc>
        <w:tc>
          <w:tcPr>
            <w:tcW w:w="1155" w:type="pct"/>
            <w:shd w:val="clear" w:color="auto" w:fill="auto"/>
            <w:vAlign w:val="center"/>
          </w:tcPr>
          <w:p w14:paraId="16D3A758">
            <w:pPr>
              <w:widowControl/>
              <w:jc w:val="center"/>
              <w:rPr>
                <w:rFonts w:ascii="宋体" w:hAnsi="宋体"/>
                <w:color w:val="auto"/>
              </w:rPr>
            </w:pPr>
            <w:r>
              <w:rPr>
                <w:rFonts w:ascii="宋体" w:hAnsi="宋体"/>
                <w:color w:val="auto"/>
              </w:rPr>
              <w:t>LP-S-037</w:t>
            </w:r>
          </w:p>
        </w:tc>
      </w:tr>
      <w:tr w14:paraId="4E58D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389C258">
            <w:pPr>
              <w:jc w:val="center"/>
              <w:rPr>
                <w:rFonts w:ascii="宋体" w:hAnsi="宋体"/>
                <w:color w:val="auto"/>
              </w:rPr>
            </w:pPr>
            <w:r>
              <w:rPr>
                <w:rFonts w:hint="eastAsia" w:ascii="宋体" w:hAnsi="宋体"/>
                <w:color w:val="auto"/>
              </w:rPr>
              <w:t>9</w:t>
            </w:r>
          </w:p>
        </w:tc>
        <w:tc>
          <w:tcPr>
            <w:tcW w:w="1992" w:type="pct"/>
            <w:shd w:val="clear" w:color="auto" w:fill="auto"/>
            <w:vAlign w:val="center"/>
          </w:tcPr>
          <w:p w14:paraId="10B0B71C">
            <w:pPr>
              <w:widowControl/>
              <w:jc w:val="center"/>
              <w:rPr>
                <w:rFonts w:ascii="宋体" w:hAnsi="宋体"/>
                <w:color w:val="auto"/>
              </w:rPr>
            </w:pPr>
            <w:r>
              <w:rPr>
                <w:rFonts w:ascii="宋体" w:hAnsi="宋体"/>
                <w:color w:val="auto"/>
              </w:rPr>
              <w:t>原子荧光光度计</w:t>
            </w:r>
          </w:p>
        </w:tc>
        <w:tc>
          <w:tcPr>
            <w:tcW w:w="1376" w:type="pct"/>
            <w:shd w:val="clear" w:color="auto" w:fill="auto"/>
            <w:vAlign w:val="center"/>
          </w:tcPr>
          <w:p w14:paraId="7124A032">
            <w:pPr>
              <w:widowControl/>
              <w:jc w:val="center"/>
              <w:rPr>
                <w:rFonts w:ascii="宋体" w:hAnsi="宋体"/>
                <w:color w:val="auto"/>
              </w:rPr>
            </w:pPr>
            <w:r>
              <w:rPr>
                <w:rFonts w:ascii="宋体" w:hAnsi="宋体"/>
                <w:color w:val="auto"/>
              </w:rPr>
              <w:t>AFS-8230</w:t>
            </w:r>
          </w:p>
        </w:tc>
        <w:tc>
          <w:tcPr>
            <w:tcW w:w="1155" w:type="pct"/>
            <w:shd w:val="clear" w:color="auto" w:fill="auto"/>
            <w:vAlign w:val="center"/>
          </w:tcPr>
          <w:p w14:paraId="528BC333">
            <w:pPr>
              <w:widowControl/>
              <w:jc w:val="center"/>
              <w:rPr>
                <w:rFonts w:ascii="宋体" w:hAnsi="宋体"/>
                <w:color w:val="auto"/>
              </w:rPr>
            </w:pPr>
            <w:r>
              <w:rPr>
                <w:rFonts w:ascii="宋体" w:hAnsi="宋体"/>
                <w:color w:val="auto"/>
              </w:rPr>
              <w:t>LP-S-038</w:t>
            </w:r>
          </w:p>
        </w:tc>
      </w:tr>
      <w:tr w14:paraId="330D6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7386E0A1">
            <w:pPr>
              <w:jc w:val="center"/>
              <w:rPr>
                <w:rFonts w:ascii="宋体" w:hAnsi="宋体"/>
                <w:color w:val="auto"/>
              </w:rPr>
            </w:pPr>
            <w:r>
              <w:rPr>
                <w:rFonts w:hint="eastAsia" w:ascii="宋体" w:hAnsi="宋体"/>
                <w:color w:val="auto"/>
              </w:rPr>
              <w:t>1</w:t>
            </w:r>
            <w:r>
              <w:rPr>
                <w:rFonts w:ascii="宋体" w:hAnsi="宋体"/>
                <w:color w:val="auto"/>
              </w:rPr>
              <w:t>0</w:t>
            </w:r>
          </w:p>
        </w:tc>
        <w:tc>
          <w:tcPr>
            <w:tcW w:w="1992" w:type="pct"/>
            <w:shd w:val="clear" w:color="auto" w:fill="auto"/>
            <w:vAlign w:val="center"/>
          </w:tcPr>
          <w:p w14:paraId="4946AEC5">
            <w:pPr>
              <w:widowControl/>
              <w:jc w:val="center"/>
              <w:rPr>
                <w:rFonts w:ascii="宋体" w:hAnsi="宋体"/>
                <w:color w:val="auto"/>
              </w:rPr>
            </w:pPr>
            <w:r>
              <w:rPr>
                <w:rFonts w:hint="eastAsia" w:ascii="宋体" w:hAnsi="宋体"/>
                <w:color w:val="auto"/>
              </w:rPr>
              <w:t>紫外/可见分光光度计</w:t>
            </w:r>
          </w:p>
        </w:tc>
        <w:tc>
          <w:tcPr>
            <w:tcW w:w="1376" w:type="pct"/>
            <w:shd w:val="clear" w:color="auto" w:fill="auto"/>
            <w:vAlign w:val="center"/>
          </w:tcPr>
          <w:p w14:paraId="3B0CF5E6">
            <w:pPr>
              <w:widowControl/>
              <w:jc w:val="center"/>
              <w:rPr>
                <w:rFonts w:ascii="宋体" w:hAnsi="宋体"/>
                <w:color w:val="auto"/>
              </w:rPr>
            </w:pPr>
            <w:r>
              <w:rPr>
                <w:rFonts w:hint="eastAsia" w:ascii="宋体" w:hAnsi="宋体"/>
                <w:color w:val="auto"/>
              </w:rPr>
              <w:t>U</w:t>
            </w:r>
            <w:r>
              <w:rPr>
                <w:rFonts w:ascii="宋体" w:hAnsi="宋体"/>
                <w:color w:val="auto"/>
              </w:rPr>
              <w:t>V-1800</w:t>
            </w:r>
          </w:p>
        </w:tc>
        <w:tc>
          <w:tcPr>
            <w:tcW w:w="1155" w:type="pct"/>
            <w:shd w:val="clear" w:color="auto" w:fill="auto"/>
            <w:vAlign w:val="center"/>
          </w:tcPr>
          <w:p w14:paraId="4DDDCBB4">
            <w:pPr>
              <w:widowControl/>
              <w:jc w:val="center"/>
              <w:rPr>
                <w:rFonts w:ascii="宋体" w:hAnsi="宋体"/>
                <w:color w:val="auto"/>
              </w:rPr>
            </w:pPr>
            <w:r>
              <w:rPr>
                <w:rFonts w:ascii="宋体" w:hAnsi="宋体"/>
                <w:color w:val="auto"/>
              </w:rPr>
              <w:t>LP-S-090</w:t>
            </w:r>
          </w:p>
        </w:tc>
      </w:tr>
      <w:tr w14:paraId="4A60F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65D942AA">
            <w:pPr>
              <w:jc w:val="center"/>
              <w:rPr>
                <w:rFonts w:ascii="宋体" w:hAnsi="宋体"/>
                <w:color w:val="auto"/>
              </w:rPr>
            </w:pPr>
            <w:r>
              <w:rPr>
                <w:rFonts w:hint="eastAsia" w:ascii="宋体" w:hAnsi="宋体"/>
                <w:color w:val="auto"/>
              </w:rPr>
              <w:t>1</w:t>
            </w:r>
            <w:r>
              <w:rPr>
                <w:rFonts w:ascii="宋体" w:hAnsi="宋体"/>
                <w:color w:val="auto"/>
              </w:rPr>
              <w:t>1</w:t>
            </w:r>
          </w:p>
        </w:tc>
        <w:tc>
          <w:tcPr>
            <w:tcW w:w="1992" w:type="pct"/>
            <w:shd w:val="clear" w:color="auto" w:fill="auto"/>
            <w:vAlign w:val="center"/>
          </w:tcPr>
          <w:p w14:paraId="010F57EB">
            <w:pPr>
              <w:widowControl/>
              <w:jc w:val="center"/>
              <w:rPr>
                <w:rFonts w:ascii="宋体" w:hAnsi="宋体"/>
                <w:color w:val="auto"/>
              </w:rPr>
            </w:pPr>
            <w:r>
              <w:rPr>
                <w:rFonts w:hint="eastAsia" w:ascii="宋体" w:hAnsi="宋体"/>
                <w:color w:val="auto"/>
              </w:rPr>
              <w:t>紫外/可见分光光度计</w:t>
            </w:r>
          </w:p>
        </w:tc>
        <w:tc>
          <w:tcPr>
            <w:tcW w:w="1376" w:type="pct"/>
            <w:shd w:val="clear" w:color="auto" w:fill="auto"/>
            <w:vAlign w:val="center"/>
          </w:tcPr>
          <w:p w14:paraId="7876EF92">
            <w:pPr>
              <w:widowControl/>
              <w:jc w:val="center"/>
              <w:rPr>
                <w:rFonts w:ascii="宋体" w:hAnsi="宋体"/>
                <w:color w:val="auto"/>
              </w:rPr>
            </w:pPr>
            <w:r>
              <w:rPr>
                <w:rFonts w:hint="eastAsia" w:ascii="宋体" w:hAnsi="宋体"/>
                <w:color w:val="auto"/>
              </w:rPr>
              <w:t>TU1810PC</w:t>
            </w:r>
          </w:p>
        </w:tc>
        <w:tc>
          <w:tcPr>
            <w:tcW w:w="1155" w:type="pct"/>
            <w:shd w:val="clear" w:color="auto" w:fill="auto"/>
            <w:vAlign w:val="center"/>
          </w:tcPr>
          <w:p w14:paraId="76AC1338">
            <w:pPr>
              <w:widowControl/>
              <w:jc w:val="center"/>
              <w:rPr>
                <w:rFonts w:ascii="宋体" w:hAnsi="宋体"/>
                <w:color w:val="auto"/>
              </w:rPr>
            </w:pPr>
            <w:r>
              <w:rPr>
                <w:rFonts w:hint="eastAsia" w:ascii="宋体" w:hAnsi="宋体"/>
                <w:color w:val="auto"/>
              </w:rPr>
              <w:t>LP-S-004</w:t>
            </w:r>
          </w:p>
        </w:tc>
      </w:tr>
      <w:tr w14:paraId="34BEC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2E70B30C">
            <w:pPr>
              <w:jc w:val="center"/>
              <w:rPr>
                <w:rFonts w:ascii="宋体" w:hAnsi="宋体"/>
                <w:color w:val="auto"/>
              </w:rPr>
            </w:pPr>
            <w:r>
              <w:rPr>
                <w:rFonts w:hint="eastAsia" w:ascii="宋体" w:hAnsi="宋体"/>
                <w:color w:val="auto"/>
              </w:rPr>
              <w:t>1</w:t>
            </w:r>
            <w:r>
              <w:rPr>
                <w:rFonts w:ascii="宋体" w:hAnsi="宋体"/>
                <w:color w:val="auto"/>
              </w:rPr>
              <w:t>2</w:t>
            </w:r>
          </w:p>
        </w:tc>
        <w:tc>
          <w:tcPr>
            <w:tcW w:w="1992" w:type="pct"/>
            <w:shd w:val="clear" w:color="auto" w:fill="auto"/>
            <w:vAlign w:val="center"/>
          </w:tcPr>
          <w:p w14:paraId="403BEA4D">
            <w:pPr>
              <w:widowControl/>
              <w:jc w:val="center"/>
              <w:rPr>
                <w:rFonts w:ascii="宋体" w:hAnsi="宋体"/>
                <w:color w:val="auto"/>
              </w:rPr>
            </w:pPr>
            <w:r>
              <w:rPr>
                <w:rFonts w:hint="eastAsia" w:ascii="宋体" w:hAnsi="宋体"/>
                <w:color w:val="auto"/>
              </w:rPr>
              <w:t>气相色谱仪</w:t>
            </w:r>
          </w:p>
        </w:tc>
        <w:tc>
          <w:tcPr>
            <w:tcW w:w="1376" w:type="pct"/>
            <w:shd w:val="clear" w:color="auto" w:fill="auto"/>
            <w:vAlign w:val="center"/>
          </w:tcPr>
          <w:p w14:paraId="6A1F8D31">
            <w:pPr>
              <w:widowControl/>
              <w:jc w:val="center"/>
              <w:rPr>
                <w:rFonts w:ascii="宋体" w:hAnsi="宋体"/>
                <w:color w:val="auto"/>
              </w:rPr>
            </w:pPr>
            <w:r>
              <w:rPr>
                <w:rFonts w:hint="eastAsia" w:ascii="宋体" w:hAnsi="宋体"/>
                <w:color w:val="auto"/>
              </w:rPr>
              <w:t>TRACE 13</w:t>
            </w:r>
            <w:r>
              <w:rPr>
                <w:rFonts w:ascii="宋体" w:hAnsi="宋体"/>
                <w:color w:val="auto"/>
              </w:rPr>
              <w:t>10</w:t>
            </w:r>
          </w:p>
        </w:tc>
        <w:tc>
          <w:tcPr>
            <w:tcW w:w="1155" w:type="pct"/>
            <w:shd w:val="clear" w:color="auto" w:fill="auto"/>
            <w:vAlign w:val="center"/>
          </w:tcPr>
          <w:p w14:paraId="17D6043E">
            <w:pPr>
              <w:widowControl/>
              <w:jc w:val="center"/>
              <w:rPr>
                <w:rFonts w:ascii="宋体" w:hAnsi="宋体"/>
                <w:color w:val="auto"/>
              </w:rPr>
            </w:pPr>
            <w:r>
              <w:rPr>
                <w:rFonts w:hint="eastAsia" w:ascii="宋体" w:hAnsi="宋体"/>
                <w:color w:val="auto"/>
              </w:rPr>
              <w:t>LP-S-</w:t>
            </w:r>
            <w:r>
              <w:rPr>
                <w:rFonts w:ascii="宋体" w:hAnsi="宋体"/>
                <w:color w:val="auto"/>
              </w:rPr>
              <w:t>039</w:t>
            </w:r>
          </w:p>
        </w:tc>
      </w:tr>
      <w:tr w14:paraId="43062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20689BE1">
            <w:pPr>
              <w:jc w:val="center"/>
              <w:rPr>
                <w:rFonts w:ascii="宋体" w:hAnsi="宋体"/>
                <w:color w:val="auto"/>
              </w:rPr>
            </w:pPr>
            <w:r>
              <w:rPr>
                <w:rFonts w:hint="eastAsia" w:ascii="宋体" w:hAnsi="宋体"/>
                <w:color w:val="auto"/>
              </w:rPr>
              <w:t>1</w:t>
            </w:r>
            <w:r>
              <w:rPr>
                <w:rFonts w:ascii="宋体" w:hAnsi="宋体"/>
                <w:color w:val="auto"/>
              </w:rPr>
              <w:t>3</w:t>
            </w:r>
          </w:p>
        </w:tc>
        <w:tc>
          <w:tcPr>
            <w:tcW w:w="1992" w:type="pct"/>
            <w:shd w:val="clear" w:color="auto" w:fill="auto"/>
            <w:vAlign w:val="center"/>
          </w:tcPr>
          <w:p w14:paraId="4D16F7C8">
            <w:pPr>
              <w:widowControl/>
              <w:jc w:val="center"/>
              <w:rPr>
                <w:rFonts w:ascii="宋体" w:hAnsi="宋体"/>
                <w:color w:val="auto"/>
              </w:rPr>
            </w:pPr>
            <w:r>
              <w:rPr>
                <w:rFonts w:hint="eastAsia" w:ascii="宋体" w:hAnsi="宋体"/>
                <w:color w:val="auto"/>
              </w:rPr>
              <w:t>电热鼓风干燥箱</w:t>
            </w:r>
          </w:p>
        </w:tc>
        <w:tc>
          <w:tcPr>
            <w:tcW w:w="1376" w:type="pct"/>
            <w:shd w:val="clear" w:color="auto" w:fill="auto"/>
            <w:vAlign w:val="center"/>
          </w:tcPr>
          <w:p w14:paraId="0225CE3A">
            <w:pPr>
              <w:widowControl/>
              <w:jc w:val="center"/>
              <w:rPr>
                <w:rFonts w:ascii="宋体" w:hAnsi="宋体"/>
                <w:color w:val="auto"/>
              </w:rPr>
            </w:pPr>
            <w:r>
              <w:rPr>
                <w:rFonts w:hint="eastAsia" w:ascii="宋体" w:hAnsi="宋体"/>
                <w:color w:val="auto"/>
              </w:rPr>
              <w:t>BGZ-76</w:t>
            </w:r>
          </w:p>
        </w:tc>
        <w:tc>
          <w:tcPr>
            <w:tcW w:w="1155" w:type="pct"/>
            <w:shd w:val="clear" w:color="auto" w:fill="auto"/>
            <w:vAlign w:val="center"/>
          </w:tcPr>
          <w:p w14:paraId="19DD3249">
            <w:pPr>
              <w:widowControl/>
              <w:jc w:val="center"/>
              <w:rPr>
                <w:rFonts w:ascii="宋体" w:hAnsi="宋体"/>
                <w:color w:val="auto"/>
              </w:rPr>
            </w:pPr>
            <w:r>
              <w:rPr>
                <w:rFonts w:hint="eastAsia" w:ascii="宋体" w:hAnsi="宋体"/>
                <w:color w:val="auto"/>
              </w:rPr>
              <w:t>LP-S-029</w:t>
            </w:r>
          </w:p>
        </w:tc>
      </w:tr>
      <w:tr w14:paraId="59639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0A3A4BA">
            <w:pPr>
              <w:jc w:val="center"/>
              <w:rPr>
                <w:rFonts w:ascii="宋体" w:hAnsi="宋体"/>
                <w:color w:val="auto"/>
              </w:rPr>
            </w:pPr>
            <w:r>
              <w:rPr>
                <w:rFonts w:hint="eastAsia" w:ascii="宋体" w:hAnsi="宋体"/>
                <w:color w:val="auto"/>
              </w:rPr>
              <w:t>1</w:t>
            </w:r>
            <w:r>
              <w:rPr>
                <w:rFonts w:ascii="宋体" w:hAnsi="宋体"/>
                <w:color w:val="auto"/>
              </w:rPr>
              <w:t>4</w:t>
            </w:r>
          </w:p>
        </w:tc>
        <w:tc>
          <w:tcPr>
            <w:tcW w:w="1992" w:type="pct"/>
            <w:shd w:val="clear" w:color="auto" w:fill="auto"/>
            <w:vAlign w:val="center"/>
          </w:tcPr>
          <w:p w14:paraId="53F8DCB8">
            <w:pPr>
              <w:widowControl/>
              <w:jc w:val="center"/>
              <w:rPr>
                <w:rFonts w:ascii="宋体" w:hAnsi="宋体"/>
                <w:color w:val="auto"/>
              </w:rPr>
            </w:pPr>
            <w:r>
              <w:rPr>
                <w:rFonts w:hint="eastAsia" w:ascii="宋体" w:hAnsi="宋体"/>
                <w:color w:val="auto"/>
              </w:rPr>
              <w:t>PH计</w:t>
            </w:r>
          </w:p>
        </w:tc>
        <w:tc>
          <w:tcPr>
            <w:tcW w:w="1376" w:type="pct"/>
            <w:shd w:val="clear" w:color="auto" w:fill="auto"/>
            <w:vAlign w:val="center"/>
          </w:tcPr>
          <w:p w14:paraId="7BF6FF95">
            <w:pPr>
              <w:widowControl/>
              <w:jc w:val="center"/>
              <w:rPr>
                <w:rFonts w:ascii="宋体" w:hAnsi="宋体"/>
                <w:color w:val="auto"/>
              </w:rPr>
            </w:pPr>
            <w:r>
              <w:rPr>
                <w:rFonts w:hint="eastAsia" w:ascii="宋体" w:hAnsi="宋体"/>
                <w:color w:val="auto"/>
              </w:rPr>
              <w:t>PHSJ-4A</w:t>
            </w:r>
          </w:p>
        </w:tc>
        <w:tc>
          <w:tcPr>
            <w:tcW w:w="1155" w:type="pct"/>
            <w:shd w:val="clear" w:color="auto" w:fill="auto"/>
            <w:vAlign w:val="center"/>
          </w:tcPr>
          <w:p w14:paraId="02AB6DF0">
            <w:pPr>
              <w:widowControl/>
              <w:jc w:val="center"/>
              <w:rPr>
                <w:rFonts w:ascii="宋体" w:hAnsi="宋体"/>
                <w:color w:val="auto"/>
              </w:rPr>
            </w:pPr>
            <w:r>
              <w:rPr>
                <w:rFonts w:hint="eastAsia" w:ascii="宋体" w:hAnsi="宋体"/>
                <w:color w:val="auto"/>
              </w:rPr>
              <w:t>LP-S-012</w:t>
            </w:r>
          </w:p>
        </w:tc>
      </w:tr>
      <w:tr w14:paraId="452C5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BBF1980">
            <w:pPr>
              <w:jc w:val="center"/>
              <w:rPr>
                <w:rFonts w:ascii="宋体" w:hAnsi="宋体"/>
                <w:color w:val="auto"/>
              </w:rPr>
            </w:pPr>
            <w:r>
              <w:rPr>
                <w:rFonts w:hint="eastAsia" w:ascii="宋体" w:hAnsi="宋体"/>
                <w:color w:val="auto"/>
              </w:rPr>
              <w:t>1</w:t>
            </w:r>
            <w:r>
              <w:rPr>
                <w:rFonts w:ascii="宋体" w:hAnsi="宋体"/>
                <w:color w:val="auto"/>
              </w:rPr>
              <w:t>5</w:t>
            </w:r>
          </w:p>
        </w:tc>
        <w:tc>
          <w:tcPr>
            <w:tcW w:w="1992" w:type="pct"/>
            <w:shd w:val="clear" w:color="auto" w:fill="auto"/>
            <w:vAlign w:val="center"/>
          </w:tcPr>
          <w:p w14:paraId="74072A86">
            <w:pPr>
              <w:widowControl/>
              <w:jc w:val="center"/>
              <w:rPr>
                <w:rFonts w:ascii="宋体" w:hAnsi="宋体"/>
                <w:color w:val="auto"/>
              </w:rPr>
            </w:pPr>
            <w:r>
              <w:rPr>
                <w:rFonts w:hint="eastAsia" w:ascii="宋体" w:hAnsi="宋体"/>
                <w:color w:val="auto"/>
              </w:rPr>
              <w:t>离子活度计</w:t>
            </w:r>
          </w:p>
        </w:tc>
        <w:tc>
          <w:tcPr>
            <w:tcW w:w="1376" w:type="pct"/>
            <w:shd w:val="clear" w:color="auto" w:fill="auto"/>
            <w:vAlign w:val="center"/>
          </w:tcPr>
          <w:p w14:paraId="19BB84CD">
            <w:pPr>
              <w:widowControl/>
              <w:jc w:val="center"/>
              <w:rPr>
                <w:rFonts w:ascii="宋体" w:hAnsi="宋体"/>
                <w:color w:val="auto"/>
              </w:rPr>
            </w:pPr>
            <w:r>
              <w:rPr>
                <w:rFonts w:hint="eastAsia" w:ascii="宋体" w:hAnsi="宋体"/>
                <w:color w:val="auto"/>
              </w:rPr>
              <w:t>PXS</w:t>
            </w:r>
            <w:r>
              <w:rPr>
                <w:rFonts w:ascii="宋体" w:hAnsi="宋体"/>
                <w:color w:val="auto"/>
              </w:rPr>
              <w:t>J</w:t>
            </w:r>
            <w:r>
              <w:rPr>
                <w:rFonts w:hint="eastAsia" w:ascii="宋体" w:hAnsi="宋体"/>
                <w:color w:val="auto"/>
              </w:rPr>
              <w:t>-216</w:t>
            </w:r>
          </w:p>
        </w:tc>
        <w:tc>
          <w:tcPr>
            <w:tcW w:w="1155" w:type="pct"/>
            <w:shd w:val="clear" w:color="auto" w:fill="auto"/>
            <w:vAlign w:val="center"/>
          </w:tcPr>
          <w:p w14:paraId="1E89A640">
            <w:pPr>
              <w:widowControl/>
              <w:jc w:val="center"/>
              <w:rPr>
                <w:rFonts w:ascii="宋体" w:hAnsi="宋体"/>
                <w:color w:val="auto"/>
              </w:rPr>
            </w:pPr>
            <w:r>
              <w:rPr>
                <w:rFonts w:hint="eastAsia" w:ascii="宋体" w:hAnsi="宋体"/>
                <w:color w:val="auto"/>
              </w:rPr>
              <w:t>LP-S-010</w:t>
            </w:r>
          </w:p>
        </w:tc>
      </w:tr>
      <w:tr w14:paraId="2413F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6D79CD84">
            <w:pPr>
              <w:jc w:val="center"/>
              <w:rPr>
                <w:rFonts w:ascii="宋体" w:hAnsi="宋体"/>
                <w:color w:val="auto"/>
              </w:rPr>
            </w:pPr>
            <w:r>
              <w:rPr>
                <w:rFonts w:hint="eastAsia" w:ascii="宋体" w:hAnsi="宋体"/>
                <w:color w:val="auto"/>
              </w:rPr>
              <w:t>1</w:t>
            </w:r>
            <w:r>
              <w:rPr>
                <w:rFonts w:ascii="宋体" w:hAnsi="宋体"/>
                <w:color w:val="auto"/>
              </w:rPr>
              <w:t>6</w:t>
            </w:r>
          </w:p>
        </w:tc>
        <w:tc>
          <w:tcPr>
            <w:tcW w:w="1992" w:type="pct"/>
            <w:shd w:val="clear" w:color="auto" w:fill="auto"/>
            <w:vAlign w:val="center"/>
          </w:tcPr>
          <w:p w14:paraId="206FCB8B">
            <w:pPr>
              <w:widowControl/>
              <w:jc w:val="center"/>
              <w:rPr>
                <w:rFonts w:ascii="宋体" w:hAnsi="宋体"/>
                <w:color w:val="auto"/>
              </w:rPr>
            </w:pPr>
            <w:r>
              <w:rPr>
                <w:rFonts w:ascii="宋体" w:hAnsi="宋体"/>
                <w:color w:val="auto"/>
              </w:rPr>
              <w:t>电热鼓风干燥箱</w:t>
            </w:r>
          </w:p>
        </w:tc>
        <w:tc>
          <w:tcPr>
            <w:tcW w:w="1376" w:type="pct"/>
            <w:shd w:val="clear" w:color="auto" w:fill="auto"/>
            <w:vAlign w:val="center"/>
          </w:tcPr>
          <w:p w14:paraId="7970C420">
            <w:pPr>
              <w:widowControl/>
              <w:jc w:val="center"/>
              <w:rPr>
                <w:rFonts w:ascii="宋体" w:hAnsi="宋体"/>
                <w:color w:val="auto"/>
              </w:rPr>
            </w:pPr>
            <w:r>
              <w:rPr>
                <w:rFonts w:hint="eastAsia" w:ascii="宋体" w:hAnsi="宋体"/>
                <w:color w:val="auto"/>
              </w:rPr>
              <w:t>D</w:t>
            </w:r>
            <w:r>
              <w:rPr>
                <w:rFonts w:ascii="宋体" w:hAnsi="宋体"/>
                <w:color w:val="auto"/>
              </w:rPr>
              <w:t>HG-9140A</w:t>
            </w:r>
          </w:p>
        </w:tc>
        <w:tc>
          <w:tcPr>
            <w:tcW w:w="1155" w:type="pct"/>
            <w:shd w:val="clear" w:color="auto" w:fill="auto"/>
            <w:vAlign w:val="center"/>
          </w:tcPr>
          <w:p w14:paraId="05D6EAAB">
            <w:pPr>
              <w:widowControl/>
              <w:jc w:val="center"/>
              <w:rPr>
                <w:rFonts w:ascii="宋体" w:hAnsi="宋体"/>
                <w:color w:val="auto"/>
              </w:rPr>
            </w:pPr>
            <w:r>
              <w:rPr>
                <w:rFonts w:hint="eastAsia" w:ascii="宋体" w:hAnsi="宋体"/>
                <w:color w:val="auto"/>
              </w:rPr>
              <w:t>L</w:t>
            </w:r>
            <w:r>
              <w:rPr>
                <w:rFonts w:ascii="宋体" w:hAnsi="宋体"/>
                <w:color w:val="auto"/>
              </w:rPr>
              <w:t>P-S-118</w:t>
            </w:r>
          </w:p>
        </w:tc>
      </w:tr>
      <w:tr w14:paraId="06474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107B457F">
            <w:pPr>
              <w:jc w:val="center"/>
              <w:rPr>
                <w:rFonts w:ascii="宋体" w:hAnsi="宋体"/>
                <w:color w:val="auto"/>
              </w:rPr>
            </w:pPr>
            <w:r>
              <w:rPr>
                <w:rFonts w:hint="eastAsia" w:ascii="宋体" w:hAnsi="宋体"/>
                <w:color w:val="auto"/>
              </w:rPr>
              <w:t>1</w:t>
            </w:r>
            <w:r>
              <w:rPr>
                <w:rFonts w:ascii="宋体" w:hAnsi="宋体"/>
                <w:color w:val="auto"/>
              </w:rPr>
              <w:t>7</w:t>
            </w:r>
          </w:p>
        </w:tc>
        <w:tc>
          <w:tcPr>
            <w:tcW w:w="1992" w:type="pct"/>
            <w:shd w:val="clear" w:color="auto" w:fill="auto"/>
            <w:vAlign w:val="center"/>
          </w:tcPr>
          <w:p w14:paraId="4D208758">
            <w:pPr>
              <w:widowControl/>
              <w:jc w:val="center"/>
              <w:rPr>
                <w:rFonts w:ascii="宋体" w:hAnsi="宋体"/>
                <w:color w:val="auto"/>
              </w:rPr>
            </w:pPr>
            <w:r>
              <w:rPr>
                <w:rFonts w:hint="eastAsia" w:ascii="宋体" w:hAnsi="宋体"/>
                <w:color w:val="auto"/>
              </w:rPr>
              <w:t>电感耦合等离子发射光谱仪</w:t>
            </w:r>
          </w:p>
        </w:tc>
        <w:tc>
          <w:tcPr>
            <w:tcW w:w="1376" w:type="pct"/>
            <w:shd w:val="clear" w:color="auto" w:fill="auto"/>
            <w:vAlign w:val="center"/>
          </w:tcPr>
          <w:p w14:paraId="6E43125B">
            <w:pPr>
              <w:widowControl/>
              <w:jc w:val="center"/>
              <w:rPr>
                <w:rFonts w:ascii="宋体" w:hAnsi="宋体"/>
                <w:color w:val="auto"/>
              </w:rPr>
            </w:pPr>
            <w:r>
              <w:rPr>
                <w:rFonts w:hint="eastAsia" w:ascii="宋体" w:hAnsi="宋体"/>
                <w:color w:val="auto"/>
              </w:rPr>
              <w:t>iCAP 7400</w:t>
            </w:r>
          </w:p>
        </w:tc>
        <w:tc>
          <w:tcPr>
            <w:tcW w:w="1155" w:type="pct"/>
            <w:shd w:val="clear" w:color="auto" w:fill="auto"/>
            <w:vAlign w:val="center"/>
          </w:tcPr>
          <w:p w14:paraId="569B55F6">
            <w:pPr>
              <w:widowControl/>
              <w:jc w:val="center"/>
              <w:rPr>
                <w:rFonts w:ascii="宋体" w:hAnsi="宋体"/>
                <w:color w:val="auto"/>
              </w:rPr>
            </w:pPr>
            <w:r>
              <w:rPr>
                <w:rFonts w:hint="eastAsia" w:ascii="宋体" w:hAnsi="宋体"/>
                <w:color w:val="auto"/>
              </w:rPr>
              <w:t>LP-S-034</w:t>
            </w:r>
          </w:p>
        </w:tc>
      </w:tr>
      <w:tr w14:paraId="03F91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4D0A1683">
            <w:pPr>
              <w:jc w:val="center"/>
              <w:rPr>
                <w:rFonts w:ascii="宋体" w:hAnsi="宋体"/>
                <w:color w:val="auto"/>
              </w:rPr>
            </w:pPr>
            <w:r>
              <w:rPr>
                <w:rFonts w:hint="eastAsia" w:ascii="宋体" w:hAnsi="宋体"/>
                <w:color w:val="auto"/>
              </w:rPr>
              <w:t>1</w:t>
            </w:r>
            <w:r>
              <w:rPr>
                <w:rFonts w:ascii="宋体" w:hAnsi="宋体"/>
                <w:color w:val="auto"/>
              </w:rPr>
              <w:t>8</w:t>
            </w:r>
          </w:p>
        </w:tc>
        <w:tc>
          <w:tcPr>
            <w:tcW w:w="1992" w:type="pct"/>
            <w:shd w:val="clear" w:color="auto" w:fill="auto"/>
            <w:vAlign w:val="center"/>
          </w:tcPr>
          <w:p w14:paraId="572E4978">
            <w:pPr>
              <w:jc w:val="center"/>
              <w:rPr>
                <w:rFonts w:ascii="宋体" w:hAnsi="宋体"/>
                <w:color w:val="auto"/>
              </w:rPr>
            </w:pPr>
            <w:r>
              <w:rPr>
                <w:rFonts w:ascii="宋体" w:hAnsi="宋体"/>
                <w:color w:val="auto"/>
              </w:rPr>
              <w:t>电子天平</w:t>
            </w:r>
          </w:p>
        </w:tc>
        <w:tc>
          <w:tcPr>
            <w:tcW w:w="1376" w:type="pct"/>
            <w:shd w:val="clear" w:color="auto" w:fill="auto"/>
            <w:vAlign w:val="center"/>
          </w:tcPr>
          <w:p w14:paraId="5D1D6EB3">
            <w:pPr>
              <w:jc w:val="center"/>
              <w:rPr>
                <w:rFonts w:ascii="宋体" w:hAnsi="宋体"/>
                <w:color w:val="auto"/>
              </w:rPr>
            </w:pPr>
            <w:r>
              <w:rPr>
                <w:rFonts w:ascii="宋体" w:hAnsi="宋体"/>
                <w:color w:val="auto"/>
              </w:rPr>
              <w:t>SQP</w:t>
            </w:r>
          </w:p>
        </w:tc>
        <w:tc>
          <w:tcPr>
            <w:tcW w:w="1155" w:type="pct"/>
            <w:shd w:val="clear" w:color="auto" w:fill="auto"/>
            <w:vAlign w:val="center"/>
          </w:tcPr>
          <w:p w14:paraId="145E2B59">
            <w:pPr>
              <w:jc w:val="center"/>
              <w:rPr>
                <w:rFonts w:ascii="宋体" w:hAnsi="宋体"/>
                <w:color w:val="auto"/>
              </w:rPr>
            </w:pPr>
            <w:r>
              <w:rPr>
                <w:rFonts w:ascii="宋体" w:hAnsi="宋体"/>
                <w:color w:val="auto"/>
              </w:rPr>
              <w:t>LP-S-003</w:t>
            </w:r>
          </w:p>
        </w:tc>
      </w:tr>
      <w:tr w14:paraId="72730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5CFDE665">
            <w:pPr>
              <w:widowControl/>
              <w:jc w:val="center"/>
              <w:rPr>
                <w:rFonts w:ascii="宋体" w:hAnsi="宋体"/>
                <w:color w:val="auto"/>
              </w:rPr>
            </w:pPr>
            <w:r>
              <w:rPr>
                <w:rFonts w:hint="eastAsia" w:ascii="宋体" w:hAnsi="宋体"/>
                <w:color w:val="auto"/>
              </w:rPr>
              <w:t>19</w:t>
            </w:r>
          </w:p>
        </w:tc>
        <w:tc>
          <w:tcPr>
            <w:tcW w:w="1992" w:type="pct"/>
            <w:shd w:val="clear" w:color="auto" w:fill="auto"/>
            <w:vAlign w:val="center"/>
          </w:tcPr>
          <w:p w14:paraId="01BAD62A">
            <w:pPr>
              <w:jc w:val="center"/>
              <w:rPr>
                <w:rFonts w:ascii="宋体" w:hAnsi="宋体"/>
                <w:color w:val="auto"/>
              </w:rPr>
            </w:pPr>
            <w:r>
              <w:rPr>
                <w:rFonts w:ascii="宋体" w:hAnsi="宋体"/>
                <w:color w:val="auto"/>
              </w:rPr>
              <w:t>恒温恒湿称重系统</w:t>
            </w:r>
          </w:p>
        </w:tc>
        <w:tc>
          <w:tcPr>
            <w:tcW w:w="1376" w:type="pct"/>
            <w:shd w:val="clear" w:color="auto" w:fill="auto"/>
            <w:vAlign w:val="center"/>
          </w:tcPr>
          <w:p w14:paraId="0EFA1809">
            <w:pPr>
              <w:jc w:val="center"/>
              <w:rPr>
                <w:rFonts w:ascii="宋体" w:hAnsi="宋体"/>
                <w:color w:val="auto"/>
              </w:rPr>
            </w:pPr>
            <w:r>
              <w:rPr>
                <w:rFonts w:ascii="宋体" w:hAnsi="宋体"/>
                <w:color w:val="auto"/>
              </w:rPr>
              <w:t>THCZ-150</w:t>
            </w:r>
          </w:p>
        </w:tc>
        <w:tc>
          <w:tcPr>
            <w:tcW w:w="1155" w:type="pct"/>
            <w:shd w:val="clear" w:color="auto" w:fill="auto"/>
            <w:vAlign w:val="center"/>
          </w:tcPr>
          <w:p w14:paraId="5012C95F">
            <w:pPr>
              <w:jc w:val="center"/>
              <w:rPr>
                <w:rFonts w:ascii="宋体" w:hAnsi="宋体"/>
                <w:color w:val="auto"/>
              </w:rPr>
            </w:pPr>
            <w:r>
              <w:rPr>
                <w:rFonts w:ascii="宋体" w:hAnsi="宋体"/>
                <w:color w:val="auto"/>
              </w:rPr>
              <w:t>LP-S-084</w:t>
            </w:r>
          </w:p>
        </w:tc>
      </w:tr>
      <w:tr w14:paraId="0C6FC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7" w:type="pct"/>
            <w:shd w:val="clear" w:color="auto" w:fill="auto"/>
            <w:vAlign w:val="center"/>
          </w:tcPr>
          <w:p w14:paraId="3DCB4207">
            <w:pPr>
              <w:widowControl/>
              <w:jc w:val="center"/>
              <w:rPr>
                <w:rFonts w:ascii="宋体" w:hAnsi="宋体"/>
                <w:color w:val="auto"/>
              </w:rPr>
            </w:pPr>
            <w:r>
              <w:rPr>
                <w:rFonts w:hint="eastAsia" w:ascii="宋体" w:hAnsi="宋体"/>
                <w:color w:val="auto"/>
              </w:rPr>
              <w:t>20</w:t>
            </w:r>
          </w:p>
        </w:tc>
        <w:tc>
          <w:tcPr>
            <w:tcW w:w="1992" w:type="pct"/>
            <w:shd w:val="clear" w:color="auto" w:fill="auto"/>
            <w:vAlign w:val="center"/>
          </w:tcPr>
          <w:p w14:paraId="733B0E53">
            <w:pPr>
              <w:jc w:val="center"/>
              <w:rPr>
                <w:rFonts w:ascii="宋体" w:hAnsi="宋体"/>
                <w:color w:val="auto"/>
              </w:rPr>
            </w:pPr>
            <w:r>
              <w:rPr>
                <w:rFonts w:hint="eastAsia" w:ascii="宋体" w:hAnsi="宋体"/>
                <w:color w:val="auto"/>
              </w:rPr>
              <w:t>*</w:t>
            </w:r>
            <w:r>
              <w:rPr>
                <w:rFonts w:ascii="宋体" w:hAnsi="宋体"/>
                <w:color w:val="auto"/>
              </w:rPr>
              <w:t>恒温恒湿称重系统</w:t>
            </w:r>
          </w:p>
        </w:tc>
        <w:tc>
          <w:tcPr>
            <w:tcW w:w="1376" w:type="pct"/>
            <w:shd w:val="clear" w:color="auto" w:fill="auto"/>
            <w:vAlign w:val="center"/>
          </w:tcPr>
          <w:p w14:paraId="795491F5">
            <w:pPr>
              <w:jc w:val="center"/>
              <w:rPr>
                <w:rFonts w:ascii="宋体" w:hAnsi="宋体"/>
                <w:color w:val="auto"/>
              </w:rPr>
            </w:pPr>
            <w:r>
              <w:rPr>
                <w:rFonts w:ascii="宋体" w:hAnsi="宋体"/>
                <w:color w:val="auto"/>
              </w:rPr>
              <w:t>THCZ-150</w:t>
            </w:r>
          </w:p>
        </w:tc>
        <w:tc>
          <w:tcPr>
            <w:tcW w:w="1155" w:type="pct"/>
            <w:shd w:val="clear" w:color="auto" w:fill="auto"/>
            <w:vAlign w:val="center"/>
          </w:tcPr>
          <w:p w14:paraId="0E10996B">
            <w:pPr>
              <w:jc w:val="center"/>
              <w:rPr>
                <w:rFonts w:ascii="宋体" w:hAnsi="宋体"/>
                <w:color w:val="auto"/>
              </w:rPr>
            </w:pPr>
            <w:r>
              <w:rPr>
                <w:rFonts w:ascii="宋体" w:hAnsi="宋体"/>
                <w:color w:val="auto"/>
              </w:rPr>
              <w:t>CG-1805-65</w:t>
            </w:r>
          </w:p>
        </w:tc>
      </w:tr>
      <w:tr w14:paraId="26C96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shd w:val="clear" w:color="auto" w:fill="auto"/>
            <w:vAlign w:val="center"/>
          </w:tcPr>
          <w:p w14:paraId="30884874">
            <w:pPr>
              <w:jc w:val="center"/>
              <w:rPr>
                <w:rFonts w:ascii="宋体" w:hAnsi="宋体"/>
                <w:color w:val="auto"/>
              </w:rPr>
            </w:pPr>
            <w:r>
              <w:rPr>
                <w:rFonts w:hint="eastAsia" w:ascii="宋体" w:hAnsi="宋体"/>
                <w:color w:val="auto"/>
              </w:rPr>
              <w:t>备注：带*的仪器设备为分包单位潍坊市方正理化检测有限公司（资质编号：231520111013）所使用。</w:t>
            </w:r>
          </w:p>
        </w:tc>
      </w:tr>
    </w:tbl>
    <w:p w14:paraId="203C2ED4">
      <w:pPr>
        <w:pStyle w:val="122"/>
        <w:spacing w:line="331" w:lineRule="auto"/>
        <w:ind w:firstLine="480"/>
        <w:rPr>
          <w:rFonts w:hAnsi="宋体"/>
          <w:color w:val="auto"/>
        </w:rPr>
      </w:pPr>
    </w:p>
    <w:p w14:paraId="2771AECA">
      <w:pPr>
        <w:pStyle w:val="122"/>
        <w:spacing w:line="331" w:lineRule="auto"/>
        <w:ind w:firstLine="480"/>
        <w:rPr>
          <w:rFonts w:hAnsi="宋体"/>
          <w:color w:val="auto"/>
        </w:rPr>
      </w:pPr>
      <w:r>
        <w:rPr>
          <w:rFonts w:hint="eastAsia" w:hAnsi="宋体"/>
          <w:color w:val="auto"/>
        </w:rPr>
        <w:t>3）人员能力</w:t>
      </w:r>
    </w:p>
    <w:p w14:paraId="2B3B77D6">
      <w:pPr>
        <w:pStyle w:val="122"/>
        <w:spacing w:line="331" w:lineRule="auto"/>
        <w:ind w:firstLine="480"/>
        <w:rPr>
          <w:rFonts w:hAnsi="宋体"/>
          <w:color w:val="auto"/>
        </w:rPr>
      </w:pPr>
      <w:r>
        <w:rPr>
          <w:rFonts w:hint="eastAsia" w:hAnsi="宋体"/>
          <w:color w:val="auto"/>
        </w:rPr>
        <w:t>我公司（CMA：171512055405）监测人员均经过考核并且持证上岗，所有监测仪器、设备均经过计量部门检定、校准并在有效期内。</w:t>
      </w:r>
    </w:p>
    <w:p w14:paraId="6907ECA4">
      <w:pPr>
        <w:pStyle w:val="122"/>
        <w:spacing w:line="331" w:lineRule="auto"/>
        <w:ind w:firstLine="480"/>
        <w:rPr>
          <w:rFonts w:hAnsi="宋体"/>
          <w:color w:val="auto"/>
        </w:rPr>
      </w:pPr>
      <w:r>
        <w:rPr>
          <w:rFonts w:hint="eastAsia" w:hAnsi="宋体"/>
          <w:color w:val="auto"/>
        </w:rPr>
        <w:t>4）质量控制</w:t>
      </w:r>
    </w:p>
    <w:p w14:paraId="5EC17B19">
      <w:pPr>
        <w:pStyle w:val="122"/>
        <w:spacing w:line="331" w:lineRule="auto"/>
        <w:ind w:firstLine="480"/>
        <w:rPr>
          <w:rFonts w:hAnsi="宋体"/>
          <w:color w:val="auto"/>
        </w:rPr>
      </w:pPr>
      <w:r>
        <w:rPr>
          <w:rFonts w:hint="eastAsia" w:hAnsi="宋体"/>
          <w:color w:val="auto"/>
        </w:rPr>
        <w:t>废气监测质量保证和质量控制按照《环境空气质量手工监测技术规范》（HJ 194-2017）及其修改单（HJ 194-2017/XG1-2018）的要求进行。</w:t>
      </w:r>
    </w:p>
    <w:p w14:paraId="5406323A">
      <w:pPr>
        <w:pStyle w:val="4"/>
        <w:ind w:firstLine="480"/>
        <w:rPr>
          <w:color w:val="auto"/>
        </w:rPr>
      </w:pPr>
      <w:r>
        <w:rPr>
          <w:rFonts w:hint="eastAsia"/>
          <w:color w:val="auto"/>
        </w:rPr>
        <w:t>土壤监测质量保证和质量控制按照《土壤环境质量 建设用地土壤污染风险管控标准（试行）》（GB 36600-2018）、《建设用地土壤污染状况调查技术导则》（HJ 25.1-2019）、《建设用地土壤污染风险管控和修复监测技术导则》（HJ 25.2-2019）、《土壤环境监测技术规范》（HJ/T 166-20</w:t>
      </w:r>
      <w:r>
        <w:rPr>
          <w:color w:val="auto"/>
        </w:rPr>
        <w:t>26</w:t>
      </w:r>
      <w:r>
        <w:rPr>
          <w:rFonts w:hint="eastAsia"/>
          <w:color w:val="auto"/>
        </w:rPr>
        <w:t>）等的要求进行。</w:t>
      </w:r>
    </w:p>
    <w:p w14:paraId="048052CB">
      <w:pPr>
        <w:pStyle w:val="4"/>
        <w:ind w:firstLine="480"/>
        <w:rPr>
          <w:color w:val="auto"/>
        </w:rPr>
      </w:pPr>
      <w:r>
        <w:rPr>
          <w:rFonts w:hint="eastAsia"/>
          <w:color w:val="auto"/>
        </w:rPr>
        <w:t>噪声监测质量保证和质量控制按照《工业企业厂界环境噪声排放标准》（GB 12348-2008）的要求进行。</w:t>
      </w:r>
    </w:p>
    <w:p w14:paraId="69F4FEFF">
      <w:pPr>
        <w:pStyle w:val="4"/>
        <w:ind w:firstLine="480"/>
        <w:rPr>
          <w:color w:val="auto"/>
        </w:rPr>
      </w:pPr>
      <w:r>
        <w:rPr>
          <w:rFonts w:hint="eastAsia"/>
          <w:color w:val="auto"/>
        </w:rPr>
        <w:t>噪声监测仪器校准过程：</w:t>
      </w:r>
    </w:p>
    <w:p w14:paraId="317B4F21">
      <w:pPr>
        <w:pStyle w:val="4"/>
        <w:ind w:firstLine="480"/>
        <w:rPr>
          <w:color w:val="auto"/>
        </w:rPr>
      </w:pPr>
      <w:r>
        <w:rPr>
          <w:rFonts w:hint="eastAsia"/>
          <w:color w:val="auto"/>
        </w:rPr>
        <w:t>（1）监测仪器和声校准器在有效检定期内。</w:t>
      </w:r>
    </w:p>
    <w:p w14:paraId="31DD2C37">
      <w:pPr>
        <w:pStyle w:val="4"/>
        <w:ind w:firstLine="480"/>
        <w:rPr>
          <w:color w:val="auto"/>
        </w:rPr>
      </w:pPr>
      <w:r>
        <w:rPr>
          <w:rFonts w:hint="eastAsia"/>
          <w:color w:val="auto"/>
        </w:rPr>
        <w:t>（2）测量前后使用声校准器校准噪声测量仪器，其示值偏差不大于0.5dB，否则测量无效。</w:t>
      </w:r>
    </w:p>
    <w:p w14:paraId="19A9A80B">
      <w:pPr>
        <w:pStyle w:val="4"/>
        <w:ind w:firstLine="480"/>
        <w:rPr>
          <w:color w:val="auto"/>
        </w:rPr>
      </w:pPr>
      <w:r>
        <w:rPr>
          <w:rFonts w:hint="eastAsia"/>
          <w:color w:val="auto"/>
        </w:rPr>
        <w:t>（3）测量在无雨、无雪天气条件下进行，风速为5m/s以下时进行。</w:t>
      </w:r>
    </w:p>
    <w:p w14:paraId="1320A602">
      <w:pPr>
        <w:pStyle w:val="4"/>
        <w:ind w:firstLine="480"/>
        <w:rPr>
          <w:color w:val="auto"/>
        </w:rPr>
      </w:pPr>
      <w:r>
        <w:rPr>
          <w:rFonts w:hint="eastAsia"/>
          <w:color w:val="auto"/>
        </w:rPr>
        <w:t>噪声现场监测分析仪器在测试前后用标准发声源进行校准，测量前后仪器的灵敏度相差不大于0.5dB，若大于0.5dB测试数据无效。</w:t>
      </w:r>
    </w:p>
    <w:p w14:paraId="40917B07">
      <w:pPr>
        <w:pStyle w:val="6"/>
        <w:rPr>
          <w:color w:val="auto"/>
        </w:rPr>
      </w:pPr>
      <w:r>
        <w:rPr>
          <w:rFonts w:hint="eastAsia"/>
          <w:color w:val="auto"/>
        </w:rPr>
        <w:t>大气环境</w:t>
      </w:r>
      <w:r>
        <w:rPr>
          <w:color w:val="auto"/>
        </w:rPr>
        <w:t>监测</w:t>
      </w:r>
    </w:p>
    <w:p w14:paraId="5D1BEE7A">
      <w:pPr>
        <w:pStyle w:val="122"/>
        <w:spacing w:line="331" w:lineRule="auto"/>
        <w:ind w:firstLine="480"/>
        <w:rPr>
          <w:rFonts w:hAnsi="宋体"/>
          <w:color w:val="auto"/>
        </w:rPr>
      </w:pPr>
      <w:r>
        <w:rPr>
          <w:rFonts w:hint="eastAsia" w:hAnsi="宋体"/>
          <w:color w:val="auto"/>
        </w:rPr>
        <w:t>1）无组织排放监测</w:t>
      </w:r>
    </w:p>
    <w:p w14:paraId="4C91029F">
      <w:pPr>
        <w:pStyle w:val="122"/>
        <w:spacing w:line="331" w:lineRule="auto"/>
        <w:ind w:firstLine="480"/>
        <w:rPr>
          <w:rFonts w:hAnsi="宋体"/>
          <w:color w:val="auto"/>
        </w:rPr>
      </w:pPr>
      <w:r>
        <w:rPr>
          <w:rFonts w:hint="eastAsia" w:hAnsi="宋体"/>
          <w:color w:val="auto"/>
        </w:rPr>
        <w:t>根据《建设项目竣工环境保护验收技术规范 石油天然气开采》（HJ 612-2011），本次对采油井无组织排放废气进行监测。</w:t>
      </w:r>
    </w:p>
    <w:p w14:paraId="2F4876A1">
      <w:pPr>
        <w:pStyle w:val="122"/>
        <w:spacing w:line="331" w:lineRule="auto"/>
        <w:ind w:firstLine="480"/>
        <w:rPr>
          <w:rFonts w:hAnsi="宋体"/>
          <w:color w:val="auto"/>
        </w:rPr>
      </w:pPr>
      <w:r>
        <w:rPr>
          <w:rFonts w:hint="eastAsia" w:hAnsi="宋体"/>
          <w:color w:val="auto"/>
        </w:rPr>
        <w:t>（1）监测布点</w:t>
      </w:r>
    </w:p>
    <w:p w14:paraId="68A58789">
      <w:pPr>
        <w:pStyle w:val="122"/>
        <w:spacing w:line="331" w:lineRule="auto"/>
        <w:ind w:firstLine="480"/>
        <w:rPr>
          <w:rFonts w:hAnsi="宋体"/>
          <w:color w:val="auto"/>
        </w:rPr>
      </w:pPr>
      <w:r>
        <w:rPr>
          <w:rFonts w:hint="eastAsia" w:hAnsi="宋体"/>
          <w:color w:val="auto"/>
        </w:rPr>
        <w:t>在4</w:t>
      </w:r>
      <w:r>
        <w:rPr>
          <w:rFonts w:hint="eastAsia" w:hAnsi="宋体"/>
          <w:b/>
          <w:bCs/>
          <w:color w:val="auto"/>
        </w:rPr>
        <w:t>#、5#、6#、7#、</w:t>
      </w:r>
      <w:r>
        <w:rPr>
          <w:rFonts w:hint="eastAsia" w:hAnsi="宋体"/>
          <w:b/>
          <w:bCs/>
          <w:color w:val="auto"/>
        </w:rPr>
        <w:t>1</w:t>
      </w:r>
      <w:r>
        <w:rPr>
          <w:rFonts w:hAnsi="宋体"/>
          <w:b/>
          <w:bCs/>
          <w:color w:val="auto"/>
        </w:rPr>
        <w:t>2#</w:t>
      </w:r>
      <w:r>
        <w:rPr>
          <w:rFonts w:hint="eastAsia" w:hAnsi="宋体"/>
          <w:color w:val="auto"/>
        </w:rPr>
        <w:t>井场厂界上风向布设1个参照点、下风向布设3个监控点。</w:t>
      </w:r>
    </w:p>
    <w:p w14:paraId="07D11B35">
      <w:pPr>
        <w:pStyle w:val="15"/>
        <w:spacing w:before="120"/>
        <w:rPr>
          <w:color w:val="auto"/>
        </w:rPr>
      </w:pPr>
      <w:r>
        <w:rPr>
          <w:rFonts w:hAnsi="宋体"/>
          <w:color w:val="auto"/>
        </w:rPr>
        <w:drawing>
          <wp:inline distT="0" distB="0" distL="0" distR="0">
            <wp:extent cx="2647950" cy="2085975"/>
            <wp:effectExtent l="19050" t="19050" r="19050" b="2857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647950" cy="2085975"/>
                    </a:xfrm>
                    <a:prstGeom prst="rect">
                      <a:avLst/>
                    </a:prstGeom>
                    <a:noFill/>
                    <a:ln w="0" cmpd="sng">
                      <a:solidFill>
                        <a:sysClr val="windowText" lastClr="000000"/>
                      </a:solidFill>
                      <a:prstDash val="solid"/>
                    </a:ln>
                  </pic:spPr>
                </pic:pic>
              </a:graphicData>
            </a:graphic>
          </wp:inline>
        </w:drawing>
      </w:r>
    </w:p>
    <w:p w14:paraId="3C484421">
      <w:pPr>
        <w:pStyle w:val="15"/>
        <w:spacing w:before="120"/>
        <w:rPr>
          <w:rFonts w:hAnsi="宋体"/>
          <w:color w:val="auto"/>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w:t>
      </w:r>
      <w:r>
        <w:rPr>
          <w:color w:val="auto"/>
        </w:rPr>
        <w:fldChar w:fldCharType="end"/>
      </w:r>
      <w:r>
        <w:rPr>
          <w:color w:val="auto"/>
        </w:rPr>
        <w:t xml:space="preserve"> </w:t>
      </w:r>
      <w:r>
        <w:rPr>
          <w:rFonts w:hint="eastAsia" w:hAnsi="宋体"/>
          <w:color w:val="auto"/>
          <w:szCs w:val="21"/>
        </w:rPr>
        <w:t>无组织废气监控点布点示意图</w:t>
      </w:r>
    </w:p>
    <w:p w14:paraId="716C8B5F">
      <w:pPr>
        <w:pStyle w:val="122"/>
        <w:spacing w:line="331" w:lineRule="auto"/>
        <w:ind w:firstLine="480"/>
        <w:rPr>
          <w:rFonts w:hAnsi="宋体"/>
          <w:color w:val="auto"/>
        </w:rPr>
      </w:pPr>
      <w:r>
        <w:rPr>
          <w:rFonts w:hint="eastAsia" w:hAnsi="宋体"/>
          <w:color w:val="auto"/>
        </w:rPr>
        <w:t>（2）监测项目</w:t>
      </w:r>
    </w:p>
    <w:p w14:paraId="175AFAC5">
      <w:pPr>
        <w:pStyle w:val="122"/>
        <w:spacing w:line="331" w:lineRule="auto"/>
        <w:ind w:firstLine="480"/>
        <w:rPr>
          <w:rFonts w:hAnsi="宋体"/>
          <w:color w:val="auto"/>
        </w:rPr>
      </w:pPr>
      <w:r>
        <w:rPr>
          <w:rFonts w:hint="eastAsia" w:hAnsi="宋体"/>
          <w:color w:val="auto"/>
        </w:rPr>
        <w:t>监测项目为非甲烷总烃、硫化氢。同步记录风速、风向、气温、气压等气象要素。</w:t>
      </w:r>
    </w:p>
    <w:p w14:paraId="39483385">
      <w:pPr>
        <w:pStyle w:val="122"/>
        <w:spacing w:line="331" w:lineRule="auto"/>
        <w:ind w:firstLine="480"/>
        <w:rPr>
          <w:rFonts w:hAnsi="宋体"/>
          <w:color w:val="auto"/>
        </w:rPr>
      </w:pPr>
      <w:r>
        <w:rPr>
          <w:rFonts w:hint="eastAsia" w:hAnsi="宋体"/>
          <w:color w:val="auto"/>
        </w:rPr>
        <w:t>（3）监测时间及频次</w:t>
      </w:r>
    </w:p>
    <w:p w14:paraId="534CA44C">
      <w:pPr>
        <w:pStyle w:val="122"/>
        <w:spacing w:line="331" w:lineRule="auto"/>
        <w:ind w:firstLine="480"/>
        <w:rPr>
          <w:rFonts w:hAnsi="宋体"/>
          <w:color w:val="auto"/>
        </w:rPr>
      </w:pPr>
      <w:r>
        <w:rPr>
          <w:rFonts w:hint="eastAsia" w:hAnsi="宋体"/>
          <w:color w:val="auto"/>
        </w:rPr>
        <w:t>我公司（CMA：171512055405）于202</w:t>
      </w:r>
      <w:r>
        <w:rPr>
          <w:rFonts w:hAnsi="宋体"/>
          <w:color w:val="auto"/>
        </w:rPr>
        <w:t>6</w:t>
      </w:r>
      <w:r>
        <w:rPr>
          <w:rFonts w:hint="eastAsia" w:hAnsi="宋体"/>
          <w:color w:val="auto"/>
        </w:rPr>
        <w:t>年</w:t>
      </w:r>
      <w:r>
        <w:rPr>
          <w:rFonts w:hAnsi="宋体"/>
          <w:color w:val="auto"/>
        </w:rPr>
        <w:t>3</w:t>
      </w:r>
      <w:r>
        <w:rPr>
          <w:rFonts w:hint="eastAsia" w:hAnsi="宋体"/>
          <w:color w:val="auto"/>
        </w:rPr>
        <w:t>月</w:t>
      </w:r>
      <w:r>
        <w:rPr>
          <w:rFonts w:hAnsi="宋体"/>
          <w:color w:val="auto"/>
        </w:rPr>
        <w:t>5</w:t>
      </w:r>
      <w:r>
        <w:rPr>
          <w:rFonts w:hint="eastAsia" w:hAnsi="宋体"/>
          <w:color w:val="auto"/>
        </w:rPr>
        <w:t>日～3月</w:t>
      </w:r>
      <w:r>
        <w:rPr>
          <w:rFonts w:hAnsi="宋体"/>
          <w:color w:val="auto"/>
        </w:rPr>
        <w:t>11</w:t>
      </w:r>
      <w:r>
        <w:rPr>
          <w:rFonts w:hint="eastAsia" w:hAnsi="宋体"/>
          <w:color w:val="auto"/>
        </w:rPr>
        <w:t>日、</w:t>
      </w:r>
      <w:r>
        <w:rPr>
          <w:rFonts w:hint="eastAsia"/>
          <w:color w:val="auto"/>
        </w:rPr>
        <w:t>2026</w:t>
      </w:r>
      <w:r>
        <w:rPr>
          <w:rFonts w:hint="eastAsia" w:hAnsi="宋体"/>
          <w:color w:val="auto"/>
        </w:rPr>
        <w:t>年</w:t>
      </w:r>
      <w:r>
        <w:rPr>
          <w:rFonts w:hint="eastAsia"/>
          <w:color w:val="auto"/>
        </w:rPr>
        <w:t>5</w:t>
      </w:r>
      <w:r>
        <w:rPr>
          <w:rFonts w:hint="eastAsia" w:hAnsi="宋体"/>
          <w:color w:val="auto"/>
        </w:rPr>
        <w:t>月</w:t>
      </w:r>
      <w:r>
        <w:rPr>
          <w:rFonts w:hint="eastAsia"/>
          <w:color w:val="auto"/>
        </w:rPr>
        <w:t>10</w:t>
      </w:r>
      <w:r>
        <w:rPr>
          <w:rFonts w:hint="eastAsia" w:hAnsi="宋体"/>
          <w:color w:val="auto"/>
        </w:rPr>
        <w:t>日～</w:t>
      </w:r>
      <w:r>
        <w:rPr>
          <w:rFonts w:hint="eastAsia"/>
          <w:color w:val="auto"/>
        </w:rPr>
        <w:t>2026</w:t>
      </w:r>
      <w:r>
        <w:rPr>
          <w:rFonts w:hint="eastAsia" w:hAnsi="宋体"/>
          <w:color w:val="auto"/>
        </w:rPr>
        <w:t>年</w:t>
      </w:r>
      <w:r>
        <w:rPr>
          <w:rFonts w:hint="eastAsia"/>
          <w:color w:val="auto"/>
        </w:rPr>
        <w:t>5</w:t>
      </w:r>
      <w:r>
        <w:rPr>
          <w:rFonts w:hint="eastAsia" w:hAnsi="宋体"/>
          <w:color w:val="auto"/>
        </w:rPr>
        <w:t>月</w:t>
      </w:r>
      <w:r>
        <w:rPr>
          <w:rFonts w:hint="eastAsia"/>
          <w:color w:val="auto"/>
        </w:rPr>
        <w:t>11</w:t>
      </w:r>
      <w:r>
        <w:rPr>
          <w:rFonts w:hint="eastAsia" w:hAnsi="宋体"/>
          <w:color w:val="auto"/>
        </w:rPr>
        <w:t>日</w:t>
      </w:r>
      <w:r>
        <w:rPr>
          <w:rFonts w:hint="eastAsia" w:hAnsi="宋体"/>
          <w:color w:val="auto"/>
        </w:rPr>
        <w:t>进行采样分析，非甲烷总烃每天采样三次，硫化氢每天采样四次。</w:t>
      </w:r>
      <w:r>
        <w:rPr>
          <w:rFonts w:hAnsi="宋体"/>
          <w:color w:val="auto"/>
        </w:rPr>
        <w:tab/>
      </w:r>
    </w:p>
    <w:p w14:paraId="2CFD1564">
      <w:pPr>
        <w:pStyle w:val="122"/>
        <w:spacing w:line="331" w:lineRule="auto"/>
        <w:ind w:firstLine="480"/>
        <w:rPr>
          <w:rFonts w:hAnsi="宋体"/>
          <w:color w:val="auto"/>
        </w:rPr>
      </w:pPr>
      <w:r>
        <w:rPr>
          <w:rFonts w:hint="eastAsia" w:hAnsi="宋体"/>
          <w:color w:val="auto"/>
        </w:rPr>
        <w:t>（4）监测结果</w:t>
      </w:r>
    </w:p>
    <w:p w14:paraId="6516151C">
      <w:pPr>
        <w:pStyle w:val="122"/>
        <w:spacing w:line="331" w:lineRule="auto"/>
        <w:ind w:firstLine="240" w:firstLineChars="100"/>
        <w:rPr>
          <w:rFonts w:hAnsi="宋体"/>
          <w:color w:val="auto"/>
        </w:rPr>
      </w:pPr>
      <w:r>
        <w:rPr>
          <w:rFonts w:hint="eastAsia" w:hAnsi="宋体"/>
          <w:color w:val="auto"/>
        </w:rPr>
        <w:t>验收监测期间采油井场厂界无组织废气监测</w:t>
      </w:r>
      <w:r>
        <w:rPr>
          <w:rFonts w:hAnsi="宋体"/>
          <w:color w:val="auto"/>
        </w:rPr>
        <w:t>结果见</w:t>
      </w:r>
      <w:r>
        <w:rPr>
          <w:rFonts w:hAnsi="宋体"/>
          <w:color w:val="auto"/>
        </w:rPr>
        <w:fldChar w:fldCharType="begin"/>
      </w:r>
      <w:r>
        <w:rPr>
          <w:rFonts w:hAnsi="宋体"/>
          <w:color w:val="auto"/>
        </w:rPr>
        <w:instrText xml:space="preserve"> REF _Ref59462682 \h  \* MERGEFORMAT </w:instrText>
      </w:r>
      <w:r>
        <w:rPr>
          <w:rFonts w:hAnsi="宋体"/>
          <w:color w:val="auto"/>
        </w:rPr>
        <w:fldChar w:fldCharType="separate"/>
      </w:r>
      <w:r>
        <w:rPr>
          <w:rFonts w:hint="eastAsia" w:hAnsi="宋体"/>
          <w:color w:val="auto"/>
        </w:rPr>
        <w:t xml:space="preserve">表 </w:t>
      </w:r>
      <w:r>
        <w:rPr>
          <w:rFonts w:hAnsi="宋体"/>
          <w:color w:val="auto"/>
        </w:rPr>
        <w:t>6.4</w:t>
      </w:r>
      <w:r>
        <w:rPr>
          <w:rFonts w:hAnsi="宋体"/>
          <w:color w:val="auto"/>
        </w:rPr>
        <w:noBreakHyphen/>
      </w:r>
      <w:r>
        <w:rPr>
          <w:rFonts w:hAnsi="宋体"/>
          <w:color w:val="auto"/>
        </w:rPr>
        <w:t>3</w:t>
      </w:r>
      <w:r>
        <w:rPr>
          <w:rFonts w:hAnsi="宋体"/>
          <w:color w:val="auto"/>
        </w:rPr>
        <w:fldChar w:fldCharType="end"/>
      </w:r>
      <w:r>
        <w:rPr>
          <w:rFonts w:hint="eastAsia" w:hAnsi="宋体"/>
          <w:color w:val="auto"/>
        </w:rPr>
        <w:t>～6.4-4。</w:t>
      </w:r>
    </w:p>
    <w:p w14:paraId="1D222E36">
      <w:pPr>
        <w:pStyle w:val="15"/>
        <w:spacing w:before="120"/>
        <w:rPr>
          <w:rFonts w:hAnsi="宋体"/>
          <w:color w:val="auto"/>
          <w:szCs w:val="21"/>
        </w:rPr>
      </w:pPr>
      <w:bookmarkStart w:id="404" w:name="_Ref59462682"/>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3</w:t>
      </w:r>
      <w:r>
        <w:rPr>
          <w:rFonts w:hAnsi="宋体"/>
          <w:color w:val="auto"/>
        </w:rPr>
        <w:fldChar w:fldCharType="end"/>
      </w:r>
      <w:bookmarkEnd w:id="404"/>
      <w:r>
        <w:rPr>
          <w:rFonts w:hAnsi="宋体"/>
          <w:color w:val="auto"/>
          <w:szCs w:val="21"/>
        </w:rPr>
        <w:t xml:space="preserve">  </w:t>
      </w:r>
      <w:r>
        <w:rPr>
          <w:rFonts w:hint="eastAsia" w:hAnsi="宋体"/>
          <w:color w:val="auto"/>
          <w:szCs w:val="21"/>
        </w:rPr>
        <w:t>监测</w:t>
      </w:r>
      <w:r>
        <w:rPr>
          <w:rFonts w:hAnsi="宋体"/>
          <w:color w:val="auto"/>
          <w:szCs w:val="21"/>
        </w:rPr>
        <w:t>期间气象参数</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1176"/>
        <w:gridCol w:w="1826"/>
        <w:gridCol w:w="1083"/>
        <w:gridCol w:w="944"/>
        <w:gridCol w:w="675"/>
        <w:gridCol w:w="940"/>
        <w:gridCol w:w="848"/>
      </w:tblGrid>
      <w:tr w14:paraId="53C22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705" w:type="pct"/>
            <w:vAlign w:val="center"/>
          </w:tcPr>
          <w:p w14:paraId="5F96F05A">
            <w:pPr>
              <w:adjustRightInd w:val="0"/>
              <w:snapToGrid w:val="0"/>
              <w:jc w:val="center"/>
              <w:rPr>
                <w:rFonts w:ascii="宋体" w:hAnsi="宋体"/>
                <w:b/>
                <w:color w:val="auto"/>
              </w:rPr>
            </w:pPr>
            <w:r>
              <w:rPr>
                <w:rFonts w:hint="eastAsia" w:ascii="宋体" w:hAnsi="宋体"/>
                <w:b/>
                <w:color w:val="auto"/>
              </w:rPr>
              <w:t>采样</w:t>
            </w:r>
            <w:r>
              <w:rPr>
                <w:rFonts w:ascii="宋体" w:hAnsi="宋体"/>
                <w:b/>
                <w:color w:val="auto"/>
              </w:rPr>
              <w:t>点位</w:t>
            </w:r>
          </w:p>
        </w:tc>
        <w:tc>
          <w:tcPr>
            <w:tcW w:w="674" w:type="pct"/>
            <w:vAlign w:val="center"/>
          </w:tcPr>
          <w:p w14:paraId="6B104B51">
            <w:pPr>
              <w:adjustRightInd w:val="0"/>
              <w:snapToGrid w:val="0"/>
              <w:jc w:val="center"/>
              <w:rPr>
                <w:rFonts w:ascii="宋体" w:hAnsi="宋体"/>
                <w:b/>
                <w:color w:val="auto"/>
              </w:rPr>
            </w:pPr>
            <w:r>
              <w:rPr>
                <w:rFonts w:ascii="宋体" w:hAnsi="宋体"/>
                <w:b/>
                <w:color w:val="auto"/>
              </w:rPr>
              <w:t>日期</w:t>
            </w:r>
          </w:p>
        </w:tc>
        <w:tc>
          <w:tcPr>
            <w:tcW w:w="1047" w:type="pct"/>
            <w:vAlign w:val="center"/>
          </w:tcPr>
          <w:p w14:paraId="6FA48F36">
            <w:pPr>
              <w:adjustRightInd w:val="0"/>
              <w:snapToGrid w:val="0"/>
              <w:jc w:val="center"/>
              <w:rPr>
                <w:rFonts w:ascii="宋体" w:hAnsi="宋体"/>
                <w:b/>
                <w:color w:val="auto"/>
              </w:rPr>
            </w:pPr>
            <w:r>
              <w:rPr>
                <w:rFonts w:ascii="宋体" w:hAnsi="宋体"/>
                <w:b/>
                <w:color w:val="auto"/>
              </w:rPr>
              <w:t>时间</w:t>
            </w:r>
          </w:p>
        </w:tc>
        <w:tc>
          <w:tcPr>
            <w:tcW w:w="621" w:type="pct"/>
            <w:vAlign w:val="center"/>
          </w:tcPr>
          <w:p w14:paraId="50CC1EA8">
            <w:pPr>
              <w:adjustRightInd w:val="0"/>
              <w:snapToGrid w:val="0"/>
              <w:jc w:val="center"/>
              <w:rPr>
                <w:rFonts w:ascii="宋体" w:hAnsi="宋体"/>
                <w:b/>
                <w:color w:val="auto"/>
              </w:rPr>
            </w:pPr>
            <w:r>
              <w:rPr>
                <w:rFonts w:ascii="宋体" w:hAnsi="宋体"/>
                <w:b/>
                <w:color w:val="auto"/>
              </w:rPr>
              <w:t>气温(</w:t>
            </w:r>
            <w:r>
              <w:rPr>
                <w:rFonts w:hint="eastAsia" w:ascii="宋体" w:hAnsi="宋体" w:cs="微软雅黑"/>
                <w:b/>
                <w:color w:val="auto"/>
              </w:rPr>
              <w:t>℃</w:t>
            </w:r>
            <w:r>
              <w:rPr>
                <w:rFonts w:ascii="宋体" w:hAnsi="宋体"/>
                <w:b/>
                <w:color w:val="auto"/>
              </w:rPr>
              <w:t>)</w:t>
            </w:r>
          </w:p>
        </w:tc>
        <w:tc>
          <w:tcPr>
            <w:tcW w:w="541" w:type="pct"/>
            <w:vAlign w:val="center"/>
          </w:tcPr>
          <w:p w14:paraId="3399B3E5">
            <w:pPr>
              <w:adjustRightInd w:val="0"/>
              <w:snapToGrid w:val="0"/>
              <w:jc w:val="center"/>
              <w:rPr>
                <w:rFonts w:ascii="宋体" w:hAnsi="宋体"/>
                <w:b/>
                <w:color w:val="auto"/>
              </w:rPr>
            </w:pPr>
            <w:r>
              <w:rPr>
                <w:rFonts w:ascii="宋体" w:hAnsi="宋体"/>
                <w:b/>
                <w:color w:val="auto"/>
              </w:rPr>
              <w:t>气压(kPa)</w:t>
            </w:r>
          </w:p>
        </w:tc>
        <w:tc>
          <w:tcPr>
            <w:tcW w:w="387" w:type="pct"/>
            <w:vAlign w:val="center"/>
          </w:tcPr>
          <w:p w14:paraId="0679E5D3">
            <w:pPr>
              <w:adjustRightInd w:val="0"/>
              <w:snapToGrid w:val="0"/>
              <w:jc w:val="center"/>
              <w:rPr>
                <w:rFonts w:ascii="宋体" w:hAnsi="宋体"/>
                <w:b/>
                <w:color w:val="auto"/>
              </w:rPr>
            </w:pPr>
            <w:r>
              <w:rPr>
                <w:rFonts w:ascii="宋体" w:hAnsi="宋体"/>
                <w:b/>
                <w:color w:val="auto"/>
              </w:rPr>
              <w:t>风向</w:t>
            </w:r>
          </w:p>
        </w:tc>
        <w:tc>
          <w:tcPr>
            <w:tcW w:w="539" w:type="pct"/>
            <w:vAlign w:val="center"/>
          </w:tcPr>
          <w:p w14:paraId="37663A31">
            <w:pPr>
              <w:adjustRightInd w:val="0"/>
              <w:snapToGrid w:val="0"/>
              <w:jc w:val="center"/>
              <w:rPr>
                <w:rFonts w:ascii="宋体" w:hAnsi="宋体"/>
                <w:b/>
                <w:color w:val="auto"/>
              </w:rPr>
            </w:pPr>
            <w:r>
              <w:rPr>
                <w:rFonts w:ascii="宋体" w:hAnsi="宋体"/>
                <w:b/>
                <w:color w:val="auto"/>
              </w:rPr>
              <w:t>测间风速(m/s)</w:t>
            </w:r>
          </w:p>
        </w:tc>
        <w:tc>
          <w:tcPr>
            <w:tcW w:w="486" w:type="pct"/>
            <w:vAlign w:val="center"/>
          </w:tcPr>
          <w:p w14:paraId="422B0BBD">
            <w:pPr>
              <w:adjustRightInd w:val="0"/>
              <w:snapToGrid w:val="0"/>
              <w:jc w:val="center"/>
              <w:rPr>
                <w:rFonts w:ascii="宋体" w:hAnsi="宋体"/>
                <w:b/>
                <w:color w:val="auto"/>
              </w:rPr>
            </w:pPr>
            <w:r>
              <w:rPr>
                <w:rFonts w:ascii="宋体" w:hAnsi="宋体"/>
                <w:b/>
                <w:color w:val="auto"/>
              </w:rPr>
              <w:t>总云/低云</w:t>
            </w:r>
          </w:p>
        </w:tc>
      </w:tr>
      <w:tr w14:paraId="393B8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restart"/>
            <w:vAlign w:val="center"/>
          </w:tcPr>
          <w:p w14:paraId="64BAC557">
            <w:pPr>
              <w:jc w:val="center"/>
              <w:rPr>
                <w:rFonts w:ascii="宋体" w:hAnsi="宋体"/>
                <w:color w:val="auto"/>
              </w:rPr>
            </w:pPr>
            <w:r>
              <w:rPr>
                <w:rFonts w:ascii="宋体" w:hAnsi="宋体"/>
                <w:color w:val="auto"/>
              </w:rPr>
              <w:t>4#</w:t>
            </w:r>
            <w:r>
              <w:rPr>
                <w:rFonts w:hint="eastAsia" w:ascii="宋体" w:hAnsi="宋体"/>
                <w:color w:val="auto"/>
              </w:rPr>
              <w:t>井场</w:t>
            </w:r>
          </w:p>
        </w:tc>
        <w:tc>
          <w:tcPr>
            <w:tcW w:w="674" w:type="pct"/>
            <w:vMerge w:val="restart"/>
            <w:vAlign w:val="center"/>
          </w:tcPr>
          <w:p w14:paraId="11428051">
            <w:pPr>
              <w:jc w:val="center"/>
              <w:rPr>
                <w:rFonts w:ascii="宋体" w:hAnsi="宋体"/>
                <w:color w:val="auto"/>
              </w:rPr>
            </w:pPr>
            <w:r>
              <w:rPr>
                <w:rFonts w:hint="eastAsia" w:ascii="宋体" w:hAnsi="宋体"/>
                <w:color w:val="auto"/>
              </w:rPr>
              <w:t>2026年3月10日</w:t>
            </w:r>
          </w:p>
        </w:tc>
        <w:tc>
          <w:tcPr>
            <w:tcW w:w="1047" w:type="pct"/>
            <w:vAlign w:val="center"/>
          </w:tcPr>
          <w:p w14:paraId="1B804A96">
            <w:pPr>
              <w:jc w:val="center"/>
              <w:rPr>
                <w:rFonts w:ascii="宋体" w:hAnsi="宋体"/>
                <w:color w:val="auto"/>
              </w:rPr>
            </w:pPr>
            <w:r>
              <w:rPr>
                <w:rFonts w:hint="eastAsia" w:ascii="宋体" w:hAnsi="宋体"/>
                <w:color w:val="auto"/>
              </w:rPr>
              <w:t>9：05</w:t>
            </w:r>
            <w:r>
              <w:rPr>
                <w:rFonts w:ascii="宋体" w:hAnsi="宋体"/>
                <w:color w:val="auto"/>
              </w:rPr>
              <w:t>～</w:t>
            </w:r>
            <w:r>
              <w:rPr>
                <w:rFonts w:hint="eastAsia" w:ascii="宋体" w:hAnsi="宋体"/>
                <w:color w:val="auto"/>
              </w:rPr>
              <w:t>10：07</w:t>
            </w:r>
          </w:p>
        </w:tc>
        <w:tc>
          <w:tcPr>
            <w:tcW w:w="621" w:type="pct"/>
            <w:vAlign w:val="center"/>
          </w:tcPr>
          <w:p w14:paraId="7C831540">
            <w:pPr>
              <w:jc w:val="center"/>
              <w:rPr>
                <w:rFonts w:ascii="宋体" w:hAnsi="宋体"/>
                <w:color w:val="auto"/>
              </w:rPr>
            </w:pPr>
            <w:r>
              <w:rPr>
                <w:rFonts w:hint="eastAsia" w:ascii="宋体" w:hAnsi="宋体"/>
                <w:color w:val="auto"/>
              </w:rPr>
              <w:t>7.6</w:t>
            </w:r>
          </w:p>
        </w:tc>
        <w:tc>
          <w:tcPr>
            <w:tcW w:w="541" w:type="pct"/>
            <w:vAlign w:val="center"/>
          </w:tcPr>
          <w:p w14:paraId="492BA7C0">
            <w:pPr>
              <w:jc w:val="center"/>
              <w:rPr>
                <w:rFonts w:ascii="宋体" w:hAnsi="宋体"/>
                <w:color w:val="auto"/>
              </w:rPr>
            </w:pPr>
            <w:r>
              <w:rPr>
                <w:rFonts w:hint="eastAsia" w:ascii="宋体" w:hAnsi="宋体"/>
                <w:color w:val="auto"/>
              </w:rPr>
              <w:t>102.4</w:t>
            </w:r>
          </w:p>
        </w:tc>
        <w:tc>
          <w:tcPr>
            <w:tcW w:w="387" w:type="pct"/>
            <w:vAlign w:val="center"/>
          </w:tcPr>
          <w:p w14:paraId="38EA9017">
            <w:pPr>
              <w:jc w:val="center"/>
              <w:rPr>
                <w:rFonts w:ascii="宋体" w:hAnsi="宋体"/>
                <w:color w:val="auto"/>
              </w:rPr>
            </w:pPr>
            <w:r>
              <w:rPr>
                <w:rFonts w:hint="eastAsia" w:ascii="宋体" w:hAnsi="宋体"/>
                <w:color w:val="auto"/>
              </w:rPr>
              <w:t>南</w:t>
            </w:r>
          </w:p>
        </w:tc>
        <w:tc>
          <w:tcPr>
            <w:tcW w:w="539" w:type="pct"/>
            <w:vAlign w:val="center"/>
          </w:tcPr>
          <w:p w14:paraId="583DCA1C">
            <w:pPr>
              <w:jc w:val="center"/>
              <w:rPr>
                <w:rFonts w:ascii="宋体" w:hAnsi="宋体"/>
                <w:color w:val="auto"/>
              </w:rPr>
            </w:pPr>
            <w:r>
              <w:rPr>
                <w:rFonts w:hint="eastAsia" w:ascii="宋体" w:hAnsi="宋体"/>
                <w:color w:val="auto"/>
              </w:rPr>
              <w:t>1.9</w:t>
            </w:r>
          </w:p>
        </w:tc>
        <w:tc>
          <w:tcPr>
            <w:tcW w:w="486" w:type="pct"/>
            <w:vAlign w:val="center"/>
          </w:tcPr>
          <w:p w14:paraId="25E58653">
            <w:pPr>
              <w:jc w:val="center"/>
              <w:rPr>
                <w:rFonts w:ascii="宋体" w:hAnsi="宋体"/>
                <w:color w:val="auto"/>
              </w:rPr>
            </w:pPr>
            <w:r>
              <w:rPr>
                <w:rFonts w:hint="eastAsia" w:ascii="宋体" w:hAnsi="宋体"/>
                <w:color w:val="auto"/>
              </w:rPr>
              <w:t>5/2</w:t>
            </w:r>
          </w:p>
        </w:tc>
      </w:tr>
      <w:tr w14:paraId="127F2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333E068F">
            <w:pPr>
              <w:widowControl/>
              <w:jc w:val="center"/>
              <w:rPr>
                <w:rFonts w:ascii="宋体" w:hAnsi="宋体"/>
                <w:color w:val="auto"/>
              </w:rPr>
            </w:pPr>
          </w:p>
        </w:tc>
        <w:tc>
          <w:tcPr>
            <w:tcW w:w="674" w:type="pct"/>
            <w:vMerge w:val="continue"/>
            <w:vAlign w:val="center"/>
          </w:tcPr>
          <w:p w14:paraId="5C5D669B">
            <w:pPr>
              <w:widowControl/>
              <w:jc w:val="center"/>
              <w:rPr>
                <w:rFonts w:ascii="宋体" w:hAnsi="宋体"/>
                <w:color w:val="auto"/>
              </w:rPr>
            </w:pPr>
          </w:p>
        </w:tc>
        <w:tc>
          <w:tcPr>
            <w:tcW w:w="1047" w:type="pct"/>
            <w:vAlign w:val="center"/>
          </w:tcPr>
          <w:p w14:paraId="7956D725">
            <w:pPr>
              <w:jc w:val="center"/>
              <w:rPr>
                <w:rFonts w:ascii="宋体" w:hAnsi="宋体"/>
                <w:color w:val="auto"/>
              </w:rPr>
            </w:pPr>
            <w:r>
              <w:rPr>
                <w:rFonts w:hint="eastAsia" w:ascii="宋体" w:hAnsi="宋体"/>
                <w:color w:val="auto"/>
              </w:rPr>
              <w:t>11：05</w:t>
            </w:r>
            <w:r>
              <w:rPr>
                <w:rFonts w:ascii="宋体" w:hAnsi="宋体"/>
                <w:color w:val="auto"/>
              </w:rPr>
              <w:t>～</w:t>
            </w:r>
            <w:r>
              <w:rPr>
                <w:rFonts w:hint="eastAsia" w:ascii="宋体" w:hAnsi="宋体"/>
                <w:color w:val="auto"/>
              </w:rPr>
              <w:t>12：07</w:t>
            </w:r>
          </w:p>
        </w:tc>
        <w:tc>
          <w:tcPr>
            <w:tcW w:w="621" w:type="pct"/>
            <w:vAlign w:val="center"/>
          </w:tcPr>
          <w:p w14:paraId="0DC5D974">
            <w:pPr>
              <w:jc w:val="center"/>
              <w:rPr>
                <w:rFonts w:ascii="宋体" w:hAnsi="宋体"/>
                <w:color w:val="auto"/>
              </w:rPr>
            </w:pPr>
            <w:r>
              <w:rPr>
                <w:rFonts w:hint="eastAsia" w:ascii="宋体" w:hAnsi="宋体"/>
                <w:color w:val="auto"/>
              </w:rPr>
              <w:t>12.3</w:t>
            </w:r>
          </w:p>
        </w:tc>
        <w:tc>
          <w:tcPr>
            <w:tcW w:w="541" w:type="pct"/>
            <w:vAlign w:val="center"/>
          </w:tcPr>
          <w:p w14:paraId="6954AAA6">
            <w:pPr>
              <w:jc w:val="center"/>
              <w:rPr>
                <w:rFonts w:ascii="宋体" w:hAnsi="宋体"/>
                <w:color w:val="auto"/>
              </w:rPr>
            </w:pPr>
            <w:r>
              <w:rPr>
                <w:rFonts w:hint="eastAsia" w:ascii="宋体" w:hAnsi="宋体"/>
                <w:color w:val="auto"/>
              </w:rPr>
              <w:t>102.3</w:t>
            </w:r>
          </w:p>
        </w:tc>
        <w:tc>
          <w:tcPr>
            <w:tcW w:w="387" w:type="pct"/>
            <w:vAlign w:val="center"/>
          </w:tcPr>
          <w:p w14:paraId="6E32350A">
            <w:pPr>
              <w:jc w:val="center"/>
              <w:rPr>
                <w:rFonts w:ascii="宋体" w:hAnsi="宋体"/>
                <w:color w:val="auto"/>
              </w:rPr>
            </w:pPr>
            <w:r>
              <w:rPr>
                <w:rFonts w:hint="eastAsia" w:ascii="宋体" w:hAnsi="宋体"/>
                <w:color w:val="auto"/>
              </w:rPr>
              <w:t>南</w:t>
            </w:r>
          </w:p>
        </w:tc>
        <w:tc>
          <w:tcPr>
            <w:tcW w:w="539" w:type="pct"/>
            <w:vAlign w:val="center"/>
          </w:tcPr>
          <w:p w14:paraId="0D4EDD0D">
            <w:pPr>
              <w:jc w:val="center"/>
              <w:rPr>
                <w:rFonts w:ascii="宋体" w:hAnsi="宋体"/>
                <w:color w:val="auto"/>
              </w:rPr>
            </w:pPr>
            <w:r>
              <w:rPr>
                <w:rFonts w:hint="eastAsia" w:ascii="宋体" w:hAnsi="宋体"/>
                <w:color w:val="auto"/>
              </w:rPr>
              <w:t>2.2</w:t>
            </w:r>
          </w:p>
        </w:tc>
        <w:tc>
          <w:tcPr>
            <w:tcW w:w="486" w:type="pct"/>
            <w:vAlign w:val="center"/>
          </w:tcPr>
          <w:p w14:paraId="2253D85F">
            <w:pPr>
              <w:jc w:val="center"/>
              <w:rPr>
                <w:rFonts w:ascii="宋体" w:hAnsi="宋体"/>
                <w:color w:val="auto"/>
              </w:rPr>
            </w:pPr>
            <w:r>
              <w:rPr>
                <w:rFonts w:hint="eastAsia" w:ascii="宋体" w:hAnsi="宋体"/>
                <w:color w:val="auto"/>
              </w:rPr>
              <w:t>4/3</w:t>
            </w:r>
          </w:p>
        </w:tc>
      </w:tr>
      <w:tr w14:paraId="2E949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195B4335">
            <w:pPr>
              <w:widowControl/>
              <w:jc w:val="center"/>
              <w:rPr>
                <w:rFonts w:ascii="宋体" w:hAnsi="宋体"/>
                <w:color w:val="auto"/>
              </w:rPr>
            </w:pPr>
          </w:p>
        </w:tc>
        <w:tc>
          <w:tcPr>
            <w:tcW w:w="674" w:type="pct"/>
            <w:vMerge w:val="continue"/>
            <w:vAlign w:val="center"/>
          </w:tcPr>
          <w:p w14:paraId="2E646870">
            <w:pPr>
              <w:widowControl/>
              <w:jc w:val="center"/>
              <w:rPr>
                <w:rFonts w:ascii="宋体" w:hAnsi="宋体"/>
                <w:color w:val="auto"/>
              </w:rPr>
            </w:pPr>
          </w:p>
        </w:tc>
        <w:tc>
          <w:tcPr>
            <w:tcW w:w="1047" w:type="pct"/>
            <w:vAlign w:val="center"/>
          </w:tcPr>
          <w:p w14:paraId="0C660E45">
            <w:pPr>
              <w:jc w:val="center"/>
              <w:rPr>
                <w:rFonts w:ascii="宋体" w:hAnsi="宋体"/>
                <w:color w:val="auto"/>
              </w:rPr>
            </w:pPr>
            <w:r>
              <w:rPr>
                <w:rFonts w:hint="eastAsia" w:ascii="宋体" w:hAnsi="宋体"/>
                <w:color w:val="auto"/>
              </w:rPr>
              <w:t>13：05</w:t>
            </w:r>
            <w:r>
              <w:rPr>
                <w:rFonts w:ascii="宋体" w:hAnsi="宋体"/>
                <w:color w:val="auto"/>
              </w:rPr>
              <w:t>～</w:t>
            </w:r>
            <w:r>
              <w:rPr>
                <w:rFonts w:hint="eastAsia" w:ascii="宋体" w:hAnsi="宋体"/>
                <w:color w:val="auto"/>
              </w:rPr>
              <w:t>14：07</w:t>
            </w:r>
          </w:p>
        </w:tc>
        <w:tc>
          <w:tcPr>
            <w:tcW w:w="621" w:type="pct"/>
            <w:vAlign w:val="center"/>
          </w:tcPr>
          <w:p w14:paraId="291D35B2">
            <w:pPr>
              <w:jc w:val="center"/>
              <w:rPr>
                <w:rFonts w:ascii="宋体" w:hAnsi="宋体"/>
                <w:color w:val="auto"/>
              </w:rPr>
            </w:pPr>
            <w:r>
              <w:rPr>
                <w:rFonts w:hint="eastAsia" w:ascii="宋体" w:hAnsi="宋体"/>
                <w:color w:val="auto"/>
              </w:rPr>
              <w:t>14.5</w:t>
            </w:r>
          </w:p>
        </w:tc>
        <w:tc>
          <w:tcPr>
            <w:tcW w:w="541" w:type="pct"/>
            <w:vAlign w:val="center"/>
          </w:tcPr>
          <w:p w14:paraId="0E6DAA0E">
            <w:pPr>
              <w:jc w:val="center"/>
              <w:rPr>
                <w:rFonts w:ascii="宋体" w:hAnsi="宋体"/>
                <w:color w:val="auto"/>
              </w:rPr>
            </w:pPr>
            <w:r>
              <w:rPr>
                <w:rFonts w:hint="eastAsia" w:ascii="宋体" w:hAnsi="宋体"/>
                <w:color w:val="auto"/>
              </w:rPr>
              <w:t>102.2</w:t>
            </w:r>
          </w:p>
        </w:tc>
        <w:tc>
          <w:tcPr>
            <w:tcW w:w="387" w:type="pct"/>
            <w:vAlign w:val="center"/>
          </w:tcPr>
          <w:p w14:paraId="22D17466">
            <w:pPr>
              <w:jc w:val="center"/>
              <w:rPr>
                <w:rFonts w:ascii="宋体" w:hAnsi="宋体"/>
                <w:color w:val="auto"/>
              </w:rPr>
            </w:pPr>
            <w:r>
              <w:rPr>
                <w:rFonts w:hint="eastAsia" w:ascii="宋体" w:hAnsi="宋体"/>
                <w:color w:val="auto"/>
              </w:rPr>
              <w:t>南</w:t>
            </w:r>
          </w:p>
        </w:tc>
        <w:tc>
          <w:tcPr>
            <w:tcW w:w="539" w:type="pct"/>
            <w:vAlign w:val="center"/>
          </w:tcPr>
          <w:p w14:paraId="05D2B8AC">
            <w:pPr>
              <w:jc w:val="center"/>
              <w:rPr>
                <w:rFonts w:ascii="宋体" w:hAnsi="宋体"/>
                <w:color w:val="auto"/>
              </w:rPr>
            </w:pPr>
            <w:r>
              <w:rPr>
                <w:rFonts w:hint="eastAsia" w:ascii="宋体" w:hAnsi="宋体"/>
                <w:color w:val="auto"/>
              </w:rPr>
              <w:t>2.3</w:t>
            </w:r>
          </w:p>
        </w:tc>
        <w:tc>
          <w:tcPr>
            <w:tcW w:w="486" w:type="pct"/>
            <w:vAlign w:val="center"/>
          </w:tcPr>
          <w:p w14:paraId="41D7B1D1">
            <w:pPr>
              <w:jc w:val="center"/>
              <w:rPr>
                <w:rFonts w:ascii="宋体" w:hAnsi="宋体"/>
                <w:color w:val="auto"/>
              </w:rPr>
            </w:pPr>
            <w:r>
              <w:rPr>
                <w:rFonts w:hint="eastAsia" w:ascii="宋体" w:hAnsi="宋体"/>
                <w:color w:val="auto"/>
              </w:rPr>
              <w:t>3/2</w:t>
            </w:r>
          </w:p>
        </w:tc>
      </w:tr>
      <w:tr w14:paraId="51E61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5C57F6C4">
            <w:pPr>
              <w:widowControl/>
              <w:jc w:val="center"/>
              <w:rPr>
                <w:rFonts w:ascii="宋体" w:hAnsi="宋体"/>
                <w:color w:val="auto"/>
              </w:rPr>
            </w:pPr>
          </w:p>
        </w:tc>
        <w:tc>
          <w:tcPr>
            <w:tcW w:w="674" w:type="pct"/>
            <w:vMerge w:val="continue"/>
            <w:vAlign w:val="center"/>
          </w:tcPr>
          <w:p w14:paraId="653751B8">
            <w:pPr>
              <w:widowControl/>
              <w:jc w:val="center"/>
              <w:rPr>
                <w:rFonts w:ascii="宋体" w:hAnsi="宋体"/>
                <w:color w:val="auto"/>
              </w:rPr>
            </w:pPr>
          </w:p>
        </w:tc>
        <w:tc>
          <w:tcPr>
            <w:tcW w:w="1047" w:type="pct"/>
            <w:vAlign w:val="center"/>
          </w:tcPr>
          <w:p w14:paraId="06EDEC95">
            <w:pPr>
              <w:jc w:val="center"/>
              <w:rPr>
                <w:rFonts w:ascii="宋体" w:hAnsi="宋体"/>
                <w:color w:val="auto"/>
              </w:rPr>
            </w:pPr>
            <w:r>
              <w:rPr>
                <w:rFonts w:hint="eastAsia" w:ascii="宋体" w:hAnsi="宋体"/>
                <w:color w:val="auto"/>
              </w:rPr>
              <w:t>15：05</w:t>
            </w:r>
            <w:r>
              <w:rPr>
                <w:rFonts w:ascii="宋体" w:hAnsi="宋体"/>
                <w:color w:val="auto"/>
              </w:rPr>
              <w:t>～</w:t>
            </w:r>
            <w:r>
              <w:rPr>
                <w:rFonts w:hint="eastAsia" w:ascii="宋体" w:hAnsi="宋体"/>
                <w:color w:val="auto"/>
              </w:rPr>
              <w:t>16：07</w:t>
            </w:r>
          </w:p>
        </w:tc>
        <w:tc>
          <w:tcPr>
            <w:tcW w:w="621" w:type="pct"/>
            <w:vAlign w:val="center"/>
          </w:tcPr>
          <w:p w14:paraId="589808D9">
            <w:pPr>
              <w:jc w:val="center"/>
              <w:rPr>
                <w:rFonts w:ascii="宋体" w:hAnsi="宋体"/>
                <w:color w:val="auto"/>
              </w:rPr>
            </w:pPr>
            <w:r>
              <w:rPr>
                <w:rFonts w:hint="eastAsia" w:ascii="宋体" w:hAnsi="宋体"/>
                <w:color w:val="auto"/>
              </w:rPr>
              <w:t>16.1</w:t>
            </w:r>
          </w:p>
        </w:tc>
        <w:tc>
          <w:tcPr>
            <w:tcW w:w="541" w:type="pct"/>
            <w:vAlign w:val="center"/>
          </w:tcPr>
          <w:p w14:paraId="38A20A92">
            <w:pPr>
              <w:jc w:val="center"/>
              <w:rPr>
                <w:rFonts w:ascii="宋体" w:hAnsi="宋体"/>
                <w:color w:val="auto"/>
              </w:rPr>
            </w:pPr>
            <w:r>
              <w:rPr>
                <w:rFonts w:hint="eastAsia" w:ascii="宋体" w:hAnsi="宋体"/>
                <w:color w:val="auto"/>
              </w:rPr>
              <w:t>102.2</w:t>
            </w:r>
          </w:p>
        </w:tc>
        <w:tc>
          <w:tcPr>
            <w:tcW w:w="387" w:type="pct"/>
            <w:vAlign w:val="center"/>
          </w:tcPr>
          <w:p w14:paraId="515BA547">
            <w:pPr>
              <w:jc w:val="center"/>
              <w:rPr>
                <w:rFonts w:ascii="宋体" w:hAnsi="宋体"/>
                <w:color w:val="auto"/>
              </w:rPr>
            </w:pPr>
            <w:r>
              <w:rPr>
                <w:rFonts w:hint="eastAsia" w:ascii="宋体" w:hAnsi="宋体"/>
                <w:color w:val="auto"/>
              </w:rPr>
              <w:t>南</w:t>
            </w:r>
          </w:p>
        </w:tc>
        <w:tc>
          <w:tcPr>
            <w:tcW w:w="539" w:type="pct"/>
            <w:vAlign w:val="center"/>
          </w:tcPr>
          <w:p w14:paraId="36EB4033">
            <w:pPr>
              <w:jc w:val="center"/>
              <w:rPr>
                <w:rFonts w:ascii="宋体" w:hAnsi="宋体"/>
                <w:color w:val="auto"/>
              </w:rPr>
            </w:pPr>
            <w:r>
              <w:rPr>
                <w:rFonts w:hint="eastAsia" w:ascii="宋体" w:hAnsi="宋体"/>
                <w:color w:val="auto"/>
              </w:rPr>
              <w:t>2.0</w:t>
            </w:r>
          </w:p>
        </w:tc>
        <w:tc>
          <w:tcPr>
            <w:tcW w:w="486" w:type="pct"/>
            <w:vAlign w:val="center"/>
          </w:tcPr>
          <w:p w14:paraId="3D709365">
            <w:pPr>
              <w:jc w:val="center"/>
              <w:rPr>
                <w:rFonts w:ascii="宋体" w:hAnsi="宋体"/>
                <w:color w:val="auto"/>
              </w:rPr>
            </w:pPr>
            <w:r>
              <w:rPr>
                <w:rFonts w:hint="eastAsia" w:ascii="宋体" w:hAnsi="宋体"/>
                <w:color w:val="auto"/>
              </w:rPr>
              <w:t>2/1</w:t>
            </w:r>
          </w:p>
        </w:tc>
      </w:tr>
      <w:tr w14:paraId="71EAB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0FD1ECA5">
            <w:pPr>
              <w:widowControl/>
              <w:jc w:val="center"/>
              <w:rPr>
                <w:rFonts w:ascii="宋体" w:hAnsi="宋体"/>
                <w:color w:val="auto"/>
              </w:rPr>
            </w:pPr>
          </w:p>
        </w:tc>
        <w:tc>
          <w:tcPr>
            <w:tcW w:w="674" w:type="pct"/>
            <w:vMerge w:val="restart"/>
            <w:vAlign w:val="center"/>
          </w:tcPr>
          <w:p w14:paraId="0168A4DB">
            <w:pPr>
              <w:jc w:val="center"/>
              <w:rPr>
                <w:rFonts w:ascii="宋体" w:hAnsi="宋体"/>
                <w:color w:val="auto"/>
              </w:rPr>
            </w:pPr>
            <w:r>
              <w:rPr>
                <w:rFonts w:hint="eastAsia" w:ascii="宋体" w:hAnsi="宋体"/>
                <w:color w:val="auto"/>
              </w:rPr>
              <w:t>2026年3月11日</w:t>
            </w:r>
          </w:p>
        </w:tc>
        <w:tc>
          <w:tcPr>
            <w:tcW w:w="1047" w:type="pct"/>
            <w:vAlign w:val="center"/>
          </w:tcPr>
          <w:p w14:paraId="10F6B46E">
            <w:pPr>
              <w:jc w:val="center"/>
              <w:rPr>
                <w:rFonts w:ascii="宋体" w:hAnsi="宋体"/>
                <w:color w:val="auto"/>
              </w:rPr>
            </w:pPr>
            <w:r>
              <w:rPr>
                <w:rFonts w:hint="eastAsia" w:ascii="宋体" w:hAnsi="宋体"/>
                <w:color w:val="auto"/>
              </w:rPr>
              <w:t>9：00</w:t>
            </w:r>
            <w:r>
              <w:rPr>
                <w:rFonts w:ascii="宋体" w:hAnsi="宋体"/>
                <w:color w:val="auto"/>
              </w:rPr>
              <w:t>～</w:t>
            </w:r>
            <w:r>
              <w:rPr>
                <w:rFonts w:hint="eastAsia" w:ascii="宋体" w:hAnsi="宋体"/>
                <w:color w:val="auto"/>
              </w:rPr>
              <w:t>10：02</w:t>
            </w:r>
          </w:p>
        </w:tc>
        <w:tc>
          <w:tcPr>
            <w:tcW w:w="621" w:type="pct"/>
            <w:vAlign w:val="center"/>
          </w:tcPr>
          <w:p w14:paraId="0F91F057">
            <w:pPr>
              <w:jc w:val="center"/>
              <w:rPr>
                <w:rFonts w:ascii="宋体" w:hAnsi="宋体"/>
                <w:color w:val="auto"/>
              </w:rPr>
            </w:pPr>
            <w:r>
              <w:rPr>
                <w:rFonts w:hint="eastAsia" w:ascii="宋体" w:hAnsi="宋体"/>
                <w:color w:val="auto"/>
              </w:rPr>
              <w:t>7.6</w:t>
            </w:r>
          </w:p>
        </w:tc>
        <w:tc>
          <w:tcPr>
            <w:tcW w:w="541" w:type="pct"/>
            <w:vAlign w:val="center"/>
          </w:tcPr>
          <w:p w14:paraId="4146A856">
            <w:pPr>
              <w:jc w:val="center"/>
              <w:rPr>
                <w:rFonts w:ascii="宋体" w:hAnsi="宋体"/>
                <w:color w:val="auto"/>
              </w:rPr>
            </w:pPr>
            <w:r>
              <w:rPr>
                <w:rFonts w:hint="eastAsia" w:ascii="宋体" w:hAnsi="宋体"/>
                <w:color w:val="auto"/>
              </w:rPr>
              <w:t>102.2</w:t>
            </w:r>
          </w:p>
        </w:tc>
        <w:tc>
          <w:tcPr>
            <w:tcW w:w="387" w:type="pct"/>
            <w:vAlign w:val="center"/>
          </w:tcPr>
          <w:p w14:paraId="19620F4E">
            <w:pPr>
              <w:jc w:val="center"/>
              <w:rPr>
                <w:rFonts w:ascii="宋体" w:hAnsi="宋体"/>
                <w:color w:val="auto"/>
              </w:rPr>
            </w:pPr>
            <w:r>
              <w:rPr>
                <w:rFonts w:hint="eastAsia" w:ascii="宋体" w:hAnsi="宋体"/>
                <w:color w:val="auto"/>
              </w:rPr>
              <w:t>南</w:t>
            </w:r>
          </w:p>
        </w:tc>
        <w:tc>
          <w:tcPr>
            <w:tcW w:w="539" w:type="pct"/>
            <w:vAlign w:val="center"/>
          </w:tcPr>
          <w:p w14:paraId="6B95D4FE">
            <w:pPr>
              <w:jc w:val="center"/>
              <w:rPr>
                <w:rFonts w:ascii="宋体" w:hAnsi="宋体"/>
                <w:color w:val="auto"/>
              </w:rPr>
            </w:pPr>
            <w:r>
              <w:rPr>
                <w:rFonts w:hint="eastAsia" w:ascii="宋体" w:hAnsi="宋体"/>
                <w:color w:val="auto"/>
              </w:rPr>
              <w:t>2.6</w:t>
            </w:r>
          </w:p>
        </w:tc>
        <w:tc>
          <w:tcPr>
            <w:tcW w:w="486" w:type="pct"/>
            <w:vAlign w:val="center"/>
          </w:tcPr>
          <w:p w14:paraId="49E8B179">
            <w:pPr>
              <w:jc w:val="center"/>
              <w:rPr>
                <w:rFonts w:ascii="宋体" w:hAnsi="宋体"/>
                <w:color w:val="auto"/>
              </w:rPr>
            </w:pPr>
            <w:r>
              <w:rPr>
                <w:rFonts w:hint="eastAsia" w:ascii="宋体" w:hAnsi="宋体"/>
                <w:color w:val="auto"/>
              </w:rPr>
              <w:t>5/3</w:t>
            </w:r>
          </w:p>
        </w:tc>
      </w:tr>
      <w:tr w14:paraId="53700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11BF7B52">
            <w:pPr>
              <w:widowControl/>
              <w:jc w:val="center"/>
              <w:rPr>
                <w:rFonts w:ascii="宋体" w:hAnsi="宋体"/>
                <w:color w:val="auto"/>
              </w:rPr>
            </w:pPr>
          </w:p>
        </w:tc>
        <w:tc>
          <w:tcPr>
            <w:tcW w:w="674" w:type="pct"/>
            <w:vMerge w:val="continue"/>
            <w:vAlign w:val="center"/>
          </w:tcPr>
          <w:p w14:paraId="57FAC731">
            <w:pPr>
              <w:widowControl/>
              <w:jc w:val="center"/>
              <w:rPr>
                <w:rFonts w:ascii="宋体" w:hAnsi="宋体"/>
                <w:color w:val="auto"/>
              </w:rPr>
            </w:pPr>
          </w:p>
        </w:tc>
        <w:tc>
          <w:tcPr>
            <w:tcW w:w="1047" w:type="pct"/>
            <w:vAlign w:val="center"/>
          </w:tcPr>
          <w:p w14:paraId="594B38B2">
            <w:pPr>
              <w:jc w:val="center"/>
              <w:rPr>
                <w:rFonts w:ascii="宋体" w:hAnsi="宋体"/>
                <w:color w:val="auto"/>
              </w:rPr>
            </w:pPr>
            <w:r>
              <w:rPr>
                <w:rFonts w:hint="eastAsia" w:ascii="宋体" w:hAnsi="宋体"/>
                <w:color w:val="auto"/>
              </w:rPr>
              <w:t>11：00</w:t>
            </w:r>
            <w:r>
              <w:rPr>
                <w:rFonts w:ascii="宋体" w:hAnsi="宋体"/>
                <w:color w:val="auto"/>
              </w:rPr>
              <w:t>～</w:t>
            </w:r>
            <w:r>
              <w:rPr>
                <w:rFonts w:hint="eastAsia" w:ascii="宋体" w:hAnsi="宋体"/>
                <w:color w:val="auto"/>
              </w:rPr>
              <w:t>12：02</w:t>
            </w:r>
          </w:p>
        </w:tc>
        <w:tc>
          <w:tcPr>
            <w:tcW w:w="621" w:type="pct"/>
            <w:vAlign w:val="center"/>
          </w:tcPr>
          <w:p w14:paraId="59313ADB">
            <w:pPr>
              <w:jc w:val="center"/>
              <w:rPr>
                <w:rFonts w:ascii="宋体" w:hAnsi="宋体"/>
                <w:color w:val="auto"/>
              </w:rPr>
            </w:pPr>
            <w:r>
              <w:rPr>
                <w:rFonts w:hint="eastAsia" w:ascii="宋体" w:hAnsi="宋体"/>
                <w:color w:val="auto"/>
              </w:rPr>
              <w:t>11.2</w:t>
            </w:r>
          </w:p>
        </w:tc>
        <w:tc>
          <w:tcPr>
            <w:tcW w:w="541" w:type="pct"/>
            <w:vAlign w:val="center"/>
          </w:tcPr>
          <w:p w14:paraId="217C9F1F">
            <w:pPr>
              <w:jc w:val="center"/>
              <w:rPr>
                <w:rFonts w:ascii="宋体" w:hAnsi="宋体"/>
                <w:color w:val="auto"/>
              </w:rPr>
            </w:pPr>
            <w:r>
              <w:rPr>
                <w:rFonts w:hint="eastAsia" w:ascii="宋体" w:hAnsi="宋体"/>
                <w:color w:val="auto"/>
              </w:rPr>
              <w:t>102.2</w:t>
            </w:r>
          </w:p>
        </w:tc>
        <w:tc>
          <w:tcPr>
            <w:tcW w:w="387" w:type="pct"/>
            <w:vAlign w:val="center"/>
          </w:tcPr>
          <w:p w14:paraId="5C9CBF2D">
            <w:pPr>
              <w:jc w:val="center"/>
              <w:rPr>
                <w:rFonts w:ascii="宋体" w:hAnsi="宋体"/>
                <w:color w:val="auto"/>
              </w:rPr>
            </w:pPr>
            <w:r>
              <w:rPr>
                <w:rFonts w:hint="eastAsia" w:ascii="宋体" w:hAnsi="宋体"/>
                <w:color w:val="auto"/>
              </w:rPr>
              <w:t>南</w:t>
            </w:r>
          </w:p>
        </w:tc>
        <w:tc>
          <w:tcPr>
            <w:tcW w:w="539" w:type="pct"/>
            <w:vAlign w:val="center"/>
          </w:tcPr>
          <w:p w14:paraId="4AD0A034">
            <w:pPr>
              <w:jc w:val="center"/>
              <w:rPr>
                <w:rFonts w:ascii="宋体" w:hAnsi="宋体"/>
                <w:color w:val="auto"/>
              </w:rPr>
            </w:pPr>
            <w:r>
              <w:rPr>
                <w:rFonts w:hint="eastAsia" w:ascii="宋体" w:hAnsi="宋体"/>
                <w:color w:val="auto"/>
              </w:rPr>
              <w:t>3.0</w:t>
            </w:r>
          </w:p>
        </w:tc>
        <w:tc>
          <w:tcPr>
            <w:tcW w:w="486" w:type="pct"/>
            <w:vAlign w:val="center"/>
          </w:tcPr>
          <w:p w14:paraId="13C64930">
            <w:pPr>
              <w:jc w:val="center"/>
              <w:rPr>
                <w:rFonts w:ascii="宋体" w:hAnsi="宋体"/>
                <w:color w:val="auto"/>
              </w:rPr>
            </w:pPr>
            <w:r>
              <w:rPr>
                <w:rFonts w:hint="eastAsia" w:ascii="宋体" w:hAnsi="宋体"/>
                <w:color w:val="auto"/>
              </w:rPr>
              <w:t>5/3</w:t>
            </w:r>
          </w:p>
        </w:tc>
      </w:tr>
      <w:tr w14:paraId="0D9FD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0DC97572">
            <w:pPr>
              <w:widowControl/>
              <w:jc w:val="center"/>
              <w:rPr>
                <w:rFonts w:ascii="宋体" w:hAnsi="宋体"/>
                <w:color w:val="auto"/>
              </w:rPr>
            </w:pPr>
          </w:p>
        </w:tc>
        <w:tc>
          <w:tcPr>
            <w:tcW w:w="674" w:type="pct"/>
            <w:vMerge w:val="continue"/>
            <w:vAlign w:val="center"/>
          </w:tcPr>
          <w:p w14:paraId="4F609313">
            <w:pPr>
              <w:widowControl/>
              <w:jc w:val="center"/>
              <w:rPr>
                <w:rFonts w:ascii="宋体" w:hAnsi="宋体"/>
                <w:color w:val="auto"/>
              </w:rPr>
            </w:pPr>
          </w:p>
        </w:tc>
        <w:tc>
          <w:tcPr>
            <w:tcW w:w="1047" w:type="pct"/>
            <w:vAlign w:val="center"/>
          </w:tcPr>
          <w:p w14:paraId="4B434E53">
            <w:pPr>
              <w:jc w:val="center"/>
              <w:rPr>
                <w:rFonts w:ascii="宋体" w:hAnsi="宋体"/>
                <w:color w:val="auto"/>
              </w:rPr>
            </w:pPr>
            <w:r>
              <w:rPr>
                <w:rFonts w:hint="eastAsia" w:ascii="宋体" w:hAnsi="宋体"/>
                <w:color w:val="auto"/>
              </w:rPr>
              <w:t>13：00</w:t>
            </w:r>
            <w:r>
              <w:rPr>
                <w:rFonts w:ascii="宋体" w:hAnsi="宋体"/>
                <w:color w:val="auto"/>
              </w:rPr>
              <w:t>～</w:t>
            </w:r>
            <w:r>
              <w:rPr>
                <w:rFonts w:hint="eastAsia" w:ascii="宋体" w:hAnsi="宋体"/>
                <w:color w:val="auto"/>
              </w:rPr>
              <w:t>14：02</w:t>
            </w:r>
          </w:p>
        </w:tc>
        <w:tc>
          <w:tcPr>
            <w:tcW w:w="621" w:type="pct"/>
            <w:vAlign w:val="center"/>
          </w:tcPr>
          <w:p w14:paraId="73207639">
            <w:pPr>
              <w:jc w:val="center"/>
              <w:rPr>
                <w:rFonts w:ascii="宋体" w:hAnsi="宋体"/>
                <w:color w:val="auto"/>
              </w:rPr>
            </w:pPr>
            <w:r>
              <w:rPr>
                <w:rFonts w:hint="eastAsia" w:ascii="宋体" w:hAnsi="宋体"/>
                <w:color w:val="auto"/>
              </w:rPr>
              <w:t>13.0</w:t>
            </w:r>
          </w:p>
        </w:tc>
        <w:tc>
          <w:tcPr>
            <w:tcW w:w="541" w:type="pct"/>
            <w:vAlign w:val="center"/>
          </w:tcPr>
          <w:p w14:paraId="76D959B0">
            <w:pPr>
              <w:jc w:val="center"/>
              <w:rPr>
                <w:rFonts w:ascii="宋体" w:hAnsi="宋体"/>
                <w:color w:val="auto"/>
              </w:rPr>
            </w:pPr>
            <w:r>
              <w:rPr>
                <w:rFonts w:hint="eastAsia" w:ascii="宋体" w:hAnsi="宋体"/>
                <w:color w:val="auto"/>
              </w:rPr>
              <w:t>102.2</w:t>
            </w:r>
          </w:p>
        </w:tc>
        <w:tc>
          <w:tcPr>
            <w:tcW w:w="387" w:type="pct"/>
            <w:vAlign w:val="center"/>
          </w:tcPr>
          <w:p w14:paraId="27625FCD">
            <w:pPr>
              <w:jc w:val="center"/>
              <w:rPr>
                <w:rFonts w:ascii="宋体" w:hAnsi="宋体"/>
                <w:color w:val="auto"/>
              </w:rPr>
            </w:pPr>
            <w:r>
              <w:rPr>
                <w:rFonts w:hint="eastAsia" w:ascii="宋体" w:hAnsi="宋体"/>
                <w:color w:val="auto"/>
              </w:rPr>
              <w:t>南</w:t>
            </w:r>
          </w:p>
        </w:tc>
        <w:tc>
          <w:tcPr>
            <w:tcW w:w="539" w:type="pct"/>
            <w:vAlign w:val="center"/>
          </w:tcPr>
          <w:p w14:paraId="74AD5CDD">
            <w:pPr>
              <w:jc w:val="center"/>
              <w:rPr>
                <w:rFonts w:ascii="宋体" w:hAnsi="宋体"/>
                <w:color w:val="auto"/>
              </w:rPr>
            </w:pPr>
            <w:r>
              <w:rPr>
                <w:rFonts w:hint="eastAsia" w:ascii="宋体" w:hAnsi="宋体"/>
                <w:color w:val="auto"/>
              </w:rPr>
              <w:t>2.7</w:t>
            </w:r>
          </w:p>
        </w:tc>
        <w:tc>
          <w:tcPr>
            <w:tcW w:w="486" w:type="pct"/>
            <w:vAlign w:val="center"/>
          </w:tcPr>
          <w:p w14:paraId="4258C26F">
            <w:pPr>
              <w:jc w:val="center"/>
              <w:rPr>
                <w:rFonts w:ascii="宋体" w:hAnsi="宋体"/>
                <w:color w:val="auto"/>
              </w:rPr>
            </w:pPr>
            <w:r>
              <w:rPr>
                <w:rFonts w:hint="eastAsia" w:ascii="宋体" w:hAnsi="宋体"/>
                <w:color w:val="auto"/>
              </w:rPr>
              <w:t>5/1</w:t>
            </w:r>
          </w:p>
        </w:tc>
      </w:tr>
      <w:tr w14:paraId="36C28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25BF59D4">
            <w:pPr>
              <w:widowControl/>
              <w:jc w:val="center"/>
              <w:rPr>
                <w:rFonts w:ascii="宋体" w:hAnsi="宋体"/>
                <w:color w:val="auto"/>
              </w:rPr>
            </w:pPr>
          </w:p>
        </w:tc>
        <w:tc>
          <w:tcPr>
            <w:tcW w:w="674" w:type="pct"/>
            <w:vMerge w:val="continue"/>
            <w:vAlign w:val="center"/>
          </w:tcPr>
          <w:p w14:paraId="4B5712F4">
            <w:pPr>
              <w:widowControl/>
              <w:jc w:val="center"/>
              <w:rPr>
                <w:rFonts w:ascii="宋体" w:hAnsi="宋体"/>
                <w:color w:val="auto"/>
              </w:rPr>
            </w:pPr>
          </w:p>
        </w:tc>
        <w:tc>
          <w:tcPr>
            <w:tcW w:w="1047" w:type="pct"/>
            <w:vAlign w:val="center"/>
          </w:tcPr>
          <w:p w14:paraId="2C0CE388">
            <w:pPr>
              <w:jc w:val="center"/>
              <w:rPr>
                <w:rFonts w:ascii="宋体" w:hAnsi="宋体"/>
                <w:color w:val="auto"/>
              </w:rPr>
            </w:pPr>
            <w:r>
              <w:rPr>
                <w:rFonts w:hint="eastAsia" w:ascii="宋体" w:hAnsi="宋体"/>
                <w:color w:val="auto"/>
              </w:rPr>
              <w:t>15：00</w:t>
            </w:r>
            <w:r>
              <w:rPr>
                <w:rFonts w:ascii="宋体" w:hAnsi="宋体"/>
                <w:color w:val="auto"/>
              </w:rPr>
              <w:t>～</w:t>
            </w:r>
            <w:r>
              <w:rPr>
                <w:rFonts w:hint="eastAsia" w:ascii="宋体" w:hAnsi="宋体"/>
                <w:color w:val="auto"/>
              </w:rPr>
              <w:t>16：02</w:t>
            </w:r>
          </w:p>
        </w:tc>
        <w:tc>
          <w:tcPr>
            <w:tcW w:w="621" w:type="pct"/>
            <w:vAlign w:val="center"/>
          </w:tcPr>
          <w:p w14:paraId="4817FEBC">
            <w:pPr>
              <w:jc w:val="center"/>
              <w:rPr>
                <w:rFonts w:ascii="宋体" w:hAnsi="宋体"/>
                <w:color w:val="auto"/>
              </w:rPr>
            </w:pPr>
            <w:r>
              <w:rPr>
                <w:rFonts w:hint="eastAsia" w:ascii="宋体" w:hAnsi="宋体"/>
                <w:color w:val="auto"/>
              </w:rPr>
              <w:t>14.2</w:t>
            </w:r>
          </w:p>
        </w:tc>
        <w:tc>
          <w:tcPr>
            <w:tcW w:w="541" w:type="pct"/>
            <w:vAlign w:val="center"/>
          </w:tcPr>
          <w:p w14:paraId="220847D3">
            <w:pPr>
              <w:jc w:val="center"/>
              <w:rPr>
                <w:rFonts w:ascii="宋体" w:hAnsi="宋体"/>
                <w:color w:val="auto"/>
              </w:rPr>
            </w:pPr>
            <w:r>
              <w:rPr>
                <w:rFonts w:hint="eastAsia" w:ascii="宋体" w:hAnsi="宋体"/>
                <w:color w:val="auto"/>
              </w:rPr>
              <w:t>102.1</w:t>
            </w:r>
          </w:p>
        </w:tc>
        <w:tc>
          <w:tcPr>
            <w:tcW w:w="387" w:type="pct"/>
            <w:vAlign w:val="center"/>
          </w:tcPr>
          <w:p w14:paraId="1A83881B">
            <w:pPr>
              <w:jc w:val="center"/>
              <w:rPr>
                <w:rFonts w:ascii="宋体" w:hAnsi="宋体"/>
                <w:color w:val="auto"/>
              </w:rPr>
            </w:pPr>
            <w:r>
              <w:rPr>
                <w:rFonts w:hint="eastAsia" w:ascii="宋体" w:hAnsi="宋体"/>
                <w:color w:val="auto"/>
              </w:rPr>
              <w:t>南</w:t>
            </w:r>
          </w:p>
        </w:tc>
        <w:tc>
          <w:tcPr>
            <w:tcW w:w="539" w:type="pct"/>
            <w:vAlign w:val="center"/>
          </w:tcPr>
          <w:p w14:paraId="475CB7B1">
            <w:pPr>
              <w:jc w:val="center"/>
              <w:rPr>
                <w:rFonts w:ascii="宋体" w:hAnsi="宋体"/>
                <w:color w:val="auto"/>
              </w:rPr>
            </w:pPr>
            <w:r>
              <w:rPr>
                <w:rFonts w:hint="eastAsia" w:ascii="宋体" w:hAnsi="宋体"/>
                <w:color w:val="auto"/>
              </w:rPr>
              <w:t>2.8</w:t>
            </w:r>
          </w:p>
        </w:tc>
        <w:tc>
          <w:tcPr>
            <w:tcW w:w="486" w:type="pct"/>
            <w:vAlign w:val="center"/>
          </w:tcPr>
          <w:p w14:paraId="67CBBF65">
            <w:pPr>
              <w:jc w:val="center"/>
              <w:rPr>
                <w:rFonts w:ascii="宋体" w:hAnsi="宋体"/>
                <w:color w:val="auto"/>
              </w:rPr>
            </w:pPr>
            <w:r>
              <w:rPr>
                <w:rFonts w:hint="eastAsia" w:ascii="宋体" w:hAnsi="宋体"/>
                <w:color w:val="auto"/>
              </w:rPr>
              <w:t>4/3</w:t>
            </w:r>
          </w:p>
        </w:tc>
      </w:tr>
      <w:tr w14:paraId="6EADF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restart"/>
            <w:vAlign w:val="center"/>
          </w:tcPr>
          <w:p w14:paraId="3B6AF350">
            <w:pPr>
              <w:jc w:val="center"/>
              <w:rPr>
                <w:rFonts w:ascii="宋体" w:hAnsi="宋体"/>
                <w:color w:val="auto"/>
              </w:rPr>
            </w:pPr>
            <w:r>
              <w:rPr>
                <w:rFonts w:ascii="宋体" w:hAnsi="宋体"/>
                <w:color w:val="auto"/>
              </w:rPr>
              <w:t>5#</w:t>
            </w:r>
            <w:r>
              <w:rPr>
                <w:rFonts w:hint="eastAsia" w:ascii="宋体" w:hAnsi="宋体"/>
                <w:color w:val="auto"/>
              </w:rPr>
              <w:t>井场</w:t>
            </w:r>
          </w:p>
        </w:tc>
        <w:tc>
          <w:tcPr>
            <w:tcW w:w="674" w:type="pct"/>
            <w:vMerge w:val="restart"/>
            <w:vAlign w:val="center"/>
          </w:tcPr>
          <w:p w14:paraId="6F3C2F66">
            <w:pPr>
              <w:widowControl/>
              <w:jc w:val="center"/>
              <w:rPr>
                <w:rFonts w:ascii="宋体" w:hAnsi="宋体"/>
                <w:color w:val="auto"/>
              </w:rPr>
            </w:pPr>
            <w:r>
              <w:rPr>
                <w:rFonts w:hint="eastAsia" w:ascii="宋体" w:hAnsi="宋体"/>
                <w:color w:val="auto"/>
              </w:rPr>
              <w:t>2026年3月6日</w:t>
            </w:r>
          </w:p>
        </w:tc>
        <w:tc>
          <w:tcPr>
            <w:tcW w:w="1047" w:type="pct"/>
            <w:vAlign w:val="center"/>
          </w:tcPr>
          <w:p w14:paraId="1336247E">
            <w:pPr>
              <w:widowControl/>
              <w:jc w:val="center"/>
              <w:rPr>
                <w:rFonts w:ascii="宋体" w:hAnsi="宋体"/>
                <w:color w:val="auto"/>
                <w:kern w:val="0"/>
                <w:szCs w:val="22"/>
              </w:rPr>
            </w:pPr>
            <w:r>
              <w:rPr>
                <w:rFonts w:hint="eastAsia" w:ascii="宋体" w:hAnsi="宋体"/>
                <w:color w:val="auto"/>
              </w:rPr>
              <w:t>9：50～10：52</w:t>
            </w:r>
          </w:p>
        </w:tc>
        <w:tc>
          <w:tcPr>
            <w:tcW w:w="621" w:type="pct"/>
            <w:vAlign w:val="center"/>
          </w:tcPr>
          <w:p w14:paraId="5BB6FEB8">
            <w:pPr>
              <w:jc w:val="center"/>
              <w:rPr>
                <w:rFonts w:ascii="宋体" w:hAnsi="宋体"/>
                <w:color w:val="auto"/>
              </w:rPr>
            </w:pPr>
            <w:r>
              <w:rPr>
                <w:rFonts w:hint="eastAsia" w:ascii="宋体" w:hAnsi="宋体"/>
                <w:color w:val="auto"/>
              </w:rPr>
              <w:t>3.0</w:t>
            </w:r>
          </w:p>
        </w:tc>
        <w:tc>
          <w:tcPr>
            <w:tcW w:w="541" w:type="pct"/>
            <w:vAlign w:val="center"/>
          </w:tcPr>
          <w:p w14:paraId="52834E21">
            <w:pPr>
              <w:jc w:val="center"/>
              <w:rPr>
                <w:rFonts w:ascii="宋体" w:hAnsi="宋体"/>
                <w:color w:val="auto"/>
              </w:rPr>
            </w:pPr>
            <w:r>
              <w:rPr>
                <w:rFonts w:hint="eastAsia" w:ascii="宋体" w:hAnsi="宋体"/>
                <w:color w:val="auto"/>
              </w:rPr>
              <w:t>103.1</w:t>
            </w:r>
          </w:p>
        </w:tc>
        <w:tc>
          <w:tcPr>
            <w:tcW w:w="387" w:type="pct"/>
            <w:vAlign w:val="center"/>
          </w:tcPr>
          <w:p w14:paraId="0F5461FB">
            <w:pPr>
              <w:jc w:val="center"/>
              <w:rPr>
                <w:rFonts w:ascii="宋体" w:hAnsi="宋体"/>
                <w:color w:val="auto"/>
              </w:rPr>
            </w:pPr>
            <w:r>
              <w:rPr>
                <w:rFonts w:hint="eastAsia" w:ascii="宋体" w:hAnsi="宋体"/>
                <w:color w:val="auto"/>
              </w:rPr>
              <w:t>西</w:t>
            </w:r>
          </w:p>
        </w:tc>
        <w:tc>
          <w:tcPr>
            <w:tcW w:w="539" w:type="pct"/>
            <w:vAlign w:val="center"/>
          </w:tcPr>
          <w:p w14:paraId="04235662">
            <w:pPr>
              <w:jc w:val="center"/>
              <w:rPr>
                <w:rFonts w:ascii="宋体" w:hAnsi="宋体"/>
                <w:color w:val="auto"/>
              </w:rPr>
            </w:pPr>
            <w:r>
              <w:rPr>
                <w:rFonts w:hint="eastAsia" w:ascii="宋体" w:hAnsi="宋体"/>
                <w:color w:val="auto"/>
              </w:rPr>
              <w:t>1.8</w:t>
            </w:r>
          </w:p>
        </w:tc>
        <w:tc>
          <w:tcPr>
            <w:tcW w:w="486" w:type="pct"/>
            <w:vAlign w:val="center"/>
          </w:tcPr>
          <w:p w14:paraId="092C881E">
            <w:pPr>
              <w:jc w:val="center"/>
              <w:rPr>
                <w:rFonts w:ascii="宋体" w:hAnsi="宋体"/>
                <w:color w:val="auto"/>
              </w:rPr>
            </w:pPr>
            <w:r>
              <w:rPr>
                <w:rFonts w:hint="eastAsia" w:ascii="宋体" w:hAnsi="宋体"/>
                <w:color w:val="auto"/>
              </w:rPr>
              <w:t>7/4</w:t>
            </w:r>
          </w:p>
        </w:tc>
      </w:tr>
      <w:tr w14:paraId="0A83B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5BB8AEC5">
            <w:pPr>
              <w:widowControl/>
              <w:jc w:val="center"/>
              <w:rPr>
                <w:rFonts w:ascii="宋体" w:hAnsi="宋体"/>
                <w:color w:val="auto"/>
              </w:rPr>
            </w:pPr>
          </w:p>
        </w:tc>
        <w:tc>
          <w:tcPr>
            <w:tcW w:w="674" w:type="pct"/>
            <w:vMerge w:val="continue"/>
            <w:vAlign w:val="center"/>
          </w:tcPr>
          <w:p w14:paraId="71B0D52C">
            <w:pPr>
              <w:widowControl/>
              <w:jc w:val="center"/>
              <w:rPr>
                <w:rFonts w:ascii="宋体" w:hAnsi="宋体"/>
                <w:color w:val="auto"/>
              </w:rPr>
            </w:pPr>
          </w:p>
        </w:tc>
        <w:tc>
          <w:tcPr>
            <w:tcW w:w="1047" w:type="pct"/>
            <w:vAlign w:val="center"/>
          </w:tcPr>
          <w:p w14:paraId="1A708247">
            <w:pPr>
              <w:widowControl/>
              <w:jc w:val="center"/>
              <w:rPr>
                <w:rFonts w:ascii="宋体" w:hAnsi="宋体"/>
                <w:color w:val="auto"/>
              </w:rPr>
            </w:pPr>
            <w:r>
              <w:rPr>
                <w:rFonts w:hint="eastAsia" w:ascii="宋体" w:hAnsi="宋体"/>
                <w:color w:val="auto"/>
              </w:rPr>
              <w:t>11：50～12：52</w:t>
            </w:r>
          </w:p>
        </w:tc>
        <w:tc>
          <w:tcPr>
            <w:tcW w:w="621" w:type="pct"/>
            <w:vAlign w:val="center"/>
          </w:tcPr>
          <w:p w14:paraId="43D9B279">
            <w:pPr>
              <w:jc w:val="center"/>
              <w:rPr>
                <w:rFonts w:ascii="宋体" w:hAnsi="宋体"/>
                <w:color w:val="auto"/>
              </w:rPr>
            </w:pPr>
            <w:r>
              <w:rPr>
                <w:rFonts w:hint="eastAsia" w:ascii="宋体" w:hAnsi="宋体"/>
                <w:color w:val="auto"/>
              </w:rPr>
              <w:t>4.1</w:t>
            </w:r>
          </w:p>
        </w:tc>
        <w:tc>
          <w:tcPr>
            <w:tcW w:w="541" w:type="pct"/>
            <w:vAlign w:val="center"/>
          </w:tcPr>
          <w:p w14:paraId="0532F86B">
            <w:pPr>
              <w:jc w:val="center"/>
              <w:rPr>
                <w:rFonts w:ascii="宋体" w:hAnsi="宋体"/>
                <w:color w:val="auto"/>
              </w:rPr>
            </w:pPr>
            <w:r>
              <w:rPr>
                <w:rFonts w:hint="eastAsia" w:ascii="宋体" w:hAnsi="宋体"/>
                <w:color w:val="auto"/>
              </w:rPr>
              <w:t>103.1</w:t>
            </w:r>
          </w:p>
        </w:tc>
        <w:tc>
          <w:tcPr>
            <w:tcW w:w="387" w:type="pct"/>
            <w:vAlign w:val="center"/>
          </w:tcPr>
          <w:p w14:paraId="2579551A">
            <w:pPr>
              <w:jc w:val="center"/>
              <w:rPr>
                <w:rFonts w:ascii="宋体" w:hAnsi="宋体"/>
                <w:color w:val="auto"/>
              </w:rPr>
            </w:pPr>
            <w:r>
              <w:rPr>
                <w:rFonts w:hint="eastAsia" w:ascii="宋体" w:hAnsi="宋体"/>
                <w:color w:val="auto"/>
              </w:rPr>
              <w:t>西</w:t>
            </w:r>
          </w:p>
        </w:tc>
        <w:tc>
          <w:tcPr>
            <w:tcW w:w="539" w:type="pct"/>
            <w:vAlign w:val="center"/>
          </w:tcPr>
          <w:p w14:paraId="584C4044">
            <w:pPr>
              <w:jc w:val="center"/>
              <w:rPr>
                <w:rFonts w:ascii="宋体" w:hAnsi="宋体"/>
                <w:color w:val="auto"/>
              </w:rPr>
            </w:pPr>
            <w:r>
              <w:rPr>
                <w:rFonts w:hint="eastAsia" w:ascii="宋体" w:hAnsi="宋体"/>
                <w:color w:val="auto"/>
              </w:rPr>
              <w:t>2.0</w:t>
            </w:r>
          </w:p>
        </w:tc>
        <w:tc>
          <w:tcPr>
            <w:tcW w:w="486" w:type="pct"/>
            <w:vAlign w:val="center"/>
          </w:tcPr>
          <w:p w14:paraId="4D7FDD97">
            <w:pPr>
              <w:jc w:val="center"/>
              <w:rPr>
                <w:rFonts w:ascii="宋体" w:hAnsi="宋体"/>
                <w:color w:val="auto"/>
              </w:rPr>
            </w:pPr>
            <w:r>
              <w:rPr>
                <w:rFonts w:hint="eastAsia" w:ascii="宋体" w:hAnsi="宋体"/>
                <w:color w:val="auto"/>
              </w:rPr>
              <w:t>7/2</w:t>
            </w:r>
          </w:p>
        </w:tc>
      </w:tr>
      <w:tr w14:paraId="3C669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4B3F58E5">
            <w:pPr>
              <w:widowControl/>
              <w:jc w:val="center"/>
              <w:rPr>
                <w:rFonts w:ascii="宋体" w:hAnsi="宋体"/>
                <w:color w:val="auto"/>
              </w:rPr>
            </w:pPr>
          </w:p>
        </w:tc>
        <w:tc>
          <w:tcPr>
            <w:tcW w:w="674" w:type="pct"/>
            <w:vMerge w:val="continue"/>
            <w:vAlign w:val="center"/>
          </w:tcPr>
          <w:p w14:paraId="41BE4DC7">
            <w:pPr>
              <w:widowControl/>
              <w:jc w:val="center"/>
              <w:rPr>
                <w:rFonts w:ascii="宋体" w:hAnsi="宋体"/>
                <w:color w:val="auto"/>
              </w:rPr>
            </w:pPr>
          </w:p>
        </w:tc>
        <w:tc>
          <w:tcPr>
            <w:tcW w:w="1047" w:type="pct"/>
            <w:vAlign w:val="center"/>
          </w:tcPr>
          <w:p w14:paraId="1B1C3C26">
            <w:pPr>
              <w:widowControl/>
              <w:jc w:val="center"/>
              <w:rPr>
                <w:rFonts w:ascii="宋体" w:hAnsi="宋体"/>
                <w:color w:val="auto"/>
                <w:szCs w:val="22"/>
              </w:rPr>
            </w:pPr>
            <w:r>
              <w:rPr>
                <w:rFonts w:hint="eastAsia" w:ascii="宋体" w:hAnsi="宋体"/>
                <w:color w:val="auto"/>
              </w:rPr>
              <w:t>13：50～14：52</w:t>
            </w:r>
          </w:p>
        </w:tc>
        <w:tc>
          <w:tcPr>
            <w:tcW w:w="621" w:type="pct"/>
            <w:vAlign w:val="center"/>
          </w:tcPr>
          <w:p w14:paraId="0469F755">
            <w:pPr>
              <w:jc w:val="center"/>
              <w:rPr>
                <w:rFonts w:ascii="宋体" w:hAnsi="宋体"/>
                <w:color w:val="auto"/>
              </w:rPr>
            </w:pPr>
            <w:r>
              <w:rPr>
                <w:rFonts w:hint="eastAsia" w:ascii="宋体" w:hAnsi="宋体"/>
                <w:color w:val="auto"/>
              </w:rPr>
              <w:t>5.8</w:t>
            </w:r>
          </w:p>
        </w:tc>
        <w:tc>
          <w:tcPr>
            <w:tcW w:w="541" w:type="pct"/>
            <w:vAlign w:val="center"/>
          </w:tcPr>
          <w:p w14:paraId="608B789F">
            <w:pPr>
              <w:jc w:val="center"/>
              <w:rPr>
                <w:rFonts w:ascii="宋体" w:hAnsi="宋体"/>
                <w:color w:val="auto"/>
              </w:rPr>
            </w:pPr>
            <w:r>
              <w:rPr>
                <w:rFonts w:hint="eastAsia" w:ascii="宋体" w:hAnsi="宋体"/>
                <w:color w:val="auto"/>
              </w:rPr>
              <w:t>103.0</w:t>
            </w:r>
          </w:p>
        </w:tc>
        <w:tc>
          <w:tcPr>
            <w:tcW w:w="387" w:type="pct"/>
            <w:vAlign w:val="center"/>
          </w:tcPr>
          <w:p w14:paraId="2EFC1B77">
            <w:pPr>
              <w:jc w:val="center"/>
              <w:rPr>
                <w:rFonts w:ascii="宋体" w:hAnsi="宋体"/>
                <w:color w:val="auto"/>
              </w:rPr>
            </w:pPr>
            <w:r>
              <w:rPr>
                <w:rFonts w:hint="eastAsia" w:ascii="宋体" w:hAnsi="宋体"/>
                <w:color w:val="auto"/>
              </w:rPr>
              <w:t>西</w:t>
            </w:r>
          </w:p>
        </w:tc>
        <w:tc>
          <w:tcPr>
            <w:tcW w:w="539" w:type="pct"/>
            <w:vAlign w:val="center"/>
          </w:tcPr>
          <w:p w14:paraId="4AC9A35C">
            <w:pPr>
              <w:jc w:val="center"/>
              <w:rPr>
                <w:rFonts w:ascii="宋体" w:hAnsi="宋体"/>
                <w:color w:val="auto"/>
              </w:rPr>
            </w:pPr>
            <w:r>
              <w:rPr>
                <w:rFonts w:hint="eastAsia" w:ascii="宋体" w:hAnsi="宋体"/>
                <w:color w:val="auto"/>
              </w:rPr>
              <w:t>2.1</w:t>
            </w:r>
          </w:p>
        </w:tc>
        <w:tc>
          <w:tcPr>
            <w:tcW w:w="486" w:type="pct"/>
            <w:vAlign w:val="center"/>
          </w:tcPr>
          <w:p w14:paraId="54FA081A">
            <w:pPr>
              <w:jc w:val="center"/>
              <w:rPr>
                <w:rFonts w:ascii="宋体" w:hAnsi="宋体"/>
                <w:color w:val="auto"/>
              </w:rPr>
            </w:pPr>
            <w:r>
              <w:rPr>
                <w:rFonts w:hint="eastAsia" w:ascii="宋体" w:hAnsi="宋体"/>
                <w:color w:val="auto"/>
              </w:rPr>
              <w:t>6/3</w:t>
            </w:r>
          </w:p>
        </w:tc>
      </w:tr>
      <w:tr w14:paraId="160EB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77D4CE8C">
            <w:pPr>
              <w:widowControl/>
              <w:jc w:val="center"/>
              <w:rPr>
                <w:rFonts w:ascii="宋体" w:hAnsi="宋体"/>
                <w:color w:val="auto"/>
              </w:rPr>
            </w:pPr>
          </w:p>
        </w:tc>
        <w:tc>
          <w:tcPr>
            <w:tcW w:w="674" w:type="pct"/>
            <w:vMerge w:val="continue"/>
            <w:vAlign w:val="center"/>
          </w:tcPr>
          <w:p w14:paraId="1DAF2929">
            <w:pPr>
              <w:widowControl/>
              <w:jc w:val="center"/>
              <w:rPr>
                <w:rFonts w:ascii="宋体" w:hAnsi="宋体"/>
                <w:color w:val="auto"/>
              </w:rPr>
            </w:pPr>
          </w:p>
        </w:tc>
        <w:tc>
          <w:tcPr>
            <w:tcW w:w="1047" w:type="pct"/>
            <w:vAlign w:val="center"/>
          </w:tcPr>
          <w:p w14:paraId="0E956A07">
            <w:pPr>
              <w:widowControl/>
              <w:jc w:val="center"/>
              <w:rPr>
                <w:rFonts w:ascii="宋体" w:hAnsi="宋体"/>
                <w:color w:val="auto"/>
              </w:rPr>
            </w:pPr>
            <w:r>
              <w:rPr>
                <w:rFonts w:hint="eastAsia" w:ascii="宋体" w:hAnsi="宋体"/>
                <w:color w:val="auto"/>
              </w:rPr>
              <w:t>15：50～16：52</w:t>
            </w:r>
          </w:p>
        </w:tc>
        <w:tc>
          <w:tcPr>
            <w:tcW w:w="621" w:type="pct"/>
            <w:vAlign w:val="center"/>
          </w:tcPr>
          <w:p w14:paraId="6F45A4F6">
            <w:pPr>
              <w:jc w:val="center"/>
              <w:rPr>
                <w:rFonts w:ascii="宋体" w:hAnsi="宋体"/>
                <w:color w:val="auto"/>
              </w:rPr>
            </w:pPr>
            <w:r>
              <w:rPr>
                <w:rFonts w:hint="eastAsia" w:ascii="宋体" w:hAnsi="宋体"/>
                <w:color w:val="auto"/>
              </w:rPr>
              <w:t>6.0</w:t>
            </w:r>
          </w:p>
        </w:tc>
        <w:tc>
          <w:tcPr>
            <w:tcW w:w="541" w:type="pct"/>
            <w:vAlign w:val="center"/>
          </w:tcPr>
          <w:p w14:paraId="00F9070E">
            <w:pPr>
              <w:jc w:val="center"/>
              <w:rPr>
                <w:rFonts w:ascii="宋体" w:hAnsi="宋体"/>
                <w:color w:val="auto"/>
              </w:rPr>
            </w:pPr>
            <w:r>
              <w:rPr>
                <w:rFonts w:hint="eastAsia" w:ascii="宋体" w:hAnsi="宋体"/>
                <w:color w:val="auto"/>
              </w:rPr>
              <w:t>102.9</w:t>
            </w:r>
          </w:p>
        </w:tc>
        <w:tc>
          <w:tcPr>
            <w:tcW w:w="387" w:type="pct"/>
            <w:vAlign w:val="center"/>
          </w:tcPr>
          <w:p w14:paraId="4D2700B3">
            <w:pPr>
              <w:jc w:val="center"/>
              <w:rPr>
                <w:rFonts w:ascii="宋体" w:hAnsi="宋体"/>
                <w:color w:val="auto"/>
              </w:rPr>
            </w:pPr>
            <w:r>
              <w:rPr>
                <w:rFonts w:hint="eastAsia" w:ascii="宋体" w:hAnsi="宋体"/>
                <w:color w:val="auto"/>
              </w:rPr>
              <w:t>西</w:t>
            </w:r>
          </w:p>
        </w:tc>
        <w:tc>
          <w:tcPr>
            <w:tcW w:w="539" w:type="pct"/>
            <w:vAlign w:val="center"/>
          </w:tcPr>
          <w:p w14:paraId="1D3D3370">
            <w:pPr>
              <w:jc w:val="center"/>
              <w:rPr>
                <w:rFonts w:ascii="宋体" w:hAnsi="宋体"/>
                <w:color w:val="auto"/>
              </w:rPr>
            </w:pPr>
            <w:r>
              <w:rPr>
                <w:rFonts w:hint="eastAsia" w:ascii="宋体" w:hAnsi="宋体"/>
                <w:color w:val="auto"/>
              </w:rPr>
              <w:t>1.9</w:t>
            </w:r>
          </w:p>
        </w:tc>
        <w:tc>
          <w:tcPr>
            <w:tcW w:w="486" w:type="pct"/>
            <w:vAlign w:val="center"/>
          </w:tcPr>
          <w:p w14:paraId="4E8B961E">
            <w:pPr>
              <w:jc w:val="center"/>
              <w:rPr>
                <w:rFonts w:ascii="宋体" w:hAnsi="宋体"/>
                <w:color w:val="auto"/>
              </w:rPr>
            </w:pPr>
            <w:r>
              <w:rPr>
                <w:rFonts w:hint="eastAsia" w:ascii="宋体" w:hAnsi="宋体"/>
                <w:color w:val="auto"/>
              </w:rPr>
              <w:t>5/3</w:t>
            </w:r>
          </w:p>
        </w:tc>
      </w:tr>
      <w:tr w14:paraId="4E483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01B52184">
            <w:pPr>
              <w:widowControl/>
              <w:jc w:val="center"/>
              <w:rPr>
                <w:rFonts w:ascii="宋体" w:hAnsi="宋体"/>
                <w:color w:val="auto"/>
              </w:rPr>
            </w:pPr>
          </w:p>
        </w:tc>
        <w:tc>
          <w:tcPr>
            <w:tcW w:w="674" w:type="pct"/>
            <w:vMerge w:val="restart"/>
            <w:vAlign w:val="center"/>
          </w:tcPr>
          <w:p w14:paraId="0A6471E0">
            <w:pPr>
              <w:widowControl/>
              <w:jc w:val="center"/>
              <w:rPr>
                <w:rFonts w:ascii="宋体" w:hAnsi="宋体"/>
                <w:color w:val="auto"/>
              </w:rPr>
            </w:pPr>
            <w:r>
              <w:rPr>
                <w:rFonts w:hint="eastAsia" w:ascii="宋体" w:hAnsi="宋体"/>
                <w:color w:val="auto"/>
              </w:rPr>
              <w:t>2026年3月7日</w:t>
            </w:r>
          </w:p>
        </w:tc>
        <w:tc>
          <w:tcPr>
            <w:tcW w:w="1047" w:type="pct"/>
            <w:vAlign w:val="center"/>
          </w:tcPr>
          <w:p w14:paraId="3CAE1A60">
            <w:pPr>
              <w:widowControl/>
              <w:jc w:val="center"/>
              <w:rPr>
                <w:rFonts w:ascii="宋体" w:hAnsi="宋体"/>
                <w:color w:val="auto"/>
                <w:szCs w:val="22"/>
              </w:rPr>
            </w:pPr>
            <w:r>
              <w:rPr>
                <w:rFonts w:hint="eastAsia" w:ascii="宋体" w:hAnsi="宋体"/>
                <w:color w:val="auto"/>
              </w:rPr>
              <w:t>7：40～8：42</w:t>
            </w:r>
          </w:p>
        </w:tc>
        <w:tc>
          <w:tcPr>
            <w:tcW w:w="621" w:type="pct"/>
            <w:vAlign w:val="center"/>
          </w:tcPr>
          <w:p w14:paraId="4B550E10">
            <w:pPr>
              <w:jc w:val="center"/>
              <w:rPr>
                <w:rFonts w:ascii="宋体" w:hAnsi="宋体"/>
                <w:color w:val="auto"/>
              </w:rPr>
            </w:pPr>
            <w:r>
              <w:rPr>
                <w:rFonts w:hint="eastAsia" w:ascii="宋体" w:hAnsi="宋体"/>
                <w:color w:val="auto"/>
              </w:rPr>
              <w:t>-2.3</w:t>
            </w:r>
          </w:p>
        </w:tc>
        <w:tc>
          <w:tcPr>
            <w:tcW w:w="541" w:type="pct"/>
            <w:vAlign w:val="center"/>
          </w:tcPr>
          <w:p w14:paraId="003B5A44">
            <w:pPr>
              <w:jc w:val="center"/>
              <w:rPr>
                <w:rFonts w:ascii="宋体" w:hAnsi="宋体"/>
                <w:color w:val="auto"/>
              </w:rPr>
            </w:pPr>
            <w:r>
              <w:rPr>
                <w:rFonts w:hint="eastAsia" w:ascii="宋体" w:hAnsi="宋体"/>
                <w:color w:val="auto"/>
              </w:rPr>
              <w:t>103.4</w:t>
            </w:r>
          </w:p>
        </w:tc>
        <w:tc>
          <w:tcPr>
            <w:tcW w:w="387" w:type="pct"/>
            <w:vAlign w:val="center"/>
          </w:tcPr>
          <w:p w14:paraId="26795473">
            <w:pPr>
              <w:jc w:val="center"/>
              <w:rPr>
                <w:rFonts w:ascii="宋体" w:hAnsi="宋体"/>
                <w:color w:val="auto"/>
              </w:rPr>
            </w:pPr>
            <w:r>
              <w:rPr>
                <w:rFonts w:hint="eastAsia" w:ascii="宋体" w:hAnsi="宋体"/>
                <w:color w:val="auto"/>
              </w:rPr>
              <w:t>东</w:t>
            </w:r>
          </w:p>
        </w:tc>
        <w:tc>
          <w:tcPr>
            <w:tcW w:w="539" w:type="pct"/>
            <w:vAlign w:val="center"/>
          </w:tcPr>
          <w:p w14:paraId="373EA65D">
            <w:pPr>
              <w:jc w:val="center"/>
              <w:rPr>
                <w:rFonts w:ascii="宋体" w:hAnsi="宋体"/>
                <w:color w:val="auto"/>
              </w:rPr>
            </w:pPr>
            <w:r>
              <w:rPr>
                <w:rFonts w:hint="eastAsia" w:ascii="宋体" w:hAnsi="宋体"/>
                <w:color w:val="auto"/>
              </w:rPr>
              <w:t>2.0</w:t>
            </w:r>
          </w:p>
        </w:tc>
        <w:tc>
          <w:tcPr>
            <w:tcW w:w="486" w:type="pct"/>
            <w:vAlign w:val="center"/>
          </w:tcPr>
          <w:p w14:paraId="1B56FAA9">
            <w:pPr>
              <w:jc w:val="center"/>
              <w:rPr>
                <w:rFonts w:ascii="宋体" w:hAnsi="宋体"/>
                <w:color w:val="auto"/>
              </w:rPr>
            </w:pPr>
            <w:r>
              <w:rPr>
                <w:rFonts w:hint="eastAsia" w:ascii="宋体" w:hAnsi="宋体"/>
                <w:color w:val="auto"/>
              </w:rPr>
              <w:t>2/0</w:t>
            </w:r>
          </w:p>
        </w:tc>
      </w:tr>
      <w:tr w14:paraId="1FFC9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003029DF">
            <w:pPr>
              <w:widowControl/>
              <w:jc w:val="center"/>
              <w:rPr>
                <w:rFonts w:ascii="宋体" w:hAnsi="宋体"/>
                <w:color w:val="auto"/>
              </w:rPr>
            </w:pPr>
          </w:p>
        </w:tc>
        <w:tc>
          <w:tcPr>
            <w:tcW w:w="674" w:type="pct"/>
            <w:vMerge w:val="continue"/>
            <w:vAlign w:val="center"/>
          </w:tcPr>
          <w:p w14:paraId="4DD4EA3A">
            <w:pPr>
              <w:widowControl/>
              <w:jc w:val="center"/>
              <w:rPr>
                <w:rFonts w:ascii="宋体" w:hAnsi="宋体"/>
                <w:color w:val="auto"/>
              </w:rPr>
            </w:pPr>
          </w:p>
        </w:tc>
        <w:tc>
          <w:tcPr>
            <w:tcW w:w="1047" w:type="pct"/>
            <w:vAlign w:val="center"/>
          </w:tcPr>
          <w:p w14:paraId="399E2380">
            <w:pPr>
              <w:widowControl/>
              <w:jc w:val="center"/>
              <w:rPr>
                <w:rFonts w:ascii="宋体" w:hAnsi="宋体"/>
                <w:color w:val="auto"/>
              </w:rPr>
            </w:pPr>
            <w:r>
              <w:rPr>
                <w:rFonts w:hint="eastAsia" w:ascii="宋体" w:hAnsi="宋体"/>
                <w:color w:val="auto"/>
              </w:rPr>
              <w:t>9：40～10：42</w:t>
            </w:r>
          </w:p>
        </w:tc>
        <w:tc>
          <w:tcPr>
            <w:tcW w:w="621" w:type="pct"/>
            <w:vAlign w:val="center"/>
          </w:tcPr>
          <w:p w14:paraId="69A07340">
            <w:pPr>
              <w:jc w:val="center"/>
              <w:rPr>
                <w:rFonts w:ascii="宋体" w:hAnsi="宋体"/>
                <w:color w:val="auto"/>
              </w:rPr>
            </w:pPr>
            <w:r>
              <w:rPr>
                <w:rFonts w:hint="eastAsia" w:ascii="宋体" w:hAnsi="宋体"/>
                <w:color w:val="auto"/>
              </w:rPr>
              <w:t>2.9</w:t>
            </w:r>
          </w:p>
        </w:tc>
        <w:tc>
          <w:tcPr>
            <w:tcW w:w="541" w:type="pct"/>
            <w:vAlign w:val="center"/>
          </w:tcPr>
          <w:p w14:paraId="64ECEF82">
            <w:pPr>
              <w:jc w:val="center"/>
              <w:rPr>
                <w:rFonts w:ascii="宋体" w:hAnsi="宋体"/>
                <w:color w:val="auto"/>
              </w:rPr>
            </w:pPr>
            <w:r>
              <w:rPr>
                <w:rFonts w:hint="eastAsia" w:ascii="宋体" w:hAnsi="宋体"/>
                <w:color w:val="auto"/>
              </w:rPr>
              <w:t>103.3</w:t>
            </w:r>
          </w:p>
        </w:tc>
        <w:tc>
          <w:tcPr>
            <w:tcW w:w="387" w:type="pct"/>
            <w:vAlign w:val="center"/>
          </w:tcPr>
          <w:p w14:paraId="41010592">
            <w:pPr>
              <w:jc w:val="center"/>
              <w:rPr>
                <w:rFonts w:ascii="宋体" w:hAnsi="宋体"/>
                <w:color w:val="auto"/>
              </w:rPr>
            </w:pPr>
            <w:r>
              <w:rPr>
                <w:rFonts w:hint="eastAsia" w:ascii="宋体" w:hAnsi="宋体"/>
                <w:color w:val="auto"/>
              </w:rPr>
              <w:t>东</w:t>
            </w:r>
          </w:p>
        </w:tc>
        <w:tc>
          <w:tcPr>
            <w:tcW w:w="539" w:type="pct"/>
            <w:vAlign w:val="center"/>
          </w:tcPr>
          <w:p w14:paraId="64059617">
            <w:pPr>
              <w:jc w:val="center"/>
              <w:rPr>
                <w:rFonts w:ascii="宋体" w:hAnsi="宋体"/>
                <w:color w:val="auto"/>
              </w:rPr>
            </w:pPr>
            <w:r>
              <w:rPr>
                <w:rFonts w:hint="eastAsia" w:ascii="宋体" w:hAnsi="宋体"/>
                <w:color w:val="auto"/>
              </w:rPr>
              <w:t>2.0</w:t>
            </w:r>
          </w:p>
        </w:tc>
        <w:tc>
          <w:tcPr>
            <w:tcW w:w="486" w:type="pct"/>
            <w:vAlign w:val="center"/>
          </w:tcPr>
          <w:p w14:paraId="4A1550BF">
            <w:pPr>
              <w:jc w:val="center"/>
              <w:rPr>
                <w:rFonts w:ascii="宋体" w:hAnsi="宋体"/>
                <w:color w:val="auto"/>
              </w:rPr>
            </w:pPr>
            <w:r>
              <w:rPr>
                <w:rFonts w:hint="eastAsia" w:ascii="宋体" w:hAnsi="宋体"/>
                <w:color w:val="auto"/>
              </w:rPr>
              <w:t>2/0</w:t>
            </w:r>
          </w:p>
        </w:tc>
      </w:tr>
      <w:tr w14:paraId="43C08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24026D02">
            <w:pPr>
              <w:widowControl/>
              <w:jc w:val="center"/>
              <w:rPr>
                <w:rFonts w:ascii="宋体" w:hAnsi="宋体"/>
                <w:color w:val="auto"/>
              </w:rPr>
            </w:pPr>
          </w:p>
        </w:tc>
        <w:tc>
          <w:tcPr>
            <w:tcW w:w="674" w:type="pct"/>
            <w:vMerge w:val="continue"/>
            <w:vAlign w:val="center"/>
          </w:tcPr>
          <w:p w14:paraId="1E6C7B85">
            <w:pPr>
              <w:widowControl/>
              <w:jc w:val="center"/>
              <w:rPr>
                <w:rFonts w:ascii="宋体" w:hAnsi="宋体"/>
                <w:color w:val="auto"/>
              </w:rPr>
            </w:pPr>
          </w:p>
        </w:tc>
        <w:tc>
          <w:tcPr>
            <w:tcW w:w="1047" w:type="pct"/>
            <w:vAlign w:val="center"/>
          </w:tcPr>
          <w:p w14:paraId="319C8D6D">
            <w:pPr>
              <w:widowControl/>
              <w:jc w:val="center"/>
              <w:rPr>
                <w:rFonts w:ascii="宋体" w:hAnsi="宋体"/>
                <w:color w:val="auto"/>
              </w:rPr>
            </w:pPr>
            <w:r>
              <w:rPr>
                <w:rFonts w:hint="eastAsia" w:ascii="宋体" w:hAnsi="宋体"/>
                <w:color w:val="auto"/>
              </w:rPr>
              <w:t>11：40～12：42</w:t>
            </w:r>
          </w:p>
        </w:tc>
        <w:tc>
          <w:tcPr>
            <w:tcW w:w="621" w:type="pct"/>
            <w:vAlign w:val="center"/>
          </w:tcPr>
          <w:p w14:paraId="3162EBFA">
            <w:pPr>
              <w:jc w:val="center"/>
              <w:rPr>
                <w:rFonts w:ascii="宋体" w:hAnsi="宋体"/>
                <w:color w:val="auto"/>
              </w:rPr>
            </w:pPr>
            <w:r>
              <w:rPr>
                <w:rFonts w:hint="eastAsia" w:ascii="宋体" w:hAnsi="宋体"/>
                <w:color w:val="auto"/>
              </w:rPr>
              <w:t>4.9</w:t>
            </w:r>
          </w:p>
        </w:tc>
        <w:tc>
          <w:tcPr>
            <w:tcW w:w="541" w:type="pct"/>
            <w:vAlign w:val="center"/>
          </w:tcPr>
          <w:p w14:paraId="037EC07C">
            <w:pPr>
              <w:jc w:val="center"/>
              <w:rPr>
                <w:rFonts w:ascii="宋体" w:hAnsi="宋体"/>
                <w:color w:val="auto"/>
              </w:rPr>
            </w:pPr>
            <w:r>
              <w:rPr>
                <w:rFonts w:hint="eastAsia" w:ascii="宋体" w:hAnsi="宋体"/>
                <w:color w:val="auto"/>
              </w:rPr>
              <w:t>103.3</w:t>
            </w:r>
          </w:p>
        </w:tc>
        <w:tc>
          <w:tcPr>
            <w:tcW w:w="387" w:type="pct"/>
            <w:vAlign w:val="center"/>
          </w:tcPr>
          <w:p w14:paraId="6219C5CA">
            <w:pPr>
              <w:jc w:val="center"/>
              <w:rPr>
                <w:rFonts w:ascii="宋体" w:hAnsi="宋体"/>
                <w:color w:val="auto"/>
              </w:rPr>
            </w:pPr>
            <w:r>
              <w:rPr>
                <w:rFonts w:hint="eastAsia" w:ascii="宋体" w:hAnsi="宋体"/>
                <w:color w:val="auto"/>
              </w:rPr>
              <w:t>东</w:t>
            </w:r>
          </w:p>
        </w:tc>
        <w:tc>
          <w:tcPr>
            <w:tcW w:w="539" w:type="pct"/>
            <w:vAlign w:val="center"/>
          </w:tcPr>
          <w:p w14:paraId="462DB8B2">
            <w:pPr>
              <w:jc w:val="center"/>
              <w:rPr>
                <w:rFonts w:ascii="宋体" w:hAnsi="宋体"/>
                <w:color w:val="auto"/>
              </w:rPr>
            </w:pPr>
            <w:r>
              <w:rPr>
                <w:rFonts w:hint="eastAsia" w:ascii="宋体" w:hAnsi="宋体"/>
                <w:color w:val="auto"/>
              </w:rPr>
              <w:t>2.1</w:t>
            </w:r>
          </w:p>
        </w:tc>
        <w:tc>
          <w:tcPr>
            <w:tcW w:w="486" w:type="pct"/>
            <w:vAlign w:val="center"/>
          </w:tcPr>
          <w:p w14:paraId="748B50B0">
            <w:pPr>
              <w:jc w:val="center"/>
              <w:rPr>
                <w:rFonts w:ascii="宋体" w:hAnsi="宋体"/>
                <w:color w:val="auto"/>
              </w:rPr>
            </w:pPr>
            <w:r>
              <w:rPr>
                <w:rFonts w:hint="eastAsia" w:ascii="宋体" w:hAnsi="宋体"/>
                <w:color w:val="auto"/>
              </w:rPr>
              <w:t>3/0</w:t>
            </w:r>
          </w:p>
        </w:tc>
      </w:tr>
      <w:tr w14:paraId="0928C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47DEE2E7">
            <w:pPr>
              <w:widowControl/>
              <w:jc w:val="center"/>
              <w:rPr>
                <w:rFonts w:ascii="宋体" w:hAnsi="宋体"/>
                <w:color w:val="auto"/>
              </w:rPr>
            </w:pPr>
          </w:p>
        </w:tc>
        <w:tc>
          <w:tcPr>
            <w:tcW w:w="674" w:type="pct"/>
            <w:vMerge w:val="continue"/>
            <w:vAlign w:val="center"/>
          </w:tcPr>
          <w:p w14:paraId="741860A3">
            <w:pPr>
              <w:widowControl/>
              <w:jc w:val="center"/>
              <w:rPr>
                <w:rFonts w:ascii="宋体" w:hAnsi="宋体"/>
                <w:color w:val="auto"/>
              </w:rPr>
            </w:pPr>
          </w:p>
        </w:tc>
        <w:tc>
          <w:tcPr>
            <w:tcW w:w="1047" w:type="pct"/>
            <w:vAlign w:val="center"/>
          </w:tcPr>
          <w:p w14:paraId="46FF1E66">
            <w:pPr>
              <w:widowControl/>
              <w:jc w:val="center"/>
              <w:rPr>
                <w:rFonts w:ascii="宋体" w:hAnsi="宋体"/>
                <w:color w:val="auto"/>
              </w:rPr>
            </w:pPr>
            <w:r>
              <w:rPr>
                <w:rFonts w:hint="eastAsia" w:ascii="宋体" w:hAnsi="宋体"/>
                <w:color w:val="auto"/>
              </w:rPr>
              <w:t>13：40～14：42</w:t>
            </w:r>
          </w:p>
        </w:tc>
        <w:tc>
          <w:tcPr>
            <w:tcW w:w="621" w:type="pct"/>
            <w:vAlign w:val="center"/>
          </w:tcPr>
          <w:p w14:paraId="36509E31">
            <w:pPr>
              <w:jc w:val="center"/>
              <w:rPr>
                <w:rFonts w:ascii="宋体" w:hAnsi="宋体"/>
                <w:color w:val="auto"/>
              </w:rPr>
            </w:pPr>
            <w:r>
              <w:rPr>
                <w:rFonts w:hint="eastAsia" w:ascii="宋体" w:hAnsi="宋体"/>
                <w:color w:val="auto"/>
              </w:rPr>
              <w:t>8.5</w:t>
            </w:r>
          </w:p>
        </w:tc>
        <w:tc>
          <w:tcPr>
            <w:tcW w:w="541" w:type="pct"/>
            <w:vAlign w:val="center"/>
          </w:tcPr>
          <w:p w14:paraId="264977F5">
            <w:pPr>
              <w:jc w:val="center"/>
              <w:rPr>
                <w:rFonts w:ascii="宋体" w:hAnsi="宋体"/>
                <w:color w:val="auto"/>
              </w:rPr>
            </w:pPr>
            <w:r>
              <w:rPr>
                <w:rFonts w:hint="eastAsia" w:ascii="宋体" w:hAnsi="宋体"/>
                <w:color w:val="auto"/>
              </w:rPr>
              <w:t>103.2</w:t>
            </w:r>
          </w:p>
        </w:tc>
        <w:tc>
          <w:tcPr>
            <w:tcW w:w="387" w:type="pct"/>
            <w:vAlign w:val="center"/>
          </w:tcPr>
          <w:p w14:paraId="17BC781D">
            <w:pPr>
              <w:jc w:val="center"/>
              <w:rPr>
                <w:rFonts w:ascii="宋体" w:hAnsi="宋体"/>
                <w:color w:val="auto"/>
              </w:rPr>
            </w:pPr>
            <w:r>
              <w:rPr>
                <w:rFonts w:hint="eastAsia" w:ascii="宋体" w:hAnsi="宋体"/>
                <w:color w:val="auto"/>
              </w:rPr>
              <w:t>东</w:t>
            </w:r>
          </w:p>
        </w:tc>
        <w:tc>
          <w:tcPr>
            <w:tcW w:w="539" w:type="pct"/>
            <w:vAlign w:val="center"/>
          </w:tcPr>
          <w:p w14:paraId="04EE7E14">
            <w:pPr>
              <w:jc w:val="center"/>
              <w:rPr>
                <w:rFonts w:ascii="宋体" w:hAnsi="宋体"/>
                <w:color w:val="auto"/>
              </w:rPr>
            </w:pPr>
            <w:r>
              <w:rPr>
                <w:rFonts w:hint="eastAsia" w:ascii="宋体" w:hAnsi="宋体"/>
                <w:color w:val="auto"/>
              </w:rPr>
              <w:t>1.8</w:t>
            </w:r>
          </w:p>
        </w:tc>
        <w:tc>
          <w:tcPr>
            <w:tcW w:w="486" w:type="pct"/>
            <w:vAlign w:val="center"/>
          </w:tcPr>
          <w:p w14:paraId="79DC0AF7">
            <w:pPr>
              <w:jc w:val="center"/>
              <w:rPr>
                <w:rFonts w:ascii="宋体" w:hAnsi="宋体"/>
                <w:color w:val="auto"/>
              </w:rPr>
            </w:pPr>
            <w:r>
              <w:rPr>
                <w:rFonts w:hint="eastAsia" w:ascii="宋体" w:hAnsi="宋体"/>
                <w:color w:val="auto"/>
              </w:rPr>
              <w:t>2/0</w:t>
            </w:r>
          </w:p>
        </w:tc>
      </w:tr>
      <w:tr w14:paraId="1EE7D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restart"/>
            <w:vAlign w:val="center"/>
          </w:tcPr>
          <w:p w14:paraId="14E144E1">
            <w:pPr>
              <w:jc w:val="center"/>
              <w:rPr>
                <w:rFonts w:ascii="宋体" w:hAnsi="宋体"/>
                <w:color w:val="auto"/>
              </w:rPr>
            </w:pPr>
            <w:r>
              <w:rPr>
                <w:rFonts w:ascii="宋体" w:hAnsi="宋体"/>
                <w:color w:val="auto"/>
              </w:rPr>
              <w:t>6#</w:t>
            </w:r>
            <w:r>
              <w:rPr>
                <w:rFonts w:hint="eastAsia" w:ascii="宋体" w:hAnsi="宋体"/>
                <w:color w:val="auto"/>
              </w:rPr>
              <w:t>井场</w:t>
            </w:r>
          </w:p>
        </w:tc>
        <w:tc>
          <w:tcPr>
            <w:tcW w:w="674" w:type="pct"/>
            <w:vMerge w:val="restart"/>
            <w:vAlign w:val="center"/>
          </w:tcPr>
          <w:p w14:paraId="3360D2B1">
            <w:pPr>
              <w:widowControl/>
              <w:jc w:val="center"/>
              <w:rPr>
                <w:rFonts w:ascii="宋体" w:hAnsi="宋体"/>
                <w:color w:val="auto"/>
              </w:rPr>
            </w:pPr>
            <w:r>
              <w:rPr>
                <w:rFonts w:hint="eastAsia" w:ascii="宋体" w:hAnsi="宋体"/>
                <w:color w:val="auto"/>
              </w:rPr>
              <w:t>2026年3月6日</w:t>
            </w:r>
          </w:p>
        </w:tc>
        <w:tc>
          <w:tcPr>
            <w:tcW w:w="1047" w:type="pct"/>
            <w:vAlign w:val="center"/>
          </w:tcPr>
          <w:p w14:paraId="3D51F161">
            <w:pPr>
              <w:jc w:val="center"/>
              <w:rPr>
                <w:rFonts w:ascii="宋体" w:hAnsi="宋体"/>
                <w:color w:val="auto"/>
                <w:szCs w:val="22"/>
              </w:rPr>
            </w:pPr>
            <w:r>
              <w:rPr>
                <w:rFonts w:hint="eastAsia" w:ascii="宋体" w:hAnsi="宋体"/>
                <w:color w:val="auto"/>
              </w:rPr>
              <w:t>10：20</w:t>
            </w:r>
            <w:r>
              <w:rPr>
                <w:rFonts w:ascii="宋体" w:hAnsi="宋体"/>
                <w:color w:val="auto"/>
              </w:rPr>
              <w:t>～</w:t>
            </w:r>
            <w:r>
              <w:rPr>
                <w:rFonts w:hint="eastAsia" w:ascii="宋体" w:hAnsi="宋体"/>
                <w:color w:val="auto"/>
              </w:rPr>
              <w:t>11：22</w:t>
            </w:r>
          </w:p>
        </w:tc>
        <w:tc>
          <w:tcPr>
            <w:tcW w:w="621" w:type="pct"/>
            <w:vAlign w:val="center"/>
          </w:tcPr>
          <w:p w14:paraId="51A12F03">
            <w:pPr>
              <w:jc w:val="center"/>
              <w:rPr>
                <w:rFonts w:ascii="宋体" w:hAnsi="宋体"/>
                <w:color w:val="auto"/>
              </w:rPr>
            </w:pPr>
            <w:r>
              <w:rPr>
                <w:rFonts w:hint="eastAsia" w:ascii="宋体" w:hAnsi="宋体"/>
                <w:color w:val="auto"/>
              </w:rPr>
              <w:t>3.0</w:t>
            </w:r>
          </w:p>
        </w:tc>
        <w:tc>
          <w:tcPr>
            <w:tcW w:w="541" w:type="pct"/>
            <w:vAlign w:val="center"/>
          </w:tcPr>
          <w:p w14:paraId="730F81D5">
            <w:pPr>
              <w:jc w:val="center"/>
              <w:rPr>
                <w:rFonts w:ascii="宋体" w:hAnsi="宋体"/>
                <w:color w:val="auto"/>
              </w:rPr>
            </w:pPr>
            <w:r>
              <w:rPr>
                <w:rFonts w:hint="eastAsia" w:ascii="宋体" w:hAnsi="宋体"/>
                <w:color w:val="auto"/>
              </w:rPr>
              <w:t>103.1</w:t>
            </w:r>
          </w:p>
        </w:tc>
        <w:tc>
          <w:tcPr>
            <w:tcW w:w="387" w:type="pct"/>
            <w:vAlign w:val="center"/>
          </w:tcPr>
          <w:p w14:paraId="064F9EAE">
            <w:pPr>
              <w:jc w:val="center"/>
              <w:rPr>
                <w:rFonts w:ascii="宋体" w:hAnsi="宋体"/>
                <w:color w:val="auto"/>
              </w:rPr>
            </w:pPr>
            <w:r>
              <w:rPr>
                <w:rFonts w:hint="eastAsia" w:ascii="宋体" w:hAnsi="宋体"/>
                <w:color w:val="auto"/>
              </w:rPr>
              <w:t>西</w:t>
            </w:r>
          </w:p>
        </w:tc>
        <w:tc>
          <w:tcPr>
            <w:tcW w:w="539" w:type="pct"/>
            <w:vAlign w:val="center"/>
          </w:tcPr>
          <w:p w14:paraId="36F8573A">
            <w:pPr>
              <w:jc w:val="center"/>
              <w:rPr>
                <w:rFonts w:ascii="宋体" w:hAnsi="宋体"/>
                <w:color w:val="auto"/>
              </w:rPr>
            </w:pPr>
            <w:r>
              <w:rPr>
                <w:rFonts w:hint="eastAsia" w:ascii="宋体" w:hAnsi="宋体"/>
                <w:color w:val="auto"/>
              </w:rPr>
              <w:t>1.8</w:t>
            </w:r>
          </w:p>
        </w:tc>
        <w:tc>
          <w:tcPr>
            <w:tcW w:w="486" w:type="pct"/>
            <w:vAlign w:val="center"/>
          </w:tcPr>
          <w:p w14:paraId="66523BFD">
            <w:pPr>
              <w:jc w:val="center"/>
              <w:rPr>
                <w:rFonts w:ascii="宋体" w:hAnsi="宋体"/>
                <w:color w:val="auto"/>
              </w:rPr>
            </w:pPr>
            <w:r>
              <w:rPr>
                <w:rFonts w:hint="eastAsia" w:ascii="宋体" w:hAnsi="宋体"/>
                <w:color w:val="auto"/>
              </w:rPr>
              <w:t>7/4</w:t>
            </w:r>
          </w:p>
        </w:tc>
      </w:tr>
      <w:tr w14:paraId="284B2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4DE35519">
            <w:pPr>
              <w:widowControl/>
              <w:jc w:val="center"/>
              <w:rPr>
                <w:rFonts w:ascii="宋体" w:hAnsi="宋体"/>
                <w:color w:val="auto"/>
              </w:rPr>
            </w:pPr>
          </w:p>
        </w:tc>
        <w:tc>
          <w:tcPr>
            <w:tcW w:w="674" w:type="pct"/>
            <w:vMerge w:val="continue"/>
            <w:vAlign w:val="center"/>
          </w:tcPr>
          <w:p w14:paraId="076F6FAC">
            <w:pPr>
              <w:widowControl/>
              <w:jc w:val="center"/>
              <w:rPr>
                <w:rFonts w:ascii="宋体" w:hAnsi="宋体"/>
                <w:color w:val="auto"/>
              </w:rPr>
            </w:pPr>
          </w:p>
        </w:tc>
        <w:tc>
          <w:tcPr>
            <w:tcW w:w="1047" w:type="pct"/>
            <w:vAlign w:val="center"/>
          </w:tcPr>
          <w:p w14:paraId="218A007D">
            <w:pPr>
              <w:jc w:val="center"/>
              <w:rPr>
                <w:rFonts w:ascii="宋体" w:hAnsi="宋体"/>
                <w:color w:val="auto"/>
                <w:szCs w:val="22"/>
              </w:rPr>
            </w:pPr>
            <w:r>
              <w:rPr>
                <w:rFonts w:hint="eastAsia" w:ascii="宋体" w:hAnsi="宋体"/>
                <w:color w:val="auto"/>
              </w:rPr>
              <w:t>12：20</w:t>
            </w:r>
            <w:r>
              <w:rPr>
                <w:rFonts w:ascii="宋体" w:hAnsi="宋体"/>
                <w:color w:val="auto"/>
              </w:rPr>
              <w:t>～</w:t>
            </w:r>
            <w:r>
              <w:rPr>
                <w:rFonts w:hint="eastAsia" w:ascii="宋体" w:hAnsi="宋体"/>
                <w:color w:val="auto"/>
              </w:rPr>
              <w:t>13：22</w:t>
            </w:r>
          </w:p>
        </w:tc>
        <w:tc>
          <w:tcPr>
            <w:tcW w:w="621" w:type="pct"/>
            <w:vAlign w:val="center"/>
          </w:tcPr>
          <w:p w14:paraId="13DB594B">
            <w:pPr>
              <w:jc w:val="center"/>
              <w:rPr>
                <w:rFonts w:ascii="宋体" w:hAnsi="宋体"/>
                <w:color w:val="auto"/>
              </w:rPr>
            </w:pPr>
            <w:r>
              <w:rPr>
                <w:rFonts w:hint="eastAsia" w:ascii="宋体" w:hAnsi="宋体"/>
                <w:color w:val="auto"/>
              </w:rPr>
              <w:t>4.1</w:t>
            </w:r>
          </w:p>
        </w:tc>
        <w:tc>
          <w:tcPr>
            <w:tcW w:w="541" w:type="pct"/>
            <w:vAlign w:val="center"/>
          </w:tcPr>
          <w:p w14:paraId="6C4F2C76">
            <w:pPr>
              <w:jc w:val="center"/>
              <w:rPr>
                <w:rFonts w:ascii="宋体" w:hAnsi="宋体"/>
                <w:color w:val="auto"/>
              </w:rPr>
            </w:pPr>
            <w:r>
              <w:rPr>
                <w:rFonts w:hint="eastAsia" w:ascii="宋体" w:hAnsi="宋体"/>
                <w:color w:val="auto"/>
              </w:rPr>
              <w:t>103.1</w:t>
            </w:r>
          </w:p>
        </w:tc>
        <w:tc>
          <w:tcPr>
            <w:tcW w:w="387" w:type="pct"/>
            <w:vAlign w:val="center"/>
          </w:tcPr>
          <w:p w14:paraId="4CB9AC0F">
            <w:pPr>
              <w:jc w:val="center"/>
              <w:rPr>
                <w:rFonts w:ascii="宋体" w:hAnsi="宋体"/>
                <w:color w:val="auto"/>
              </w:rPr>
            </w:pPr>
            <w:r>
              <w:rPr>
                <w:rFonts w:hint="eastAsia" w:ascii="宋体" w:hAnsi="宋体"/>
                <w:color w:val="auto"/>
              </w:rPr>
              <w:t>西</w:t>
            </w:r>
          </w:p>
        </w:tc>
        <w:tc>
          <w:tcPr>
            <w:tcW w:w="539" w:type="pct"/>
            <w:vAlign w:val="center"/>
          </w:tcPr>
          <w:p w14:paraId="3255B01B">
            <w:pPr>
              <w:jc w:val="center"/>
              <w:rPr>
                <w:rFonts w:ascii="宋体" w:hAnsi="宋体"/>
                <w:color w:val="auto"/>
              </w:rPr>
            </w:pPr>
            <w:r>
              <w:rPr>
                <w:rFonts w:hint="eastAsia" w:ascii="宋体" w:hAnsi="宋体"/>
                <w:color w:val="auto"/>
              </w:rPr>
              <w:t>2.0</w:t>
            </w:r>
          </w:p>
        </w:tc>
        <w:tc>
          <w:tcPr>
            <w:tcW w:w="486" w:type="pct"/>
            <w:vAlign w:val="center"/>
          </w:tcPr>
          <w:p w14:paraId="16F46DDD">
            <w:pPr>
              <w:jc w:val="center"/>
              <w:rPr>
                <w:rFonts w:ascii="宋体" w:hAnsi="宋体"/>
                <w:color w:val="auto"/>
              </w:rPr>
            </w:pPr>
            <w:r>
              <w:rPr>
                <w:rFonts w:hint="eastAsia" w:ascii="宋体" w:hAnsi="宋体"/>
                <w:color w:val="auto"/>
              </w:rPr>
              <w:t>7/2</w:t>
            </w:r>
          </w:p>
        </w:tc>
      </w:tr>
      <w:tr w14:paraId="717CB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607B296A">
            <w:pPr>
              <w:widowControl/>
              <w:jc w:val="center"/>
              <w:rPr>
                <w:rFonts w:ascii="宋体" w:hAnsi="宋体"/>
                <w:color w:val="auto"/>
              </w:rPr>
            </w:pPr>
          </w:p>
        </w:tc>
        <w:tc>
          <w:tcPr>
            <w:tcW w:w="674" w:type="pct"/>
            <w:vMerge w:val="continue"/>
            <w:vAlign w:val="center"/>
          </w:tcPr>
          <w:p w14:paraId="3D9EE095">
            <w:pPr>
              <w:widowControl/>
              <w:jc w:val="center"/>
              <w:rPr>
                <w:rFonts w:ascii="宋体" w:hAnsi="宋体"/>
                <w:color w:val="auto"/>
              </w:rPr>
            </w:pPr>
          </w:p>
        </w:tc>
        <w:tc>
          <w:tcPr>
            <w:tcW w:w="1047" w:type="pct"/>
            <w:vAlign w:val="center"/>
          </w:tcPr>
          <w:p w14:paraId="6B5EFF55">
            <w:pPr>
              <w:jc w:val="center"/>
              <w:rPr>
                <w:rFonts w:ascii="宋体" w:hAnsi="宋体"/>
                <w:color w:val="auto"/>
                <w:kern w:val="0"/>
                <w:szCs w:val="22"/>
              </w:rPr>
            </w:pPr>
            <w:r>
              <w:rPr>
                <w:rFonts w:hint="eastAsia" w:ascii="宋体" w:hAnsi="宋体"/>
                <w:color w:val="auto"/>
              </w:rPr>
              <w:t>14：20</w:t>
            </w:r>
            <w:r>
              <w:rPr>
                <w:rFonts w:ascii="宋体" w:hAnsi="宋体"/>
                <w:color w:val="auto"/>
              </w:rPr>
              <w:t>～</w:t>
            </w:r>
            <w:r>
              <w:rPr>
                <w:rFonts w:hint="eastAsia" w:ascii="宋体" w:hAnsi="宋体"/>
                <w:color w:val="auto"/>
              </w:rPr>
              <w:t>15：22</w:t>
            </w:r>
          </w:p>
        </w:tc>
        <w:tc>
          <w:tcPr>
            <w:tcW w:w="621" w:type="pct"/>
            <w:vAlign w:val="center"/>
          </w:tcPr>
          <w:p w14:paraId="324691A5">
            <w:pPr>
              <w:jc w:val="center"/>
              <w:rPr>
                <w:rFonts w:ascii="宋体" w:hAnsi="宋体"/>
                <w:color w:val="auto"/>
              </w:rPr>
            </w:pPr>
            <w:r>
              <w:rPr>
                <w:rFonts w:hint="eastAsia" w:ascii="宋体" w:hAnsi="宋体"/>
                <w:color w:val="auto"/>
              </w:rPr>
              <w:t>5.8</w:t>
            </w:r>
          </w:p>
        </w:tc>
        <w:tc>
          <w:tcPr>
            <w:tcW w:w="541" w:type="pct"/>
            <w:vAlign w:val="center"/>
          </w:tcPr>
          <w:p w14:paraId="1F12E929">
            <w:pPr>
              <w:jc w:val="center"/>
              <w:rPr>
                <w:rFonts w:ascii="宋体" w:hAnsi="宋体"/>
                <w:color w:val="auto"/>
              </w:rPr>
            </w:pPr>
            <w:r>
              <w:rPr>
                <w:rFonts w:hint="eastAsia" w:ascii="宋体" w:hAnsi="宋体"/>
                <w:color w:val="auto"/>
              </w:rPr>
              <w:t>103.0</w:t>
            </w:r>
          </w:p>
        </w:tc>
        <w:tc>
          <w:tcPr>
            <w:tcW w:w="387" w:type="pct"/>
            <w:vAlign w:val="center"/>
          </w:tcPr>
          <w:p w14:paraId="2ADE262E">
            <w:pPr>
              <w:jc w:val="center"/>
              <w:rPr>
                <w:rFonts w:ascii="宋体" w:hAnsi="宋体"/>
                <w:color w:val="auto"/>
              </w:rPr>
            </w:pPr>
            <w:r>
              <w:rPr>
                <w:rFonts w:hint="eastAsia" w:ascii="宋体" w:hAnsi="宋体"/>
                <w:color w:val="auto"/>
              </w:rPr>
              <w:t>西</w:t>
            </w:r>
          </w:p>
        </w:tc>
        <w:tc>
          <w:tcPr>
            <w:tcW w:w="539" w:type="pct"/>
            <w:vAlign w:val="center"/>
          </w:tcPr>
          <w:p w14:paraId="2DC3D437">
            <w:pPr>
              <w:jc w:val="center"/>
              <w:rPr>
                <w:rFonts w:ascii="宋体" w:hAnsi="宋体"/>
                <w:color w:val="auto"/>
              </w:rPr>
            </w:pPr>
            <w:r>
              <w:rPr>
                <w:rFonts w:hint="eastAsia" w:ascii="宋体" w:hAnsi="宋体"/>
                <w:color w:val="auto"/>
              </w:rPr>
              <w:t>2.1</w:t>
            </w:r>
          </w:p>
        </w:tc>
        <w:tc>
          <w:tcPr>
            <w:tcW w:w="486" w:type="pct"/>
            <w:vAlign w:val="center"/>
          </w:tcPr>
          <w:p w14:paraId="132EA7CB">
            <w:pPr>
              <w:jc w:val="center"/>
              <w:rPr>
                <w:rFonts w:ascii="宋体" w:hAnsi="宋体"/>
                <w:color w:val="auto"/>
              </w:rPr>
            </w:pPr>
            <w:r>
              <w:rPr>
                <w:rFonts w:hint="eastAsia" w:ascii="宋体" w:hAnsi="宋体"/>
                <w:color w:val="auto"/>
              </w:rPr>
              <w:t>6/3</w:t>
            </w:r>
          </w:p>
        </w:tc>
      </w:tr>
      <w:tr w14:paraId="10871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2907325A">
            <w:pPr>
              <w:widowControl/>
              <w:jc w:val="center"/>
              <w:rPr>
                <w:rFonts w:ascii="宋体" w:hAnsi="宋体"/>
                <w:color w:val="auto"/>
              </w:rPr>
            </w:pPr>
          </w:p>
        </w:tc>
        <w:tc>
          <w:tcPr>
            <w:tcW w:w="674" w:type="pct"/>
            <w:vMerge w:val="continue"/>
            <w:vAlign w:val="center"/>
          </w:tcPr>
          <w:p w14:paraId="0CE03ED6">
            <w:pPr>
              <w:widowControl/>
              <w:jc w:val="center"/>
              <w:rPr>
                <w:rFonts w:ascii="宋体" w:hAnsi="宋体"/>
                <w:color w:val="auto"/>
              </w:rPr>
            </w:pPr>
          </w:p>
        </w:tc>
        <w:tc>
          <w:tcPr>
            <w:tcW w:w="1047" w:type="pct"/>
            <w:vAlign w:val="center"/>
          </w:tcPr>
          <w:p w14:paraId="22038426">
            <w:pPr>
              <w:jc w:val="center"/>
              <w:rPr>
                <w:rFonts w:ascii="宋体" w:hAnsi="宋体"/>
                <w:color w:val="auto"/>
              </w:rPr>
            </w:pPr>
            <w:r>
              <w:rPr>
                <w:rFonts w:hint="eastAsia" w:ascii="宋体" w:hAnsi="宋体"/>
                <w:color w:val="auto"/>
              </w:rPr>
              <w:t>16：20</w:t>
            </w:r>
            <w:r>
              <w:rPr>
                <w:rFonts w:ascii="宋体" w:hAnsi="宋体"/>
                <w:color w:val="auto"/>
              </w:rPr>
              <w:t>～</w:t>
            </w:r>
            <w:r>
              <w:rPr>
                <w:rFonts w:hint="eastAsia" w:ascii="宋体" w:hAnsi="宋体"/>
                <w:color w:val="auto"/>
              </w:rPr>
              <w:t>17：22</w:t>
            </w:r>
          </w:p>
        </w:tc>
        <w:tc>
          <w:tcPr>
            <w:tcW w:w="621" w:type="pct"/>
            <w:vAlign w:val="center"/>
          </w:tcPr>
          <w:p w14:paraId="4A197140">
            <w:pPr>
              <w:jc w:val="center"/>
              <w:rPr>
                <w:rFonts w:ascii="宋体" w:hAnsi="宋体"/>
                <w:color w:val="auto"/>
              </w:rPr>
            </w:pPr>
            <w:r>
              <w:rPr>
                <w:rFonts w:hint="eastAsia" w:ascii="宋体" w:hAnsi="宋体"/>
                <w:color w:val="auto"/>
              </w:rPr>
              <w:t>6.0</w:t>
            </w:r>
          </w:p>
        </w:tc>
        <w:tc>
          <w:tcPr>
            <w:tcW w:w="541" w:type="pct"/>
            <w:vAlign w:val="center"/>
          </w:tcPr>
          <w:p w14:paraId="361E0BA7">
            <w:pPr>
              <w:jc w:val="center"/>
              <w:rPr>
                <w:rFonts w:ascii="宋体" w:hAnsi="宋体"/>
                <w:color w:val="auto"/>
              </w:rPr>
            </w:pPr>
            <w:r>
              <w:rPr>
                <w:rFonts w:hint="eastAsia" w:ascii="宋体" w:hAnsi="宋体"/>
                <w:color w:val="auto"/>
              </w:rPr>
              <w:t>102.9</w:t>
            </w:r>
          </w:p>
        </w:tc>
        <w:tc>
          <w:tcPr>
            <w:tcW w:w="387" w:type="pct"/>
            <w:vAlign w:val="center"/>
          </w:tcPr>
          <w:p w14:paraId="406F6C25">
            <w:pPr>
              <w:jc w:val="center"/>
              <w:rPr>
                <w:rFonts w:ascii="宋体" w:hAnsi="宋体"/>
                <w:color w:val="auto"/>
              </w:rPr>
            </w:pPr>
            <w:r>
              <w:rPr>
                <w:rFonts w:hint="eastAsia" w:ascii="宋体" w:hAnsi="宋体"/>
                <w:color w:val="auto"/>
              </w:rPr>
              <w:t>西</w:t>
            </w:r>
          </w:p>
        </w:tc>
        <w:tc>
          <w:tcPr>
            <w:tcW w:w="539" w:type="pct"/>
            <w:vAlign w:val="center"/>
          </w:tcPr>
          <w:p w14:paraId="6520A1B7">
            <w:pPr>
              <w:jc w:val="center"/>
              <w:rPr>
                <w:rFonts w:ascii="宋体" w:hAnsi="宋体"/>
                <w:color w:val="auto"/>
              </w:rPr>
            </w:pPr>
            <w:r>
              <w:rPr>
                <w:rFonts w:hint="eastAsia" w:ascii="宋体" w:hAnsi="宋体"/>
                <w:color w:val="auto"/>
              </w:rPr>
              <w:t>1.9</w:t>
            </w:r>
          </w:p>
        </w:tc>
        <w:tc>
          <w:tcPr>
            <w:tcW w:w="486" w:type="pct"/>
            <w:vAlign w:val="center"/>
          </w:tcPr>
          <w:p w14:paraId="1DE54053">
            <w:pPr>
              <w:jc w:val="center"/>
              <w:rPr>
                <w:rFonts w:ascii="宋体" w:hAnsi="宋体"/>
                <w:color w:val="auto"/>
              </w:rPr>
            </w:pPr>
            <w:r>
              <w:rPr>
                <w:rFonts w:hint="eastAsia" w:ascii="宋体" w:hAnsi="宋体"/>
                <w:color w:val="auto"/>
              </w:rPr>
              <w:t>5/3</w:t>
            </w:r>
          </w:p>
        </w:tc>
      </w:tr>
      <w:tr w14:paraId="796BD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19C824C6">
            <w:pPr>
              <w:widowControl/>
              <w:jc w:val="center"/>
              <w:rPr>
                <w:rFonts w:ascii="宋体" w:hAnsi="宋体"/>
                <w:color w:val="auto"/>
              </w:rPr>
            </w:pPr>
          </w:p>
        </w:tc>
        <w:tc>
          <w:tcPr>
            <w:tcW w:w="674" w:type="pct"/>
            <w:vMerge w:val="restart"/>
            <w:vAlign w:val="center"/>
          </w:tcPr>
          <w:p w14:paraId="44C619B6">
            <w:pPr>
              <w:widowControl/>
              <w:jc w:val="center"/>
              <w:rPr>
                <w:rFonts w:ascii="宋体" w:hAnsi="宋体"/>
                <w:color w:val="auto"/>
              </w:rPr>
            </w:pPr>
            <w:r>
              <w:rPr>
                <w:rFonts w:hint="eastAsia" w:ascii="宋体" w:hAnsi="宋体"/>
                <w:color w:val="auto"/>
              </w:rPr>
              <w:t>2026年3月7日</w:t>
            </w:r>
          </w:p>
        </w:tc>
        <w:tc>
          <w:tcPr>
            <w:tcW w:w="1047" w:type="pct"/>
            <w:vAlign w:val="center"/>
          </w:tcPr>
          <w:p w14:paraId="2BD0E918">
            <w:pPr>
              <w:jc w:val="center"/>
              <w:rPr>
                <w:rFonts w:ascii="宋体" w:hAnsi="宋体"/>
                <w:color w:val="auto"/>
                <w:szCs w:val="22"/>
              </w:rPr>
            </w:pPr>
            <w:r>
              <w:rPr>
                <w:rFonts w:hint="eastAsia" w:ascii="宋体" w:hAnsi="宋体"/>
                <w:color w:val="auto"/>
              </w:rPr>
              <w:t>9：20</w:t>
            </w:r>
            <w:r>
              <w:rPr>
                <w:rFonts w:ascii="宋体" w:hAnsi="宋体"/>
                <w:color w:val="auto"/>
              </w:rPr>
              <w:t>～</w:t>
            </w:r>
            <w:r>
              <w:rPr>
                <w:rFonts w:hint="eastAsia" w:ascii="宋体" w:hAnsi="宋体"/>
                <w:color w:val="auto"/>
              </w:rPr>
              <w:t>10：22</w:t>
            </w:r>
          </w:p>
        </w:tc>
        <w:tc>
          <w:tcPr>
            <w:tcW w:w="621" w:type="pct"/>
            <w:vAlign w:val="center"/>
          </w:tcPr>
          <w:p w14:paraId="0D98120B">
            <w:pPr>
              <w:jc w:val="center"/>
              <w:rPr>
                <w:rFonts w:ascii="宋体" w:hAnsi="宋体"/>
                <w:color w:val="auto"/>
              </w:rPr>
            </w:pPr>
            <w:r>
              <w:rPr>
                <w:rFonts w:hint="eastAsia" w:ascii="宋体" w:hAnsi="宋体"/>
                <w:color w:val="auto"/>
              </w:rPr>
              <w:t>2.9</w:t>
            </w:r>
          </w:p>
        </w:tc>
        <w:tc>
          <w:tcPr>
            <w:tcW w:w="541" w:type="pct"/>
            <w:vAlign w:val="center"/>
          </w:tcPr>
          <w:p w14:paraId="5A47DA70">
            <w:pPr>
              <w:jc w:val="center"/>
              <w:rPr>
                <w:rFonts w:ascii="宋体" w:hAnsi="宋体"/>
                <w:color w:val="auto"/>
              </w:rPr>
            </w:pPr>
            <w:r>
              <w:rPr>
                <w:rFonts w:hint="eastAsia" w:ascii="宋体" w:hAnsi="宋体"/>
                <w:color w:val="auto"/>
              </w:rPr>
              <w:t>103.3</w:t>
            </w:r>
          </w:p>
        </w:tc>
        <w:tc>
          <w:tcPr>
            <w:tcW w:w="387" w:type="pct"/>
            <w:vAlign w:val="center"/>
          </w:tcPr>
          <w:p w14:paraId="6B0AB707">
            <w:pPr>
              <w:jc w:val="center"/>
              <w:rPr>
                <w:rFonts w:ascii="宋体" w:hAnsi="宋体"/>
                <w:color w:val="auto"/>
              </w:rPr>
            </w:pPr>
            <w:r>
              <w:rPr>
                <w:rFonts w:hint="eastAsia" w:ascii="宋体" w:hAnsi="宋体"/>
                <w:color w:val="auto"/>
              </w:rPr>
              <w:t>东</w:t>
            </w:r>
          </w:p>
        </w:tc>
        <w:tc>
          <w:tcPr>
            <w:tcW w:w="539" w:type="pct"/>
            <w:vAlign w:val="center"/>
          </w:tcPr>
          <w:p w14:paraId="3E22875E">
            <w:pPr>
              <w:jc w:val="center"/>
              <w:rPr>
                <w:rFonts w:ascii="宋体" w:hAnsi="宋体"/>
                <w:color w:val="auto"/>
              </w:rPr>
            </w:pPr>
            <w:r>
              <w:rPr>
                <w:rFonts w:hint="eastAsia" w:ascii="宋体" w:hAnsi="宋体"/>
                <w:color w:val="auto"/>
              </w:rPr>
              <w:t>2.0</w:t>
            </w:r>
          </w:p>
        </w:tc>
        <w:tc>
          <w:tcPr>
            <w:tcW w:w="486" w:type="pct"/>
            <w:vAlign w:val="center"/>
          </w:tcPr>
          <w:p w14:paraId="3747E0BC">
            <w:pPr>
              <w:jc w:val="center"/>
              <w:rPr>
                <w:rFonts w:ascii="宋体" w:hAnsi="宋体"/>
                <w:color w:val="auto"/>
              </w:rPr>
            </w:pPr>
            <w:r>
              <w:rPr>
                <w:rFonts w:hint="eastAsia" w:ascii="宋体" w:hAnsi="宋体"/>
                <w:color w:val="auto"/>
              </w:rPr>
              <w:t>2/0</w:t>
            </w:r>
          </w:p>
        </w:tc>
      </w:tr>
      <w:tr w14:paraId="09CAA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40FB57BD">
            <w:pPr>
              <w:widowControl/>
              <w:jc w:val="center"/>
              <w:rPr>
                <w:rFonts w:ascii="宋体" w:hAnsi="宋体"/>
                <w:color w:val="auto"/>
              </w:rPr>
            </w:pPr>
          </w:p>
        </w:tc>
        <w:tc>
          <w:tcPr>
            <w:tcW w:w="674" w:type="pct"/>
            <w:vMerge w:val="continue"/>
            <w:vAlign w:val="center"/>
          </w:tcPr>
          <w:p w14:paraId="63FCBDE4">
            <w:pPr>
              <w:widowControl/>
              <w:jc w:val="center"/>
              <w:rPr>
                <w:rFonts w:ascii="宋体" w:hAnsi="宋体"/>
                <w:color w:val="auto"/>
              </w:rPr>
            </w:pPr>
          </w:p>
        </w:tc>
        <w:tc>
          <w:tcPr>
            <w:tcW w:w="1047" w:type="pct"/>
            <w:vAlign w:val="center"/>
          </w:tcPr>
          <w:p w14:paraId="1BE89388">
            <w:pPr>
              <w:jc w:val="center"/>
              <w:rPr>
                <w:rFonts w:ascii="宋体" w:hAnsi="宋体"/>
                <w:color w:val="auto"/>
                <w:szCs w:val="22"/>
              </w:rPr>
            </w:pPr>
            <w:r>
              <w:rPr>
                <w:rFonts w:hint="eastAsia" w:ascii="宋体" w:hAnsi="宋体"/>
                <w:color w:val="auto"/>
              </w:rPr>
              <w:t>11：20</w:t>
            </w:r>
            <w:r>
              <w:rPr>
                <w:rFonts w:ascii="宋体" w:hAnsi="宋体"/>
                <w:color w:val="auto"/>
              </w:rPr>
              <w:t>～</w:t>
            </w:r>
            <w:r>
              <w:rPr>
                <w:rFonts w:hint="eastAsia" w:ascii="宋体" w:hAnsi="宋体"/>
                <w:color w:val="auto"/>
              </w:rPr>
              <w:t>12：22</w:t>
            </w:r>
          </w:p>
        </w:tc>
        <w:tc>
          <w:tcPr>
            <w:tcW w:w="621" w:type="pct"/>
            <w:vAlign w:val="center"/>
          </w:tcPr>
          <w:p w14:paraId="7C4E6437">
            <w:pPr>
              <w:jc w:val="center"/>
              <w:rPr>
                <w:rFonts w:ascii="宋体" w:hAnsi="宋体"/>
                <w:color w:val="auto"/>
              </w:rPr>
            </w:pPr>
            <w:r>
              <w:rPr>
                <w:rFonts w:hint="eastAsia" w:ascii="宋体" w:hAnsi="宋体"/>
                <w:color w:val="auto"/>
              </w:rPr>
              <w:t>4.5</w:t>
            </w:r>
          </w:p>
        </w:tc>
        <w:tc>
          <w:tcPr>
            <w:tcW w:w="541" w:type="pct"/>
            <w:vAlign w:val="center"/>
          </w:tcPr>
          <w:p w14:paraId="3EAEEAA7">
            <w:pPr>
              <w:jc w:val="center"/>
              <w:rPr>
                <w:rFonts w:ascii="宋体" w:hAnsi="宋体"/>
                <w:color w:val="auto"/>
              </w:rPr>
            </w:pPr>
            <w:r>
              <w:rPr>
                <w:rFonts w:hint="eastAsia" w:ascii="宋体" w:hAnsi="宋体"/>
                <w:color w:val="auto"/>
              </w:rPr>
              <w:t>103.3</w:t>
            </w:r>
          </w:p>
        </w:tc>
        <w:tc>
          <w:tcPr>
            <w:tcW w:w="387" w:type="pct"/>
            <w:vAlign w:val="center"/>
          </w:tcPr>
          <w:p w14:paraId="786C396C">
            <w:pPr>
              <w:jc w:val="center"/>
              <w:rPr>
                <w:rFonts w:ascii="宋体" w:hAnsi="宋体"/>
                <w:color w:val="auto"/>
              </w:rPr>
            </w:pPr>
            <w:r>
              <w:rPr>
                <w:rFonts w:hint="eastAsia" w:ascii="宋体" w:hAnsi="宋体"/>
                <w:color w:val="auto"/>
              </w:rPr>
              <w:t>东</w:t>
            </w:r>
          </w:p>
        </w:tc>
        <w:tc>
          <w:tcPr>
            <w:tcW w:w="539" w:type="pct"/>
            <w:vAlign w:val="center"/>
          </w:tcPr>
          <w:p w14:paraId="1067D43D">
            <w:pPr>
              <w:jc w:val="center"/>
              <w:rPr>
                <w:rFonts w:ascii="宋体" w:hAnsi="宋体"/>
                <w:color w:val="auto"/>
              </w:rPr>
            </w:pPr>
            <w:r>
              <w:rPr>
                <w:rFonts w:hint="eastAsia" w:ascii="宋体" w:hAnsi="宋体"/>
                <w:color w:val="auto"/>
              </w:rPr>
              <w:t>2.1</w:t>
            </w:r>
          </w:p>
        </w:tc>
        <w:tc>
          <w:tcPr>
            <w:tcW w:w="486" w:type="pct"/>
            <w:vAlign w:val="center"/>
          </w:tcPr>
          <w:p w14:paraId="17A9C1D1">
            <w:pPr>
              <w:jc w:val="center"/>
              <w:rPr>
                <w:rFonts w:ascii="宋体" w:hAnsi="宋体"/>
                <w:color w:val="auto"/>
              </w:rPr>
            </w:pPr>
            <w:r>
              <w:rPr>
                <w:rFonts w:hint="eastAsia" w:ascii="宋体" w:hAnsi="宋体"/>
                <w:color w:val="auto"/>
              </w:rPr>
              <w:t>2/0</w:t>
            </w:r>
          </w:p>
        </w:tc>
      </w:tr>
      <w:tr w14:paraId="297D1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0D5D2661">
            <w:pPr>
              <w:widowControl/>
              <w:jc w:val="center"/>
              <w:rPr>
                <w:rFonts w:ascii="宋体" w:hAnsi="宋体"/>
                <w:color w:val="auto"/>
              </w:rPr>
            </w:pPr>
          </w:p>
        </w:tc>
        <w:tc>
          <w:tcPr>
            <w:tcW w:w="674" w:type="pct"/>
            <w:vMerge w:val="continue"/>
            <w:vAlign w:val="center"/>
          </w:tcPr>
          <w:p w14:paraId="29B97A5A">
            <w:pPr>
              <w:widowControl/>
              <w:jc w:val="center"/>
              <w:rPr>
                <w:rFonts w:ascii="宋体" w:hAnsi="宋体"/>
                <w:color w:val="auto"/>
              </w:rPr>
            </w:pPr>
          </w:p>
        </w:tc>
        <w:tc>
          <w:tcPr>
            <w:tcW w:w="1047" w:type="pct"/>
            <w:vAlign w:val="center"/>
          </w:tcPr>
          <w:p w14:paraId="38D713C0">
            <w:pPr>
              <w:jc w:val="center"/>
              <w:rPr>
                <w:rFonts w:ascii="宋体" w:hAnsi="宋体"/>
                <w:color w:val="auto"/>
                <w:szCs w:val="22"/>
              </w:rPr>
            </w:pPr>
            <w:r>
              <w:rPr>
                <w:rFonts w:hint="eastAsia" w:ascii="宋体" w:hAnsi="宋体"/>
                <w:color w:val="auto"/>
              </w:rPr>
              <w:t>13：20</w:t>
            </w:r>
            <w:r>
              <w:rPr>
                <w:rFonts w:ascii="宋体" w:hAnsi="宋体"/>
                <w:color w:val="auto"/>
              </w:rPr>
              <w:t>～</w:t>
            </w:r>
            <w:r>
              <w:rPr>
                <w:rFonts w:hint="eastAsia" w:ascii="宋体" w:hAnsi="宋体"/>
                <w:color w:val="auto"/>
              </w:rPr>
              <w:t>14：22</w:t>
            </w:r>
          </w:p>
        </w:tc>
        <w:tc>
          <w:tcPr>
            <w:tcW w:w="621" w:type="pct"/>
            <w:vAlign w:val="center"/>
          </w:tcPr>
          <w:p w14:paraId="53A95126">
            <w:pPr>
              <w:jc w:val="center"/>
              <w:rPr>
                <w:rFonts w:ascii="宋体" w:hAnsi="宋体"/>
                <w:color w:val="auto"/>
              </w:rPr>
            </w:pPr>
            <w:r>
              <w:rPr>
                <w:rFonts w:hint="eastAsia" w:ascii="宋体" w:hAnsi="宋体"/>
                <w:color w:val="auto"/>
              </w:rPr>
              <w:t>8.3</w:t>
            </w:r>
          </w:p>
        </w:tc>
        <w:tc>
          <w:tcPr>
            <w:tcW w:w="541" w:type="pct"/>
            <w:vAlign w:val="center"/>
          </w:tcPr>
          <w:p w14:paraId="417C3FA6">
            <w:pPr>
              <w:jc w:val="center"/>
              <w:rPr>
                <w:rFonts w:ascii="宋体" w:hAnsi="宋体"/>
                <w:color w:val="auto"/>
              </w:rPr>
            </w:pPr>
            <w:r>
              <w:rPr>
                <w:rFonts w:hint="eastAsia" w:ascii="宋体" w:hAnsi="宋体"/>
                <w:color w:val="auto"/>
              </w:rPr>
              <w:t>103.2</w:t>
            </w:r>
          </w:p>
        </w:tc>
        <w:tc>
          <w:tcPr>
            <w:tcW w:w="387" w:type="pct"/>
            <w:vAlign w:val="center"/>
          </w:tcPr>
          <w:p w14:paraId="1BCF9D12">
            <w:pPr>
              <w:jc w:val="center"/>
              <w:rPr>
                <w:rFonts w:ascii="宋体" w:hAnsi="宋体"/>
                <w:color w:val="auto"/>
              </w:rPr>
            </w:pPr>
            <w:r>
              <w:rPr>
                <w:rFonts w:hint="eastAsia" w:ascii="宋体" w:hAnsi="宋体"/>
                <w:color w:val="auto"/>
              </w:rPr>
              <w:t>东</w:t>
            </w:r>
          </w:p>
        </w:tc>
        <w:tc>
          <w:tcPr>
            <w:tcW w:w="539" w:type="pct"/>
            <w:vAlign w:val="center"/>
          </w:tcPr>
          <w:p w14:paraId="54BBCD76">
            <w:pPr>
              <w:jc w:val="center"/>
              <w:rPr>
                <w:rFonts w:ascii="宋体" w:hAnsi="宋体"/>
                <w:color w:val="auto"/>
              </w:rPr>
            </w:pPr>
            <w:r>
              <w:rPr>
                <w:rFonts w:hint="eastAsia" w:ascii="宋体" w:hAnsi="宋体"/>
                <w:color w:val="auto"/>
              </w:rPr>
              <w:t>2.0</w:t>
            </w:r>
          </w:p>
        </w:tc>
        <w:tc>
          <w:tcPr>
            <w:tcW w:w="486" w:type="pct"/>
            <w:vAlign w:val="center"/>
          </w:tcPr>
          <w:p w14:paraId="4F5267DD">
            <w:pPr>
              <w:jc w:val="center"/>
              <w:rPr>
                <w:rFonts w:ascii="宋体" w:hAnsi="宋体"/>
                <w:color w:val="auto"/>
              </w:rPr>
            </w:pPr>
            <w:r>
              <w:rPr>
                <w:rFonts w:hint="eastAsia" w:ascii="宋体" w:hAnsi="宋体"/>
                <w:color w:val="auto"/>
              </w:rPr>
              <w:t>2/0</w:t>
            </w:r>
          </w:p>
        </w:tc>
      </w:tr>
      <w:tr w14:paraId="5C7A7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66025004">
            <w:pPr>
              <w:widowControl/>
              <w:jc w:val="center"/>
              <w:rPr>
                <w:rFonts w:ascii="宋体" w:hAnsi="宋体"/>
                <w:color w:val="auto"/>
              </w:rPr>
            </w:pPr>
          </w:p>
        </w:tc>
        <w:tc>
          <w:tcPr>
            <w:tcW w:w="674" w:type="pct"/>
            <w:vMerge w:val="continue"/>
            <w:vAlign w:val="center"/>
          </w:tcPr>
          <w:p w14:paraId="41EE0734">
            <w:pPr>
              <w:widowControl/>
              <w:jc w:val="center"/>
              <w:rPr>
                <w:rFonts w:ascii="宋体" w:hAnsi="宋体"/>
                <w:color w:val="auto"/>
              </w:rPr>
            </w:pPr>
          </w:p>
        </w:tc>
        <w:tc>
          <w:tcPr>
            <w:tcW w:w="1047" w:type="pct"/>
            <w:vAlign w:val="center"/>
          </w:tcPr>
          <w:p w14:paraId="5F3B74BC">
            <w:pPr>
              <w:jc w:val="center"/>
              <w:rPr>
                <w:rFonts w:ascii="宋体" w:hAnsi="宋体"/>
                <w:color w:val="auto"/>
              </w:rPr>
            </w:pPr>
            <w:r>
              <w:rPr>
                <w:rFonts w:hint="eastAsia" w:ascii="宋体" w:hAnsi="宋体"/>
                <w:color w:val="auto"/>
              </w:rPr>
              <w:t>15：20</w:t>
            </w:r>
            <w:r>
              <w:rPr>
                <w:rFonts w:ascii="宋体" w:hAnsi="宋体"/>
                <w:color w:val="auto"/>
              </w:rPr>
              <w:t>～</w:t>
            </w:r>
            <w:r>
              <w:rPr>
                <w:rFonts w:hint="eastAsia" w:ascii="宋体" w:hAnsi="宋体"/>
                <w:color w:val="auto"/>
              </w:rPr>
              <w:t>16：22</w:t>
            </w:r>
          </w:p>
        </w:tc>
        <w:tc>
          <w:tcPr>
            <w:tcW w:w="621" w:type="pct"/>
            <w:vAlign w:val="center"/>
          </w:tcPr>
          <w:p w14:paraId="5E3359B2">
            <w:pPr>
              <w:jc w:val="center"/>
              <w:rPr>
                <w:rFonts w:ascii="宋体" w:hAnsi="宋体"/>
                <w:color w:val="auto"/>
              </w:rPr>
            </w:pPr>
            <w:r>
              <w:rPr>
                <w:rFonts w:hint="eastAsia" w:ascii="宋体" w:hAnsi="宋体"/>
                <w:color w:val="auto"/>
              </w:rPr>
              <w:t>8.0</w:t>
            </w:r>
          </w:p>
        </w:tc>
        <w:tc>
          <w:tcPr>
            <w:tcW w:w="541" w:type="pct"/>
            <w:vAlign w:val="center"/>
          </w:tcPr>
          <w:p w14:paraId="0CB17B5E">
            <w:pPr>
              <w:jc w:val="center"/>
              <w:rPr>
                <w:rFonts w:ascii="宋体" w:hAnsi="宋体"/>
                <w:color w:val="auto"/>
              </w:rPr>
            </w:pPr>
            <w:r>
              <w:rPr>
                <w:rFonts w:hint="eastAsia" w:ascii="宋体" w:hAnsi="宋体"/>
                <w:color w:val="auto"/>
              </w:rPr>
              <w:t>103.1</w:t>
            </w:r>
          </w:p>
        </w:tc>
        <w:tc>
          <w:tcPr>
            <w:tcW w:w="387" w:type="pct"/>
            <w:vAlign w:val="center"/>
          </w:tcPr>
          <w:p w14:paraId="203FBC53">
            <w:pPr>
              <w:jc w:val="center"/>
              <w:rPr>
                <w:rFonts w:ascii="宋体" w:hAnsi="宋体"/>
                <w:color w:val="auto"/>
              </w:rPr>
            </w:pPr>
            <w:r>
              <w:rPr>
                <w:rFonts w:hint="eastAsia" w:ascii="宋体" w:hAnsi="宋体"/>
                <w:color w:val="auto"/>
              </w:rPr>
              <w:t>东</w:t>
            </w:r>
          </w:p>
        </w:tc>
        <w:tc>
          <w:tcPr>
            <w:tcW w:w="539" w:type="pct"/>
            <w:vAlign w:val="center"/>
          </w:tcPr>
          <w:p w14:paraId="43AF22FA">
            <w:pPr>
              <w:jc w:val="center"/>
              <w:rPr>
                <w:rFonts w:ascii="宋体" w:hAnsi="宋体"/>
                <w:color w:val="auto"/>
              </w:rPr>
            </w:pPr>
            <w:r>
              <w:rPr>
                <w:rFonts w:hint="eastAsia" w:ascii="宋体" w:hAnsi="宋体"/>
                <w:color w:val="auto"/>
              </w:rPr>
              <w:t>2.3</w:t>
            </w:r>
          </w:p>
        </w:tc>
        <w:tc>
          <w:tcPr>
            <w:tcW w:w="486" w:type="pct"/>
            <w:vAlign w:val="center"/>
          </w:tcPr>
          <w:p w14:paraId="3B7EE93E">
            <w:pPr>
              <w:jc w:val="center"/>
              <w:rPr>
                <w:rFonts w:ascii="宋体" w:hAnsi="宋体"/>
                <w:color w:val="auto"/>
              </w:rPr>
            </w:pPr>
            <w:r>
              <w:rPr>
                <w:rFonts w:hint="eastAsia" w:ascii="宋体" w:hAnsi="宋体"/>
                <w:color w:val="auto"/>
              </w:rPr>
              <w:t>2/0</w:t>
            </w:r>
          </w:p>
        </w:tc>
      </w:tr>
      <w:tr w14:paraId="4EFED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restart"/>
            <w:vAlign w:val="center"/>
          </w:tcPr>
          <w:p w14:paraId="27F26BAD">
            <w:pPr>
              <w:adjustRightInd w:val="0"/>
              <w:snapToGrid w:val="0"/>
              <w:ind w:firstLine="2"/>
              <w:jc w:val="center"/>
              <w:rPr>
                <w:rFonts w:ascii="宋体" w:hAnsi="宋体"/>
                <w:color w:val="auto"/>
              </w:rPr>
            </w:pPr>
            <w:r>
              <w:rPr>
                <w:rFonts w:hint="eastAsia" w:ascii="宋体" w:hAnsi="宋体"/>
                <w:color w:val="auto"/>
              </w:rPr>
              <w:t>7#井场</w:t>
            </w:r>
          </w:p>
        </w:tc>
        <w:tc>
          <w:tcPr>
            <w:tcW w:w="674" w:type="pct"/>
            <w:vMerge w:val="restart"/>
            <w:vAlign w:val="center"/>
          </w:tcPr>
          <w:p w14:paraId="6D0AE24C">
            <w:pPr>
              <w:widowControl/>
              <w:jc w:val="center"/>
              <w:rPr>
                <w:rFonts w:ascii="宋体" w:hAnsi="宋体"/>
                <w:color w:val="auto"/>
              </w:rPr>
            </w:pPr>
            <w:r>
              <w:rPr>
                <w:rFonts w:hint="eastAsia" w:ascii="宋体" w:hAnsi="宋体"/>
                <w:color w:val="auto"/>
              </w:rPr>
              <w:t>2026年3月5日</w:t>
            </w:r>
          </w:p>
        </w:tc>
        <w:tc>
          <w:tcPr>
            <w:tcW w:w="1047" w:type="pct"/>
            <w:vAlign w:val="center"/>
          </w:tcPr>
          <w:p w14:paraId="100E0C14">
            <w:pPr>
              <w:jc w:val="center"/>
              <w:rPr>
                <w:rFonts w:ascii="宋体" w:hAnsi="宋体"/>
                <w:color w:val="auto"/>
              </w:rPr>
            </w:pPr>
            <w:r>
              <w:rPr>
                <w:rFonts w:hint="eastAsia" w:ascii="宋体" w:hAnsi="宋体"/>
                <w:color w:val="auto"/>
              </w:rPr>
              <w:t>10：10</w:t>
            </w:r>
            <w:r>
              <w:rPr>
                <w:rFonts w:ascii="宋体" w:hAnsi="宋体"/>
                <w:color w:val="auto"/>
              </w:rPr>
              <w:t>～</w:t>
            </w:r>
            <w:r>
              <w:rPr>
                <w:rFonts w:hint="eastAsia" w:ascii="宋体" w:hAnsi="宋体"/>
                <w:color w:val="auto"/>
              </w:rPr>
              <w:t>11：12</w:t>
            </w:r>
          </w:p>
        </w:tc>
        <w:tc>
          <w:tcPr>
            <w:tcW w:w="621" w:type="pct"/>
            <w:vAlign w:val="center"/>
          </w:tcPr>
          <w:p w14:paraId="61FEA1A0">
            <w:pPr>
              <w:jc w:val="center"/>
              <w:rPr>
                <w:rFonts w:ascii="宋体" w:hAnsi="宋体"/>
                <w:color w:val="auto"/>
              </w:rPr>
            </w:pPr>
            <w:r>
              <w:rPr>
                <w:rFonts w:hint="eastAsia" w:ascii="宋体" w:hAnsi="宋体"/>
                <w:color w:val="auto"/>
              </w:rPr>
              <w:t>5.1</w:t>
            </w:r>
          </w:p>
        </w:tc>
        <w:tc>
          <w:tcPr>
            <w:tcW w:w="541" w:type="pct"/>
            <w:vAlign w:val="center"/>
          </w:tcPr>
          <w:p w14:paraId="6B3DF6E1">
            <w:pPr>
              <w:jc w:val="center"/>
              <w:rPr>
                <w:rFonts w:ascii="宋体" w:hAnsi="宋体"/>
                <w:color w:val="auto"/>
              </w:rPr>
            </w:pPr>
            <w:r>
              <w:rPr>
                <w:rFonts w:hint="eastAsia" w:ascii="宋体" w:hAnsi="宋体"/>
                <w:color w:val="auto"/>
              </w:rPr>
              <w:t>102.3</w:t>
            </w:r>
          </w:p>
        </w:tc>
        <w:tc>
          <w:tcPr>
            <w:tcW w:w="387" w:type="pct"/>
            <w:vAlign w:val="center"/>
          </w:tcPr>
          <w:p w14:paraId="4D04B487">
            <w:pPr>
              <w:jc w:val="center"/>
              <w:rPr>
                <w:rFonts w:ascii="宋体" w:hAnsi="宋体"/>
                <w:color w:val="auto"/>
              </w:rPr>
            </w:pPr>
            <w:r>
              <w:rPr>
                <w:rFonts w:hint="eastAsia" w:ascii="宋体" w:hAnsi="宋体"/>
                <w:color w:val="auto"/>
              </w:rPr>
              <w:t>西</w:t>
            </w:r>
          </w:p>
        </w:tc>
        <w:tc>
          <w:tcPr>
            <w:tcW w:w="539" w:type="pct"/>
            <w:vAlign w:val="center"/>
          </w:tcPr>
          <w:p w14:paraId="20C605AC">
            <w:pPr>
              <w:jc w:val="center"/>
              <w:rPr>
                <w:rFonts w:ascii="宋体" w:hAnsi="宋体"/>
                <w:color w:val="auto"/>
              </w:rPr>
            </w:pPr>
            <w:r>
              <w:rPr>
                <w:rFonts w:hint="eastAsia" w:ascii="宋体" w:hAnsi="宋体"/>
                <w:color w:val="auto"/>
              </w:rPr>
              <w:t>1.3</w:t>
            </w:r>
          </w:p>
        </w:tc>
        <w:tc>
          <w:tcPr>
            <w:tcW w:w="486" w:type="pct"/>
            <w:vAlign w:val="center"/>
          </w:tcPr>
          <w:p w14:paraId="467F2264">
            <w:pPr>
              <w:jc w:val="center"/>
              <w:rPr>
                <w:rFonts w:ascii="宋体" w:hAnsi="宋体"/>
                <w:color w:val="auto"/>
              </w:rPr>
            </w:pPr>
            <w:r>
              <w:rPr>
                <w:rFonts w:hint="eastAsia" w:ascii="宋体" w:hAnsi="宋体"/>
                <w:color w:val="auto"/>
              </w:rPr>
              <w:t>7/2</w:t>
            </w:r>
          </w:p>
        </w:tc>
      </w:tr>
      <w:tr w14:paraId="6E354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3BF0689C">
            <w:pPr>
              <w:widowControl/>
              <w:jc w:val="center"/>
              <w:rPr>
                <w:rFonts w:ascii="宋体" w:hAnsi="宋体"/>
                <w:color w:val="auto"/>
              </w:rPr>
            </w:pPr>
          </w:p>
        </w:tc>
        <w:tc>
          <w:tcPr>
            <w:tcW w:w="674" w:type="pct"/>
            <w:vMerge w:val="continue"/>
            <w:vAlign w:val="center"/>
          </w:tcPr>
          <w:p w14:paraId="5854571F">
            <w:pPr>
              <w:widowControl/>
              <w:jc w:val="center"/>
              <w:rPr>
                <w:rFonts w:ascii="宋体" w:hAnsi="宋体"/>
                <w:color w:val="auto"/>
              </w:rPr>
            </w:pPr>
          </w:p>
        </w:tc>
        <w:tc>
          <w:tcPr>
            <w:tcW w:w="1047" w:type="pct"/>
            <w:vAlign w:val="center"/>
          </w:tcPr>
          <w:p w14:paraId="0B2DD52A">
            <w:pPr>
              <w:jc w:val="center"/>
              <w:rPr>
                <w:rFonts w:ascii="宋体" w:hAnsi="宋体"/>
                <w:color w:val="auto"/>
              </w:rPr>
            </w:pPr>
            <w:r>
              <w:rPr>
                <w:rFonts w:hint="eastAsia" w:ascii="宋体" w:hAnsi="宋体"/>
                <w:color w:val="auto"/>
              </w:rPr>
              <w:t>12：10</w:t>
            </w:r>
            <w:r>
              <w:rPr>
                <w:rFonts w:ascii="宋体" w:hAnsi="宋体"/>
                <w:color w:val="auto"/>
              </w:rPr>
              <w:t>～</w:t>
            </w:r>
            <w:r>
              <w:rPr>
                <w:rFonts w:hint="eastAsia" w:ascii="宋体" w:hAnsi="宋体"/>
                <w:color w:val="auto"/>
              </w:rPr>
              <w:t>13：12</w:t>
            </w:r>
          </w:p>
        </w:tc>
        <w:tc>
          <w:tcPr>
            <w:tcW w:w="621" w:type="pct"/>
            <w:vAlign w:val="center"/>
          </w:tcPr>
          <w:p w14:paraId="1B021938">
            <w:pPr>
              <w:jc w:val="center"/>
              <w:rPr>
                <w:rFonts w:ascii="宋体" w:hAnsi="宋体"/>
                <w:color w:val="auto"/>
              </w:rPr>
            </w:pPr>
            <w:r>
              <w:rPr>
                <w:rFonts w:hint="eastAsia" w:ascii="宋体" w:hAnsi="宋体"/>
                <w:color w:val="auto"/>
              </w:rPr>
              <w:t>4.8</w:t>
            </w:r>
          </w:p>
        </w:tc>
        <w:tc>
          <w:tcPr>
            <w:tcW w:w="541" w:type="pct"/>
            <w:vAlign w:val="center"/>
          </w:tcPr>
          <w:p w14:paraId="4ABE8F4B">
            <w:pPr>
              <w:jc w:val="center"/>
              <w:rPr>
                <w:rFonts w:ascii="宋体" w:hAnsi="宋体"/>
                <w:color w:val="auto"/>
              </w:rPr>
            </w:pPr>
            <w:r>
              <w:rPr>
                <w:rFonts w:hint="eastAsia" w:ascii="宋体" w:hAnsi="宋体"/>
                <w:color w:val="auto"/>
              </w:rPr>
              <w:t>102.3</w:t>
            </w:r>
          </w:p>
        </w:tc>
        <w:tc>
          <w:tcPr>
            <w:tcW w:w="387" w:type="pct"/>
            <w:vAlign w:val="center"/>
          </w:tcPr>
          <w:p w14:paraId="04392794">
            <w:pPr>
              <w:jc w:val="center"/>
              <w:rPr>
                <w:rFonts w:ascii="宋体" w:hAnsi="宋体"/>
                <w:color w:val="auto"/>
              </w:rPr>
            </w:pPr>
            <w:r>
              <w:rPr>
                <w:rFonts w:hint="eastAsia" w:ascii="宋体" w:hAnsi="宋体"/>
                <w:color w:val="auto"/>
              </w:rPr>
              <w:t>西</w:t>
            </w:r>
          </w:p>
        </w:tc>
        <w:tc>
          <w:tcPr>
            <w:tcW w:w="539" w:type="pct"/>
            <w:vAlign w:val="center"/>
          </w:tcPr>
          <w:p w14:paraId="204BD290">
            <w:pPr>
              <w:jc w:val="center"/>
              <w:rPr>
                <w:rFonts w:ascii="宋体" w:hAnsi="宋体"/>
                <w:color w:val="auto"/>
              </w:rPr>
            </w:pPr>
            <w:r>
              <w:rPr>
                <w:rFonts w:hint="eastAsia" w:ascii="宋体" w:hAnsi="宋体"/>
                <w:color w:val="auto"/>
              </w:rPr>
              <w:t>1.7</w:t>
            </w:r>
          </w:p>
        </w:tc>
        <w:tc>
          <w:tcPr>
            <w:tcW w:w="486" w:type="pct"/>
            <w:vAlign w:val="center"/>
          </w:tcPr>
          <w:p w14:paraId="033BED5F">
            <w:pPr>
              <w:jc w:val="center"/>
              <w:rPr>
                <w:rFonts w:ascii="宋体" w:hAnsi="宋体"/>
                <w:color w:val="auto"/>
              </w:rPr>
            </w:pPr>
            <w:r>
              <w:rPr>
                <w:rFonts w:hint="eastAsia" w:ascii="宋体" w:hAnsi="宋体"/>
                <w:color w:val="auto"/>
              </w:rPr>
              <w:t>7/3</w:t>
            </w:r>
          </w:p>
        </w:tc>
      </w:tr>
      <w:tr w14:paraId="61CDC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661D9BE6">
            <w:pPr>
              <w:widowControl/>
              <w:jc w:val="center"/>
              <w:rPr>
                <w:rFonts w:ascii="宋体" w:hAnsi="宋体"/>
                <w:color w:val="auto"/>
              </w:rPr>
            </w:pPr>
          </w:p>
        </w:tc>
        <w:tc>
          <w:tcPr>
            <w:tcW w:w="674" w:type="pct"/>
            <w:vMerge w:val="continue"/>
            <w:vAlign w:val="center"/>
          </w:tcPr>
          <w:p w14:paraId="6C89826F">
            <w:pPr>
              <w:widowControl/>
              <w:jc w:val="center"/>
              <w:rPr>
                <w:rFonts w:ascii="宋体" w:hAnsi="宋体"/>
                <w:color w:val="auto"/>
              </w:rPr>
            </w:pPr>
          </w:p>
        </w:tc>
        <w:tc>
          <w:tcPr>
            <w:tcW w:w="1047" w:type="pct"/>
            <w:vAlign w:val="center"/>
          </w:tcPr>
          <w:p w14:paraId="50FF128D">
            <w:pPr>
              <w:jc w:val="center"/>
              <w:rPr>
                <w:rFonts w:ascii="宋体" w:hAnsi="宋体"/>
                <w:color w:val="auto"/>
              </w:rPr>
            </w:pPr>
            <w:r>
              <w:rPr>
                <w:rFonts w:hint="eastAsia" w:ascii="宋体" w:hAnsi="宋体"/>
                <w:color w:val="auto"/>
              </w:rPr>
              <w:t>14：10</w:t>
            </w:r>
            <w:r>
              <w:rPr>
                <w:rFonts w:ascii="宋体" w:hAnsi="宋体"/>
                <w:color w:val="auto"/>
              </w:rPr>
              <w:t>～</w:t>
            </w:r>
            <w:r>
              <w:rPr>
                <w:rFonts w:hint="eastAsia" w:ascii="宋体" w:hAnsi="宋体"/>
                <w:color w:val="auto"/>
              </w:rPr>
              <w:t>15：12</w:t>
            </w:r>
          </w:p>
        </w:tc>
        <w:tc>
          <w:tcPr>
            <w:tcW w:w="621" w:type="pct"/>
            <w:vAlign w:val="center"/>
          </w:tcPr>
          <w:p w14:paraId="403030E3">
            <w:pPr>
              <w:jc w:val="center"/>
              <w:rPr>
                <w:rFonts w:ascii="宋体" w:hAnsi="宋体"/>
                <w:color w:val="auto"/>
              </w:rPr>
            </w:pPr>
            <w:r>
              <w:rPr>
                <w:rFonts w:hint="eastAsia" w:ascii="宋体" w:hAnsi="宋体"/>
                <w:color w:val="auto"/>
              </w:rPr>
              <w:t>5.5</w:t>
            </w:r>
          </w:p>
        </w:tc>
        <w:tc>
          <w:tcPr>
            <w:tcW w:w="541" w:type="pct"/>
            <w:vAlign w:val="center"/>
          </w:tcPr>
          <w:p w14:paraId="726FF637">
            <w:pPr>
              <w:jc w:val="center"/>
              <w:rPr>
                <w:rFonts w:ascii="宋体" w:hAnsi="宋体"/>
                <w:color w:val="auto"/>
              </w:rPr>
            </w:pPr>
            <w:r>
              <w:rPr>
                <w:rFonts w:hint="eastAsia" w:ascii="宋体" w:hAnsi="宋体"/>
                <w:color w:val="auto"/>
              </w:rPr>
              <w:t>102.2</w:t>
            </w:r>
          </w:p>
        </w:tc>
        <w:tc>
          <w:tcPr>
            <w:tcW w:w="387" w:type="pct"/>
            <w:vAlign w:val="center"/>
          </w:tcPr>
          <w:p w14:paraId="500CB0FE">
            <w:pPr>
              <w:jc w:val="center"/>
              <w:rPr>
                <w:rFonts w:ascii="宋体" w:hAnsi="宋体"/>
                <w:color w:val="auto"/>
              </w:rPr>
            </w:pPr>
            <w:r>
              <w:rPr>
                <w:rFonts w:hint="eastAsia" w:ascii="宋体" w:hAnsi="宋体"/>
                <w:color w:val="auto"/>
              </w:rPr>
              <w:t>西</w:t>
            </w:r>
          </w:p>
        </w:tc>
        <w:tc>
          <w:tcPr>
            <w:tcW w:w="539" w:type="pct"/>
            <w:vAlign w:val="center"/>
          </w:tcPr>
          <w:p w14:paraId="6CA9112C">
            <w:pPr>
              <w:jc w:val="center"/>
              <w:rPr>
                <w:rFonts w:ascii="宋体" w:hAnsi="宋体"/>
                <w:color w:val="auto"/>
              </w:rPr>
            </w:pPr>
            <w:r>
              <w:rPr>
                <w:rFonts w:hint="eastAsia" w:ascii="宋体" w:hAnsi="宋体"/>
                <w:color w:val="auto"/>
              </w:rPr>
              <w:t>1.6</w:t>
            </w:r>
          </w:p>
        </w:tc>
        <w:tc>
          <w:tcPr>
            <w:tcW w:w="486" w:type="pct"/>
            <w:vAlign w:val="center"/>
          </w:tcPr>
          <w:p w14:paraId="2B456D69">
            <w:pPr>
              <w:jc w:val="center"/>
              <w:rPr>
                <w:rFonts w:ascii="宋体" w:hAnsi="宋体"/>
                <w:color w:val="auto"/>
              </w:rPr>
            </w:pPr>
            <w:r>
              <w:rPr>
                <w:rFonts w:hint="eastAsia" w:ascii="宋体" w:hAnsi="宋体"/>
                <w:color w:val="auto"/>
              </w:rPr>
              <w:t>7/2</w:t>
            </w:r>
          </w:p>
        </w:tc>
      </w:tr>
      <w:tr w14:paraId="06ADC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0BB5AFE6">
            <w:pPr>
              <w:widowControl/>
              <w:jc w:val="center"/>
              <w:rPr>
                <w:rFonts w:ascii="宋体" w:hAnsi="宋体"/>
                <w:color w:val="auto"/>
              </w:rPr>
            </w:pPr>
          </w:p>
        </w:tc>
        <w:tc>
          <w:tcPr>
            <w:tcW w:w="674" w:type="pct"/>
            <w:vMerge w:val="continue"/>
            <w:vAlign w:val="center"/>
          </w:tcPr>
          <w:p w14:paraId="5EECE663">
            <w:pPr>
              <w:widowControl/>
              <w:jc w:val="center"/>
              <w:rPr>
                <w:rFonts w:ascii="宋体" w:hAnsi="宋体"/>
                <w:color w:val="auto"/>
              </w:rPr>
            </w:pPr>
          </w:p>
        </w:tc>
        <w:tc>
          <w:tcPr>
            <w:tcW w:w="1047" w:type="pct"/>
            <w:vAlign w:val="center"/>
          </w:tcPr>
          <w:p w14:paraId="165F2EEC">
            <w:pPr>
              <w:jc w:val="center"/>
              <w:rPr>
                <w:rFonts w:ascii="宋体" w:hAnsi="宋体"/>
                <w:color w:val="auto"/>
              </w:rPr>
            </w:pPr>
            <w:r>
              <w:rPr>
                <w:rFonts w:hint="eastAsia" w:ascii="宋体" w:hAnsi="宋体"/>
                <w:color w:val="auto"/>
              </w:rPr>
              <w:t>16：10</w:t>
            </w:r>
            <w:r>
              <w:rPr>
                <w:rFonts w:ascii="宋体" w:hAnsi="宋体"/>
                <w:color w:val="auto"/>
              </w:rPr>
              <w:t>～</w:t>
            </w:r>
            <w:r>
              <w:rPr>
                <w:rFonts w:hint="eastAsia" w:ascii="宋体" w:hAnsi="宋体"/>
                <w:color w:val="auto"/>
              </w:rPr>
              <w:t>17：12</w:t>
            </w:r>
          </w:p>
        </w:tc>
        <w:tc>
          <w:tcPr>
            <w:tcW w:w="621" w:type="pct"/>
            <w:vAlign w:val="center"/>
          </w:tcPr>
          <w:p w14:paraId="7BED7C1D">
            <w:pPr>
              <w:jc w:val="center"/>
              <w:rPr>
                <w:rFonts w:ascii="宋体" w:hAnsi="宋体"/>
                <w:color w:val="auto"/>
              </w:rPr>
            </w:pPr>
            <w:r>
              <w:rPr>
                <w:rFonts w:hint="eastAsia" w:ascii="宋体" w:hAnsi="宋体"/>
                <w:color w:val="auto"/>
              </w:rPr>
              <w:t>6.4</w:t>
            </w:r>
          </w:p>
        </w:tc>
        <w:tc>
          <w:tcPr>
            <w:tcW w:w="541" w:type="pct"/>
            <w:vAlign w:val="center"/>
          </w:tcPr>
          <w:p w14:paraId="5312603B">
            <w:pPr>
              <w:jc w:val="center"/>
              <w:rPr>
                <w:rFonts w:ascii="宋体" w:hAnsi="宋体"/>
                <w:color w:val="auto"/>
              </w:rPr>
            </w:pPr>
            <w:r>
              <w:rPr>
                <w:rFonts w:hint="eastAsia" w:ascii="宋体" w:hAnsi="宋体"/>
                <w:color w:val="auto"/>
              </w:rPr>
              <w:t>102.2</w:t>
            </w:r>
          </w:p>
        </w:tc>
        <w:tc>
          <w:tcPr>
            <w:tcW w:w="387" w:type="pct"/>
            <w:vAlign w:val="center"/>
          </w:tcPr>
          <w:p w14:paraId="40BCFE84">
            <w:pPr>
              <w:jc w:val="center"/>
              <w:rPr>
                <w:rFonts w:ascii="宋体" w:hAnsi="宋体"/>
                <w:color w:val="auto"/>
              </w:rPr>
            </w:pPr>
            <w:r>
              <w:rPr>
                <w:rFonts w:hint="eastAsia" w:ascii="宋体" w:hAnsi="宋体"/>
                <w:color w:val="auto"/>
              </w:rPr>
              <w:t>西</w:t>
            </w:r>
          </w:p>
        </w:tc>
        <w:tc>
          <w:tcPr>
            <w:tcW w:w="539" w:type="pct"/>
            <w:vAlign w:val="center"/>
          </w:tcPr>
          <w:p w14:paraId="1FED8430">
            <w:pPr>
              <w:jc w:val="center"/>
              <w:rPr>
                <w:rFonts w:ascii="宋体" w:hAnsi="宋体"/>
                <w:color w:val="auto"/>
              </w:rPr>
            </w:pPr>
            <w:r>
              <w:rPr>
                <w:rFonts w:hint="eastAsia" w:ascii="宋体" w:hAnsi="宋体"/>
                <w:color w:val="auto"/>
              </w:rPr>
              <w:t>1.5</w:t>
            </w:r>
          </w:p>
        </w:tc>
        <w:tc>
          <w:tcPr>
            <w:tcW w:w="486" w:type="pct"/>
            <w:vAlign w:val="center"/>
          </w:tcPr>
          <w:p w14:paraId="013C0EBB">
            <w:pPr>
              <w:jc w:val="center"/>
              <w:rPr>
                <w:rFonts w:ascii="宋体" w:hAnsi="宋体"/>
                <w:color w:val="auto"/>
              </w:rPr>
            </w:pPr>
            <w:r>
              <w:rPr>
                <w:rFonts w:hint="eastAsia" w:ascii="宋体" w:hAnsi="宋体"/>
                <w:color w:val="auto"/>
              </w:rPr>
              <w:t>7/4</w:t>
            </w:r>
          </w:p>
        </w:tc>
      </w:tr>
      <w:tr w14:paraId="11908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69D7EB3B">
            <w:pPr>
              <w:widowControl/>
              <w:jc w:val="center"/>
              <w:rPr>
                <w:rFonts w:ascii="宋体" w:hAnsi="宋体"/>
                <w:color w:val="auto"/>
              </w:rPr>
            </w:pPr>
          </w:p>
        </w:tc>
        <w:tc>
          <w:tcPr>
            <w:tcW w:w="674" w:type="pct"/>
            <w:vMerge w:val="restart"/>
            <w:vAlign w:val="center"/>
          </w:tcPr>
          <w:p w14:paraId="75E1D3F1">
            <w:pPr>
              <w:widowControl/>
              <w:jc w:val="center"/>
              <w:rPr>
                <w:rFonts w:ascii="宋体" w:hAnsi="宋体"/>
                <w:color w:val="auto"/>
              </w:rPr>
            </w:pPr>
            <w:r>
              <w:rPr>
                <w:rFonts w:hint="eastAsia" w:ascii="宋体" w:hAnsi="宋体"/>
                <w:color w:val="auto"/>
              </w:rPr>
              <w:t>2026年3月6日</w:t>
            </w:r>
          </w:p>
        </w:tc>
        <w:tc>
          <w:tcPr>
            <w:tcW w:w="1047" w:type="pct"/>
            <w:vAlign w:val="center"/>
          </w:tcPr>
          <w:p w14:paraId="4E29660E">
            <w:pPr>
              <w:jc w:val="center"/>
              <w:rPr>
                <w:rFonts w:ascii="宋体" w:hAnsi="宋体"/>
                <w:color w:val="auto"/>
              </w:rPr>
            </w:pPr>
            <w:r>
              <w:rPr>
                <w:rFonts w:hint="eastAsia" w:ascii="宋体" w:hAnsi="宋体"/>
                <w:color w:val="auto"/>
              </w:rPr>
              <w:t>9：30</w:t>
            </w:r>
            <w:r>
              <w:rPr>
                <w:rFonts w:ascii="宋体" w:hAnsi="宋体"/>
                <w:color w:val="auto"/>
              </w:rPr>
              <w:t>～</w:t>
            </w:r>
            <w:r>
              <w:rPr>
                <w:rFonts w:hint="eastAsia" w:ascii="宋体" w:hAnsi="宋体"/>
                <w:color w:val="auto"/>
              </w:rPr>
              <w:t>10：32</w:t>
            </w:r>
          </w:p>
        </w:tc>
        <w:tc>
          <w:tcPr>
            <w:tcW w:w="621" w:type="pct"/>
            <w:vAlign w:val="center"/>
          </w:tcPr>
          <w:p w14:paraId="10E28B46">
            <w:pPr>
              <w:jc w:val="center"/>
              <w:rPr>
                <w:rFonts w:ascii="宋体" w:hAnsi="宋体"/>
                <w:color w:val="auto"/>
              </w:rPr>
            </w:pPr>
            <w:r>
              <w:rPr>
                <w:rFonts w:hint="eastAsia" w:ascii="宋体" w:hAnsi="宋体"/>
                <w:color w:val="auto"/>
              </w:rPr>
              <w:t>2.7</w:t>
            </w:r>
          </w:p>
        </w:tc>
        <w:tc>
          <w:tcPr>
            <w:tcW w:w="541" w:type="pct"/>
            <w:vAlign w:val="center"/>
          </w:tcPr>
          <w:p w14:paraId="2840FBED">
            <w:pPr>
              <w:jc w:val="center"/>
              <w:rPr>
                <w:rFonts w:ascii="宋体" w:hAnsi="宋体"/>
                <w:color w:val="auto"/>
              </w:rPr>
            </w:pPr>
            <w:r>
              <w:rPr>
                <w:rFonts w:hint="eastAsia" w:ascii="宋体" w:hAnsi="宋体"/>
                <w:color w:val="auto"/>
              </w:rPr>
              <w:t>103.1</w:t>
            </w:r>
          </w:p>
        </w:tc>
        <w:tc>
          <w:tcPr>
            <w:tcW w:w="387" w:type="pct"/>
            <w:vAlign w:val="center"/>
          </w:tcPr>
          <w:p w14:paraId="4111EBF5">
            <w:pPr>
              <w:jc w:val="center"/>
              <w:rPr>
                <w:rFonts w:ascii="宋体" w:hAnsi="宋体"/>
                <w:color w:val="auto"/>
              </w:rPr>
            </w:pPr>
            <w:r>
              <w:rPr>
                <w:rFonts w:hint="eastAsia" w:ascii="宋体" w:hAnsi="宋体"/>
                <w:color w:val="auto"/>
              </w:rPr>
              <w:t>西</w:t>
            </w:r>
          </w:p>
        </w:tc>
        <w:tc>
          <w:tcPr>
            <w:tcW w:w="539" w:type="pct"/>
            <w:vAlign w:val="center"/>
          </w:tcPr>
          <w:p w14:paraId="774A183C">
            <w:pPr>
              <w:jc w:val="center"/>
              <w:rPr>
                <w:rFonts w:ascii="宋体" w:hAnsi="宋体"/>
                <w:color w:val="auto"/>
              </w:rPr>
            </w:pPr>
            <w:r>
              <w:rPr>
                <w:rFonts w:hint="eastAsia" w:ascii="宋体" w:hAnsi="宋体"/>
                <w:color w:val="auto"/>
              </w:rPr>
              <w:t>1.8</w:t>
            </w:r>
          </w:p>
        </w:tc>
        <w:tc>
          <w:tcPr>
            <w:tcW w:w="486" w:type="pct"/>
            <w:vAlign w:val="center"/>
          </w:tcPr>
          <w:p w14:paraId="51738CE8">
            <w:pPr>
              <w:jc w:val="center"/>
              <w:rPr>
                <w:rFonts w:ascii="宋体" w:hAnsi="宋体"/>
                <w:color w:val="auto"/>
              </w:rPr>
            </w:pPr>
            <w:r>
              <w:rPr>
                <w:rFonts w:hint="eastAsia" w:ascii="宋体" w:hAnsi="宋体"/>
                <w:color w:val="auto"/>
              </w:rPr>
              <w:t>7/4</w:t>
            </w:r>
          </w:p>
        </w:tc>
      </w:tr>
      <w:tr w14:paraId="46114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78D2116C">
            <w:pPr>
              <w:widowControl/>
              <w:jc w:val="center"/>
              <w:rPr>
                <w:rFonts w:ascii="宋体" w:hAnsi="宋体"/>
                <w:color w:val="auto"/>
              </w:rPr>
            </w:pPr>
          </w:p>
        </w:tc>
        <w:tc>
          <w:tcPr>
            <w:tcW w:w="674" w:type="pct"/>
            <w:vMerge w:val="continue"/>
            <w:vAlign w:val="center"/>
          </w:tcPr>
          <w:p w14:paraId="335900CE">
            <w:pPr>
              <w:widowControl/>
              <w:jc w:val="center"/>
              <w:rPr>
                <w:rFonts w:ascii="宋体" w:hAnsi="宋体"/>
                <w:color w:val="auto"/>
              </w:rPr>
            </w:pPr>
          </w:p>
        </w:tc>
        <w:tc>
          <w:tcPr>
            <w:tcW w:w="1047" w:type="pct"/>
            <w:vAlign w:val="center"/>
          </w:tcPr>
          <w:p w14:paraId="6A1E4993">
            <w:pPr>
              <w:jc w:val="center"/>
              <w:rPr>
                <w:rFonts w:ascii="宋体" w:hAnsi="宋体"/>
                <w:color w:val="auto"/>
              </w:rPr>
            </w:pPr>
            <w:r>
              <w:rPr>
                <w:rFonts w:hint="eastAsia" w:ascii="宋体" w:hAnsi="宋体"/>
                <w:color w:val="auto"/>
              </w:rPr>
              <w:t>11：30</w:t>
            </w:r>
            <w:r>
              <w:rPr>
                <w:rFonts w:ascii="宋体" w:hAnsi="宋体"/>
                <w:color w:val="auto"/>
              </w:rPr>
              <w:t>～</w:t>
            </w:r>
            <w:r>
              <w:rPr>
                <w:rFonts w:hint="eastAsia" w:ascii="宋体" w:hAnsi="宋体"/>
                <w:color w:val="auto"/>
              </w:rPr>
              <w:t>12：32</w:t>
            </w:r>
          </w:p>
        </w:tc>
        <w:tc>
          <w:tcPr>
            <w:tcW w:w="621" w:type="pct"/>
            <w:vAlign w:val="center"/>
          </w:tcPr>
          <w:p w14:paraId="3B23FDCF">
            <w:pPr>
              <w:jc w:val="center"/>
              <w:rPr>
                <w:rFonts w:ascii="宋体" w:hAnsi="宋体"/>
                <w:color w:val="auto"/>
              </w:rPr>
            </w:pPr>
            <w:r>
              <w:rPr>
                <w:rFonts w:hint="eastAsia" w:ascii="宋体" w:hAnsi="宋体"/>
                <w:color w:val="auto"/>
              </w:rPr>
              <w:t>3.6</w:t>
            </w:r>
          </w:p>
        </w:tc>
        <w:tc>
          <w:tcPr>
            <w:tcW w:w="541" w:type="pct"/>
            <w:vAlign w:val="center"/>
          </w:tcPr>
          <w:p w14:paraId="48581B4F">
            <w:pPr>
              <w:jc w:val="center"/>
              <w:rPr>
                <w:rFonts w:ascii="宋体" w:hAnsi="宋体"/>
                <w:color w:val="auto"/>
              </w:rPr>
            </w:pPr>
            <w:r>
              <w:rPr>
                <w:rFonts w:hint="eastAsia" w:ascii="宋体" w:hAnsi="宋体"/>
                <w:color w:val="auto"/>
              </w:rPr>
              <w:t>103.1</w:t>
            </w:r>
          </w:p>
        </w:tc>
        <w:tc>
          <w:tcPr>
            <w:tcW w:w="387" w:type="pct"/>
            <w:vAlign w:val="center"/>
          </w:tcPr>
          <w:p w14:paraId="6D521080">
            <w:pPr>
              <w:jc w:val="center"/>
              <w:rPr>
                <w:rFonts w:ascii="宋体" w:hAnsi="宋体"/>
                <w:color w:val="auto"/>
              </w:rPr>
            </w:pPr>
            <w:r>
              <w:rPr>
                <w:rFonts w:hint="eastAsia" w:ascii="宋体" w:hAnsi="宋体"/>
                <w:color w:val="auto"/>
              </w:rPr>
              <w:t>西</w:t>
            </w:r>
          </w:p>
        </w:tc>
        <w:tc>
          <w:tcPr>
            <w:tcW w:w="539" w:type="pct"/>
            <w:vAlign w:val="center"/>
          </w:tcPr>
          <w:p w14:paraId="234B00E0">
            <w:pPr>
              <w:jc w:val="center"/>
              <w:rPr>
                <w:rFonts w:ascii="宋体" w:hAnsi="宋体"/>
                <w:color w:val="auto"/>
              </w:rPr>
            </w:pPr>
            <w:r>
              <w:rPr>
                <w:rFonts w:hint="eastAsia" w:ascii="宋体" w:hAnsi="宋体"/>
                <w:color w:val="auto"/>
              </w:rPr>
              <w:t>2.0</w:t>
            </w:r>
          </w:p>
        </w:tc>
        <w:tc>
          <w:tcPr>
            <w:tcW w:w="486" w:type="pct"/>
            <w:vAlign w:val="center"/>
          </w:tcPr>
          <w:p w14:paraId="66601B7D">
            <w:pPr>
              <w:jc w:val="center"/>
              <w:rPr>
                <w:rFonts w:ascii="宋体" w:hAnsi="宋体"/>
                <w:color w:val="auto"/>
              </w:rPr>
            </w:pPr>
            <w:r>
              <w:rPr>
                <w:rFonts w:hint="eastAsia" w:ascii="宋体" w:hAnsi="宋体"/>
                <w:color w:val="auto"/>
              </w:rPr>
              <w:t>7/2</w:t>
            </w:r>
          </w:p>
        </w:tc>
      </w:tr>
      <w:tr w14:paraId="362EE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596965AF">
            <w:pPr>
              <w:widowControl/>
              <w:jc w:val="center"/>
              <w:rPr>
                <w:rFonts w:ascii="宋体" w:hAnsi="宋体"/>
                <w:color w:val="auto"/>
              </w:rPr>
            </w:pPr>
          </w:p>
        </w:tc>
        <w:tc>
          <w:tcPr>
            <w:tcW w:w="674" w:type="pct"/>
            <w:vMerge w:val="continue"/>
            <w:vAlign w:val="center"/>
          </w:tcPr>
          <w:p w14:paraId="0778C802">
            <w:pPr>
              <w:widowControl/>
              <w:jc w:val="center"/>
              <w:rPr>
                <w:rFonts w:ascii="宋体" w:hAnsi="宋体"/>
                <w:color w:val="auto"/>
              </w:rPr>
            </w:pPr>
          </w:p>
        </w:tc>
        <w:tc>
          <w:tcPr>
            <w:tcW w:w="1047" w:type="pct"/>
            <w:vAlign w:val="center"/>
          </w:tcPr>
          <w:p w14:paraId="3474CFBB">
            <w:pPr>
              <w:jc w:val="center"/>
              <w:rPr>
                <w:rFonts w:ascii="宋体" w:hAnsi="宋体"/>
                <w:color w:val="auto"/>
              </w:rPr>
            </w:pPr>
            <w:r>
              <w:rPr>
                <w:rFonts w:hint="eastAsia" w:ascii="宋体" w:hAnsi="宋体"/>
                <w:color w:val="auto"/>
              </w:rPr>
              <w:t>13：30</w:t>
            </w:r>
            <w:r>
              <w:rPr>
                <w:rFonts w:ascii="宋体" w:hAnsi="宋体"/>
                <w:color w:val="auto"/>
              </w:rPr>
              <w:t>～</w:t>
            </w:r>
            <w:r>
              <w:rPr>
                <w:rFonts w:hint="eastAsia" w:ascii="宋体" w:hAnsi="宋体"/>
                <w:color w:val="auto"/>
              </w:rPr>
              <w:t>14：32</w:t>
            </w:r>
          </w:p>
        </w:tc>
        <w:tc>
          <w:tcPr>
            <w:tcW w:w="621" w:type="pct"/>
            <w:vAlign w:val="center"/>
          </w:tcPr>
          <w:p w14:paraId="2CEA613D">
            <w:pPr>
              <w:jc w:val="center"/>
              <w:rPr>
                <w:rFonts w:ascii="宋体" w:hAnsi="宋体"/>
                <w:color w:val="auto"/>
              </w:rPr>
            </w:pPr>
            <w:r>
              <w:rPr>
                <w:rFonts w:hint="eastAsia" w:ascii="宋体" w:hAnsi="宋体"/>
                <w:color w:val="auto"/>
              </w:rPr>
              <w:t>5.3</w:t>
            </w:r>
          </w:p>
        </w:tc>
        <w:tc>
          <w:tcPr>
            <w:tcW w:w="541" w:type="pct"/>
            <w:vAlign w:val="center"/>
          </w:tcPr>
          <w:p w14:paraId="4FCA685B">
            <w:pPr>
              <w:jc w:val="center"/>
              <w:rPr>
                <w:rFonts w:ascii="宋体" w:hAnsi="宋体"/>
                <w:color w:val="auto"/>
              </w:rPr>
            </w:pPr>
            <w:r>
              <w:rPr>
                <w:rFonts w:hint="eastAsia" w:ascii="宋体" w:hAnsi="宋体"/>
                <w:color w:val="auto"/>
              </w:rPr>
              <w:t>103.0</w:t>
            </w:r>
          </w:p>
        </w:tc>
        <w:tc>
          <w:tcPr>
            <w:tcW w:w="387" w:type="pct"/>
            <w:vAlign w:val="center"/>
          </w:tcPr>
          <w:p w14:paraId="563590CD">
            <w:pPr>
              <w:jc w:val="center"/>
              <w:rPr>
                <w:rFonts w:ascii="宋体" w:hAnsi="宋体"/>
                <w:color w:val="auto"/>
              </w:rPr>
            </w:pPr>
            <w:r>
              <w:rPr>
                <w:rFonts w:hint="eastAsia" w:ascii="宋体" w:hAnsi="宋体"/>
                <w:color w:val="auto"/>
              </w:rPr>
              <w:t>西</w:t>
            </w:r>
          </w:p>
        </w:tc>
        <w:tc>
          <w:tcPr>
            <w:tcW w:w="539" w:type="pct"/>
            <w:vAlign w:val="center"/>
          </w:tcPr>
          <w:p w14:paraId="78471643">
            <w:pPr>
              <w:jc w:val="center"/>
              <w:rPr>
                <w:rFonts w:ascii="宋体" w:hAnsi="宋体"/>
                <w:color w:val="auto"/>
              </w:rPr>
            </w:pPr>
            <w:r>
              <w:rPr>
                <w:rFonts w:hint="eastAsia" w:ascii="宋体" w:hAnsi="宋体"/>
                <w:color w:val="auto"/>
              </w:rPr>
              <w:t>2.1</w:t>
            </w:r>
          </w:p>
        </w:tc>
        <w:tc>
          <w:tcPr>
            <w:tcW w:w="486" w:type="pct"/>
            <w:vAlign w:val="center"/>
          </w:tcPr>
          <w:p w14:paraId="29E5491A">
            <w:pPr>
              <w:jc w:val="center"/>
              <w:rPr>
                <w:rFonts w:ascii="宋体" w:hAnsi="宋体"/>
                <w:color w:val="auto"/>
              </w:rPr>
            </w:pPr>
            <w:r>
              <w:rPr>
                <w:rFonts w:hint="eastAsia" w:ascii="宋体" w:hAnsi="宋体"/>
                <w:color w:val="auto"/>
              </w:rPr>
              <w:t>6/3</w:t>
            </w:r>
          </w:p>
        </w:tc>
      </w:tr>
      <w:tr w14:paraId="39E1A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6CE3BE1D">
            <w:pPr>
              <w:widowControl/>
              <w:jc w:val="center"/>
              <w:rPr>
                <w:rFonts w:ascii="宋体" w:hAnsi="宋体"/>
                <w:color w:val="auto"/>
              </w:rPr>
            </w:pPr>
          </w:p>
        </w:tc>
        <w:tc>
          <w:tcPr>
            <w:tcW w:w="674" w:type="pct"/>
            <w:vMerge w:val="continue"/>
            <w:vAlign w:val="center"/>
          </w:tcPr>
          <w:p w14:paraId="64E57716">
            <w:pPr>
              <w:widowControl/>
              <w:jc w:val="center"/>
              <w:rPr>
                <w:rFonts w:ascii="宋体" w:hAnsi="宋体"/>
                <w:color w:val="auto"/>
              </w:rPr>
            </w:pPr>
          </w:p>
        </w:tc>
        <w:tc>
          <w:tcPr>
            <w:tcW w:w="1047" w:type="pct"/>
            <w:vAlign w:val="center"/>
          </w:tcPr>
          <w:p w14:paraId="4FF8D228">
            <w:pPr>
              <w:jc w:val="center"/>
              <w:rPr>
                <w:rFonts w:ascii="宋体" w:hAnsi="宋体"/>
                <w:color w:val="auto"/>
              </w:rPr>
            </w:pPr>
            <w:r>
              <w:rPr>
                <w:rFonts w:hint="eastAsia" w:ascii="宋体" w:hAnsi="宋体"/>
                <w:color w:val="auto"/>
              </w:rPr>
              <w:t>15：30</w:t>
            </w:r>
            <w:r>
              <w:rPr>
                <w:rFonts w:ascii="宋体" w:hAnsi="宋体"/>
                <w:color w:val="auto"/>
              </w:rPr>
              <w:t>～</w:t>
            </w:r>
            <w:r>
              <w:rPr>
                <w:rFonts w:hint="eastAsia" w:ascii="宋体" w:hAnsi="宋体"/>
                <w:color w:val="auto"/>
              </w:rPr>
              <w:t>16：32</w:t>
            </w:r>
          </w:p>
        </w:tc>
        <w:tc>
          <w:tcPr>
            <w:tcW w:w="621" w:type="pct"/>
            <w:vAlign w:val="center"/>
          </w:tcPr>
          <w:p w14:paraId="381A9795">
            <w:pPr>
              <w:jc w:val="center"/>
              <w:rPr>
                <w:rFonts w:ascii="宋体" w:hAnsi="宋体"/>
                <w:color w:val="auto"/>
              </w:rPr>
            </w:pPr>
            <w:r>
              <w:rPr>
                <w:rFonts w:hint="eastAsia" w:ascii="宋体" w:hAnsi="宋体"/>
                <w:color w:val="auto"/>
              </w:rPr>
              <w:t>6.1</w:t>
            </w:r>
          </w:p>
        </w:tc>
        <w:tc>
          <w:tcPr>
            <w:tcW w:w="541" w:type="pct"/>
            <w:vAlign w:val="center"/>
          </w:tcPr>
          <w:p w14:paraId="45300694">
            <w:pPr>
              <w:jc w:val="center"/>
              <w:rPr>
                <w:rFonts w:ascii="宋体" w:hAnsi="宋体"/>
                <w:color w:val="auto"/>
              </w:rPr>
            </w:pPr>
            <w:r>
              <w:rPr>
                <w:rFonts w:hint="eastAsia" w:ascii="宋体" w:hAnsi="宋体"/>
                <w:color w:val="auto"/>
              </w:rPr>
              <w:t>102.9</w:t>
            </w:r>
          </w:p>
        </w:tc>
        <w:tc>
          <w:tcPr>
            <w:tcW w:w="387" w:type="pct"/>
            <w:vAlign w:val="center"/>
          </w:tcPr>
          <w:p w14:paraId="22ED8385">
            <w:pPr>
              <w:jc w:val="center"/>
              <w:rPr>
                <w:rFonts w:ascii="宋体" w:hAnsi="宋体"/>
                <w:color w:val="auto"/>
              </w:rPr>
            </w:pPr>
            <w:r>
              <w:rPr>
                <w:rFonts w:hint="eastAsia" w:ascii="宋体" w:hAnsi="宋体"/>
                <w:color w:val="auto"/>
              </w:rPr>
              <w:t>西</w:t>
            </w:r>
          </w:p>
        </w:tc>
        <w:tc>
          <w:tcPr>
            <w:tcW w:w="539" w:type="pct"/>
            <w:vAlign w:val="center"/>
          </w:tcPr>
          <w:p w14:paraId="76DB9C28">
            <w:pPr>
              <w:jc w:val="center"/>
              <w:rPr>
                <w:rFonts w:ascii="宋体" w:hAnsi="宋体"/>
                <w:color w:val="auto"/>
              </w:rPr>
            </w:pPr>
            <w:r>
              <w:rPr>
                <w:rFonts w:hint="eastAsia" w:ascii="宋体" w:hAnsi="宋体"/>
                <w:color w:val="auto"/>
              </w:rPr>
              <w:t>1.9</w:t>
            </w:r>
          </w:p>
        </w:tc>
        <w:tc>
          <w:tcPr>
            <w:tcW w:w="486" w:type="pct"/>
            <w:vAlign w:val="center"/>
          </w:tcPr>
          <w:p w14:paraId="29D6DCF7">
            <w:pPr>
              <w:jc w:val="center"/>
              <w:rPr>
                <w:rFonts w:ascii="宋体" w:hAnsi="宋体"/>
                <w:color w:val="auto"/>
              </w:rPr>
            </w:pPr>
            <w:r>
              <w:rPr>
                <w:rFonts w:hint="eastAsia" w:ascii="宋体" w:hAnsi="宋体"/>
                <w:color w:val="auto"/>
              </w:rPr>
              <w:t>5/3</w:t>
            </w:r>
          </w:p>
        </w:tc>
      </w:tr>
      <w:tr w14:paraId="1A613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restart"/>
            <w:vAlign w:val="center"/>
          </w:tcPr>
          <w:p w14:paraId="5F6D3315">
            <w:pPr>
              <w:adjustRightInd w:val="0"/>
              <w:snapToGrid w:val="0"/>
              <w:ind w:firstLine="2"/>
              <w:jc w:val="center"/>
              <w:rPr>
                <w:rFonts w:ascii="宋体" w:hAnsi="宋体"/>
                <w:color w:val="auto"/>
              </w:rPr>
            </w:pPr>
            <w:bookmarkStart w:id="405" w:name="_Ref59462685"/>
            <w:bookmarkStart w:id="406" w:name="_Ref74672996"/>
            <w:r>
              <w:rPr>
                <w:rFonts w:ascii="宋体" w:hAnsi="宋体"/>
                <w:color w:val="auto"/>
              </w:rPr>
              <w:t>12</w:t>
            </w:r>
            <w:r>
              <w:rPr>
                <w:rFonts w:hint="eastAsia" w:ascii="宋体" w:hAnsi="宋体"/>
                <w:color w:val="auto"/>
              </w:rPr>
              <w:t>#井场</w:t>
            </w:r>
          </w:p>
        </w:tc>
        <w:tc>
          <w:tcPr>
            <w:tcW w:w="674" w:type="pct"/>
            <w:vMerge w:val="restart"/>
            <w:vAlign w:val="center"/>
          </w:tcPr>
          <w:p w14:paraId="59C9BADE">
            <w:pPr>
              <w:widowControl/>
              <w:jc w:val="center"/>
              <w:rPr>
                <w:rFonts w:ascii="宋体" w:hAnsi="宋体"/>
                <w:color w:val="auto"/>
              </w:rPr>
            </w:pPr>
            <w:r>
              <w:rPr>
                <w:rFonts w:hint="eastAsia" w:ascii="宋体" w:hAnsi="宋体"/>
                <w:color w:val="auto"/>
              </w:rPr>
              <w:t>2026年</w:t>
            </w:r>
            <w:r>
              <w:rPr>
                <w:rFonts w:ascii="宋体" w:hAnsi="宋体"/>
                <w:color w:val="auto"/>
              </w:rPr>
              <w:t>5</w:t>
            </w:r>
            <w:r>
              <w:rPr>
                <w:rFonts w:hint="eastAsia" w:ascii="宋体" w:hAnsi="宋体"/>
                <w:color w:val="auto"/>
              </w:rPr>
              <w:t>月</w:t>
            </w:r>
            <w:r>
              <w:rPr>
                <w:rFonts w:ascii="宋体" w:hAnsi="宋体"/>
                <w:color w:val="auto"/>
              </w:rPr>
              <w:t>10</w:t>
            </w:r>
            <w:r>
              <w:rPr>
                <w:rFonts w:hint="eastAsia" w:ascii="宋体" w:hAnsi="宋体"/>
                <w:color w:val="auto"/>
              </w:rPr>
              <w:t>日</w:t>
            </w:r>
          </w:p>
        </w:tc>
        <w:tc>
          <w:tcPr>
            <w:tcW w:w="1047" w:type="pct"/>
            <w:vAlign w:val="center"/>
          </w:tcPr>
          <w:p w14:paraId="1F7C299F">
            <w:pPr>
              <w:jc w:val="center"/>
              <w:rPr>
                <w:rFonts w:ascii="宋体" w:hAnsi="宋体"/>
                <w:color w:val="auto"/>
              </w:rPr>
            </w:pPr>
            <w:r>
              <w:rPr>
                <w:rFonts w:hint="eastAsia" w:ascii="宋体" w:hAnsi="宋体"/>
                <w:color w:val="auto"/>
              </w:rPr>
              <w:t>11：00</w:t>
            </w:r>
            <w:r>
              <w:rPr>
                <w:rFonts w:ascii="宋体" w:hAnsi="宋体"/>
                <w:color w:val="auto"/>
              </w:rPr>
              <w:t>～</w:t>
            </w:r>
            <w:r>
              <w:rPr>
                <w:rFonts w:hint="eastAsia" w:ascii="宋体" w:hAnsi="宋体"/>
                <w:color w:val="auto"/>
              </w:rPr>
              <w:t>12：02</w:t>
            </w:r>
          </w:p>
        </w:tc>
        <w:tc>
          <w:tcPr>
            <w:tcW w:w="621" w:type="pct"/>
            <w:vAlign w:val="center"/>
          </w:tcPr>
          <w:p w14:paraId="45ACDD1F">
            <w:pPr>
              <w:jc w:val="center"/>
              <w:rPr>
                <w:rFonts w:ascii="宋体" w:hAnsi="宋体"/>
                <w:color w:val="auto"/>
              </w:rPr>
            </w:pPr>
            <w:r>
              <w:rPr>
                <w:rFonts w:hint="eastAsia" w:ascii="宋体" w:hAnsi="宋体"/>
                <w:color w:val="auto"/>
              </w:rPr>
              <w:t>27.7</w:t>
            </w:r>
          </w:p>
        </w:tc>
        <w:tc>
          <w:tcPr>
            <w:tcW w:w="541" w:type="pct"/>
            <w:vAlign w:val="center"/>
          </w:tcPr>
          <w:p w14:paraId="4DBDC14A">
            <w:pPr>
              <w:jc w:val="center"/>
              <w:rPr>
                <w:rFonts w:ascii="宋体" w:hAnsi="宋体"/>
                <w:color w:val="auto"/>
              </w:rPr>
            </w:pPr>
            <w:r>
              <w:rPr>
                <w:rFonts w:hint="eastAsia" w:ascii="宋体" w:hAnsi="宋体"/>
                <w:color w:val="auto"/>
              </w:rPr>
              <w:t>100.7</w:t>
            </w:r>
          </w:p>
        </w:tc>
        <w:tc>
          <w:tcPr>
            <w:tcW w:w="387" w:type="pct"/>
            <w:vAlign w:val="center"/>
          </w:tcPr>
          <w:p w14:paraId="2FF563CE">
            <w:pPr>
              <w:jc w:val="center"/>
              <w:rPr>
                <w:rFonts w:ascii="宋体" w:hAnsi="宋体"/>
                <w:color w:val="auto"/>
              </w:rPr>
            </w:pPr>
            <w:r>
              <w:rPr>
                <w:rFonts w:hint="eastAsia" w:ascii="宋体" w:hAnsi="宋体"/>
                <w:color w:val="auto"/>
              </w:rPr>
              <w:t>西</w:t>
            </w:r>
          </w:p>
        </w:tc>
        <w:tc>
          <w:tcPr>
            <w:tcW w:w="539" w:type="pct"/>
            <w:vAlign w:val="center"/>
          </w:tcPr>
          <w:p w14:paraId="37AC8F35">
            <w:pPr>
              <w:jc w:val="center"/>
              <w:rPr>
                <w:rFonts w:ascii="宋体" w:hAnsi="宋体"/>
                <w:color w:val="auto"/>
              </w:rPr>
            </w:pPr>
            <w:r>
              <w:rPr>
                <w:rFonts w:hint="eastAsia" w:ascii="宋体" w:hAnsi="宋体"/>
                <w:color w:val="auto"/>
              </w:rPr>
              <w:t>2.9</w:t>
            </w:r>
          </w:p>
        </w:tc>
        <w:tc>
          <w:tcPr>
            <w:tcW w:w="486" w:type="pct"/>
            <w:vAlign w:val="center"/>
          </w:tcPr>
          <w:p w14:paraId="55078760">
            <w:pPr>
              <w:jc w:val="center"/>
              <w:rPr>
                <w:rFonts w:ascii="宋体" w:hAnsi="宋体"/>
                <w:color w:val="auto"/>
              </w:rPr>
            </w:pPr>
            <w:r>
              <w:rPr>
                <w:rFonts w:hint="eastAsia" w:ascii="宋体" w:hAnsi="宋体"/>
                <w:color w:val="auto"/>
              </w:rPr>
              <w:t>4/2</w:t>
            </w:r>
          </w:p>
        </w:tc>
      </w:tr>
      <w:tr w14:paraId="5ECA4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5648467C">
            <w:pPr>
              <w:widowControl/>
              <w:jc w:val="center"/>
              <w:rPr>
                <w:rFonts w:ascii="宋体" w:hAnsi="宋体"/>
                <w:color w:val="auto"/>
              </w:rPr>
            </w:pPr>
          </w:p>
        </w:tc>
        <w:tc>
          <w:tcPr>
            <w:tcW w:w="674" w:type="pct"/>
            <w:vMerge w:val="continue"/>
            <w:vAlign w:val="center"/>
          </w:tcPr>
          <w:p w14:paraId="4D8AD81D">
            <w:pPr>
              <w:widowControl/>
              <w:jc w:val="center"/>
              <w:rPr>
                <w:rFonts w:ascii="宋体" w:hAnsi="宋体"/>
                <w:color w:val="auto"/>
              </w:rPr>
            </w:pPr>
          </w:p>
        </w:tc>
        <w:tc>
          <w:tcPr>
            <w:tcW w:w="1047" w:type="pct"/>
            <w:vAlign w:val="center"/>
          </w:tcPr>
          <w:p w14:paraId="4F1E4BB7">
            <w:pPr>
              <w:jc w:val="center"/>
              <w:rPr>
                <w:rFonts w:ascii="宋体" w:hAnsi="宋体"/>
                <w:color w:val="auto"/>
              </w:rPr>
            </w:pPr>
            <w:r>
              <w:rPr>
                <w:rFonts w:hint="eastAsia" w:ascii="宋体" w:hAnsi="宋体"/>
                <w:color w:val="auto"/>
              </w:rPr>
              <w:t>13：00</w:t>
            </w:r>
            <w:r>
              <w:rPr>
                <w:rFonts w:ascii="宋体" w:hAnsi="宋体"/>
                <w:color w:val="auto"/>
              </w:rPr>
              <w:t>～</w:t>
            </w:r>
            <w:r>
              <w:rPr>
                <w:rFonts w:hint="eastAsia" w:ascii="宋体" w:hAnsi="宋体"/>
                <w:color w:val="auto"/>
              </w:rPr>
              <w:t>14：02</w:t>
            </w:r>
          </w:p>
        </w:tc>
        <w:tc>
          <w:tcPr>
            <w:tcW w:w="621" w:type="pct"/>
            <w:vAlign w:val="center"/>
          </w:tcPr>
          <w:p w14:paraId="07FA5A7F">
            <w:pPr>
              <w:jc w:val="center"/>
              <w:rPr>
                <w:rFonts w:ascii="宋体" w:hAnsi="宋体"/>
                <w:color w:val="auto"/>
              </w:rPr>
            </w:pPr>
            <w:r>
              <w:rPr>
                <w:rFonts w:hint="eastAsia" w:ascii="宋体" w:hAnsi="宋体"/>
                <w:color w:val="auto"/>
              </w:rPr>
              <w:t>28.3</w:t>
            </w:r>
          </w:p>
        </w:tc>
        <w:tc>
          <w:tcPr>
            <w:tcW w:w="541" w:type="pct"/>
            <w:vAlign w:val="center"/>
          </w:tcPr>
          <w:p w14:paraId="0528F942">
            <w:pPr>
              <w:jc w:val="center"/>
              <w:rPr>
                <w:rFonts w:ascii="宋体" w:hAnsi="宋体"/>
                <w:color w:val="auto"/>
              </w:rPr>
            </w:pPr>
            <w:r>
              <w:rPr>
                <w:rFonts w:hint="eastAsia" w:ascii="宋体" w:hAnsi="宋体"/>
                <w:color w:val="auto"/>
              </w:rPr>
              <w:t>100.7</w:t>
            </w:r>
          </w:p>
        </w:tc>
        <w:tc>
          <w:tcPr>
            <w:tcW w:w="387" w:type="pct"/>
            <w:vAlign w:val="center"/>
          </w:tcPr>
          <w:p w14:paraId="4F2A59CC">
            <w:pPr>
              <w:jc w:val="center"/>
              <w:rPr>
                <w:rFonts w:ascii="宋体" w:hAnsi="宋体"/>
                <w:color w:val="auto"/>
              </w:rPr>
            </w:pPr>
            <w:r>
              <w:rPr>
                <w:rFonts w:hint="eastAsia" w:ascii="宋体" w:hAnsi="宋体"/>
                <w:color w:val="auto"/>
              </w:rPr>
              <w:t>西</w:t>
            </w:r>
          </w:p>
        </w:tc>
        <w:tc>
          <w:tcPr>
            <w:tcW w:w="539" w:type="pct"/>
            <w:vAlign w:val="center"/>
          </w:tcPr>
          <w:p w14:paraId="74061A9A">
            <w:pPr>
              <w:jc w:val="center"/>
              <w:rPr>
                <w:rFonts w:ascii="宋体" w:hAnsi="宋体"/>
                <w:color w:val="auto"/>
              </w:rPr>
            </w:pPr>
            <w:r>
              <w:rPr>
                <w:rFonts w:hint="eastAsia" w:ascii="宋体" w:hAnsi="宋体"/>
                <w:color w:val="auto"/>
              </w:rPr>
              <w:t>2.6</w:t>
            </w:r>
          </w:p>
        </w:tc>
        <w:tc>
          <w:tcPr>
            <w:tcW w:w="486" w:type="pct"/>
            <w:vAlign w:val="center"/>
          </w:tcPr>
          <w:p w14:paraId="3B6BB8FB">
            <w:pPr>
              <w:jc w:val="center"/>
              <w:rPr>
                <w:rFonts w:ascii="宋体" w:hAnsi="宋体"/>
                <w:color w:val="auto"/>
              </w:rPr>
            </w:pPr>
            <w:r>
              <w:rPr>
                <w:rFonts w:hint="eastAsia" w:ascii="宋体" w:hAnsi="宋体"/>
                <w:color w:val="auto"/>
              </w:rPr>
              <w:t>3/1</w:t>
            </w:r>
          </w:p>
        </w:tc>
      </w:tr>
      <w:tr w14:paraId="335DE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593462F1">
            <w:pPr>
              <w:widowControl/>
              <w:jc w:val="center"/>
              <w:rPr>
                <w:rFonts w:ascii="宋体" w:hAnsi="宋体"/>
                <w:color w:val="auto"/>
              </w:rPr>
            </w:pPr>
          </w:p>
        </w:tc>
        <w:tc>
          <w:tcPr>
            <w:tcW w:w="674" w:type="pct"/>
            <w:vMerge w:val="continue"/>
            <w:vAlign w:val="center"/>
          </w:tcPr>
          <w:p w14:paraId="7EDA1047">
            <w:pPr>
              <w:widowControl/>
              <w:jc w:val="center"/>
              <w:rPr>
                <w:rFonts w:ascii="宋体" w:hAnsi="宋体"/>
                <w:color w:val="auto"/>
              </w:rPr>
            </w:pPr>
          </w:p>
        </w:tc>
        <w:tc>
          <w:tcPr>
            <w:tcW w:w="1047" w:type="pct"/>
            <w:vAlign w:val="center"/>
          </w:tcPr>
          <w:p w14:paraId="5D6B1E6B">
            <w:pPr>
              <w:jc w:val="center"/>
              <w:rPr>
                <w:rFonts w:ascii="宋体" w:hAnsi="宋体"/>
                <w:color w:val="auto"/>
              </w:rPr>
            </w:pPr>
            <w:r>
              <w:rPr>
                <w:rFonts w:hint="eastAsia" w:ascii="宋体" w:hAnsi="宋体"/>
                <w:color w:val="auto"/>
              </w:rPr>
              <w:t>15：00</w:t>
            </w:r>
            <w:r>
              <w:rPr>
                <w:rFonts w:ascii="宋体" w:hAnsi="宋体"/>
                <w:color w:val="auto"/>
              </w:rPr>
              <w:t>～</w:t>
            </w:r>
            <w:r>
              <w:rPr>
                <w:rFonts w:hint="eastAsia" w:ascii="宋体" w:hAnsi="宋体"/>
                <w:color w:val="auto"/>
              </w:rPr>
              <w:t>16：02</w:t>
            </w:r>
          </w:p>
        </w:tc>
        <w:tc>
          <w:tcPr>
            <w:tcW w:w="621" w:type="pct"/>
            <w:vAlign w:val="center"/>
          </w:tcPr>
          <w:p w14:paraId="2C8DA601">
            <w:pPr>
              <w:jc w:val="center"/>
              <w:rPr>
                <w:rFonts w:ascii="宋体" w:hAnsi="宋体"/>
                <w:color w:val="auto"/>
              </w:rPr>
            </w:pPr>
            <w:r>
              <w:rPr>
                <w:rFonts w:hint="eastAsia" w:ascii="宋体" w:hAnsi="宋体"/>
                <w:color w:val="auto"/>
              </w:rPr>
              <w:t>29.2</w:t>
            </w:r>
          </w:p>
        </w:tc>
        <w:tc>
          <w:tcPr>
            <w:tcW w:w="541" w:type="pct"/>
            <w:vAlign w:val="center"/>
          </w:tcPr>
          <w:p w14:paraId="7364964A">
            <w:pPr>
              <w:jc w:val="center"/>
              <w:rPr>
                <w:rFonts w:ascii="宋体" w:hAnsi="宋体"/>
                <w:color w:val="auto"/>
              </w:rPr>
            </w:pPr>
            <w:r>
              <w:rPr>
                <w:rFonts w:hint="eastAsia" w:ascii="宋体" w:hAnsi="宋体"/>
                <w:color w:val="auto"/>
              </w:rPr>
              <w:t>100.6</w:t>
            </w:r>
          </w:p>
        </w:tc>
        <w:tc>
          <w:tcPr>
            <w:tcW w:w="387" w:type="pct"/>
            <w:vAlign w:val="center"/>
          </w:tcPr>
          <w:p w14:paraId="033A29FF">
            <w:pPr>
              <w:jc w:val="center"/>
              <w:rPr>
                <w:rFonts w:ascii="宋体" w:hAnsi="宋体"/>
                <w:color w:val="auto"/>
              </w:rPr>
            </w:pPr>
            <w:r>
              <w:rPr>
                <w:rFonts w:hint="eastAsia" w:ascii="宋体" w:hAnsi="宋体"/>
                <w:color w:val="auto"/>
              </w:rPr>
              <w:t>西</w:t>
            </w:r>
          </w:p>
        </w:tc>
        <w:tc>
          <w:tcPr>
            <w:tcW w:w="539" w:type="pct"/>
            <w:vAlign w:val="center"/>
          </w:tcPr>
          <w:p w14:paraId="69BF49B8">
            <w:pPr>
              <w:jc w:val="center"/>
              <w:rPr>
                <w:rFonts w:ascii="宋体" w:hAnsi="宋体"/>
                <w:color w:val="auto"/>
              </w:rPr>
            </w:pPr>
            <w:r>
              <w:rPr>
                <w:rFonts w:hint="eastAsia" w:ascii="宋体" w:hAnsi="宋体"/>
                <w:color w:val="auto"/>
              </w:rPr>
              <w:t>2.5</w:t>
            </w:r>
          </w:p>
        </w:tc>
        <w:tc>
          <w:tcPr>
            <w:tcW w:w="486" w:type="pct"/>
            <w:vAlign w:val="center"/>
          </w:tcPr>
          <w:p w14:paraId="5E7F787A">
            <w:pPr>
              <w:jc w:val="center"/>
              <w:rPr>
                <w:rFonts w:ascii="宋体" w:hAnsi="宋体"/>
                <w:color w:val="auto"/>
              </w:rPr>
            </w:pPr>
            <w:r>
              <w:rPr>
                <w:rFonts w:hint="eastAsia" w:ascii="宋体" w:hAnsi="宋体"/>
                <w:color w:val="auto"/>
              </w:rPr>
              <w:t>5/3</w:t>
            </w:r>
          </w:p>
        </w:tc>
      </w:tr>
      <w:tr w14:paraId="6038A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3510D53E">
            <w:pPr>
              <w:widowControl/>
              <w:jc w:val="center"/>
              <w:rPr>
                <w:rFonts w:ascii="宋体" w:hAnsi="宋体"/>
                <w:color w:val="auto"/>
              </w:rPr>
            </w:pPr>
          </w:p>
        </w:tc>
        <w:tc>
          <w:tcPr>
            <w:tcW w:w="674" w:type="pct"/>
            <w:vMerge w:val="continue"/>
            <w:vAlign w:val="center"/>
          </w:tcPr>
          <w:p w14:paraId="7DA0CFB2">
            <w:pPr>
              <w:widowControl/>
              <w:jc w:val="center"/>
              <w:rPr>
                <w:rFonts w:ascii="宋体" w:hAnsi="宋体"/>
                <w:color w:val="auto"/>
              </w:rPr>
            </w:pPr>
          </w:p>
        </w:tc>
        <w:tc>
          <w:tcPr>
            <w:tcW w:w="1047" w:type="pct"/>
            <w:vAlign w:val="center"/>
          </w:tcPr>
          <w:p w14:paraId="3BB06DFD">
            <w:pPr>
              <w:jc w:val="center"/>
              <w:rPr>
                <w:rFonts w:ascii="宋体" w:hAnsi="宋体"/>
                <w:color w:val="auto"/>
              </w:rPr>
            </w:pPr>
            <w:r>
              <w:rPr>
                <w:rFonts w:hint="eastAsia" w:ascii="宋体" w:hAnsi="宋体"/>
                <w:color w:val="auto"/>
              </w:rPr>
              <w:t>17：00</w:t>
            </w:r>
            <w:r>
              <w:rPr>
                <w:rFonts w:ascii="宋体" w:hAnsi="宋体"/>
                <w:color w:val="auto"/>
              </w:rPr>
              <w:t>～</w:t>
            </w:r>
            <w:r>
              <w:rPr>
                <w:rFonts w:hint="eastAsia" w:ascii="宋体" w:hAnsi="宋体"/>
                <w:color w:val="auto"/>
              </w:rPr>
              <w:t>18：02</w:t>
            </w:r>
          </w:p>
        </w:tc>
        <w:tc>
          <w:tcPr>
            <w:tcW w:w="621" w:type="pct"/>
            <w:vAlign w:val="center"/>
          </w:tcPr>
          <w:p w14:paraId="32F18314">
            <w:pPr>
              <w:jc w:val="center"/>
              <w:rPr>
                <w:rFonts w:ascii="宋体" w:hAnsi="宋体"/>
                <w:color w:val="auto"/>
              </w:rPr>
            </w:pPr>
            <w:r>
              <w:rPr>
                <w:rFonts w:hint="eastAsia" w:ascii="宋体" w:hAnsi="宋体"/>
                <w:color w:val="auto"/>
              </w:rPr>
              <w:t>29.8</w:t>
            </w:r>
          </w:p>
        </w:tc>
        <w:tc>
          <w:tcPr>
            <w:tcW w:w="541" w:type="pct"/>
            <w:vAlign w:val="center"/>
          </w:tcPr>
          <w:p w14:paraId="00773583">
            <w:pPr>
              <w:jc w:val="center"/>
              <w:rPr>
                <w:rFonts w:ascii="宋体" w:hAnsi="宋体"/>
                <w:color w:val="auto"/>
              </w:rPr>
            </w:pPr>
            <w:r>
              <w:rPr>
                <w:rFonts w:hint="eastAsia" w:ascii="宋体" w:hAnsi="宋体"/>
                <w:color w:val="auto"/>
              </w:rPr>
              <w:t>100.6</w:t>
            </w:r>
          </w:p>
        </w:tc>
        <w:tc>
          <w:tcPr>
            <w:tcW w:w="387" w:type="pct"/>
            <w:vAlign w:val="center"/>
          </w:tcPr>
          <w:p w14:paraId="31A56C23">
            <w:pPr>
              <w:jc w:val="center"/>
              <w:rPr>
                <w:rFonts w:ascii="宋体" w:hAnsi="宋体"/>
                <w:color w:val="auto"/>
              </w:rPr>
            </w:pPr>
            <w:r>
              <w:rPr>
                <w:rFonts w:hint="eastAsia" w:ascii="宋体" w:hAnsi="宋体"/>
                <w:color w:val="auto"/>
              </w:rPr>
              <w:t>西</w:t>
            </w:r>
          </w:p>
        </w:tc>
        <w:tc>
          <w:tcPr>
            <w:tcW w:w="539" w:type="pct"/>
            <w:vAlign w:val="center"/>
          </w:tcPr>
          <w:p w14:paraId="4E98DD17">
            <w:pPr>
              <w:jc w:val="center"/>
              <w:rPr>
                <w:rFonts w:ascii="宋体" w:hAnsi="宋体"/>
                <w:color w:val="auto"/>
              </w:rPr>
            </w:pPr>
            <w:r>
              <w:rPr>
                <w:rFonts w:hint="eastAsia" w:ascii="宋体" w:hAnsi="宋体"/>
                <w:color w:val="auto"/>
              </w:rPr>
              <w:t>2.6</w:t>
            </w:r>
          </w:p>
        </w:tc>
        <w:tc>
          <w:tcPr>
            <w:tcW w:w="486" w:type="pct"/>
            <w:vAlign w:val="center"/>
          </w:tcPr>
          <w:p w14:paraId="48E0BA96">
            <w:pPr>
              <w:jc w:val="center"/>
              <w:rPr>
                <w:rFonts w:ascii="宋体" w:hAnsi="宋体"/>
                <w:color w:val="auto"/>
              </w:rPr>
            </w:pPr>
            <w:r>
              <w:rPr>
                <w:rFonts w:hint="eastAsia" w:ascii="宋体" w:hAnsi="宋体"/>
                <w:color w:val="auto"/>
              </w:rPr>
              <w:t>3/1</w:t>
            </w:r>
          </w:p>
        </w:tc>
      </w:tr>
      <w:tr w14:paraId="6A225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0C906195">
            <w:pPr>
              <w:widowControl/>
              <w:jc w:val="center"/>
              <w:rPr>
                <w:rFonts w:ascii="宋体" w:hAnsi="宋体"/>
                <w:color w:val="auto"/>
              </w:rPr>
            </w:pPr>
          </w:p>
        </w:tc>
        <w:tc>
          <w:tcPr>
            <w:tcW w:w="674" w:type="pct"/>
            <w:vMerge w:val="restart"/>
            <w:vAlign w:val="center"/>
          </w:tcPr>
          <w:p w14:paraId="5FE685C8">
            <w:pPr>
              <w:widowControl/>
              <w:jc w:val="center"/>
              <w:rPr>
                <w:rFonts w:ascii="宋体" w:hAnsi="宋体"/>
                <w:color w:val="auto"/>
              </w:rPr>
            </w:pPr>
            <w:r>
              <w:rPr>
                <w:rFonts w:hint="eastAsia" w:ascii="宋体" w:hAnsi="宋体"/>
                <w:color w:val="auto"/>
              </w:rPr>
              <w:t>2026年</w:t>
            </w:r>
            <w:r>
              <w:rPr>
                <w:rFonts w:ascii="宋体" w:hAnsi="宋体"/>
                <w:color w:val="auto"/>
              </w:rPr>
              <w:t>5</w:t>
            </w:r>
            <w:r>
              <w:rPr>
                <w:rFonts w:hint="eastAsia" w:ascii="宋体" w:hAnsi="宋体"/>
                <w:color w:val="auto"/>
              </w:rPr>
              <w:t>月</w:t>
            </w:r>
            <w:r>
              <w:rPr>
                <w:rFonts w:ascii="宋体" w:hAnsi="宋体"/>
                <w:color w:val="auto"/>
              </w:rPr>
              <w:t>11</w:t>
            </w:r>
            <w:r>
              <w:rPr>
                <w:rFonts w:hint="eastAsia" w:ascii="宋体" w:hAnsi="宋体"/>
                <w:color w:val="auto"/>
              </w:rPr>
              <w:t>日</w:t>
            </w:r>
          </w:p>
        </w:tc>
        <w:tc>
          <w:tcPr>
            <w:tcW w:w="1047" w:type="pct"/>
            <w:vAlign w:val="center"/>
          </w:tcPr>
          <w:p w14:paraId="47E52D6F">
            <w:pPr>
              <w:jc w:val="center"/>
              <w:rPr>
                <w:rFonts w:ascii="宋体" w:hAnsi="宋体"/>
                <w:color w:val="auto"/>
              </w:rPr>
            </w:pPr>
            <w:r>
              <w:rPr>
                <w:rFonts w:hint="eastAsia" w:ascii="宋体" w:hAnsi="宋体"/>
                <w:color w:val="auto"/>
              </w:rPr>
              <w:t>10：40</w:t>
            </w:r>
            <w:r>
              <w:rPr>
                <w:rFonts w:ascii="宋体" w:hAnsi="宋体"/>
                <w:color w:val="auto"/>
              </w:rPr>
              <w:t>～</w:t>
            </w:r>
            <w:r>
              <w:rPr>
                <w:rFonts w:hint="eastAsia" w:ascii="宋体" w:hAnsi="宋体"/>
                <w:color w:val="auto"/>
              </w:rPr>
              <w:t>11：42</w:t>
            </w:r>
          </w:p>
        </w:tc>
        <w:tc>
          <w:tcPr>
            <w:tcW w:w="621" w:type="pct"/>
            <w:vAlign w:val="center"/>
          </w:tcPr>
          <w:p w14:paraId="02947274">
            <w:pPr>
              <w:jc w:val="center"/>
              <w:rPr>
                <w:rFonts w:ascii="宋体" w:hAnsi="宋体"/>
                <w:color w:val="auto"/>
              </w:rPr>
            </w:pPr>
            <w:r>
              <w:rPr>
                <w:rFonts w:hint="eastAsia" w:ascii="宋体" w:hAnsi="宋体"/>
                <w:color w:val="auto"/>
              </w:rPr>
              <w:t>26.2</w:t>
            </w:r>
          </w:p>
        </w:tc>
        <w:tc>
          <w:tcPr>
            <w:tcW w:w="541" w:type="pct"/>
            <w:vAlign w:val="center"/>
          </w:tcPr>
          <w:p w14:paraId="066FDC83">
            <w:pPr>
              <w:jc w:val="center"/>
              <w:rPr>
                <w:rFonts w:ascii="宋体" w:hAnsi="宋体"/>
                <w:color w:val="auto"/>
              </w:rPr>
            </w:pPr>
            <w:r>
              <w:rPr>
                <w:rFonts w:hint="eastAsia" w:ascii="宋体" w:hAnsi="宋体"/>
                <w:color w:val="auto"/>
              </w:rPr>
              <w:t>100.8</w:t>
            </w:r>
          </w:p>
        </w:tc>
        <w:tc>
          <w:tcPr>
            <w:tcW w:w="387" w:type="pct"/>
            <w:vAlign w:val="center"/>
          </w:tcPr>
          <w:p w14:paraId="4FCFBCE2">
            <w:pPr>
              <w:jc w:val="center"/>
              <w:rPr>
                <w:rFonts w:ascii="宋体" w:hAnsi="宋体"/>
                <w:color w:val="auto"/>
              </w:rPr>
            </w:pPr>
            <w:r>
              <w:rPr>
                <w:rFonts w:hint="eastAsia" w:ascii="宋体" w:hAnsi="宋体"/>
                <w:color w:val="auto"/>
              </w:rPr>
              <w:t>西</w:t>
            </w:r>
          </w:p>
        </w:tc>
        <w:tc>
          <w:tcPr>
            <w:tcW w:w="539" w:type="pct"/>
            <w:vAlign w:val="center"/>
          </w:tcPr>
          <w:p w14:paraId="4867A2D4">
            <w:pPr>
              <w:jc w:val="center"/>
              <w:rPr>
                <w:rFonts w:ascii="宋体" w:hAnsi="宋体"/>
                <w:color w:val="auto"/>
              </w:rPr>
            </w:pPr>
            <w:r>
              <w:rPr>
                <w:rFonts w:hint="eastAsia" w:ascii="宋体" w:hAnsi="宋体"/>
                <w:color w:val="auto"/>
              </w:rPr>
              <w:t>2.2</w:t>
            </w:r>
          </w:p>
        </w:tc>
        <w:tc>
          <w:tcPr>
            <w:tcW w:w="486" w:type="pct"/>
            <w:vAlign w:val="center"/>
          </w:tcPr>
          <w:p w14:paraId="16A8C9DF">
            <w:pPr>
              <w:jc w:val="center"/>
              <w:rPr>
                <w:rFonts w:ascii="宋体" w:hAnsi="宋体"/>
                <w:color w:val="auto"/>
              </w:rPr>
            </w:pPr>
            <w:r>
              <w:rPr>
                <w:rFonts w:hint="eastAsia" w:ascii="宋体" w:hAnsi="宋体"/>
                <w:color w:val="auto"/>
              </w:rPr>
              <w:t>5/2</w:t>
            </w:r>
          </w:p>
        </w:tc>
      </w:tr>
      <w:tr w14:paraId="6E9E6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1CAD2B89">
            <w:pPr>
              <w:widowControl/>
              <w:jc w:val="center"/>
              <w:rPr>
                <w:rFonts w:ascii="宋体" w:hAnsi="宋体"/>
                <w:color w:val="auto"/>
              </w:rPr>
            </w:pPr>
          </w:p>
        </w:tc>
        <w:tc>
          <w:tcPr>
            <w:tcW w:w="674" w:type="pct"/>
            <w:vMerge w:val="continue"/>
            <w:vAlign w:val="center"/>
          </w:tcPr>
          <w:p w14:paraId="5A676B87">
            <w:pPr>
              <w:widowControl/>
              <w:jc w:val="center"/>
              <w:rPr>
                <w:rFonts w:ascii="宋体" w:hAnsi="宋体"/>
                <w:color w:val="auto"/>
              </w:rPr>
            </w:pPr>
          </w:p>
        </w:tc>
        <w:tc>
          <w:tcPr>
            <w:tcW w:w="1047" w:type="pct"/>
            <w:vAlign w:val="center"/>
          </w:tcPr>
          <w:p w14:paraId="13A7ABD4">
            <w:pPr>
              <w:jc w:val="center"/>
              <w:rPr>
                <w:rFonts w:ascii="宋体" w:hAnsi="宋体"/>
                <w:color w:val="auto"/>
              </w:rPr>
            </w:pPr>
            <w:r>
              <w:rPr>
                <w:rFonts w:hint="eastAsia" w:ascii="宋体" w:hAnsi="宋体"/>
                <w:color w:val="auto"/>
              </w:rPr>
              <w:t>12：40</w:t>
            </w:r>
            <w:r>
              <w:rPr>
                <w:rFonts w:ascii="宋体" w:hAnsi="宋体"/>
                <w:color w:val="auto"/>
              </w:rPr>
              <w:t>～</w:t>
            </w:r>
            <w:r>
              <w:rPr>
                <w:rFonts w:hint="eastAsia" w:ascii="宋体" w:hAnsi="宋体"/>
                <w:color w:val="auto"/>
              </w:rPr>
              <w:t>13：42</w:t>
            </w:r>
          </w:p>
        </w:tc>
        <w:tc>
          <w:tcPr>
            <w:tcW w:w="621" w:type="pct"/>
            <w:vAlign w:val="center"/>
          </w:tcPr>
          <w:p w14:paraId="0BB605BB">
            <w:pPr>
              <w:jc w:val="center"/>
              <w:rPr>
                <w:rFonts w:ascii="宋体" w:hAnsi="宋体"/>
                <w:color w:val="auto"/>
              </w:rPr>
            </w:pPr>
            <w:r>
              <w:rPr>
                <w:rFonts w:hint="eastAsia" w:ascii="宋体" w:hAnsi="宋体"/>
                <w:color w:val="auto"/>
              </w:rPr>
              <w:t>28.3</w:t>
            </w:r>
          </w:p>
        </w:tc>
        <w:tc>
          <w:tcPr>
            <w:tcW w:w="541" w:type="pct"/>
            <w:vAlign w:val="center"/>
          </w:tcPr>
          <w:p w14:paraId="54871F83">
            <w:pPr>
              <w:jc w:val="center"/>
              <w:rPr>
                <w:rFonts w:ascii="宋体" w:hAnsi="宋体"/>
                <w:color w:val="auto"/>
              </w:rPr>
            </w:pPr>
            <w:r>
              <w:rPr>
                <w:rFonts w:hint="eastAsia" w:ascii="宋体" w:hAnsi="宋体"/>
                <w:color w:val="auto"/>
              </w:rPr>
              <w:t>100.8</w:t>
            </w:r>
          </w:p>
        </w:tc>
        <w:tc>
          <w:tcPr>
            <w:tcW w:w="387" w:type="pct"/>
            <w:vAlign w:val="center"/>
          </w:tcPr>
          <w:p w14:paraId="3674E9BE">
            <w:pPr>
              <w:jc w:val="center"/>
              <w:rPr>
                <w:rFonts w:ascii="宋体" w:hAnsi="宋体"/>
                <w:color w:val="auto"/>
              </w:rPr>
            </w:pPr>
            <w:r>
              <w:rPr>
                <w:rFonts w:hint="eastAsia" w:ascii="宋体" w:hAnsi="宋体"/>
                <w:color w:val="auto"/>
              </w:rPr>
              <w:t>西</w:t>
            </w:r>
          </w:p>
        </w:tc>
        <w:tc>
          <w:tcPr>
            <w:tcW w:w="539" w:type="pct"/>
            <w:vAlign w:val="center"/>
          </w:tcPr>
          <w:p w14:paraId="6E893CD0">
            <w:pPr>
              <w:jc w:val="center"/>
              <w:rPr>
                <w:rFonts w:ascii="宋体" w:hAnsi="宋体"/>
                <w:color w:val="auto"/>
              </w:rPr>
            </w:pPr>
            <w:r>
              <w:rPr>
                <w:rFonts w:hint="eastAsia" w:ascii="宋体" w:hAnsi="宋体"/>
                <w:color w:val="auto"/>
              </w:rPr>
              <w:t>2.5</w:t>
            </w:r>
          </w:p>
        </w:tc>
        <w:tc>
          <w:tcPr>
            <w:tcW w:w="486" w:type="pct"/>
            <w:vAlign w:val="center"/>
          </w:tcPr>
          <w:p w14:paraId="5CC1E2B8">
            <w:pPr>
              <w:jc w:val="center"/>
              <w:rPr>
                <w:rFonts w:ascii="宋体" w:hAnsi="宋体"/>
                <w:color w:val="auto"/>
              </w:rPr>
            </w:pPr>
            <w:r>
              <w:rPr>
                <w:rFonts w:hint="eastAsia" w:ascii="宋体" w:hAnsi="宋体"/>
                <w:color w:val="auto"/>
              </w:rPr>
              <w:t>6/3</w:t>
            </w:r>
          </w:p>
        </w:tc>
      </w:tr>
      <w:tr w14:paraId="2858E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461EDEE7">
            <w:pPr>
              <w:widowControl/>
              <w:jc w:val="center"/>
              <w:rPr>
                <w:rFonts w:ascii="宋体" w:hAnsi="宋体"/>
                <w:color w:val="auto"/>
              </w:rPr>
            </w:pPr>
          </w:p>
        </w:tc>
        <w:tc>
          <w:tcPr>
            <w:tcW w:w="674" w:type="pct"/>
            <w:vMerge w:val="continue"/>
            <w:vAlign w:val="center"/>
          </w:tcPr>
          <w:p w14:paraId="0FCEA670">
            <w:pPr>
              <w:widowControl/>
              <w:jc w:val="center"/>
              <w:rPr>
                <w:rFonts w:ascii="宋体" w:hAnsi="宋体"/>
                <w:color w:val="auto"/>
              </w:rPr>
            </w:pPr>
          </w:p>
        </w:tc>
        <w:tc>
          <w:tcPr>
            <w:tcW w:w="1047" w:type="pct"/>
            <w:vAlign w:val="center"/>
          </w:tcPr>
          <w:p w14:paraId="3FD3F6C0">
            <w:pPr>
              <w:jc w:val="center"/>
              <w:rPr>
                <w:rFonts w:ascii="宋体" w:hAnsi="宋体"/>
                <w:color w:val="auto"/>
              </w:rPr>
            </w:pPr>
            <w:r>
              <w:rPr>
                <w:rFonts w:hint="eastAsia" w:ascii="宋体" w:hAnsi="宋体"/>
                <w:color w:val="auto"/>
              </w:rPr>
              <w:t>14：40</w:t>
            </w:r>
            <w:r>
              <w:rPr>
                <w:rFonts w:ascii="宋体" w:hAnsi="宋体"/>
                <w:color w:val="auto"/>
              </w:rPr>
              <w:t>～</w:t>
            </w:r>
            <w:r>
              <w:rPr>
                <w:rFonts w:hint="eastAsia" w:ascii="宋体" w:hAnsi="宋体"/>
                <w:color w:val="auto"/>
              </w:rPr>
              <w:t>15：42</w:t>
            </w:r>
          </w:p>
        </w:tc>
        <w:tc>
          <w:tcPr>
            <w:tcW w:w="621" w:type="pct"/>
            <w:vAlign w:val="center"/>
          </w:tcPr>
          <w:p w14:paraId="6118EE4B">
            <w:pPr>
              <w:jc w:val="center"/>
              <w:rPr>
                <w:rFonts w:ascii="宋体" w:hAnsi="宋体"/>
                <w:color w:val="auto"/>
              </w:rPr>
            </w:pPr>
            <w:r>
              <w:rPr>
                <w:rFonts w:hint="eastAsia" w:ascii="宋体" w:hAnsi="宋体"/>
                <w:color w:val="auto"/>
              </w:rPr>
              <w:t>30.5</w:t>
            </w:r>
          </w:p>
        </w:tc>
        <w:tc>
          <w:tcPr>
            <w:tcW w:w="541" w:type="pct"/>
            <w:vAlign w:val="center"/>
          </w:tcPr>
          <w:p w14:paraId="429F3E7F">
            <w:pPr>
              <w:jc w:val="center"/>
              <w:rPr>
                <w:rFonts w:ascii="宋体" w:hAnsi="宋体"/>
                <w:color w:val="auto"/>
              </w:rPr>
            </w:pPr>
            <w:r>
              <w:rPr>
                <w:rFonts w:hint="eastAsia" w:ascii="宋体" w:hAnsi="宋体"/>
                <w:color w:val="auto"/>
              </w:rPr>
              <w:t>100.7</w:t>
            </w:r>
          </w:p>
        </w:tc>
        <w:tc>
          <w:tcPr>
            <w:tcW w:w="387" w:type="pct"/>
            <w:vAlign w:val="center"/>
          </w:tcPr>
          <w:p w14:paraId="2FB3A0AA">
            <w:pPr>
              <w:jc w:val="center"/>
              <w:rPr>
                <w:rFonts w:ascii="宋体" w:hAnsi="宋体"/>
                <w:color w:val="auto"/>
              </w:rPr>
            </w:pPr>
            <w:r>
              <w:rPr>
                <w:rFonts w:hint="eastAsia" w:ascii="宋体" w:hAnsi="宋体"/>
                <w:color w:val="auto"/>
              </w:rPr>
              <w:t>西</w:t>
            </w:r>
          </w:p>
        </w:tc>
        <w:tc>
          <w:tcPr>
            <w:tcW w:w="539" w:type="pct"/>
            <w:vAlign w:val="center"/>
          </w:tcPr>
          <w:p w14:paraId="14534361">
            <w:pPr>
              <w:jc w:val="center"/>
              <w:rPr>
                <w:rFonts w:ascii="宋体" w:hAnsi="宋体"/>
                <w:color w:val="auto"/>
              </w:rPr>
            </w:pPr>
            <w:r>
              <w:rPr>
                <w:rFonts w:hint="eastAsia" w:ascii="宋体" w:hAnsi="宋体"/>
                <w:color w:val="auto"/>
              </w:rPr>
              <w:t>2.4</w:t>
            </w:r>
          </w:p>
        </w:tc>
        <w:tc>
          <w:tcPr>
            <w:tcW w:w="486" w:type="pct"/>
            <w:vAlign w:val="center"/>
          </w:tcPr>
          <w:p w14:paraId="4F70DD84">
            <w:pPr>
              <w:jc w:val="center"/>
              <w:rPr>
                <w:rFonts w:ascii="宋体" w:hAnsi="宋体"/>
                <w:color w:val="auto"/>
              </w:rPr>
            </w:pPr>
            <w:r>
              <w:rPr>
                <w:rFonts w:hint="eastAsia" w:ascii="宋体" w:hAnsi="宋体"/>
                <w:color w:val="auto"/>
              </w:rPr>
              <w:t>4/2</w:t>
            </w:r>
          </w:p>
        </w:tc>
      </w:tr>
      <w:tr w14:paraId="56719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vAlign w:val="center"/>
          </w:tcPr>
          <w:p w14:paraId="6D7FDF07">
            <w:pPr>
              <w:widowControl/>
              <w:jc w:val="center"/>
              <w:rPr>
                <w:rFonts w:ascii="宋体" w:hAnsi="宋体"/>
                <w:color w:val="auto"/>
              </w:rPr>
            </w:pPr>
          </w:p>
        </w:tc>
        <w:tc>
          <w:tcPr>
            <w:tcW w:w="674" w:type="pct"/>
            <w:vMerge w:val="continue"/>
            <w:vAlign w:val="center"/>
          </w:tcPr>
          <w:p w14:paraId="08550678">
            <w:pPr>
              <w:widowControl/>
              <w:jc w:val="center"/>
              <w:rPr>
                <w:rFonts w:ascii="宋体" w:hAnsi="宋体"/>
                <w:color w:val="auto"/>
              </w:rPr>
            </w:pPr>
          </w:p>
        </w:tc>
        <w:tc>
          <w:tcPr>
            <w:tcW w:w="1047" w:type="pct"/>
            <w:vAlign w:val="center"/>
          </w:tcPr>
          <w:p w14:paraId="73D20A90">
            <w:pPr>
              <w:jc w:val="center"/>
              <w:rPr>
                <w:rFonts w:ascii="宋体" w:hAnsi="宋体"/>
                <w:color w:val="auto"/>
              </w:rPr>
            </w:pPr>
            <w:r>
              <w:rPr>
                <w:rFonts w:hint="eastAsia" w:ascii="宋体" w:hAnsi="宋体"/>
                <w:color w:val="auto"/>
              </w:rPr>
              <w:t>16：40</w:t>
            </w:r>
            <w:r>
              <w:rPr>
                <w:rFonts w:ascii="宋体" w:hAnsi="宋体"/>
                <w:color w:val="auto"/>
              </w:rPr>
              <w:t>～</w:t>
            </w:r>
            <w:r>
              <w:rPr>
                <w:rFonts w:hint="eastAsia" w:ascii="宋体" w:hAnsi="宋体"/>
                <w:color w:val="auto"/>
              </w:rPr>
              <w:t>17：42</w:t>
            </w:r>
          </w:p>
        </w:tc>
        <w:tc>
          <w:tcPr>
            <w:tcW w:w="621" w:type="pct"/>
            <w:vAlign w:val="center"/>
          </w:tcPr>
          <w:p w14:paraId="5186EE06">
            <w:pPr>
              <w:jc w:val="center"/>
              <w:rPr>
                <w:rFonts w:ascii="宋体" w:hAnsi="宋体"/>
                <w:color w:val="auto"/>
              </w:rPr>
            </w:pPr>
            <w:r>
              <w:rPr>
                <w:rFonts w:hint="eastAsia" w:ascii="宋体" w:hAnsi="宋体"/>
                <w:color w:val="auto"/>
              </w:rPr>
              <w:t>29.8</w:t>
            </w:r>
          </w:p>
        </w:tc>
        <w:tc>
          <w:tcPr>
            <w:tcW w:w="541" w:type="pct"/>
            <w:vAlign w:val="center"/>
          </w:tcPr>
          <w:p w14:paraId="5D9A6F9A">
            <w:pPr>
              <w:jc w:val="center"/>
              <w:rPr>
                <w:rFonts w:ascii="宋体" w:hAnsi="宋体"/>
                <w:color w:val="auto"/>
              </w:rPr>
            </w:pPr>
            <w:r>
              <w:rPr>
                <w:rFonts w:hint="eastAsia" w:ascii="宋体" w:hAnsi="宋体"/>
                <w:color w:val="auto"/>
              </w:rPr>
              <w:t>100.7</w:t>
            </w:r>
          </w:p>
        </w:tc>
        <w:tc>
          <w:tcPr>
            <w:tcW w:w="387" w:type="pct"/>
            <w:vAlign w:val="center"/>
          </w:tcPr>
          <w:p w14:paraId="1CB3CABD">
            <w:pPr>
              <w:jc w:val="center"/>
              <w:rPr>
                <w:rFonts w:ascii="宋体" w:hAnsi="宋体"/>
                <w:color w:val="auto"/>
              </w:rPr>
            </w:pPr>
            <w:r>
              <w:rPr>
                <w:rFonts w:hint="eastAsia" w:ascii="宋体" w:hAnsi="宋体"/>
                <w:color w:val="auto"/>
              </w:rPr>
              <w:t>西</w:t>
            </w:r>
          </w:p>
        </w:tc>
        <w:tc>
          <w:tcPr>
            <w:tcW w:w="539" w:type="pct"/>
            <w:vAlign w:val="center"/>
          </w:tcPr>
          <w:p w14:paraId="27C87D99">
            <w:pPr>
              <w:jc w:val="center"/>
              <w:rPr>
                <w:rFonts w:ascii="宋体" w:hAnsi="宋体"/>
                <w:color w:val="auto"/>
              </w:rPr>
            </w:pPr>
            <w:r>
              <w:rPr>
                <w:rFonts w:hint="eastAsia" w:ascii="宋体" w:hAnsi="宋体"/>
                <w:color w:val="auto"/>
              </w:rPr>
              <w:t>2.3</w:t>
            </w:r>
          </w:p>
        </w:tc>
        <w:tc>
          <w:tcPr>
            <w:tcW w:w="486" w:type="pct"/>
            <w:vAlign w:val="center"/>
          </w:tcPr>
          <w:p w14:paraId="73CCA892">
            <w:pPr>
              <w:jc w:val="center"/>
              <w:rPr>
                <w:rFonts w:ascii="宋体" w:hAnsi="宋体"/>
                <w:color w:val="auto"/>
              </w:rPr>
            </w:pPr>
            <w:r>
              <w:rPr>
                <w:rFonts w:hint="eastAsia" w:ascii="宋体" w:hAnsi="宋体"/>
                <w:color w:val="auto"/>
              </w:rPr>
              <w:t>4/2</w:t>
            </w:r>
          </w:p>
        </w:tc>
      </w:tr>
    </w:tbl>
    <w:p w14:paraId="27B487A8">
      <w:pPr>
        <w:pStyle w:val="15"/>
        <w:spacing w:before="120"/>
        <w:rPr>
          <w:rFonts w:hAnsi="宋体"/>
          <w:color w:val="auto"/>
        </w:rPr>
        <w:sectPr>
          <w:pgSz w:w="11907" w:h="16839"/>
          <w:pgMar w:top="1418" w:right="1588" w:bottom="1418" w:left="1588" w:header="1134" w:footer="850" w:gutter="0"/>
          <w:cols w:space="720" w:num="1"/>
          <w:docGrid w:linePitch="312" w:charSpace="0"/>
        </w:sectPr>
      </w:pPr>
    </w:p>
    <w:p w14:paraId="02D3E646">
      <w:pPr>
        <w:pStyle w:val="15"/>
        <w:spacing w:before="120"/>
        <w:rPr>
          <w:rFonts w:hAnsi="宋体"/>
          <w:color w:val="auto"/>
          <w:szCs w:val="21"/>
        </w:rPr>
      </w:pPr>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4</w:t>
      </w:r>
      <w:r>
        <w:rPr>
          <w:rFonts w:hAnsi="宋体"/>
          <w:color w:val="auto"/>
        </w:rPr>
        <w:fldChar w:fldCharType="end"/>
      </w:r>
      <w:bookmarkEnd w:id="405"/>
      <w:bookmarkEnd w:id="406"/>
      <w:r>
        <w:rPr>
          <w:rFonts w:hAnsi="宋体"/>
          <w:color w:val="auto"/>
          <w:szCs w:val="21"/>
        </w:rPr>
        <w:t xml:space="preserve">  </w:t>
      </w:r>
      <w:r>
        <w:rPr>
          <w:rFonts w:hint="eastAsia" w:hAnsi="宋体"/>
          <w:color w:val="auto"/>
          <w:szCs w:val="21"/>
        </w:rPr>
        <w:t>井场</w:t>
      </w:r>
      <w:r>
        <w:rPr>
          <w:rFonts w:hAnsi="宋体"/>
          <w:color w:val="auto"/>
          <w:szCs w:val="21"/>
        </w:rPr>
        <w:t>厂界</w:t>
      </w:r>
      <w:r>
        <w:rPr>
          <w:rFonts w:hint="eastAsia" w:hAnsi="宋体"/>
          <w:color w:val="auto"/>
          <w:szCs w:val="21"/>
        </w:rPr>
        <w:t>无组织</w:t>
      </w:r>
      <w:r>
        <w:rPr>
          <w:rFonts w:hAnsi="宋体"/>
          <w:color w:val="auto"/>
          <w:szCs w:val="21"/>
        </w:rPr>
        <w:t>排放非</w:t>
      </w:r>
      <w:r>
        <w:rPr>
          <w:rFonts w:hint="eastAsia" w:hAnsi="宋体"/>
          <w:color w:val="auto"/>
          <w:szCs w:val="21"/>
        </w:rPr>
        <w:t>甲烷总烃、硫化氢</w:t>
      </w:r>
      <w:r>
        <w:rPr>
          <w:rFonts w:hAnsi="宋体"/>
          <w:color w:val="auto"/>
          <w:szCs w:val="21"/>
        </w:rPr>
        <w:t>监测结果</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1489"/>
        <w:gridCol w:w="1059"/>
        <w:gridCol w:w="2165"/>
        <w:gridCol w:w="2165"/>
      </w:tblGrid>
      <w:tr w14:paraId="11393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0" w:type="pct"/>
            <w:gridSpan w:val="2"/>
            <w:vAlign w:val="center"/>
          </w:tcPr>
          <w:p w14:paraId="3B96F6EA">
            <w:pPr>
              <w:adjustRightInd w:val="0"/>
              <w:snapToGrid w:val="0"/>
              <w:jc w:val="center"/>
              <w:rPr>
                <w:rFonts w:ascii="宋体" w:hAnsi="宋体"/>
                <w:color w:val="auto"/>
              </w:rPr>
            </w:pPr>
            <w:r>
              <w:rPr>
                <w:rFonts w:ascii="宋体" w:hAnsi="宋体"/>
                <w:color w:val="auto"/>
              </w:rPr>
              <w:t>检测位置</w:t>
            </w:r>
          </w:p>
        </w:tc>
        <w:tc>
          <w:tcPr>
            <w:tcW w:w="3090" w:type="pct"/>
            <w:gridSpan w:val="3"/>
            <w:vAlign w:val="center"/>
          </w:tcPr>
          <w:p w14:paraId="4928C40C">
            <w:pPr>
              <w:adjustRightInd w:val="0"/>
              <w:snapToGrid w:val="0"/>
              <w:jc w:val="center"/>
              <w:rPr>
                <w:rFonts w:ascii="宋体" w:hAnsi="宋体"/>
                <w:color w:val="auto"/>
              </w:rPr>
            </w:pPr>
            <w:r>
              <w:rPr>
                <w:rFonts w:ascii="宋体" w:hAnsi="宋体"/>
                <w:color w:val="auto"/>
              </w:rPr>
              <w:t>4#</w:t>
            </w:r>
            <w:r>
              <w:rPr>
                <w:rFonts w:hint="eastAsia" w:ascii="宋体" w:hAnsi="宋体"/>
                <w:color w:val="auto"/>
              </w:rPr>
              <w:t>井场厂界</w:t>
            </w:r>
          </w:p>
        </w:tc>
      </w:tr>
      <w:tr w14:paraId="37A7D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74B7C1F6">
            <w:pPr>
              <w:adjustRightInd w:val="0"/>
              <w:snapToGrid w:val="0"/>
              <w:jc w:val="center"/>
              <w:rPr>
                <w:rFonts w:ascii="宋体" w:hAnsi="宋体"/>
                <w:color w:val="auto"/>
              </w:rPr>
            </w:pPr>
            <w:r>
              <w:rPr>
                <w:rFonts w:ascii="宋体" w:hAnsi="宋体"/>
                <w:color w:val="auto"/>
              </w:rPr>
              <w:t>采样日期</w:t>
            </w:r>
          </w:p>
        </w:tc>
        <w:tc>
          <w:tcPr>
            <w:tcW w:w="854" w:type="pct"/>
            <w:vMerge w:val="restart"/>
            <w:vAlign w:val="center"/>
          </w:tcPr>
          <w:p w14:paraId="60588AE9">
            <w:pPr>
              <w:adjustRightInd w:val="0"/>
              <w:snapToGrid w:val="0"/>
              <w:jc w:val="center"/>
              <w:rPr>
                <w:rFonts w:ascii="宋体" w:hAnsi="宋体"/>
                <w:color w:val="auto"/>
              </w:rPr>
            </w:pPr>
            <w:r>
              <w:rPr>
                <w:rFonts w:ascii="宋体" w:hAnsi="宋体"/>
                <w:color w:val="auto"/>
              </w:rPr>
              <w:t>采样时间</w:t>
            </w:r>
          </w:p>
        </w:tc>
        <w:tc>
          <w:tcPr>
            <w:tcW w:w="607" w:type="pct"/>
            <w:vMerge w:val="restart"/>
            <w:vAlign w:val="center"/>
          </w:tcPr>
          <w:p w14:paraId="519662D2">
            <w:pPr>
              <w:adjustRightInd w:val="0"/>
              <w:snapToGrid w:val="0"/>
              <w:jc w:val="center"/>
              <w:rPr>
                <w:rFonts w:ascii="宋体" w:hAnsi="宋体"/>
                <w:color w:val="auto"/>
              </w:rPr>
            </w:pPr>
            <w:r>
              <w:rPr>
                <w:rFonts w:ascii="宋体" w:hAnsi="宋体"/>
                <w:color w:val="auto"/>
              </w:rPr>
              <w:t>具体点位</w:t>
            </w:r>
          </w:p>
        </w:tc>
        <w:tc>
          <w:tcPr>
            <w:tcW w:w="2483" w:type="pct"/>
            <w:gridSpan w:val="2"/>
            <w:vAlign w:val="center"/>
          </w:tcPr>
          <w:p w14:paraId="5B2E93EA">
            <w:pPr>
              <w:jc w:val="center"/>
              <w:rPr>
                <w:rFonts w:ascii="宋体" w:hAnsi="宋体"/>
                <w:color w:val="auto"/>
              </w:rPr>
            </w:pPr>
            <w:r>
              <w:rPr>
                <w:rFonts w:ascii="宋体" w:hAnsi="宋体"/>
                <w:color w:val="auto"/>
              </w:rPr>
              <w:t>检测结果均值(mg/m</w:t>
            </w:r>
            <w:r>
              <w:rPr>
                <w:rFonts w:ascii="宋体" w:hAnsi="宋体"/>
                <w:color w:val="auto"/>
                <w:vertAlign w:val="superscript"/>
              </w:rPr>
              <w:t>3</w:t>
            </w:r>
            <w:r>
              <w:rPr>
                <w:rFonts w:ascii="宋体" w:hAnsi="宋体"/>
                <w:color w:val="auto"/>
              </w:rPr>
              <w:t>)</w:t>
            </w:r>
          </w:p>
        </w:tc>
      </w:tr>
      <w:tr w14:paraId="66E13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D426A5D">
            <w:pPr>
              <w:adjustRightInd w:val="0"/>
              <w:snapToGrid w:val="0"/>
              <w:jc w:val="center"/>
              <w:rPr>
                <w:rFonts w:ascii="宋体" w:hAnsi="宋体"/>
                <w:color w:val="auto"/>
              </w:rPr>
            </w:pPr>
          </w:p>
        </w:tc>
        <w:tc>
          <w:tcPr>
            <w:tcW w:w="854" w:type="pct"/>
            <w:vMerge w:val="continue"/>
            <w:vAlign w:val="center"/>
          </w:tcPr>
          <w:p w14:paraId="028F43B8">
            <w:pPr>
              <w:adjustRightInd w:val="0"/>
              <w:snapToGrid w:val="0"/>
              <w:jc w:val="center"/>
              <w:rPr>
                <w:rFonts w:ascii="宋体" w:hAnsi="宋体"/>
                <w:color w:val="auto"/>
              </w:rPr>
            </w:pPr>
          </w:p>
        </w:tc>
        <w:tc>
          <w:tcPr>
            <w:tcW w:w="607" w:type="pct"/>
            <w:vMerge w:val="continue"/>
            <w:vAlign w:val="center"/>
          </w:tcPr>
          <w:p w14:paraId="74A54BA3">
            <w:pPr>
              <w:adjustRightInd w:val="0"/>
              <w:snapToGrid w:val="0"/>
              <w:jc w:val="center"/>
              <w:rPr>
                <w:rFonts w:ascii="宋体" w:hAnsi="宋体"/>
                <w:color w:val="auto"/>
              </w:rPr>
            </w:pPr>
          </w:p>
        </w:tc>
        <w:tc>
          <w:tcPr>
            <w:tcW w:w="1241" w:type="pct"/>
            <w:vAlign w:val="center"/>
          </w:tcPr>
          <w:p w14:paraId="70D53EF0">
            <w:pPr>
              <w:jc w:val="center"/>
              <w:rPr>
                <w:rFonts w:ascii="宋体" w:hAnsi="宋体"/>
                <w:color w:val="auto"/>
              </w:rPr>
            </w:pPr>
            <w:r>
              <w:rPr>
                <w:rFonts w:hint="eastAsia" w:ascii="宋体" w:hAnsi="宋体"/>
                <w:color w:val="auto"/>
              </w:rPr>
              <w:t>非甲烷总烃</w:t>
            </w:r>
          </w:p>
        </w:tc>
        <w:tc>
          <w:tcPr>
            <w:tcW w:w="1241" w:type="pct"/>
            <w:vAlign w:val="center"/>
          </w:tcPr>
          <w:p w14:paraId="7FEF1865">
            <w:pPr>
              <w:jc w:val="center"/>
              <w:rPr>
                <w:rFonts w:ascii="宋体" w:hAnsi="宋体"/>
                <w:color w:val="auto"/>
              </w:rPr>
            </w:pPr>
            <w:r>
              <w:rPr>
                <w:rFonts w:hint="eastAsia" w:ascii="宋体" w:hAnsi="宋体"/>
                <w:color w:val="auto"/>
              </w:rPr>
              <w:t>硫化氢</w:t>
            </w:r>
          </w:p>
        </w:tc>
      </w:tr>
      <w:tr w14:paraId="7341B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6530C35F">
            <w:pPr>
              <w:jc w:val="center"/>
              <w:rPr>
                <w:rFonts w:ascii="宋体" w:hAnsi="宋体"/>
                <w:color w:val="auto"/>
              </w:rPr>
            </w:pPr>
            <w:bookmarkStart w:id="407" w:name="_Hlk225511464"/>
            <w:bookmarkStart w:id="408" w:name="_Hlk225511617"/>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10</w:t>
            </w:r>
            <w:r>
              <w:rPr>
                <w:rFonts w:hint="eastAsia" w:ascii="宋体" w:hAnsi="宋体"/>
                <w:color w:val="auto"/>
              </w:rPr>
              <w:t>日</w:t>
            </w:r>
          </w:p>
        </w:tc>
        <w:tc>
          <w:tcPr>
            <w:tcW w:w="854" w:type="pct"/>
            <w:vMerge w:val="restart"/>
            <w:vAlign w:val="center"/>
          </w:tcPr>
          <w:p w14:paraId="7773133B">
            <w:pPr>
              <w:jc w:val="center"/>
              <w:rPr>
                <w:rFonts w:ascii="宋体" w:hAnsi="宋体"/>
                <w:color w:val="auto"/>
              </w:rPr>
            </w:pPr>
            <w:r>
              <w:rPr>
                <w:rFonts w:hint="eastAsia" w:ascii="宋体" w:hAnsi="宋体"/>
                <w:color w:val="auto"/>
              </w:rPr>
              <w:t>第一次</w:t>
            </w:r>
          </w:p>
        </w:tc>
        <w:tc>
          <w:tcPr>
            <w:tcW w:w="607" w:type="pct"/>
            <w:vAlign w:val="center"/>
          </w:tcPr>
          <w:p w14:paraId="6D0C7FC5">
            <w:pPr>
              <w:jc w:val="center"/>
              <w:rPr>
                <w:rFonts w:ascii="宋体" w:hAnsi="宋体"/>
                <w:color w:val="auto"/>
              </w:rPr>
            </w:pPr>
            <w:r>
              <w:rPr>
                <w:rFonts w:hint="eastAsia" w:ascii="宋体" w:hAnsi="宋体"/>
                <w:color w:val="auto"/>
              </w:rPr>
              <w:t>上风向</w:t>
            </w:r>
          </w:p>
        </w:tc>
        <w:tc>
          <w:tcPr>
            <w:tcW w:w="1241" w:type="pct"/>
            <w:vAlign w:val="center"/>
          </w:tcPr>
          <w:p w14:paraId="435EC43F">
            <w:pPr>
              <w:widowControl/>
              <w:jc w:val="center"/>
              <w:rPr>
                <w:rFonts w:ascii="宋体" w:hAnsi="宋体"/>
                <w:color w:val="auto"/>
                <w:kern w:val="0"/>
              </w:rPr>
            </w:pPr>
            <w:r>
              <w:rPr>
                <w:rFonts w:ascii="宋体" w:hAnsi="宋体"/>
                <w:color w:val="auto"/>
                <w:szCs w:val="22"/>
              </w:rPr>
              <w:t>0.92</w:t>
            </w:r>
          </w:p>
        </w:tc>
        <w:tc>
          <w:tcPr>
            <w:tcW w:w="1241" w:type="pct"/>
            <w:vAlign w:val="center"/>
          </w:tcPr>
          <w:p w14:paraId="215309DF">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6D99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5854221">
            <w:pPr>
              <w:widowControl/>
              <w:jc w:val="center"/>
              <w:rPr>
                <w:rFonts w:ascii="宋体" w:hAnsi="宋体"/>
                <w:color w:val="auto"/>
              </w:rPr>
            </w:pPr>
          </w:p>
        </w:tc>
        <w:tc>
          <w:tcPr>
            <w:tcW w:w="854" w:type="pct"/>
            <w:vMerge w:val="continue"/>
            <w:vAlign w:val="center"/>
          </w:tcPr>
          <w:p w14:paraId="5159AFFE">
            <w:pPr>
              <w:widowControl/>
              <w:jc w:val="center"/>
              <w:rPr>
                <w:rFonts w:ascii="宋体" w:hAnsi="宋体"/>
                <w:color w:val="auto"/>
              </w:rPr>
            </w:pPr>
          </w:p>
        </w:tc>
        <w:tc>
          <w:tcPr>
            <w:tcW w:w="607" w:type="pct"/>
            <w:vAlign w:val="center"/>
          </w:tcPr>
          <w:p w14:paraId="44B28F3D">
            <w:pPr>
              <w:jc w:val="center"/>
              <w:rPr>
                <w:rFonts w:ascii="宋体" w:hAnsi="宋体"/>
                <w:color w:val="auto"/>
              </w:rPr>
            </w:pPr>
            <w:r>
              <w:rPr>
                <w:rFonts w:hint="eastAsia" w:ascii="宋体" w:hAnsi="宋体"/>
                <w:color w:val="auto"/>
              </w:rPr>
              <w:t>下风向1</w:t>
            </w:r>
          </w:p>
        </w:tc>
        <w:tc>
          <w:tcPr>
            <w:tcW w:w="1241" w:type="pct"/>
            <w:vAlign w:val="center"/>
          </w:tcPr>
          <w:p w14:paraId="19B6ACD3">
            <w:pPr>
              <w:jc w:val="center"/>
              <w:rPr>
                <w:rFonts w:ascii="宋体" w:hAnsi="宋体"/>
                <w:color w:val="auto"/>
                <w:kern w:val="0"/>
              </w:rPr>
            </w:pPr>
            <w:r>
              <w:rPr>
                <w:rFonts w:ascii="宋体" w:hAnsi="宋体"/>
                <w:color w:val="auto"/>
                <w:szCs w:val="22"/>
              </w:rPr>
              <w:t>1.09</w:t>
            </w:r>
          </w:p>
        </w:tc>
        <w:tc>
          <w:tcPr>
            <w:tcW w:w="1241" w:type="pct"/>
            <w:vAlign w:val="center"/>
          </w:tcPr>
          <w:p w14:paraId="3F07D789">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25CF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66A3CB1">
            <w:pPr>
              <w:widowControl/>
              <w:jc w:val="center"/>
              <w:rPr>
                <w:rFonts w:ascii="宋体" w:hAnsi="宋体"/>
                <w:color w:val="auto"/>
              </w:rPr>
            </w:pPr>
          </w:p>
        </w:tc>
        <w:tc>
          <w:tcPr>
            <w:tcW w:w="854" w:type="pct"/>
            <w:vMerge w:val="continue"/>
            <w:vAlign w:val="center"/>
          </w:tcPr>
          <w:p w14:paraId="2E0F6EB1">
            <w:pPr>
              <w:widowControl/>
              <w:jc w:val="center"/>
              <w:rPr>
                <w:rFonts w:ascii="宋体" w:hAnsi="宋体"/>
                <w:color w:val="auto"/>
              </w:rPr>
            </w:pPr>
          </w:p>
        </w:tc>
        <w:tc>
          <w:tcPr>
            <w:tcW w:w="607" w:type="pct"/>
            <w:vAlign w:val="center"/>
          </w:tcPr>
          <w:p w14:paraId="0BAD4230">
            <w:pPr>
              <w:jc w:val="center"/>
              <w:rPr>
                <w:rFonts w:ascii="宋体" w:hAnsi="宋体"/>
                <w:color w:val="auto"/>
              </w:rPr>
            </w:pPr>
            <w:r>
              <w:rPr>
                <w:rFonts w:hint="eastAsia" w:ascii="宋体" w:hAnsi="宋体"/>
                <w:color w:val="auto"/>
              </w:rPr>
              <w:t>下风向2</w:t>
            </w:r>
          </w:p>
        </w:tc>
        <w:tc>
          <w:tcPr>
            <w:tcW w:w="1241" w:type="pct"/>
            <w:vAlign w:val="center"/>
          </w:tcPr>
          <w:p w14:paraId="711EC2AE">
            <w:pPr>
              <w:jc w:val="center"/>
              <w:rPr>
                <w:rFonts w:ascii="宋体" w:hAnsi="宋体"/>
                <w:color w:val="auto"/>
                <w:kern w:val="0"/>
              </w:rPr>
            </w:pPr>
            <w:r>
              <w:rPr>
                <w:rFonts w:ascii="宋体" w:hAnsi="宋体"/>
                <w:color w:val="auto"/>
                <w:szCs w:val="22"/>
              </w:rPr>
              <w:t>1.08</w:t>
            </w:r>
          </w:p>
        </w:tc>
        <w:tc>
          <w:tcPr>
            <w:tcW w:w="1241" w:type="pct"/>
            <w:vAlign w:val="center"/>
          </w:tcPr>
          <w:p w14:paraId="5E85B7A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9DAE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9CC5D7B">
            <w:pPr>
              <w:widowControl/>
              <w:jc w:val="center"/>
              <w:rPr>
                <w:rFonts w:ascii="宋体" w:hAnsi="宋体"/>
                <w:color w:val="auto"/>
              </w:rPr>
            </w:pPr>
          </w:p>
        </w:tc>
        <w:tc>
          <w:tcPr>
            <w:tcW w:w="854" w:type="pct"/>
            <w:vMerge w:val="continue"/>
            <w:vAlign w:val="center"/>
          </w:tcPr>
          <w:p w14:paraId="2E2D81A3">
            <w:pPr>
              <w:widowControl/>
              <w:jc w:val="center"/>
              <w:rPr>
                <w:rFonts w:ascii="宋体" w:hAnsi="宋体"/>
                <w:color w:val="auto"/>
              </w:rPr>
            </w:pPr>
          </w:p>
        </w:tc>
        <w:tc>
          <w:tcPr>
            <w:tcW w:w="607" w:type="pct"/>
            <w:vAlign w:val="center"/>
          </w:tcPr>
          <w:p w14:paraId="3B050A11">
            <w:pPr>
              <w:jc w:val="center"/>
              <w:rPr>
                <w:rFonts w:ascii="宋体" w:hAnsi="宋体"/>
                <w:color w:val="auto"/>
              </w:rPr>
            </w:pPr>
            <w:r>
              <w:rPr>
                <w:rFonts w:hint="eastAsia" w:ascii="宋体" w:hAnsi="宋体"/>
                <w:color w:val="auto"/>
              </w:rPr>
              <w:t>下风向3</w:t>
            </w:r>
          </w:p>
        </w:tc>
        <w:tc>
          <w:tcPr>
            <w:tcW w:w="1241" w:type="pct"/>
            <w:vAlign w:val="center"/>
          </w:tcPr>
          <w:p w14:paraId="0967CAB5">
            <w:pPr>
              <w:jc w:val="center"/>
              <w:rPr>
                <w:rFonts w:ascii="宋体" w:hAnsi="宋体"/>
                <w:color w:val="auto"/>
                <w:kern w:val="0"/>
              </w:rPr>
            </w:pPr>
            <w:r>
              <w:rPr>
                <w:rFonts w:ascii="宋体" w:hAnsi="宋体"/>
                <w:color w:val="auto"/>
                <w:szCs w:val="22"/>
              </w:rPr>
              <w:t>1.1</w:t>
            </w:r>
          </w:p>
        </w:tc>
        <w:tc>
          <w:tcPr>
            <w:tcW w:w="1241" w:type="pct"/>
            <w:vAlign w:val="center"/>
          </w:tcPr>
          <w:p w14:paraId="12508AD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bookmarkEnd w:id="407"/>
      <w:tr w14:paraId="1B5BA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84F4509">
            <w:pPr>
              <w:widowControl/>
              <w:jc w:val="center"/>
              <w:rPr>
                <w:rFonts w:ascii="宋体" w:hAnsi="宋体"/>
                <w:color w:val="auto"/>
              </w:rPr>
            </w:pPr>
          </w:p>
        </w:tc>
        <w:tc>
          <w:tcPr>
            <w:tcW w:w="854" w:type="pct"/>
            <w:vMerge w:val="restart"/>
            <w:vAlign w:val="center"/>
          </w:tcPr>
          <w:p w14:paraId="76959ADB">
            <w:pPr>
              <w:jc w:val="center"/>
              <w:rPr>
                <w:rFonts w:ascii="宋体" w:hAnsi="宋体"/>
                <w:color w:val="auto"/>
              </w:rPr>
            </w:pPr>
            <w:r>
              <w:rPr>
                <w:rFonts w:hint="eastAsia" w:ascii="宋体" w:hAnsi="宋体"/>
                <w:color w:val="auto"/>
              </w:rPr>
              <w:t>第二次</w:t>
            </w:r>
          </w:p>
        </w:tc>
        <w:tc>
          <w:tcPr>
            <w:tcW w:w="607" w:type="pct"/>
            <w:vAlign w:val="center"/>
          </w:tcPr>
          <w:p w14:paraId="2C22D274">
            <w:pPr>
              <w:jc w:val="center"/>
              <w:rPr>
                <w:rFonts w:ascii="宋体" w:hAnsi="宋体"/>
                <w:color w:val="auto"/>
              </w:rPr>
            </w:pPr>
            <w:r>
              <w:rPr>
                <w:rFonts w:hint="eastAsia" w:ascii="宋体" w:hAnsi="宋体"/>
                <w:color w:val="auto"/>
              </w:rPr>
              <w:t>上风向</w:t>
            </w:r>
          </w:p>
        </w:tc>
        <w:tc>
          <w:tcPr>
            <w:tcW w:w="1241" w:type="pct"/>
            <w:vAlign w:val="center"/>
          </w:tcPr>
          <w:p w14:paraId="7D514D64">
            <w:pPr>
              <w:widowControl/>
              <w:jc w:val="center"/>
              <w:rPr>
                <w:rFonts w:ascii="宋体" w:hAnsi="宋体"/>
                <w:color w:val="auto"/>
                <w:kern w:val="0"/>
              </w:rPr>
            </w:pPr>
            <w:r>
              <w:rPr>
                <w:rFonts w:ascii="宋体" w:hAnsi="宋体"/>
                <w:color w:val="auto"/>
                <w:kern w:val="0"/>
              </w:rPr>
              <w:t>0.94</w:t>
            </w:r>
          </w:p>
        </w:tc>
        <w:tc>
          <w:tcPr>
            <w:tcW w:w="1241" w:type="pct"/>
            <w:vAlign w:val="center"/>
          </w:tcPr>
          <w:p w14:paraId="281C4DDB">
            <w:pPr>
              <w:widowControl/>
              <w:jc w:val="center"/>
              <w:rPr>
                <w:rFonts w:ascii="宋体" w:hAnsi="宋体"/>
                <w:color w:val="auto"/>
              </w:rPr>
            </w:pPr>
            <w:r>
              <w:rPr>
                <w:rFonts w:hint="eastAsia" w:ascii="宋体" w:hAnsi="宋体"/>
                <w:color w:val="auto"/>
                <w:szCs w:val="22"/>
              </w:rPr>
              <w:t>N</w:t>
            </w:r>
            <w:r>
              <w:rPr>
                <w:rFonts w:ascii="宋体" w:hAnsi="宋体"/>
                <w:color w:val="auto"/>
                <w:szCs w:val="22"/>
              </w:rPr>
              <w:t>D</w:t>
            </w:r>
          </w:p>
        </w:tc>
      </w:tr>
      <w:tr w14:paraId="22D14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96EC649">
            <w:pPr>
              <w:widowControl/>
              <w:jc w:val="center"/>
              <w:rPr>
                <w:rFonts w:ascii="宋体" w:hAnsi="宋体"/>
                <w:color w:val="auto"/>
              </w:rPr>
            </w:pPr>
          </w:p>
        </w:tc>
        <w:tc>
          <w:tcPr>
            <w:tcW w:w="854" w:type="pct"/>
            <w:vMerge w:val="continue"/>
            <w:vAlign w:val="center"/>
          </w:tcPr>
          <w:p w14:paraId="4D6372B4">
            <w:pPr>
              <w:widowControl/>
              <w:jc w:val="center"/>
              <w:rPr>
                <w:rFonts w:ascii="宋体" w:hAnsi="宋体"/>
                <w:color w:val="auto"/>
              </w:rPr>
            </w:pPr>
          </w:p>
        </w:tc>
        <w:tc>
          <w:tcPr>
            <w:tcW w:w="607" w:type="pct"/>
            <w:vAlign w:val="center"/>
          </w:tcPr>
          <w:p w14:paraId="4CD95E7B">
            <w:pPr>
              <w:jc w:val="center"/>
              <w:rPr>
                <w:rFonts w:ascii="宋体" w:hAnsi="宋体"/>
                <w:color w:val="auto"/>
              </w:rPr>
            </w:pPr>
            <w:r>
              <w:rPr>
                <w:rFonts w:hint="eastAsia" w:ascii="宋体" w:hAnsi="宋体"/>
                <w:color w:val="auto"/>
              </w:rPr>
              <w:t>下风向1</w:t>
            </w:r>
          </w:p>
        </w:tc>
        <w:tc>
          <w:tcPr>
            <w:tcW w:w="1241" w:type="pct"/>
            <w:vAlign w:val="center"/>
          </w:tcPr>
          <w:p w14:paraId="07E9A933">
            <w:pPr>
              <w:jc w:val="center"/>
              <w:rPr>
                <w:rFonts w:ascii="宋体" w:hAnsi="宋体"/>
                <w:color w:val="auto"/>
                <w:kern w:val="0"/>
              </w:rPr>
            </w:pPr>
            <w:r>
              <w:rPr>
                <w:rFonts w:hint="eastAsia" w:ascii="宋体" w:hAnsi="宋体"/>
                <w:color w:val="auto"/>
                <w:kern w:val="0"/>
              </w:rPr>
              <w:t>1</w:t>
            </w:r>
            <w:r>
              <w:rPr>
                <w:rFonts w:ascii="宋体" w:hAnsi="宋体"/>
                <w:color w:val="auto"/>
                <w:kern w:val="0"/>
              </w:rPr>
              <w:t>.12</w:t>
            </w:r>
          </w:p>
        </w:tc>
        <w:tc>
          <w:tcPr>
            <w:tcW w:w="1241" w:type="pct"/>
            <w:vAlign w:val="center"/>
          </w:tcPr>
          <w:p w14:paraId="76437814">
            <w:pPr>
              <w:jc w:val="center"/>
              <w:rPr>
                <w:rFonts w:ascii="宋体" w:hAnsi="宋体"/>
                <w:color w:val="auto"/>
                <w:kern w:val="0"/>
              </w:rPr>
            </w:pPr>
            <w:r>
              <w:rPr>
                <w:rFonts w:hint="eastAsia" w:ascii="宋体" w:hAnsi="宋体"/>
                <w:color w:val="auto"/>
                <w:szCs w:val="22"/>
              </w:rPr>
              <w:t>N</w:t>
            </w:r>
            <w:r>
              <w:rPr>
                <w:rFonts w:ascii="宋体" w:hAnsi="宋体"/>
                <w:color w:val="auto"/>
                <w:szCs w:val="22"/>
              </w:rPr>
              <w:t>D</w:t>
            </w:r>
          </w:p>
        </w:tc>
      </w:tr>
      <w:tr w14:paraId="2FD17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D2B3BF6">
            <w:pPr>
              <w:widowControl/>
              <w:jc w:val="center"/>
              <w:rPr>
                <w:rFonts w:ascii="宋体" w:hAnsi="宋体"/>
                <w:color w:val="auto"/>
              </w:rPr>
            </w:pPr>
          </w:p>
        </w:tc>
        <w:tc>
          <w:tcPr>
            <w:tcW w:w="854" w:type="pct"/>
            <w:vMerge w:val="continue"/>
            <w:vAlign w:val="center"/>
          </w:tcPr>
          <w:p w14:paraId="19AA4D05">
            <w:pPr>
              <w:widowControl/>
              <w:jc w:val="center"/>
              <w:rPr>
                <w:rFonts w:ascii="宋体" w:hAnsi="宋体"/>
                <w:color w:val="auto"/>
              </w:rPr>
            </w:pPr>
          </w:p>
        </w:tc>
        <w:tc>
          <w:tcPr>
            <w:tcW w:w="607" w:type="pct"/>
            <w:vAlign w:val="center"/>
          </w:tcPr>
          <w:p w14:paraId="3E20F6B5">
            <w:pPr>
              <w:jc w:val="center"/>
              <w:rPr>
                <w:rFonts w:ascii="宋体" w:hAnsi="宋体"/>
                <w:color w:val="auto"/>
              </w:rPr>
            </w:pPr>
            <w:r>
              <w:rPr>
                <w:rFonts w:hint="eastAsia" w:ascii="宋体" w:hAnsi="宋体"/>
                <w:color w:val="auto"/>
              </w:rPr>
              <w:t>下风向2</w:t>
            </w:r>
          </w:p>
        </w:tc>
        <w:tc>
          <w:tcPr>
            <w:tcW w:w="1241" w:type="pct"/>
            <w:vAlign w:val="center"/>
          </w:tcPr>
          <w:p w14:paraId="78AACABD">
            <w:pPr>
              <w:jc w:val="center"/>
              <w:rPr>
                <w:rFonts w:ascii="宋体" w:hAnsi="宋体"/>
                <w:color w:val="auto"/>
                <w:kern w:val="0"/>
              </w:rPr>
            </w:pPr>
            <w:r>
              <w:rPr>
                <w:rFonts w:hint="eastAsia" w:ascii="宋体" w:hAnsi="宋体"/>
                <w:color w:val="auto"/>
                <w:kern w:val="0"/>
              </w:rPr>
              <w:t>1</w:t>
            </w:r>
            <w:r>
              <w:rPr>
                <w:rFonts w:ascii="宋体" w:hAnsi="宋体"/>
                <w:color w:val="auto"/>
                <w:kern w:val="0"/>
              </w:rPr>
              <w:t>.18</w:t>
            </w:r>
          </w:p>
        </w:tc>
        <w:tc>
          <w:tcPr>
            <w:tcW w:w="1241" w:type="pct"/>
            <w:vAlign w:val="center"/>
          </w:tcPr>
          <w:p w14:paraId="72A0BA03">
            <w:pPr>
              <w:jc w:val="center"/>
              <w:rPr>
                <w:rFonts w:ascii="宋体" w:hAnsi="宋体"/>
                <w:color w:val="auto"/>
                <w:kern w:val="0"/>
              </w:rPr>
            </w:pPr>
            <w:r>
              <w:rPr>
                <w:rFonts w:hint="eastAsia" w:ascii="宋体" w:hAnsi="宋体"/>
                <w:color w:val="auto"/>
                <w:szCs w:val="22"/>
              </w:rPr>
              <w:t>N</w:t>
            </w:r>
            <w:r>
              <w:rPr>
                <w:rFonts w:ascii="宋体" w:hAnsi="宋体"/>
                <w:color w:val="auto"/>
                <w:szCs w:val="22"/>
              </w:rPr>
              <w:t>D</w:t>
            </w:r>
          </w:p>
        </w:tc>
      </w:tr>
      <w:tr w14:paraId="03852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A5E47D5">
            <w:pPr>
              <w:widowControl/>
              <w:jc w:val="center"/>
              <w:rPr>
                <w:rFonts w:ascii="宋体" w:hAnsi="宋体"/>
                <w:color w:val="auto"/>
              </w:rPr>
            </w:pPr>
          </w:p>
        </w:tc>
        <w:tc>
          <w:tcPr>
            <w:tcW w:w="854" w:type="pct"/>
            <w:vMerge w:val="continue"/>
            <w:vAlign w:val="center"/>
          </w:tcPr>
          <w:p w14:paraId="48D225BF">
            <w:pPr>
              <w:widowControl/>
              <w:jc w:val="center"/>
              <w:rPr>
                <w:rFonts w:ascii="宋体" w:hAnsi="宋体"/>
                <w:color w:val="auto"/>
              </w:rPr>
            </w:pPr>
          </w:p>
        </w:tc>
        <w:tc>
          <w:tcPr>
            <w:tcW w:w="607" w:type="pct"/>
            <w:vAlign w:val="center"/>
          </w:tcPr>
          <w:p w14:paraId="23CC9E09">
            <w:pPr>
              <w:jc w:val="center"/>
              <w:rPr>
                <w:rFonts w:ascii="宋体" w:hAnsi="宋体"/>
                <w:color w:val="auto"/>
              </w:rPr>
            </w:pPr>
            <w:r>
              <w:rPr>
                <w:rFonts w:hint="eastAsia" w:ascii="宋体" w:hAnsi="宋体"/>
                <w:color w:val="auto"/>
              </w:rPr>
              <w:t>下风向3</w:t>
            </w:r>
          </w:p>
        </w:tc>
        <w:tc>
          <w:tcPr>
            <w:tcW w:w="1241" w:type="pct"/>
            <w:vAlign w:val="center"/>
          </w:tcPr>
          <w:p w14:paraId="2A1208FD">
            <w:pPr>
              <w:jc w:val="center"/>
              <w:rPr>
                <w:rFonts w:ascii="宋体" w:hAnsi="宋体"/>
                <w:color w:val="auto"/>
                <w:kern w:val="0"/>
              </w:rPr>
            </w:pPr>
            <w:r>
              <w:rPr>
                <w:rFonts w:hint="eastAsia" w:ascii="宋体" w:hAnsi="宋体"/>
                <w:color w:val="auto"/>
                <w:kern w:val="0"/>
              </w:rPr>
              <w:t>1</w:t>
            </w:r>
            <w:r>
              <w:rPr>
                <w:rFonts w:ascii="宋体" w:hAnsi="宋体"/>
                <w:color w:val="auto"/>
                <w:kern w:val="0"/>
              </w:rPr>
              <w:t>.14</w:t>
            </w:r>
          </w:p>
        </w:tc>
        <w:tc>
          <w:tcPr>
            <w:tcW w:w="1241" w:type="pct"/>
            <w:vAlign w:val="center"/>
          </w:tcPr>
          <w:p w14:paraId="2EC91FD5">
            <w:pPr>
              <w:jc w:val="center"/>
              <w:rPr>
                <w:rFonts w:ascii="宋体" w:hAnsi="宋体"/>
                <w:color w:val="auto"/>
                <w:kern w:val="0"/>
              </w:rPr>
            </w:pPr>
            <w:r>
              <w:rPr>
                <w:rFonts w:hint="eastAsia" w:ascii="宋体" w:hAnsi="宋体"/>
                <w:color w:val="auto"/>
                <w:szCs w:val="22"/>
              </w:rPr>
              <w:t>N</w:t>
            </w:r>
            <w:r>
              <w:rPr>
                <w:rFonts w:ascii="宋体" w:hAnsi="宋体"/>
                <w:color w:val="auto"/>
                <w:szCs w:val="22"/>
              </w:rPr>
              <w:t>D</w:t>
            </w:r>
          </w:p>
        </w:tc>
      </w:tr>
      <w:tr w14:paraId="736FD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24BD5C0">
            <w:pPr>
              <w:widowControl/>
              <w:jc w:val="center"/>
              <w:rPr>
                <w:rFonts w:ascii="宋体" w:hAnsi="宋体"/>
                <w:color w:val="auto"/>
              </w:rPr>
            </w:pPr>
          </w:p>
        </w:tc>
        <w:tc>
          <w:tcPr>
            <w:tcW w:w="854" w:type="pct"/>
            <w:vMerge w:val="restart"/>
            <w:vAlign w:val="center"/>
          </w:tcPr>
          <w:p w14:paraId="10B18FCE">
            <w:pPr>
              <w:jc w:val="center"/>
              <w:rPr>
                <w:rFonts w:ascii="宋体" w:hAnsi="宋体"/>
                <w:color w:val="auto"/>
              </w:rPr>
            </w:pPr>
            <w:r>
              <w:rPr>
                <w:rFonts w:hint="eastAsia" w:ascii="宋体" w:hAnsi="宋体"/>
                <w:color w:val="auto"/>
              </w:rPr>
              <w:t>第三次</w:t>
            </w:r>
          </w:p>
        </w:tc>
        <w:tc>
          <w:tcPr>
            <w:tcW w:w="607" w:type="pct"/>
            <w:vAlign w:val="center"/>
          </w:tcPr>
          <w:p w14:paraId="752D181B">
            <w:pPr>
              <w:jc w:val="center"/>
              <w:rPr>
                <w:rFonts w:ascii="宋体" w:hAnsi="宋体"/>
                <w:color w:val="auto"/>
              </w:rPr>
            </w:pPr>
            <w:r>
              <w:rPr>
                <w:rFonts w:hint="eastAsia" w:ascii="宋体" w:hAnsi="宋体"/>
                <w:color w:val="auto"/>
              </w:rPr>
              <w:t>上风向</w:t>
            </w:r>
          </w:p>
        </w:tc>
        <w:tc>
          <w:tcPr>
            <w:tcW w:w="1241" w:type="pct"/>
            <w:vAlign w:val="center"/>
          </w:tcPr>
          <w:p w14:paraId="1429233E">
            <w:pPr>
              <w:widowControl/>
              <w:jc w:val="center"/>
              <w:rPr>
                <w:rFonts w:ascii="宋体" w:hAnsi="宋体"/>
                <w:color w:val="auto"/>
                <w:kern w:val="0"/>
              </w:rPr>
            </w:pPr>
            <w:r>
              <w:rPr>
                <w:rFonts w:hint="eastAsia" w:ascii="宋体" w:hAnsi="宋体"/>
                <w:color w:val="auto"/>
                <w:kern w:val="0"/>
              </w:rPr>
              <w:t>0</w:t>
            </w:r>
            <w:r>
              <w:rPr>
                <w:rFonts w:ascii="宋体" w:hAnsi="宋体"/>
                <w:color w:val="auto"/>
                <w:kern w:val="0"/>
              </w:rPr>
              <w:t>.94</w:t>
            </w:r>
          </w:p>
        </w:tc>
        <w:tc>
          <w:tcPr>
            <w:tcW w:w="1241" w:type="pct"/>
            <w:vAlign w:val="center"/>
          </w:tcPr>
          <w:p w14:paraId="05678683">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9CAE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2819503">
            <w:pPr>
              <w:widowControl/>
              <w:jc w:val="center"/>
              <w:rPr>
                <w:rFonts w:ascii="宋体" w:hAnsi="宋体"/>
                <w:color w:val="auto"/>
              </w:rPr>
            </w:pPr>
          </w:p>
        </w:tc>
        <w:tc>
          <w:tcPr>
            <w:tcW w:w="854" w:type="pct"/>
            <w:vMerge w:val="continue"/>
            <w:vAlign w:val="center"/>
          </w:tcPr>
          <w:p w14:paraId="29143383">
            <w:pPr>
              <w:widowControl/>
              <w:jc w:val="center"/>
              <w:rPr>
                <w:rFonts w:ascii="宋体" w:hAnsi="宋体"/>
                <w:color w:val="auto"/>
              </w:rPr>
            </w:pPr>
          </w:p>
        </w:tc>
        <w:tc>
          <w:tcPr>
            <w:tcW w:w="607" w:type="pct"/>
            <w:vAlign w:val="center"/>
          </w:tcPr>
          <w:p w14:paraId="145125B8">
            <w:pPr>
              <w:jc w:val="center"/>
              <w:rPr>
                <w:rFonts w:ascii="宋体" w:hAnsi="宋体"/>
                <w:color w:val="auto"/>
              </w:rPr>
            </w:pPr>
            <w:r>
              <w:rPr>
                <w:rFonts w:hint="eastAsia" w:ascii="宋体" w:hAnsi="宋体"/>
                <w:color w:val="auto"/>
              </w:rPr>
              <w:t>下风向1</w:t>
            </w:r>
          </w:p>
        </w:tc>
        <w:tc>
          <w:tcPr>
            <w:tcW w:w="1241" w:type="pct"/>
            <w:vAlign w:val="center"/>
          </w:tcPr>
          <w:p w14:paraId="5E2FC332">
            <w:pPr>
              <w:jc w:val="center"/>
              <w:rPr>
                <w:rFonts w:ascii="宋体" w:hAnsi="宋体"/>
                <w:color w:val="auto"/>
                <w:kern w:val="0"/>
              </w:rPr>
            </w:pPr>
            <w:r>
              <w:rPr>
                <w:rFonts w:hint="eastAsia" w:ascii="宋体" w:hAnsi="宋体"/>
                <w:color w:val="auto"/>
                <w:kern w:val="0"/>
              </w:rPr>
              <w:t>1</w:t>
            </w:r>
            <w:r>
              <w:rPr>
                <w:rFonts w:ascii="宋体" w:hAnsi="宋体"/>
                <w:color w:val="auto"/>
                <w:kern w:val="0"/>
              </w:rPr>
              <w:t>.13</w:t>
            </w:r>
          </w:p>
        </w:tc>
        <w:tc>
          <w:tcPr>
            <w:tcW w:w="1241" w:type="pct"/>
            <w:vAlign w:val="center"/>
          </w:tcPr>
          <w:p w14:paraId="2C43F8E1">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6513C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4520F2D">
            <w:pPr>
              <w:widowControl/>
              <w:jc w:val="center"/>
              <w:rPr>
                <w:rFonts w:ascii="宋体" w:hAnsi="宋体"/>
                <w:color w:val="auto"/>
              </w:rPr>
            </w:pPr>
          </w:p>
        </w:tc>
        <w:tc>
          <w:tcPr>
            <w:tcW w:w="854" w:type="pct"/>
            <w:vMerge w:val="continue"/>
            <w:vAlign w:val="center"/>
          </w:tcPr>
          <w:p w14:paraId="6BEC38B4">
            <w:pPr>
              <w:widowControl/>
              <w:jc w:val="center"/>
              <w:rPr>
                <w:rFonts w:ascii="宋体" w:hAnsi="宋体"/>
                <w:color w:val="auto"/>
              </w:rPr>
            </w:pPr>
          </w:p>
        </w:tc>
        <w:tc>
          <w:tcPr>
            <w:tcW w:w="607" w:type="pct"/>
            <w:vAlign w:val="center"/>
          </w:tcPr>
          <w:p w14:paraId="0FD7A9FB">
            <w:pPr>
              <w:jc w:val="center"/>
              <w:rPr>
                <w:rFonts w:ascii="宋体" w:hAnsi="宋体"/>
                <w:color w:val="auto"/>
              </w:rPr>
            </w:pPr>
            <w:r>
              <w:rPr>
                <w:rFonts w:hint="eastAsia" w:ascii="宋体" w:hAnsi="宋体"/>
                <w:color w:val="auto"/>
              </w:rPr>
              <w:t>下风向2</w:t>
            </w:r>
          </w:p>
        </w:tc>
        <w:tc>
          <w:tcPr>
            <w:tcW w:w="1241" w:type="pct"/>
            <w:vAlign w:val="center"/>
          </w:tcPr>
          <w:p w14:paraId="0C8EE149">
            <w:pPr>
              <w:jc w:val="center"/>
              <w:rPr>
                <w:rFonts w:ascii="宋体" w:hAnsi="宋体"/>
                <w:color w:val="auto"/>
                <w:kern w:val="0"/>
              </w:rPr>
            </w:pPr>
            <w:r>
              <w:rPr>
                <w:rFonts w:hint="eastAsia" w:ascii="宋体" w:hAnsi="宋体"/>
                <w:color w:val="auto"/>
                <w:kern w:val="0"/>
              </w:rPr>
              <w:t>1</w:t>
            </w:r>
            <w:r>
              <w:rPr>
                <w:rFonts w:ascii="宋体" w:hAnsi="宋体"/>
                <w:color w:val="auto"/>
                <w:kern w:val="0"/>
              </w:rPr>
              <w:t>.22</w:t>
            </w:r>
          </w:p>
        </w:tc>
        <w:tc>
          <w:tcPr>
            <w:tcW w:w="1241" w:type="pct"/>
            <w:vAlign w:val="center"/>
          </w:tcPr>
          <w:p w14:paraId="619B577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0750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776424D">
            <w:pPr>
              <w:widowControl/>
              <w:jc w:val="center"/>
              <w:rPr>
                <w:rFonts w:ascii="宋体" w:hAnsi="宋体"/>
                <w:color w:val="auto"/>
              </w:rPr>
            </w:pPr>
          </w:p>
        </w:tc>
        <w:tc>
          <w:tcPr>
            <w:tcW w:w="854" w:type="pct"/>
            <w:vMerge w:val="continue"/>
            <w:vAlign w:val="center"/>
          </w:tcPr>
          <w:p w14:paraId="4ED1521C">
            <w:pPr>
              <w:widowControl/>
              <w:jc w:val="center"/>
              <w:rPr>
                <w:rFonts w:ascii="宋体" w:hAnsi="宋体"/>
                <w:color w:val="auto"/>
              </w:rPr>
            </w:pPr>
          </w:p>
        </w:tc>
        <w:tc>
          <w:tcPr>
            <w:tcW w:w="607" w:type="pct"/>
            <w:vAlign w:val="center"/>
          </w:tcPr>
          <w:p w14:paraId="3E18E3B0">
            <w:pPr>
              <w:jc w:val="center"/>
              <w:rPr>
                <w:rFonts w:ascii="宋体" w:hAnsi="宋体"/>
                <w:color w:val="auto"/>
              </w:rPr>
            </w:pPr>
            <w:r>
              <w:rPr>
                <w:rFonts w:hint="eastAsia" w:ascii="宋体" w:hAnsi="宋体"/>
                <w:color w:val="auto"/>
              </w:rPr>
              <w:t>下风向3</w:t>
            </w:r>
          </w:p>
        </w:tc>
        <w:tc>
          <w:tcPr>
            <w:tcW w:w="1241" w:type="pct"/>
            <w:vAlign w:val="center"/>
          </w:tcPr>
          <w:p w14:paraId="6A286E34">
            <w:pPr>
              <w:jc w:val="center"/>
              <w:rPr>
                <w:rFonts w:ascii="宋体" w:hAnsi="宋体"/>
                <w:color w:val="auto"/>
                <w:kern w:val="0"/>
              </w:rPr>
            </w:pPr>
            <w:r>
              <w:rPr>
                <w:rFonts w:hint="eastAsia" w:ascii="宋体" w:hAnsi="宋体"/>
                <w:color w:val="auto"/>
                <w:kern w:val="0"/>
              </w:rPr>
              <w:t>1</w:t>
            </w:r>
            <w:r>
              <w:rPr>
                <w:rFonts w:ascii="宋体" w:hAnsi="宋体"/>
                <w:color w:val="auto"/>
                <w:kern w:val="0"/>
              </w:rPr>
              <w:t>.25</w:t>
            </w:r>
          </w:p>
        </w:tc>
        <w:tc>
          <w:tcPr>
            <w:tcW w:w="1241" w:type="pct"/>
            <w:vAlign w:val="center"/>
          </w:tcPr>
          <w:p w14:paraId="183EBE3C">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AF6E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568BC38">
            <w:pPr>
              <w:widowControl/>
              <w:jc w:val="center"/>
              <w:rPr>
                <w:rFonts w:ascii="宋体" w:hAnsi="宋体"/>
                <w:color w:val="auto"/>
              </w:rPr>
            </w:pPr>
          </w:p>
        </w:tc>
        <w:tc>
          <w:tcPr>
            <w:tcW w:w="854" w:type="pct"/>
            <w:vMerge w:val="restart"/>
            <w:vAlign w:val="center"/>
          </w:tcPr>
          <w:p w14:paraId="01CB21FF">
            <w:pPr>
              <w:widowControl/>
              <w:jc w:val="center"/>
              <w:rPr>
                <w:rFonts w:ascii="宋体" w:hAnsi="宋体"/>
                <w:color w:val="auto"/>
              </w:rPr>
            </w:pPr>
            <w:r>
              <w:rPr>
                <w:rFonts w:hint="eastAsia" w:ascii="宋体" w:hAnsi="宋体"/>
                <w:color w:val="auto"/>
              </w:rPr>
              <w:t>第四次</w:t>
            </w:r>
          </w:p>
        </w:tc>
        <w:tc>
          <w:tcPr>
            <w:tcW w:w="607" w:type="pct"/>
            <w:vAlign w:val="center"/>
          </w:tcPr>
          <w:p w14:paraId="41E48BA8">
            <w:pPr>
              <w:jc w:val="center"/>
              <w:rPr>
                <w:rFonts w:ascii="宋体" w:hAnsi="宋体"/>
                <w:color w:val="auto"/>
              </w:rPr>
            </w:pPr>
            <w:r>
              <w:rPr>
                <w:rFonts w:hint="eastAsia" w:ascii="宋体" w:hAnsi="宋体"/>
                <w:color w:val="auto"/>
              </w:rPr>
              <w:t>上风向</w:t>
            </w:r>
          </w:p>
        </w:tc>
        <w:tc>
          <w:tcPr>
            <w:tcW w:w="1241" w:type="pct"/>
            <w:vAlign w:val="center"/>
          </w:tcPr>
          <w:p w14:paraId="754AE7D3">
            <w:pPr>
              <w:jc w:val="center"/>
              <w:rPr>
                <w:rFonts w:ascii="宋体" w:hAnsi="宋体"/>
                <w:color w:val="auto"/>
                <w:kern w:val="0"/>
              </w:rPr>
            </w:pPr>
            <w:r>
              <w:rPr>
                <w:rFonts w:hint="eastAsia" w:ascii="宋体" w:hAnsi="宋体"/>
                <w:color w:val="auto"/>
                <w:kern w:val="0"/>
              </w:rPr>
              <w:t>/</w:t>
            </w:r>
          </w:p>
        </w:tc>
        <w:tc>
          <w:tcPr>
            <w:tcW w:w="1241" w:type="pct"/>
            <w:vAlign w:val="center"/>
          </w:tcPr>
          <w:p w14:paraId="164775AA">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16ED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E8822CD">
            <w:pPr>
              <w:widowControl/>
              <w:jc w:val="center"/>
              <w:rPr>
                <w:rFonts w:ascii="宋体" w:hAnsi="宋体"/>
                <w:color w:val="auto"/>
              </w:rPr>
            </w:pPr>
          </w:p>
        </w:tc>
        <w:tc>
          <w:tcPr>
            <w:tcW w:w="854" w:type="pct"/>
            <w:vMerge w:val="continue"/>
            <w:vAlign w:val="center"/>
          </w:tcPr>
          <w:p w14:paraId="7E693F23">
            <w:pPr>
              <w:widowControl/>
              <w:jc w:val="center"/>
              <w:rPr>
                <w:rFonts w:ascii="宋体" w:hAnsi="宋体"/>
                <w:color w:val="auto"/>
              </w:rPr>
            </w:pPr>
          </w:p>
        </w:tc>
        <w:tc>
          <w:tcPr>
            <w:tcW w:w="607" w:type="pct"/>
            <w:vAlign w:val="center"/>
          </w:tcPr>
          <w:p w14:paraId="7C91D72F">
            <w:pPr>
              <w:jc w:val="center"/>
              <w:rPr>
                <w:rFonts w:ascii="宋体" w:hAnsi="宋体"/>
                <w:color w:val="auto"/>
              </w:rPr>
            </w:pPr>
            <w:r>
              <w:rPr>
                <w:rFonts w:hint="eastAsia" w:ascii="宋体" w:hAnsi="宋体"/>
                <w:color w:val="auto"/>
              </w:rPr>
              <w:t>下风向1</w:t>
            </w:r>
          </w:p>
        </w:tc>
        <w:tc>
          <w:tcPr>
            <w:tcW w:w="1241" w:type="pct"/>
            <w:vAlign w:val="center"/>
          </w:tcPr>
          <w:p w14:paraId="35AAE423">
            <w:pPr>
              <w:jc w:val="center"/>
              <w:rPr>
                <w:rFonts w:ascii="宋体" w:hAnsi="宋体"/>
                <w:color w:val="auto"/>
                <w:kern w:val="0"/>
              </w:rPr>
            </w:pPr>
            <w:r>
              <w:rPr>
                <w:rFonts w:hint="eastAsia" w:ascii="宋体" w:hAnsi="宋体"/>
                <w:color w:val="auto"/>
                <w:kern w:val="0"/>
              </w:rPr>
              <w:t>/</w:t>
            </w:r>
          </w:p>
        </w:tc>
        <w:tc>
          <w:tcPr>
            <w:tcW w:w="1241" w:type="pct"/>
            <w:vAlign w:val="center"/>
          </w:tcPr>
          <w:p w14:paraId="2BF6F33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347A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954D559">
            <w:pPr>
              <w:widowControl/>
              <w:jc w:val="center"/>
              <w:rPr>
                <w:rFonts w:ascii="宋体" w:hAnsi="宋体"/>
                <w:color w:val="auto"/>
              </w:rPr>
            </w:pPr>
          </w:p>
        </w:tc>
        <w:tc>
          <w:tcPr>
            <w:tcW w:w="854" w:type="pct"/>
            <w:vMerge w:val="continue"/>
            <w:vAlign w:val="center"/>
          </w:tcPr>
          <w:p w14:paraId="7BAD18D6">
            <w:pPr>
              <w:widowControl/>
              <w:jc w:val="center"/>
              <w:rPr>
                <w:rFonts w:ascii="宋体" w:hAnsi="宋体"/>
                <w:color w:val="auto"/>
              </w:rPr>
            </w:pPr>
          </w:p>
        </w:tc>
        <w:tc>
          <w:tcPr>
            <w:tcW w:w="607" w:type="pct"/>
            <w:vAlign w:val="center"/>
          </w:tcPr>
          <w:p w14:paraId="670FA3F9">
            <w:pPr>
              <w:jc w:val="center"/>
              <w:rPr>
                <w:rFonts w:ascii="宋体" w:hAnsi="宋体"/>
                <w:color w:val="auto"/>
              </w:rPr>
            </w:pPr>
            <w:r>
              <w:rPr>
                <w:rFonts w:hint="eastAsia" w:ascii="宋体" w:hAnsi="宋体"/>
                <w:color w:val="auto"/>
              </w:rPr>
              <w:t>下风向2</w:t>
            </w:r>
          </w:p>
        </w:tc>
        <w:tc>
          <w:tcPr>
            <w:tcW w:w="1241" w:type="pct"/>
            <w:vAlign w:val="center"/>
          </w:tcPr>
          <w:p w14:paraId="65188B07">
            <w:pPr>
              <w:jc w:val="center"/>
              <w:rPr>
                <w:rFonts w:ascii="宋体" w:hAnsi="宋体"/>
                <w:color w:val="auto"/>
                <w:kern w:val="0"/>
              </w:rPr>
            </w:pPr>
            <w:r>
              <w:rPr>
                <w:rFonts w:hint="eastAsia" w:ascii="宋体" w:hAnsi="宋体"/>
                <w:color w:val="auto"/>
                <w:kern w:val="0"/>
              </w:rPr>
              <w:t>/</w:t>
            </w:r>
          </w:p>
        </w:tc>
        <w:tc>
          <w:tcPr>
            <w:tcW w:w="1241" w:type="pct"/>
            <w:vAlign w:val="center"/>
          </w:tcPr>
          <w:p w14:paraId="4ECC018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22F5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F07E925">
            <w:pPr>
              <w:widowControl/>
              <w:jc w:val="center"/>
              <w:rPr>
                <w:rFonts w:ascii="宋体" w:hAnsi="宋体"/>
                <w:color w:val="auto"/>
              </w:rPr>
            </w:pPr>
          </w:p>
        </w:tc>
        <w:tc>
          <w:tcPr>
            <w:tcW w:w="854" w:type="pct"/>
            <w:vMerge w:val="continue"/>
            <w:vAlign w:val="center"/>
          </w:tcPr>
          <w:p w14:paraId="73F3EF41">
            <w:pPr>
              <w:widowControl/>
              <w:jc w:val="center"/>
              <w:rPr>
                <w:rFonts w:ascii="宋体" w:hAnsi="宋体"/>
                <w:color w:val="auto"/>
              </w:rPr>
            </w:pPr>
          </w:p>
        </w:tc>
        <w:tc>
          <w:tcPr>
            <w:tcW w:w="607" w:type="pct"/>
            <w:vAlign w:val="center"/>
          </w:tcPr>
          <w:p w14:paraId="6AD9F38E">
            <w:pPr>
              <w:jc w:val="center"/>
              <w:rPr>
                <w:rFonts w:ascii="宋体" w:hAnsi="宋体"/>
                <w:color w:val="auto"/>
              </w:rPr>
            </w:pPr>
            <w:r>
              <w:rPr>
                <w:rFonts w:hint="eastAsia" w:ascii="宋体" w:hAnsi="宋体"/>
                <w:color w:val="auto"/>
              </w:rPr>
              <w:t>下风向3</w:t>
            </w:r>
          </w:p>
        </w:tc>
        <w:tc>
          <w:tcPr>
            <w:tcW w:w="1241" w:type="pct"/>
            <w:vAlign w:val="center"/>
          </w:tcPr>
          <w:p w14:paraId="6DC87E6D">
            <w:pPr>
              <w:jc w:val="center"/>
              <w:rPr>
                <w:rFonts w:ascii="宋体" w:hAnsi="宋体"/>
                <w:color w:val="auto"/>
                <w:kern w:val="0"/>
              </w:rPr>
            </w:pPr>
            <w:r>
              <w:rPr>
                <w:rFonts w:hint="eastAsia" w:ascii="宋体" w:hAnsi="宋体"/>
                <w:color w:val="auto"/>
                <w:kern w:val="0"/>
              </w:rPr>
              <w:t>/</w:t>
            </w:r>
          </w:p>
        </w:tc>
        <w:tc>
          <w:tcPr>
            <w:tcW w:w="1241" w:type="pct"/>
            <w:vAlign w:val="center"/>
          </w:tcPr>
          <w:p w14:paraId="4C292F5B">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bookmarkEnd w:id="408"/>
      <w:tr w14:paraId="1E66F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03BFACBD">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11</w:t>
            </w:r>
            <w:r>
              <w:rPr>
                <w:rFonts w:hint="eastAsia" w:ascii="宋体" w:hAnsi="宋体"/>
                <w:color w:val="auto"/>
              </w:rPr>
              <w:t>日</w:t>
            </w:r>
          </w:p>
        </w:tc>
        <w:tc>
          <w:tcPr>
            <w:tcW w:w="854" w:type="pct"/>
            <w:vMerge w:val="restart"/>
            <w:vAlign w:val="center"/>
          </w:tcPr>
          <w:p w14:paraId="48FF331D">
            <w:pPr>
              <w:jc w:val="center"/>
              <w:rPr>
                <w:rFonts w:ascii="宋体" w:hAnsi="宋体"/>
                <w:color w:val="auto"/>
              </w:rPr>
            </w:pPr>
            <w:r>
              <w:rPr>
                <w:rFonts w:hint="eastAsia" w:ascii="宋体" w:hAnsi="宋体"/>
                <w:color w:val="auto"/>
              </w:rPr>
              <w:t>第一次</w:t>
            </w:r>
          </w:p>
        </w:tc>
        <w:tc>
          <w:tcPr>
            <w:tcW w:w="607" w:type="pct"/>
            <w:vAlign w:val="center"/>
          </w:tcPr>
          <w:p w14:paraId="62C2CDC0">
            <w:pPr>
              <w:jc w:val="center"/>
              <w:rPr>
                <w:rFonts w:ascii="宋体" w:hAnsi="宋体"/>
                <w:color w:val="auto"/>
              </w:rPr>
            </w:pPr>
            <w:r>
              <w:rPr>
                <w:rFonts w:hint="eastAsia" w:ascii="宋体" w:hAnsi="宋体"/>
                <w:color w:val="auto"/>
              </w:rPr>
              <w:t>上风向</w:t>
            </w:r>
          </w:p>
        </w:tc>
        <w:tc>
          <w:tcPr>
            <w:tcW w:w="1241" w:type="pct"/>
            <w:vAlign w:val="center"/>
          </w:tcPr>
          <w:p w14:paraId="4975430C">
            <w:pPr>
              <w:widowControl/>
              <w:jc w:val="center"/>
              <w:rPr>
                <w:rFonts w:ascii="宋体" w:hAnsi="宋体"/>
                <w:color w:val="auto"/>
                <w:kern w:val="0"/>
              </w:rPr>
            </w:pPr>
            <w:r>
              <w:rPr>
                <w:rFonts w:hint="eastAsia" w:ascii="宋体" w:hAnsi="宋体"/>
                <w:color w:val="auto"/>
                <w:kern w:val="0"/>
              </w:rPr>
              <w:t>0</w:t>
            </w:r>
            <w:r>
              <w:rPr>
                <w:rFonts w:ascii="宋体" w:hAnsi="宋体"/>
                <w:color w:val="auto"/>
                <w:kern w:val="0"/>
              </w:rPr>
              <w:t>.87</w:t>
            </w:r>
          </w:p>
        </w:tc>
        <w:tc>
          <w:tcPr>
            <w:tcW w:w="1241" w:type="pct"/>
            <w:vAlign w:val="center"/>
          </w:tcPr>
          <w:p w14:paraId="3E1D035F">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7994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F951E3A">
            <w:pPr>
              <w:widowControl/>
              <w:jc w:val="center"/>
              <w:rPr>
                <w:rFonts w:ascii="宋体" w:hAnsi="宋体"/>
                <w:color w:val="auto"/>
              </w:rPr>
            </w:pPr>
          </w:p>
        </w:tc>
        <w:tc>
          <w:tcPr>
            <w:tcW w:w="854" w:type="pct"/>
            <w:vMerge w:val="continue"/>
            <w:vAlign w:val="center"/>
          </w:tcPr>
          <w:p w14:paraId="1BBAF5CB">
            <w:pPr>
              <w:widowControl/>
              <w:jc w:val="center"/>
              <w:rPr>
                <w:rFonts w:ascii="宋体" w:hAnsi="宋体"/>
                <w:color w:val="auto"/>
              </w:rPr>
            </w:pPr>
          </w:p>
        </w:tc>
        <w:tc>
          <w:tcPr>
            <w:tcW w:w="607" w:type="pct"/>
            <w:vAlign w:val="center"/>
          </w:tcPr>
          <w:p w14:paraId="42150ECF">
            <w:pPr>
              <w:jc w:val="center"/>
              <w:rPr>
                <w:rFonts w:ascii="宋体" w:hAnsi="宋体"/>
                <w:color w:val="auto"/>
              </w:rPr>
            </w:pPr>
            <w:r>
              <w:rPr>
                <w:rFonts w:hint="eastAsia" w:ascii="宋体" w:hAnsi="宋体"/>
                <w:color w:val="auto"/>
              </w:rPr>
              <w:t>下风向1</w:t>
            </w:r>
          </w:p>
        </w:tc>
        <w:tc>
          <w:tcPr>
            <w:tcW w:w="1241" w:type="pct"/>
            <w:vAlign w:val="center"/>
          </w:tcPr>
          <w:p w14:paraId="167479E2">
            <w:pPr>
              <w:jc w:val="center"/>
              <w:rPr>
                <w:rFonts w:ascii="宋体" w:hAnsi="宋体"/>
                <w:color w:val="auto"/>
                <w:kern w:val="0"/>
              </w:rPr>
            </w:pPr>
            <w:r>
              <w:rPr>
                <w:rFonts w:hint="eastAsia" w:ascii="宋体" w:hAnsi="宋体"/>
                <w:color w:val="auto"/>
                <w:kern w:val="0"/>
              </w:rPr>
              <w:t>1</w:t>
            </w:r>
            <w:r>
              <w:rPr>
                <w:rFonts w:ascii="宋体" w:hAnsi="宋体"/>
                <w:color w:val="auto"/>
                <w:kern w:val="0"/>
              </w:rPr>
              <w:t>.32</w:t>
            </w:r>
          </w:p>
        </w:tc>
        <w:tc>
          <w:tcPr>
            <w:tcW w:w="1241" w:type="pct"/>
            <w:vAlign w:val="center"/>
          </w:tcPr>
          <w:p w14:paraId="3882404C">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A02E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AA387DC">
            <w:pPr>
              <w:widowControl/>
              <w:jc w:val="center"/>
              <w:rPr>
                <w:rFonts w:ascii="宋体" w:hAnsi="宋体"/>
                <w:color w:val="auto"/>
              </w:rPr>
            </w:pPr>
          </w:p>
        </w:tc>
        <w:tc>
          <w:tcPr>
            <w:tcW w:w="854" w:type="pct"/>
            <w:vMerge w:val="continue"/>
            <w:vAlign w:val="center"/>
          </w:tcPr>
          <w:p w14:paraId="6D8D9F39">
            <w:pPr>
              <w:widowControl/>
              <w:jc w:val="center"/>
              <w:rPr>
                <w:rFonts w:ascii="宋体" w:hAnsi="宋体"/>
                <w:color w:val="auto"/>
              </w:rPr>
            </w:pPr>
          </w:p>
        </w:tc>
        <w:tc>
          <w:tcPr>
            <w:tcW w:w="607" w:type="pct"/>
            <w:vAlign w:val="center"/>
          </w:tcPr>
          <w:p w14:paraId="55C112AF">
            <w:pPr>
              <w:jc w:val="center"/>
              <w:rPr>
                <w:rFonts w:ascii="宋体" w:hAnsi="宋体"/>
                <w:color w:val="auto"/>
              </w:rPr>
            </w:pPr>
            <w:r>
              <w:rPr>
                <w:rFonts w:hint="eastAsia" w:ascii="宋体" w:hAnsi="宋体"/>
                <w:color w:val="auto"/>
              </w:rPr>
              <w:t>下风向2</w:t>
            </w:r>
          </w:p>
        </w:tc>
        <w:tc>
          <w:tcPr>
            <w:tcW w:w="1241" w:type="pct"/>
            <w:vAlign w:val="center"/>
          </w:tcPr>
          <w:p w14:paraId="2324E259">
            <w:pPr>
              <w:jc w:val="center"/>
              <w:rPr>
                <w:rFonts w:ascii="宋体" w:hAnsi="宋体"/>
                <w:color w:val="auto"/>
                <w:kern w:val="0"/>
              </w:rPr>
            </w:pPr>
            <w:r>
              <w:rPr>
                <w:rFonts w:hint="eastAsia" w:ascii="宋体" w:hAnsi="宋体"/>
                <w:color w:val="auto"/>
                <w:kern w:val="0"/>
              </w:rPr>
              <w:t>1</w:t>
            </w:r>
            <w:r>
              <w:rPr>
                <w:rFonts w:ascii="宋体" w:hAnsi="宋体"/>
                <w:color w:val="auto"/>
                <w:kern w:val="0"/>
              </w:rPr>
              <w:t>.07</w:t>
            </w:r>
          </w:p>
        </w:tc>
        <w:tc>
          <w:tcPr>
            <w:tcW w:w="1241" w:type="pct"/>
            <w:vAlign w:val="center"/>
          </w:tcPr>
          <w:p w14:paraId="114B5DC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C565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48F1815">
            <w:pPr>
              <w:widowControl/>
              <w:jc w:val="center"/>
              <w:rPr>
                <w:rFonts w:ascii="宋体" w:hAnsi="宋体"/>
                <w:color w:val="auto"/>
              </w:rPr>
            </w:pPr>
          </w:p>
        </w:tc>
        <w:tc>
          <w:tcPr>
            <w:tcW w:w="854" w:type="pct"/>
            <w:vMerge w:val="continue"/>
            <w:vAlign w:val="center"/>
          </w:tcPr>
          <w:p w14:paraId="503CB5C9">
            <w:pPr>
              <w:widowControl/>
              <w:jc w:val="center"/>
              <w:rPr>
                <w:rFonts w:ascii="宋体" w:hAnsi="宋体"/>
                <w:color w:val="auto"/>
              </w:rPr>
            </w:pPr>
          </w:p>
        </w:tc>
        <w:tc>
          <w:tcPr>
            <w:tcW w:w="607" w:type="pct"/>
            <w:vAlign w:val="center"/>
          </w:tcPr>
          <w:p w14:paraId="78756F36">
            <w:pPr>
              <w:jc w:val="center"/>
              <w:rPr>
                <w:rFonts w:ascii="宋体" w:hAnsi="宋体"/>
                <w:color w:val="auto"/>
              </w:rPr>
            </w:pPr>
            <w:r>
              <w:rPr>
                <w:rFonts w:hint="eastAsia" w:ascii="宋体" w:hAnsi="宋体"/>
                <w:color w:val="auto"/>
              </w:rPr>
              <w:t>下风向3</w:t>
            </w:r>
          </w:p>
        </w:tc>
        <w:tc>
          <w:tcPr>
            <w:tcW w:w="1241" w:type="pct"/>
            <w:vAlign w:val="center"/>
          </w:tcPr>
          <w:p w14:paraId="6A64976E">
            <w:pPr>
              <w:jc w:val="center"/>
              <w:rPr>
                <w:rFonts w:ascii="宋体" w:hAnsi="宋体"/>
                <w:color w:val="auto"/>
                <w:kern w:val="0"/>
              </w:rPr>
            </w:pPr>
            <w:r>
              <w:rPr>
                <w:rFonts w:hint="eastAsia" w:ascii="宋体" w:hAnsi="宋体"/>
                <w:color w:val="auto"/>
                <w:kern w:val="0"/>
              </w:rPr>
              <w:t>1</w:t>
            </w:r>
            <w:r>
              <w:rPr>
                <w:rFonts w:ascii="宋体" w:hAnsi="宋体"/>
                <w:color w:val="auto"/>
                <w:kern w:val="0"/>
              </w:rPr>
              <w:t>.16</w:t>
            </w:r>
          </w:p>
        </w:tc>
        <w:tc>
          <w:tcPr>
            <w:tcW w:w="1241" w:type="pct"/>
            <w:vAlign w:val="center"/>
          </w:tcPr>
          <w:p w14:paraId="2473B839">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3789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277C25E">
            <w:pPr>
              <w:widowControl/>
              <w:jc w:val="center"/>
              <w:rPr>
                <w:rFonts w:ascii="宋体" w:hAnsi="宋体"/>
                <w:color w:val="auto"/>
              </w:rPr>
            </w:pPr>
          </w:p>
        </w:tc>
        <w:tc>
          <w:tcPr>
            <w:tcW w:w="854" w:type="pct"/>
            <w:vMerge w:val="restart"/>
            <w:vAlign w:val="center"/>
          </w:tcPr>
          <w:p w14:paraId="0BF00409">
            <w:pPr>
              <w:jc w:val="center"/>
              <w:rPr>
                <w:rFonts w:ascii="宋体" w:hAnsi="宋体"/>
                <w:color w:val="auto"/>
              </w:rPr>
            </w:pPr>
            <w:r>
              <w:rPr>
                <w:rFonts w:hint="eastAsia" w:ascii="宋体" w:hAnsi="宋体"/>
                <w:color w:val="auto"/>
              </w:rPr>
              <w:t>第二次</w:t>
            </w:r>
          </w:p>
        </w:tc>
        <w:tc>
          <w:tcPr>
            <w:tcW w:w="607" w:type="pct"/>
            <w:vAlign w:val="center"/>
          </w:tcPr>
          <w:p w14:paraId="693F970D">
            <w:pPr>
              <w:jc w:val="center"/>
              <w:rPr>
                <w:rFonts w:ascii="宋体" w:hAnsi="宋体"/>
                <w:color w:val="auto"/>
              </w:rPr>
            </w:pPr>
            <w:r>
              <w:rPr>
                <w:rFonts w:hint="eastAsia" w:ascii="宋体" w:hAnsi="宋体"/>
                <w:color w:val="auto"/>
              </w:rPr>
              <w:t>上风向</w:t>
            </w:r>
          </w:p>
        </w:tc>
        <w:tc>
          <w:tcPr>
            <w:tcW w:w="1241" w:type="pct"/>
            <w:vAlign w:val="center"/>
          </w:tcPr>
          <w:p w14:paraId="74FE2C1D">
            <w:pPr>
              <w:widowControl/>
              <w:jc w:val="center"/>
              <w:rPr>
                <w:rFonts w:ascii="宋体" w:hAnsi="宋体"/>
                <w:color w:val="auto"/>
                <w:kern w:val="0"/>
              </w:rPr>
            </w:pPr>
            <w:r>
              <w:rPr>
                <w:rFonts w:hint="eastAsia" w:ascii="宋体" w:hAnsi="宋体"/>
                <w:color w:val="auto"/>
                <w:kern w:val="0"/>
              </w:rPr>
              <w:t>0</w:t>
            </w:r>
            <w:r>
              <w:rPr>
                <w:rFonts w:ascii="宋体" w:hAnsi="宋体"/>
                <w:color w:val="auto"/>
                <w:kern w:val="0"/>
              </w:rPr>
              <w:t>.92</w:t>
            </w:r>
          </w:p>
        </w:tc>
        <w:tc>
          <w:tcPr>
            <w:tcW w:w="1241" w:type="pct"/>
            <w:vAlign w:val="center"/>
          </w:tcPr>
          <w:p w14:paraId="7FAB45DE">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F6DF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34730F1">
            <w:pPr>
              <w:widowControl/>
              <w:jc w:val="center"/>
              <w:rPr>
                <w:rFonts w:ascii="宋体" w:hAnsi="宋体"/>
                <w:color w:val="auto"/>
              </w:rPr>
            </w:pPr>
          </w:p>
        </w:tc>
        <w:tc>
          <w:tcPr>
            <w:tcW w:w="854" w:type="pct"/>
            <w:vMerge w:val="continue"/>
            <w:vAlign w:val="center"/>
          </w:tcPr>
          <w:p w14:paraId="38304C76">
            <w:pPr>
              <w:widowControl/>
              <w:jc w:val="center"/>
              <w:rPr>
                <w:rFonts w:ascii="宋体" w:hAnsi="宋体"/>
                <w:color w:val="auto"/>
              </w:rPr>
            </w:pPr>
          </w:p>
        </w:tc>
        <w:tc>
          <w:tcPr>
            <w:tcW w:w="607" w:type="pct"/>
            <w:vAlign w:val="center"/>
          </w:tcPr>
          <w:p w14:paraId="6B37B244">
            <w:pPr>
              <w:jc w:val="center"/>
              <w:rPr>
                <w:rFonts w:ascii="宋体" w:hAnsi="宋体"/>
                <w:color w:val="auto"/>
              </w:rPr>
            </w:pPr>
            <w:r>
              <w:rPr>
                <w:rFonts w:hint="eastAsia" w:ascii="宋体" w:hAnsi="宋体"/>
                <w:color w:val="auto"/>
              </w:rPr>
              <w:t>下风向1</w:t>
            </w:r>
          </w:p>
        </w:tc>
        <w:tc>
          <w:tcPr>
            <w:tcW w:w="1241" w:type="pct"/>
            <w:vAlign w:val="center"/>
          </w:tcPr>
          <w:p w14:paraId="6EA39E74">
            <w:pPr>
              <w:jc w:val="center"/>
              <w:rPr>
                <w:rFonts w:ascii="宋体" w:hAnsi="宋体"/>
                <w:color w:val="auto"/>
                <w:kern w:val="0"/>
              </w:rPr>
            </w:pPr>
            <w:r>
              <w:rPr>
                <w:rFonts w:hint="eastAsia" w:ascii="宋体" w:hAnsi="宋体"/>
                <w:color w:val="auto"/>
                <w:kern w:val="0"/>
              </w:rPr>
              <w:t>1</w:t>
            </w:r>
            <w:r>
              <w:rPr>
                <w:rFonts w:ascii="宋体" w:hAnsi="宋体"/>
                <w:color w:val="auto"/>
                <w:kern w:val="0"/>
              </w:rPr>
              <w:t>.19</w:t>
            </w:r>
          </w:p>
        </w:tc>
        <w:tc>
          <w:tcPr>
            <w:tcW w:w="1241" w:type="pct"/>
            <w:vAlign w:val="center"/>
          </w:tcPr>
          <w:p w14:paraId="548B97F4">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851E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40C7BD6">
            <w:pPr>
              <w:widowControl/>
              <w:jc w:val="center"/>
              <w:rPr>
                <w:rFonts w:ascii="宋体" w:hAnsi="宋体"/>
                <w:color w:val="auto"/>
              </w:rPr>
            </w:pPr>
          </w:p>
        </w:tc>
        <w:tc>
          <w:tcPr>
            <w:tcW w:w="854" w:type="pct"/>
            <w:vMerge w:val="continue"/>
            <w:vAlign w:val="center"/>
          </w:tcPr>
          <w:p w14:paraId="08414423">
            <w:pPr>
              <w:widowControl/>
              <w:jc w:val="center"/>
              <w:rPr>
                <w:rFonts w:ascii="宋体" w:hAnsi="宋体"/>
                <w:color w:val="auto"/>
              </w:rPr>
            </w:pPr>
          </w:p>
        </w:tc>
        <w:tc>
          <w:tcPr>
            <w:tcW w:w="607" w:type="pct"/>
            <w:vAlign w:val="center"/>
          </w:tcPr>
          <w:p w14:paraId="0CCD992B">
            <w:pPr>
              <w:jc w:val="center"/>
              <w:rPr>
                <w:rFonts w:ascii="宋体" w:hAnsi="宋体"/>
                <w:color w:val="auto"/>
              </w:rPr>
            </w:pPr>
            <w:r>
              <w:rPr>
                <w:rFonts w:hint="eastAsia" w:ascii="宋体" w:hAnsi="宋体"/>
                <w:color w:val="auto"/>
              </w:rPr>
              <w:t>下风向2</w:t>
            </w:r>
          </w:p>
        </w:tc>
        <w:tc>
          <w:tcPr>
            <w:tcW w:w="1241" w:type="pct"/>
            <w:vAlign w:val="center"/>
          </w:tcPr>
          <w:p w14:paraId="64A4BCF7">
            <w:pPr>
              <w:jc w:val="center"/>
              <w:rPr>
                <w:rFonts w:ascii="宋体" w:hAnsi="宋体"/>
                <w:color w:val="auto"/>
                <w:kern w:val="0"/>
              </w:rPr>
            </w:pPr>
            <w:r>
              <w:rPr>
                <w:rFonts w:hint="eastAsia" w:ascii="宋体" w:hAnsi="宋体"/>
                <w:color w:val="auto"/>
                <w:kern w:val="0"/>
              </w:rPr>
              <w:t>1</w:t>
            </w:r>
            <w:r>
              <w:rPr>
                <w:rFonts w:ascii="宋体" w:hAnsi="宋体"/>
                <w:color w:val="auto"/>
                <w:kern w:val="0"/>
              </w:rPr>
              <w:t>.26</w:t>
            </w:r>
          </w:p>
        </w:tc>
        <w:tc>
          <w:tcPr>
            <w:tcW w:w="1241" w:type="pct"/>
            <w:vAlign w:val="center"/>
          </w:tcPr>
          <w:p w14:paraId="46884C1E">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0996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873E261">
            <w:pPr>
              <w:widowControl/>
              <w:jc w:val="center"/>
              <w:rPr>
                <w:rFonts w:ascii="宋体" w:hAnsi="宋体"/>
                <w:color w:val="auto"/>
              </w:rPr>
            </w:pPr>
          </w:p>
        </w:tc>
        <w:tc>
          <w:tcPr>
            <w:tcW w:w="854" w:type="pct"/>
            <w:vMerge w:val="continue"/>
            <w:vAlign w:val="center"/>
          </w:tcPr>
          <w:p w14:paraId="731EC184">
            <w:pPr>
              <w:widowControl/>
              <w:jc w:val="center"/>
              <w:rPr>
                <w:rFonts w:ascii="宋体" w:hAnsi="宋体"/>
                <w:color w:val="auto"/>
              </w:rPr>
            </w:pPr>
          </w:p>
        </w:tc>
        <w:tc>
          <w:tcPr>
            <w:tcW w:w="607" w:type="pct"/>
            <w:vAlign w:val="center"/>
          </w:tcPr>
          <w:p w14:paraId="2A1FA463">
            <w:pPr>
              <w:jc w:val="center"/>
              <w:rPr>
                <w:rFonts w:ascii="宋体" w:hAnsi="宋体"/>
                <w:color w:val="auto"/>
              </w:rPr>
            </w:pPr>
            <w:r>
              <w:rPr>
                <w:rFonts w:hint="eastAsia" w:ascii="宋体" w:hAnsi="宋体"/>
                <w:color w:val="auto"/>
              </w:rPr>
              <w:t>下风向3</w:t>
            </w:r>
          </w:p>
        </w:tc>
        <w:tc>
          <w:tcPr>
            <w:tcW w:w="1241" w:type="pct"/>
            <w:vAlign w:val="center"/>
          </w:tcPr>
          <w:p w14:paraId="6959056E">
            <w:pPr>
              <w:jc w:val="center"/>
              <w:rPr>
                <w:rFonts w:ascii="宋体" w:hAnsi="宋体"/>
                <w:color w:val="auto"/>
                <w:kern w:val="0"/>
              </w:rPr>
            </w:pPr>
            <w:r>
              <w:rPr>
                <w:rFonts w:hint="eastAsia" w:ascii="宋体" w:hAnsi="宋体"/>
                <w:color w:val="auto"/>
                <w:kern w:val="0"/>
              </w:rPr>
              <w:t>1</w:t>
            </w:r>
            <w:r>
              <w:rPr>
                <w:rFonts w:ascii="宋体" w:hAnsi="宋体"/>
                <w:color w:val="auto"/>
                <w:kern w:val="0"/>
              </w:rPr>
              <w:t>.31</w:t>
            </w:r>
          </w:p>
        </w:tc>
        <w:tc>
          <w:tcPr>
            <w:tcW w:w="1241" w:type="pct"/>
            <w:vAlign w:val="center"/>
          </w:tcPr>
          <w:p w14:paraId="60BF645B">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1FAC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52D3335">
            <w:pPr>
              <w:widowControl/>
              <w:jc w:val="center"/>
              <w:rPr>
                <w:rFonts w:ascii="宋体" w:hAnsi="宋体"/>
                <w:color w:val="auto"/>
              </w:rPr>
            </w:pPr>
          </w:p>
        </w:tc>
        <w:tc>
          <w:tcPr>
            <w:tcW w:w="854" w:type="pct"/>
            <w:vMerge w:val="restart"/>
            <w:vAlign w:val="center"/>
          </w:tcPr>
          <w:p w14:paraId="49562DD0">
            <w:pPr>
              <w:jc w:val="center"/>
              <w:rPr>
                <w:rFonts w:ascii="宋体" w:hAnsi="宋体"/>
                <w:color w:val="auto"/>
              </w:rPr>
            </w:pPr>
            <w:r>
              <w:rPr>
                <w:rFonts w:hint="eastAsia" w:ascii="宋体" w:hAnsi="宋体"/>
                <w:color w:val="auto"/>
              </w:rPr>
              <w:t>第三次</w:t>
            </w:r>
          </w:p>
        </w:tc>
        <w:tc>
          <w:tcPr>
            <w:tcW w:w="607" w:type="pct"/>
            <w:vAlign w:val="center"/>
          </w:tcPr>
          <w:p w14:paraId="7EB63E3A">
            <w:pPr>
              <w:jc w:val="center"/>
              <w:rPr>
                <w:rFonts w:ascii="宋体" w:hAnsi="宋体"/>
                <w:color w:val="auto"/>
              </w:rPr>
            </w:pPr>
            <w:r>
              <w:rPr>
                <w:rFonts w:hint="eastAsia" w:ascii="宋体" w:hAnsi="宋体"/>
                <w:color w:val="auto"/>
              </w:rPr>
              <w:t>上风向</w:t>
            </w:r>
          </w:p>
        </w:tc>
        <w:tc>
          <w:tcPr>
            <w:tcW w:w="1241" w:type="pct"/>
            <w:vAlign w:val="center"/>
          </w:tcPr>
          <w:p w14:paraId="75CF8F4F">
            <w:pPr>
              <w:widowControl/>
              <w:jc w:val="center"/>
              <w:rPr>
                <w:rFonts w:ascii="宋体" w:hAnsi="宋体"/>
                <w:color w:val="auto"/>
                <w:kern w:val="0"/>
              </w:rPr>
            </w:pPr>
            <w:r>
              <w:rPr>
                <w:rFonts w:hint="eastAsia" w:ascii="宋体" w:hAnsi="宋体"/>
                <w:color w:val="auto"/>
                <w:kern w:val="0"/>
              </w:rPr>
              <w:t>0</w:t>
            </w:r>
            <w:r>
              <w:rPr>
                <w:rFonts w:ascii="宋体" w:hAnsi="宋体"/>
                <w:color w:val="auto"/>
                <w:kern w:val="0"/>
              </w:rPr>
              <w:t>.95</w:t>
            </w:r>
          </w:p>
        </w:tc>
        <w:tc>
          <w:tcPr>
            <w:tcW w:w="1241" w:type="pct"/>
            <w:vAlign w:val="center"/>
          </w:tcPr>
          <w:p w14:paraId="07893C00">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A849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EB68A24">
            <w:pPr>
              <w:widowControl/>
              <w:jc w:val="center"/>
              <w:rPr>
                <w:rFonts w:ascii="宋体" w:hAnsi="宋体"/>
                <w:color w:val="auto"/>
              </w:rPr>
            </w:pPr>
            <w:bookmarkStart w:id="409" w:name="_Hlk225511700"/>
          </w:p>
        </w:tc>
        <w:tc>
          <w:tcPr>
            <w:tcW w:w="854" w:type="pct"/>
            <w:vMerge w:val="continue"/>
            <w:vAlign w:val="center"/>
          </w:tcPr>
          <w:p w14:paraId="0EEE27A3">
            <w:pPr>
              <w:widowControl/>
              <w:jc w:val="center"/>
              <w:rPr>
                <w:rFonts w:ascii="宋体" w:hAnsi="宋体"/>
                <w:color w:val="auto"/>
              </w:rPr>
            </w:pPr>
          </w:p>
        </w:tc>
        <w:tc>
          <w:tcPr>
            <w:tcW w:w="607" w:type="pct"/>
            <w:vAlign w:val="center"/>
          </w:tcPr>
          <w:p w14:paraId="65EA8F7F">
            <w:pPr>
              <w:jc w:val="center"/>
              <w:rPr>
                <w:rFonts w:ascii="宋体" w:hAnsi="宋体"/>
                <w:color w:val="auto"/>
              </w:rPr>
            </w:pPr>
            <w:r>
              <w:rPr>
                <w:rFonts w:hint="eastAsia" w:ascii="宋体" w:hAnsi="宋体"/>
                <w:color w:val="auto"/>
              </w:rPr>
              <w:t>下风向1</w:t>
            </w:r>
          </w:p>
        </w:tc>
        <w:tc>
          <w:tcPr>
            <w:tcW w:w="1241" w:type="pct"/>
            <w:vAlign w:val="center"/>
          </w:tcPr>
          <w:p w14:paraId="4FA33D08">
            <w:pPr>
              <w:jc w:val="center"/>
              <w:rPr>
                <w:rFonts w:ascii="宋体" w:hAnsi="宋体"/>
                <w:color w:val="auto"/>
                <w:kern w:val="0"/>
              </w:rPr>
            </w:pPr>
            <w:r>
              <w:rPr>
                <w:rFonts w:hint="eastAsia" w:ascii="宋体" w:hAnsi="宋体"/>
                <w:color w:val="auto"/>
                <w:kern w:val="0"/>
              </w:rPr>
              <w:t>1</w:t>
            </w:r>
            <w:r>
              <w:rPr>
                <w:rFonts w:ascii="宋体" w:hAnsi="宋体"/>
                <w:color w:val="auto"/>
                <w:kern w:val="0"/>
              </w:rPr>
              <w:t>.29</w:t>
            </w:r>
          </w:p>
        </w:tc>
        <w:tc>
          <w:tcPr>
            <w:tcW w:w="1241" w:type="pct"/>
            <w:vAlign w:val="center"/>
          </w:tcPr>
          <w:p w14:paraId="1D390C1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D509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F10F14A">
            <w:pPr>
              <w:widowControl/>
              <w:jc w:val="center"/>
              <w:rPr>
                <w:rFonts w:ascii="宋体" w:hAnsi="宋体"/>
                <w:color w:val="auto"/>
              </w:rPr>
            </w:pPr>
          </w:p>
        </w:tc>
        <w:tc>
          <w:tcPr>
            <w:tcW w:w="854" w:type="pct"/>
            <w:vMerge w:val="continue"/>
            <w:vAlign w:val="center"/>
          </w:tcPr>
          <w:p w14:paraId="1ED5343B">
            <w:pPr>
              <w:widowControl/>
              <w:jc w:val="center"/>
              <w:rPr>
                <w:rFonts w:ascii="宋体" w:hAnsi="宋体"/>
                <w:color w:val="auto"/>
              </w:rPr>
            </w:pPr>
          </w:p>
        </w:tc>
        <w:tc>
          <w:tcPr>
            <w:tcW w:w="607" w:type="pct"/>
            <w:vAlign w:val="center"/>
          </w:tcPr>
          <w:p w14:paraId="23456439">
            <w:pPr>
              <w:jc w:val="center"/>
              <w:rPr>
                <w:rFonts w:ascii="宋体" w:hAnsi="宋体"/>
                <w:color w:val="auto"/>
              </w:rPr>
            </w:pPr>
            <w:r>
              <w:rPr>
                <w:rFonts w:hint="eastAsia" w:ascii="宋体" w:hAnsi="宋体"/>
                <w:color w:val="auto"/>
              </w:rPr>
              <w:t>下风向2</w:t>
            </w:r>
          </w:p>
        </w:tc>
        <w:tc>
          <w:tcPr>
            <w:tcW w:w="1241" w:type="pct"/>
            <w:vAlign w:val="center"/>
          </w:tcPr>
          <w:p w14:paraId="198B9EB6">
            <w:pPr>
              <w:jc w:val="center"/>
              <w:rPr>
                <w:rFonts w:ascii="宋体" w:hAnsi="宋体"/>
                <w:color w:val="auto"/>
                <w:kern w:val="0"/>
              </w:rPr>
            </w:pPr>
            <w:r>
              <w:rPr>
                <w:rFonts w:hint="eastAsia" w:ascii="宋体" w:hAnsi="宋体"/>
                <w:color w:val="auto"/>
                <w:kern w:val="0"/>
              </w:rPr>
              <w:t>1</w:t>
            </w:r>
            <w:r>
              <w:rPr>
                <w:rFonts w:ascii="宋体" w:hAnsi="宋体"/>
                <w:color w:val="auto"/>
                <w:kern w:val="0"/>
              </w:rPr>
              <w:t>.20</w:t>
            </w:r>
          </w:p>
        </w:tc>
        <w:tc>
          <w:tcPr>
            <w:tcW w:w="1241" w:type="pct"/>
            <w:vAlign w:val="center"/>
          </w:tcPr>
          <w:p w14:paraId="2A6546AC">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8550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35103A9">
            <w:pPr>
              <w:widowControl/>
              <w:jc w:val="center"/>
              <w:rPr>
                <w:rFonts w:ascii="宋体" w:hAnsi="宋体"/>
                <w:color w:val="auto"/>
              </w:rPr>
            </w:pPr>
          </w:p>
        </w:tc>
        <w:tc>
          <w:tcPr>
            <w:tcW w:w="854" w:type="pct"/>
            <w:vMerge w:val="continue"/>
            <w:vAlign w:val="center"/>
          </w:tcPr>
          <w:p w14:paraId="1B0A1F86">
            <w:pPr>
              <w:widowControl/>
              <w:jc w:val="center"/>
              <w:rPr>
                <w:rFonts w:ascii="宋体" w:hAnsi="宋体"/>
                <w:color w:val="auto"/>
              </w:rPr>
            </w:pPr>
          </w:p>
        </w:tc>
        <w:tc>
          <w:tcPr>
            <w:tcW w:w="607" w:type="pct"/>
            <w:vAlign w:val="center"/>
          </w:tcPr>
          <w:p w14:paraId="677163A6">
            <w:pPr>
              <w:jc w:val="center"/>
              <w:rPr>
                <w:rFonts w:ascii="宋体" w:hAnsi="宋体"/>
                <w:color w:val="auto"/>
              </w:rPr>
            </w:pPr>
            <w:r>
              <w:rPr>
                <w:rFonts w:hint="eastAsia" w:ascii="宋体" w:hAnsi="宋体"/>
                <w:color w:val="auto"/>
              </w:rPr>
              <w:t>下风向3</w:t>
            </w:r>
          </w:p>
        </w:tc>
        <w:tc>
          <w:tcPr>
            <w:tcW w:w="1241" w:type="pct"/>
            <w:vAlign w:val="center"/>
          </w:tcPr>
          <w:p w14:paraId="42DE63A8">
            <w:pPr>
              <w:jc w:val="center"/>
              <w:rPr>
                <w:rFonts w:ascii="宋体" w:hAnsi="宋体"/>
                <w:color w:val="auto"/>
                <w:kern w:val="0"/>
              </w:rPr>
            </w:pPr>
            <w:r>
              <w:rPr>
                <w:rFonts w:hint="eastAsia" w:ascii="宋体" w:hAnsi="宋体"/>
                <w:color w:val="auto"/>
                <w:kern w:val="0"/>
              </w:rPr>
              <w:t>1</w:t>
            </w:r>
            <w:r>
              <w:rPr>
                <w:rFonts w:ascii="宋体" w:hAnsi="宋体"/>
                <w:color w:val="auto"/>
                <w:kern w:val="0"/>
              </w:rPr>
              <w:t>.12</w:t>
            </w:r>
          </w:p>
        </w:tc>
        <w:tc>
          <w:tcPr>
            <w:tcW w:w="1241" w:type="pct"/>
            <w:vAlign w:val="center"/>
          </w:tcPr>
          <w:p w14:paraId="480F736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751C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ADC4F0F">
            <w:pPr>
              <w:widowControl/>
              <w:jc w:val="center"/>
              <w:rPr>
                <w:rFonts w:ascii="宋体" w:hAnsi="宋体"/>
                <w:color w:val="auto"/>
              </w:rPr>
            </w:pPr>
          </w:p>
        </w:tc>
        <w:tc>
          <w:tcPr>
            <w:tcW w:w="854" w:type="pct"/>
            <w:vMerge w:val="restart"/>
            <w:vAlign w:val="center"/>
          </w:tcPr>
          <w:p w14:paraId="53936FFD">
            <w:pPr>
              <w:widowControl/>
              <w:jc w:val="center"/>
              <w:rPr>
                <w:rFonts w:ascii="宋体" w:hAnsi="宋体"/>
                <w:color w:val="auto"/>
              </w:rPr>
            </w:pPr>
            <w:r>
              <w:rPr>
                <w:rFonts w:hint="eastAsia" w:ascii="宋体" w:hAnsi="宋体"/>
                <w:color w:val="auto"/>
              </w:rPr>
              <w:t>第四次</w:t>
            </w:r>
          </w:p>
        </w:tc>
        <w:tc>
          <w:tcPr>
            <w:tcW w:w="607" w:type="pct"/>
            <w:vAlign w:val="center"/>
          </w:tcPr>
          <w:p w14:paraId="072FE9C5">
            <w:pPr>
              <w:jc w:val="center"/>
              <w:rPr>
                <w:rFonts w:ascii="宋体" w:hAnsi="宋体"/>
                <w:color w:val="auto"/>
              </w:rPr>
            </w:pPr>
            <w:r>
              <w:rPr>
                <w:rFonts w:hint="eastAsia" w:ascii="宋体" w:hAnsi="宋体"/>
                <w:color w:val="auto"/>
              </w:rPr>
              <w:t>上风向</w:t>
            </w:r>
          </w:p>
        </w:tc>
        <w:tc>
          <w:tcPr>
            <w:tcW w:w="1241" w:type="pct"/>
            <w:vAlign w:val="center"/>
          </w:tcPr>
          <w:p w14:paraId="2464F6F2">
            <w:pPr>
              <w:jc w:val="center"/>
              <w:rPr>
                <w:rFonts w:ascii="宋体" w:hAnsi="宋体"/>
                <w:color w:val="auto"/>
                <w:kern w:val="0"/>
              </w:rPr>
            </w:pPr>
            <w:bookmarkStart w:id="410" w:name="OLE_LINK85"/>
            <w:bookmarkStart w:id="411" w:name="OLE_LINK94"/>
            <w:r>
              <w:rPr>
                <w:rFonts w:hint="eastAsia" w:ascii="宋体" w:hAnsi="宋体"/>
                <w:color w:val="auto"/>
                <w:kern w:val="0"/>
              </w:rPr>
              <w:t>/</w:t>
            </w:r>
            <w:bookmarkEnd w:id="410"/>
            <w:bookmarkEnd w:id="411"/>
          </w:p>
        </w:tc>
        <w:tc>
          <w:tcPr>
            <w:tcW w:w="1241" w:type="pct"/>
            <w:vAlign w:val="center"/>
          </w:tcPr>
          <w:p w14:paraId="14E2DD5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ABEC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5971CE1">
            <w:pPr>
              <w:widowControl/>
              <w:jc w:val="center"/>
              <w:rPr>
                <w:rFonts w:ascii="宋体" w:hAnsi="宋体"/>
                <w:color w:val="auto"/>
              </w:rPr>
            </w:pPr>
          </w:p>
        </w:tc>
        <w:tc>
          <w:tcPr>
            <w:tcW w:w="854" w:type="pct"/>
            <w:vMerge w:val="continue"/>
            <w:vAlign w:val="center"/>
          </w:tcPr>
          <w:p w14:paraId="1CEA68CB">
            <w:pPr>
              <w:widowControl/>
              <w:jc w:val="center"/>
              <w:rPr>
                <w:rFonts w:ascii="宋体" w:hAnsi="宋体"/>
                <w:color w:val="auto"/>
              </w:rPr>
            </w:pPr>
          </w:p>
        </w:tc>
        <w:tc>
          <w:tcPr>
            <w:tcW w:w="607" w:type="pct"/>
            <w:vAlign w:val="center"/>
          </w:tcPr>
          <w:p w14:paraId="17D5FBC0">
            <w:pPr>
              <w:jc w:val="center"/>
              <w:rPr>
                <w:rFonts w:ascii="宋体" w:hAnsi="宋体"/>
                <w:color w:val="auto"/>
              </w:rPr>
            </w:pPr>
            <w:r>
              <w:rPr>
                <w:rFonts w:hint="eastAsia" w:ascii="宋体" w:hAnsi="宋体"/>
                <w:color w:val="auto"/>
              </w:rPr>
              <w:t>下风向1</w:t>
            </w:r>
          </w:p>
        </w:tc>
        <w:tc>
          <w:tcPr>
            <w:tcW w:w="1241" w:type="pct"/>
          </w:tcPr>
          <w:p w14:paraId="2932E051">
            <w:pPr>
              <w:jc w:val="center"/>
              <w:rPr>
                <w:rFonts w:ascii="宋体" w:hAnsi="宋体"/>
                <w:color w:val="auto"/>
                <w:kern w:val="0"/>
              </w:rPr>
            </w:pPr>
            <w:r>
              <w:rPr>
                <w:rFonts w:hint="eastAsia" w:ascii="宋体" w:hAnsi="宋体"/>
                <w:color w:val="auto"/>
                <w:kern w:val="0"/>
              </w:rPr>
              <w:t>/</w:t>
            </w:r>
          </w:p>
        </w:tc>
        <w:tc>
          <w:tcPr>
            <w:tcW w:w="1241" w:type="pct"/>
            <w:vAlign w:val="center"/>
          </w:tcPr>
          <w:p w14:paraId="170089CC">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DF3B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D859D4B">
            <w:pPr>
              <w:widowControl/>
              <w:jc w:val="center"/>
              <w:rPr>
                <w:rFonts w:ascii="宋体" w:hAnsi="宋体"/>
                <w:color w:val="auto"/>
              </w:rPr>
            </w:pPr>
          </w:p>
        </w:tc>
        <w:tc>
          <w:tcPr>
            <w:tcW w:w="854" w:type="pct"/>
            <w:vMerge w:val="continue"/>
            <w:vAlign w:val="center"/>
          </w:tcPr>
          <w:p w14:paraId="25499E8C">
            <w:pPr>
              <w:widowControl/>
              <w:jc w:val="center"/>
              <w:rPr>
                <w:rFonts w:ascii="宋体" w:hAnsi="宋体"/>
                <w:color w:val="auto"/>
              </w:rPr>
            </w:pPr>
          </w:p>
        </w:tc>
        <w:tc>
          <w:tcPr>
            <w:tcW w:w="607" w:type="pct"/>
            <w:vAlign w:val="center"/>
          </w:tcPr>
          <w:p w14:paraId="03583ECD">
            <w:pPr>
              <w:jc w:val="center"/>
              <w:rPr>
                <w:rFonts w:ascii="宋体" w:hAnsi="宋体"/>
                <w:color w:val="auto"/>
              </w:rPr>
            </w:pPr>
            <w:r>
              <w:rPr>
                <w:rFonts w:hint="eastAsia" w:ascii="宋体" w:hAnsi="宋体"/>
                <w:color w:val="auto"/>
              </w:rPr>
              <w:t>下风向2</w:t>
            </w:r>
          </w:p>
        </w:tc>
        <w:tc>
          <w:tcPr>
            <w:tcW w:w="1241" w:type="pct"/>
          </w:tcPr>
          <w:p w14:paraId="36489EA8">
            <w:pPr>
              <w:jc w:val="center"/>
              <w:rPr>
                <w:rFonts w:ascii="宋体" w:hAnsi="宋体"/>
                <w:color w:val="auto"/>
                <w:kern w:val="0"/>
              </w:rPr>
            </w:pPr>
            <w:r>
              <w:rPr>
                <w:rFonts w:hint="eastAsia" w:ascii="宋体" w:hAnsi="宋体"/>
                <w:color w:val="auto"/>
                <w:kern w:val="0"/>
              </w:rPr>
              <w:t>/</w:t>
            </w:r>
          </w:p>
        </w:tc>
        <w:tc>
          <w:tcPr>
            <w:tcW w:w="1241" w:type="pct"/>
            <w:vAlign w:val="center"/>
          </w:tcPr>
          <w:p w14:paraId="02CDB0B1">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C148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B745E5B">
            <w:pPr>
              <w:widowControl/>
              <w:jc w:val="center"/>
              <w:rPr>
                <w:rFonts w:ascii="宋体" w:hAnsi="宋体"/>
                <w:color w:val="auto"/>
              </w:rPr>
            </w:pPr>
          </w:p>
        </w:tc>
        <w:tc>
          <w:tcPr>
            <w:tcW w:w="854" w:type="pct"/>
            <w:vMerge w:val="continue"/>
            <w:vAlign w:val="center"/>
          </w:tcPr>
          <w:p w14:paraId="4DFB2C19">
            <w:pPr>
              <w:widowControl/>
              <w:jc w:val="center"/>
              <w:rPr>
                <w:rFonts w:ascii="宋体" w:hAnsi="宋体"/>
                <w:color w:val="auto"/>
              </w:rPr>
            </w:pPr>
          </w:p>
        </w:tc>
        <w:tc>
          <w:tcPr>
            <w:tcW w:w="607" w:type="pct"/>
            <w:vAlign w:val="center"/>
          </w:tcPr>
          <w:p w14:paraId="0DD15EBB">
            <w:pPr>
              <w:jc w:val="center"/>
              <w:rPr>
                <w:rFonts w:ascii="宋体" w:hAnsi="宋体"/>
                <w:color w:val="auto"/>
              </w:rPr>
            </w:pPr>
            <w:r>
              <w:rPr>
                <w:rFonts w:hint="eastAsia" w:ascii="宋体" w:hAnsi="宋体"/>
                <w:color w:val="auto"/>
              </w:rPr>
              <w:t>下风向3</w:t>
            </w:r>
          </w:p>
        </w:tc>
        <w:tc>
          <w:tcPr>
            <w:tcW w:w="1241" w:type="pct"/>
          </w:tcPr>
          <w:p w14:paraId="518CF60D">
            <w:pPr>
              <w:jc w:val="center"/>
              <w:rPr>
                <w:rFonts w:ascii="宋体" w:hAnsi="宋体"/>
                <w:color w:val="auto"/>
                <w:kern w:val="0"/>
              </w:rPr>
            </w:pPr>
            <w:r>
              <w:rPr>
                <w:rFonts w:hint="eastAsia" w:ascii="宋体" w:hAnsi="宋体"/>
                <w:color w:val="auto"/>
                <w:kern w:val="0"/>
              </w:rPr>
              <w:t>/</w:t>
            </w:r>
          </w:p>
        </w:tc>
        <w:tc>
          <w:tcPr>
            <w:tcW w:w="1241" w:type="pct"/>
            <w:vAlign w:val="center"/>
          </w:tcPr>
          <w:p w14:paraId="79BF854C">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bookmarkEnd w:id="409"/>
      <w:tr w14:paraId="70741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0" w:type="pct"/>
            <w:gridSpan w:val="2"/>
            <w:vAlign w:val="center"/>
          </w:tcPr>
          <w:p w14:paraId="7FB722AD">
            <w:pPr>
              <w:adjustRightInd w:val="0"/>
              <w:snapToGrid w:val="0"/>
              <w:jc w:val="center"/>
              <w:rPr>
                <w:rFonts w:ascii="宋体" w:hAnsi="宋体"/>
                <w:color w:val="auto"/>
              </w:rPr>
            </w:pPr>
            <w:r>
              <w:rPr>
                <w:rFonts w:ascii="宋体" w:hAnsi="宋体"/>
                <w:color w:val="auto"/>
              </w:rPr>
              <w:t>检测位置</w:t>
            </w:r>
          </w:p>
        </w:tc>
        <w:tc>
          <w:tcPr>
            <w:tcW w:w="3090" w:type="pct"/>
            <w:gridSpan w:val="3"/>
            <w:vAlign w:val="center"/>
          </w:tcPr>
          <w:p w14:paraId="50F777BD">
            <w:pPr>
              <w:adjustRightInd w:val="0"/>
              <w:snapToGrid w:val="0"/>
              <w:jc w:val="center"/>
              <w:rPr>
                <w:rFonts w:ascii="宋体" w:hAnsi="宋体"/>
                <w:color w:val="auto"/>
              </w:rPr>
            </w:pPr>
            <w:r>
              <w:rPr>
                <w:rFonts w:ascii="宋体" w:hAnsi="宋体"/>
                <w:color w:val="auto"/>
              </w:rPr>
              <w:t>5#</w:t>
            </w:r>
            <w:r>
              <w:rPr>
                <w:rFonts w:hint="eastAsia" w:ascii="宋体" w:hAnsi="宋体"/>
                <w:color w:val="auto"/>
              </w:rPr>
              <w:t>井场厂界</w:t>
            </w:r>
          </w:p>
        </w:tc>
      </w:tr>
      <w:tr w14:paraId="72FE1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2EB514E2">
            <w:pPr>
              <w:adjustRightInd w:val="0"/>
              <w:snapToGrid w:val="0"/>
              <w:jc w:val="center"/>
              <w:rPr>
                <w:rFonts w:ascii="宋体" w:hAnsi="宋体"/>
                <w:color w:val="auto"/>
              </w:rPr>
            </w:pPr>
            <w:r>
              <w:rPr>
                <w:rFonts w:ascii="宋体" w:hAnsi="宋体"/>
                <w:color w:val="auto"/>
              </w:rPr>
              <w:t>采样日期</w:t>
            </w:r>
          </w:p>
        </w:tc>
        <w:tc>
          <w:tcPr>
            <w:tcW w:w="854" w:type="pct"/>
            <w:vMerge w:val="restart"/>
            <w:vAlign w:val="center"/>
          </w:tcPr>
          <w:p w14:paraId="272EB0D3">
            <w:pPr>
              <w:adjustRightInd w:val="0"/>
              <w:snapToGrid w:val="0"/>
              <w:jc w:val="center"/>
              <w:rPr>
                <w:rFonts w:ascii="宋体" w:hAnsi="宋体"/>
                <w:color w:val="auto"/>
              </w:rPr>
            </w:pPr>
            <w:r>
              <w:rPr>
                <w:rFonts w:ascii="宋体" w:hAnsi="宋体"/>
                <w:color w:val="auto"/>
              </w:rPr>
              <w:t>采样时间</w:t>
            </w:r>
          </w:p>
        </w:tc>
        <w:tc>
          <w:tcPr>
            <w:tcW w:w="607" w:type="pct"/>
            <w:vMerge w:val="restart"/>
            <w:vAlign w:val="center"/>
          </w:tcPr>
          <w:p w14:paraId="3B0B6A28">
            <w:pPr>
              <w:adjustRightInd w:val="0"/>
              <w:snapToGrid w:val="0"/>
              <w:jc w:val="center"/>
              <w:rPr>
                <w:rFonts w:ascii="宋体" w:hAnsi="宋体"/>
                <w:color w:val="auto"/>
              </w:rPr>
            </w:pPr>
            <w:r>
              <w:rPr>
                <w:rFonts w:ascii="宋体" w:hAnsi="宋体"/>
                <w:color w:val="auto"/>
              </w:rPr>
              <w:t>具体点位</w:t>
            </w:r>
          </w:p>
        </w:tc>
        <w:tc>
          <w:tcPr>
            <w:tcW w:w="2483" w:type="pct"/>
            <w:gridSpan w:val="2"/>
            <w:vAlign w:val="center"/>
          </w:tcPr>
          <w:p w14:paraId="21C0CB90">
            <w:pPr>
              <w:jc w:val="center"/>
              <w:rPr>
                <w:rFonts w:ascii="宋体" w:hAnsi="宋体"/>
                <w:color w:val="auto"/>
              </w:rPr>
            </w:pPr>
            <w:r>
              <w:rPr>
                <w:rFonts w:ascii="宋体" w:hAnsi="宋体"/>
                <w:color w:val="auto"/>
              </w:rPr>
              <w:t>检测结果均值(mg/m</w:t>
            </w:r>
            <w:r>
              <w:rPr>
                <w:rFonts w:ascii="宋体" w:hAnsi="宋体"/>
                <w:color w:val="auto"/>
                <w:vertAlign w:val="superscript"/>
              </w:rPr>
              <w:t>3</w:t>
            </w:r>
            <w:r>
              <w:rPr>
                <w:rFonts w:ascii="宋体" w:hAnsi="宋体"/>
                <w:color w:val="auto"/>
              </w:rPr>
              <w:t>)</w:t>
            </w:r>
          </w:p>
        </w:tc>
      </w:tr>
      <w:tr w14:paraId="03DBA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C0A35B7">
            <w:pPr>
              <w:adjustRightInd w:val="0"/>
              <w:snapToGrid w:val="0"/>
              <w:jc w:val="center"/>
              <w:rPr>
                <w:rFonts w:ascii="宋体" w:hAnsi="宋体"/>
                <w:color w:val="auto"/>
              </w:rPr>
            </w:pPr>
          </w:p>
        </w:tc>
        <w:tc>
          <w:tcPr>
            <w:tcW w:w="854" w:type="pct"/>
            <w:vMerge w:val="continue"/>
            <w:vAlign w:val="center"/>
          </w:tcPr>
          <w:p w14:paraId="0213CFDF">
            <w:pPr>
              <w:adjustRightInd w:val="0"/>
              <w:snapToGrid w:val="0"/>
              <w:jc w:val="center"/>
              <w:rPr>
                <w:rFonts w:ascii="宋体" w:hAnsi="宋体"/>
                <w:color w:val="auto"/>
              </w:rPr>
            </w:pPr>
          </w:p>
        </w:tc>
        <w:tc>
          <w:tcPr>
            <w:tcW w:w="607" w:type="pct"/>
            <w:vMerge w:val="continue"/>
            <w:vAlign w:val="center"/>
          </w:tcPr>
          <w:p w14:paraId="620BE8CF">
            <w:pPr>
              <w:adjustRightInd w:val="0"/>
              <w:snapToGrid w:val="0"/>
              <w:jc w:val="center"/>
              <w:rPr>
                <w:rFonts w:ascii="宋体" w:hAnsi="宋体"/>
                <w:color w:val="auto"/>
              </w:rPr>
            </w:pPr>
          </w:p>
        </w:tc>
        <w:tc>
          <w:tcPr>
            <w:tcW w:w="1241" w:type="pct"/>
            <w:vAlign w:val="center"/>
          </w:tcPr>
          <w:p w14:paraId="2E022AE3">
            <w:pPr>
              <w:jc w:val="center"/>
              <w:rPr>
                <w:rFonts w:ascii="宋体" w:hAnsi="宋体"/>
                <w:color w:val="auto"/>
              </w:rPr>
            </w:pPr>
            <w:r>
              <w:rPr>
                <w:rFonts w:hint="eastAsia" w:ascii="宋体" w:hAnsi="宋体"/>
                <w:color w:val="auto"/>
              </w:rPr>
              <w:t>非甲烷总烃</w:t>
            </w:r>
          </w:p>
        </w:tc>
        <w:tc>
          <w:tcPr>
            <w:tcW w:w="1241" w:type="pct"/>
            <w:vAlign w:val="center"/>
          </w:tcPr>
          <w:p w14:paraId="5C0697CC">
            <w:pPr>
              <w:jc w:val="center"/>
              <w:rPr>
                <w:rFonts w:ascii="宋体" w:hAnsi="宋体"/>
                <w:color w:val="auto"/>
              </w:rPr>
            </w:pPr>
            <w:r>
              <w:rPr>
                <w:rFonts w:hint="eastAsia" w:ascii="宋体" w:hAnsi="宋体"/>
                <w:color w:val="auto"/>
              </w:rPr>
              <w:t>硫化氢</w:t>
            </w:r>
          </w:p>
        </w:tc>
      </w:tr>
      <w:tr w14:paraId="6B097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342D65C1">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6</w:t>
            </w:r>
            <w:r>
              <w:rPr>
                <w:rFonts w:hint="eastAsia" w:ascii="宋体" w:hAnsi="宋体"/>
                <w:color w:val="auto"/>
              </w:rPr>
              <w:t>日</w:t>
            </w:r>
          </w:p>
        </w:tc>
        <w:tc>
          <w:tcPr>
            <w:tcW w:w="854" w:type="pct"/>
            <w:vMerge w:val="restart"/>
            <w:vAlign w:val="center"/>
          </w:tcPr>
          <w:p w14:paraId="36582D61">
            <w:pPr>
              <w:jc w:val="center"/>
              <w:rPr>
                <w:rFonts w:ascii="宋体" w:hAnsi="宋体"/>
                <w:color w:val="auto"/>
              </w:rPr>
            </w:pPr>
            <w:r>
              <w:rPr>
                <w:rFonts w:hint="eastAsia" w:ascii="宋体" w:hAnsi="宋体"/>
                <w:color w:val="auto"/>
              </w:rPr>
              <w:t>第一次</w:t>
            </w:r>
          </w:p>
        </w:tc>
        <w:tc>
          <w:tcPr>
            <w:tcW w:w="607" w:type="pct"/>
            <w:vAlign w:val="center"/>
          </w:tcPr>
          <w:p w14:paraId="0832938B">
            <w:pPr>
              <w:jc w:val="center"/>
              <w:rPr>
                <w:rFonts w:ascii="宋体" w:hAnsi="宋体"/>
                <w:color w:val="auto"/>
              </w:rPr>
            </w:pPr>
            <w:r>
              <w:rPr>
                <w:rFonts w:hint="eastAsia" w:ascii="宋体" w:hAnsi="宋体"/>
                <w:color w:val="auto"/>
              </w:rPr>
              <w:t>上风向</w:t>
            </w:r>
          </w:p>
        </w:tc>
        <w:tc>
          <w:tcPr>
            <w:tcW w:w="1241" w:type="pct"/>
            <w:vAlign w:val="center"/>
          </w:tcPr>
          <w:p w14:paraId="42D1E211">
            <w:pPr>
              <w:widowControl/>
              <w:jc w:val="center"/>
              <w:rPr>
                <w:rFonts w:ascii="宋体" w:hAnsi="宋体"/>
                <w:color w:val="auto"/>
                <w:kern w:val="0"/>
              </w:rPr>
            </w:pPr>
            <w:r>
              <w:rPr>
                <w:rFonts w:ascii="宋体" w:hAnsi="宋体"/>
                <w:color w:val="auto"/>
                <w:szCs w:val="22"/>
              </w:rPr>
              <w:t>0.92</w:t>
            </w:r>
          </w:p>
        </w:tc>
        <w:tc>
          <w:tcPr>
            <w:tcW w:w="1241" w:type="pct"/>
            <w:vAlign w:val="center"/>
          </w:tcPr>
          <w:p w14:paraId="56BBE7A8">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6748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8DEEF5F">
            <w:pPr>
              <w:widowControl/>
              <w:jc w:val="center"/>
              <w:rPr>
                <w:rFonts w:ascii="宋体" w:hAnsi="宋体"/>
                <w:color w:val="auto"/>
              </w:rPr>
            </w:pPr>
          </w:p>
        </w:tc>
        <w:tc>
          <w:tcPr>
            <w:tcW w:w="854" w:type="pct"/>
            <w:vMerge w:val="continue"/>
            <w:vAlign w:val="center"/>
          </w:tcPr>
          <w:p w14:paraId="1F548A8D">
            <w:pPr>
              <w:widowControl/>
              <w:jc w:val="center"/>
              <w:rPr>
                <w:rFonts w:ascii="宋体" w:hAnsi="宋体"/>
                <w:color w:val="auto"/>
              </w:rPr>
            </w:pPr>
          </w:p>
        </w:tc>
        <w:tc>
          <w:tcPr>
            <w:tcW w:w="607" w:type="pct"/>
            <w:vAlign w:val="center"/>
          </w:tcPr>
          <w:p w14:paraId="300FA86D">
            <w:pPr>
              <w:jc w:val="center"/>
              <w:rPr>
                <w:rFonts w:ascii="宋体" w:hAnsi="宋体"/>
                <w:color w:val="auto"/>
              </w:rPr>
            </w:pPr>
            <w:r>
              <w:rPr>
                <w:rFonts w:hint="eastAsia" w:ascii="宋体" w:hAnsi="宋体"/>
                <w:color w:val="auto"/>
              </w:rPr>
              <w:t>下风向1</w:t>
            </w:r>
          </w:p>
        </w:tc>
        <w:tc>
          <w:tcPr>
            <w:tcW w:w="1241" w:type="pct"/>
            <w:vAlign w:val="center"/>
          </w:tcPr>
          <w:p w14:paraId="25079301">
            <w:pPr>
              <w:jc w:val="center"/>
              <w:rPr>
                <w:rFonts w:ascii="宋体" w:hAnsi="宋体"/>
                <w:color w:val="auto"/>
                <w:kern w:val="0"/>
              </w:rPr>
            </w:pPr>
            <w:r>
              <w:rPr>
                <w:rFonts w:ascii="宋体" w:hAnsi="宋体"/>
                <w:color w:val="auto"/>
                <w:szCs w:val="22"/>
              </w:rPr>
              <w:t>1.11</w:t>
            </w:r>
          </w:p>
        </w:tc>
        <w:tc>
          <w:tcPr>
            <w:tcW w:w="1241" w:type="pct"/>
            <w:vAlign w:val="center"/>
          </w:tcPr>
          <w:p w14:paraId="51E246A4">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72D5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A831B60">
            <w:pPr>
              <w:widowControl/>
              <w:jc w:val="center"/>
              <w:rPr>
                <w:rFonts w:ascii="宋体" w:hAnsi="宋体"/>
                <w:color w:val="auto"/>
              </w:rPr>
            </w:pPr>
          </w:p>
        </w:tc>
        <w:tc>
          <w:tcPr>
            <w:tcW w:w="854" w:type="pct"/>
            <w:vMerge w:val="continue"/>
            <w:vAlign w:val="center"/>
          </w:tcPr>
          <w:p w14:paraId="672FA978">
            <w:pPr>
              <w:widowControl/>
              <w:jc w:val="center"/>
              <w:rPr>
                <w:rFonts w:ascii="宋体" w:hAnsi="宋体"/>
                <w:color w:val="auto"/>
              </w:rPr>
            </w:pPr>
          </w:p>
        </w:tc>
        <w:tc>
          <w:tcPr>
            <w:tcW w:w="607" w:type="pct"/>
            <w:vAlign w:val="center"/>
          </w:tcPr>
          <w:p w14:paraId="792924E1">
            <w:pPr>
              <w:jc w:val="center"/>
              <w:rPr>
                <w:rFonts w:ascii="宋体" w:hAnsi="宋体"/>
                <w:color w:val="auto"/>
              </w:rPr>
            </w:pPr>
            <w:r>
              <w:rPr>
                <w:rFonts w:hint="eastAsia" w:ascii="宋体" w:hAnsi="宋体"/>
                <w:color w:val="auto"/>
              </w:rPr>
              <w:t>下风向2</w:t>
            </w:r>
          </w:p>
        </w:tc>
        <w:tc>
          <w:tcPr>
            <w:tcW w:w="1241" w:type="pct"/>
            <w:vAlign w:val="center"/>
          </w:tcPr>
          <w:p w14:paraId="3FF9625F">
            <w:pPr>
              <w:jc w:val="center"/>
              <w:rPr>
                <w:rFonts w:ascii="宋体" w:hAnsi="宋体"/>
                <w:color w:val="auto"/>
                <w:kern w:val="0"/>
              </w:rPr>
            </w:pPr>
            <w:r>
              <w:rPr>
                <w:rFonts w:ascii="宋体" w:hAnsi="宋体"/>
                <w:color w:val="auto"/>
                <w:szCs w:val="22"/>
              </w:rPr>
              <w:t>1.11</w:t>
            </w:r>
          </w:p>
        </w:tc>
        <w:tc>
          <w:tcPr>
            <w:tcW w:w="1241" w:type="pct"/>
            <w:vAlign w:val="center"/>
          </w:tcPr>
          <w:p w14:paraId="743394E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C8CD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187DF7C">
            <w:pPr>
              <w:widowControl/>
              <w:jc w:val="center"/>
              <w:rPr>
                <w:rFonts w:ascii="宋体" w:hAnsi="宋体"/>
                <w:color w:val="auto"/>
              </w:rPr>
            </w:pPr>
          </w:p>
        </w:tc>
        <w:tc>
          <w:tcPr>
            <w:tcW w:w="854" w:type="pct"/>
            <w:vMerge w:val="continue"/>
            <w:vAlign w:val="center"/>
          </w:tcPr>
          <w:p w14:paraId="0E888EAE">
            <w:pPr>
              <w:widowControl/>
              <w:jc w:val="center"/>
              <w:rPr>
                <w:rFonts w:ascii="宋体" w:hAnsi="宋体"/>
                <w:color w:val="auto"/>
              </w:rPr>
            </w:pPr>
          </w:p>
        </w:tc>
        <w:tc>
          <w:tcPr>
            <w:tcW w:w="607" w:type="pct"/>
            <w:vAlign w:val="center"/>
          </w:tcPr>
          <w:p w14:paraId="504FE25D">
            <w:pPr>
              <w:jc w:val="center"/>
              <w:rPr>
                <w:rFonts w:ascii="宋体" w:hAnsi="宋体"/>
                <w:color w:val="auto"/>
              </w:rPr>
            </w:pPr>
            <w:r>
              <w:rPr>
                <w:rFonts w:hint="eastAsia" w:ascii="宋体" w:hAnsi="宋体"/>
                <w:color w:val="auto"/>
              </w:rPr>
              <w:t>下风向3</w:t>
            </w:r>
          </w:p>
        </w:tc>
        <w:tc>
          <w:tcPr>
            <w:tcW w:w="1241" w:type="pct"/>
            <w:vAlign w:val="center"/>
          </w:tcPr>
          <w:p w14:paraId="2715FB72">
            <w:pPr>
              <w:jc w:val="center"/>
              <w:rPr>
                <w:rFonts w:ascii="宋体" w:hAnsi="宋体"/>
                <w:color w:val="auto"/>
                <w:kern w:val="0"/>
              </w:rPr>
            </w:pPr>
            <w:r>
              <w:rPr>
                <w:rFonts w:ascii="宋体" w:hAnsi="宋体"/>
                <w:color w:val="auto"/>
                <w:szCs w:val="22"/>
              </w:rPr>
              <w:t>1.20</w:t>
            </w:r>
          </w:p>
        </w:tc>
        <w:tc>
          <w:tcPr>
            <w:tcW w:w="1241" w:type="pct"/>
            <w:vAlign w:val="center"/>
          </w:tcPr>
          <w:p w14:paraId="7CB8C46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B166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68D8B7A">
            <w:pPr>
              <w:widowControl/>
              <w:jc w:val="center"/>
              <w:rPr>
                <w:rFonts w:ascii="宋体" w:hAnsi="宋体"/>
                <w:color w:val="auto"/>
              </w:rPr>
            </w:pPr>
          </w:p>
        </w:tc>
        <w:tc>
          <w:tcPr>
            <w:tcW w:w="854" w:type="pct"/>
            <w:vMerge w:val="restart"/>
            <w:vAlign w:val="center"/>
          </w:tcPr>
          <w:p w14:paraId="01D9D867">
            <w:pPr>
              <w:jc w:val="center"/>
              <w:rPr>
                <w:rFonts w:ascii="宋体" w:hAnsi="宋体"/>
                <w:color w:val="auto"/>
              </w:rPr>
            </w:pPr>
            <w:r>
              <w:rPr>
                <w:rFonts w:hint="eastAsia" w:ascii="宋体" w:hAnsi="宋体"/>
                <w:color w:val="auto"/>
              </w:rPr>
              <w:t>第二次</w:t>
            </w:r>
          </w:p>
        </w:tc>
        <w:tc>
          <w:tcPr>
            <w:tcW w:w="607" w:type="pct"/>
            <w:vAlign w:val="center"/>
          </w:tcPr>
          <w:p w14:paraId="11915E27">
            <w:pPr>
              <w:jc w:val="center"/>
              <w:rPr>
                <w:rFonts w:ascii="宋体" w:hAnsi="宋体"/>
                <w:color w:val="auto"/>
              </w:rPr>
            </w:pPr>
            <w:r>
              <w:rPr>
                <w:rFonts w:hint="eastAsia" w:ascii="宋体" w:hAnsi="宋体"/>
                <w:color w:val="auto"/>
              </w:rPr>
              <w:t>上风向</w:t>
            </w:r>
          </w:p>
        </w:tc>
        <w:tc>
          <w:tcPr>
            <w:tcW w:w="1241" w:type="pct"/>
            <w:vAlign w:val="center"/>
          </w:tcPr>
          <w:p w14:paraId="164F89B0">
            <w:pPr>
              <w:widowControl/>
              <w:jc w:val="center"/>
              <w:rPr>
                <w:rFonts w:ascii="宋体" w:hAnsi="宋体"/>
                <w:color w:val="auto"/>
                <w:kern w:val="0"/>
              </w:rPr>
            </w:pPr>
            <w:r>
              <w:rPr>
                <w:rFonts w:ascii="宋体" w:hAnsi="宋体"/>
                <w:color w:val="auto"/>
                <w:szCs w:val="22"/>
              </w:rPr>
              <w:t>0.96</w:t>
            </w:r>
          </w:p>
        </w:tc>
        <w:tc>
          <w:tcPr>
            <w:tcW w:w="1241" w:type="pct"/>
            <w:vAlign w:val="center"/>
          </w:tcPr>
          <w:p w14:paraId="115AFA48">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25BE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7F4DAAE">
            <w:pPr>
              <w:widowControl/>
              <w:jc w:val="center"/>
              <w:rPr>
                <w:rFonts w:ascii="宋体" w:hAnsi="宋体"/>
                <w:color w:val="auto"/>
              </w:rPr>
            </w:pPr>
          </w:p>
        </w:tc>
        <w:tc>
          <w:tcPr>
            <w:tcW w:w="854" w:type="pct"/>
            <w:vMerge w:val="continue"/>
            <w:vAlign w:val="center"/>
          </w:tcPr>
          <w:p w14:paraId="671B729E">
            <w:pPr>
              <w:widowControl/>
              <w:jc w:val="center"/>
              <w:rPr>
                <w:rFonts w:ascii="宋体" w:hAnsi="宋体"/>
                <w:color w:val="auto"/>
              </w:rPr>
            </w:pPr>
          </w:p>
        </w:tc>
        <w:tc>
          <w:tcPr>
            <w:tcW w:w="607" w:type="pct"/>
            <w:vAlign w:val="center"/>
          </w:tcPr>
          <w:p w14:paraId="6828F57F">
            <w:pPr>
              <w:jc w:val="center"/>
              <w:rPr>
                <w:rFonts w:ascii="宋体" w:hAnsi="宋体"/>
                <w:color w:val="auto"/>
              </w:rPr>
            </w:pPr>
            <w:r>
              <w:rPr>
                <w:rFonts w:hint="eastAsia" w:ascii="宋体" w:hAnsi="宋体"/>
                <w:color w:val="auto"/>
              </w:rPr>
              <w:t>下风向1</w:t>
            </w:r>
          </w:p>
        </w:tc>
        <w:tc>
          <w:tcPr>
            <w:tcW w:w="1241" w:type="pct"/>
            <w:vAlign w:val="center"/>
          </w:tcPr>
          <w:p w14:paraId="31186530">
            <w:pPr>
              <w:jc w:val="center"/>
              <w:rPr>
                <w:rFonts w:ascii="宋体" w:hAnsi="宋体"/>
                <w:color w:val="auto"/>
                <w:kern w:val="0"/>
              </w:rPr>
            </w:pPr>
            <w:r>
              <w:rPr>
                <w:rFonts w:ascii="宋体" w:hAnsi="宋体"/>
                <w:color w:val="auto"/>
                <w:szCs w:val="22"/>
              </w:rPr>
              <w:t>1.08</w:t>
            </w:r>
          </w:p>
        </w:tc>
        <w:tc>
          <w:tcPr>
            <w:tcW w:w="1241" w:type="pct"/>
            <w:vAlign w:val="center"/>
          </w:tcPr>
          <w:p w14:paraId="09656A7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338E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6513842">
            <w:pPr>
              <w:widowControl/>
              <w:jc w:val="center"/>
              <w:rPr>
                <w:rFonts w:ascii="宋体" w:hAnsi="宋体"/>
                <w:color w:val="auto"/>
              </w:rPr>
            </w:pPr>
          </w:p>
        </w:tc>
        <w:tc>
          <w:tcPr>
            <w:tcW w:w="854" w:type="pct"/>
            <w:vMerge w:val="continue"/>
            <w:vAlign w:val="center"/>
          </w:tcPr>
          <w:p w14:paraId="312983AA">
            <w:pPr>
              <w:widowControl/>
              <w:jc w:val="center"/>
              <w:rPr>
                <w:rFonts w:ascii="宋体" w:hAnsi="宋体"/>
                <w:color w:val="auto"/>
              </w:rPr>
            </w:pPr>
          </w:p>
        </w:tc>
        <w:tc>
          <w:tcPr>
            <w:tcW w:w="607" w:type="pct"/>
            <w:vAlign w:val="center"/>
          </w:tcPr>
          <w:p w14:paraId="0A8759A9">
            <w:pPr>
              <w:jc w:val="center"/>
              <w:rPr>
                <w:rFonts w:ascii="宋体" w:hAnsi="宋体"/>
                <w:color w:val="auto"/>
              </w:rPr>
            </w:pPr>
            <w:r>
              <w:rPr>
                <w:rFonts w:hint="eastAsia" w:ascii="宋体" w:hAnsi="宋体"/>
                <w:color w:val="auto"/>
              </w:rPr>
              <w:t>下风向2</w:t>
            </w:r>
          </w:p>
        </w:tc>
        <w:tc>
          <w:tcPr>
            <w:tcW w:w="1241" w:type="pct"/>
            <w:vAlign w:val="center"/>
          </w:tcPr>
          <w:p w14:paraId="0EDE32C4">
            <w:pPr>
              <w:jc w:val="center"/>
              <w:rPr>
                <w:rFonts w:ascii="宋体" w:hAnsi="宋体"/>
                <w:color w:val="auto"/>
                <w:kern w:val="0"/>
              </w:rPr>
            </w:pPr>
            <w:r>
              <w:rPr>
                <w:rFonts w:ascii="宋体" w:hAnsi="宋体"/>
                <w:color w:val="auto"/>
                <w:szCs w:val="22"/>
              </w:rPr>
              <w:t>1.14</w:t>
            </w:r>
          </w:p>
        </w:tc>
        <w:tc>
          <w:tcPr>
            <w:tcW w:w="1241" w:type="pct"/>
            <w:vAlign w:val="center"/>
          </w:tcPr>
          <w:p w14:paraId="43D4B40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667B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D748BB5">
            <w:pPr>
              <w:widowControl/>
              <w:jc w:val="center"/>
              <w:rPr>
                <w:rFonts w:ascii="宋体" w:hAnsi="宋体"/>
                <w:color w:val="auto"/>
              </w:rPr>
            </w:pPr>
          </w:p>
        </w:tc>
        <w:tc>
          <w:tcPr>
            <w:tcW w:w="854" w:type="pct"/>
            <w:vMerge w:val="continue"/>
            <w:vAlign w:val="center"/>
          </w:tcPr>
          <w:p w14:paraId="5EC191DC">
            <w:pPr>
              <w:widowControl/>
              <w:jc w:val="center"/>
              <w:rPr>
                <w:rFonts w:ascii="宋体" w:hAnsi="宋体"/>
                <w:color w:val="auto"/>
              </w:rPr>
            </w:pPr>
          </w:p>
        </w:tc>
        <w:tc>
          <w:tcPr>
            <w:tcW w:w="607" w:type="pct"/>
            <w:vAlign w:val="center"/>
          </w:tcPr>
          <w:p w14:paraId="5E27B152">
            <w:pPr>
              <w:jc w:val="center"/>
              <w:rPr>
                <w:rFonts w:ascii="宋体" w:hAnsi="宋体"/>
                <w:color w:val="auto"/>
              </w:rPr>
            </w:pPr>
            <w:r>
              <w:rPr>
                <w:rFonts w:hint="eastAsia" w:ascii="宋体" w:hAnsi="宋体"/>
                <w:color w:val="auto"/>
              </w:rPr>
              <w:t>下风向3</w:t>
            </w:r>
          </w:p>
        </w:tc>
        <w:tc>
          <w:tcPr>
            <w:tcW w:w="1241" w:type="pct"/>
            <w:vAlign w:val="center"/>
          </w:tcPr>
          <w:p w14:paraId="27AEDAD5">
            <w:pPr>
              <w:jc w:val="center"/>
              <w:rPr>
                <w:rFonts w:ascii="宋体" w:hAnsi="宋体"/>
                <w:color w:val="auto"/>
                <w:kern w:val="0"/>
              </w:rPr>
            </w:pPr>
            <w:r>
              <w:rPr>
                <w:rFonts w:ascii="宋体" w:hAnsi="宋体"/>
                <w:color w:val="auto"/>
                <w:szCs w:val="22"/>
              </w:rPr>
              <w:t>1.17</w:t>
            </w:r>
          </w:p>
        </w:tc>
        <w:tc>
          <w:tcPr>
            <w:tcW w:w="1241" w:type="pct"/>
            <w:vAlign w:val="center"/>
          </w:tcPr>
          <w:p w14:paraId="160E8B9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20F2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C2D4485">
            <w:pPr>
              <w:widowControl/>
              <w:jc w:val="center"/>
              <w:rPr>
                <w:rFonts w:ascii="宋体" w:hAnsi="宋体"/>
                <w:color w:val="auto"/>
              </w:rPr>
            </w:pPr>
          </w:p>
        </w:tc>
        <w:tc>
          <w:tcPr>
            <w:tcW w:w="854" w:type="pct"/>
            <w:vMerge w:val="restart"/>
            <w:vAlign w:val="center"/>
          </w:tcPr>
          <w:p w14:paraId="41453E55">
            <w:pPr>
              <w:jc w:val="center"/>
              <w:rPr>
                <w:rFonts w:ascii="宋体" w:hAnsi="宋体"/>
                <w:color w:val="auto"/>
              </w:rPr>
            </w:pPr>
            <w:r>
              <w:rPr>
                <w:rFonts w:hint="eastAsia" w:ascii="宋体" w:hAnsi="宋体"/>
                <w:color w:val="auto"/>
              </w:rPr>
              <w:t>第三次</w:t>
            </w:r>
          </w:p>
        </w:tc>
        <w:tc>
          <w:tcPr>
            <w:tcW w:w="607" w:type="pct"/>
            <w:vAlign w:val="center"/>
          </w:tcPr>
          <w:p w14:paraId="03A13EAB">
            <w:pPr>
              <w:jc w:val="center"/>
              <w:rPr>
                <w:rFonts w:ascii="宋体" w:hAnsi="宋体"/>
                <w:color w:val="auto"/>
              </w:rPr>
            </w:pPr>
            <w:r>
              <w:rPr>
                <w:rFonts w:hint="eastAsia" w:ascii="宋体" w:hAnsi="宋体"/>
                <w:color w:val="auto"/>
              </w:rPr>
              <w:t>上风向</w:t>
            </w:r>
          </w:p>
        </w:tc>
        <w:tc>
          <w:tcPr>
            <w:tcW w:w="1241" w:type="pct"/>
            <w:vAlign w:val="center"/>
          </w:tcPr>
          <w:p w14:paraId="73125700">
            <w:pPr>
              <w:widowControl/>
              <w:jc w:val="center"/>
              <w:rPr>
                <w:rFonts w:ascii="宋体" w:hAnsi="宋体"/>
                <w:color w:val="auto"/>
                <w:kern w:val="0"/>
              </w:rPr>
            </w:pPr>
            <w:r>
              <w:rPr>
                <w:rFonts w:ascii="宋体" w:hAnsi="宋体"/>
                <w:color w:val="auto"/>
                <w:szCs w:val="22"/>
              </w:rPr>
              <w:t>0.95</w:t>
            </w:r>
          </w:p>
        </w:tc>
        <w:tc>
          <w:tcPr>
            <w:tcW w:w="1241" w:type="pct"/>
            <w:vAlign w:val="center"/>
          </w:tcPr>
          <w:p w14:paraId="1E3FAC29">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790E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46AD635">
            <w:pPr>
              <w:widowControl/>
              <w:jc w:val="center"/>
              <w:rPr>
                <w:rFonts w:ascii="宋体" w:hAnsi="宋体"/>
                <w:color w:val="auto"/>
              </w:rPr>
            </w:pPr>
          </w:p>
        </w:tc>
        <w:tc>
          <w:tcPr>
            <w:tcW w:w="854" w:type="pct"/>
            <w:vMerge w:val="continue"/>
            <w:vAlign w:val="center"/>
          </w:tcPr>
          <w:p w14:paraId="739C03A7">
            <w:pPr>
              <w:widowControl/>
              <w:jc w:val="center"/>
              <w:rPr>
                <w:rFonts w:ascii="宋体" w:hAnsi="宋体"/>
                <w:color w:val="auto"/>
              </w:rPr>
            </w:pPr>
          </w:p>
        </w:tc>
        <w:tc>
          <w:tcPr>
            <w:tcW w:w="607" w:type="pct"/>
            <w:vAlign w:val="center"/>
          </w:tcPr>
          <w:p w14:paraId="715F8BBF">
            <w:pPr>
              <w:jc w:val="center"/>
              <w:rPr>
                <w:rFonts w:ascii="宋体" w:hAnsi="宋体"/>
                <w:color w:val="auto"/>
              </w:rPr>
            </w:pPr>
            <w:r>
              <w:rPr>
                <w:rFonts w:hint="eastAsia" w:ascii="宋体" w:hAnsi="宋体"/>
                <w:color w:val="auto"/>
              </w:rPr>
              <w:t>下风向1</w:t>
            </w:r>
          </w:p>
        </w:tc>
        <w:tc>
          <w:tcPr>
            <w:tcW w:w="1241" w:type="pct"/>
            <w:vAlign w:val="center"/>
          </w:tcPr>
          <w:p w14:paraId="0513231D">
            <w:pPr>
              <w:jc w:val="center"/>
              <w:rPr>
                <w:rFonts w:ascii="宋体" w:hAnsi="宋体"/>
                <w:color w:val="auto"/>
                <w:kern w:val="0"/>
              </w:rPr>
            </w:pPr>
            <w:r>
              <w:rPr>
                <w:rFonts w:ascii="宋体" w:hAnsi="宋体"/>
                <w:color w:val="auto"/>
                <w:szCs w:val="22"/>
              </w:rPr>
              <w:t>1.12</w:t>
            </w:r>
          </w:p>
        </w:tc>
        <w:tc>
          <w:tcPr>
            <w:tcW w:w="1241" w:type="pct"/>
            <w:vAlign w:val="center"/>
          </w:tcPr>
          <w:p w14:paraId="7889943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7A80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008EE99">
            <w:pPr>
              <w:widowControl/>
              <w:jc w:val="center"/>
              <w:rPr>
                <w:rFonts w:ascii="宋体" w:hAnsi="宋体"/>
                <w:color w:val="auto"/>
              </w:rPr>
            </w:pPr>
          </w:p>
        </w:tc>
        <w:tc>
          <w:tcPr>
            <w:tcW w:w="854" w:type="pct"/>
            <w:vMerge w:val="continue"/>
            <w:vAlign w:val="center"/>
          </w:tcPr>
          <w:p w14:paraId="2A92CC25">
            <w:pPr>
              <w:widowControl/>
              <w:jc w:val="center"/>
              <w:rPr>
                <w:rFonts w:ascii="宋体" w:hAnsi="宋体"/>
                <w:color w:val="auto"/>
              </w:rPr>
            </w:pPr>
          </w:p>
        </w:tc>
        <w:tc>
          <w:tcPr>
            <w:tcW w:w="607" w:type="pct"/>
            <w:vAlign w:val="center"/>
          </w:tcPr>
          <w:p w14:paraId="33408897">
            <w:pPr>
              <w:jc w:val="center"/>
              <w:rPr>
                <w:rFonts w:ascii="宋体" w:hAnsi="宋体"/>
                <w:color w:val="auto"/>
              </w:rPr>
            </w:pPr>
            <w:r>
              <w:rPr>
                <w:rFonts w:hint="eastAsia" w:ascii="宋体" w:hAnsi="宋体"/>
                <w:color w:val="auto"/>
              </w:rPr>
              <w:t>下风向2</w:t>
            </w:r>
          </w:p>
        </w:tc>
        <w:tc>
          <w:tcPr>
            <w:tcW w:w="1241" w:type="pct"/>
            <w:vAlign w:val="center"/>
          </w:tcPr>
          <w:p w14:paraId="31C1F68B">
            <w:pPr>
              <w:jc w:val="center"/>
              <w:rPr>
                <w:rFonts w:ascii="宋体" w:hAnsi="宋体"/>
                <w:color w:val="auto"/>
                <w:kern w:val="0"/>
              </w:rPr>
            </w:pPr>
            <w:r>
              <w:rPr>
                <w:rFonts w:ascii="宋体" w:hAnsi="宋体"/>
                <w:color w:val="auto"/>
                <w:szCs w:val="22"/>
              </w:rPr>
              <w:t>1.13</w:t>
            </w:r>
          </w:p>
        </w:tc>
        <w:tc>
          <w:tcPr>
            <w:tcW w:w="1241" w:type="pct"/>
            <w:vAlign w:val="center"/>
          </w:tcPr>
          <w:p w14:paraId="7ABCDEDA">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D729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2001998">
            <w:pPr>
              <w:widowControl/>
              <w:jc w:val="center"/>
              <w:rPr>
                <w:rFonts w:ascii="宋体" w:hAnsi="宋体"/>
                <w:color w:val="auto"/>
              </w:rPr>
            </w:pPr>
          </w:p>
        </w:tc>
        <w:tc>
          <w:tcPr>
            <w:tcW w:w="854" w:type="pct"/>
            <w:vMerge w:val="continue"/>
            <w:vAlign w:val="center"/>
          </w:tcPr>
          <w:p w14:paraId="4290BE3F">
            <w:pPr>
              <w:widowControl/>
              <w:jc w:val="center"/>
              <w:rPr>
                <w:rFonts w:ascii="宋体" w:hAnsi="宋体"/>
                <w:color w:val="auto"/>
              </w:rPr>
            </w:pPr>
          </w:p>
        </w:tc>
        <w:tc>
          <w:tcPr>
            <w:tcW w:w="607" w:type="pct"/>
            <w:vAlign w:val="center"/>
          </w:tcPr>
          <w:p w14:paraId="0CE5544F">
            <w:pPr>
              <w:jc w:val="center"/>
              <w:rPr>
                <w:rFonts w:ascii="宋体" w:hAnsi="宋体"/>
                <w:color w:val="auto"/>
              </w:rPr>
            </w:pPr>
            <w:r>
              <w:rPr>
                <w:rFonts w:hint="eastAsia" w:ascii="宋体" w:hAnsi="宋体"/>
                <w:color w:val="auto"/>
              </w:rPr>
              <w:t>下风向3</w:t>
            </w:r>
          </w:p>
        </w:tc>
        <w:tc>
          <w:tcPr>
            <w:tcW w:w="1241" w:type="pct"/>
            <w:vAlign w:val="center"/>
          </w:tcPr>
          <w:p w14:paraId="57C07381">
            <w:pPr>
              <w:jc w:val="center"/>
              <w:rPr>
                <w:rFonts w:ascii="宋体" w:hAnsi="宋体"/>
                <w:color w:val="auto"/>
                <w:kern w:val="0"/>
              </w:rPr>
            </w:pPr>
            <w:r>
              <w:rPr>
                <w:rFonts w:ascii="宋体" w:hAnsi="宋体"/>
                <w:color w:val="auto"/>
                <w:szCs w:val="22"/>
              </w:rPr>
              <w:t>1.18</w:t>
            </w:r>
          </w:p>
        </w:tc>
        <w:tc>
          <w:tcPr>
            <w:tcW w:w="1241" w:type="pct"/>
            <w:vAlign w:val="center"/>
          </w:tcPr>
          <w:p w14:paraId="661629EA">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78D8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4012593">
            <w:pPr>
              <w:widowControl/>
              <w:jc w:val="center"/>
              <w:rPr>
                <w:rFonts w:ascii="宋体" w:hAnsi="宋体"/>
                <w:color w:val="auto"/>
              </w:rPr>
            </w:pPr>
          </w:p>
        </w:tc>
        <w:tc>
          <w:tcPr>
            <w:tcW w:w="854" w:type="pct"/>
            <w:vMerge w:val="restart"/>
            <w:vAlign w:val="center"/>
          </w:tcPr>
          <w:p w14:paraId="015050B1">
            <w:pPr>
              <w:widowControl/>
              <w:jc w:val="center"/>
              <w:rPr>
                <w:rFonts w:ascii="宋体" w:hAnsi="宋体"/>
                <w:color w:val="auto"/>
              </w:rPr>
            </w:pPr>
            <w:r>
              <w:rPr>
                <w:rFonts w:hint="eastAsia" w:ascii="宋体" w:hAnsi="宋体"/>
                <w:color w:val="auto"/>
              </w:rPr>
              <w:t>第四次</w:t>
            </w:r>
          </w:p>
        </w:tc>
        <w:tc>
          <w:tcPr>
            <w:tcW w:w="607" w:type="pct"/>
            <w:vAlign w:val="center"/>
          </w:tcPr>
          <w:p w14:paraId="1BDF83BA">
            <w:pPr>
              <w:jc w:val="center"/>
              <w:rPr>
                <w:rFonts w:ascii="宋体" w:hAnsi="宋体"/>
                <w:color w:val="auto"/>
              </w:rPr>
            </w:pPr>
            <w:r>
              <w:rPr>
                <w:rFonts w:hint="eastAsia" w:ascii="宋体" w:hAnsi="宋体"/>
                <w:color w:val="auto"/>
              </w:rPr>
              <w:t>上风向</w:t>
            </w:r>
          </w:p>
        </w:tc>
        <w:tc>
          <w:tcPr>
            <w:tcW w:w="1241" w:type="pct"/>
            <w:vAlign w:val="center"/>
          </w:tcPr>
          <w:p w14:paraId="77760408">
            <w:pPr>
              <w:jc w:val="center"/>
              <w:rPr>
                <w:rFonts w:ascii="宋体" w:hAnsi="宋体"/>
                <w:color w:val="auto"/>
                <w:szCs w:val="22"/>
              </w:rPr>
            </w:pPr>
            <w:bookmarkStart w:id="412" w:name="OLE_LINK118"/>
            <w:bookmarkStart w:id="413" w:name="OLE_LINK95"/>
            <w:r>
              <w:rPr>
                <w:rFonts w:hint="eastAsia" w:ascii="宋体" w:hAnsi="宋体"/>
                <w:color w:val="auto"/>
                <w:szCs w:val="22"/>
              </w:rPr>
              <w:t>/</w:t>
            </w:r>
            <w:bookmarkEnd w:id="412"/>
            <w:bookmarkEnd w:id="413"/>
          </w:p>
        </w:tc>
        <w:tc>
          <w:tcPr>
            <w:tcW w:w="1241" w:type="pct"/>
            <w:vAlign w:val="center"/>
          </w:tcPr>
          <w:p w14:paraId="36F29F76">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9F53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057" w:type="pct"/>
            <w:vMerge w:val="continue"/>
            <w:vAlign w:val="center"/>
          </w:tcPr>
          <w:p w14:paraId="0040E1A5">
            <w:pPr>
              <w:widowControl/>
              <w:jc w:val="center"/>
              <w:rPr>
                <w:rFonts w:ascii="宋体" w:hAnsi="宋体"/>
                <w:color w:val="auto"/>
              </w:rPr>
            </w:pPr>
          </w:p>
        </w:tc>
        <w:tc>
          <w:tcPr>
            <w:tcW w:w="854" w:type="pct"/>
            <w:vMerge w:val="continue"/>
            <w:vAlign w:val="center"/>
          </w:tcPr>
          <w:p w14:paraId="5F858055">
            <w:pPr>
              <w:widowControl/>
              <w:jc w:val="center"/>
              <w:rPr>
                <w:rFonts w:ascii="宋体" w:hAnsi="宋体"/>
                <w:color w:val="auto"/>
              </w:rPr>
            </w:pPr>
          </w:p>
        </w:tc>
        <w:tc>
          <w:tcPr>
            <w:tcW w:w="607" w:type="pct"/>
            <w:vAlign w:val="center"/>
          </w:tcPr>
          <w:p w14:paraId="544A083B">
            <w:pPr>
              <w:jc w:val="center"/>
              <w:rPr>
                <w:rFonts w:ascii="宋体" w:hAnsi="宋体"/>
                <w:color w:val="auto"/>
              </w:rPr>
            </w:pPr>
            <w:r>
              <w:rPr>
                <w:rFonts w:hint="eastAsia" w:ascii="宋体" w:hAnsi="宋体"/>
                <w:color w:val="auto"/>
              </w:rPr>
              <w:t>下风向1</w:t>
            </w:r>
          </w:p>
        </w:tc>
        <w:tc>
          <w:tcPr>
            <w:tcW w:w="1241" w:type="pct"/>
          </w:tcPr>
          <w:p w14:paraId="502080DD">
            <w:pPr>
              <w:jc w:val="center"/>
              <w:rPr>
                <w:rFonts w:ascii="宋体" w:hAnsi="宋体"/>
                <w:color w:val="auto"/>
                <w:szCs w:val="22"/>
              </w:rPr>
            </w:pPr>
            <w:r>
              <w:rPr>
                <w:rFonts w:hint="eastAsia" w:ascii="宋体" w:hAnsi="宋体"/>
                <w:color w:val="auto"/>
                <w:szCs w:val="22"/>
              </w:rPr>
              <w:t>/</w:t>
            </w:r>
          </w:p>
        </w:tc>
        <w:tc>
          <w:tcPr>
            <w:tcW w:w="1241" w:type="pct"/>
            <w:vAlign w:val="center"/>
          </w:tcPr>
          <w:p w14:paraId="2DF25DB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66BD7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F2AC557">
            <w:pPr>
              <w:widowControl/>
              <w:jc w:val="center"/>
              <w:rPr>
                <w:rFonts w:ascii="宋体" w:hAnsi="宋体"/>
                <w:color w:val="auto"/>
              </w:rPr>
            </w:pPr>
          </w:p>
        </w:tc>
        <w:tc>
          <w:tcPr>
            <w:tcW w:w="854" w:type="pct"/>
            <w:vMerge w:val="continue"/>
            <w:vAlign w:val="center"/>
          </w:tcPr>
          <w:p w14:paraId="239B1715">
            <w:pPr>
              <w:widowControl/>
              <w:jc w:val="center"/>
              <w:rPr>
                <w:rFonts w:ascii="宋体" w:hAnsi="宋体"/>
                <w:color w:val="auto"/>
              </w:rPr>
            </w:pPr>
          </w:p>
        </w:tc>
        <w:tc>
          <w:tcPr>
            <w:tcW w:w="607" w:type="pct"/>
            <w:vAlign w:val="center"/>
          </w:tcPr>
          <w:p w14:paraId="468D6826">
            <w:pPr>
              <w:jc w:val="center"/>
              <w:rPr>
                <w:rFonts w:ascii="宋体" w:hAnsi="宋体"/>
                <w:color w:val="auto"/>
              </w:rPr>
            </w:pPr>
            <w:r>
              <w:rPr>
                <w:rFonts w:hint="eastAsia" w:ascii="宋体" w:hAnsi="宋体"/>
                <w:color w:val="auto"/>
              </w:rPr>
              <w:t>下风向2</w:t>
            </w:r>
          </w:p>
        </w:tc>
        <w:tc>
          <w:tcPr>
            <w:tcW w:w="1241" w:type="pct"/>
          </w:tcPr>
          <w:p w14:paraId="2C8562F5">
            <w:pPr>
              <w:jc w:val="center"/>
              <w:rPr>
                <w:rFonts w:ascii="宋体" w:hAnsi="宋体"/>
                <w:color w:val="auto"/>
                <w:szCs w:val="22"/>
              </w:rPr>
            </w:pPr>
            <w:r>
              <w:rPr>
                <w:rFonts w:hint="eastAsia" w:ascii="宋体" w:hAnsi="宋体"/>
                <w:color w:val="auto"/>
                <w:szCs w:val="22"/>
              </w:rPr>
              <w:t>/</w:t>
            </w:r>
          </w:p>
        </w:tc>
        <w:tc>
          <w:tcPr>
            <w:tcW w:w="1241" w:type="pct"/>
            <w:vAlign w:val="center"/>
          </w:tcPr>
          <w:p w14:paraId="583C343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64E2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D003585">
            <w:pPr>
              <w:widowControl/>
              <w:jc w:val="center"/>
              <w:rPr>
                <w:rFonts w:ascii="宋体" w:hAnsi="宋体"/>
                <w:color w:val="auto"/>
              </w:rPr>
            </w:pPr>
          </w:p>
        </w:tc>
        <w:tc>
          <w:tcPr>
            <w:tcW w:w="854" w:type="pct"/>
            <w:vMerge w:val="continue"/>
            <w:vAlign w:val="center"/>
          </w:tcPr>
          <w:p w14:paraId="6BB23226">
            <w:pPr>
              <w:widowControl/>
              <w:jc w:val="center"/>
              <w:rPr>
                <w:rFonts w:ascii="宋体" w:hAnsi="宋体"/>
                <w:color w:val="auto"/>
              </w:rPr>
            </w:pPr>
          </w:p>
        </w:tc>
        <w:tc>
          <w:tcPr>
            <w:tcW w:w="607" w:type="pct"/>
            <w:vAlign w:val="center"/>
          </w:tcPr>
          <w:p w14:paraId="5D235E8B">
            <w:pPr>
              <w:jc w:val="center"/>
              <w:rPr>
                <w:rFonts w:ascii="宋体" w:hAnsi="宋体"/>
                <w:color w:val="auto"/>
              </w:rPr>
            </w:pPr>
            <w:r>
              <w:rPr>
                <w:rFonts w:hint="eastAsia" w:ascii="宋体" w:hAnsi="宋体"/>
                <w:color w:val="auto"/>
              </w:rPr>
              <w:t>下风向3</w:t>
            </w:r>
          </w:p>
        </w:tc>
        <w:tc>
          <w:tcPr>
            <w:tcW w:w="1241" w:type="pct"/>
          </w:tcPr>
          <w:p w14:paraId="237D6728">
            <w:pPr>
              <w:jc w:val="center"/>
              <w:rPr>
                <w:rFonts w:ascii="宋体" w:hAnsi="宋体"/>
                <w:color w:val="auto"/>
                <w:szCs w:val="22"/>
              </w:rPr>
            </w:pPr>
            <w:r>
              <w:rPr>
                <w:rFonts w:hint="eastAsia" w:ascii="宋体" w:hAnsi="宋体"/>
                <w:color w:val="auto"/>
                <w:szCs w:val="22"/>
              </w:rPr>
              <w:t>/</w:t>
            </w:r>
          </w:p>
        </w:tc>
        <w:tc>
          <w:tcPr>
            <w:tcW w:w="1241" w:type="pct"/>
            <w:vAlign w:val="center"/>
          </w:tcPr>
          <w:p w14:paraId="0BF1B25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BFB8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09B98055">
            <w:pPr>
              <w:jc w:val="center"/>
              <w:rPr>
                <w:rFonts w:ascii="宋体" w:hAnsi="宋体"/>
                <w:color w:val="auto"/>
              </w:rPr>
            </w:pPr>
            <w:r>
              <w:rPr>
                <w:rFonts w:hint="eastAsia" w:ascii="宋体" w:hAnsi="宋体"/>
                <w:color w:val="auto"/>
              </w:rPr>
              <w:t>202</w:t>
            </w:r>
            <w:r>
              <w:rPr>
                <w:rFonts w:ascii="宋体" w:hAnsi="宋体"/>
                <w:color w:val="auto"/>
              </w:rPr>
              <w:t>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7</w:t>
            </w:r>
            <w:r>
              <w:rPr>
                <w:rFonts w:hint="eastAsia" w:ascii="宋体" w:hAnsi="宋体"/>
                <w:color w:val="auto"/>
              </w:rPr>
              <w:t>日</w:t>
            </w:r>
          </w:p>
        </w:tc>
        <w:tc>
          <w:tcPr>
            <w:tcW w:w="854" w:type="pct"/>
            <w:vMerge w:val="restart"/>
            <w:vAlign w:val="center"/>
          </w:tcPr>
          <w:p w14:paraId="4866E221">
            <w:pPr>
              <w:jc w:val="center"/>
              <w:rPr>
                <w:rFonts w:ascii="宋体" w:hAnsi="宋体"/>
                <w:color w:val="auto"/>
              </w:rPr>
            </w:pPr>
            <w:r>
              <w:rPr>
                <w:rFonts w:hint="eastAsia" w:ascii="宋体" w:hAnsi="宋体"/>
                <w:color w:val="auto"/>
              </w:rPr>
              <w:t>第一次</w:t>
            </w:r>
          </w:p>
        </w:tc>
        <w:tc>
          <w:tcPr>
            <w:tcW w:w="607" w:type="pct"/>
            <w:vAlign w:val="center"/>
          </w:tcPr>
          <w:p w14:paraId="7E6C7344">
            <w:pPr>
              <w:jc w:val="center"/>
              <w:rPr>
                <w:rFonts w:ascii="宋体" w:hAnsi="宋体"/>
                <w:color w:val="auto"/>
              </w:rPr>
            </w:pPr>
            <w:r>
              <w:rPr>
                <w:rFonts w:hint="eastAsia" w:ascii="宋体" w:hAnsi="宋体"/>
                <w:color w:val="auto"/>
              </w:rPr>
              <w:t>上风向</w:t>
            </w:r>
          </w:p>
        </w:tc>
        <w:tc>
          <w:tcPr>
            <w:tcW w:w="1241" w:type="pct"/>
            <w:vAlign w:val="center"/>
          </w:tcPr>
          <w:p w14:paraId="2F6D5A42">
            <w:pPr>
              <w:widowControl/>
              <w:jc w:val="center"/>
              <w:rPr>
                <w:rFonts w:ascii="宋体" w:hAnsi="宋体"/>
                <w:color w:val="auto"/>
                <w:kern w:val="0"/>
              </w:rPr>
            </w:pPr>
            <w:r>
              <w:rPr>
                <w:rFonts w:ascii="宋体" w:hAnsi="宋体"/>
                <w:color w:val="auto"/>
                <w:kern w:val="0"/>
              </w:rPr>
              <w:t>0.96</w:t>
            </w:r>
          </w:p>
        </w:tc>
        <w:tc>
          <w:tcPr>
            <w:tcW w:w="1241" w:type="pct"/>
            <w:vAlign w:val="center"/>
          </w:tcPr>
          <w:p w14:paraId="0E034959">
            <w:pPr>
              <w:widowControl/>
              <w:jc w:val="center"/>
              <w:rPr>
                <w:rFonts w:ascii="宋体" w:hAnsi="宋体"/>
                <w:color w:val="auto"/>
                <w:kern w:val="0"/>
              </w:rPr>
            </w:pPr>
            <w:r>
              <w:rPr>
                <w:rFonts w:hint="eastAsia" w:ascii="宋体" w:hAnsi="宋体"/>
                <w:color w:val="auto"/>
                <w:szCs w:val="22"/>
              </w:rPr>
              <w:t>N</w:t>
            </w:r>
            <w:r>
              <w:rPr>
                <w:rFonts w:ascii="宋体" w:hAnsi="宋体"/>
                <w:color w:val="auto"/>
                <w:szCs w:val="22"/>
              </w:rPr>
              <w:t>D</w:t>
            </w:r>
          </w:p>
        </w:tc>
      </w:tr>
      <w:tr w14:paraId="1A218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B738D3D">
            <w:pPr>
              <w:widowControl/>
              <w:jc w:val="center"/>
              <w:rPr>
                <w:rFonts w:ascii="宋体" w:hAnsi="宋体"/>
                <w:color w:val="auto"/>
              </w:rPr>
            </w:pPr>
          </w:p>
        </w:tc>
        <w:tc>
          <w:tcPr>
            <w:tcW w:w="854" w:type="pct"/>
            <w:vMerge w:val="continue"/>
            <w:vAlign w:val="center"/>
          </w:tcPr>
          <w:p w14:paraId="0DD87152">
            <w:pPr>
              <w:widowControl/>
              <w:jc w:val="center"/>
              <w:rPr>
                <w:rFonts w:ascii="宋体" w:hAnsi="宋体"/>
                <w:color w:val="auto"/>
              </w:rPr>
            </w:pPr>
          </w:p>
        </w:tc>
        <w:tc>
          <w:tcPr>
            <w:tcW w:w="607" w:type="pct"/>
            <w:vAlign w:val="center"/>
          </w:tcPr>
          <w:p w14:paraId="084AFB40">
            <w:pPr>
              <w:jc w:val="center"/>
              <w:rPr>
                <w:rFonts w:ascii="宋体" w:hAnsi="宋体"/>
                <w:color w:val="auto"/>
              </w:rPr>
            </w:pPr>
            <w:r>
              <w:rPr>
                <w:rFonts w:hint="eastAsia" w:ascii="宋体" w:hAnsi="宋体"/>
                <w:color w:val="auto"/>
              </w:rPr>
              <w:t>下风向1</w:t>
            </w:r>
          </w:p>
        </w:tc>
        <w:tc>
          <w:tcPr>
            <w:tcW w:w="1241" w:type="pct"/>
            <w:vAlign w:val="center"/>
          </w:tcPr>
          <w:p w14:paraId="349A6854">
            <w:pPr>
              <w:jc w:val="center"/>
              <w:rPr>
                <w:rFonts w:ascii="宋体" w:hAnsi="宋体"/>
                <w:color w:val="auto"/>
                <w:kern w:val="0"/>
              </w:rPr>
            </w:pPr>
            <w:r>
              <w:rPr>
                <w:rFonts w:ascii="宋体" w:hAnsi="宋体"/>
                <w:color w:val="auto"/>
                <w:kern w:val="0"/>
              </w:rPr>
              <w:t>1.22</w:t>
            </w:r>
          </w:p>
        </w:tc>
        <w:tc>
          <w:tcPr>
            <w:tcW w:w="1241" w:type="pct"/>
            <w:vAlign w:val="center"/>
          </w:tcPr>
          <w:p w14:paraId="41D9903E">
            <w:pPr>
              <w:jc w:val="center"/>
              <w:rPr>
                <w:rFonts w:ascii="宋体" w:hAnsi="宋体"/>
                <w:color w:val="auto"/>
                <w:kern w:val="0"/>
              </w:rPr>
            </w:pPr>
            <w:r>
              <w:rPr>
                <w:rFonts w:hint="eastAsia" w:ascii="宋体" w:hAnsi="宋体"/>
                <w:color w:val="auto"/>
                <w:szCs w:val="22"/>
              </w:rPr>
              <w:t>N</w:t>
            </w:r>
            <w:r>
              <w:rPr>
                <w:rFonts w:ascii="宋体" w:hAnsi="宋体"/>
                <w:color w:val="auto"/>
                <w:szCs w:val="22"/>
              </w:rPr>
              <w:t>D</w:t>
            </w:r>
          </w:p>
        </w:tc>
      </w:tr>
      <w:tr w14:paraId="7DAF8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20EAA39">
            <w:pPr>
              <w:widowControl/>
              <w:jc w:val="center"/>
              <w:rPr>
                <w:rFonts w:ascii="宋体" w:hAnsi="宋体"/>
                <w:color w:val="auto"/>
              </w:rPr>
            </w:pPr>
          </w:p>
        </w:tc>
        <w:tc>
          <w:tcPr>
            <w:tcW w:w="854" w:type="pct"/>
            <w:vMerge w:val="continue"/>
            <w:vAlign w:val="center"/>
          </w:tcPr>
          <w:p w14:paraId="0341A7FE">
            <w:pPr>
              <w:widowControl/>
              <w:jc w:val="center"/>
              <w:rPr>
                <w:rFonts w:ascii="宋体" w:hAnsi="宋体"/>
                <w:color w:val="auto"/>
              </w:rPr>
            </w:pPr>
          </w:p>
        </w:tc>
        <w:tc>
          <w:tcPr>
            <w:tcW w:w="607" w:type="pct"/>
            <w:vAlign w:val="center"/>
          </w:tcPr>
          <w:p w14:paraId="47C34920">
            <w:pPr>
              <w:jc w:val="center"/>
              <w:rPr>
                <w:rFonts w:ascii="宋体" w:hAnsi="宋体"/>
                <w:color w:val="auto"/>
              </w:rPr>
            </w:pPr>
            <w:r>
              <w:rPr>
                <w:rFonts w:hint="eastAsia" w:ascii="宋体" w:hAnsi="宋体"/>
                <w:color w:val="auto"/>
              </w:rPr>
              <w:t>下风向2</w:t>
            </w:r>
          </w:p>
        </w:tc>
        <w:tc>
          <w:tcPr>
            <w:tcW w:w="1241" w:type="pct"/>
            <w:vAlign w:val="center"/>
          </w:tcPr>
          <w:p w14:paraId="206846A5">
            <w:pPr>
              <w:jc w:val="center"/>
              <w:rPr>
                <w:rFonts w:ascii="宋体" w:hAnsi="宋体"/>
                <w:color w:val="auto"/>
                <w:kern w:val="0"/>
              </w:rPr>
            </w:pPr>
            <w:r>
              <w:rPr>
                <w:rFonts w:ascii="宋体" w:hAnsi="宋体"/>
                <w:color w:val="auto"/>
                <w:kern w:val="0"/>
              </w:rPr>
              <w:t>1.06</w:t>
            </w:r>
          </w:p>
        </w:tc>
        <w:tc>
          <w:tcPr>
            <w:tcW w:w="1241" w:type="pct"/>
            <w:vAlign w:val="center"/>
          </w:tcPr>
          <w:p w14:paraId="5BC44BCC">
            <w:pPr>
              <w:jc w:val="center"/>
              <w:rPr>
                <w:rFonts w:ascii="宋体" w:hAnsi="宋体"/>
                <w:color w:val="auto"/>
                <w:kern w:val="0"/>
              </w:rPr>
            </w:pPr>
            <w:r>
              <w:rPr>
                <w:rFonts w:hint="eastAsia" w:ascii="宋体" w:hAnsi="宋体"/>
                <w:color w:val="auto"/>
                <w:szCs w:val="22"/>
              </w:rPr>
              <w:t>N</w:t>
            </w:r>
            <w:r>
              <w:rPr>
                <w:rFonts w:ascii="宋体" w:hAnsi="宋体"/>
                <w:color w:val="auto"/>
                <w:szCs w:val="22"/>
              </w:rPr>
              <w:t>D</w:t>
            </w:r>
          </w:p>
        </w:tc>
      </w:tr>
      <w:tr w14:paraId="6EE9D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C70C9D3">
            <w:pPr>
              <w:widowControl/>
              <w:jc w:val="center"/>
              <w:rPr>
                <w:rFonts w:ascii="宋体" w:hAnsi="宋体"/>
                <w:color w:val="auto"/>
              </w:rPr>
            </w:pPr>
          </w:p>
        </w:tc>
        <w:tc>
          <w:tcPr>
            <w:tcW w:w="854" w:type="pct"/>
            <w:vMerge w:val="continue"/>
            <w:vAlign w:val="center"/>
          </w:tcPr>
          <w:p w14:paraId="4ED697D7">
            <w:pPr>
              <w:widowControl/>
              <w:jc w:val="center"/>
              <w:rPr>
                <w:rFonts w:ascii="宋体" w:hAnsi="宋体"/>
                <w:color w:val="auto"/>
              </w:rPr>
            </w:pPr>
          </w:p>
        </w:tc>
        <w:tc>
          <w:tcPr>
            <w:tcW w:w="607" w:type="pct"/>
            <w:vAlign w:val="center"/>
          </w:tcPr>
          <w:p w14:paraId="05627009">
            <w:pPr>
              <w:jc w:val="center"/>
              <w:rPr>
                <w:rFonts w:ascii="宋体" w:hAnsi="宋体"/>
                <w:color w:val="auto"/>
              </w:rPr>
            </w:pPr>
            <w:r>
              <w:rPr>
                <w:rFonts w:hint="eastAsia" w:ascii="宋体" w:hAnsi="宋体"/>
                <w:color w:val="auto"/>
              </w:rPr>
              <w:t>下风向3</w:t>
            </w:r>
          </w:p>
        </w:tc>
        <w:tc>
          <w:tcPr>
            <w:tcW w:w="1241" w:type="pct"/>
            <w:vAlign w:val="center"/>
          </w:tcPr>
          <w:p w14:paraId="529DE73F">
            <w:pPr>
              <w:jc w:val="center"/>
              <w:rPr>
                <w:rFonts w:ascii="宋体" w:hAnsi="宋体"/>
                <w:color w:val="auto"/>
                <w:kern w:val="0"/>
              </w:rPr>
            </w:pPr>
            <w:r>
              <w:rPr>
                <w:rFonts w:ascii="宋体" w:hAnsi="宋体"/>
                <w:color w:val="auto"/>
                <w:kern w:val="0"/>
              </w:rPr>
              <w:t>1.12</w:t>
            </w:r>
          </w:p>
        </w:tc>
        <w:tc>
          <w:tcPr>
            <w:tcW w:w="1241" w:type="pct"/>
            <w:vAlign w:val="center"/>
          </w:tcPr>
          <w:p w14:paraId="64EE27A6">
            <w:pPr>
              <w:jc w:val="center"/>
              <w:rPr>
                <w:rFonts w:ascii="宋体" w:hAnsi="宋体"/>
                <w:color w:val="auto"/>
                <w:kern w:val="0"/>
              </w:rPr>
            </w:pPr>
            <w:r>
              <w:rPr>
                <w:rFonts w:hint="eastAsia" w:ascii="宋体" w:hAnsi="宋体"/>
                <w:color w:val="auto"/>
                <w:szCs w:val="22"/>
              </w:rPr>
              <w:t>N</w:t>
            </w:r>
            <w:r>
              <w:rPr>
                <w:rFonts w:ascii="宋体" w:hAnsi="宋体"/>
                <w:color w:val="auto"/>
                <w:szCs w:val="22"/>
              </w:rPr>
              <w:t>D</w:t>
            </w:r>
          </w:p>
        </w:tc>
      </w:tr>
      <w:tr w14:paraId="79D8D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14BF93F">
            <w:pPr>
              <w:widowControl/>
              <w:jc w:val="center"/>
              <w:rPr>
                <w:rFonts w:ascii="宋体" w:hAnsi="宋体"/>
                <w:color w:val="auto"/>
              </w:rPr>
            </w:pPr>
          </w:p>
        </w:tc>
        <w:tc>
          <w:tcPr>
            <w:tcW w:w="854" w:type="pct"/>
            <w:vMerge w:val="restart"/>
            <w:vAlign w:val="center"/>
          </w:tcPr>
          <w:p w14:paraId="300C8396">
            <w:pPr>
              <w:jc w:val="center"/>
              <w:rPr>
                <w:rFonts w:ascii="宋体" w:hAnsi="宋体"/>
                <w:color w:val="auto"/>
              </w:rPr>
            </w:pPr>
            <w:r>
              <w:rPr>
                <w:rFonts w:hint="eastAsia" w:ascii="宋体" w:hAnsi="宋体"/>
                <w:color w:val="auto"/>
              </w:rPr>
              <w:t>第二次</w:t>
            </w:r>
          </w:p>
        </w:tc>
        <w:tc>
          <w:tcPr>
            <w:tcW w:w="607" w:type="pct"/>
            <w:vAlign w:val="center"/>
          </w:tcPr>
          <w:p w14:paraId="2F0C1456">
            <w:pPr>
              <w:jc w:val="center"/>
              <w:rPr>
                <w:rFonts w:ascii="宋体" w:hAnsi="宋体"/>
                <w:color w:val="auto"/>
              </w:rPr>
            </w:pPr>
            <w:r>
              <w:rPr>
                <w:rFonts w:hint="eastAsia" w:ascii="宋体" w:hAnsi="宋体"/>
                <w:color w:val="auto"/>
              </w:rPr>
              <w:t>上风向</w:t>
            </w:r>
          </w:p>
        </w:tc>
        <w:tc>
          <w:tcPr>
            <w:tcW w:w="1241" w:type="pct"/>
            <w:vAlign w:val="center"/>
          </w:tcPr>
          <w:p w14:paraId="1B28DDDC">
            <w:pPr>
              <w:widowControl/>
              <w:jc w:val="center"/>
              <w:rPr>
                <w:rFonts w:ascii="宋体" w:hAnsi="宋体"/>
                <w:color w:val="auto"/>
                <w:kern w:val="0"/>
              </w:rPr>
            </w:pPr>
            <w:r>
              <w:rPr>
                <w:rFonts w:ascii="宋体" w:hAnsi="宋体"/>
                <w:color w:val="auto"/>
                <w:szCs w:val="22"/>
              </w:rPr>
              <w:t>0.98</w:t>
            </w:r>
          </w:p>
        </w:tc>
        <w:tc>
          <w:tcPr>
            <w:tcW w:w="1241" w:type="pct"/>
            <w:vAlign w:val="center"/>
          </w:tcPr>
          <w:p w14:paraId="5ABC5331">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CB44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ACFFC11">
            <w:pPr>
              <w:widowControl/>
              <w:jc w:val="center"/>
              <w:rPr>
                <w:rFonts w:ascii="宋体" w:hAnsi="宋体"/>
                <w:color w:val="auto"/>
              </w:rPr>
            </w:pPr>
          </w:p>
        </w:tc>
        <w:tc>
          <w:tcPr>
            <w:tcW w:w="854" w:type="pct"/>
            <w:vMerge w:val="continue"/>
            <w:vAlign w:val="center"/>
          </w:tcPr>
          <w:p w14:paraId="20372560">
            <w:pPr>
              <w:widowControl/>
              <w:jc w:val="center"/>
              <w:rPr>
                <w:rFonts w:ascii="宋体" w:hAnsi="宋体"/>
                <w:color w:val="auto"/>
              </w:rPr>
            </w:pPr>
          </w:p>
        </w:tc>
        <w:tc>
          <w:tcPr>
            <w:tcW w:w="607" w:type="pct"/>
            <w:vAlign w:val="center"/>
          </w:tcPr>
          <w:p w14:paraId="46F1C919">
            <w:pPr>
              <w:jc w:val="center"/>
              <w:rPr>
                <w:rFonts w:ascii="宋体" w:hAnsi="宋体"/>
                <w:color w:val="auto"/>
              </w:rPr>
            </w:pPr>
            <w:r>
              <w:rPr>
                <w:rFonts w:hint="eastAsia" w:ascii="宋体" w:hAnsi="宋体"/>
                <w:color w:val="auto"/>
              </w:rPr>
              <w:t>下风向1</w:t>
            </w:r>
          </w:p>
        </w:tc>
        <w:tc>
          <w:tcPr>
            <w:tcW w:w="1241" w:type="pct"/>
            <w:vAlign w:val="center"/>
          </w:tcPr>
          <w:p w14:paraId="4C0A4F27">
            <w:pPr>
              <w:jc w:val="center"/>
              <w:rPr>
                <w:rFonts w:ascii="宋体" w:hAnsi="宋体"/>
                <w:color w:val="auto"/>
                <w:kern w:val="0"/>
              </w:rPr>
            </w:pPr>
            <w:r>
              <w:rPr>
                <w:rFonts w:ascii="宋体" w:hAnsi="宋体"/>
                <w:color w:val="auto"/>
                <w:szCs w:val="22"/>
              </w:rPr>
              <w:t>1.37</w:t>
            </w:r>
          </w:p>
        </w:tc>
        <w:tc>
          <w:tcPr>
            <w:tcW w:w="1241" w:type="pct"/>
            <w:vAlign w:val="center"/>
          </w:tcPr>
          <w:p w14:paraId="139EB1E9">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79FA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1A1EAAB">
            <w:pPr>
              <w:widowControl/>
              <w:jc w:val="center"/>
              <w:rPr>
                <w:rFonts w:ascii="宋体" w:hAnsi="宋体"/>
                <w:color w:val="auto"/>
              </w:rPr>
            </w:pPr>
          </w:p>
        </w:tc>
        <w:tc>
          <w:tcPr>
            <w:tcW w:w="854" w:type="pct"/>
            <w:vMerge w:val="continue"/>
            <w:vAlign w:val="center"/>
          </w:tcPr>
          <w:p w14:paraId="6CD01C16">
            <w:pPr>
              <w:widowControl/>
              <w:jc w:val="center"/>
              <w:rPr>
                <w:rFonts w:ascii="宋体" w:hAnsi="宋体"/>
                <w:color w:val="auto"/>
              </w:rPr>
            </w:pPr>
          </w:p>
        </w:tc>
        <w:tc>
          <w:tcPr>
            <w:tcW w:w="607" w:type="pct"/>
            <w:vAlign w:val="center"/>
          </w:tcPr>
          <w:p w14:paraId="325E829F">
            <w:pPr>
              <w:jc w:val="center"/>
              <w:rPr>
                <w:rFonts w:ascii="宋体" w:hAnsi="宋体"/>
                <w:color w:val="auto"/>
              </w:rPr>
            </w:pPr>
            <w:r>
              <w:rPr>
                <w:rFonts w:hint="eastAsia" w:ascii="宋体" w:hAnsi="宋体"/>
                <w:color w:val="auto"/>
              </w:rPr>
              <w:t>下风向2</w:t>
            </w:r>
          </w:p>
        </w:tc>
        <w:tc>
          <w:tcPr>
            <w:tcW w:w="1241" w:type="pct"/>
            <w:vAlign w:val="center"/>
          </w:tcPr>
          <w:p w14:paraId="772A7C6B">
            <w:pPr>
              <w:jc w:val="center"/>
              <w:rPr>
                <w:rFonts w:ascii="宋体" w:hAnsi="宋体"/>
                <w:color w:val="auto"/>
                <w:kern w:val="0"/>
              </w:rPr>
            </w:pPr>
            <w:r>
              <w:rPr>
                <w:rFonts w:ascii="宋体" w:hAnsi="宋体"/>
                <w:color w:val="auto"/>
                <w:szCs w:val="22"/>
              </w:rPr>
              <w:t>1.19</w:t>
            </w:r>
          </w:p>
        </w:tc>
        <w:tc>
          <w:tcPr>
            <w:tcW w:w="1241" w:type="pct"/>
            <w:vAlign w:val="center"/>
          </w:tcPr>
          <w:p w14:paraId="0E77D0A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CE53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E84D376">
            <w:pPr>
              <w:widowControl/>
              <w:jc w:val="center"/>
              <w:rPr>
                <w:rFonts w:ascii="宋体" w:hAnsi="宋体"/>
                <w:color w:val="auto"/>
              </w:rPr>
            </w:pPr>
          </w:p>
        </w:tc>
        <w:tc>
          <w:tcPr>
            <w:tcW w:w="854" w:type="pct"/>
            <w:vMerge w:val="continue"/>
            <w:vAlign w:val="center"/>
          </w:tcPr>
          <w:p w14:paraId="0D11452F">
            <w:pPr>
              <w:widowControl/>
              <w:jc w:val="center"/>
              <w:rPr>
                <w:rFonts w:ascii="宋体" w:hAnsi="宋体"/>
                <w:color w:val="auto"/>
              </w:rPr>
            </w:pPr>
          </w:p>
        </w:tc>
        <w:tc>
          <w:tcPr>
            <w:tcW w:w="607" w:type="pct"/>
            <w:vAlign w:val="center"/>
          </w:tcPr>
          <w:p w14:paraId="7BD30857">
            <w:pPr>
              <w:jc w:val="center"/>
              <w:rPr>
                <w:rFonts w:ascii="宋体" w:hAnsi="宋体"/>
                <w:color w:val="auto"/>
              </w:rPr>
            </w:pPr>
            <w:r>
              <w:rPr>
                <w:rFonts w:hint="eastAsia" w:ascii="宋体" w:hAnsi="宋体"/>
                <w:color w:val="auto"/>
              </w:rPr>
              <w:t>下风向3</w:t>
            </w:r>
          </w:p>
        </w:tc>
        <w:tc>
          <w:tcPr>
            <w:tcW w:w="1241" w:type="pct"/>
            <w:vAlign w:val="center"/>
          </w:tcPr>
          <w:p w14:paraId="0C11A985">
            <w:pPr>
              <w:jc w:val="center"/>
              <w:rPr>
                <w:rFonts w:ascii="宋体" w:hAnsi="宋体"/>
                <w:color w:val="auto"/>
                <w:kern w:val="0"/>
              </w:rPr>
            </w:pPr>
            <w:r>
              <w:rPr>
                <w:rFonts w:ascii="宋体" w:hAnsi="宋体"/>
                <w:color w:val="auto"/>
                <w:szCs w:val="22"/>
              </w:rPr>
              <w:t>1.24</w:t>
            </w:r>
          </w:p>
        </w:tc>
        <w:tc>
          <w:tcPr>
            <w:tcW w:w="1241" w:type="pct"/>
            <w:vAlign w:val="center"/>
          </w:tcPr>
          <w:p w14:paraId="2A445EC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B1DA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F6E75D7">
            <w:pPr>
              <w:widowControl/>
              <w:jc w:val="center"/>
              <w:rPr>
                <w:rFonts w:ascii="宋体" w:hAnsi="宋体"/>
                <w:color w:val="auto"/>
              </w:rPr>
            </w:pPr>
          </w:p>
        </w:tc>
        <w:tc>
          <w:tcPr>
            <w:tcW w:w="854" w:type="pct"/>
            <w:vMerge w:val="restart"/>
            <w:vAlign w:val="center"/>
          </w:tcPr>
          <w:p w14:paraId="42DAD760">
            <w:pPr>
              <w:jc w:val="center"/>
              <w:rPr>
                <w:rFonts w:ascii="宋体" w:hAnsi="宋体"/>
                <w:color w:val="auto"/>
              </w:rPr>
            </w:pPr>
            <w:r>
              <w:rPr>
                <w:rFonts w:hint="eastAsia" w:ascii="宋体" w:hAnsi="宋体"/>
                <w:color w:val="auto"/>
              </w:rPr>
              <w:t>第三次</w:t>
            </w:r>
          </w:p>
        </w:tc>
        <w:tc>
          <w:tcPr>
            <w:tcW w:w="607" w:type="pct"/>
            <w:vAlign w:val="center"/>
          </w:tcPr>
          <w:p w14:paraId="11BE76F6">
            <w:pPr>
              <w:jc w:val="center"/>
              <w:rPr>
                <w:rFonts w:ascii="宋体" w:hAnsi="宋体"/>
                <w:color w:val="auto"/>
              </w:rPr>
            </w:pPr>
            <w:r>
              <w:rPr>
                <w:rFonts w:hint="eastAsia" w:ascii="宋体" w:hAnsi="宋体"/>
                <w:color w:val="auto"/>
              </w:rPr>
              <w:t>上风向</w:t>
            </w:r>
          </w:p>
        </w:tc>
        <w:tc>
          <w:tcPr>
            <w:tcW w:w="1241" w:type="pct"/>
            <w:vAlign w:val="center"/>
          </w:tcPr>
          <w:p w14:paraId="7BB1A245">
            <w:pPr>
              <w:widowControl/>
              <w:jc w:val="center"/>
              <w:rPr>
                <w:rFonts w:ascii="宋体" w:hAnsi="宋体"/>
                <w:color w:val="auto"/>
                <w:kern w:val="0"/>
              </w:rPr>
            </w:pPr>
            <w:r>
              <w:rPr>
                <w:rFonts w:ascii="宋体" w:hAnsi="宋体"/>
                <w:color w:val="auto"/>
                <w:szCs w:val="22"/>
              </w:rPr>
              <w:t>0.93</w:t>
            </w:r>
          </w:p>
        </w:tc>
        <w:tc>
          <w:tcPr>
            <w:tcW w:w="1241" w:type="pct"/>
            <w:vAlign w:val="center"/>
          </w:tcPr>
          <w:p w14:paraId="3AB133F4">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088F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664F248">
            <w:pPr>
              <w:widowControl/>
              <w:jc w:val="center"/>
              <w:rPr>
                <w:rFonts w:ascii="宋体" w:hAnsi="宋体"/>
                <w:color w:val="auto"/>
              </w:rPr>
            </w:pPr>
          </w:p>
        </w:tc>
        <w:tc>
          <w:tcPr>
            <w:tcW w:w="854" w:type="pct"/>
            <w:vMerge w:val="continue"/>
            <w:vAlign w:val="center"/>
          </w:tcPr>
          <w:p w14:paraId="486521EC">
            <w:pPr>
              <w:widowControl/>
              <w:jc w:val="center"/>
              <w:rPr>
                <w:rFonts w:ascii="宋体" w:hAnsi="宋体"/>
                <w:color w:val="auto"/>
              </w:rPr>
            </w:pPr>
          </w:p>
        </w:tc>
        <w:tc>
          <w:tcPr>
            <w:tcW w:w="607" w:type="pct"/>
            <w:vAlign w:val="center"/>
          </w:tcPr>
          <w:p w14:paraId="4DFB9C62">
            <w:pPr>
              <w:jc w:val="center"/>
              <w:rPr>
                <w:rFonts w:ascii="宋体" w:hAnsi="宋体"/>
                <w:color w:val="auto"/>
              </w:rPr>
            </w:pPr>
            <w:r>
              <w:rPr>
                <w:rFonts w:hint="eastAsia" w:ascii="宋体" w:hAnsi="宋体"/>
                <w:color w:val="auto"/>
              </w:rPr>
              <w:t>下风向1</w:t>
            </w:r>
          </w:p>
        </w:tc>
        <w:tc>
          <w:tcPr>
            <w:tcW w:w="1241" w:type="pct"/>
            <w:vAlign w:val="center"/>
          </w:tcPr>
          <w:p w14:paraId="7AEDAB72">
            <w:pPr>
              <w:jc w:val="center"/>
              <w:rPr>
                <w:rFonts w:ascii="宋体" w:hAnsi="宋体"/>
                <w:color w:val="auto"/>
                <w:kern w:val="0"/>
              </w:rPr>
            </w:pPr>
            <w:r>
              <w:rPr>
                <w:rFonts w:ascii="宋体" w:hAnsi="宋体"/>
                <w:color w:val="auto"/>
                <w:szCs w:val="22"/>
              </w:rPr>
              <w:t>1.16</w:t>
            </w:r>
          </w:p>
        </w:tc>
        <w:tc>
          <w:tcPr>
            <w:tcW w:w="1241" w:type="pct"/>
            <w:vAlign w:val="center"/>
          </w:tcPr>
          <w:p w14:paraId="0BB0392C">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6DE34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72259AE">
            <w:pPr>
              <w:widowControl/>
              <w:jc w:val="center"/>
              <w:rPr>
                <w:rFonts w:ascii="宋体" w:hAnsi="宋体"/>
                <w:color w:val="auto"/>
              </w:rPr>
            </w:pPr>
          </w:p>
        </w:tc>
        <w:tc>
          <w:tcPr>
            <w:tcW w:w="854" w:type="pct"/>
            <w:vMerge w:val="continue"/>
            <w:vAlign w:val="center"/>
          </w:tcPr>
          <w:p w14:paraId="6AAC186D">
            <w:pPr>
              <w:widowControl/>
              <w:jc w:val="center"/>
              <w:rPr>
                <w:rFonts w:ascii="宋体" w:hAnsi="宋体"/>
                <w:color w:val="auto"/>
              </w:rPr>
            </w:pPr>
          </w:p>
        </w:tc>
        <w:tc>
          <w:tcPr>
            <w:tcW w:w="607" w:type="pct"/>
            <w:vAlign w:val="center"/>
          </w:tcPr>
          <w:p w14:paraId="1A44B455">
            <w:pPr>
              <w:jc w:val="center"/>
              <w:rPr>
                <w:rFonts w:ascii="宋体" w:hAnsi="宋体"/>
                <w:color w:val="auto"/>
              </w:rPr>
            </w:pPr>
            <w:r>
              <w:rPr>
                <w:rFonts w:hint="eastAsia" w:ascii="宋体" w:hAnsi="宋体"/>
                <w:color w:val="auto"/>
              </w:rPr>
              <w:t>下风向2</w:t>
            </w:r>
          </w:p>
        </w:tc>
        <w:tc>
          <w:tcPr>
            <w:tcW w:w="1241" w:type="pct"/>
            <w:vAlign w:val="center"/>
          </w:tcPr>
          <w:p w14:paraId="0DF05A5E">
            <w:pPr>
              <w:jc w:val="center"/>
              <w:rPr>
                <w:rFonts w:ascii="宋体" w:hAnsi="宋体"/>
                <w:color w:val="auto"/>
                <w:kern w:val="0"/>
              </w:rPr>
            </w:pPr>
            <w:r>
              <w:rPr>
                <w:rFonts w:ascii="宋体" w:hAnsi="宋体"/>
                <w:color w:val="auto"/>
                <w:szCs w:val="22"/>
              </w:rPr>
              <w:t>1.06</w:t>
            </w:r>
          </w:p>
        </w:tc>
        <w:tc>
          <w:tcPr>
            <w:tcW w:w="1241" w:type="pct"/>
            <w:vAlign w:val="center"/>
          </w:tcPr>
          <w:p w14:paraId="2151C6B1">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6270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B0EBA08">
            <w:pPr>
              <w:widowControl/>
              <w:jc w:val="center"/>
              <w:rPr>
                <w:rFonts w:ascii="宋体" w:hAnsi="宋体"/>
                <w:color w:val="auto"/>
              </w:rPr>
            </w:pPr>
          </w:p>
        </w:tc>
        <w:tc>
          <w:tcPr>
            <w:tcW w:w="854" w:type="pct"/>
            <w:vMerge w:val="continue"/>
            <w:vAlign w:val="center"/>
          </w:tcPr>
          <w:p w14:paraId="3FE121A2">
            <w:pPr>
              <w:widowControl/>
              <w:jc w:val="center"/>
              <w:rPr>
                <w:rFonts w:ascii="宋体" w:hAnsi="宋体"/>
                <w:color w:val="auto"/>
              </w:rPr>
            </w:pPr>
          </w:p>
        </w:tc>
        <w:tc>
          <w:tcPr>
            <w:tcW w:w="607" w:type="pct"/>
            <w:vAlign w:val="center"/>
          </w:tcPr>
          <w:p w14:paraId="6BBB404A">
            <w:pPr>
              <w:jc w:val="center"/>
              <w:rPr>
                <w:rFonts w:ascii="宋体" w:hAnsi="宋体"/>
                <w:color w:val="auto"/>
              </w:rPr>
            </w:pPr>
            <w:r>
              <w:rPr>
                <w:rFonts w:hint="eastAsia" w:ascii="宋体" w:hAnsi="宋体"/>
                <w:color w:val="auto"/>
              </w:rPr>
              <w:t>下风向3</w:t>
            </w:r>
          </w:p>
        </w:tc>
        <w:tc>
          <w:tcPr>
            <w:tcW w:w="1241" w:type="pct"/>
            <w:vAlign w:val="center"/>
          </w:tcPr>
          <w:p w14:paraId="1580417C">
            <w:pPr>
              <w:jc w:val="center"/>
              <w:rPr>
                <w:rFonts w:ascii="宋体" w:hAnsi="宋体"/>
                <w:color w:val="auto"/>
                <w:kern w:val="0"/>
              </w:rPr>
            </w:pPr>
            <w:r>
              <w:rPr>
                <w:rFonts w:ascii="宋体" w:hAnsi="宋体"/>
                <w:color w:val="auto"/>
                <w:szCs w:val="22"/>
              </w:rPr>
              <w:t>1.24</w:t>
            </w:r>
          </w:p>
        </w:tc>
        <w:tc>
          <w:tcPr>
            <w:tcW w:w="1241" w:type="pct"/>
            <w:vAlign w:val="center"/>
          </w:tcPr>
          <w:p w14:paraId="1CE38C2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7D6E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9A66E8D">
            <w:pPr>
              <w:widowControl/>
              <w:jc w:val="center"/>
              <w:rPr>
                <w:rFonts w:ascii="宋体" w:hAnsi="宋体"/>
                <w:color w:val="auto"/>
              </w:rPr>
            </w:pPr>
          </w:p>
        </w:tc>
        <w:tc>
          <w:tcPr>
            <w:tcW w:w="854" w:type="pct"/>
            <w:vMerge w:val="restart"/>
            <w:vAlign w:val="center"/>
          </w:tcPr>
          <w:p w14:paraId="6EDC2F2D">
            <w:pPr>
              <w:widowControl/>
              <w:jc w:val="center"/>
              <w:rPr>
                <w:rFonts w:ascii="宋体" w:hAnsi="宋体"/>
                <w:color w:val="auto"/>
              </w:rPr>
            </w:pPr>
            <w:r>
              <w:rPr>
                <w:rFonts w:hint="eastAsia" w:ascii="宋体" w:hAnsi="宋体"/>
                <w:color w:val="auto"/>
              </w:rPr>
              <w:t>第四次</w:t>
            </w:r>
          </w:p>
        </w:tc>
        <w:tc>
          <w:tcPr>
            <w:tcW w:w="607" w:type="pct"/>
            <w:vAlign w:val="center"/>
          </w:tcPr>
          <w:p w14:paraId="65C22CB4">
            <w:pPr>
              <w:jc w:val="center"/>
              <w:rPr>
                <w:rFonts w:ascii="宋体" w:hAnsi="宋体"/>
                <w:color w:val="auto"/>
              </w:rPr>
            </w:pPr>
            <w:r>
              <w:rPr>
                <w:rFonts w:hint="eastAsia" w:ascii="宋体" w:hAnsi="宋体"/>
                <w:color w:val="auto"/>
              </w:rPr>
              <w:t>上风向</w:t>
            </w:r>
          </w:p>
        </w:tc>
        <w:tc>
          <w:tcPr>
            <w:tcW w:w="1241" w:type="pct"/>
            <w:vAlign w:val="center"/>
          </w:tcPr>
          <w:p w14:paraId="2FA5564D">
            <w:pPr>
              <w:jc w:val="center"/>
              <w:rPr>
                <w:rFonts w:ascii="宋体" w:hAnsi="宋体"/>
                <w:color w:val="auto"/>
                <w:szCs w:val="22"/>
              </w:rPr>
            </w:pPr>
            <w:r>
              <w:rPr>
                <w:rFonts w:hint="eastAsia" w:ascii="宋体" w:hAnsi="宋体"/>
                <w:color w:val="auto"/>
                <w:szCs w:val="22"/>
              </w:rPr>
              <w:t>/</w:t>
            </w:r>
          </w:p>
        </w:tc>
        <w:tc>
          <w:tcPr>
            <w:tcW w:w="1241" w:type="pct"/>
            <w:vAlign w:val="center"/>
          </w:tcPr>
          <w:p w14:paraId="3E1C4BA3">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ADFB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EB59D46">
            <w:pPr>
              <w:widowControl/>
              <w:jc w:val="center"/>
              <w:rPr>
                <w:rFonts w:ascii="宋体" w:hAnsi="宋体"/>
                <w:color w:val="auto"/>
              </w:rPr>
            </w:pPr>
          </w:p>
        </w:tc>
        <w:tc>
          <w:tcPr>
            <w:tcW w:w="854" w:type="pct"/>
            <w:vMerge w:val="continue"/>
            <w:vAlign w:val="center"/>
          </w:tcPr>
          <w:p w14:paraId="47A60EEA">
            <w:pPr>
              <w:widowControl/>
              <w:jc w:val="center"/>
              <w:rPr>
                <w:rFonts w:ascii="宋体" w:hAnsi="宋体"/>
                <w:color w:val="auto"/>
              </w:rPr>
            </w:pPr>
          </w:p>
        </w:tc>
        <w:tc>
          <w:tcPr>
            <w:tcW w:w="607" w:type="pct"/>
            <w:vAlign w:val="center"/>
          </w:tcPr>
          <w:p w14:paraId="0B60B6CF">
            <w:pPr>
              <w:jc w:val="center"/>
              <w:rPr>
                <w:rFonts w:ascii="宋体" w:hAnsi="宋体"/>
                <w:color w:val="auto"/>
              </w:rPr>
            </w:pPr>
            <w:r>
              <w:rPr>
                <w:rFonts w:hint="eastAsia" w:ascii="宋体" w:hAnsi="宋体"/>
                <w:color w:val="auto"/>
              </w:rPr>
              <w:t>下风向1</w:t>
            </w:r>
          </w:p>
        </w:tc>
        <w:tc>
          <w:tcPr>
            <w:tcW w:w="1241" w:type="pct"/>
            <w:vAlign w:val="center"/>
          </w:tcPr>
          <w:p w14:paraId="77D2C557">
            <w:pPr>
              <w:jc w:val="center"/>
              <w:rPr>
                <w:rFonts w:ascii="宋体" w:hAnsi="宋体"/>
                <w:color w:val="auto"/>
                <w:szCs w:val="22"/>
              </w:rPr>
            </w:pPr>
            <w:r>
              <w:rPr>
                <w:rFonts w:hint="eastAsia" w:ascii="宋体" w:hAnsi="宋体"/>
                <w:color w:val="auto"/>
                <w:szCs w:val="22"/>
              </w:rPr>
              <w:t>/</w:t>
            </w:r>
          </w:p>
        </w:tc>
        <w:tc>
          <w:tcPr>
            <w:tcW w:w="1241" w:type="pct"/>
            <w:vAlign w:val="center"/>
          </w:tcPr>
          <w:p w14:paraId="22D3623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3D33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1188F27">
            <w:pPr>
              <w:widowControl/>
              <w:jc w:val="center"/>
              <w:rPr>
                <w:rFonts w:ascii="宋体" w:hAnsi="宋体"/>
                <w:color w:val="auto"/>
              </w:rPr>
            </w:pPr>
          </w:p>
        </w:tc>
        <w:tc>
          <w:tcPr>
            <w:tcW w:w="854" w:type="pct"/>
            <w:vMerge w:val="continue"/>
            <w:vAlign w:val="center"/>
          </w:tcPr>
          <w:p w14:paraId="62D92466">
            <w:pPr>
              <w:widowControl/>
              <w:jc w:val="center"/>
              <w:rPr>
                <w:rFonts w:ascii="宋体" w:hAnsi="宋体"/>
                <w:color w:val="auto"/>
              </w:rPr>
            </w:pPr>
          </w:p>
        </w:tc>
        <w:tc>
          <w:tcPr>
            <w:tcW w:w="607" w:type="pct"/>
            <w:vAlign w:val="center"/>
          </w:tcPr>
          <w:p w14:paraId="4854CC73">
            <w:pPr>
              <w:jc w:val="center"/>
              <w:rPr>
                <w:rFonts w:ascii="宋体" w:hAnsi="宋体"/>
                <w:color w:val="auto"/>
              </w:rPr>
            </w:pPr>
            <w:r>
              <w:rPr>
                <w:rFonts w:hint="eastAsia" w:ascii="宋体" w:hAnsi="宋体"/>
                <w:color w:val="auto"/>
              </w:rPr>
              <w:t>下风向2</w:t>
            </w:r>
          </w:p>
        </w:tc>
        <w:tc>
          <w:tcPr>
            <w:tcW w:w="1241" w:type="pct"/>
            <w:vAlign w:val="center"/>
          </w:tcPr>
          <w:p w14:paraId="15DDDB0A">
            <w:pPr>
              <w:jc w:val="center"/>
              <w:rPr>
                <w:rFonts w:ascii="宋体" w:hAnsi="宋体"/>
                <w:color w:val="auto"/>
                <w:szCs w:val="22"/>
              </w:rPr>
            </w:pPr>
            <w:r>
              <w:rPr>
                <w:rFonts w:hint="eastAsia" w:ascii="宋体" w:hAnsi="宋体"/>
                <w:color w:val="auto"/>
                <w:szCs w:val="22"/>
              </w:rPr>
              <w:t>/</w:t>
            </w:r>
          </w:p>
        </w:tc>
        <w:tc>
          <w:tcPr>
            <w:tcW w:w="1241" w:type="pct"/>
            <w:vAlign w:val="center"/>
          </w:tcPr>
          <w:p w14:paraId="7D1882B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97F8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622CA4E">
            <w:pPr>
              <w:widowControl/>
              <w:jc w:val="center"/>
              <w:rPr>
                <w:rFonts w:ascii="宋体" w:hAnsi="宋体"/>
                <w:color w:val="auto"/>
              </w:rPr>
            </w:pPr>
          </w:p>
        </w:tc>
        <w:tc>
          <w:tcPr>
            <w:tcW w:w="854" w:type="pct"/>
            <w:vMerge w:val="continue"/>
            <w:vAlign w:val="center"/>
          </w:tcPr>
          <w:p w14:paraId="711B654C">
            <w:pPr>
              <w:widowControl/>
              <w:jc w:val="center"/>
              <w:rPr>
                <w:rFonts w:ascii="宋体" w:hAnsi="宋体"/>
                <w:color w:val="auto"/>
              </w:rPr>
            </w:pPr>
          </w:p>
        </w:tc>
        <w:tc>
          <w:tcPr>
            <w:tcW w:w="607" w:type="pct"/>
            <w:vAlign w:val="center"/>
          </w:tcPr>
          <w:p w14:paraId="198A9176">
            <w:pPr>
              <w:jc w:val="center"/>
              <w:rPr>
                <w:rFonts w:ascii="宋体" w:hAnsi="宋体"/>
                <w:color w:val="auto"/>
              </w:rPr>
            </w:pPr>
            <w:r>
              <w:rPr>
                <w:rFonts w:hint="eastAsia" w:ascii="宋体" w:hAnsi="宋体"/>
                <w:color w:val="auto"/>
              </w:rPr>
              <w:t>下风向3</w:t>
            </w:r>
          </w:p>
        </w:tc>
        <w:tc>
          <w:tcPr>
            <w:tcW w:w="1241" w:type="pct"/>
            <w:vAlign w:val="center"/>
          </w:tcPr>
          <w:p w14:paraId="71A44B72">
            <w:pPr>
              <w:jc w:val="center"/>
              <w:rPr>
                <w:rFonts w:ascii="宋体" w:hAnsi="宋体"/>
                <w:color w:val="auto"/>
                <w:szCs w:val="22"/>
              </w:rPr>
            </w:pPr>
            <w:r>
              <w:rPr>
                <w:rFonts w:hint="eastAsia" w:ascii="宋体" w:hAnsi="宋体"/>
                <w:color w:val="auto"/>
                <w:szCs w:val="22"/>
              </w:rPr>
              <w:t>/</w:t>
            </w:r>
          </w:p>
        </w:tc>
        <w:tc>
          <w:tcPr>
            <w:tcW w:w="1241" w:type="pct"/>
            <w:vAlign w:val="center"/>
          </w:tcPr>
          <w:p w14:paraId="66ED1CA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BB65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0" w:type="pct"/>
            <w:gridSpan w:val="2"/>
            <w:vAlign w:val="center"/>
          </w:tcPr>
          <w:p w14:paraId="1000FB9E">
            <w:pPr>
              <w:adjustRightInd w:val="0"/>
              <w:snapToGrid w:val="0"/>
              <w:jc w:val="center"/>
              <w:rPr>
                <w:rFonts w:ascii="宋体" w:hAnsi="宋体"/>
                <w:color w:val="auto"/>
              </w:rPr>
            </w:pPr>
            <w:r>
              <w:rPr>
                <w:rFonts w:ascii="宋体" w:hAnsi="宋体"/>
                <w:color w:val="auto"/>
              </w:rPr>
              <w:t>检测位置</w:t>
            </w:r>
          </w:p>
        </w:tc>
        <w:tc>
          <w:tcPr>
            <w:tcW w:w="3090" w:type="pct"/>
            <w:gridSpan w:val="3"/>
            <w:vAlign w:val="center"/>
          </w:tcPr>
          <w:p w14:paraId="569BA979">
            <w:pPr>
              <w:adjustRightInd w:val="0"/>
              <w:snapToGrid w:val="0"/>
              <w:jc w:val="center"/>
              <w:rPr>
                <w:rFonts w:ascii="宋体" w:hAnsi="宋体"/>
                <w:color w:val="auto"/>
              </w:rPr>
            </w:pPr>
            <w:r>
              <w:rPr>
                <w:rFonts w:ascii="宋体" w:hAnsi="宋体"/>
                <w:color w:val="auto"/>
              </w:rPr>
              <w:t>6#</w:t>
            </w:r>
            <w:r>
              <w:rPr>
                <w:rFonts w:hint="eastAsia" w:ascii="宋体" w:hAnsi="宋体"/>
                <w:color w:val="auto"/>
              </w:rPr>
              <w:t>井场厂界</w:t>
            </w:r>
          </w:p>
        </w:tc>
      </w:tr>
      <w:tr w14:paraId="6E4EF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7899F09F">
            <w:pPr>
              <w:adjustRightInd w:val="0"/>
              <w:snapToGrid w:val="0"/>
              <w:jc w:val="center"/>
              <w:rPr>
                <w:rFonts w:ascii="宋体" w:hAnsi="宋体"/>
                <w:color w:val="auto"/>
              </w:rPr>
            </w:pPr>
            <w:r>
              <w:rPr>
                <w:rFonts w:ascii="宋体" w:hAnsi="宋体"/>
                <w:color w:val="auto"/>
              </w:rPr>
              <w:t>采样日期</w:t>
            </w:r>
          </w:p>
        </w:tc>
        <w:tc>
          <w:tcPr>
            <w:tcW w:w="854" w:type="pct"/>
            <w:vMerge w:val="restart"/>
            <w:vAlign w:val="center"/>
          </w:tcPr>
          <w:p w14:paraId="489F3DC7">
            <w:pPr>
              <w:adjustRightInd w:val="0"/>
              <w:snapToGrid w:val="0"/>
              <w:jc w:val="center"/>
              <w:rPr>
                <w:rFonts w:ascii="宋体" w:hAnsi="宋体"/>
                <w:color w:val="auto"/>
              </w:rPr>
            </w:pPr>
            <w:r>
              <w:rPr>
                <w:rFonts w:ascii="宋体" w:hAnsi="宋体"/>
                <w:color w:val="auto"/>
              </w:rPr>
              <w:t>采样时间</w:t>
            </w:r>
          </w:p>
        </w:tc>
        <w:tc>
          <w:tcPr>
            <w:tcW w:w="607" w:type="pct"/>
            <w:vMerge w:val="restart"/>
            <w:vAlign w:val="center"/>
          </w:tcPr>
          <w:p w14:paraId="2EB114AF">
            <w:pPr>
              <w:adjustRightInd w:val="0"/>
              <w:snapToGrid w:val="0"/>
              <w:jc w:val="center"/>
              <w:rPr>
                <w:rFonts w:ascii="宋体" w:hAnsi="宋体"/>
                <w:color w:val="auto"/>
              </w:rPr>
            </w:pPr>
            <w:r>
              <w:rPr>
                <w:rFonts w:ascii="宋体" w:hAnsi="宋体"/>
                <w:color w:val="auto"/>
              </w:rPr>
              <w:t>具体点位</w:t>
            </w:r>
          </w:p>
        </w:tc>
        <w:tc>
          <w:tcPr>
            <w:tcW w:w="2483" w:type="pct"/>
            <w:gridSpan w:val="2"/>
            <w:vAlign w:val="center"/>
          </w:tcPr>
          <w:p w14:paraId="5C258340">
            <w:pPr>
              <w:jc w:val="center"/>
              <w:rPr>
                <w:rFonts w:ascii="宋体" w:hAnsi="宋体"/>
                <w:color w:val="auto"/>
              </w:rPr>
            </w:pPr>
            <w:r>
              <w:rPr>
                <w:rFonts w:ascii="宋体" w:hAnsi="宋体"/>
                <w:color w:val="auto"/>
              </w:rPr>
              <w:t>检测结果均值(mg/m</w:t>
            </w:r>
            <w:r>
              <w:rPr>
                <w:rFonts w:ascii="宋体" w:hAnsi="宋体"/>
                <w:color w:val="auto"/>
                <w:vertAlign w:val="superscript"/>
              </w:rPr>
              <w:t>3</w:t>
            </w:r>
            <w:r>
              <w:rPr>
                <w:rFonts w:ascii="宋体" w:hAnsi="宋体"/>
                <w:color w:val="auto"/>
              </w:rPr>
              <w:t>)</w:t>
            </w:r>
          </w:p>
        </w:tc>
      </w:tr>
      <w:tr w14:paraId="26C66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80B6E86">
            <w:pPr>
              <w:adjustRightInd w:val="0"/>
              <w:snapToGrid w:val="0"/>
              <w:jc w:val="center"/>
              <w:rPr>
                <w:rFonts w:ascii="宋体" w:hAnsi="宋体"/>
                <w:color w:val="auto"/>
              </w:rPr>
            </w:pPr>
          </w:p>
        </w:tc>
        <w:tc>
          <w:tcPr>
            <w:tcW w:w="854" w:type="pct"/>
            <w:vMerge w:val="continue"/>
            <w:vAlign w:val="center"/>
          </w:tcPr>
          <w:p w14:paraId="7E4AD534">
            <w:pPr>
              <w:adjustRightInd w:val="0"/>
              <w:snapToGrid w:val="0"/>
              <w:jc w:val="center"/>
              <w:rPr>
                <w:rFonts w:ascii="宋体" w:hAnsi="宋体"/>
                <w:color w:val="auto"/>
              </w:rPr>
            </w:pPr>
          </w:p>
        </w:tc>
        <w:tc>
          <w:tcPr>
            <w:tcW w:w="607" w:type="pct"/>
            <w:vMerge w:val="continue"/>
            <w:vAlign w:val="center"/>
          </w:tcPr>
          <w:p w14:paraId="52CCE9DD">
            <w:pPr>
              <w:adjustRightInd w:val="0"/>
              <w:snapToGrid w:val="0"/>
              <w:jc w:val="center"/>
              <w:rPr>
                <w:rFonts w:ascii="宋体" w:hAnsi="宋体"/>
                <w:color w:val="auto"/>
              </w:rPr>
            </w:pPr>
          </w:p>
        </w:tc>
        <w:tc>
          <w:tcPr>
            <w:tcW w:w="1241" w:type="pct"/>
            <w:vAlign w:val="center"/>
          </w:tcPr>
          <w:p w14:paraId="666B9230">
            <w:pPr>
              <w:jc w:val="center"/>
              <w:rPr>
                <w:rFonts w:ascii="宋体" w:hAnsi="宋体"/>
                <w:color w:val="auto"/>
              </w:rPr>
            </w:pPr>
            <w:r>
              <w:rPr>
                <w:rFonts w:hint="eastAsia" w:ascii="宋体" w:hAnsi="宋体"/>
                <w:color w:val="auto"/>
              </w:rPr>
              <w:t>非甲烷总烃</w:t>
            </w:r>
          </w:p>
        </w:tc>
        <w:tc>
          <w:tcPr>
            <w:tcW w:w="1241" w:type="pct"/>
            <w:vAlign w:val="center"/>
          </w:tcPr>
          <w:p w14:paraId="5486446B">
            <w:pPr>
              <w:jc w:val="center"/>
              <w:rPr>
                <w:rFonts w:ascii="宋体" w:hAnsi="宋体"/>
                <w:color w:val="auto"/>
              </w:rPr>
            </w:pPr>
            <w:r>
              <w:rPr>
                <w:rFonts w:hint="eastAsia" w:ascii="宋体" w:hAnsi="宋体"/>
                <w:color w:val="auto"/>
              </w:rPr>
              <w:t>硫化氢</w:t>
            </w:r>
          </w:p>
        </w:tc>
      </w:tr>
      <w:tr w14:paraId="6E9F0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330B307B">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6</w:t>
            </w:r>
            <w:r>
              <w:rPr>
                <w:rFonts w:hint="eastAsia" w:ascii="宋体" w:hAnsi="宋体"/>
                <w:color w:val="auto"/>
              </w:rPr>
              <w:t>日</w:t>
            </w:r>
          </w:p>
        </w:tc>
        <w:tc>
          <w:tcPr>
            <w:tcW w:w="854" w:type="pct"/>
            <w:vMerge w:val="restart"/>
            <w:vAlign w:val="center"/>
          </w:tcPr>
          <w:p w14:paraId="674BF6FE">
            <w:pPr>
              <w:jc w:val="center"/>
              <w:rPr>
                <w:rFonts w:ascii="宋体" w:hAnsi="宋体"/>
                <w:color w:val="auto"/>
              </w:rPr>
            </w:pPr>
            <w:r>
              <w:rPr>
                <w:rFonts w:hint="eastAsia" w:ascii="宋体" w:hAnsi="宋体"/>
                <w:color w:val="auto"/>
              </w:rPr>
              <w:t>第一次</w:t>
            </w:r>
          </w:p>
        </w:tc>
        <w:tc>
          <w:tcPr>
            <w:tcW w:w="607" w:type="pct"/>
            <w:vAlign w:val="center"/>
          </w:tcPr>
          <w:p w14:paraId="56153E5F">
            <w:pPr>
              <w:jc w:val="center"/>
              <w:rPr>
                <w:rFonts w:ascii="宋体" w:hAnsi="宋体"/>
                <w:color w:val="auto"/>
              </w:rPr>
            </w:pPr>
            <w:r>
              <w:rPr>
                <w:rFonts w:hint="eastAsia" w:ascii="宋体" w:hAnsi="宋体"/>
                <w:color w:val="auto"/>
              </w:rPr>
              <w:t>上风向</w:t>
            </w:r>
          </w:p>
        </w:tc>
        <w:tc>
          <w:tcPr>
            <w:tcW w:w="1241" w:type="pct"/>
            <w:vAlign w:val="center"/>
          </w:tcPr>
          <w:p w14:paraId="7322D881">
            <w:pPr>
              <w:widowControl/>
              <w:jc w:val="center"/>
              <w:rPr>
                <w:rFonts w:ascii="宋体" w:hAnsi="宋体"/>
                <w:color w:val="auto"/>
                <w:kern w:val="0"/>
              </w:rPr>
            </w:pPr>
            <w:r>
              <w:rPr>
                <w:rFonts w:ascii="宋体" w:hAnsi="宋体"/>
                <w:color w:val="auto"/>
                <w:szCs w:val="22"/>
              </w:rPr>
              <w:t>0.9</w:t>
            </w:r>
          </w:p>
        </w:tc>
        <w:tc>
          <w:tcPr>
            <w:tcW w:w="1241" w:type="pct"/>
          </w:tcPr>
          <w:p w14:paraId="6E3C7A14">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68CB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1191589">
            <w:pPr>
              <w:widowControl/>
              <w:jc w:val="center"/>
              <w:rPr>
                <w:rFonts w:ascii="宋体" w:hAnsi="宋体"/>
                <w:color w:val="auto"/>
              </w:rPr>
            </w:pPr>
          </w:p>
        </w:tc>
        <w:tc>
          <w:tcPr>
            <w:tcW w:w="854" w:type="pct"/>
            <w:vMerge w:val="continue"/>
            <w:vAlign w:val="center"/>
          </w:tcPr>
          <w:p w14:paraId="7EA7E91B">
            <w:pPr>
              <w:widowControl/>
              <w:jc w:val="center"/>
              <w:rPr>
                <w:rFonts w:ascii="宋体" w:hAnsi="宋体"/>
                <w:color w:val="auto"/>
              </w:rPr>
            </w:pPr>
          </w:p>
        </w:tc>
        <w:tc>
          <w:tcPr>
            <w:tcW w:w="607" w:type="pct"/>
            <w:vAlign w:val="center"/>
          </w:tcPr>
          <w:p w14:paraId="1E85CFC4">
            <w:pPr>
              <w:jc w:val="center"/>
              <w:rPr>
                <w:rFonts w:ascii="宋体" w:hAnsi="宋体"/>
                <w:color w:val="auto"/>
              </w:rPr>
            </w:pPr>
            <w:r>
              <w:rPr>
                <w:rFonts w:hint="eastAsia" w:ascii="宋体" w:hAnsi="宋体"/>
                <w:color w:val="auto"/>
              </w:rPr>
              <w:t>下风向1</w:t>
            </w:r>
          </w:p>
        </w:tc>
        <w:tc>
          <w:tcPr>
            <w:tcW w:w="1241" w:type="pct"/>
            <w:vAlign w:val="center"/>
          </w:tcPr>
          <w:p w14:paraId="1366C445">
            <w:pPr>
              <w:jc w:val="center"/>
              <w:rPr>
                <w:rFonts w:ascii="宋体" w:hAnsi="宋体"/>
                <w:color w:val="auto"/>
                <w:kern w:val="0"/>
              </w:rPr>
            </w:pPr>
            <w:r>
              <w:rPr>
                <w:rFonts w:ascii="宋体" w:hAnsi="宋体"/>
                <w:color w:val="auto"/>
                <w:szCs w:val="22"/>
              </w:rPr>
              <w:t>1.16</w:t>
            </w:r>
          </w:p>
        </w:tc>
        <w:tc>
          <w:tcPr>
            <w:tcW w:w="1241" w:type="pct"/>
          </w:tcPr>
          <w:p w14:paraId="7CDAF50C">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5551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363CEA0">
            <w:pPr>
              <w:widowControl/>
              <w:jc w:val="center"/>
              <w:rPr>
                <w:rFonts w:ascii="宋体" w:hAnsi="宋体"/>
                <w:color w:val="auto"/>
              </w:rPr>
            </w:pPr>
          </w:p>
        </w:tc>
        <w:tc>
          <w:tcPr>
            <w:tcW w:w="854" w:type="pct"/>
            <w:vMerge w:val="continue"/>
            <w:vAlign w:val="center"/>
          </w:tcPr>
          <w:p w14:paraId="0D274304">
            <w:pPr>
              <w:widowControl/>
              <w:jc w:val="center"/>
              <w:rPr>
                <w:rFonts w:ascii="宋体" w:hAnsi="宋体"/>
                <w:color w:val="auto"/>
              </w:rPr>
            </w:pPr>
          </w:p>
        </w:tc>
        <w:tc>
          <w:tcPr>
            <w:tcW w:w="607" w:type="pct"/>
            <w:vAlign w:val="center"/>
          </w:tcPr>
          <w:p w14:paraId="0FAD80DB">
            <w:pPr>
              <w:jc w:val="center"/>
              <w:rPr>
                <w:rFonts w:ascii="宋体" w:hAnsi="宋体"/>
                <w:color w:val="auto"/>
              </w:rPr>
            </w:pPr>
            <w:r>
              <w:rPr>
                <w:rFonts w:hint="eastAsia" w:ascii="宋体" w:hAnsi="宋体"/>
                <w:color w:val="auto"/>
              </w:rPr>
              <w:t>下风向2</w:t>
            </w:r>
          </w:p>
        </w:tc>
        <w:tc>
          <w:tcPr>
            <w:tcW w:w="1241" w:type="pct"/>
            <w:vAlign w:val="center"/>
          </w:tcPr>
          <w:p w14:paraId="3CD7B20D">
            <w:pPr>
              <w:jc w:val="center"/>
              <w:rPr>
                <w:rFonts w:ascii="宋体" w:hAnsi="宋体"/>
                <w:color w:val="auto"/>
                <w:kern w:val="0"/>
              </w:rPr>
            </w:pPr>
            <w:r>
              <w:rPr>
                <w:rFonts w:ascii="宋体" w:hAnsi="宋体"/>
                <w:color w:val="auto"/>
                <w:szCs w:val="22"/>
              </w:rPr>
              <w:t>1.27</w:t>
            </w:r>
          </w:p>
        </w:tc>
        <w:tc>
          <w:tcPr>
            <w:tcW w:w="1241" w:type="pct"/>
          </w:tcPr>
          <w:p w14:paraId="63D3E36A">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DF1E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9AB6936">
            <w:pPr>
              <w:widowControl/>
              <w:jc w:val="center"/>
              <w:rPr>
                <w:rFonts w:ascii="宋体" w:hAnsi="宋体"/>
                <w:color w:val="auto"/>
              </w:rPr>
            </w:pPr>
          </w:p>
        </w:tc>
        <w:tc>
          <w:tcPr>
            <w:tcW w:w="854" w:type="pct"/>
            <w:vMerge w:val="continue"/>
            <w:vAlign w:val="center"/>
          </w:tcPr>
          <w:p w14:paraId="1F961051">
            <w:pPr>
              <w:widowControl/>
              <w:jc w:val="center"/>
              <w:rPr>
                <w:rFonts w:ascii="宋体" w:hAnsi="宋体"/>
                <w:color w:val="auto"/>
              </w:rPr>
            </w:pPr>
          </w:p>
        </w:tc>
        <w:tc>
          <w:tcPr>
            <w:tcW w:w="607" w:type="pct"/>
            <w:vAlign w:val="center"/>
          </w:tcPr>
          <w:p w14:paraId="51A4243B">
            <w:pPr>
              <w:jc w:val="center"/>
              <w:rPr>
                <w:rFonts w:ascii="宋体" w:hAnsi="宋体"/>
                <w:color w:val="auto"/>
              </w:rPr>
            </w:pPr>
            <w:r>
              <w:rPr>
                <w:rFonts w:hint="eastAsia" w:ascii="宋体" w:hAnsi="宋体"/>
                <w:color w:val="auto"/>
              </w:rPr>
              <w:t>下风向3</w:t>
            </w:r>
          </w:p>
        </w:tc>
        <w:tc>
          <w:tcPr>
            <w:tcW w:w="1241" w:type="pct"/>
            <w:vAlign w:val="center"/>
          </w:tcPr>
          <w:p w14:paraId="375B4E80">
            <w:pPr>
              <w:jc w:val="center"/>
              <w:rPr>
                <w:rFonts w:ascii="宋体" w:hAnsi="宋体"/>
                <w:color w:val="auto"/>
                <w:kern w:val="0"/>
              </w:rPr>
            </w:pPr>
            <w:r>
              <w:rPr>
                <w:rFonts w:ascii="宋体" w:hAnsi="宋体"/>
                <w:color w:val="auto"/>
                <w:szCs w:val="22"/>
              </w:rPr>
              <w:t>1.10</w:t>
            </w:r>
          </w:p>
        </w:tc>
        <w:tc>
          <w:tcPr>
            <w:tcW w:w="1241" w:type="pct"/>
          </w:tcPr>
          <w:p w14:paraId="21ECA6AC">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D25C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BCE3672">
            <w:pPr>
              <w:widowControl/>
              <w:jc w:val="center"/>
              <w:rPr>
                <w:rFonts w:ascii="宋体" w:hAnsi="宋体"/>
                <w:color w:val="auto"/>
              </w:rPr>
            </w:pPr>
          </w:p>
        </w:tc>
        <w:tc>
          <w:tcPr>
            <w:tcW w:w="854" w:type="pct"/>
            <w:vMerge w:val="restart"/>
            <w:vAlign w:val="center"/>
          </w:tcPr>
          <w:p w14:paraId="5FB14B3A">
            <w:pPr>
              <w:jc w:val="center"/>
              <w:rPr>
                <w:rFonts w:ascii="宋体" w:hAnsi="宋体"/>
                <w:color w:val="auto"/>
              </w:rPr>
            </w:pPr>
            <w:r>
              <w:rPr>
                <w:rFonts w:hint="eastAsia" w:ascii="宋体" w:hAnsi="宋体"/>
                <w:color w:val="auto"/>
              </w:rPr>
              <w:t>第二次</w:t>
            </w:r>
          </w:p>
        </w:tc>
        <w:tc>
          <w:tcPr>
            <w:tcW w:w="607" w:type="pct"/>
            <w:vAlign w:val="center"/>
          </w:tcPr>
          <w:p w14:paraId="033D4109">
            <w:pPr>
              <w:jc w:val="center"/>
              <w:rPr>
                <w:rFonts w:ascii="宋体" w:hAnsi="宋体"/>
                <w:color w:val="auto"/>
              </w:rPr>
            </w:pPr>
            <w:r>
              <w:rPr>
                <w:rFonts w:hint="eastAsia" w:ascii="宋体" w:hAnsi="宋体"/>
                <w:color w:val="auto"/>
              </w:rPr>
              <w:t>上风向</w:t>
            </w:r>
          </w:p>
        </w:tc>
        <w:tc>
          <w:tcPr>
            <w:tcW w:w="1241" w:type="pct"/>
            <w:vAlign w:val="center"/>
          </w:tcPr>
          <w:p w14:paraId="4A0718F2">
            <w:pPr>
              <w:widowControl/>
              <w:jc w:val="center"/>
              <w:rPr>
                <w:rFonts w:ascii="宋体" w:hAnsi="宋体"/>
                <w:color w:val="auto"/>
                <w:kern w:val="0"/>
              </w:rPr>
            </w:pPr>
            <w:r>
              <w:rPr>
                <w:rFonts w:ascii="宋体" w:hAnsi="宋体"/>
                <w:color w:val="auto"/>
                <w:szCs w:val="22"/>
              </w:rPr>
              <w:t>1.00</w:t>
            </w:r>
          </w:p>
        </w:tc>
        <w:tc>
          <w:tcPr>
            <w:tcW w:w="1241" w:type="pct"/>
          </w:tcPr>
          <w:p w14:paraId="58BCB6CF">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06CB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F4F55F3">
            <w:pPr>
              <w:widowControl/>
              <w:jc w:val="center"/>
              <w:rPr>
                <w:rFonts w:ascii="宋体" w:hAnsi="宋体"/>
                <w:color w:val="auto"/>
              </w:rPr>
            </w:pPr>
          </w:p>
        </w:tc>
        <w:tc>
          <w:tcPr>
            <w:tcW w:w="854" w:type="pct"/>
            <w:vMerge w:val="continue"/>
            <w:vAlign w:val="center"/>
          </w:tcPr>
          <w:p w14:paraId="0A54D52D">
            <w:pPr>
              <w:widowControl/>
              <w:jc w:val="center"/>
              <w:rPr>
                <w:rFonts w:ascii="宋体" w:hAnsi="宋体"/>
                <w:color w:val="auto"/>
              </w:rPr>
            </w:pPr>
          </w:p>
        </w:tc>
        <w:tc>
          <w:tcPr>
            <w:tcW w:w="607" w:type="pct"/>
            <w:vAlign w:val="center"/>
          </w:tcPr>
          <w:p w14:paraId="752E2B9E">
            <w:pPr>
              <w:jc w:val="center"/>
              <w:rPr>
                <w:rFonts w:ascii="宋体" w:hAnsi="宋体"/>
                <w:color w:val="auto"/>
              </w:rPr>
            </w:pPr>
            <w:r>
              <w:rPr>
                <w:rFonts w:hint="eastAsia" w:ascii="宋体" w:hAnsi="宋体"/>
                <w:color w:val="auto"/>
              </w:rPr>
              <w:t>下风向1</w:t>
            </w:r>
          </w:p>
        </w:tc>
        <w:tc>
          <w:tcPr>
            <w:tcW w:w="1241" w:type="pct"/>
            <w:vAlign w:val="center"/>
          </w:tcPr>
          <w:p w14:paraId="13E7E769">
            <w:pPr>
              <w:jc w:val="center"/>
              <w:rPr>
                <w:rFonts w:ascii="宋体" w:hAnsi="宋体"/>
                <w:color w:val="auto"/>
                <w:kern w:val="0"/>
              </w:rPr>
            </w:pPr>
            <w:r>
              <w:rPr>
                <w:rFonts w:ascii="宋体" w:hAnsi="宋体"/>
                <w:color w:val="auto"/>
                <w:szCs w:val="22"/>
              </w:rPr>
              <w:t>1.22</w:t>
            </w:r>
          </w:p>
        </w:tc>
        <w:tc>
          <w:tcPr>
            <w:tcW w:w="1241" w:type="pct"/>
          </w:tcPr>
          <w:p w14:paraId="1D073EE4">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1DBE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1AA4A0D">
            <w:pPr>
              <w:widowControl/>
              <w:jc w:val="center"/>
              <w:rPr>
                <w:rFonts w:ascii="宋体" w:hAnsi="宋体"/>
                <w:color w:val="auto"/>
              </w:rPr>
            </w:pPr>
          </w:p>
        </w:tc>
        <w:tc>
          <w:tcPr>
            <w:tcW w:w="854" w:type="pct"/>
            <w:vMerge w:val="continue"/>
            <w:vAlign w:val="center"/>
          </w:tcPr>
          <w:p w14:paraId="3E6C6774">
            <w:pPr>
              <w:widowControl/>
              <w:jc w:val="center"/>
              <w:rPr>
                <w:rFonts w:ascii="宋体" w:hAnsi="宋体"/>
                <w:color w:val="auto"/>
              </w:rPr>
            </w:pPr>
          </w:p>
        </w:tc>
        <w:tc>
          <w:tcPr>
            <w:tcW w:w="607" w:type="pct"/>
            <w:vAlign w:val="center"/>
          </w:tcPr>
          <w:p w14:paraId="199FE46D">
            <w:pPr>
              <w:jc w:val="center"/>
              <w:rPr>
                <w:rFonts w:ascii="宋体" w:hAnsi="宋体"/>
                <w:color w:val="auto"/>
              </w:rPr>
            </w:pPr>
            <w:r>
              <w:rPr>
                <w:rFonts w:hint="eastAsia" w:ascii="宋体" w:hAnsi="宋体"/>
                <w:color w:val="auto"/>
              </w:rPr>
              <w:t>下风向2</w:t>
            </w:r>
          </w:p>
        </w:tc>
        <w:tc>
          <w:tcPr>
            <w:tcW w:w="1241" w:type="pct"/>
            <w:vAlign w:val="center"/>
          </w:tcPr>
          <w:p w14:paraId="0B77EDC6">
            <w:pPr>
              <w:jc w:val="center"/>
              <w:rPr>
                <w:rFonts w:ascii="宋体" w:hAnsi="宋体"/>
                <w:color w:val="auto"/>
                <w:kern w:val="0"/>
              </w:rPr>
            </w:pPr>
            <w:r>
              <w:rPr>
                <w:rFonts w:ascii="宋体" w:hAnsi="宋体"/>
                <w:color w:val="auto"/>
                <w:szCs w:val="22"/>
              </w:rPr>
              <w:t>1.18</w:t>
            </w:r>
          </w:p>
        </w:tc>
        <w:tc>
          <w:tcPr>
            <w:tcW w:w="1241" w:type="pct"/>
          </w:tcPr>
          <w:p w14:paraId="34BEAAD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CC9E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C8B9BAB">
            <w:pPr>
              <w:widowControl/>
              <w:jc w:val="center"/>
              <w:rPr>
                <w:rFonts w:ascii="宋体" w:hAnsi="宋体"/>
                <w:color w:val="auto"/>
              </w:rPr>
            </w:pPr>
          </w:p>
        </w:tc>
        <w:tc>
          <w:tcPr>
            <w:tcW w:w="854" w:type="pct"/>
            <w:vMerge w:val="continue"/>
            <w:vAlign w:val="center"/>
          </w:tcPr>
          <w:p w14:paraId="414918AA">
            <w:pPr>
              <w:widowControl/>
              <w:jc w:val="center"/>
              <w:rPr>
                <w:rFonts w:ascii="宋体" w:hAnsi="宋体"/>
                <w:color w:val="auto"/>
              </w:rPr>
            </w:pPr>
          </w:p>
        </w:tc>
        <w:tc>
          <w:tcPr>
            <w:tcW w:w="607" w:type="pct"/>
            <w:vAlign w:val="center"/>
          </w:tcPr>
          <w:p w14:paraId="2C36C1EE">
            <w:pPr>
              <w:jc w:val="center"/>
              <w:rPr>
                <w:rFonts w:ascii="宋体" w:hAnsi="宋体"/>
                <w:color w:val="auto"/>
              </w:rPr>
            </w:pPr>
            <w:r>
              <w:rPr>
                <w:rFonts w:hint="eastAsia" w:ascii="宋体" w:hAnsi="宋体"/>
                <w:color w:val="auto"/>
              </w:rPr>
              <w:t>下风向3</w:t>
            </w:r>
          </w:p>
        </w:tc>
        <w:tc>
          <w:tcPr>
            <w:tcW w:w="1241" w:type="pct"/>
            <w:vAlign w:val="center"/>
          </w:tcPr>
          <w:p w14:paraId="0E8B2B3F">
            <w:pPr>
              <w:jc w:val="center"/>
              <w:rPr>
                <w:rFonts w:ascii="宋体" w:hAnsi="宋体"/>
                <w:color w:val="auto"/>
                <w:kern w:val="0"/>
              </w:rPr>
            </w:pPr>
            <w:r>
              <w:rPr>
                <w:rFonts w:ascii="宋体" w:hAnsi="宋体"/>
                <w:color w:val="auto"/>
                <w:szCs w:val="22"/>
              </w:rPr>
              <w:t>1.24</w:t>
            </w:r>
          </w:p>
        </w:tc>
        <w:tc>
          <w:tcPr>
            <w:tcW w:w="1241" w:type="pct"/>
          </w:tcPr>
          <w:p w14:paraId="5105F32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E573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964F5E6">
            <w:pPr>
              <w:widowControl/>
              <w:jc w:val="center"/>
              <w:rPr>
                <w:rFonts w:ascii="宋体" w:hAnsi="宋体"/>
                <w:color w:val="auto"/>
              </w:rPr>
            </w:pPr>
          </w:p>
        </w:tc>
        <w:tc>
          <w:tcPr>
            <w:tcW w:w="854" w:type="pct"/>
            <w:vMerge w:val="restart"/>
            <w:vAlign w:val="center"/>
          </w:tcPr>
          <w:p w14:paraId="068E7011">
            <w:pPr>
              <w:jc w:val="center"/>
              <w:rPr>
                <w:rFonts w:ascii="宋体" w:hAnsi="宋体"/>
                <w:color w:val="auto"/>
              </w:rPr>
            </w:pPr>
            <w:r>
              <w:rPr>
                <w:rFonts w:hint="eastAsia" w:ascii="宋体" w:hAnsi="宋体"/>
                <w:color w:val="auto"/>
              </w:rPr>
              <w:t>第三次</w:t>
            </w:r>
          </w:p>
        </w:tc>
        <w:tc>
          <w:tcPr>
            <w:tcW w:w="607" w:type="pct"/>
            <w:vAlign w:val="center"/>
          </w:tcPr>
          <w:p w14:paraId="609ABC37">
            <w:pPr>
              <w:jc w:val="center"/>
              <w:rPr>
                <w:rFonts w:ascii="宋体" w:hAnsi="宋体"/>
                <w:color w:val="auto"/>
              </w:rPr>
            </w:pPr>
            <w:r>
              <w:rPr>
                <w:rFonts w:hint="eastAsia" w:ascii="宋体" w:hAnsi="宋体"/>
                <w:color w:val="auto"/>
              </w:rPr>
              <w:t>上风向</w:t>
            </w:r>
          </w:p>
        </w:tc>
        <w:tc>
          <w:tcPr>
            <w:tcW w:w="1241" w:type="pct"/>
            <w:vAlign w:val="center"/>
          </w:tcPr>
          <w:p w14:paraId="01C2BCE2">
            <w:pPr>
              <w:widowControl/>
              <w:jc w:val="center"/>
              <w:rPr>
                <w:rFonts w:ascii="宋体" w:hAnsi="宋体"/>
                <w:color w:val="auto"/>
                <w:kern w:val="0"/>
              </w:rPr>
            </w:pPr>
            <w:r>
              <w:rPr>
                <w:rFonts w:ascii="宋体" w:hAnsi="宋体"/>
                <w:color w:val="auto"/>
                <w:szCs w:val="22"/>
              </w:rPr>
              <w:t>0.98</w:t>
            </w:r>
          </w:p>
        </w:tc>
        <w:tc>
          <w:tcPr>
            <w:tcW w:w="1241" w:type="pct"/>
          </w:tcPr>
          <w:p w14:paraId="633CF050">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7483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9C1E863">
            <w:pPr>
              <w:widowControl/>
              <w:jc w:val="center"/>
              <w:rPr>
                <w:rFonts w:ascii="宋体" w:hAnsi="宋体"/>
                <w:color w:val="auto"/>
              </w:rPr>
            </w:pPr>
          </w:p>
        </w:tc>
        <w:tc>
          <w:tcPr>
            <w:tcW w:w="854" w:type="pct"/>
            <w:vMerge w:val="continue"/>
            <w:vAlign w:val="center"/>
          </w:tcPr>
          <w:p w14:paraId="23294985">
            <w:pPr>
              <w:widowControl/>
              <w:jc w:val="center"/>
              <w:rPr>
                <w:rFonts w:ascii="宋体" w:hAnsi="宋体"/>
                <w:color w:val="auto"/>
              </w:rPr>
            </w:pPr>
          </w:p>
        </w:tc>
        <w:tc>
          <w:tcPr>
            <w:tcW w:w="607" w:type="pct"/>
            <w:vAlign w:val="center"/>
          </w:tcPr>
          <w:p w14:paraId="3E7B4509">
            <w:pPr>
              <w:jc w:val="center"/>
              <w:rPr>
                <w:rFonts w:ascii="宋体" w:hAnsi="宋体"/>
                <w:color w:val="auto"/>
              </w:rPr>
            </w:pPr>
            <w:r>
              <w:rPr>
                <w:rFonts w:hint="eastAsia" w:ascii="宋体" w:hAnsi="宋体"/>
                <w:color w:val="auto"/>
              </w:rPr>
              <w:t>下风向1</w:t>
            </w:r>
          </w:p>
        </w:tc>
        <w:tc>
          <w:tcPr>
            <w:tcW w:w="1241" w:type="pct"/>
            <w:vAlign w:val="center"/>
          </w:tcPr>
          <w:p w14:paraId="27B4A81A">
            <w:pPr>
              <w:jc w:val="center"/>
              <w:rPr>
                <w:rFonts w:ascii="宋体" w:hAnsi="宋体"/>
                <w:color w:val="auto"/>
                <w:kern w:val="0"/>
              </w:rPr>
            </w:pPr>
            <w:r>
              <w:rPr>
                <w:rFonts w:ascii="宋体" w:hAnsi="宋体"/>
                <w:color w:val="auto"/>
                <w:szCs w:val="22"/>
              </w:rPr>
              <w:t>1.26</w:t>
            </w:r>
          </w:p>
        </w:tc>
        <w:tc>
          <w:tcPr>
            <w:tcW w:w="1241" w:type="pct"/>
          </w:tcPr>
          <w:p w14:paraId="20F24AE4">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2C82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B5D4CD8">
            <w:pPr>
              <w:widowControl/>
              <w:jc w:val="center"/>
              <w:rPr>
                <w:rFonts w:ascii="宋体" w:hAnsi="宋体"/>
                <w:color w:val="auto"/>
              </w:rPr>
            </w:pPr>
          </w:p>
        </w:tc>
        <w:tc>
          <w:tcPr>
            <w:tcW w:w="854" w:type="pct"/>
            <w:vMerge w:val="continue"/>
            <w:vAlign w:val="center"/>
          </w:tcPr>
          <w:p w14:paraId="16F53AB5">
            <w:pPr>
              <w:widowControl/>
              <w:jc w:val="center"/>
              <w:rPr>
                <w:rFonts w:ascii="宋体" w:hAnsi="宋体"/>
                <w:color w:val="auto"/>
              </w:rPr>
            </w:pPr>
          </w:p>
        </w:tc>
        <w:tc>
          <w:tcPr>
            <w:tcW w:w="607" w:type="pct"/>
            <w:vAlign w:val="center"/>
          </w:tcPr>
          <w:p w14:paraId="67447259">
            <w:pPr>
              <w:jc w:val="center"/>
              <w:rPr>
                <w:rFonts w:ascii="宋体" w:hAnsi="宋体"/>
                <w:color w:val="auto"/>
              </w:rPr>
            </w:pPr>
            <w:r>
              <w:rPr>
                <w:rFonts w:hint="eastAsia" w:ascii="宋体" w:hAnsi="宋体"/>
                <w:color w:val="auto"/>
              </w:rPr>
              <w:t>下风向2</w:t>
            </w:r>
          </w:p>
        </w:tc>
        <w:tc>
          <w:tcPr>
            <w:tcW w:w="1241" w:type="pct"/>
            <w:vAlign w:val="center"/>
          </w:tcPr>
          <w:p w14:paraId="6B72B2AF">
            <w:pPr>
              <w:jc w:val="center"/>
              <w:rPr>
                <w:rFonts w:ascii="宋体" w:hAnsi="宋体"/>
                <w:color w:val="auto"/>
                <w:kern w:val="0"/>
              </w:rPr>
            </w:pPr>
            <w:r>
              <w:rPr>
                <w:rFonts w:ascii="宋体" w:hAnsi="宋体"/>
                <w:color w:val="auto"/>
                <w:szCs w:val="22"/>
              </w:rPr>
              <w:t>1.18</w:t>
            </w:r>
          </w:p>
        </w:tc>
        <w:tc>
          <w:tcPr>
            <w:tcW w:w="1241" w:type="pct"/>
          </w:tcPr>
          <w:p w14:paraId="186E1C2E">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78B8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A563903">
            <w:pPr>
              <w:widowControl/>
              <w:jc w:val="center"/>
              <w:rPr>
                <w:rFonts w:ascii="宋体" w:hAnsi="宋体"/>
                <w:color w:val="auto"/>
              </w:rPr>
            </w:pPr>
          </w:p>
        </w:tc>
        <w:tc>
          <w:tcPr>
            <w:tcW w:w="854" w:type="pct"/>
            <w:vMerge w:val="continue"/>
            <w:vAlign w:val="center"/>
          </w:tcPr>
          <w:p w14:paraId="00424E4E">
            <w:pPr>
              <w:widowControl/>
              <w:jc w:val="center"/>
              <w:rPr>
                <w:rFonts w:ascii="宋体" w:hAnsi="宋体"/>
                <w:color w:val="auto"/>
              </w:rPr>
            </w:pPr>
          </w:p>
        </w:tc>
        <w:tc>
          <w:tcPr>
            <w:tcW w:w="607" w:type="pct"/>
            <w:vAlign w:val="center"/>
          </w:tcPr>
          <w:p w14:paraId="634D980A">
            <w:pPr>
              <w:jc w:val="center"/>
              <w:rPr>
                <w:rFonts w:ascii="宋体" w:hAnsi="宋体"/>
                <w:color w:val="auto"/>
              </w:rPr>
            </w:pPr>
            <w:r>
              <w:rPr>
                <w:rFonts w:hint="eastAsia" w:ascii="宋体" w:hAnsi="宋体"/>
                <w:color w:val="auto"/>
              </w:rPr>
              <w:t>下风向3</w:t>
            </w:r>
          </w:p>
        </w:tc>
        <w:tc>
          <w:tcPr>
            <w:tcW w:w="1241" w:type="pct"/>
            <w:vAlign w:val="center"/>
          </w:tcPr>
          <w:p w14:paraId="1F34B6BE">
            <w:pPr>
              <w:jc w:val="center"/>
              <w:rPr>
                <w:rFonts w:ascii="宋体" w:hAnsi="宋体"/>
                <w:color w:val="auto"/>
                <w:kern w:val="0"/>
              </w:rPr>
            </w:pPr>
            <w:r>
              <w:rPr>
                <w:rFonts w:ascii="宋体" w:hAnsi="宋体"/>
                <w:color w:val="auto"/>
                <w:szCs w:val="22"/>
              </w:rPr>
              <w:t>1.18</w:t>
            </w:r>
          </w:p>
        </w:tc>
        <w:tc>
          <w:tcPr>
            <w:tcW w:w="1241" w:type="pct"/>
          </w:tcPr>
          <w:p w14:paraId="46979A9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BB09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6D828EA">
            <w:pPr>
              <w:widowControl/>
              <w:jc w:val="center"/>
              <w:rPr>
                <w:rFonts w:ascii="宋体" w:hAnsi="宋体"/>
                <w:color w:val="auto"/>
              </w:rPr>
            </w:pPr>
          </w:p>
        </w:tc>
        <w:tc>
          <w:tcPr>
            <w:tcW w:w="854" w:type="pct"/>
            <w:vMerge w:val="restart"/>
            <w:vAlign w:val="center"/>
          </w:tcPr>
          <w:p w14:paraId="63C69F3C">
            <w:pPr>
              <w:widowControl/>
              <w:jc w:val="center"/>
              <w:rPr>
                <w:rFonts w:ascii="宋体" w:hAnsi="宋体"/>
                <w:color w:val="auto"/>
              </w:rPr>
            </w:pPr>
            <w:r>
              <w:rPr>
                <w:rFonts w:hint="eastAsia" w:ascii="宋体" w:hAnsi="宋体"/>
                <w:color w:val="auto"/>
              </w:rPr>
              <w:t>第四次</w:t>
            </w:r>
          </w:p>
        </w:tc>
        <w:tc>
          <w:tcPr>
            <w:tcW w:w="607" w:type="pct"/>
            <w:vAlign w:val="center"/>
          </w:tcPr>
          <w:p w14:paraId="5B256371">
            <w:pPr>
              <w:jc w:val="center"/>
              <w:rPr>
                <w:rFonts w:ascii="宋体" w:hAnsi="宋体"/>
                <w:color w:val="auto"/>
              </w:rPr>
            </w:pPr>
            <w:r>
              <w:rPr>
                <w:rFonts w:hint="eastAsia" w:ascii="宋体" w:hAnsi="宋体"/>
                <w:color w:val="auto"/>
              </w:rPr>
              <w:t>上风向</w:t>
            </w:r>
          </w:p>
        </w:tc>
        <w:tc>
          <w:tcPr>
            <w:tcW w:w="1241" w:type="pct"/>
            <w:vAlign w:val="center"/>
          </w:tcPr>
          <w:p w14:paraId="44767C27">
            <w:pPr>
              <w:jc w:val="center"/>
              <w:rPr>
                <w:rFonts w:ascii="宋体" w:hAnsi="宋体"/>
                <w:color w:val="auto"/>
                <w:szCs w:val="22"/>
              </w:rPr>
            </w:pPr>
            <w:r>
              <w:rPr>
                <w:rFonts w:hint="eastAsia" w:ascii="宋体" w:hAnsi="宋体"/>
                <w:color w:val="auto"/>
                <w:szCs w:val="22"/>
              </w:rPr>
              <w:t>/</w:t>
            </w:r>
          </w:p>
        </w:tc>
        <w:tc>
          <w:tcPr>
            <w:tcW w:w="1241" w:type="pct"/>
          </w:tcPr>
          <w:p w14:paraId="62B93E2B">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14EE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2342ED6">
            <w:pPr>
              <w:widowControl/>
              <w:jc w:val="center"/>
              <w:rPr>
                <w:rFonts w:ascii="宋体" w:hAnsi="宋体"/>
                <w:color w:val="auto"/>
              </w:rPr>
            </w:pPr>
          </w:p>
        </w:tc>
        <w:tc>
          <w:tcPr>
            <w:tcW w:w="854" w:type="pct"/>
            <w:vMerge w:val="continue"/>
            <w:vAlign w:val="center"/>
          </w:tcPr>
          <w:p w14:paraId="1D85351E">
            <w:pPr>
              <w:widowControl/>
              <w:jc w:val="center"/>
              <w:rPr>
                <w:rFonts w:ascii="宋体" w:hAnsi="宋体"/>
                <w:color w:val="auto"/>
              </w:rPr>
            </w:pPr>
          </w:p>
        </w:tc>
        <w:tc>
          <w:tcPr>
            <w:tcW w:w="607" w:type="pct"/>
            <w:vAlign w:val="center"/>
          </w:tcPr>
          <w:p w14:paraId="4BD17BFB">
            <w:pPr>
              <w:jc w:val="center"/>
              <w:rPr>
                <w:rFonts w:ascii="宋体" w:hAnsi="宋体"/>
                <w:color w:val="auto"/>
              </w:rPr>
            </w:pPr>
            <w:r>
              <w:rPr>
                <w:rFonts w:hint="eastAsia" w:ascii="宋体" w:hAnsi="宋体"/>
                <w:color w:val="auto"/>
              </w:rPr>
              <w:t>下风向1</w:t>
            </w:r>
          </w:p>
        </w:tc>
        <w:tc>
          <w:tcPr>
            <w:tcW w:w="1241" w:type="pct"/>
            <w:vAlign w:val="center"/>
          </w:tcPr>
          <w:p w14:paraId="1BCA5353">
            <w:pPr>
              <w:jc w:val="center"/>
              <w:rPr>
                <w:rFonts w:ascii="宋体" w:hAnsi="宋体"/>
                <w:color w:val="auto"/>
                <w:szCs w:val="22"/>
              </w:rPr>
            </w:pPr>
            <w:r>
              <w:rPr>
                <w:rFonts w:hint="eastAsia" w:ascii="宋体" w:hAnsi="宋体"/>
                <w:color w:val="auto"/>
                <w:szCs w:val="22"/>
              </w:rPr>
              <w:t>/</w:t>
            </w:r>
          </w:p>
        </w:tc>
        <w:tc>
          <w:tcPr>
            <w:tcW w:w="1241" w:type="pct"/>
          </w:tcPr>
          <w:p w14:paraId="1D2ED78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59E1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525777A">
            <w:pPr>
              <w:widowControl/>
              <w:jc w:val="center"/>
              <w:rPr>
                <w:rFonts w:ascii="宋体" w:hAnsi="宋体"/>
                <w:color w:val="auto"/>
              </w:rPr>
            </w:pPr>
          </w:p>
        </w:tc>
        <w:tc>
          <w:tcPr>
            <w:tcW w:w="854" w:type="pct"/>
            <w:vMerge w:val="continue"/>
            <w:vAlign w:val="center"/>
          </w:tcPr>
          <w:p w14:paraId="212847BC">
            <w:pPr>
              <w:widowControl/>
              <w:jc w:val="center"/>
              <w:rPr>
                <w:rFonts w:ascii="宋体" w:hAnsi="宋体"/>
                <w:color w:val="auto"/>
              </w:rPr>
            </w:pPr>
          </w:p>
        </w:tc>
        <w:tc>
          <w:tcPr>
            <w:tcW w:w="607" w:type="pct"/>
            <w:vAlign w:val="center"/>
          </w:tcPr>
          <w:p w14:paraId="3C6DC1DD">
            <w:pPr>
              <w:jc w:val="center"/>
              <w:rPr>
                <w:rFonts w:ascii="宋体" w:hAnsi="宋体"/>
                <w:color w:val="auto"/>
              </w:rPr>
            </w:pPr>
            <w:r>
              <w:rPr>
                <w:rFonts w:hint="eastAsia" w:ascii="宋体" w:hAnsi="宋体"/>
                <w:color w:val="auto"/>
              </w:rPr>
              <w:t>下风向2</w:t>
            </w:r>
          </w:p>
        </w:tc>
        <w:tc>
          <w:tcPr>
            <w:tcW w:w="1241" w:type="pct"/>
            <w:vAlign w:val="center"/>
          </w:tcPr>
          <w:p w14:paraId="09EA92A1">
            <w:pPr>
              <w:jc w:val="center"/>
              <w:rPr>
                <w:rFonts w:ascii="宋体" w:hAnsi="宋体"/>
                <w:color w:val="auto"/>
                <w:szCs w:val="22"/>
              </w:rPr>
            </w:pPr>
            <w:r>
              <w:rPr>
                <w:rFonts w:hint="eastAsia" w:ascii="宋体" w:hAnsi="宋体"/>
                <w:color w:val="auto"/>
                <w:szCs w:val="22"/>
              </w:rPr>
              <w:t>/</w:t>
            </w:r>
          </w:p>
        </w:tc>
        <w:tc>
          <w:tcPr>
            <w:tcW w:w="1241" w:type="pct"/>
          </w:tcPr>
          <w:p w14:paraId="3D1BF258">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6FD1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D5F2B3A">
            <w:pPr>
              <w:widowControl/>
              <w:jc w:val="center"/>
              <w:rPr>
                <w:rFonts w:ascii="宋体" w:hAnsi="宋体"/>
                <w:color w:val="auto"/>
              </w:rPr>
            </w:pPr>
          </w:p>
        </w:tc>
        <w:tc>
          <w:tcPr>
            <w:tcW w:w="854" w:type="pct"/>
            <w:vMerge w:val="continue"/>
            <w:vAlign w:val="center"/>
          </w:tcPr>
          <w:p w14:paraId="12FB9F03">
            <w:pPr>
              <w:widowControl/>
              <w:jc w:val="center"/>
              <w:rPr>
                <w:rFonts w:ascii="宋体" w:hAnsi="宋体"/>
                <w:color w:val="auto"/>
              </w:rPr>
            </w:pPr>
          </w:p>
        </w:tc>
        <w:tc>
          <w:tcPr>
            <w:tcW w:w="607" w:type="pct"/>
            <w:vAlign w:val="center"/>
          </w:tcPr>
          <w:p w14:paraId="36BF5A01">
            <w:pPr>
              <w:jc w:val="center"/>
              <w:rPr>
                <w:rFonts w:ascii="宋体" w:hAnsi="宋体"/>
                <w:color w:val="auto"/>
              </w:rPr>
            </w:pPr>
            <w:r>
              <w:rPr>
                <w:rFonts w:hint="eastAsia" w:ascii="宋体" w:hAnsi="宋体"/>
                <w:color w:val="auto"/>
              </w:rPr>
              <w:t>下风向3</w:t>
            </w:r>
          </w:p>
        </w:tc>
        <w:tc>
          <w:tcPr>
            <w:tcW w:w="1241" w:type="pct"/>
            <w:vAlign w:val="center"/>
          </w:tcPr>
          <w:p w14:paraId="1C37F040">
            <w:pPr>
              <w:jc w:val="center"/>
              <w:rPr>
                <w:rFonts w:ascii="宋体" w:hAnsi="宋体"/>
                <w:color w:val="auto"/>
                <w:szCs w:val="22"/>
              </w:rPr>
            </w:pPr>
            <w:r>
              <w:rPr>
                <w:rFonts w:hint="eastAsia" w:ascii="宋体" w:hAnsi="宋体"/>
                <w:color w:val="auto"/>
                <w:szCs w:val="22"/>
              </w:rPr>
              <w:t>/</w:t>
            </w:r>
          </w:p>
        </w:tc>
        <w:tc>
          <w:tcPr>
            <w:tcW w:w="1241" w:type="pct"/>
          </w:tcPr>
          <w:p w14:paraId="795EF146">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B6DF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67D90E11">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7</w:t>
            </w:r>
            <w:r>
              <w:rPr>
                <w:rFonts w:hint="eastAsia" w:ascii="宋体" w:hAnsi="宋体"/>
                <w:color w:val="auto"/>
              </w:rPr>
              <w:t>日</w:t>
            </w:r>
          </w:p>
        </w:tc>
        <w:tc>
          <w:tcPr>
            <w:tcW w:w="854" w:type="pct"/>
            <w:vMerge w:val="restart"/>
            <w:vAlign w:val="center"/>
          </w:tcPr>
          <w:p w14:paraId="73D7E867">
            <w:pPr>
              <w:jc w:val="center"/>
              <w:rPr>
                <w:rFonts w:ascii="宋体" w:hAnsi="宋体"/>
                <w:color w:val="auto"/>
              </w:rPr>
            </w:pPr>
            <w:r>
              <w:rPr>
                <w:rFonts w:hint="eastAsia" w:ascii="宋体" w:hAnsi="宋体"/>
                <w:color w:val="auto"/>
              </w:rPr>
              <w:t>第一次</w:t>
            </w:r>
          </w:p>
        </w:tc>
        <w:tc>
          <w:tcPr>
            <w:tcW w:w="607" w:type="pct"/>
            <w:vAlign w:val="center"/>
          </w:tcPr>
          <w:p w14:paraId="3897C01A">
            <w:pPr>
              <w:jc w:val="center"/>
              <w:rPr>
                <w:rFonts w:ascii="宋体" w:hAnsi="宋体"/>
                <w:color w:val="auto"/>
              </w:rPr>
            </w:pPr>
            <w:r>
              <w:rPr>
                <w:rFonts w:hint="eastAsia" w:ascii="宋体" w:hAnsi="宋体"/>
                <w:color w:val="auto"/>
              </w:rPr>
              <w:t>上风向</w:t>
            </w:r>
          </w:p>
        </w:tc>
        <w:tc>
          <w:tcPr>
            <w:tcW w:w="1241" w:type="pct"/>
            <w:vAlign w:val="center"/>
          </w:tcPr>
          <w:p w14:paraId="1B6BCF0C">
            <w:pPr>
              <w:widowControl/>
              <w:jc w:val="center"/>
              <w:rPr>
                <w:rFonts w:ascii="宋体" w:hAnsi="宋体"/>
                <w:color w:val="auto"/>
                <w:kern w:val="0"/>
              </w:rPr>
            </w:pPr>
            <w:r>
              <w:rPr>
                <w:rFonts w:ascii="宋体" w:hAnsi="宋体"/>
                <w:color w:val="auto"/>
                <w:szCs w:val="22"/>
              </w:rPr>
              <w:t>0.94</w:t>
            </w:r>
          </w:p>
        </w:tc>
        <w:tc>
          <w:tcPr>
            <w:tcW w:w="1241" w:type="pct"/>
          </w:tcPr>
          <w:p w14:paraId="34DA3C2D">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24C1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5AFF02F">
            <w:pPr>
              <w:widowControl/>
              <w:jc w:val="center"/>
              <w:rPr>
                <w:rFonts w:ascii="宋体" w:hAnsi="宋体"/>
                <w:color w:val="auto"/>
              </w:rPr>
            </w:pPr>
          </w:p>
        </w:tc>
        <w:tc>
          <w:tcPr>
            <w:tcW w:w="854" w:type="pct"/>
            <w:vMerge w:val="continue"/>
            <w:vAlign w:val="center"/>
          </w:tcPr>
          <w:p w14:paraId="156B1ED4">
            <w:pPr>
              <w:widowControl/>
              <w:jc w:val="center"/>
              <w:rPr>
                <w:rFonts w:ascii="宋体" w:hAnsi="宋体"/>
                <w:color w:val="auto"/>
              </w:rPr>
            </w:pPr>
          </w:p>
        </w:tc>
        <w:tc>
          <w:tcPr>
            <w:tcW w:w="607" w:type="pct"/>
            <w:vAlign w:val="center"/>
          </w:tcPr>
          <w:p w14:paraId="0877615D">
            <w:pPr>
              <w:jc w:val="center"/>
              <w:rPr>
                <w:rFonts w:ascii="宋体" w:hAnsi="宋体"/>
                <w:color w:val="auto"/>
              </w:rPr>
            </w:pPr>
            <w:r>
              <w:rPr>
                <w:rFonts w:hint="eastAsia" w:ascii="宋体" w:hAnsi="宋体"/>
                <w:color w:val="auto"/>
              </w:rPr>
              <w:t>下风向1</w:t>
            </w:r>
          </w:p>
        </w:tc>
        <w:tc>
          <w:tcPr>
            <w:tcW w:w="1241" w:type="pct"/>
            <w:vAlign w:val="center"/>
          </w:tcPr>
          <w:p w14:paraId="4AE18670">
            <w:pPr>
              <w:jc w:val="center"/>
              <w:rPr>
                <w:rFonts w:ascii="宋体" w:hAnsi="宋体"/>
                <w:color w:val="auto"/>
                <w:kern w:val="0"/>
              </w:rPr>
            </w:pPr>
            <w:r>
              <w:rPr>
                <w:rFonts w:ascii="宋体" w:hAnsi="宋体"/>
                <w:color w:val="auto"/>
                <w:szCs w:val="22"/>
              </w:rPr>
              <w:t>1.14</w:t>
            </w:r>
          </w:p>
        </w:tc>
        <w:tc>
          <w:tcPr>
            <w:tcW w:w="1241" w:type="pct"/>
          </w:tcPr>
          <w:p w14:paraId="29745379">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723F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DE91189">
            <w:pPr>
              <w:widowControl/>
              <w:jc w:val="center"/>
              <w:rPr>
                <w:rFonts w:ascii="宋体" w:hAnsi="宋体"/>
                <w:color w:val="auto"/>
              </w:rPr>
            </w:pPr>
          </w:p>
        </w:tc>
        <w:tc>
          <w:tcPr>
            <w:tcW w:w="854" w:type="pct"/>
            <w:vMerge w:val="continue"/>
            <w:vAlign w:val="center"/>
          </w:tcPr>
          <w:p w14:paraId="6080F9FC">
            <w:pPr>
              <w:widowControl/>
              <w:jc w:val="center"/>
              <w:rPr>
                <w:rFonts w:ascii="宋体" w:hAnsi="宋体"/>
                <w:color w:val="auto"/>
              </w:rPr>
            </w:pPr>
          </w:p>
        </w:tc>
        <w:tc>
          <w:tcPr>
            <w:tcW w:w="607" w:type="pct"/>
            <w:vAlign w:val="center"/>
          </w:tcPr>
          <w:p w14:paraId="0B854AC7">
            <w:pPr>
              <w:jc w:val="center"/>
              <w:rPr>
                <w:rFonts w:ascii="宋体" w:hAnsi="宋体"/>
                <w:color w:val="auto"/>
              </w:rPr>
            </w:pPr>
            <w:r>
              <w:rPr>
                <w:rFonts w:hint="eastAsia" w:ascii="宋体" w:hAnsi="宋体"/>
                <w:color w:val="auto"/>
              </w:rPr>
              <w:t>下风向2</w:t>
            </w:r>
          </w:p>
        </w:tc>
        <w:tc>
          <w:tcPr>
            <w:tcW w:w="1241" w:type="pct"/>
            <w:vAlign w:val="center"/>
          </w:tcPr>
          <w:p w14:paraId="395DB0AC">
            <w:pPr>
              <w:jc w:val="center"/>
              <w:rPr>
                <w:rFonts w:ascii="宋体" w:hAnsi="宋体"/>
                <w:color w:val="auto"/>
                <w:kern w:val="0"/>
              </w:rPr>
            </w:pPr>
            <w:r>
              <w:rPr>
                <w:rFonts w:ascii="宋体" w:hAnsi="宋体"/>
                <w:color w:val="auto"/>
                <w:szCs w:val="22"/>
              </w:rPr>
              <w:t>1.21</w:t>
            </w:r>
          </w:p>
        </w:tc>
        <w:tc>
          <w:tcPr>
            <w:tcW w:w="1241" w:type="pct"/>
          </w:tcPr>
          <w:p w14:paraId="29BD0AE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533C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E2FD33E">
            <w:pPr>
              <w:widowControl/>
              <w:jc w:val="center"/>
              <w:rPr>
                <w:rFonts w:ascii="宋体" w:hAnsi="宋体"/>
                <w:color w:val="auto"/>
              </w:rPr>
            </w:pPr>
          </w:p>
        </w:tc>
        <w:tc>
          <w:tcPr>
            <w:tcW w:w="854" w:type="pct"/>
            <w:vMerge w:val="continue"/>
            <w:vAlign w:val="center"/>
          </w:tcPr>
          <w:p w14:paraId="3D789B7F">
            <w:pPr>
              <w:widowControl/>
              <w:jc w:val="center"/>
              <w:rPr>
                <w:rFonts w:ascii="宋体" w:hAnsi="宋体"/>
                <w:color w:val="auto"/>
              </w:rPr>
            </w:pPr>
          </w:p>
        </w:tc>
        <w:tc>
          <w:tcPr>
            <w:tcW w:w="607" w:type="pct"/>
            <w:vAlign w:val="center"/>
          </w:tcPr>
          <w:p w14:paraId="3E427553">
            <w:pPr>
              <w:jc w:val="center"/>
              <w:rPr>
                <w:rFonts w:ascii="宋体" w:hAnsi="宋体"/>
                <w:color w:val="auto"/>
              </w:rPr>
            </w:pPr>
            <w:r>
              <w:rPr>
                <w:rFonts w:hint="eastAsia" w:ascii="宋体" w:hAnsi="宋体"/>
                <w:color w:val="auto"/>
              </w:rPr>
              <w:t>下风向3</w:t>
            </w:r>
          </w:p>
        </w:tc>
        <w:tc>
          <w:tcPr>
            <w:tcW w:w="1241" w:type="pct"/>
            <w:vAlign w:val="center"/>
          </w:tcPr>
          <w:p w14:paraId="57C80362">
            <w:pPr>
              <w:jc w:val="center"/>
              <w:rPr>
                <w:rFonts w:ascii="宋体" w:hAnsi="宋体"/>
                <w:color w:val="auto"/>
                <w:kern w:val="0"/>
              </w:rPr>
            </w:pPr>
            <w:r>
              <w:rPr>
                <w:rFonts w:ascii="宋体" w:hAnsi="宋体"/>
                <w:color w:val="auto"/>
                <w:szCs w:val="22"/>
              </w:rPr>
              <w:t>1.18</w:t>
            </w:r>
          </w:p>
        </w:tc>
        <w:tc>
          <w:tcPr>
            <w:tcW w:w="1241" w:type="pct"/>
          </w:tcPr>
          <w:p w14:paraId="574E6CBA">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4D0C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C7CED70">
            <w:pPr>
              <w:widowControl/>
              <w:jc w:val="center"/>
              <w:rPr>
                <w:rFonts w:ascii="宋体" w:hAnsi="宋体"/>
                <w:color w:val="auto"/>
              </w:rPr>
            </w:pPr>
          </w:p>
        </w:tc>
        <w:tc>
          <w:tcPr>
            <w:tcW w:w="854" w:type="pct"/>
            <w:vMerge w:val="restart"/>
            <w:vAlign w:val="center"/>
          </w:tcPr>
          <w:p w14:paraId="76D8D793">
            <w:pPr>
              <w:jc w:val="center"/>
              <w:rPr>
                <w:rFonts w:ascii="宋体" w:hAnsi="宋体"/>
                <w:color w:val="auto"/>
              </w:rPr>
            </w:pPr>
            <w:r>
              <w:rPr>
                <w:rFonts w:hint="eastAsia" w:ascii="宋体" w:hAnsi="宋体"/>
                <w:color w:val="auto"/>
              </w:rPr>
              <w:t>第二次</w:t>
            </w:r>
          </w:p>
        </w:tc>
        <w:tc>
          <w:tcPr>
            <w:tcW w:w="607" w:type="pct"/>
            <w:vAlign w:val="center"/>
          </w:tcPr>
          <w:p w14:paraId="4B22EFE7">
            <w:pPr>
              <w:jc w:val="center"/>
              <w:rPr>
                <w:rFonts w:ascii="宋体" w:hAnsi="宋体"/>
                <w:color w:val="auto"/>
              </w:rPr>
            </w:pPr>
            <w:r>
              <w:rPr>
                <w:rFonts w:hint="eastAsia" w:ascii="宋体" w:hAnsi="宋体"/>
                <w:color w:val="auto"/>
              </w:rPr>
              <w:t>上风向</w:t>
            </w:r>
          </w:p>
        </w:tc>
        <w:tc>
          <w:tcPr>
            <w:tcW w:w="1241" w:type="pct"/>
            <w:vAlign w:val="center"/>
          </w:tcPr>
          <w:p w14:paraId="1AF3A9B7">
            <w:pPr>
              <w:widowControl/>
              <w:jc w:val="center"/>
              <w:rPr>
                <w:rFonts w:ascii="宋体" w:hAnsi="宋体"/>
                <w:color w:val="auto"/>
                <w:kern w:val="0"/>
              </w:rPr>
            </w:pPr>
            <w:r>
              <w:rPr>
                <w:rFonts w:ascii="宋体" w:hAnsi="宋体"/>
                <w:color w:val="auto"/>
                <w:szCs w:val="22"/>
              </w:rPr>
              <w:t>0.93</w:t>
            </w:r>
          </w:p>
        </w:tc>
        <w:tc>
          <w:tcPr>
            <w:tcW w:w="1241" w:type="pct"/>
          </w:tcPr>
          <w:p w14:paraId="08D93588">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D63A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29219FE">
            <w:pPr>
              <w:widowControl/>
              <w:jc w:val="center"/>
              <w:rPr>
                <w:rFonts w:ascii="宋体" w:hAnsi="宋体"/>
                <w:color w:val="auto"/>
              </w:rPr>
            </w:pPr>
          </w:p>
        </w:tc>
        <w:tc>
          <w:tcPr>
            <w:tcW w:w="854" w:type="pct"/>
            <w:vMerge w:val="continue"/>
            <w:vAlign w:val="center"/>
          </w:tcPr>
          <w:p w14:paraId="1E9BC9F2">
            <w:pPr>
              <w:widowControl/>
              <w:jc w:val="center"/>
              <w:rPr>
                <w:rFonts w:ascii="宋体" w:hAnsi="宋体"/>
                <w:color w:val="auto"/>
              </w:rPr>
            </w:pPr>
          </w:p>
        </w:tc>
        <w:tc>
          <w:tcPr>
            <w:tcW w:w="607" w:type="pct"/>
            <w:vAlign w:val="center"/>
          </w:tcPr>
          <w:p w14:paraId="1E7CCAD0">
            <w:pPr>
              <w:jc w:val="center"/>
              <w:rPr>
                <w:rFonts w:ascii="宋体" w:hAnsi="宋体"/>
                <w:color w:val="auto"/>
              </w:rPr>
            </w:pPr>
            <w:r>
              <w:rPr>
                <w:rFonts w:hint="eastAsia" w:ascii="宋体" w:hAnsi="宋体"/>
                <w:color w:val="auto"/>
              </w:rPr>
              <w:t>下风向1</w:t>
            </w:r>
          </w:p>
        </w:tc>
        <w:tc>
          <w:tcPr>
            <w:tcW w:w="1241" w:type="pct"/>
            <w:vAlign w:val="center"/>
          </w:tcPr>
          <w:p w14:paraId="11871F42">
            <w:pPr>
              <w:jc w:val="center"/>
              <w:rPr>
                <w:rFonts w:ascii="宋体" w:hAnsi="宋体"/>
                <w:color w:val="auto"/>
                <w:kern w:val="0"/>
              </w:rPr>
            </w:pPr>
            <w:r>
              <w:rPr>
                <w:rFonts w:ascii="宋体" w:hAnsi="宋体"/>
                <w:color w:val="auto"/>
                <w:szCs w:val="22"/>
              </w:rPr>
              <w:t>1.08</w:t>
            </w:r>
          </w:p>
        </w:tc>
        <w:tc>
          <w:tcPr>
            <w:tcW w:w="1241" w:type="pct"/>
          </w:tcPr>
          <w:p w14:paraId="6BBEEA01">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CE36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E4C08B5">
            <w:pPr>
              <w:widowControl/>
              <w:jc w:val="center"/>
              <w:rPr>
                <w:rFonts w:ascii="宋体" w:hAnsi="宋体"/>
                <w:color w:val="auto"/>
              </w:rPr>
            </w:pPr>
          </w:p>
        </w:tc>
        <w:tc>
          <w:tcPr>
            <w:tcW w:w="854" w:type="pct"/>
            <w:vMerge w:val="continue"/>
            <w:vAlign w:val="center"/>
          </w:tcPr>
          <w:p w14:paraId="1FBC7FFB">
            <w:pPr>
              <w:widowControl/>
              <w:jc w:val="center"/>
              <w:rPr>
                <w:rFonts w:ascii="宋体" w:hAnsi="宋体"/>
                <w:color w:val="auto"/>
              </w:rPr>
            </w:pPr>
          </w:p>
        </w:tc>
        <w:tc>
          <w:tcPr>
            <w:tcW w:w="607" w:type="pct"/>
            <w:vAlign w:val="center"/>
          </w:tcPr>
          <w:p w14:paraId="2FAECB3D">
            <w:pPr>
              <w:jc w:val="center"/>
              <w:rPr>
                <w:rFonts w:ascii="宋体" w:hAnsi="宋体"/>
                <w:color w:val="auto"/>
              </w:rPr>
            </w:pPr>
            <w:r>
              <w:rPr>
                <w:rFonts w:hint="eastAsia" w:ascii="宋体" w:hAnsi="宋体"/>
                <w:color w:val="auto"/>
              </w:rPr>
              <w:t>下风向2</w:t>
            </w:r>
          </w:p>
        </w:tc>
        <w:tc>
          <w:tcPr>
            <w:tcW w:w="1241" w:type="pct"/>
            <w:vAlign w:val="center"/>
          </w:tcPr>
          <w:p w14:paraId="12659200">
            <w:pPr>
              <w:jc w:val="center"/>
              <w:rPr>
                <w:rFonts w:ascii="宋体" w:hAnsi="宋体"/>
                <w:color w:val="auto"/>
                <w:kern w:val="0"/>
              </w:rPr>
            </w:pPr>
            <w:r>
              <w:rPr>
                <w:rFonts w:ascii="宋体" w:hAnsi="宋体"/>
                <w:color w:val="auto"/>
                <w:szCs w:val="22"/>
              </w:rPr>
              <w:t>1.17</w:t>
            </w:r>
          </w:p>
        </w:tc>
        <w:tc>
          <w:tcPr>
            <w:tcW w:w="1241" w:type="pct"/>
          </w:tcPr>
          <w:p w14:paraId="5EDD7A0E">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137F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1287C85">
            <w:pPr>
              <w:widowControl/>
              <w:jc w:val="center"/>
              <w:rPr>
                <w:rFonts w:ascii="宋体" w:hAnsi="宋体"/>
                <w:color w:val="auto"/>
              </w:rPr>
            </w:pPr>
          </w:p>
        </w:tc>
        <w:tc>
          <w:tcPr>
            <w:tcW w:w="854" w:type="pct"/>
            <w:vMerge w:val="continue"/>
            <w:vAlign w:val="center"/>
          </w:tcPr>
          <w:p w14:paraId="3A52CCAB">
            <w:pPr>
              <w:widowControl/>
              <w:jc w:val="center"/>
              <w:rPr>
                <w:rFonts w:ascii="宋体" w:hAnsi="宋体"/>
                <w:color w:val="auto"/>
              </w:rPr>
            </w:pPr>
          </w:p>
        </w:tc>
        <w:tc>
          <w:tcPr>
            <w:tcW w:w="607" w:type="pct"/>
            <w:vAlign w:val="center"/>
          </w:tcPr>
          <w:p w14:paraId="63D45D8C">
            <w:pPr>
              <w:jc w:val="center"/>
              <w:rPr>
                <w:rFonts w:ascii="宋体" w:hAnsi="宋体"/>
                <w:color w:val="auto"/>
              </w:rPr>
            </w:pPr>
            <w:r>
              <w:rPr>
                <w:rFonts w:hint="eastAsia" w:ascii="宋体" w:hAnsi="宋体"/>
                <w:color w:val="auto"/>
              </w:rPr>
              <w:t>下风向3</w:t>
            </w:r>
          </w:p>
        </w:tc>
        <w:tc>
          <w:tcPr>
            <w:tcW w:w="1241" w:type="pct"/>
            <w:vAlign w:val="center"/>
          </w:tcPr>
          <w:p w14:paraId="43967356">
            <w:pPr>
              <w:jc w:val="center"/>
              <w:rPr>
                <w:rFonts w:ascii="宋体" w:hAnsi="宋体"/>
                <w:color w:val="auto"/>
                <w:kern w:val="0"/>
              </w:rPr>
            </w:pPr>
            <w:r>
              <w:rPr>
                <w:rFonts w:ascii="宋体" w:hAnsi="宋体"/>
                <w:color w:val="auto"/>
                <w:szCs w:val="22"/>
              </w:rPr>
              <w:t>1.12</w:t>
            </w:r>
          </w:p>
        </w:tc>
        <w:tc>
          <w:tcPr>
            <w:tcW w:w="1241" w:type="pct"/>
          </w:tcPr>
          <w:p w14:paraId="2CD245F6">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94A0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DC5E448">
            <w:pPr>
              <w:widowControl/>
              <w:jc w:val="center"/>
              <w:rPr>
                <w:rFonts w:ascii="宋体" w:hAnsi="宋体"/>
                <w:color w:val="auto"/>
              </w:rPr>
            </w:pPr>
          </w:p>
        </w:tc>
        <w:tc>
          <w:tcPr>
            <w:tcW w:w="854" w:type="pct"/>
            <w:vMerge w:val="restart"/>
            <w:vAlign w:val="center"/>
          </w:tcPr>
          <w:p w14:paraId="5816CE73">
            <w:pPr>
              <w:jc w:val="center"/>
              <w:rPr>
                <w:rFonts w:ascii="宋体" w:hAnsi="宋体"/>
                <w:color w:val="auto"/>
              </w:rPr>
            </w:pPr>
            <w:r>
              <w:rPr>
                <w:rFonts w:hint="eastAsia" w:ascii="宋体" w:hAnsi="宋体"/>
                <w:color w:val="auto"/>
              </w:rPr>
              <w:t>第三次</w:t>
            </w:r>
          </w:p>
        </w:tc>
        <w:tc>
          <w:tcPr>
            <w:tcW w:w="607" w:type="pct"/>
            <w:vAlign w:val="center"/>
          </w:tcPr>
          <w:p w14:paraId="622F4492">
            <w:pPr>
              <w:jc w:val="center"/>
              <w:rPr>
                <w:rFonts w:ascii="宋体" w:hAnsi="宋体"/>
                <w:color w:val="auto"/>
              </w:rPr>
            </w:pPr>
            <w:r>
              <w:rPr>
                <w:rFonts w:hint="eastAsia" w:ascii="宋体" w:hAnsi="宋体"/>
                <w:color w:val="auto"/>
              </w:rPr>
              <w:t>上风向</w:t>
            </w:r>
          </w:p>
        </w:tc>
        <w:tc>
          <w:tcPr>
            <w:tcW w:w="1241" w:type="pct"/>
            <w:vAlign w:val="center"/>
          </w:tcPr>
          <w:p w14:paraId="10276597">
            <w:pPr>
              <w:widowControl/>
              <w:jc w:val="center"/>
              <w:rPr>
                <w:rFonts w:ascii="宋体" w:hAnsi="宋体"/>
                <w:color w:val="auto"/>
                <w:kern w:val="0"/>
              </w:rPr>
            </w:pPr>
            <w:r>
              <w:rPr>
                <w:rFonts w:ascii="宋体" w:hAnsi="宋体"/>
                <w:color w:val="auto"/>
                <w:szCs w:val="22"/>
              </w:rPr>
              <w:t>0.93</w:t>
            </w:r>
          </w:p>
        </w:tc>
        <w:tc>
          <w:tcPr>
            <w:tcW w:w="1241" w:type="pct"/>
          </w:tcPr>
          <w:p w14:paraId="43DA02D2">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F64F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E742253">
            <w:pPr>
              <w:widowControl/>
              <w:jc w:val="center"/>
              <w:rPr>
                <w:rFonts w:ascii="宋体" w:hAnsi="宋体"/>
                <w:color w:val="auto"/>
              </w:rPr>
            </w:pPr>
          </w:p>
        </w:tc>
        <w:tc>
          <w:tcPr>
            <w:tcW w:w="854" w:type="pct"/>
            <w:vMerge w:val="continue"/>
            <w:vAlign w:val="center"/>
          </w:tcPr>
          <w:p w14:paraId="5E47865C">
            <w:pPr>
              <w:widowControl/>
              <w:jc w:val="center"/>
              <w:rPr>
                <w:rFonts w:ascii="宋体" w:hAnsi="宋体"/>
                <w:color w:val="auto"/>
              </w:rPr>
            </w:pPr>
          </w:p>
        </w:tc>
        <w:tc>
          <w:tcPr>
            <w:tcW w:w="607" w:type="pct"/>
            <w:vAlign w:val="center"/>
          </w:tcPr>
          <w:p w14:paraId="4FE9B015">
            <w:pPr>
              <w:jc w:val="center"/>
              <w:rPr>
                <w:rFonts w:ascii="宋体" w:hAnsi="宋体"/>
                <w:color w:val="auto"/>
              </w:rPr>
            </w:pPr>
            <w:r>
              <w:rPr>
                <w:rFonts w:hint="eastAsia" w:ascii="宋体" w:hAnsi="宋体"/>
                <w:color w:val="auto"/>
              </w:rPr>
              <w:t>下风向1</w:t>
            </w:r>
          </w:p>
        </w:tc>
        <w:tc>
          <w:tcPr>
            <w:tcW w:w="1241" w:type="pct"/>
            <w:vAlign w:val="center"/>
          </w:tcPr>
          <w:p w14:paraId="60A1C4A1">
            <w:pPr>
              <w:jc w:val="center"/>
              <w:rPr>
                <w:rFonts w:ascii="宋体" w:hAnsi="宋体"/>
                <w:color w:val="auto"/>
                <w:kern w:val="0"/>
              </w:rPr>
            </w:pPr>
            <w:r>
              <w:rPr>
                <w:rFonts w:ascii="宋体" w:hAnsi="宋体"/>
                <w:color w:val="auto"/>
                <w:szCs w:val="22"/>
              </w:rPr>
              <w:t>1.18</w:t>
            </w:r>
          </w:p>
        </w:tc>
        <w:tc>
          <w:tcPr>
            <w:tcW w:w="1241" w:type="pct"/>
          </w:tcPr>
          <w:p w14:paraId="016C43F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BC17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7A4A760">
            <w:pPr>
              <w:widowControl/>
              <w:jc w:val="center"/>
              <w:rPr>
                <w:rFonts w:ascii="宋体" w:hAnsi="宋体"/>
                <w:color w:val="auto"/>
              </w:rPr>
            </w:pPr>
          </w:p>
        </w:tc>
        <w:tc>
          <w:tcPr>
            <w:tcW w:w="854" w:type="pct"/>
            <w:vMerge w:val="continue"/>
            <w:vAlign w:val="center"/>
          </w:tcPr>
          <w:p w14:paraId="0EC766AF">
            <w:pPr>
              <w:widowControl/>
              <w:jc w:val="center"/>
              <w:rPr>
                <w:rFonts w:ascii="宋体" w:hAnsi="宋体"/>
                <w:color w:val="auto"/>
              </w:rPr>
            </w:pPr>
          </w:p>
        </w:tc>
        <w:tc>
          <w:tcPr>
            <w:tcW w:w="607" w:type="pct"/>
            <w:vAlign w:val="center"/>
          </w:tcPr>
          <w:p w14:paraId="130A5CE7">
            <w:pPr>
              <w:jc w:val="center"/>
              <w:rPr>
                <w:rFonts w:ascii="宋体" w:hAnsi="宋体"/>
                <w:color w:val="auto"/>
              </w:rPr>
            </w:pPr>
            <w:r>
              <w:rPr>
                <w:rFonts w:hint="eastAsia" w:ascii="宋体" w:hAnsi="宋体"/>
                <w:color w:val="auto"/>
              </w:rPr>
              <w:t>下风向2</w:t>
            </w:r>
          </w:p>
        </w:tc>
        <w:tc>
          <w:tcPr>
            <w:tcW w:w="1241" w:type="pct"/>
            <w:vAlign w:val="center"/>
          </w:tcPr>
          <w:p w14:paraId="29BB68EE">
            <w:pPr>
              <w:jc w:val="center"/>
              <w:rPr>
                <w:rFonts w:ascii="宋体" w:hAnsi="宋体"/>
                <w:color w:val="auto"/>
                <w:kern w:val="0"/>
              </w:rPr>
            </w:pPr>
            <w:r>
              <w:rPr>
                <w:rFonts w:ascii="宋体" w:hAnsi="宋体"/>
                <w:color w:val="auto"/>
                <w:szCs w:val="22"/>
              </w:rPr>
              <w:t>1.29</w:t>
            </w:r>
          </w:p>
        </w:tc>
        <w:tc>
          <w:tcPr>
            <w:tcW w:w="1241" w:type="pct"/>
          </w:tcPr>
          <w:p w14:paraId="63294E5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FDC9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53F2752">
            <w:pPr>
              <w:widowControl/>
              <w:jc w:val="center"/>
              <w:rPr>
                <w:rFonts w:ascii="宋体" w:hAnsi="宋体"/>
                <w:color w:val="auto"/>
              </w:rPr>
            </w:pPr>
          </w:p>
        </w:tc>
        <w:tc>
          <w:tcPr>
            <w:tcW w:w="854" w:type="pct"/>
            <w:vMerge w:val="continue"/>
            <w:vAlign w:val="center"/>
          </w:tcPr>
          <w:p w14:paraId="600CF2AD">
            <w:pPr>
              <w:widowControl/>
              <w:jc w:val="center"/>
              <w:rPr>
                <w:rFonts w:ascii="宋体" w:hAnsi="宋体"/>
                <w:color w:val="auto"/>
              </w:rPr>
            </w:pPr>
          </w:p>
        </w:tc>
        <w:tc>
          <w:tcPr>
            <w:tcW w:w="607" w:type="pct"/>
            <w:vAlign w:val="center"/>
          </w:tcPr>
          <w:p w14:paraId="18813E8F">
            <w:pPr>
              <w:jc w:val="center"/>
              <w:rPr>
                <w:rFonts w:ascii="宋体" w:hAnsi="宋体"/>
                <w:color w:val="auto"/>
              </w:rPr>
            </w:pPr>
            <w:r>
              <w:rPr>
                <w:rFonts w:hint="eastAsia" w:ascii="宋体" w:hAnsi="宋体"/>
                <w:color w:val="auto"/>
              </w:rPr>
              <w:t>下风向3</w:t>
            </w:r>
          </w:p>
        </w:tc>
        <w:tc>
          <w:tcPr>
            <w:tcW w:w="1241" w:type="pct"/>
            <w:vAlign w:val="center"/>
          </w:tcPr>
          <w:p w14:paraId="102454F3">
            <w:pPr>
              <w:jc w:val="center"/>
              <w:rPr>
                <w:rFonts w:ascii="宋体" w:hAnsi="宋体"/>
                <w:color w:val="auto"/>
                <w:kern w:val="0"/>
              </w:rPr>
            </w:pPr>
            <w:r>
              <w:rPr>
                <w:rFonts w:ascii="宋体" w:hAnsi="宋体"/>
                <w:color w:val="auto"/>
                <w:szCs w:val="22"/>
              </w:rPr>
              <w:t>1.16</w:t>
            </w:r>
          </w:p>
        </w:tc>
        <w:tc>
          <w:tcPr>
            <w:tcW w:w="1241" w:type="pct"/>
          </w:tcPr>
          <w:p w14:paraId="20BAC1A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9277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21B7CA7">
            <w:pPr>
              <w:widowControl/>
              <w:jc w:val="center"/>
              <w:rPr>
                <w:rFonts w:ascii="宋体" w:hAnsi="宋体"/>
                <w:color w:val="auto"/>
              </w:rPr>
            </w:pPr>
          </w:p>
        </w:tc>
        <w:tc>
          <w:tcPr>
            <w:tcW w:w="854" w:type="pct"/>
            <w:vMerge w:val="restart"/>
            <w:vAlign w:val="center"/>
          </w:tcPr>
          <w:p w14:paraId="3F9F98AE">
            <w:pPr>
              <w:widowControl/>
              <w:jc w:val="center"/>
              <w:rPr>
                <w:rFonts w:ascii="宋体" w:hAnsi="宋体"/>
                <w:color w:val="auto"/>
              </w:rPr>
            </w:pPr>
            <w:r>
              <w:rPr>
                <w:rFonts w:hint="eastAsia" w:ascii="宋体" w:hAnsi="宋体"/>
                <w:color w:val="auto"/>
              </w:rPr>
              <w:t>第四次</w:t>
            </w:r>
          </w:p>
        </w:tc>
        <w:tc>
          <w:tcPr>
            <w:tcW w:w="607" w:type="pct"/>
            <w:vAlign w:val="center"/>
          </w:tcPr>
          <w:p w14:paraId="7940A4F1">
            <w:pPr>
              <w:jc w:val="center"/>
              <w:rPr>
                <w:rFonts w:ascii="宋体" w:hAnsi="宋体"/>
                <w:color w:val="auto"/>
              </w:rPr>
            </w:pPr>
            <w:r>
              <w:rPr>
                <w:rFonts w:hint="eastAsia" w:ascii="宋体" w:hAnsi="宋体"/>
                <w:color w:val="auto"/>
              </w:rPr>
              <w:t>上风向</w:t>
            </w:r>
          </w:p>
        </w:tc>
        <w:tc>
          <w:tcPr>
            <w:tcW w:w="1241" w:type="pct"/>
            <w:vAlign w:val="center"/>
          </w:tcPr>
          <w:p w14:paraId="53A4BA62">
            <w:pPr>
              <w:jc w:val="center"/>
              <w:rPr>
                <w:rFonts w:ascii="宋体" w:hAnsi="宋体"/>
                <w:color w:val="auto"/>
                <w:szCs w:val="22"/>
              </w:rPr>
            </w:pPr>
            <w:r>
              <w:rPr>
                <w:rFonts w:hint="eastAsia" w:ascii="宋体" w:hAnsi="宋体"/>
                <w:color w:val="auto"/>
                <w:szCs w:val="22"/>
              </w:rPr>
              <w:t>/</w:t>
            </w:r>
          </w:p>
        </w:tc>
        <w:tc>
          <w:tcPr>
            <w:tcW w:w="1241" w:type="pct"/>
          </w:tcPr>
          <w:p w14:paraId="6071F54B">
            <w:pPr>
              <w:jc w:val="center"/>
              <w:rPr>
                <w:rFonts w:ascii="宋体" w:hAnsi="宋体"/>
                <w:color w:val="auto"/>
                <w:szCs w:val="22"/>
              </w:rPr>
            </w:pPr>
            <w:r>
              <w:rPr>
                <w:rFonts w:hint="eastAsia" w:ascii="宋体" w:hAnsi="宋体"/>
                <w:color w:val="auto"/>
                <w:szCs w:val="22"/>
              </w:rPr>
              <w:t>ND</w:t>
            </w:r>
          </w:p>
        </w:tc>
      </w:tr>
      <w:tr w14:paraId="615C0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4170B4F">
            <w:pPr>
              <w:widowControl/>
              <w:jc w:val="center"/>
              <w:rPr>
                <w:rFonts w:ascii="宋体" w:hAnsi="宋体"/>
                <w:color w:val="auto"/>
              </w:rPr>
            </w:pPr>
          </w:p>
        </w:tc>
        <w:tc>
          <w:tcPr>
            <w:tcW w:w="854" w:type="pct"/>
            <w:vMerge w:val="continue"/>
            <w:vAlign w:val="center"/>
          </w:tcPr>
          <w:p w14:paraId="465A30B7">
            <w:pPr>
              <w:widowControl/>
              <w:jc w:val="center"/>
              <w:rPr>
                <w:rFonts w:ascii="宋体" w:hAnsi="宋体"/>
                <w:color w:val="auto"/>
              </w:rPr>
            </w:pPr>
          </w:p>
        </w:tc>
        <w:tc>
          <w:tcPr>
            <w:tcW w:w="607" w:type="pct"/>
            <w:vAlign w:val="center"/>
          </w:tcPr>
          <w:p w14:paraId="3C349E06">
            <w:pPr>
              <w:jc w:val="center"/>
              <w:rPr>
                <w:rFonts w:ascii="宋体" w:hAnsi="宋体"/>
                <w:color w:val="auto"/>
              </w:rPr>
            </w:pPr>
            <w:r>
              <w:rPr>
                <w:rFonts w:hint="eastAsia" w:ascii="宋体" w:hAnsi="宋体"/>
                <w:color w:val="auto"/>
              </w:rPr>
              <w:t>下风向1</w:t>
            </w:r>
          </w:p>
        </w:tc>
        <w:tc>
          <w:tcPr>
            <w:tcW w:w="1241" w:type="pct"/>
            <w:vAlign w:val="center"/>
          </w:tcPr>
          <w:p w14:paraId="2CE19331">
            <w:pPr>
              <w:jc w:val="center"/>
              <w:rPr>
                <w:rFonts w:ascii="宋体" w:hAnsi="宋体"/>
                <w:color w:val="auto"/>
                <w:szCs w:val="22"/>
              </w:rPr>
            </w:pPr>
            <w:r>
              <w:rPr>
                <w:rFonts w:ascii="宋体" w:hAnsi="宋体"/>
                <w:color w:val="auto"/>
                <w:szCs w:val="22"/>
              </w:rPr>
              <w:t>/</w:t>
            </w:r>
          </w:p>
        </w:tc>
        <w:tc>
          <w:tcPr>
            <w:tcW w:w="1241" w:type="pct"/>
          </w:tcPr>
          <w:p w14:paraId="77BB4A7F">
            <w:pPr>
              <w:jc w:val="center"/>
              <w:rPr>
                <w:rFonts w:ascii="宋体" w:hAnsi="宋体"/>
                <w:color w:val="auto"/>
                <w:szCs w:val="22"/>
              </w:rPr>
            </w:pPr>
            <w:r>
              <w:rPr>
                <w:rFonts w:hint="eastAsia" w:ascii="宋体" w:hAnsi="宋体"/>
                <w:color w:val="auto"/>
                <w:szCs w:val="22"/>
              </w:rPr>
              <w:t>ND</w:t>
            </w:r>
          </w:p>
        </w:tc>
      </w:tr>
      <w:tr w14:paraId="1E7D3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0180B12">
            <w:pPr>
              <w:widowControl/>
              <w:jc w:val="center"/>
              <w:rPr>
                <w:rFonts w:ascii="宋体" w:hAnsi="宋体"/>
                <w:color w:val="auto"/>
              </w:rPr>
            </w:pPr>
          </w:p>
        </w:tc>
        <w:tc>
          <w:tcPr>
            <w:tcW w:w="854" w:type="pct"/>
            <w:vMerge w:val="continue"/>
            <w:vAlign w:val="center"/>
          </w:tcPr>
          <w:p w14:paraId="736ED429">
            <w:pPr>
              <w:widowControl/>
              <w:jc w:val="center"/>
              <w:rPr>
                <w:rFonts w:ascii="宋体" w:hAnsi="宋体"/>
                <w:color w:val="auto"/>
              </w:rPr>
            </w:pPr>
          </w:p>
        </w:tc>
        <w:tc>
          <w:tcPr>
            <w:tcW w:w="607" w:type="pct"/>
            <w:vAlign w:val="center"/>
          </w:tcPr>
          <w:p w14:paraId="3D2D842F">
            <w:pPr>
              <w:jc w:val="center"/>
              <w:rPr>
                <w:rFonts w:ascii="宋体" w:hAnsi="宋体"/>
                <w:color w:val="auto"/>
              </w:rPr>
            </w:pPr>
            <w:r>
              <w:rPr>
                <w:rFonts w:hint="eastAsia" w:ascii="宋体" w:hAnsi="宋体"/>
                <w:color w:val="auto"/>
              </w:rPr>
              <w:t>下风向2</w:t>
            </w:r>
          </w:p>
        </w:tc>
        <w:tc>
          <w:tcPr>
            <w:tcW w:w="1241" w:type="pct"/>
            <w:vAlign w:val="center"/>
          </w:tcPr>
          <w:p w14:paraId="67576E8C">
            <w:pPr>
              <w:jc w:val="center"/>
              <w:rPr>
                <w:rFonts w:ascii="宋体" w:hAnsi="宋体"/>
                <w:color w:val="auto"/>
                <w:szCs w:val="22"/>
              </w:rPr>
            </w:pPr>
            <w:r>
              <w:rPr>
                <w:rFonts w:ascii="宋体" w:hAnsi="宋体"/>
                <w:color w:val="auto"/>
                <w:szCs w:val="22"/>
              </w:rPr>
              <w:t>/</w:t>
            </w:r>
          </w:p>
        </w:tc>
        <w:tc>
          <w:tcPr>
            <w:tcW w:w="1241" w:type="pct"/>
          </w:tcPr>
          <w:p w14:paraId="2C3F13B8">
            <w:pPr>
              <w:jc w:val="center"/>
              <w:rPr>
                <w:rFonts w:ascii="宋体" w:hAnsi="宋体"/>
                <w:color w:val="auto"/>
                <w:szCs w:val="22"/>
              </w:rPr>
            </w:pPr>
            <w:r>
              <w:rPr>
                <w:rFonts w:hint="eastAsia" w:ascii="宋体" w:hAnsi="宋体"/>
                <w:color w:val="auto"/>
                <w:szCs w:val="22"/>
              </w:rPr>
              <w:t>ND</w:t>
            </w:r>
          </w:p>
        </w:tc>
      </w:tr>
      <w:tr w14:paraId="5831C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9B3893B">
            <w:pPr>
              <w:widowControl/>
              <w:jc w:val="center"/>
              <w:rPr>
                <w:rFonts w:ascii="宋体" w:hAnsi="宋体"/>
                <w:color w:val="auto"/>
              </w:rPr>
            </w:pPr>
          </w:p>
        </w:tc>
        <w:tc>
          <w:tcPr>
            <w:tcW w:w="854" w:type="pct"/>
            <w:vMerge w:val="continue"/>
            <w:vAlign w:val="center"/>
          </w:tcPr>
          <w:p w14:paraId="00D7BB6A">
            <w:pPr>
              <w:widowControl/>
              <w:jc w:val="center"/>
              <w:rPr>
                <w:rFonts w:ascii="宋体" w:hAnsi="宋体"/>
                <w:color w:val="auto"/>
              </w:rPr>
            </w:pPr>
          </w:p>
        </w:tc>
        <w:tc>
          <w:tcPr>
            <w:tcW w:w="607" w:type="pct"/>
            <w:vAlign w:val="center"/>
          </w:tcPr>
          <w:p w14:paraId="30E2D95C">
            <w:pPr>
              <w:jc w:val="center"/>
              <w:rPr>
                <w:rFonts w:ascii="宋体" w:hAnsi="宋体"/>
                <w:color w:val="auto"/>
              </w:rPr>
            </w:pPr>
            <w:r>
              <w:rPr>
                <w:rFonts w:hint="eastAsia" w:ascii="宋体" w:hAnsi="宋体"/>
                <w:color w:val="auto"/>
              </w:rPr>
              <w:t>下风向3</w:t>
            </w:r>
          </w:p>
        </w:tc>
        <w:tc>
          <w:tcPr>
            <w:tcW w:w="1241" w:type="pct"/>
            <w:vAlign w:val="center"/>
          </w:tcPr>
          <w:p w14:paraId="0E6442CA">
            <w:pPr>
              <w:jc w:val="center"/>
              <w:rPr>
                <w:rFonts w:ascii="宋体" w:hAnsi="宋体"/>
                <w:color w:val="auto"/>
                <w:szCs w:val="22"/>
              </w:rPr>
            </w:pPr>
            <w:r>
              <w:rPr>
                <w:rFonts w:ascii="宋体" w:hAnsi="宋体"/>
                <w:color w:val="auto"/>
                <w:szCs w:val="22"/>
              </w:rPr>
              <w:t>/</w:t>
            </w:r>
          </w:p>
        </w:tc>
        <w:tc>
          <w:tcPr>
            <w:tcW w:w="1241" w:type="pct"/>
          </w:tcPr>
          <w:p w14:paraId="5A2B7458">
            <w:pPr>
              <w:jc w:val="center"/>
              <w:rPr>
                <w:rFonts w:ascii="宋体" w:hAnsi="宋体"/>
                <w:color w:val="auto"/>
                <w:szCs w:val="22"/>
              </w:rPr>
            </w:pPr>
            <w:r>
              <w:rPr>
                <w:rFonts w:hint="eastAsia" w:ascii="宋体" w:hAnsi="宋体"/>
                <w:color w:val="auto"/>
                <w:szCs w:val="22"/>
              </w:rPr>
              <w:t>ND</w:t>
            </w:r>
          </w:p>
        </w:tc>
      </w:tr>
      <w:tr w14:paraId="41F14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0" w:type="pct"/>
            <w:gridSpan w:val="2"/>
            <w:vAlign w:val="center"/>
          </w:tcPr>
          <w:p w14:paraId="50D74BDD">
            <w:pPr>
              <w:adjustRightInd w:val="0"/>
              <w:snapToGrid w:val="0"/>
              <w:jc w:val="center"/>
              <w:rPr>
                <w:rFonts w:ascii="宋体" w:hAnsi="宋体"/>
                <w:color w:val="auto"/>
              </w:rPr>
            </w:pPr>
            <w:bookmarkStart w:id="414" w:name="OLE_LINK84"/>
            <w:bookmarkStart w:id="415" w:name="OLE_LINK79"/>
            <w:r>
              <w:rPr>
                <w:rFonts w:ascii="宋体" w:hAnsi="宋体"/>
                <w:color w:val="auto"/>
              </w:rPr>
              <w:t>检测位置</w:t>
            </w:r>
          </w:p>
        </w:tc>
        <w:tc>
          <w:tcPr>
            <w:tcW w:w="3090" w:type="pct"/>
            <w:gridSpan w:val="3"/>
            <w:vAlign w:val="center"/>
          </w:tcPr>
          <w:p w14:paraId="5AC78E1B">
            <w:pPr>
              <w:adjustRightInd w:val="0"/>
              <w:snapToGrid w:val="0"/>
              <w:jc w:val="center"/>
              <w:rPr>
                <w:rFonts w:ascii="宋体" w:hAnsi="宋体"/>
                <w:color w:val="auto"/>
              </w:rPr>
            </w:pPr>
            <w:r>
              <w:rPr>
                <w:rFonts w:ascii="宋体" w:hAnsi="宋体"/>
                <w:color w:val="auto"/>
              </w:rPr>
              <w:t>7#</w:t>
            </w:r>
            <w:r>
              <w:rPr>
                <w:rFonts w:hint="eastAsia" w:ascii="宋体" w:hAnsi="宋体"/>
                <w:color w:val="auto"/>
              </w:rPr>
              <w:t>井场厂界</w:t>
            </w:r>
          </w:p>
        </w:tc>
      </w:tr>
      <w:tr w14:paraId="57AAA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586289B8">
            <w:pPr>
              <w:adjustRightInd w:val="0"/>
              <w:snapToGrid w:val="0"/>
              <w:jc w:val="center"/>
              <w:rPr>
                <w:rFonts w:ascii="宋体" w:hAnsi="宋体"/>
                <w:color w:val="auto"/>
              </w:rPr>
            </w:pPr>
            <w:r>
              <w:rPr>
                <w:rFonts w:ascii="宋体" w:hAnsi="宋体"/>
                <w:color w:val="auto"/>
              </w:rPr>
              <w:t>采样日期</w:t>
            </w:r>
          </w:p>
        </w:tc>
        <w:tc>
          <w:tcPr>
            <w:tcW w:w="854" w:type="pct"/>
            <w:vMerge w:val="restart"/>
            <w:vAlign w:val="center"/>
          </w:tcPr>
          <w:p w14:paraId="42C67F64">
            <w:pPr>
              <w:adjustRightInd w:val="0"/>
              <w:snapToGrid w:val="0"/>
              <w:jc w:val="center"/>
              <w:rPr>
                <w:rFonts w:ascii="宋体" w:hAnsi="宋体"/>
                <w:color w:val="auto"/>
              </w:rPr>
            </w:pPr>
            <w:r>
              <w:rPr>
                <w:rFonts w:ascii="宋体" w:hAnsi="宋体"/>
                <w:color w:val="auto"/>
              </w:rPr>
              <w:t>采样时间</w:t>
            </w:r>
          </w:p>
        </w:tc>
        <w:tc>
          <w:tcPr>
            <w:tcW w:w="607" w:type="pct"/>
            <w:vMerge w:val="restart"/>
            <w:vAlign w:val="center"/>
          </w:tcPr>
          <w:p w14:paraId="2428D3B7">
            <w:pPr>
              <w:adjustRightInd w:val="0"/>
              <w:snapToGrid w:val="0"/>
              <w:jc w:val="center"/>
              <w:rPr>
                <w:rFonts w:ascii="宋体" w:hAnsi="宋体"/>
                <w:color w:val="auto"/>
              </w:rPr>
            </w:pPr>
            <w:r>
              <w:rPr>
                <w:rFonts w:ascii="宋体" w:hAnsi="宋体"/>
                <w:color w:val="auto"/>
              </w:rPr>
              <w:t>具体点位</w:t>
            </w:r>
          </w:p>
        </w:tc>
        <w:tc>
          <w:tcPr>
            <w:tcW w:w="2483" w:type="pct"/>
            <w:gridSpan w:val="2"/>
            <w:vAlign w:val="center"/>
          </w:tcPr>
          <w:p w14:paraId="078714C9">
            <w:pPr>
              <w:jc w:val="center"/>
              <w:rPr>
                <w:rFonts w:ascii="宋体" w:hAnsi="宋体"/>
                <w:color w:val="auto"/>
              </w:rPr>
            </w:pPr>
            <w:r>
              <w:rPr>
                <w:rFonts w:ascii="宋体" w:hAnsi="宋体"/>
                <w:color w:val="auto"/>
              </w:rPr>
              <w:t>检测结果均值(mg/m</w:t>
            </w:r>
            <w:r>
              <w:rPr>
                <w:rFonts w:ascii="宋体" w:hAnsi="宋体"/>
                <w:color w:val="auto"/>
                <w:vertAlign w:val="superscript"/>
              </w:rPr>
              <w:t>3</w:t>
            </w:r>
            <w:r>
              <w:rPr>
                <w:rFonts w:ascii="宋体" w:hAnsi="宋体"/>
                <w:color w:val="auto"/>
              </w:rPr>
              <w:t>)</w:t>
            </w:r>
          </w:p>
        </w:tc>
      </w:tr>
      <w:tr w14:paraId="12445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B5BD3A2">
            <w:pPr>
              <w:adjustRightInd w:val="0"/>
              <w:snapToGrid w:val="0"/>
              <w:jc w:val="center"/>
              <w:rPr>
                <w:rFonts w:ascii="宋体" w:hAnsi="宋体"/>
                <w:color w:val="auto"/>
              </w:rPr>
            </w:pPr>
          </w:p>
        </w:tc>
        <w:tc>
          <w:tcPr>
            <w:tcW w:w="854" w:type="pct"/>
            <w:vMerge w:val="continue"/>
            <w:vAlign w:val="center"/>
          </w:tcPr>
          <w:p w14:paraId="70768458">
            <w:pPr>
              <w:adjustRightInd w:val="0"/>
              <w:snapToGrid w:val="0"/>
              <w:jc w:val="center"/>
              <w:rPr>
                <w:rFonts w:ascii="宋体" w:hAnsi="宋体"/>
                <w:color w:val="auto"/>
              </w:rPr>
            </w:pPr>
          </w:p>
        </w:tc>
        <w:tc>
          <w:tcPr>
            <w:tcW w:w="607" w:type="pct"/>
            <w:vMerge w:val="continue"/>
            <w:vAlign w:val="center"/>
          </w:tcPr>
          <w:p w14:paraId="5C767817">
            <w:pPr>
              <w:adjustRightInd w:val="0"/>
              <w:snapToGrid w:val="0"/>
              <w:jc w:val="center"/>
              <w:rPr>
                <w:rFonts w:ascii="宋体" w:hAnsi="宋体"/>
                <w:color w:val="auto"/>
              </w:rPr>
            </w:pPr>
          </w:p>
        </w:tc>
        <w:tc>
          <w:tcPr>
            <w:tcW w:w="1241" w:type="pct"/>
            <w:vAlign w:val="center"/>
          </w:tcPr>
          <w:p w14:paraId="175A4386">
            <w:pPr>
              <w:jc w:val="center"/>
              <w:rPr>
                <w:rFonts w:ascii="宋体" w:hAnsi="宋体"/>
                <w:color w:val="auto"/>
              </w:rPr>
            </w:pPr>
            <w:r>
              <w:rPr>
                <w:rFonts w:hint="eastAsia" w:ascii="宋体" w:hAnsi="宋体"/>
                <w:color w:val="auto"/>
              </w:rPr>
              <w:t>非甲烷总烃</w:t>
            </w:r>
          </w:p>
        </w:tc>
        <w:tc>
          <w:tcPr>
            <w:tcW w:w="1241" w:type="pct"/>
            <w:vAlign w:val="center"/>
          </w:tcPr>
          <w:p w14:paraId="4136A860">
            <w:pPr>
              <w:jc w:val="center"/>
              <w:rPr>
                <w:rFonts w:ascii="宋体" w:hAnsi="宋体"/>
                <w:color w:val="auto"/>
              </w:rPr>
            </w:pPr>
            <w:r>
              <w:rPr>
                <w:rFonts w:hint="eastAsia" w:ascii="宋体" w:hAnsi="宋体"/>
                <w:color w:val="auto"/>
              </w:rPr>
              <w:t>硫化氢</w:t>
            </w:r>
          </w:p>
        </w:tc>
      </w:tr>
      <w:tr w14:paraId="60D91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46A757E8">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月5日</w:t>
            </w:r>
          </w:p>
        </w:tc>
        <w:tc>
          <w:tcPr>
            <w:tcW w:w="854" w:type="pct"/>
            <w:vMerge w:val="restart"/>
            <w:vAlign w:val="center"/>
          </w:tcPr>
          <w:p w14:paraId="34C20810">
            <w:pPr>
              <w:jc w:val="center"/>
              <w:rPr>
                <w:rFonts w:ascii="宋体" w:hAnsi="宋体"/>
                <w:color w:val="auto"/>
              </w:rPr>
            </w:pPr>
            <w:r>
              <w:rPr>
                <w:rFonts w:hint="eastAsia" w:ascii="宋体" w:hAnsi="宋体"/>
                <w:color w:val="auto"/>
              </w:rPr>
              <w:t>第一次</w:t>
            </w:r>
          </w:p>
        </w:tc>
        <w:tc>
          <w:tcPr>
            <w:tcW w:w="607" w:type="pct"/>
            <w:vAlign w:val="center"/>
          </w:tcPr>
          <w:p w14:paraId="4B13511A">
            <w:pPr>
              <w:jc w:val="center"/>
              <w:rPr>
                <w:rFonts w:ascii="宋体" w:hAnsi="宋体"/>
                <w:color w:val="auto"/>
              </w:rPr>
            </w:pPr>
            <w:r>
              <w:rPr>
                <w:rFonts w:hint="eastAsia" w:ascii="宋体" w:hAnsi="宋体"/>
                <w:color w:val="auto"/>
              </w:rPr>
              <w:t>上风向</w:t>
            </w:r>
          </w:p>
        </w:tc>
        <w:tc>
          <w:tcPr>
            <w:tcW w:w="1241" w:type="pct"/>
            <w:vAlign w:val="center"/>
          </w:tcPr>
          <w:p w14:paraId="6D349F93">
            <w:pPr>
              <w:widowControl/>
              <w:jc w:val="center"/>
              <w:rPr>
                <w:rFonts w:ascii="宋体" w:hAnsi="宋体"/>
                <w:color w:val="auto"/>
                <w:kern w:val="0"/>
              </w:rPr>
            </w:pPr>
            <w:r>
              <w:rPr>
                <w:rFonts w:ascii="宋体" w:hAnsi="宋体"/>
                <w:color w:val="auto"/>
                <w:szCs w:val="22"/>
              </w:rPr>
              <w:t>0.96</w:t>
            </w:r>
          </w:p>
        </w:tc>
        <w:tc>
          <w:tcPr>
            <w:tcW w:w="1241" w:type="pct"/>
          </w:tcPr>
          <w:p w14:paraId="6C4D3698">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6FBB6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05C82CD">
            <w:pPr>
              <w:widowControl/>
              <w:jc w:val="center"/>
              <w:rPr>
                <w:rFonts w:ascii="宋体" w:hAnsi="宋体"/>
                <w:color w:val="auto"/>
              </w:rPr>
            </w:pPr>
          </w:p>
        </w:tc>
        <w:tc>
          <w:tcPr>
            <w:tcW w:w="854" w:type="pct"/>
            <w:vMerge w:val="continue"/>
            <w:vAlign w:val="center"/>
          </w:tcPr>
          <w:p w14:paraId="1E49B944">
            <w:pPr>
              <w:widowControl/>
              <w:jc w:val="center"/>
              <w:rPr>
                <w:rFonts w:ascii="宋体" w:hAnsi="宋体"/>
                <w:color w:val="auto"/>
              </w:rPr>
            </w:pPr>
          </w:p>
        </w:tc>
        <w:tc>
          <w:tcPr>
            <w:tcW w:w="607" w:type="pct"/>
            <w:vAlign w:val="center"/>
          </w:tcPr>
          <w:p w14:paraId="291F48EB">
            <w:pPr>
              <w:jc w:val="center"/>
              <w:rPr>
                <w:rFonts w:ascii="宋体" w:hAnsi="宋体"/>
                <w:color w:val="auto"/>
              </w:rPr>
            </w:pPr>
            <w:r>
              <w:rPr>
                <w:rFonts w:hint="eastAsia" w:ascii="宋体" w:hAnsi="宋体"/>
                <w:color w:val="auto"/>
              </w:rPr>
              <w:t>下风向1</w:t>
            </w:r>
          </w:p>
        </w:tc>
        <w:tc>
          <w:tcPr>
            <w:tcW w:w="1241" w:type="pct"/>
            <w:vAlign w:val="center"/>
          </w:tcPr>
          <w:p w14:paraId="2C589956">
            <w:pPr>
              <w:jc w:val="center"/>
              <w:rPr>
                <w:rFonts w:ascii="宋体" w:hAnsi="宋体"/>
                <w:color w:val="auto"/>
                <w:kern w:val="0"/>
              </w:rPr>
            </w:pPr>
            <w:r>
              <w:rPr>
                <w:rFonts w:ascii="宋体" w:hAnsi="宋体"/>
                <w:color w:val="auto"/>
                <w:szCs w:val="22"/>
              </w:rPr>
              <w:t>1.20</w:t>
            </w:r>
          </w:p>
        </w:tc>
        <w:tc>
          <w:tcPr>
            <w:tcW w:w="1241" w:type="pct"/>
          </w:tcPr>
          <w:p w14:paraId="722A5CE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9164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1BB7057">
            <w:pPr>
              <w:widowControl/>
              <w:jc w:val="center"/>
              <w:rPr>
                <w:rFonts w:ascii="宋体" w:hAnsi="宋体"/>
                <w:color w:val="auto"/>
              </w:rPr>
            </w:pPr>
          </w:p>
        </w:tc>
        <w:tc>
          <w:tcPr>
            <w:tcW w:w="854" w:type="pct"/>
            <w:vMerge w:val="continue"/>
            <w:vAlign w:val="center"/>
          </w:tcPr>
          <w:p w14:paraId="4A256950">
            <w:pPr>
              <w:widowControl/>
              <w:jc w:val="center"/>
              <w:rPr>
                <w:rFonts w:ascii="宋体" w:hAnsi="宋体"/>
                <w:color w:val="auto"/>
              </w:rPr>
            </w:pPr>
          </w:p>
        </w:tc>
        <w:tc>
          <w:tcPr>
            <w:tcW w:w="607" w:type="pct"/>
            <w:vAlign w:val="center"/>
          </w:tcPr>
          <w:p w14:paraId="6B824C2D">
            <w:pPr>
              <w:jc w:val="center"/>
              <w:rPr>
                <w:rFonts w:ascii="宋体" w:hAnsi="宋体"/>
                <w:color w:val="auto"/>
              </w:rPr>
            </w:pPr>
            <w:r>
              <w:rPr>
                <w:rFonts w:hint="eastAsia" w:ascii="宋体" w:hAnsi="宋体"/>
                <w:color w:val="auto"/>
              </w:rPr>
              <w:t>下风向2</w:t>
            </w:r>
          </w:p>
        </w:tc>
        <w:tc>
          <w:tcPr>
            <w:tcW w:w="1241" w:type="pct"/>
            <w:vAlign w:val="center"/>
          </w:tcPr>
          <w:p w14:paraId="1CD3AF4C">
            <w:pPr>
              <w:jc w:val="center"/>
              <w:rPr>
                <w:rFonts w:ascii="宋体" w:hAnsi="宋体"/>
                <w:color w:val="auto"/>
                <w:kern w:val="0"/>
              </w:rPr>
            </w:pPr>
            <w:r>
              <w:rPr>
                <w:rFonts w:ascii="宋体" w:hAnsi="宋体"/>
                <w:color w:val="auto"/>
                <w:szCs w:val="22"/>
              </w:rPr>
              <w:t>1.17</w:t>
            </w:r>
          </w:p>
        </w:tc>
        <w:tc>
          <w:tcPr>
            <w:tcW w:w="1241" w:type="pct"/>
          </w:tcPr>
          <w:p w14:paraId="335D5C09">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0F2A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B2EF158">
            <w:pPr>
              <w:widowControl/>
              <w:jc w:val="center"/>
              <w:rPr>
                <w:rFonts w:ascii="宋体" w:hAnsi="宋体"/>
                <w:color w:val="auto"/>
              </w:rPr>
            </w:pPr>
          </w:p>
        </w:tc>
        <w:tc>
          <w:tcPr>
            <w:tcW w:w="854" w:type="pct"/>
            <w:vMerge w:val="continue"/>
            <w:vAlign w:val="center"/>
          </w:tcPr>
          <w:p w14:paraId="1AEDF0E8">
            <w:pPr>
              <w:widowControl/>
              <w:jc w:val="center"/>
              <w:rPr>
                <w:rFonts w:ascii="宋体" w:hAnsi="宋体"/>
                <w:color w:val="auto"/>
              </w:rPr>
            </w:pPr>
          </w:p>
        </w:tc>
        <w:tc>
          <w:tcPr>
            <w:tcW w:w="607" w:type="pct"/>
            <w:vAlign w:val="center"/>
          </w:tcPr>
          <w:p w14:paraId="696E4D9D">
            <w:pPr>
              <w:jc w:val="center"/>
              <w:rPr>
                <w:rFonts w:ascii="宋体" w:hAnsi="宋体"/>
                <w:color w:val="auto"/>
              </w:rPr>
            </w:pPr>
            <w:r>
              <w:rPr>
                <w:rFonts w:hint="eastAsia" w:ascii="宋体" w:hAnsi="宋体"/>
                <w:color w:val="auto"/>
              </w:rPr>
              <w:t>下风向3</w:t>
            </w:r>
          </w:p>
        </w:tc>
        <w:tc>
          <w:tcPr>
            <w:tcW w:w="1241" w:type="pct"/>
            <w:vAlign w:val="center"/>
          </w:tcPr>
          <w:p w14:paraId="24229E0C">
            <w:pPr>
              <w:jc w:val="center"/>
              <w:rPr>
                <w:rFonts w:ascii="宋体" w:hAnsi="宋体"/>
                <w:color w:val="auto"/>
                <w:kern w:val="0"/>
              </w:rPr>
            </w:pPr>
            <w:r>
              <w:rPr>
                <w:rFonts w:ascii="宋体" w:hAnsi="宋体"/>
                <w:color w:val="auto"/>
                <w:szCs w:val="22"/>
              </w:rPr>
              <w:t>1.17</w:t>
            </w:r>
          </w:p>
        </w:tc>
        <w:tc>
          <w:tcPr>
            <w:tcW w:w="1241" w:type="pct"/>
          </w:tcPr>
          <w:p w14:paraId="40F01498">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61572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965E891">
            <w:pPr>
              <w:widowControl/>
              <w:jc w:val="center"/>
              <w:rPr>
                <w:rFonts w:ascii="宋体" w:hAnsi="宋体"/>
                <w:color w:val="auto"/>
              </w:rPr>
            </w:pPr>
          </w:p>
        </w:tc>
        <w:tc>
          <w:tcPr>
            <w:tcW w:w="854" w:type="pct"/>
            <w:vMerge w:val="restart"/>
            <w:vAlign w:val="center"/>
          </w:tcPr>
          <w:p w14:paraId="6180ACF3">
            <w:pPr>
              <w:jc w:val="center"/>
              <w:rPr>
                <w:rFonts w:ascii="宋体" w:hAnsi="宋体"/>
                <w:color w:val="auto"/>
              </w:rPr>
            </w:pPr>
            <w:r>
              <w:rPr>
                <w:rFonts w:hint="eastAsia" w:ascii="宋体" w:hAnsi="宋体"/>
                <w:color w:val="auto"/>
              </w:rPr>
              <w:t>第二次</w:t>
            </w:r>
          </w:p>
        </w:tc>
        <w:tc>
          <w:tcPr>
            <w:tcW w:w="607" w:type="pct"/>
            <w:vAlign w:val="center"/>
          </w:tcPr>
          <w:p w14:paraId="0179E8B9">
            <w:pPr>
              <w:jc w:val="center"/>
              <w:rPr>
                <w:rFonts w:ascii="宋体" w:hAnsi="宋体"/>
                <w:color w:val="auto"/>
              </w:rPr>
            </w:pPr>
            <w:r>
              <w:rPr>
                <w:rFonts w:hint="eastAsia" w:ascii="宋体" w:hAnsi="宋体"/>
                <w:color w:val="auto"/>
              </w:rPr>
              <w:t>上风向</w:t>
            </w:r>
          </w:p>
        </w:tc>
        <w:tc>
          <w:tcPr>
            <w:tcW w:w="1241" w:type="pct"/>
            <w:vAlign w:val="center"/>
          </w:tcPr>
          <w:p w14:paraId="17124D92">
            <w:pPr>
              <w:widowControl/>
              <w:jc w:val="center"/>
              <w:rPr>
                <w:rFonts w:ascii="宋体" w:hAnsi="宋体"/>
                <w:color w:val="auto"/>
                <w:kern w:val="0"/>
              </w:rPr>
            </w:pPr>
            <w:r>
              <w:rPr>
                <w:rFonts w:ascii="宋体" w:hAnsi="宋体"/>
                <w:color w:val="auto"/>
                <w:szCs w:val="22"/>
              </w:rPr>
              <w:t>0.94</w:t>
            </w:r>
          </w:p>
        </w:tc>
        <w:tc>
          <w:tcPr>
            <w:tcW w:w="1241" w:type="pct"/>
          </w:tcPr>
          <w:p w14:paraId="53924956">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858E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2FD4093">
            <w:pPr>
              <w:widowControl/>
              <w:jc w:val="center"/>
              <w:rPr>
                <w:rFonts w:ascii="宋体" w:hAnsi="宋体"/>
                <w:color w:val="auto"/>
              </w:rPr>
            </w:pPr>
          </w:p>
        </w:tc>
        <w:tc>
          <w:tcPr>
            <w:tcW w:w="854" w:type="pct"/>
            <w:vMerge w:val="continue"/>
            <w:vAlign w:val="center"/>
          </w:tcPr>
          <w:p w14:paraId="04F252B0">
            <w:pPr>
              <w:widowControl/>
              <w:jc w:val="center"/>
              <w:rPr>
                <w:rFonts w:ascii="宋体" w:hAnsi="宋体"/>
                <w:color w:val="auto"/>
              </w:rPr>
            </w:pPr>
          </w:p>
        </w:tc>
        <w:tc>
          <w:tcPr>
            <w:tcW w:w="607" w:type="pct"/>
            <w:vAlign w:val="center"/>
          </w:tcPr>
          <w:p w14:paraId="74F0724F">
            <w:pPr>
              <w:jc w:val="center"/>
              <w:rPr>
                <w:rFonts w:ascii="宋体" w:hAnsi="宋体"/>
                <w:color w:val="auto"/>
              </w:rPr>
            </w:pPr>
            <w:r>
              <w:rPr>
                <w:rFonts w:hint="eastAsia" w:ascii="宋体" w:hAnsi="宋体"/>
                <w:color w:val="auto"/>
              </w:rPr>
              <w:t>下风向1</w:t>
            </w:r>
          </w:p>
        </w:tc>
        <w:tc>
          <w:tcPr>
            <w:tcW w:w="1241" w:type="pct"/>
            <w:vAlign w:val="center"/>
          </w:tcPr>
          <w:p w14:paraId="721B5668">
            <w:pPr>
              <w:jc w:val="center"/>
              <w:rPr>
                <w:rFonts w:ascii="宋体" w:hAnsi="宋体"/>
                <w:color w:val="auto"/>
                <w:kern w:val="0"/>
              </w:rPr>
            </w:pPr>
            <w:r>
              <w:rPr>
                <w:rFonts w:ascii="宋体" w:hAnsi="宋体"/>
                <w:color w:val="auto"/>
                <w:szCs w:val="22"/>
              </w:rPr>
              <w:t>1.14</w:t>
            </w:r>
          </w:p>
        </w:tc>
        <w:tc>
          <w:tcPr>
            <w:tcW w:w="1241" w:type="pct"/>
          </w:tcPr>
          <w:p w14:paraId="5DF2AE0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66A55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0585EB0">
            <w:pPr>
              <w:widowControl/>
              <w:jc w:val="center"/>
              <w:rPr>
                <w:rFonts w:ascii="宋体" w:hAnsi="宋体"/>
                <w:color w:val="auto"/>
              </w:rPr>
            </w:pPr>
          </w:p>
        </w:tc>
        <w:tc>
          <w:tcPr>
            <w:tcW w:w="854" w:type="pct"/>
            <w:vMerge w:val="continue"/>
            <w:vAlign w:val="center"/>
          </w:tcPr>
          <w:p w14:paraId="7C229480">
            <w:pPr>
              <w:widowControl/>
              <w:jc w:val="center"/>
              <w:rPr>
                <w:rFonts w:ascii="宋体" w:hAnsi="宋体"/>
                <w:color w:val="auto"/>
              </w:rPr>
            </w:pPr>
          </w:p>
        </w:tc>
        <w:tc>
          <w:tcPr>
            <w:tcW w:w="607" w:type="pct"/>
            <w:vAlign w:val="center"/>
          </w:tcPr>
          <w:p w14:paraId="0596FF43">
            <w:pPr>
              <w:jc w:val="center"/>
              <w:rPr>
                <w:rFonts w:ascii="宋体" w:hAnsi="宋体"/>
                <w:color w:val="auto"/>
              </w:rPr>
            </w:pPr>
            <w:r>
              <w:rPr>
                <w:rFonts w:hint="eastAsia" w:ascii="宋体" w:hAnsi="宋体"/>
                <w:color w:val="auto"/>
              </w:rPr>
              <w:t>下风向2</w:t>
            </w:r>
          </w:p>
        </w:tc>
        <w:tc>
          <w:tcPr>
            <w:tcW w:w="1241" w:type="pct"/>
            <w:vAlign w:val="center"/>
          </w:tcPr>
          <w:p w14:paraId="2EBADB36">
            <w:pPr>
              <w:jc w:val="center"/>
              <w:rPr>
                <w:rFonts w:ascii="宋体" w:hAnsi="宋体"/>
                <w:color w:val="auto"/>
                <w:kern w:val="0"/>
              </w:rPr>
            </w:pPr>
            <w:r>
              <w:rPr>
                <w:rFonts w:ascii="宋体" w:hAnsi="宋体"/>
                <w:color w:val="auto"/>
                <w:szCs w:val="22"/>
              </w:rPr>
              <w:t>1.18</w:t>
            </w:r>
          </w:p>
        </w:tc>
        <w:tc>
          <w:tcPr>
            <w:tcW w:w="1241" w:type="pct"/>
          </w:tcPr>
          <w:p w14:paraId="79D12D06">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67C64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564759E">
            <w:pPr>
              <w:widowControl/>
              <w:jc w:val="center"/>
              <w:rPr>
                <w:rFonts w:ascii="宋体" w:hAnsi="宋体"/>
                <w:color w:val="auto"/>
              </w:rPr>
            </w:pPr>
          </w:p>
        </w:tc>
        <w:tc>
          <w:tcPr>
            <w:tcW w:w="854" w:type="pct"/>
            <w:vMerge w:val="continue"/>
            <w:vAlign w:val="center"/>
          </w:tcPr>
          <w:p w14:paraId="04014586">
            <w:pPr>
              <w:widowControl/>
              <w:jc w:val="center"/>
              <w:rPr>
                <w:rFonts w:ascii="宋体" w:hAnsi="宋体"/>
                <w:color w:val="auto"/>
              </w:rPr>
            </w:pPr>
          </w:p>
        </w:tc>
        <w:tc>
          <w:tcPr>
            <w:tcW w:w="607" w:type="pct"/>
            <w:vAlign w:val="center"/>
          </w:tcPr>
          <w:p w14:paraId="038B9E8B">
            <w:pPr>
              <w:jc w:val="center"/>
              <w:rPr>
                <w:rFonts w:ascii="宋体" w:hAnsi="宋体"/>
                <w:color w:val="auto"/>
              </w:rPr>
            </w:pPr>
            <w:r>
              <w:rPr>
                <w:rFonts w:hint="eastAsia" w:ascii="宋体" w:hAnsi="宋体"/>
                <w:color w:val="auto"/>
              </w:rPr>
              <w:t>下风向3</w:t>
            </w:r>
          </w:p>
        </w:tc>
        <w:tc>
          <w:tcPr>
            <w:tcW w:w="1241" w:type="pct"/>
            <w:vAlign w:val="center"/>
          </w:tcPr>
          <w:p w14:paraId="7AE678F1">
            <w:pPr>
              <w:jc w:val="center"/>
              <w:rPr>
                <w:rFonts w:ascii="宋体" w:hAnsi="宋体"/>
                <w:color w:val="auto"/>
                <w:kern w:val="0"/>
              </w:rPr>
            </w:pPr>
            <w:r>
              <w:rPr>
                <w:rFonts w:ascii="宋体" w:hAnsi="宋体"/>
                <w:color w:val="auto"/>
                <w:szCs w:val="22"/>
              </w:rPr>
              <w:t>1.13</w:t>
            </w:r>
          </w:p>
        </w:tc>
        <w:tc>
          <w:tcPr>
            <w:tcW w:w="1241" w:type="pct"/>
          </w:tcPr>
          <w:p w14:paraId="51AFD1C1">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AC7F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E1D565B">
            <w:pPr>
              <w:widowControl/>
              <w:jc w:val="center"/>
              <w:rPr>
                <w:rFonts w:ascii="宋体" w:hAnsi="宋体"/>
                <w:color w:val="auto"/>
              </w:rPr>
            </w:pPr>
          </w:p>
        </w:tc>
        <w:tc>
          <w:tcPr>
            <w:tcW w:w="854" w:type="pct"/>
            <w:vMerge w:val="restart"/>
            <w:vAlign w:val="center"/>
          </w:tcPr>
          <w:p w14:paraId="7F7107A5">
            <w:pPr>
              <w:jc w:val="center"/>
              <w:rPr>
                <w:rFonts w:ascii="宋体" w:hAnsi="宋体"/>
                <w:color w:val="auto"/>
              </w:rPr>
            </w:pPr>
            <w:r>
              <w:rPr>
                <w:rFonts w:hint="eastAsia" w:ascii="宋体" w:hAnsi="宋体"/>
                <w:color w:val="auto"/>
              </w:rPr>
              <w:t>第三次</w:t>
            </w:r>
          </w:p>
        </w:tc>
        <w:tc>
          <w:tcPr>
            <w:tcW w:w="607" w:type="pct"/>
            <w:vAlign w:val="center"/>
          </w:tcPr>
          <w:p w14:paraId="0AAC2228">
            <w:pPr>
              <w:jc w:val="center"/>
              <w:rPr>
                <w:rFonts w:ascii="宋体" w:hAnsi="宋体"/>
                <w:color w:val="auto"/>
              </w:rPr>
            </w:pPr>
            <w:r>
              <w:rPr>
                <w:rFonts w:hint="eastAsia" w:ascii="宋体" w:hAnsi="宋体"/>
                <w:color w:val="auto"/>
              </w:rPr>
              <w:t>上风向</w:t>
            </w:r>
          </w:p>
        </w:tc>
        <w:tc>
          <w:tcPr>
            <w:tcW w:w="1241" w:type="pct"/>
            <w:vAlign w:val="center"/>
          </w:tcPr>
          <w:p w14:paraId="6E30E1E6">
            <w:pPr>
              <w:widowControl/>
              <w:jc w:val="center"/>
              <w:rPr>
                <w:rFonts w:ascii="宋体" w:hAnsi="宋体"/>
                <w:color w:val="auto"/>
                <w:kern w:val="0"/>
              </w:rPr>
            </w:pPr>
            <w:r>
              <w:rPr>
                <w:rFonts w:ascii="宋体" w:hAnsi="宋体"/>
                <w:color w:val="auto"/>
                <w:szCs w:val="22"/>
              </w:rPr>
              <w:t>0.93</w:t>
            </w:r>
          </w:p>
        </w:tc>
        <w:tc>
          <w:tcPr>
            <w:tcW w:w="1241" w:type="pct"/>
          </w:tcPr>
          <w:p w14:paraId="1B9E1D17">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7044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1FAB4EA">
            <w:pPr>
              <w:widowControl/>
              <w:jc w:val="center"/>
              <w:rPr>
                <w:rFonts w:ascii="宋体" w:hAnsi="宋体"/>
                <w:color w:val="auto"/>
              </w:rPr>
            </w:pPr>
          </w:p>
        </w:tc>
        <w:tc>
          <w:tcPr>
            <w:tcW w:w="854" w:type="pct"/>
            <w:vMerge w:val="continue"/>
            <w:vAlign w:val="center"/>
          </w:tcPr>
          <w:p w14:paraId="6B24C424">
            <w:pPr>
              <w:widowControl/>
              <w:jc w:val="center"/>
              <w:rPr>
                <w:rFonts w:ascii="宋体" w:hAnsi="宋体"/>
                <w:color w:val="auto"/>
              </w:rPr>
            </w:pPr>
          </w:p>
        </w:tc>
        <w:tc>
          <w:tcPr>
            <w:tcW w:w="607" w:type="pct"/>
            <w:vAlign w:val="center"/>
          </w:tcPr>
          <w:p w14:paraId="76B9D95E">
            <w:pPr>
              <w:jc w:val="center"/>
              <w:rPr>
                <w:rFonts w:ascii="宋体" w:hAnsi="宋体"/>
                <w:color w:val="auto"/>
              </w:rPr>
            </w:pPr>
            <w:r>
              <w:rPr>
                <w:rFonts w:hint="eastAsia" w:ascii="宋体" w:hAnsi="宋体"/>
                <w:color w:val="auto"/>
              </w:rPr>
              <w:t>下风向1</w:t>
            </w:r>
          </w:p>
        </w:tc>
        <w:tc>
          <w:tcPr>
            <w:tcW w:w="1241" w:type="pct"/>
            <w:vAlign w:val="center"/>
          </w:tcPr>
          <w:p w14:paraId="3BBC1C46">
            <w:pPr>
              <w:jc w:val="center"/>
              <w:rPr>
                <w:rFonts w:ascii="宋体" w:hAnsi="宋体"/>
                <w:color w:val="auto"/>
                <w:kern w:val="0"/>
              </w:rPr>
            </w:pPr>
            <w:r>
              <w:rPr>
                <w:rFonts w:ascii="宋体" w:hAnsi="宋体"/>
                <w:color w:val="auto"/>
                <w:szCs w:val="22"/>
              </w:rPr>
              <w:t>1.27</w:t>
            </w:r>
          </w:p>
        </w:tc>
        <w:tc>
          <w:tcPr>
            <w:tcW w:w="1241" w:type="pct"/>
          </w:tcPr>
          <w:p w14:paraId="22048AD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07D3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1DBB97D">
            <w:pPr>
              <w:widowControl/>
              <w:jc w:val="center"/>
              <w:rPr>
                <w:rFonts w:ascii="宋体" w:hAnsi="宋体"/>
                <w:color w:val="auto"/>
              </w:rPr>
            </w:pPr>
          </w:p>
        </w:tc>
        <w:tc>
          <w:tcPr>
            <w:tcW w:w="854" w:type="pct"/>
            <w:vMerge w:val="continue"/>
            <w:vAlign w:val="center"/>
          </w:tcPr>
          <w:p w14:paraId="6CA80D8E">
            <w:pPr>
              <w:widowControl/>
              <w:jc w:val="center"/>
              <w:rPr>
                <w:rFonts w:ascii="宋体" w:hAnsi="宋体"/>
                <w:color w:val="auto"/>
              </w:rPr>
            </w:pPr>
          </w:p>
        </w:tc>
        <w:tc>
          <w:tcPr>
            <w:tcW w:w="607" w:type="pct"/>
            <w:vAlign w:val="center"/>
          </w:tcPr>
          <w:p w14:paraId="6395E3ED">
            <w:pPr>
              <w:jc w:val="center"/>
              <w:rPr>
                <w:rFonts w:ascii="宋体" w:hAnsi="宋体"/>
                <w:color w:val="auto"/>
              </w:rPr>
            </w:pPr>
            <w:r>
              <w:rPr>
                <w:rFonts w:hint="eastAsia" w:ascii="宋体" w:hAnsi="宋体"/>
                <w:color w:val="auto"/>
              </w:rPr>
              <w:t>下风向2</w:t>
            </w:r>
          </w:p>
        </w:tc>
        <w:tc>
          <w:tcPr>
            <w:tcW w:w="1241" w:type="pct"/>
            <w:vAlign w:val="center"/>
          </w:tcPr>
          <w:p w14:paraId="4E0085B4">
            <w:pPr>
              <w:jc w:val="center"/>
              <w:rPr>
                <w:rFonts w:ascii="宋体" w:hAnsi="宋体"/>
                <w:color w:val="auto"/>
                <w:kern w:val="0"/>
              </w:rPr>
            </w:pPr>
            <w:r>
              <w:rPr>
                <w:rFonts w:ascii="宋体" w:hAnsi="宋体"/>
                <w:color w:val="auto"/>
                <w:szCs w:val="22"/>
              </w:rPr>
              <w:t>1.12</w:t>
            </w:r>
          </w:p>
        </w:tc>
        <w:tc>
          <w:tcPr>
            <w:tcW w:w="1241" w:type="pct"/>
          </w:tcPr>
          <w:p w14:paraId="6E2B2CF6">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2296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E9773A4">
            <w:pPr>
              <w:widowControl/>
              <w:jc w:val="center"/>
              <w:rPr>
                <w:rFonts w:ascii="宋体" w:hAnsi="宋体"/>
                <w:color w:val="auto"/>
              </w:rPr>
            </w:pPr>
          </w:p>
        </w:tc>
        <w:tc>
          <w:tcPr>
            <w:tcW w:w="854" w:type="pct"/>
            <w:vMerge w:val="continue"/>
            <w:vAlign w:val="center"/>
          </w:tcPr>
          <w:p w14:paraId="6532E3E9">
            <w:pPr>
              <w:widowControl/>
              <w:jc w:val="center"/>
              <w:rPr>
                <w:rFonts w:ascii="宋体" w:hAnsi="宋体"/>
                <w:color w:val="auto"/>
              </w:rPr>
            </w:pPr>
          </w:p>
        </w:tc>
        <w:tc>
          <w:tcPr>
            <w:tcW w:w="607" w:type="pct"/>
            <w:vAlign w:val="center"/>
          </w:tcPr>
          <w:p w14:paraId="46913F11">
            <w:pPr>
              <w:jc w:val="center"/>
              <w:rPr>
                <w:rFonts w:ascii="宋体" w:hAnsi="宋体"/>
                <w:color w:val="auto"/>
              </w:rPr>
            </w:pPr>
            <w:r>
              <w:rPr>
                <w:rFonts w:hint="eastAsia" w:ascii="宋体" w:hAnsi="宋体"/>
                <w:color w:val="auto"/>
              </w:rPr>
              <w:t>下风向3</w:t>
            </w:r>
          </w:p>
        </w:tc>
        <w:tc>
          <w:tcPr>
            <w:tcW w:w="1241" w:type="pct"/>
            <w:vAlign w:val="center"/>
          </w:tcPr>
          <w:p w14:paraId="673D0359">
            <w:pPr>
              <w:jc w:val="center"/>
              <w:rPr>
                <w:rFonts w:ascii="宋体" w:hAnsi="宋体"/>
                <w:color w:val="auto"/>
                <w:kern w:val="0"/>
              </w:rPr>
            </w:pPr>
            <w:r>
              <w:rPr>
                <w:rFonts w:ascii="宋体" w:hAnsi="宋体"/>
                <w:color w:val="auto"/>
                <w:szCs w:val="22"/>
              </w:rPr>
              <w:t>1.16</w:t>
            </w:r>
          </w:p>
        </w:tc>
        <w:tc>
          <w:tcPr>
            <w:tcW w:w="1241" w:type="pct"/>
          </w:tcPr>
          <w:p w14:paraId="58E2BC5A">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4DD7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A768F7F">
            <w:pPr>
              <w:widowControl/>
              <w:jc w:val="center"/>
              <w:rPr>
                <w:rFonts w:ascii="宋体" w:hAnsi="宋体"/>
                <w:color w:val="auto"/>
              </w:rPr>
            </w:pPr>
          </w:p>
        </w:tc>
        <w:tc>
          <w:tcPr>
            <w:tcW w:w="854" w:type="pct"/>
            <w:vMerge w:val="restart"/>
            <w:vAlign w:val="center"/>
          </w:tcPr>
          <w:p w14:paraId="476C9D1C">
            <w:pPr>
              <w:widowControl/>
              <w:jc w:val="center"/>
              <w:rPr>
                <w:rFonts w:ascii="宋体" w:hAnsi="宋体"/>
                <w:color w:val="auto"/>
              </w:rPr>
            </w:pPr>
            <w:r>
              <w:rPr>
                <w:rFonts w:hint="eastAsia" w:ascii="宋体" w:hAnsi="宋体"/>
                <w:color w:val="auto"/>
              </w:rPr>
              <w:t>第四次</w:t>
            </w:r>
          </w:p>
        </w:tc>
        <w:tc>
          <w:tcPr>
            <w:tcW w:w="607" w:type="pct"/>
            <w:vAlign w:val="center"/>
          </w:tcPr>
          <w:p w14:paraId="5438BB32">
            <w:pPr>
              <w:jc w:val="center"/>
              <w:rPr>
                <w:rFonts w:ascii="宋体" w:hAnsi="宋体"/>
                <w:color w:val="auto"/>
              </w:rPr>
            </w:pPr>
            <w:r>
              <w:rPr>
                <w:rFonts w:hint="eastAsia" w:ascii="宋体" w:hAnsi="宋体"/>
                <w:color w:val="auto"/>
              </w:rPr>
              <w:t>上风向</w:t>
            </w:r>
          </w:p>
        </w:tc>
        <w:tc>
          <w:tcPr>
            <w:tcW w:w="1241" w:type="pct"/>
            <w:vAlign w:val="center"/>
          </w:tcPr>
          <w:p w14:paraId="0F4E81C7">
            <w:pPr>
              <w:jc w:val="center"/>
              <w:rPr>
                <w:rFonts w:ascii="宋体" w:hAnsi="宋体"/>
                <w:color w:val="auto"/>
                <w:szCs w:val="22"/>
              </w:rPr>
            </w:pPr>
            <w:r>
              <w:rPr>
                <w:rFonts w:ascii="宋体" w:hAnsi="宋体"/>
                <w:color w:val="auto"/>
                <w:szCs w:val="22"/>
              </w:rPr>
              <w:t>/</w:t>
            </w:r>
          </w:p>
        </w:tc>
        <w:tc>
          <w:tcPr>
            <w:tcW w:w="1241" w:type="pct"/>
          </w:tcPr>
          <w:p w14:paraId="74EB1E1F">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E603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0F73B16">
            <w:pPr>
              <w:widowControl/>
              <w:jc w:val="center"/>
              <w:rPr>
                <w:rFonts w:ascii="宋体" w:hAnsi="宋体"/>
                <w:color w:val="auto"/>
              </w:rPr>
            </w:pPr>
          </w:p>
        </w:tc>
        <w:tc>
          <w:tcPr>
            <w:tcW w:w="854" w:type="pct"/>
            <w:vMerge w:val="continue"/>
            <w:vAlign w:val="center"/>
          </w:tcPr>
          <w:p w14:paraId="0D414070">
            <w:pPr>
              <w:widowControl/>
              <w:jc w:val="center"/>
              <w:rPr>
                <w:rFonts w:ascii="宋体" w:hAnsi="宋体"/>
                <w:color w:val="auto"/>
              </w:rPr>
            </w:pPr>
          </w:p>
        </w:tc>
        <w:tc>
          <w:tcPr>
            <w:tcW w:w="607" w:type="pct"/>
            <w:vAlign w:val="center"/>
          </w:tcPr>
          <w:p w14:paraId="44B84457">
            <w:pPr>
              <w:jc w:val="center"/>
              <w:rPr>
                <w:rFonts w:ascii="宋体" w:hAnsi="宋体"/>
                <w:color w:val="auto"/>
              </w:rPr>
            </w:pPr>
            <w:r>
              <w:rPr>
                <w:rFonts w:hint="eastAsia" w:ascii="宋体" w:hAnsi="宋体"/>
                <w:color w:val="auto"/>
              </w:rPr>
              <w:t>下风向1</w:t>
            </w:r>
          </w:p>
        </w:tc>
        <w:tc>
          <w:tcPr>
            <w:tcW w:w="1241" w:type="pct"/>
            <w:vAlign w:val="center"/>
          </w:tcPr>
          <w:p w14:paraId="06F74865">
            <w:pPr>
              <w:jc w:val="center"/>
              <w:rPr>
                <w:rFonts w:ascii="宋体" w:hAnsi="宋体"/>
                <w:color w:val="auto"/>
                <w:szCs w:val="22"/>
              </w:rPr>
            </w:pPr>
            <w:r>
              <w:rPr>
                <w:rFonts w:ascii="宋体" w:hAnsi="宋体"/>
                <w:color w:val="auto"/>
                <w:szCs w:val="22"/>
              </w:rPr>
              <w:t>/</w:t>
            </w:r>
          </w:p>
        </w:tc>
        <w:tc>
          <w:tcPr>
            <w:tcW w:w="1241" w:type="pct"/>
          </w:tcPr>
          <w:p w14:paraId="63B19E1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0502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020FE78">
            <w:pPr>
              <w:widowControl/>
              <w:jc w:val="center"/>
              <w:rPr>
                <w:rFonts w:ascii="宋体" w:hAnsi="宋体"/>
                <w:color w:val="auto"/>
              </w:rPr>
            </w:pPr>
          </w:p>
        </w:tc>
        <w:tc>
          <w:tcPr>
            <w:tcW w:w="854" w:type="pct"/>
            <w:vMerge w:val="continue"/>
            <w:vAlign w:val="center"/>
          </w:tcPr>
          <w:p w14:paraId="37A9849E">
            <w:pPr>
              <w:widowControl/>
              <w:jc w:val="center"/>
              <w:rPr>
                <w:rFonts w:ascii="宋体" w:hAnsi="宋体"/>
                <w:color w:val="auto"/>
              </w:rPr>
            </w:pPr>
          </w:p>
        </w:tc>
        <w:tc>
          <w:tcPr>
            <w:tcW w:w="607" w:type="pct"/>
            <w:vAlign w:val="center"/>
          </w:tcPr>
          <w:p w14:paraId="1405E058">
            <w:pPr>
              <w:jc w:val="center"/>
              <w:rPr>
                <w:rFonts w:ascii="宋体" w:hAnsi="宋体"/>
                <w:color w:val="auto"/>
              </w:rPr>
            </w:pPr>
            <w:r>
              <w:rPr>
                <w:rFonts w:hint="eastAsia" w:ascii="宋体" w:hAnsi="宋体"/>
                <w:color w:val="auto"/>
              </w:rPr>
              <w:t>下风向2</w:t>
            </w:r>
          </w:p>
        </w:tc>
        <w:tc>
          <w:tcPr>
            <w:tcW w:w="1241" w:type="pct"/>
            <w:vAlign w:val="center"/>
          </w:tcPr>
          <w:p w14:paraId="0EDC966F">
            <w:pPr>
              <w:jc w:val="center"/>
              <w:rPr>
                <w:rFonts w:ascii="Cambria" w:hAnsi="Cambria" w:eastAsia="Cambria"/>
                <w:color w:val="auto"/>
                <w:szCs w:val="22"/>
              </w:rPr>
            </w:pPr>
            <w:r>
              <w:rPr>
                <w:rFonts w:ascii="宋体" w:hAnsi="宋体"/>
                <w:color w:val="auto"/>
                <w:szCs w:val="22"/>
              </w:rPr>
              <w:t>/</w:t>
            </w:r>
          </w:p>
        </w:tc>
        <w:tc>
          <w:tcPr>
            <w:tcW w:w="1241" w:type="pct"/>
          </w:tcPr>
          <w:p w14:paraId="54E9FE4F">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357D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6C9D78D">
            <w:pPr>
              <w:widowControl/>
              <w:jc w:val="center"/>
              <w:rPr>
                <w:rFonts w:ascii="宋体" w:hAnsi="宋体"/>
                <w:color w:val="auto"/>
              </w:rPr>
            </w:pPr>
          </w:p>
        </w:tc>
        <w:tc>
          <w:tcPr>
            <w:tcW w:w="854" w:type="pct"/>
            <w:vMerge w:val="continue"/>
            <w:vAlign w:val="center"/>
          </w:tcPr>
          <w:p w14:paraId="67EC735E">
            <w:pPr>
              <w:widowControl/>
              <w:jc w:val="center"/>
              <w:rPr>
                <w:rFonts w:ascii="宋体" w:hAnsi="宋体"/>
                <w:color w:val="auto"/>
              </w:rPr>
            </w:pPr>
          </w:p>
        </w:tc>
        <w:tc>
          <w:tcPr>
            <w:tcW w:w="607" w:type="pct"/>
            <w:vAlign w:val="center"/>
          </w:tcPr>
          <w:p w14:paraId="4EF25AE1">
            <w:pPr>
              <w:jc w:val="center"/>
              <w:rPr>
                <w:rFonts w:ascii="宋体" w:hAnsi="宋体"/>
                <w:color w:val="auto"/>
              </w:rPr>
            </w:pPr>
            <w:r>
              <w:rPr>
                <w:rFonts w:hint="eastAsia" w:ascii="宋体" w:hAnsi="宋体"/>
                <w:color w:val="auto"/>
              </w:rPr>
              <w:t>下风向3</w:t>
            </w:r>
          </w:p>
        </w:tc>
        <w:tc>
          <w:tcPr>
            <w:tcW w:w="1241" w:type="pct"/>
            <w:vAlign w:val="center"/>
          </w:tcPr>
          <w:p w14:paraId="50E2DFCA">
            <w:pPr>
              <w:jc w:val="center"/>
              <w:rPr>
                <w:rFonts w:ascii="宋体" w:hAnsi="宋体"/>
                <w:color w:val="auto"/>
                <w:szCs w:val="22"/>
              </w:rPr>
            </w:pPr>
            <w:r>
              <w:rPr>
                <w:rFonts w:ascii="宋体" w:hAnsi="宋体"/>
                <w:color w:val="auto"/>
                <w:szCs w:val="22"/>
              </w:rPr>
              <w:t>/</w:t>
            </w:r>
          </w:p>
        </w:tc>
        <w:tc>
          <w:tcPr>
            <w:tcW w:w="1241" w:type="pct"/>
          </w:tcPr>
          <w:p w14:paraId="459DC72B">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0DA5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149A8C10">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月6日</w:t>
            </w:r>
          </w:p>
        </w:tc>
        <w:tc>
          <w:tcPr>
            <w:tcW w:w="854" w:type="pct"/>
            <w:vMerge w:val="restart"/>
            <w:vAlign w:val="center"/>
          </w:tcPr>
          <w:p w14:paraId="2F88E946">
            <w:pPr>
              <w:jc w:val="center"/>
              <w:rPr>
                <w:rFonts w:ascii="宋体" w:hAnsi="宋体"/>
                <w:color w:val="auto"/>
              </w:rPr>
            </w:pPr>
            <w:r>
              <w:rPr>
                <w:rFonts w:hint="eastAsia" w:ascii="宋体" w:hAnsi="宋体"/>
                <w:color w:val="auto"/>
              </w:rPr>
              <w:t>第一次</w:t>
            </w:r>
          </w:p>
        </w:tc>
        <w:tc>
          <w:tcPr>
            <w:tcW w:w="607" w:type="pct"/>
            <w:vAlign w:val="center"/>
          </w:tcPr>
          <w:p w14:paraId="4303FBFA">
            <w:pPr>
              <w:jc w:val="center"/>
              <w:rPr>
                <w:rFonts w:ascii="宋体" w:hAnsi="宋体"/>
                <w:color w:val="auto"/>
              </w:rPr>
            </w:pPr>
            <w:r>
              <w:rPr>
                <w:rFonts w:hint="eastAsia" w:ascii="宋体" w:hAnsi="宋体"/>
                <w:color w:val="auto"/>
              </w:rPr>
              <w:t>上风向</w:t>
            </w:r>
          </w:p>
        </w:tc>
        <w:tc>
          <w:tcPr>
            <w:tcW w:w="1241" w:type="pct"/>
            <w:vAlign w:val="center"/>
          </w:tcPr>
          <w:p w14:paraId="119C7267">
            <w:pPr>
              <w:widowControl/>
              <w:jc w:val="center"/>
              <w:rPr>
                <w:rFonts w:ascii="宋体" w:hAnsi="宋体"/>
                <w:color w:val="auto"/>
                <w:kern w:val="0"/>
              </w:rPr>
            </w:pPr>
            <w:r>
              <w:rPr>
                <w:rFonts w:ascii="宋体" w:hAnsi="宋体"/>
                <w:color w:val="auto"/>
                <w:szCs w:val="22"/>
              </w:rPr>
              <w:t>0.92</w:t>
            </w:r>
          </w:p>
        </w:tc>
        <w:tc>
          <w:tcPr>
            <w:tcW w:w="1241" w:type="pct"/>
          </w:tcPr>
          <w:p w14:paraId="074A750C">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B9D2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F42634B">
            <w:pPr>
              <w:widowControl/>
              <w:jc w:val="center"/>
              <w:rPr>
                <w:rFonts w:ascii="宋体" w:hAnsi="宋体"/>
                <w:color w:val="auto"/>
              </w:rPr>
            </w:pPr>
          </w:p>
        </w:tc>
        <w:tc>
          <w:tcPr>
            <w:tcW w:w="854" w:type="pct"/>
            <w:vMerge w:val="continue"/>
            <w:vAlign w:val="center"/>
          </w:tcPr>
          <w:p w14:paraId="23A4E069">
            <w:pPr>
              <w:widowControl/>
              <w:jc w:val="center"/>
              <w:rPr>
                <w:rFonts w:ascii="宋体" w:hAnsi="宋体"/>
                <w:color w:val="auto"/>
              </w:rPr>
            </w:pPr>
          </w:p>
        </w:tc>
        <w:tc>
          <w:tcPr>
            <w:tcW w:w="607" w:type="pct"/>
            <w:vAlign w:val="center"/>
          </w:tcPr>
          <w:p w14:paraId="5B0A74CB">
            <w:pPr>
              <w:jc w:val="center"/>
              <w:rPr>
                <w:rFonts w:ascii="宋体" w:hAnsi="宋体"/>
                <w:color w:val="auto"/>
              </w:rPr>
            </w:pPr>
            <w:r>
              <w:rPr>
                <w:rFonts w:hint="eastAsia" w:ascii="宋体" w:hAnsi="宋体"/>
                <w:color w:val="auto"/>
              </w:rPr>
              <w:t>下风向1</w:t>
            </w:r>
          </w:p>
        </w:tc>
        <w:tc>
          <w:tcPr>
            <w:tcW w:w="1241" w:type="pct"/>
            <w:vAlign w:val="center"/>
          </w:tcPr>
          <w:p w14:paraId="650D2C4F">
            <w:pPr>
              <w:jc w:val="center"/>
              <w:rPr>
                <w:rFonts w:ascii="宋体" w:hAnsi="宋体"/>
                <w:color w:val="auto"/>
                <w:kern w:val="0"/>
              </w:rPr>
            </w:pPr>
            <w:r>
              <w:rPr>
                <w:rFonts w:ascii="宋体" w:hAnsi="宋体"/>
                <w:color w:val="auto"/>
                <w:szCs w:val="22"/>
              </w:rPr>
              <w:t>1.09</w:t>
            </w:r>
          </w:p>
        </w:tc>
        <w:tc>
          <w:tcPr>
            <w:tcW w:w="1241" w:type="pct"/>
          </w:tcPr>
          <w:p w14:paraId="33B3095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A3E9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913472B">
            <w:pPr>
              <w:widowControl/>
              <w:jc w:val="center"/>
              <w:rPr>
                <w:rFonts w:ascii="宋体" w:hAnsi="宋体"/>
                <w:color w:val="auto"/>
              </w:rPr>
            </w:pPr>
          </w:p>
        </w:tc>
        <w:tc>
          <w:tcPr>
            <w:tcW w:w="854" w:type="pct"/>
            <w:vMerge w:val="continue"/>
            <w:vAlign w:val="center"/>
          </w:tcPr>
          <w:p w14:paraId="148A4886">
            <w:pPr>
              <w:widowControl/>
              <w:jc w:val="center"/>
              <w:rPr>
                <w:rFonts w:ascii="宋体" w:hAnsi="宋体"/>
                <w:color w:val="auto"/>
              </w:rPr>
            </w:pPr>
          </w:p>
        </w:tc>
        <w:tc>
          <w:tcPr>
            <w:tcW w:w="607" w:type="pct"/>
            <w:vAlign w:val="center"/>
          </w:tcPr>
          <w:p w14:paraId="285CA07A">
            <w:pPr>
              <w:jc w:val="center"/>
              <w:rPr>
                <w:rFonts w:ascii="宋体" w:hAnsi="宋体"/>
                <w:color w:val="auto"/>
              </w:rPr>
            </w:pPr>
            <w:r>
              <w:rPr>
                <w:rFonts w:hint="eastAsia" w:ascii="宋体" w:hAnsi="宋体"/>
                <w:color w:val="auto"/>
              </w:rPr>
              <w:t>下风向2</w:t>
            </w:r>
          </w:p>
        </w:tc>
        <w:tc>
          <w:tcPr>
            <w:tcW w:w="1241" w:type="pct"/>
            <w:vAlign w:val="center"/>
          </w:tcPr>
          <w:p w14:paraId="0B3DA559">
            <w:pPr>
              <w:jc w:val="center"/>
              <w:rPr>
                <w:rFonts w:ascii="宋体" w:hAnsi="宋体"/>
                <w:color w:val="auto"/>
                <w:kern w:val="0"/>
              </w:rPr>
            </w:pPr>
            <w:r>
              <w:rPr>
                <w:rFonts w:ascii="宋体" w:hAnsi="宋体"/>
                <w:color w:val="auto"/>
                <w:szCs w:val="22"/>
              </w:rPr>
              <w:t>1.28</w:t>
            </w:r>
          </w:p>
        </w:tc>
        <w:tc>
          <w:tcPr>
            <w:tcW w:w="1241" w:type="pct"/>
          </w:tcPr>
          <w:p w14:paraId="1AC7E63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0ED2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F00B9B8">
            <w:pPr>
              <w:widowControl/>
              <w:jc w:val="center"/>
              <w:rPr>
                <w:rFonts w:ascii="宋体" w:hAnsi="宋体"/>
                <w:color w:val="auto"/>
              </w:rPr>
            </w:pPr>
          </w:p>
        </w:tc>
        <w:tc>
          <w:tcPr>
            <w:tcW w:w="854" w:type="pct"/>
            <w:vMerge w:val="continue"/>
            <w:vAlign w:val="center"/>
          </w:tcPr>
          <w:p w14:paraId="2BC7D72B">
            <w:pPr>
              <w:widowControl/>
              <w:jc w:val="center"/>
              <w:rPr>
                <w:rFonts w:ascii="宋体" w:hAnsi="宋体"/>
                <w:color w:val="auto"/>
              </w:rPr>
            </w:pPr>
          </w:p>
        </w:tc>
        <w:tc>
          <w:tcPr>
            <w:tcW w:w="607" w:type="pct"/>
            <w:vAlign w:val="center"/>
          </w:tcPr>
          <w:p w14:paraId="6084EFFA">
            <w:pPr>
              <w:jc w:val="center"/>
              <w:rPr>
                <w:rFonts w:ascii="宋体" w:hAnsi="宋体"/>
                <w:color w:val="auto"/>
              </w:rPr>
            </w:pPr>
            <w:r>
              <w:rPr>
                <w:rFonts w:hint="eastAsia" w:ascii="宋体" w:hAnsi="宋体"/>
                <w:color w:val="auto"/>
              </w:rPr>
              <w:t>下风向3</w:t>
            </w:r>
          </w:p>
        </w:tc>
        <w:tc>
          <w:tcPr>
            <w:tcW w:w="1241" w:type="pct"/>
            <w:vAlign w:val="center"/>
          </w:tcPr>
          <w:p w14:paraId="6EC62935">
            <w:pPr>
              <w:jc w:val="center"/>
              <w:rPr>
                <w:rFonts w:ascii="宋体" w:hAnsi="宋体"/>
                <w:color w:val="auto"/>
                <w:kern w:val="0"/>
              </w:rPr>
            </w:pPr>
            <w:r>
              <w:rPr>
                <w:rFonts w:ascii="宋体" w:hAnsi="宋体"/>
                <w:color w:val="auto"/>
                <w:szCs w:val="22"/>
              </w:rPr>
              <w:t>1.26</w:t>
            </w:r>
          </w:p>
        </w:tc>
        <w:tc>
          <w:tcPr>
            <w:tcW w:w="1241" w:type="pct"/>
          </w:tcPr>
          <w:p w14:paraId="012797F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9FF6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1C1F22A">
            <w:pPr>
              <w:widowControl/>
              <w:jc w:val="center"/>
              <w:rPr>
                <w:rFonts w:ascii="宋体" w:hAnsi="宋体"/>
                <w:color w:val="auto"/>
              </w:rPr>
            </w:pPr>
          </w:p>
        </w:tc>
        <w:tc>
          <w:tcPr>
            <w:tcW w:w="854" w:type="pct"/>
            <w:vMerge w:val="restart"/>
            <w:vAlign w:val="center"/>
          </w:tcPr>
          <w:p w14:paraId="282C07CF">
            <w:pPr>
              <w:jc w:val="center"/>
              <w:rPr>
                <w:rFonts w:ascii="宋体" w:hAnsi="宋体"/>
                <w:color w:val="auto"/>
              </w:rPr>
            </w:pPr>
            <w:r>
              <w:rPr>
                <w:rFonts w:hint="eastAsia" w:ascii="宋体" w:hAnsi="宋体"/>
                <w:color w:val="auto"/>
              </w:rPr>
              <w:t>第二次</w:t>
            </w:r>
          </w:p>
        </w:tc>
        <w:tc>
          <w:tcPr>
            <w:tcW w:w="607" w:type="pct"/>
            <w:vAlign w:val="center"/>
          </w:tcPr>
          <w:p w14:paraId="78962B1C">
            <w:pPr>
              <w:jc w:val="center"/>
              <w:rPr>
                <w:rFonts w:ascii="宋体" w:hAnsi="宋体"/>
                <w:color w:val="auto"/>
              </w:rPr>
            </w:pPr>
            <w:r>
              <w:rPr>
                <w:rFonts w:hint="eastAsia" w:ascii="宋体" w:hAnsi="宋体"/>
                <w:color w:val="auto"/>
              </w:rPr>
              <w:t>上风向</w:t>
            </w:r>
          </w:p>
        </w:tc>
        <w:tc>
          <w:tcPr>
            <w:tcW w:w="1241" w:type="pct"/>
            <w:vAlign w:val="center"/>
          </w:tcPr>
          <w:p w14:paraId="5287E197">
            <w:pPr>
              <w:widowControl/>
              <w:jc w:val="center"/>
              <w:rPr>
                <w:rFonts w:ascii="宋体" w:hAnsi="宋体"/>
                <w:color w:val="auto"/>
                <w:kern w:val="0"/>
              </w:rPr>
            </w:pPr>
            <w:r>
              <w:rPr>
                <w:rFonts w:ascii="宋体" w:hAnsi="宋体"/>
                <w:color w:val="auto"/>
                <w:szCs w:val="22"/>
              </w:rPr>
              <w:t>0.96</w:t>
            </w:r>
          </w:p>
        </w:tc>
        <w:tc>
          <w:tcPr>
            <w:tcW w:w="1241" w:type="pct"/>
          </w:tcPr>
          <w:p w14:paraId="760B8C46">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F61E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7F52A46">
            <w:pPr>
              <w:widowControl/>
              <w:jc w:val="center"/>
              <w:rPr>
                <w:rFonts w:ascii="宋体" w:hAnsi="宋体"/>
                <w:color w:val="auto"/>
              </w:rPr>
            </w:pPr>
          </w:p>
        </w:tc>
        <w:tc>
          <w:tcPr>
            <w:tcW w:w="854" w:type="pct"/>
            <w:vMerge w:val="continue"/>
            <w:vAlign w:val="center"/>
          </w:tcPr>
          <w:p w14:paraId="041A2AA5">
            <w:pPr>
              <w:widowControl/>
              <w:jc w:val="center"/>
              <w:rPr>
                <w:rFonts w:ascii="宋体" w:hAnsi="宋体"/>
                <w:color w:val="auto"/>
              </w:rPr>
            </w:pPr>
          </w:p>
        </w:tc>
        <w:tc>
          <w:tcPr>
            <w:tcW w:w="607" w:type="pct"/>
            <w:vAlign w:val="center"/>
          </w:tcPr>
          <w:p w14:paraId="2A9D8828">
            <w:pPr>
              <w:jc w:val="center"/>
              <w:rPr>
                <w:rFonts w:ascii="宋体" w:hAnsi="宋体"/>
                <w:color w:val="auto"/>
              </w:rPr>
            </w:pPr>
            <w:r>
              <w:rPr>
                <w:rFonts w:hint="eastAsia" w:ascii="宋体" w:hAnsi="宋体"/>
                <w:color w:val="auto"/>
              </w:rPr>
              <w:t>下风向1</w:t>
            </w:r>
          </w:p>
        </w:tc>
        <w:tc>
          <w:tcPr>
            <w:tcW w:w="1241" w:type="pct"/>
            <w:vAlign w:val="center"/>
          </w:tcPr>
          <w:p w14:paraId="634749D1">
            <w:pPr>
              <w:jc w:val="center"/>
              <w:rPr>
                <w:rFonts w:ascii="宋体" w:hAnsi="宋体"/>
                <w:color w:val="auto"/>
                <w:kern w:val="0"/>
              </w:rPr>
            </w:pPr>
            <w:r>
              <w:rPr>
                <w:rFonts w:ascii="宋体" w:hAnsi="宋体"/>
                <w:color w:val="auto"/>
                <w:szCs w:val="22"/>
              </w:rPr>
              <w:t>1.28</w:t>
            </w:r>
          </w:p>
        </w:tc>
        <w:tc>
          <w:tcPr>
            <w:tcW w:w="1241" w:type="pct"/>
          </w:tcPr>
          <w:p w14:paraId="73BE9213">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46AC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A7DA6E3">
            <w:pPr>
              <w:widowControl/>
              <w:jc w:val="center"/>
              <w:rPr>
                <w:rFonts w:ascii="宋体" w:hAnsi="宋体"/>
                <w:color w:val="auto"/>
              </w:rPr>
            </w:pPr>
          </w:p>
        </w:tc>
        <w:tc>
          <w:tcPr>
            <w:tcW w:w="854" w:type="pct"/>
            <w:vMerge w:val="continue"/>
            <w:vAlign w:val="center"/>
          </w:tcPr>
          <w:p w14:paraId="485D996A">
            <w:pPr>
              <w:widowControl/>
              <w:jc w:val="center"/>
              <w:rPr>
                <w:rFonts w:ascii="宋体" w:hAnsi="宋体"/>
                <w:color w:val="auto"/>
              </w:rPr>
            </w:pPr>
          </w:p>
        </w:tc>
        <w:tc>
          <w:tcPr>
            <w:tcW w:w="607" w:type="pct"/>
            <w:vAlign w:val="center"/>
          </w:tcPr>
          <w:p w14:paraId="48FB4DDB">
            <w:pPr>
              <w:jc w:val="center"/>
              <w:rPr>
                <w:rFonts w:ascii="宋体" w:hAnsi="宋体"/>
                <w:color w:val="auto"/>
              </w:rPr>
            </w:pPr>
            <w:r>
              <w:rPr>
                <w:rFonts w:hint="eastAsia" w:ascii="宋体" w:hAnsi="宋体"/>
                <w:color w:val="auto"/>
              </w:rPr>
              <w:t>下风向2</w:t>
            </w:r>
          </w:p>
        </w:tc>
        <w:tc>
          <w:tcPr>
            <w:tcW w:w="1241" w:type="pct"/>
            <w:vAlign w:val="center"/>
          </w:tcPr>
          <w:p w14:paraId="3937265A">
            <w:pPr>
              <w:jc w:val="center"/>
              <w:rPr>
                <w:rFonts w:ascii="宋体" w:hAnsi="宋体"/>
                <w:color w:val="auto"/>
                <w:kern w:val="0"/>
              </w:rPr>
            </w:pPr>
            <w:r>
              <w:rPr>
                <w:rFonts w:ascii="宋体" w:hAnsi="宋体"/>
                <w:color w:val="auto"/>
                <w:szCs w:val="22"/>
              </w:rPr>
              <w:t>1.15</w:t>
            </w:r>
          </w:p>
        </w:tc>
        <w:tc>
          <w:tcPr>
            <w:tcW w:w="1241" w:type="pct"/>
          </w:tcPr>
          <w:p w14:paraId="12101C9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50DC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E34135E">
            <w:pPr>
              <w:widowControl/>
              <w:jc w:val="center"/>
              <w:rPr>
                <w:rFonts w:ascii="宋体" w:hAnsi="宋体"/>
                <w:color w:val="auto"/>
              </w:rPr>
            </w:pPr>
          </w:p>
        </w:tc>
        <w:tc>
          <w:tcPr>
            <w:tcW w:w="854" w:type="pct"/>
            <w:vMerge w:val="continue"/>
            <w:vAlign w:val="center"/>
          </w:tcPr>
          <w:p w14:paraId="1FB26030">
            <w:pPr>
              <w:widowControl/>
              <w:jc w:val="center"/>
              <w:rPr>
                <w:rFonts w:ascii="宋体" w:hAnsi="宋体"/>
                <w:color w:val="auto"/>
              </w:rPr>
            </w:pPr>
          </w:p>
        </w:tc>
        <w:tc>
          <w:tcPr>
            <w:tcW w:w="607" w:type="pct"/>
            <w:vAlign w:val="center"/>
          </w:tcPr>
          <w:p w14:paraId="0F0A5DE8">
            <w:pPr>
              <w:jc w:val="center"/>
              <w:rPr>
                <w:rFonts w:ascii="宋体" w:hAnsi="宋体"/>
                <w:color w:val="auto"/>
              </w:rPr>
            </w:pPr>
            <w:r>
              <w:rPr>
                <w:rFonts w:hint="eastAsia" w:ascii="宋体" w:hAnsi="宋体"/>
                <w:color w:val="auto"/>
              </w:rPr>
              <w:t>下风向3</w:t>
            </w:r>
          </w:p>
        </w:tc>
        <w:tc>
          <w:tcPr>
            <w:tcW w:w="1241" w:type="pct"/>
            <w:vAlign w:val="center"/>
          </w:tcPr>
          <w:p w14:paraId="15215DA3">
            <w:pPr>
              <w:jc w:val="center"/>
              <w:rPr>
                <w:rFonts w:ascii="宋体" w:hAnsi="宋体"/>
                <w:color w:val="auto"/>
                <w:kern w:val="0"/>
              </w:rPr>
            </w:pPr>
            <w:r>
              <w:rPr>
                <w:rFonts w:ascii="宋体" w:hAnsi="宋体"/>
                <w:color w:val="auto"/>
                <w:szCs w:val="22"/>
              </w:rPr>
              <w:t>1.18</w:t>
            </w:r>
          </w:p>
        </w:tc>
        <w:tc>
          <w:tcPr>
            <w:tcW w:w="1241" w:type="pct"/>
          </w:tcPr>
          <w:p w14:paraId="343E75A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7B14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295CD26">
            <w:pPr>
              <w:widowControl/>
              <w:jc w:val="center"/>
              <w:rPr>
                <w:rFonts w:ascii="宋体" w:hAnsi="宋体"/>
                <w:color w:val="auto"/>
              </w:rPr>
            </w:pPr>
            <w:bookmarkStart w:id="416" w:name="_Hlk230884496"/>
          </w:p>
        </w:tc>
        <w:tc>
          <w:tcPr>
            <w:tcW w:w="854" w:type="pct"/>
            <w:vMerge w:val="restart"/>
            <w:vAlign w:val="center"/>
          </w:tcPr>
          <w:p w14:paraId="58550E3B">
            <w:pPr>
              <w:jc w:val="center"/>
              <w:rPr>
                <w:rFonts w:ascii="宋体" w:hAnsi="宋体"/>
                <w:color w:val="auto"/>
              </w:rPr>
            </w:pPr>
            <w:r>
              <w:rPr>
                <w:rFonts w:hint="eastAsia" w:ascii="宋体" w:hAnsi="宋体"/>
                <w:color w:val="auto"/>
              </w:rPr>
              <w:t>第三次</w:t>
            </w:r>
          </w:p>
        </w:tc>
        <w:tc>
          <w:tcPr>
            <w:tcW w:w="607" w:type="pct"/>
            <w:vAlign w:val="center"/>
          </w:tcPr>
          <w:p w14:paraId="2516DEA7">
            <w:pPr>
              <w:jc w:val="center"/>
              <w:rPr>
                <w:rFonts w:ascii="宋体" w:hAnsi="宋体"/>
                <w:color w:val="auto"/>
              </w:rPr>
            </w:pPr>
            <w:r>
              <w:rPr>
                <w:rFonts w:hint="eastAsia" w:ascii="宋体" w:hAnsi="宋体"/>
                <w:color w:val="auto"/>
              </w:rPr>
              <w:t>上风向</w:t>
            </w:r>
          </w:p>
        </w:tc>
        <w:tc>
          <w:tcPr>
            <w:tcW w:w="1241" w:type="pct"/>
            <w:vAlign w:val="center"/>
          </w:tcPr>
          <w:p w14:paraId="629D0746">
            <w:pPr>
              <w:widowControl/>
              <w:jc w:val="center"/>
              <w:rPr>
                <w:rFonts w:ascii="宋体" w:hAnsi="宋体"/>
                <w:color w:val="auto"/>
                <w:kern w:val="0"/>
              </w:rPr>
            </w:pPr>
            <w:r>
              <w:rPr>
                <w:rFonts w:ascii="宋体" w:hAnsi="宋体"/>
                <w:color w:val="auto"/>
                <w:szCs w:val="22"/>
              </w:rPr>
              <w:t>0.98</w:t>
            </w:r>
          </w:p>
        </w:tc>
        <w:tc>
          <w:tcPr>
            <w:tcW w:w="1241" w:type="pct"/>
          </w:tcPr>
          <w:p w14:paraId="08C7604C">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373D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43F6283">
            <w:pPr>
              <w:widowControl/>
              <w:jc w:val="center"/>
              <w:rPr>
                <w:rFonts w:ascii="宋体" w:hAnsi="宋体"/>
                <w:color w:val="auto"/>
              </w:rPr>
            </w:pPr>
          </w:p>
        </w:tc>
        <w:tc>
          <w:tcPr>
            <w:tcW w:w="854" w:type="pct"/>
            <w:vMerge w:val="continue"/>
            <w:vAlign w:val="center"/>
          </w:tcPr>
          <w:p w14:paraId="2495D955">
            <w:pPr>
              <w:widowControl/>
              <w:jc w:val="center"/>
              <w:rPr>
                <w:rFonts w:ascii="宋体" w:hAnsi="宋体"/>
                <w:color w:val="auto"/>
              </w:rPr>
            </w:pPr>
          </w:p>
        </w:tc>
        <w:tc>
          <w:tcPr>
            <w:tcW w:w="607" w:type="pct"/>
            <w:vAlign w:val="center"/>
          </w:tcPr>
          <w:p w14:paraId="417F5AFE">
            <w:pPr>
              <w:jc w:val="center"/>
              <w:rPr>
                <w:rFonts w:ascii="宋体" w:hAnsi="宋体"/>
                <w:color w:val="auto"/>
              </w:rPr>
            </w:pPr>
            <w:r>
              <w:rPr>
                <w:rFonts w:hint="eastAsia" w:ascii="宋体" w:hAnsi="宋体"/>
                <w:color w:val="auto"/>
              </w:rPr>
              <w:t>下风向1</w:t>
            </w:r>
          </w:p>
        </w:tc>
        <w:tc>
          <w:tcPr>
            <w:tcW w:w="1241" w:type="pct"/>
            <w:vAlign w:val="center"/>
          </w:tcPr>
          <w:p w14:paraId="2BEA600F">
            <w:pPr>
              <w:jc w:val="center"/>
              <w:rPr>
                <w:rFonts w:ascii="宋体" w:hAnsi="宋体"/>
                <w:color w:val="auto"/>
                <w:kern w:val="0"/>
              </w:rPr>
            </w:pPr>
            <w:r>
              <w:rPr>
                <w:rFonts w:ascii="宋体" w:hAnsi="宋体"/>
                <w:color w:val="auto"/>
                <w:szCs w:val="22"/>
              </w:rPr>
              <w:t>1.18</w:t>
            </w:r>
          </w:p>
        </w:tc>
        <w:tc>
          <w:tcPr>
            <w:tcW w:w="1241" w:type="pct"/>
          </w:tcPr>
          <w:p w14:paraId="2937B60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C868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9709061">
            <w:pPr>
              <w:widowControl/>
              <w:jc w:val="center"/>
              <w:rPr>
                <w:rFonts w:ascii="宋体" w:hAnsi="宋体"/>
                <w:color w:val="auto"/>
              </w:rPr>
            </w:pPr>
          </w:p>
        </w:tc>
        <w:tc>
          <w:tcPr>
            <w:tcW w:w="854" w:type="pct"/>
            <w:vMerge w:val="continue"/>
            <w:vAlign w:val="center"/>
          </w:tcPr>
          <w:p w14:paraId="2F0D2853">
            <w:pPr>
              <w:widowControl/>
              <w:jc w:val="center"/>
              <w:rPr>
                <w:rFonts w:ascii="宋体" w:hAnsi="宋体"/>
                <w:color w:val="auto"/>
              </w:rPr>
            </w:pPr>
          </w:p>
        </w:tc>
        <w:tc>
          <w:tcPr>
            <w:tcW w:w="607" w:type="pct"/>
            <w:vAlign w:val="center"/>
          </w:tcPr>
          <w:p w14:paraId="4F66184D">
            <w:pPr>
              <w:jc w:val="center"/>
              <w:rPr>
                <w:rFonts w:ascii="宋体" w:hAnsi="宋体"/>
                <w:color w:val="auto"/>
              </w:rPr>
            </w:pPr>
            <w:r>
              <w:rPr>
                <w:rFonts w:hint="eastAsia" w:ascii="宋体" w:hAnsi="宋体"/>
                <w:color w:val="auto"/>
              </w:rPr>
              <w:t>下风向2</w:t>
            </w:r>
          </w:p>
        </w:tc>
        <w:tc>
          <w:tcPr>
            <w:tcW w:w="1241" w:type="pct"/>
            <w:vAlign w:val="center"/>
          </w:tcPr>
          <w:p w14:paraId="165AFD72">
            <w:pPr>
              <w:jc w:val="center"/>
              <w:rPr>
                <w:rFonts w:ascii="宋体" w:hAnsi="宋体"/>
                <w:color w:val="auto"/>
                <w:kern w:val="0"/>
              </w:rPr>
            </w:pPr>
            <w:r>
              <w:rPr>
                <w:rFonts w:ascii="宋体" w:hAnsi="宋体"/>
                <w:color w:val="auto"/>
                <w:szCs w:val="22"/>
              </w:rPr>
              <w:t>1.29</w:t>
            </w:r>
          </w:p>
        </w:tc>
        <w:tc>
          <w:tcPr>
            <w:tcW w:w="1241" w:type="pct"/>
          </w:tcPr>
          <w:p w14:paraId="5BC21E9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483E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17E919C">
            <w:pPr>
              <w:widowControl/>
              <w:jc w:val="center"/>
              <w:rPr>
                <w:rFonts w:ascii="宋体" w:hAnsi="宋体"/>
                <w:color w:val="auto"/>
              </w:rPr>
            </w:pPr>
          </w:p>
        </w:tc>
        <w:tc>
          <w:tcPr>
            <w:tcW w:w="854" w:type="pct"/>
            <w:vMerge w:val="continue"/>
            <w:vAlign w:val="center"/>
          </w:tcPr>
          <w:p w14:paraId="7E1C5255">
            <w:pPr>
              <w:widowControl/>
              <w:jc w:val="center"/>
              <w:rPr>
                <w:rFonts w:ascii="宋体" w:hAnsi="宋体"/>
                <w:color w:val="auto"/>
              </w:rPr>
            </w:pPr>
          </w:p>
        </w:tc>
        <w:tc>
          <w:tcPr>
            <w:tcW w:w="607" w:type="pct"/>
            <w:vAlign w:val="center"/>
          </w:tcPr>
          <w:p w14:paraId="5904B65A">
            <w:pPr>
              <w:jc w:val="center"/>
              <w:rPr>
                <w:rFonts w:ascii="宋体" w:hAnsi="宋体"/>
                <w:color w:val="auto"/>
              </w:rPr>
            </w:pPr>
            <w:r>
              <w:rPr>
                <w:rFonts w:hint="eastAsia" w:ascii="宋体" w:hAnsi="宋体"/>
                <w:color w:val="auto"/>
              </w:rPr>
              <w:t>下风向3</w:t>
            </w:r>
          </w:p>
        </w:tc>
        <w:tc>
          <w:tcPr>
            <w:tcW w:w="1241" w:type="pct"/>
            <w:vAlign w:val="center"/>
          </w:tcPr>
          <w:p w14:paraId="2A36A1CA">
            <w:pPr>
              <w:jc w:val="center"/>
              <w:rPr>
                <w:rFonts w:ascii="宋体" w:hAnsi="宋体"/>
                <w:color w:val="auto"/>
                <w:kern w:val="0"/>
              </w:rPr>
            </w:pPr>
            <w:r>
              <w:rPr>
                <w:rFonts w:ascii="宋体" w:hAnsi="宋体"/>
                <w:color w:val="auto"/>
                <w:szCs w:val="22"/>
              </w:rPr>
              <w:t>1.22</w:t>
            </w:r>
          </w:p>
        </w:tc>
        <w:tc>
          <w:tcPr>
            <w:tcW w:w="1241" w:type="pct"/>
          </w:tcPr>
          <w:p w14:paraId="38C13A43">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bookmarkEnd w:id="416"/>
      <w:tr w14:paraId="320DC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2A60C103">
            <w:pPr>
              <w:widowControl/>
              <w:jc w:val="center"/>
              <w:rPr>
                <w:rFonts w:ascii="宋体" w:hAnsi="宋体"/>
                <w:color w:val="auto"/>
              </w:rPr>
            </w:pPr>
          </w:p>
        </w:tc>
        <w:tc>
          <w:tcPr>
            <w:tcW w:w="854" w:type="pct"/>
            <w:vMerge w:val="restart"/>
            <w:vAlign w:val="center"/>
          </w:tcPr>
          <w:p w14:paraId="4CB3F196">
            <w:pPr>
              <w:widowControl/>
              <w:jc w:val="center"/>
              <w:rPr>
                <w:rFonts w:ascii="宋体" w:hAnsi="宋体"/>
                <w:color w:val="auto"/>
              </w:rPr>
            </w:pPr>
            <w:r>
              <w:rPr>
                <w:rFonts w:hint="eastAsia" w:ascii="宋体" w:hAnsi="宋体"/>
                <w:color w:val="auto"/>
              </w:rPr>
              <w:t>第四次</w:t>
            </w:r>
          </w:p>
        </w:tc>
        <w:tc>
          <w:tcPr>
            <w:tcW w:w="607" w:type="pct"/>
            <w:vAlign w:val="center"/>
          </w:tcPr>
          <w:p w14:paraId="40E97AFF">
            <w:pPr>
              <w:jc w:val="center"/>
              <w:rPr>
                <w:rFonts w:ascii="宋体" w:hAnsi="宋体"/>
                <w:color w:val="auto"/>
              </w:rPr>
            </w:pPr>
            <w:r>
              <w:rPr>
                <w:rFonts w:hint="eastAsia" w:ascii="宋体" w:hAnsi="宋体"/>
                <w:color w:val="auto"/>
              </w:rPr>
              <w:t>上风向</w:t>
            </w:r>
          </w:p>
        </w:tc>
        <w:tc>
          <w:tcPr>
            <w:tcW w:w="1241" w:type="pct"/>
            <w:vAlign w:val="center"/>
          </w:tcPr>
          <w:p w14:paraId="19CB6D4E">
            <w:pPr>
              <w:jc w:val="center"/>
              <w:rPr>
                <w:rFonts w:ascii="宋体" w:hAnsi="宋体"/>
                <w:color w:val="auto"/>
                <w:szCs w:val="22"/>
              </w:rPr>
            </w:pPr>
            <w:r>
              <w:rPr>
                <w:rFonts w:hint="eastAsia" w:ascii="宋体" w:hAnsi="宋体"/>
                <w:color w:val="auto"/>
                <w:szCs w:val="22"/>
              </w:rPr>
              <w:t>/</w:t>
            </w:r>
          </w:p>
        </w:tc>
        <w:tc>
          <w:tcPr>
            <w:tcW w:w="1241" w:type="pct"/>
          </w:tcPr>
          <w:p w14:paraId="4949D61F">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63ECB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F03F921">
            <w:pPr>
              <w:widowControl/>
              <w:jc w:val="center"/>
              <w:rPr>
                <w:rFonts w:ascii="宋体" w:hAnsi="宋体"/>
                <w:color w:val="auto"/>
              </w:rPr>
            </w:pPr>
          </w:p>
        </w:tc>
        <w:tc>
          <w:tcPr>
            <w:tcW w:w="854" w:type="pct"/>
            <w:vMerge w:val="continue"/>
            <w:vAlign w:val="center"/>
          </w:tcPr>
          <w:p w14:paraId="36CF7EEB">
            <w:pPr>
              <w:widowControl/>
              <w:jc w:val="center"/>
              <w:rPr>
                <w:rFonts w:ascii="宋体" w:hAnsi="宋体"/>
                <w:color w:val="auto"/>
              </w:rPr>
            </w:pPr>
          </w:p>
        </w:tc>
        <w:tc>
          <w:tcPr>
            <w:tcW w:w="607" w:type="pct"/>
            <w:vAlign w:val="center"/>
          </w:tcPr>
          <w:p w14:paraId="0C2B16DF">
            <w:pPr>
              <w:jc w:val="center"/>
              <w:rPr>
                <w:rFonts w:ascii="宋体" w:hAnsi="宋体"/>
                <w:color w:val="auto"/>
              </w:rPr>
            </w:pPr>
            <w:r>
              <w:rPr>
                <w:rFonts w:hint="eastAsia" w:ascii="宋体" w:hAnsi="宋体"/>
                <w:color w:val="auto"/>
              </w:rPr>
              <w:t>下风向1</w:t>
            </w:r>
          </w:p>
        </w:tc>
        <w:tc>
          <w:tcPr>
            <w:tcW w:w="1241" w:type="pct"/>
            <w:vAlign w:val="center"/>
          </w:tcPr>
          <w:p w14:paraId="4259CA35">
            <w:pPr>
              <w:jc w:val="center"/>
              <w:rPr>
                <w:rFonts w:ascii="宋体" w:hAnsi="宋体"/>
                <w:color w:val="auto"/>
                <w:szCs w:val="22"/>
              </w:rPr>
            </w:pPr>
            <w:r>
              <w:rPr>
                <w:rFonts w:hint="eastAsia" w:ascii="宋体" w:hAnsi="宋体"/>
                <w:color w:val="auto"/>
                <w:szCs w:val="22"/>
              </w:rPr>
              <w:t>/</w:t>
            </w:r>
          </w:p>
        </w:tc>
        <w:tc>
          <w:tcPr>
            <w:tcW w:w="1241" w:type="pct"/>
          </w:tcPr>
          <w:p w14:paraId="4410AAB5">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B7B6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1D7CD21">
            <w:pPr>
              <w:widowControl/>
              <w:jc w:val="center"/>
              <w:rPr>
                <w:rFonts w:ascii="宋体" w:hAnsi="宋体"/>
                <w:color w:val="auto"/>
              </w:rPr>
            </w:pPr>
          </w:p>
        </w:tc>
        <w:tc>
          <w:tcPr>
            <w:tcW w:w="854" w:type="pct"/>
            <w:vMerge w:val="continue"/>
            <w:vAlign w:val="center"/>
          </w:tcPr>
          <w:p w14:paraId="56A23A75">
            <w:pPr>
              <w:widowControl/>
              <w:jc w:val="center"/>
              <w:rPr>
                <w:rFonts w:ascii="宋体" w:hAnsi="宋体"/>
                <w:color w:val="auto"/>
              </w:rPr>
            </w:pPr>
          </w:p>
        </w:tc>
        <w:tc>
          <w:tcPr>
            <w:tcW w:w="607" w:type="pct"/>
            <w:vAlign w:val="center"/>
          </w:tcPr>
          <w:p w14:paraId="342A86C2">
            <w:pPr>
              <w:jc w:val="center"/>
              <w:rPr>
                <w:rFonts w:ascii="宋体" w:hAnsi="宋体"/>
                <w:color w:val="auto"/>
              </w:rPr>
            </w:pPr>
            <w:r>
              <w:rPr>
                <w:rFonts w:hint="eastAsia" w:ascii="宋体" w:hAnsi="宋体"/>
                <w:color w:val="auto"/>
              </w:rPr>
              <w:t>下风向2</w:t>
            </w:r>
          </w:p>
        </w:tc>
        <w:tc>
          <w:tcPr>
            <w:tcW w:w="1241" w:type="pct"/>
            <w:vAlign w:val="center"/>
          </w:tcPr>
          <w:p w14:paraId="3C6E3D9B">
            <w:pPr>
              <w:jc w:val="center"/>
              <w:rPr>
                <w:rFonts w:ascii="宋体" w:hAnsi="宋体"/>
                <w:color w:val="auto"/>
                <w:szCs w:val="22"/>
              </w:rPr>
            </w:pPr>
            <w:r>
              <w:rPr>
                <w:rFonts w:hint="eastAsia" w:ascii="宋体" w:hAnsi="宋体"/>
                <w:color w:val="auto"/>
                <w:szCs w:val="22"/>
              </w:rPr>
              <w:t>/</w:t>
            </w:r>
          </w:p>
        </w:tc>
        <w:tc>
          <w:tcPr>
            <w:tcW w:w="1241" w:type="pct"/>
          </w:tcPr>
          <w:p w14:paraId="02B5AFEF">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E153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C2177F6">
            <w:pPr>
              <w:widowControl/>
              <w:jc w:val="center"/>
              <w:rPr>
                <w:rFonts w:ascii="宋体" w:hAnsi="宋体"/>
                <w:color w:val="auto"/>
              </w:rPr>
            </w:pPr>
          </w:p>
        </w:tc>
        <w:tc>
          <w:tcPr>
            <w:tcW w:w="854" w:type="pct"/>
            <w:vMerge w:val="continue"/>
            <w:vAlign w:val="center"/>
          </w:tcPr>
          <w:p w14:paraId="31885A10">
            <w:pPr>
              <w:widowControl/>
              <w:jc w:val="center"/>
              <w:rPr>
                <w:rFonts w:ascii="宋体" w:hAnsi="宋体"/>
                <w:color w:val="auto"/>
              </w:rPr>
            </w:pPr>
          </w:p>
        </w:tc>
        <w:tc>
          <w:tcPr>
            <w:tcW w:w="607" w:type="pct"/>
            <w:vAlign w:val="center"/>
          </w:tcPr>
          <w:p w14:paraId="6E39EF8D">
            <w:pPr>
              <w:jc w:val="center"/>
              <w:rPr>
                <w:rFonts w:ascii="宋体" w:hAnsi="宋体"/>
                <w:color w:val="auto"/>
              </w:rPr>
            </w:pPr>
            <w:r>
              <w:rPr>
                <w:rFonts w:hint="eastAsia" w:ascii="宋体" w:hAnsi="宋体"/>
                <w:color w:val="auto"/>
              </w:rPr>
              <w:t>下风向3</w:t>
            </w:r>
          </w:p>
        </w:tc>
        <w:tc>
          <w:tcPr>
            <w:tcW w:w="1241" w:type="pct"/>
            <w:vAlign w:val="center"/>
          </w:tcPr>
          <w:p w14:paraId="71A48FFE">
            <w:pPr>
              <w:jc w:val="center"/>
              <w:rPr>
                <w:rFonts w:ascii="宋体" w:hAnsi="宋体"/>
                <w:color w:val="auto"/>
                <w:szCs w:val="22"/>
              </w:rPr>
            </w:pPr>
            <w:r>
              <w:rPr>
                <w:rFonts w:hint="eastAsia" w:ascii="宋体" w:hAnsi="宋体"/>
                <w:color w:val="auto"/>
                <w:szCs w:val="22"/>
              </w:rPr>
              <w:t>/</w:t>
            </w:r>
          </w:p>
        </w:tc>
        <w:tc>
          <w:tcPr>
            <w:tcW w:w="1241" w:type="pct"/>
          </w:tcPr>
          <w:p w14:paraId="2FACF173">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bookmarkEnd w:id="414"/>
      <w:bookmarkEnd w:id="415"/>
      <w:tr w14:paraId="5ECCC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0" w:type="pct"/>
            <w:gridSpan w:val="2"/>
            <w:vAlign w:val="center"/>
          </w:tcPr>
          <w:p w14:paraId="0DD3EB77">
            <w:pPr>
              <w:adjustRightInd w:val="0"/>
              <w:snapToGrid w:val="0"/>
              <w:jc w:val="center"/>
              <w:rPr>
                <w:rFonts w:ascii="宋体" w:hAnsi="宋体"/>
                <w:color w:val="auto"/>
              </w:rPr>
            </w:pPr>
            <w:r>
              <w:rPr>
                <w:rFonts w:ascii="宋体" w:hAnsi="宋体"/>
                <w:color w:val="auto"/>
              </w:rPr>
              <w:t>检测位置</w:t>
            </w:r>
          </w:p>
        </w:tc>
        <w:tc>
          <w:tcPr>
            <w:tcW w:w="3090" w:type="pct"/>
            <w:gridSpan w:val="3"/>
            <w:vAlign w:val="center"/>
          </w:tcPr>
          <w:p w14:paraId="08D6A3B2">
            <w:pPr>
              <w:adjustRightInd w:val="0"/>
              <w:snapToGrid w:val="0"/>
              <w:jc w:val="center"/>
              <w:rPr>
                <w:rFonts w:ascii="宋体" w:hAnsi="宋体"/>
                <w:color w:val="auto"/>
              </w:rPr>
            </w:pPr>
            <w:r>
              <w:rPr>
                <w:rFonts w:ascii="宋体" w:hAnsi="宋体"/>
                <w:color w:val="auto"/>
              </w:rPr>
              <w:t>12#</w:t>
            </w:r>
            <w:r>
              <w:rPr>
                <w:rFonts w:hint="eastAsia" w:ascii="宋体" w:hAnsi="宋体"/>
                <w:color w:val="auto"/>
              </w:rPr>
              <w:t>井场厂界</w:t>
            </w:r>
          </w:p>
        </w:tc>
      </w:tr>
      <w:tr w14:paraId="3DF35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27EDF8FF">
            <w:pPr>
              <w:adjustRightInd w:val="0"/>
              <w:snapToGrid w:val="0"/>
              <w:jc w:val="center"/>
              <w:rPr>
                <w:rFonts w:ascii="宋体" w:hAnsi="宋体"/>
                <w:color w:val="auto"/>
              </w:rPr>
            </w:pPr>
            <w:r>
              <w:rPr>
                <w:rFonts w:ascii="宋体" w:hAnsi="宋体"/>
                <w:color w:val="auto"/>
              </w:rPr>
              <w:t>采样日期</w:t>
            </w:r>
          </w:p>
        </w:tc>
        <w:tc>
          <w:tcPr>
            <w:tcW w:w="854" w:type="pct"/>
            <w:vMerge w:val="restart"/>
            <w:vAlign w:val="center"/>
          </w:tcPr>
          <w:p w14:paraId="47FFDABD">
            <w:pPr>
              <w:adjustRightInd w:val="0"/>
              <w:snapToGrid w:val="0"/>
              <w:jc w:val="center"/>
              <w:rPr>
                <w:rFonts w:ascii="宋体" w:hAnsi="宋体"/>
                <w:color w:val="auto"/>
              </w:rPr>
            </w:pPr>
            <w:r>
              <w:rPr>
                <w:rFonts w:ascii="宋体" w:hAnsi="宋体"/>
                <w:color w:val="auto"/>
              </w:rPr>
              <w:t>采样时间</w:t>
            </w:r>
          </w:p>
        </w:tc>
        <w:tc>
          <w:tcPr>
            <w:tcW w:w="607" w:type="pct"/>
            <w:vMerge w:val="restart"/>
            <w:vAlign w:val="center"/>
          </w:tcPr>
          <w:p w14:paraId="7DA949E3">
            <w:pPr>
              <w:adjustRightInd w:val="0"/>
              <w:snapToGrid w:val="0"/>
              <w:jc w:val="center"/>
              <w:rPr>
                <w:rFonts w:ascii="宋体" w:hAnsi="宋体"/>
                <w:color w:val="auto"/>
              </w:rPr>
            </w:pPr>
            <w:r>
              <w:rPr>
                <w:rFonts w:ascii="宋体" w:hAnsi="宋体"/>
                <w:color w:val="auto"/>
              </w:rPr>
              <w:t>具体点位</w:t>
            </w:r>
          </w:p>
        </w:tc>
        <w:tc>
          <w:tcPr>
            <w:tcW w:w="2483" w:type="pct"/>
            <w:gridSpan w:val="2"/>
            <w:vAlign w:val="center"/>
          </w:tcPr>
          <w:p w14:paraId="630F9D79">
            <w:pPr>
              <w:jc w:val="center"/>
              <w:rPr>
                <w:rFonts w:ascii="宋体" w:hAnsi="宋体"/>
                <w:color w:val="auto"/>
              </w:rPr>
            </w:pPr>
            <w:r>
              <w:rPr>
                <w:rFonts w:ascii="宋体" w:hAnsi="宋体"/>
                <w:color w:val="auto"/>
              </w:rPr>
              <w:t>检测结果均值(mg/m</w:t>
            </w:r>
            <w:r>
              <w:rPr>
                <w:rFonts w:ascii="宋体" w:hAnsi="宋体"/>
                <w:color w:val="auto"/>
                <w:vertAlign w:val="superscript"/>
              </w:rPr>
              <w:t>3</w:t>
            </w:r>
            <w:r>
              <w:rPr>
                <w:rFonts w:ascii="宋体" w:hAnsi="宋体"/>
                <w:color w:val="auto"/>
              </w:rPr>
              <w:t>)</w:t>
            </w:r>
          </w:p>
        </w:tc>
      </w:tr>
      <w:tr w14:paraId="2DC86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B5D938F">
            <w:pPr>
              <w:adjustRightInd w:val="0"/>
              <w:snapToGrid w:val="0"/>
              <w:jc w:val="center"/>
              <w:rPr>
                <w:rFonts w:ascii="宋体" w:hAnsi="宋体"/>
                <w:color w:val="auto"/>
              </w:rPr>
            </w:pPr>
          </w:p>
        </w:tc>
        <w:tc>
          <w:tcPr>
            <w:tcW w:w="854" w:type="pct"/>
            <w:vMerge w:val="continue"/>
            <w:vAlign w:val="center"/>
          </w:tcPr>
          <w:p w14:paraId="23E3DE6A">
            <w:pPr>
              <w:adjustRightInd w:val="0"/>
              <w:snapToGrid w:val="0"/>
              <w:jc w:val="center"/>
              <w:rPr>
                <w:rFonts w:ascii="宋体" w:hAnsi="宋体"/>
                <w:color w:val="auto"/>
              </w:rPr>
            </w:pPr>
          </w:p>
        </w:tc>
        <w:tc>
          <w:tcPr>
            <w:tcW w:w="607" w:type="pct"/>
            <w:vMerge w:val="continue"/>
            <w:vAlign w:val="center"/>
          </w:tcPr>
          <w:p w14:paraId="7ECE8C29">
            <w:pPr>
              <w:adjustRightInd w:val="0"/>
              <w:snapToGrid w:val="0"/>
              <w:jc w:val="center"/>
              <w:rPr>
                <w:rFonts w:ascii="宋体" w:hAnsi="宋体"/>
                <w:color w:val="auto"/>
              </w:rPr>
            </w:pPr>
          </w:p>
        </w:tc>
        <w:tc>
          <w:tcPr>
            <w:tcW w:w="1241" w:type="pct"/>
            <w:vAlign w:val="center"/>
          </w:tcPr>
          <w:p w14:paraId="60CC28AF">
            <w:pPr>
              <w:jc w:val="center"/>
              <w:rPr>
                <w:rFonts w:ascii="宋体" w:hAnsi="宋体"/>
                <w:color w:val="auto"/>
              </w:rPr>
            </w:pPr>
            <w:r>
              <w:rPr>
                <w:rFonts w:hint="eastAsia" w:ascii="宋体" w:hAnsi="宋体"/>
                <w:color w:val="auto"/>
              </w:rPr>
              <w:t>非甲烷总烃</w:t>
            </w:r>
          </w:p>
        </w:tc>
        <w:tc>
          <w:tcPr>
            <w:tcW w:w="1241" w:type="pct"/>
            <w:vAlign w:val="center"/>
          </w:tcPr>
          <w:p w14:paraId="64171CAE">
            <w:pPr>
              <w:jc w:val="center"/>
              <w:rPr>
                <w:rFonts w:ascii="宋体" w:hAnsi="宋体"/>
                <w:color w:val="auto"/>
              </w:rPr>
            </w:pPr>
            <w:r>
              <w:rPr>
                <w:rFonts w:hint="eastAsia" w:ascii="宋体" w:hAnsi="宋体"/>
                <w:color w:val="auto"/>
              </w:rPr>
              <w:t>硫化氢</w:t>
            </w:r>
          </w:p>
        </w:tc>
      </w:tr>
      <w:tr w14:paraId="3C262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5A723BA7">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5</w:t>
            </w:r>
            <w:r>
              <w:rPr>
                <w:rFonts w:hint="eastAsia" w:ascii="宋体" w:hAnsi="宋体"/>
                <w:color w:val="auto"/>
              </w:rPr>
              <w:t>月</w:t>
            </w:r>
            <w:r>
              <w:rPr>
                <w:rFonts w:ascii="宋体" w:hAnsi="宋体"/>
                <w:color w:val="auto"/>
              </w:rPr>
              <w:t>10</w:t>
            </w:r>
            <w:r>
              <w:rPr>
                <w:rFonts w:hint="eastAsia" w:ascii="宋体" w:hAnsi="宋体"/>
                <w:color w:val="auto"/>
              </w:rPr>
              <w:t>日</w:t>
            </w:r>
          </w:p>
        </w:tc>
        <w:tc>
          <w:tcPr>
            <w:tcW w:w="854" w:type="pct"/>
            <w:vMerge w:val="restart"/>
            <w:vAlign w:val="center"/>
          </w:tcPr>
          <w:p w14:paraId="5DEA1401">
            <w:pPr>
              <w:jc w:val="center"/>
              <w:rPr>
                <w:rFonts w:ascii="宋体" w:hAnsi="宋体"/>
                <w:color w:val="auto"/>
              </w:rPr>
            </w:pPr>
            <w:r>
              <w:rPr>
                <w:rFonts w:hint="eastAsia" w:ascii="宋体" w:hAnsi="宋体"/>
                <w:color w:val="auto"/>
              </w:rPr>
              <w:t>第一次</w:t>
            </w:r>
          </w:p>
        </w:tc>
        <w:tc>
          <w:tcPr>
            <w:tcW w:w="607" w:type="pct"/>
            <w:vAlign w:val="center"/>
          </w:tcPr>
          <w:p w14:paraId="61C164BA">
            <w:pPr>
              <w:jc w:val="center"/>
              <w:rPr>
                <w:rFonts w:ascii="宋体" w:hAnsi="宋体"/>
                <w:color w:val="auto"/>
              </w:rPr>
            </w:pPr>
            <w:r>
              <w:rPr>
                <w:rFonts w:hint="eastAsia" w:ascii="宋体" w:hAnsi="宋体"/>
                <w:color w:val="auto"/>
              </w:rPr>
              <w:t>上风向</w:t>
            </w:r>
          </w:p>
        </w:tc>
        <w:tc>
          <w:tcPr>
            <w:tcW w:w="1241" w:type="pct"/>
            <w:vAlign w:val="center"/>
          </w:tcPr>
          <w:p w14:paraId="0EC61EAF">
            <w:pPr>
              <w:widowControl/>
              <w:jc w:val="center"/>
              <w:rPr>
                <w:rFonts w:ascii="宋体" w:hAnsi="宋体"/>
                <w:color w:val="auto"/>
                <w:kern w:val="0"/>
              </w:rPr>
            </w:pPr>
            <w:r>
              <w:rPr>
                <w:rFonts w:ascii="宋体" w:hAnsi="宋体"/>
                <w:color w:val="auto"/>
                <w:szCs w:val="22"/>
              </w:rPr>
              <w:t>0.94</w:t>
            </w:r>
          </w:p>
        </w:tc>
        <w:tc>
          <w:tcPr>
            <w:tcW w:w="1241" w:type="pct"/>
          </w:tcPr>
          <w:p w14:paraId="005EBC70">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3BA8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749EF10">
            <w:pPr>
              <w:widowControl/>
              <w:jc w:val="center"/>
              <w:rPr>
                <w:rFonts w:ascii="宋体" w:hAnsi="宋体"/>
                <w:color w:val="auto"/>
              </w:rPr>
            </w:pPr>
          </w:p>
        </w:tc>
        <w:tc>
          <w:tcPr>
            <w:tcW w:w="854" w:type="pct"/>
            <w:vMerge w:val="continue"/>
            <w:vAlign w:val="center"/>
          </w:tcPr>
          <w:p w14:paraId="24439A72">
            <w:pPr>
              <w:widowControl/>
              <w:jc w:val="center"/>
              <w:rPr>
                <w:rFonts w:ascii="宋体" w:hAnsi="宋体"/>
                <w:color w:val="auto"/>
              </w:rPr>
            </w:pPr>
          </w:p>
        </w:tc>
        <w:tc>
          <w:tcPr>
            <w:tcW w:w="607" w:type="pct"/>
            <w:vAlign w:val="center"/>
          </w:tcPr>
          <w:p w14:paraId="642B34E5">
            <w:pPr>
              <w:jc w:val="center"/>
              <w:rPr>
                <w:rFonts w:ascii="宋体" w:hAnsi="宋体"/>
                <w:color w:val="auto"/>
              </w:rPr>
            </w:pPr>
            <w:r>
              <w:rPr>
                <w:rFonts w:hint="eastAsia" w:ascii="宋体" w:hAnsi="宋体"/>
                <w:color w:val="auto"/>
              </w:rPr>
              <w:t>下风向1</w:t>
            </w:r>
          </w:p>
        </w:tc>
        <w:tc>
          <w:tcPr>
            <w:tcW w:w="1241" w:type="pct"/>
            <w:vAlign w:val="center"/>
          </w:tcPr>
          <w:p w14:paraId="2521A8A2">
            <w:pPr>
              <w:jc w:val="center"/>
              <w:rPr>
                <w:rFonts w:ascii="宋体" w:hAnsi="宋体"/>
                <w:color w:val="auto"/>
                <w:kern w:val="0"/>
              </w:rPr>
            </w:pPr>
            <w:r>
              <w:rPr>
                <w:rFonts w:ascii="宋体" w:hAnsi="宋体"/>
                <w:color w:val="auto"/>
                <w:szCs w:val="22"/>
              </w:rPr>
              <w:t>1.14</w:t>
            </w:r>
          </w:p>
        </w:tc>
        <w:tc>
          <w:tcPr>
            <w:tcW w:w="1241" w:type="pct"/>
          </w:tcPr>
          <w:p w14:paraId="5F243C1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1DF4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B268270">
            <w:pPr>
              <w:widowControl/>
              <w:jc w:val="center"/>
              <w:rPr>
                <w:rFonts w:ascii="宋体" w:hAnsi="宋体"/>
                <w:color w:val="auto"/>
              </w:rPr>
            </w:pPr>
          </w:p>
        </w:tc>
        <w:tc>
          <w:tcPr>
            <w:tcW w:w="854" w:type="pct"/>
            <w:vMerge w:val="continue"/>
            <w:vAlign w:val="center"/>
          </w:tcPr>
          <w:p w14:paraId="606B7FAB">
            <w:pPr>
              <w:widowControl/>
              <w:jc w:val="center"/>
              <w:rPr>
                <w:rFonts w:ascii="宋体" w:hAnsi="宋体"/>
                <w:color w:val="auto"/>
              </w:rPr>
            </w:pPr>
          </w:p>
        </w:tc>
        <w:tc>
          <w:tcPr>
            <w:tcW w:w="607" w:type="pct"/>
            <w:vAlign w:val="center"/>
          </w:tcPr>
          <w:p w14:paraId="2539640A">
            <w:pPr>
              <w:jc w:val="center"/>
              <w:rPr>
                <w:rFonts w:ascii="宋体" w:hAnsi="宋体"/>
                <w:color w:val="auto"/>
              </w:rPr>
            </w:pPr>
            <w:r>
              <w:rPr>
                <w:rFonts w:hint="eastAsia" w:ascii="宋体" w:hAnsi="宋体"/>
                <w:color w:val="auto"/>
              </w:rPr>
              <w:t>下风向2</w:t>
            </w:r>
          </w:p>
        </w:tc>
        <w:tc>
          <w:tcPr>
            <w:tcW w:w="1241" w:type="pct"/>
            <w:vAlign w:val="center"/>
          </w:tcPr>
          <w:p w14:paraId="7C05FE29">
            <w:pPr>
              <w:jc w:val="center"/>
              <w:rPr>
                <w:rFonts w:ascii="宋体" w:hAnsi="宋体"/>
                <w:color w:val="auto"/>
                <w:kern w:val="0"/>
              </w:rPr>
            </w:pPr>
            <w:r>
              <w:rPr>
                <w:rFonts w:ascii="宋体" w:hAnsi="宋体"/>
                <w:color w:val="auto"/>
                <w:szCs w:val="22"/>
              </w:rPr>
              <w:t>1.16</w:t>
            </w:r>
          </w:p>
        </w:tc>
        <w:tc>
          <w:tcPr>
            <w:tcW w:w="1241" w:type="pct"/>
          </w:tcPr>
          <w:p w14:paraId="2C9CA8EA">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B04D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95A8B0F">
            <w:pPr>
              <w:widowControl/>
              <w:jc w:val="center"/>
              <w:rPr>
                <w:rFonts w:ascii="宋体" w:hAnsi="宋体"/>
                <w:color w:val="auto"/>
              </w:rPr>
            </w:pPr>
          </w:p>
        </w:tc>
        <w:tc>
          <w:tcPr>
            <w:tcW w:w="854" w:type="pct"/>
            <w:vMerge w:val="continue"/>
            <w:vAlign w:val="center"/>
          </w:tcPr>
          <w:p w14:paraId="4BF4BA24">
            <w:pPr>
              <w:widowControl/>
              <w:jc w:val="center"/>
              <w:rPr>
                <w:rFonts w:ascii="宋体" w:hAnsi="宋体"/>
                <w:color w:val="auto"/>
              </w:rPr>
            </w:pPr>
          </w:p>
        </w:tc>
        <w:tc>
          <w:tcPr>
            <w:tcW w:w="607" w:type="pct"/>
            <w:vAlign w:val="center"/>
          </w:tcPr>
          <w:p w14:paraId="24D28664">
            <w:pPr>
              <w:jc w:val="center"/>
              <w:rPr>
                <w:rFonts w:ascii="宋体" w:hAnsi="宋体"/>
                <w:color w:val="auto"/>
              </w:rPr>
            </w:pPr>
            <w:r>
              <w:rPr>
                <w:rFonts w:hint="eastAsia" w:ascii="宋体" w:hAnsi="宋体"/>
                <w:color w:val="auto"/>
              </w:rPr>
              <w:t>下风向3</w:t>
            </w:r>
          </w:p>
        </w:tc>
        <w:tc>
          <w:tcPr>
            <w:tcW w:w="1241" w:type="pct"/>
            <w:vAlign w:val="center"/>
          </w:tcPr>
          <w:p w14:paraId="4CA60E99">
            <w:pPr>
              <w:jc w:val="center"/>
              <w:rPr>
                <w:rFonts w:ascii="宋体" w:hAnsi="宋体"/>
                <w:color w:val="auto"/>
                <w:kern w:val="0"/>
              </w:rPr>
            </w:pPr>
            <w:r>
              <w:rPr>
                <w:rFonts w:ascii="宋体" w:hAnsi="宋体"/>
                <w:color w:val="auto"/>
                <w:szCs w:val="22"/>
              </w:rPr>
              <w:t>1.25</w:t>
            </w:r>
          </w:p>
        </w:tc>
        <w:tc>
          <w:tcPr>
            <w:tcW w:w="1241" w:type="pct"/>
          </w:tcPr>
          <w:p w14:paraId="058A58F3">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0575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6459C03">
            <w:pPr>
              <w:widowControl/>
              <w:jc w:val="center"/>
              <w:rPr>
                <w:rFonts w:ascii="宋体" w:hAnsi="宋体"/>
                <w:color w:val="auto"/>
              </w:rPr>
            </w:pPr>
          </w:p>
        </w:tc>
        <w:tc>
          <w:tcPr>
            <w:tcW w:w="854" w:type="pct"/>
            <w:vMerge w:val="restart"/>
            <w:vAlign w:val="center"/>
          </w:tcPr>
          <w:p w14:paraId="79116A6E">
            <w:pPr>
              <w:jc w:val="center"/>
              <w:rPr>
                <w:rFonts w:ascii="宋体" w:hAnsi="宋体"/>
                <w:color w:val="auto"/>
              </w:rPr>
            </w:pPr>
            <w:r>
              <w:rPr>
                <w:rFonts w:hint="eastAsia" w:ascii="宋体" w:hAnsi="宋体"/>
                <w:color w:val="auto"/>
              </w:rPr>
              <w:t>第二次</w:t>
            </w:r>
          </w:p>
        </w:tc>
        <w:tc>
          <w:tcPr>
            <w:tcW w:w="607" w:type="pct"/>
            <w:vAlign w:val="center"/>
          </w:tcPr>
          <w:p w14:paraId="35ABFBA0">
            <w:pPr>
              <w:jc w:val="center"/>
              <w:rPr>
                <w:rFonts w:ascii="宋体" w:hAnsi="宋体"/>
                <w:color w:val="auto"/>
              </w:rPr>
            </w:pPr>
            <w:r>
              <w:rPr>
                <w:rFonts w:hint="eastAsia" w:ascii="宋体" w:hAnsi="宋体"/>
                <w:color w:val="auto"/>
              </w:rPr>
              <w:t>上风向</w:t>
            </w:r>
          </w:p>
        </w:tc>
        <w:tc>
          <w:tcPr>
            <w:tcW w:w="1241" w:type="pct"/>
            <w:vAlign w:val="center"/>
          </w:tcPr>
          <w:p w14:paraId="1BAD1B83">
            <w:pPr>
              <w:widowControl/>
              <w:jc w:val="center"/>
              <w:rPr>
                <w:rFonts w:ascii="宋体" w:hAnsi="宋体"/>
                <w:color w:val="auto"/>
                <w:kern w:val="0"/>
              </w:rPr>
            </w:pPr>
            <w:r>
              <w:rPr>
                <w:rFonts w:ascii="宋体" w:hAnsi="宋体"/>
                <w:color w:val="auto"/>
                <w:szCs w:val="22"/>
              </w:rPr>
              <w:t>0.94</w:t>
            </w:r>
          </w:p>
        </w:tc>
        <w:tc>
          <w:tcPr>
            <w:tcW w:w="1241" w:type="pct"/>
          </w:tcPr>
          <w:p w14:paraId="20B5BDB7">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014F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AA88351">
            <w:pPr>
              <w:widowControl/>
              <w:jc w:val="center"/>
              <w:rPr>
                <w:rFonts w:ascii="宋体" w:hAnsi="宋体"/>
                <w:color w:val="auto"/>
              </w:rPr>
            </w:pPr>
          </w:p>
        </w:tc>
        <w:tc>
          <w:tcPr>
            <w:tcW w:w="854" w:type="pct"/>
            <w:vMerge w:val="continue"/>
            <w:vAlign w:val="center"/>
          </w:tcPr>
          <w:p w14:paraId="38BA32B4">
            <w:pPr>
              <w:widowControl/>
              <w:jc w:val="center"/>
              <w:rPr>
                <w:rFonts w:ascii="宋体" w:hAnsi="宋体"/>
                <w:color w:val="auto"/>
              </w:rPr>
            </w:pPr>
          </w:p>
        </w:tc>
        <w:tc>
          <w:tcPr>
            <w:tcW w:w="607" w:type="pct"/>
            <w:vAlign w:val="center"/>
          </w:tcPr>
          <w:p w14:paraId="77C71EAE">
            <w:pPr>
              <w:jc w:val="center"/>
              <w:rPr>
                <w:rFonts w:ascii="宋体" w:hAnsi="宋体"/>
                <w:color w:val="auto"/>
              </w:rPr>
            </w:pPr>
            <w:r>
              <w:rPr>
                <w:rFonts w:hint="eastAsia" w:ascii="宋体" w:hAnsi="宋体"/>
                <w:color w:val="auto"/>
              </w:rPr>
              <w:t>下风向1</w:t>
            </w:r>
          </w:p>
        </w:tc>
        <w:tc>
          <w:tcPr>
            <w:tcW w:w="1241" w:type="pct"/>
            <w:vAlign w:val="center"/>
          </w:tcPr>
          <w:p w14:paraId="7051375A">
            <w:pPr>
              <w:jc w:val="center"/>
              <w:rPr>
                <w:rFonts w:ascii="宋体" w:hAnsi="宋体"/>
                <w:color w:val="auto"/>
                <w:kern w:val="0"/>
              </w:rPr>
            </w:pPr>
            <w:r>
              <w:rPr>
                <w:rFonts w:ascii="宋体" w:hAnsi="宋体"/>
                <w:color w:val="auto"/>
                <w:szCs w:val="22"/>
              </w:rPr>
              <w:t>1.10</w:t>
            </w:r>
          </w:p>
        </w:tc>
        <w:tc>
          <w:tcPr>
            <w:tcW w:w="1241" w:type="pct"/>
          </w:tcPr>
          <w:p w14:paraId="1E752D3E">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5BA6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107FAD8D">
            <w:pPr>
              <w:widowControl/>
              <w:jc w:val="center"/>
              <w:rPr>
                <w:rFonts w:ascii="宋体" w:hAnsi="宋体"/>
                <w:color w:val="auto"/>
              </w:rPr>
            </w:pPr>
          </w:p>
        </w:tc>
        <w:tc>
          <w:tcPr>
            <w:tcW w:w="854" w:type="pct"/>
            <w:vMerge w:val="continue"/>
            <w:vAlign w:val="center"/>
          </w:tcPr>
          <w:p w14:paraId="6E73A4D6">
            <w:pPr>
              <w:widowControl/>
              <w:jc w:val="center"/>
              <w:rPr>
                <w:rFonts w:ascii="宋体" w:hAnsi="宋体"/>
                <w:color w:val="auto"/>
              </w:rPr>
            </w:pPr>
          </w:p>
        </w:tc>
        <w:tc>
          <w:tcPr>
            <w:tcW w:w="607" w:type="pct"/>
            <w:vAlign w:val="center"/>
          </w:tcPr>
          <w:p w14:paraId="5CAFE7C0">
            <w:pPr>
              <w:jc w:val="center"/>
              <w:rPr>
                <w:rFonts w:ascii="宋体" w:hAnsi="宋体"/>
                <w:color w:val="auto"/>
              </w:rPr>
            </w:pPr>
            <w:r>
              <w:rPr>
                <w:rFonts w:hint="eastAsia" w:ascii="宋体" w:hAnsi="宋体"/>
                <w:color w:val="auto"/>
              </w:rPr>
              <w:t>下风向2</w:t>
            </w:r>
          </w:p>
        </w:tc>
        <w:tc>
          <w:tcPr>
            <w:tcW w:w="1241" w:type="pct"/>
            <w:vAlign w:val="center"/>
          </w:tcPr>
          <w:p w14:paraId="7D2DBE6D">
            <w:pPr>
              <w:jc w:val="center"/>
              <w:rPr>
                <w:rFonts w:ascii="宋体" w:hAnsi="宋体"/>
                <w:color w:val="auto"/>
                <w:kern w:val="0"/>
              </w:rPr>
            </w:pPr>
            <w:r>
              <w:rPr>
                <w:rFonts w:ascii="宋体" w:hAnsi="宋体"/>
                <w:color w:val="auto"/>
                <w:szCs w:val="22"/>
              </w:rPr>
              <w:t>1.07</w:t>
            </w:r>
          </w:p>
        </w:tc>
        <w:tc>
          <w:tcPr>
            <w:tcW w:w="1241" w:type="pct"/>
          </w:tcPr>
          <w:p w14:paraId="04877DF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59FA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4DF8852">
            <w:pPr>
              <w:widowControl/>
              <w:jc w:val="center"/>
              <w:rPr>
                <w:rFonts w:ascii="宋体" w:hAnsi="宋体"/>
                <w:color w:val="auto"/>
              </w:rPr>
            </w:pPr>
          </w:p>
        </w:tc>
        <w:tc>
          <w:tcPr>
            <w:tcW w:w="854" w:type="pct"/>
            <w:vMerge w:val="continue"/>
            <w:vAlign w:val="center"/>
          </w:tcPr>
          <w:p w14:paraId="2CCE9590">
            <w:pPr>
              <w:widowControl/>
              <w:jc w:val="center"/>
              <w:rPr>
                <w:rFonts w:ascii="宋体" w:hAnsi="宋体"/>
                <w:color w:val="auto"/>
              </w:rPr>
            </w:pPr>
          </w:p>
        </w:tc>
        <w:tc>
          <w:tcPr>
            <w:tcW w:w="607" w:type="pct"/>
            <w:vAlign w:val="center"/>
          </w:tcPr>
          <w:p w14:paraId="13862DF9">
            <w:pPr>
              <w:jc w:val="center"/>
              <w:rPr>
                <w:rFonts w:ascii="宋体" w:hAnsi="宋体"/>
                <w:color w:val="auto"/>
              </w:rPr>
            </w:pPr>
            <w:r>
              <w:rPr>
                <w:rFonts w:hint="eastAsia" w:ascii="宋体" w:hAnsi="宋体"/>
                <w:color w:val="auto"/>
              </w:rPr>
              <w:t>下风向3</w:t>
            </w:r>
          </w:p>
        </w:tc>
        <w:tc>
          <w:tcPr>
            <w:tcW w:w="1241" w:type="pct"/>
            <w:vAlign w:val="center"/>
          </w:tcPr>
          <w:p w14:paraId="3198AC88">
            <w:pPr>
              <w:jc w:val="center"/>
              <w:rPr>
                <w:rFonts w:ascii="宋体" w:hAnsi="宋体"/>
                <w:color w:val="auto"/>
                <w:kern w:val="0"/>
              </w:rPr>
            </w:pPr>
            <w:r>
              <w:rPr>
                <w:rFonts w:ascii="宋体" w:hAnsi="宋体"/>
                <w:color w:val="auto"/>
                <w:szCs w:val="22"/>
              </w:rPr>
              <w:t>1.12</w:t>
            </w:r>
          </w:p>
        </w:tc>
        <w:tc>
          <w:tcPr>
            <w:tcW w:w="1241" w:type="pct"/>
          </w:tcPr>
          <w:p w14:paraId="0ABA9F93">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CBA5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93F1FD5">
            <w:pPr>
              <w:widowControl/>
              <w:jc w:val="center"/>
              <w:rPr>
                <w:rFonts w:ascii="宋体" w:hAnsi="宋体"/>
                <w:color w:val="auto"/>
              </w:rPr>
            </w:pPr>
          </w:p>
        </w:tc>
        <w:tc>
          <w:tcPr>
            <w:tcW w:w="854" w:type="pct"/>
            <w:vMerge w:val="restart"/>
            <w:vAlign w:val="center"/>
          </w:tcPr>
          <w:p w14:paraId="6874F40E">
            <w:pPr>
              <w:jc w:val="center"/>
              <w:rPr>
                <w:rFonts w:ascii="宋体" w:hAnsi="宋体"/>
                <w:color w:val="auto"/>
              </w:rPr>
            </w:pPr>
            <w:r>
              <w:rPr>
                <w:rFonts w:hint="eastAsia" w:ascii="宋体" w:hAnsi="宋体"/>
                <w:color w:val="auto"/>
              </w:rPr>
              <w:t>第三次</w:t>
            </w:r>
          </w:p>
        </w:tc>
        <w:tc>
          <w:tcPr>
            <w:tcW w:w="607" w:type="pct"/>
            <w:vAlign w:val="center"/>
          </w:tcPr>
          <w:p w14:paraId="0CBC3B75">
            <w:pPr>
              <w:jc w:val="center"/>
              <w:rPr>
                <w:rFonts w:ascii="宋体" w:hAnsi="宋体"/>
                <w:color w:val="auto"/>
              </w:rPr>
            </w:pPr>
            <w:r>
              <w:rPr>
                <w:rFonts w:hint="eastAsia" w:ascii="宋体" w:hAnsi="宋体"/>
                <w:color w:val="auto"/>
              </w:rPr>
              <w:t>上风向</w:t>
            </w:r>
          </w:p>
        </w:tc>
        <w:tc>
          <w:tcPr>
            <w:tcW w:w="1241" w:type="pct"/>
            <w:vAlign w:val="center"/>
          </w:tcPr>
          <w:p w14:paraId="5D58088B">
            <w:pPr>
              <w:widowControl/>
              <w:jc w:val="center"/>
              <w:rPr>
                <w:rFonts w:ascii="宋体" w:hAnsi="宋体"/>
                <w:color w:val="auto"/>
                <w:kern w:val="0"/>
              </w:rPr>
            </w:pPr>
            <w:r>
              <w:rPr>
                <w:rFonts w:ascii="宋体" w:hAnsi="宋体"/>
                <w:color w:val="auto"/>
                <w:szCs w:val="22"/>
              </w:rPr>
              <w:t>0.94</w:t>
            </w:r>
          </w:p>
        </w:tc>
        <w:tc>
          <w:tcPr>
            <w:tcW w:w="1241" w:type="pct"/>
          </w:tcPr>
          <w:p w14:paraId="06133AB0">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3B53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29866BE">
            <w:pPr>
              <w:widowControl/>
              <w:jc w:val="center"/>
              <w:rPr>
                <w:rFonts w:ascii="宋体" w:hAnsi="宋体"/>
                <w:color w:val="auto"/>
              </w:rPr>
            </w:pPr>
          </w:p>
        </w:tc>
        <w:tc>
          <w:tcPr>
            <w:tcW w:w="854" w:type="pct"/>
            <w:vMerge w:val="continue"/>
            <w:vAlign w:val="center"/>
          </w:tcPr>
          <w:p w14:paraId="35E0B4AD">
            <w:pPr>
              <w:widowControl/>
              <w:jc w:val="center"/>
              <w:rPr>
                <w:rFonts w:ascii="宋体" w:hAnsi="宋体"/>
                <w:color w:val="auto"/>
              </w:rPr>
            </w:pPr>
          </w:p>
        </w:tc>
        <w:tc>
          <w:tcPr>
            <w:tcW w:w="607" w:type="pct"/>
            <w:vAlign w:val="center"/>
          </w:tcPr>
          <w:p w14:paraId="778CB0DD">
            <w:pPr>
              <w:jc w:val="center"/>
              <w:rPr>
                <w:rFonts w:ascii="宋体" w:hAnsi="宋体"/>
                <w:color w:val="auto"/>
              </w:rPr>
            </w:pPr>
            <w:r>
              <w:rPr>
                <w:rFonts w:hint="eastAsia" w:ascii="宋体" w:hAnsi="宋体"/>
                <w:color w:val="auto"/>
              </w:rPr>
              <w:t>下风向1</w:t>
            </w:r>
          </w:p>
        </w:tc>
        <w:tc>
          <w:tcPr>
            <w:tcW w:w="1241" w:type="pct"/>
            <w:vAlign w:val="center"/>
          </w:tcPr>
          <w:p w14:paraId="4B5BB56A">
            <w:pPr>
              <w:jc w:val="center"/>
              <w:rPr>
                <w:rFonts w:ascii="宋体" w:hAnsi="宋体"/>
                <w:color w:val="auto"/>
                <w:kern w:val="0"/>
              </w:rPr>
            </w:pPr>
            <w:r>
              <w:rPr>
                <w:rFonts w:ascii="宋体" w:hAnsi="宋体"/>
                <w:color w:val="auto"/>
                <w:szCs w:val="22"/>
              </w:rPr>
              <w:t>1.05</w:t>
            </w:r>
          </w:p>
        </w:tc>
        <w:tc>
          <w:tcPr>
            <w:tcW w:w="1241" w:type="pct"/>
          </w:tcPr>
          <w:p w14:paraId="7B52CC5E">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E871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AEA7546">
            <w:pPr>
              <w:widowControl/>
              <w:jc w:val="center"/>
              <w:rPr>
                <w:rFonts w:ascii="宋体" w:hAnsi="宋体"/>
                <w:color w:val="auto"/>
              </w:rPr>
            </w:pPr>
          </w:p>
        </w:tc>
        <w:tc>
          <w:tcPr>
            <w:tcW w:w="854" w:type="pct"/>
            <w:vMerge w:val="continue"/>
            <w:vAlign w:val="center"/>
          </w:tcPr>
          <w:p w14:paraId="7B7C9E85">
            <w:pPr>
              <w:widowControl/>
              <w:jc w:val="center"/>
              <w:rPr>
                <w:rFonts w:ascii="宋体" w:hAnsi="宋体"/>
                <w:color w:val="auto"/>
              </w:rPr>
            </w:pPr>
          </w:p>
        </w:tc>
        <w:tc>
          <w:tcPr>
            <w:tcW w:w="607" w:type="pct"/>
            <w:vAlign w:val="center"/>
          </w:tcPr>
          <w:p w14:paraId="1CD01134">
            <w:pPr>
              <w:jc w:val="center"/>
              <w:rPr>
                <w:rFonts w:ascii="宋体" w:hAnsi="宋体"/>
                <w:color w:val="auto"/>
              </w:rPr>
            </w:pPr>
            <w:r>
              <w:rPr>
                <w:rFonts w:hint="eastAsia" w:ascii="宋体" w:hAnsi="宋体"/>
                <w:color w:val="auto"/>
              </w:rPr>
              <w:t>下风向2</w:t>
            </w:r>
          </w:p>
        </w:tc>
        <w:tc>
          <w:tcPr>
            <w:tcW w:w="1241" w:type="pct"/>
            <w:vAlign w:val="center"/>
          </w:tcPr>
          <w:p w14:paraId="3C534BA9">
            <w:pPr>
              <w:jc w:val="center"/>
              <w:rPr>
                <w:rFonts w:ascii="宋体" w:hAnsi="宋体"/>
                <w:color w:val="auto"/>
                <w:kern w:val="0"/>
              </w:rPr>
            </w:pPr>
            <w:r>
              <w:rPr>
                <w:rFonts w:ascii="宋体" w:hAnsi="宋体"/>
                <w:color w:val="auto"/>
                <w:szCs w:val="22"/>
              </w:rPr>
              <w:t>1.18</w:t>
            </w:r>
          </w:p>
        </w:tc>
        <w:tc>
          <w:tcPr>
            <w:tcW w:w="1241" w:type="pct"/>
          </w:tcPr>
          <w:p w14:paraId="310D5D10">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4E86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93B59F4">
            <w:pPr>
              <w:widowControl/>
              <w:jc w:val="center"/>
              <w:rPr>
                <w:rFonts w:ascii="宋体" w:hAnsi="宋体"/>
                <w:color w:val="auto"/>
              </w:rPr>
            </w:pPr>
          </w:p>
        </w:tc>
        <w:tc>
          <w:tcPr>
            <w:tcW w:w="854" w:type="pct"/>
            <w:vMerge w:val="continue"/>
            <w:vAlign w:val="center"/>
          </w:tcPr>
          <w:p w14:paraId="1757AA56">
            <w:pPr>
              <w:widowControl/>
              <w:jc w:val="center"/>
              <w:rPr>
                <w:rFonts w:ascii="宋体" w:hAnsi="宋体"/>
                <w:color w:val="auto"/>
              </w:rPr>
            </w:pPr>
          </w:p>
        </w:tc>
        <w:tc>
          <w:tcPr>
            <w:tcW w:w="607" w:type="pct"/>
            <w:vAlign w:val="center"/>
          </w:tcPr>
          <w:p w14:paraId="6864D0CD">
            <w:pPr>
              <w:jc w:val="center"/>
              <w:rPr>
                <w:rFonts w:ascii="宋体" w:hAnsi="宋体"/>
                <w:color w:val="auto"/>
              </w:rPr>
            </w:pPr>
            <w:r>
              <w:rPr>
                <w:rFonts w:hint="eastAsia" w:ascii="宋体" w:hAnsi="宋体"/>
                <w:color w:val="auto"/>
              </w:rPr>
              <w:t>下风向3</w:t>
            </w:r>
          </w:p>
        </w:tc>
        <w:tc>
          <w:tcPr>
            <w:tcW w:w="1241" w:type="pct"/>
            <w:vAlign w:val="center"/>
          </w:tcPr>
          <w:p w14:paraId="22C3A39D">
            <w:pPr>
              <w:jc w:val="center"/>
              <w:rPr>
                <w:rFonts w:ascii="宋体" w:hAnsi="宋体"/>
                <w:color w:val="auto"/>
                <w:kern w:val="0"/>
              </w:rPr>
            </w:pPr>
            <w:r>
              <w:rPr>
                <w:rFonts w:ascii="宋体" w:hAnsi="宋体"/>
                <w:color w:val="auto"/>
                <w:szCs w:val="22"/>
              </w:rPr>
              <w:t>1.26</w:t>
            </w:r>
          </w:p>
        </w:tc>
        <w:tc>
          <w:tcPr>
            <w:tcW w:w="1241" w:type="pct"/>
          </w:tcPr>
          <w:p w14:paraId="212FF004">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35B9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DCA7A63">
            <w:pPr>
              <w:widowControl/>
              <w:jc w:val="center"/>
              <w:rPr>
                <w:rFonts w:ascii="宋体" w:hAnsi="宋体"/>
                <w:color w:val="auto"/>
              </w:rPr>
            </w:pPr>
          </w:p>
        </w:tc>
        <w:tc>
          <w:tcPr>
            <w:tcW w:w="854" w:type="pct"/>
            <w:vMerge w:val="restart"/>
            <w:vAlign w:val="center"/>
          </w:tcPr>
          <w:p w14:paraId="49A904F3">
            <w:pPr>
              <w:widowControl/>
              <w:jc w:val="center"/>
              <w:rPr>
                <w:rFonts w:ascii="宋体" w:hAnsi="宋体"/>
                <w:color w:val="auto"/>
              </w:rPr>
            </w:pPr>
            <w:r>
              <w:rPr>
                <w:rFonts w:hint="eastAsia" w:ascii="宋体" w:hAnsi="宋体"/>
                <w:color w:val="auto"/>
              </w:rPr>
              <w:t>第四次</w:t>
            </w:r>
          </w:p>
        </w:tc>
        <w:tc>
          <w:tcPr>
            <w:tcW w:w="607" w:type="pct"/>
            <w:vAlign w:val="center"/>
          </w:tcPr>
          <w:p w14:paraId="0CA1D6B2">
            <w:pPr>
              <w:jc w:val="center"/>
              <w:rPr>
                <w:rFonts w:ascii="宋体" w:hAnsi="宋体"/>
                <w:color w:val="auto"/>
              </w:rPr>
            </w:pPr>
            <w:r>
              <w:rPr>
                <w:rFonts w:hint="eastAsia" w:ascii="宋体" w:hAnsi="宋体"/>
                <w:color w:val="auto"/>
              </w:rPr>
              <w:t>上风向</w:t>
            </w:r>
          </w:p>
        </w:tc>
        <w:tc>
          <w:tcPr>
            <w:tcW w:w="1241" w:type="pct"/>
            <w:vAlign w:val="center"/>
          </w:tcPr>
          <w:p w14:paraId="0783B7AA">
            <w:pPr>
              <w:jc w:val="center"/>
              <w:rPr>
                <w:rFonts w:ascii="宋体" w:hAnsi="宋体"/>
                <w:color w:val="auto"/>
                <w:szCs w:val="22"/>
              </w:rPr>
            </w:pPr>
            <w:r>
              <w:rPr>
                <w:rFonts w:ascii="宋体" w:hAnsi="宋体"/>
                <w:color w:val="auto"/>
                <w:szCs w:val="22"/>
              </w:rPr>
              <w:t>/</w:t>
            </w:r>
          </w:p>
        </w:tc>
        <w:tc>
          <w:tcPr>
            <w:tcW w:w="1241" w:type="pct"/>
          </w:tcPr>
          <w:p w14:paraId="1DC46DF1">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E33D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BB3CDFE">
            <w:pPr>
              <w:widowControl/>
              <w:jc w:val="center"/>
              <w:rPr>
                <w:rFonts w:ascii="宋体" w:hAnsi="宋体"/>
                <w:color w:val="auto"/>
              </w:rPr>
            </w:pPr>
          </w:p>
        </w:tc>
        <w:tc>
          <w:tcPr>
            <w:tcW w:w="854" w:type="pct"/>
            <w:vMerge w:val="continue"/>
            <w:vAlign w:val="center"/>
          </w:tcPr>
          <w:p w14:paraId="18D5703E">
            <w:pPr>
              <w:widowControl/>
              <w:jc w:val="center"/>
              <w:rPr>
                <w:rFonts w:ascii="宋体" w:hAnsi="宋体"/>
                <w:color w:val="auto"/>
              </w:rPr>
            </w:pPr>
          </w:p>
        </w:tc>
        <w:tc>
          <w:tcPr>
            <w:tcW w:w="607" w:type="pct"/>
            <w:vAlign w:val="center"/>
          </w:tcPr>
          <w:p w14:paraId="03612F5E">
            <w:pPr>
              <w:jc w:val="center"/>
              <w:rPr>
                <w:rFonts w:ascii="宋体" w:hAnsi="宋体"/>
                <w:color w:val="auto"/>
              </w:rPr>
            </w:pPr>
            <w:r>
              <w:rPr>
                <w:rFonts w:hint="eastAsia" w:ascii="宋体" w:hAnsi="宋体"/>
                <w:color w:val="auto"/>
              </w:rPr>
              <w:t>下风向1</w:t>
            </w:r>
          </w:p>
        </w:tc>
        <w:tc>
          <w:tcPr>
            <w:tcW w:w="1241" w:type="pct"/>
            <w:vAlign w:val="center"/>
          </w:tcPr>
          <w:p w14:paraId="4B16012A">
            <w:pPr>
              <w:jc w:val="center"/>
              <w:rPr>
                <w:rFonts w:ascii="宋体" w:hAnsi="宋体"/>
                <w:color w:val="auto"/>
                <w:szCs w:val="22"/>
              </w:rPr>
            </w:pPr>
            <w:r>
              <w:rPr>
                <w:rFonts w:ascii="宋体" w:hAnsi="宋体"/>
                <w:color w:val="auto"/>
                <w:szCs w:val="22"/>
              </w:rPr>
              <w:t>/</w:t>
            </w:r>
          </w:p>
        </w:tc>
        <w:tc>
          <w:tcPr>
            <w:tcW w:w="1241" w:type="pct"/>
          </w:tcPr>
          <w:p w14:paraId="4D86A4D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9E8D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C4727E6">
            <w:pPr>
              <w:widowControl/>
              <w:jc w:val="center"/>
              <w:rPr>
                <w:rFonts w:ascii="宋体" w:hAnsi="宋体"/>
                <w:color w:val="auto"/>
              </w:rPr>
            </w:pPr>
          </w:p>
        </w:tc>
        <w:tc>
          <w:tcPr>
            <w:tcW w:w="854" w:type="pct"/>
            <w:vMerge w:val="continue"/>
            <w:vAlign w:val="center"/>
          </w:tcPr>
          <w:p w14:paraId="01D09560">
            <w:pPr>
              <w:widowControl/>
              <w:jc w:val="center"/>
              <w:rPr>
                <w:rFonts w:ascii="宋体" w:hAnsi="宋体"/>
                <w:color w:val="auto"/>
              </w:rPr>
            </w:pPr>
          </w:p>
        </w:tc>
        <w:tc>
          <w:tcPr>
            <w:tcW w:w="607" w:type="pct"/>
            <w:vAlign w:val="center"/>
          </w:tcPr>
          <w:p w14:paraId="06B3519D">
            <w:pPr>
              <w:jc w:val="center"/>
              <w:rPr>
                <w:rFonts w:ascii="宋体" w:hAnsi="宋体"/>
                <w:color w:val="auto"/>
              </w:rPr>
            </w:pPr>
            <w:r>
              <w:rPr>
                <w:rFonts w:hint="eastAsia" w:ascii="宋体" w:hAnsi="宋体"/>
                <w:color w:val="auto"/>
              </w:rPr>
              <w:t>下风向2</w:t>
            </w:r>
          </w:p>
        </w:tc>
        <w:tc>
          <w:tcPr>
            <w:tcW w:w="1241" w:type="pct"/>
            <w:vAlign w:val="center"/>
          </w:tcPr>
          <w:p w14:paraId="101ADB46">
            <w:pPr>
              <w:jc w:val="center"/>
              <w:rPr>
                <w:rFonts w:ascii="Cambria" w:hAnsi="Cambria" w:eastAsia="Cambria"/>
                <w:color w:val="auto"/>
                <w:szCs w:val="22"/>
              </w:rPr>
            </w:pPr>
            <w:r>
              <w:rPr>
                <w:rFonts w:ascii="宋体" w:hAnsi="宋体"/>
                <w:color w:val="auto"/>
                <w:szCs w:val="22"/>
              </w:rPr>
              <w:t>/</w:t>
            </w:r>
          </w:p>
        </w:tc>
        <w:tc>
          <w:tcPr>
            <w:tcW w:w="1241" w:type="pct"/>
          </w:tcPr>
          <w:p w14:paraId="791C5D9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5E33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98E4E51">
            <w:pPr>
              <w:widowControl/>
              <w:jc w:val="center"/>
              <w:rPr>
                <w:rFonts w:ascii="宋体" w:hAnsi="宋体"/>
                <w:color w:val="auto"/>
              </w:rPr>
            </w:pPr>
          </w:p>
        </w:tc>
        <w:tc>
          <w:tcPr>
            <w:tcW w:w="854" w:type="pct"/>
            <w:vMerge w:val="continue"/>
            <w:vAlign w:val="center"/>
          </w:tcPr>
          <w:p w14:paraId="4121E2DE">
            <w:pPr>
              <w:widowControl/>
              <w:jc w:val="center"/>
              <w:rPr>
                <w:rFonts w:ascii="宋体" w:hAnsi="宋体"/>
                <w:color w:val="auto"/>
              </w:rPr>
            </w:pPr>
          </w:p>
        </w:tc>
        <w:tc>
          <w:tcPr>
            <w:tcW w:w="607" w:type="pct"/>
            <w:vAlign w:val="center"/>
          </w:tcPr>
          <w:p w14:paraId="047642E2">
            <w:pPr>
              <w:jc w:val="center"/>
              <w:rPr>
                <w:rFonts w:ascii="宋体" w:hAnsi="宋体"/>
                <w:color w:val="auto"/>
              </w:rPr>
            </w:pPr>
            <w:r>
              <w:rPr>
                <w:rFonts w:hint="eastAsia" w:ascii="宋体" w:hAnsi="宋体"/>
                <w:color w:val="auto"/>
              </w:rPr>
              <w:t>下风向3</w:t>
            </w:r>
          </w:p>
        </w:tc>
        <w:tc>
          <w:tcPr>
            <w:tcW w:w="1241" w:type="pct"/>
            <w:vAlign w:val="center"/>
          </w:tcPr>
          <w:p w14:paraId="6D651B39">
            <w:pPr>
              <w:jc w:val="center"/>
              <w:rPr>
                <w:rFonts w:ascii="宋体" w:hAnsi="宋体"/>
                <w:color w:val="auto"/>
                <w:szCs w:val="22"/>
              </w:rPr>
            </w:pPr>
            <w:r>
              <w:rPr>
                <w:rFonts w:ascii="宋体" w:hAnsi="宋体"/>
                <w:color w:val="auto"/>
                <w:szCs w:val="22"/>
              </w:rPr>
              <w:t>/</w:t>
            </w:r>
          </w:p>
        </w:tc>
        <w:tc>
          <w:tcPr>
            <w:tcW w:w="1241" w:type="pct"/>
          </w:tcPr>
          <w:p w14:paraId="1B95970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7BCC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14:paraId="104100A7">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5</w:t>
            </w:r>
            <w:r>
              <w:rPr>
                <w:rFonts w:hint="eastAsia" w:ascii="宋体" w:hAnsi="宋体"/>
                <w:color w:val="auto"/>
              </w:rPr>
              <w:t>月</w:t>
            </w:r>
            <w:r>
              <w:rPr>
                <w:rFonts w:ascii="宋体" w:hAnsi="宋体"/>
                <w:color w:val="auto"/>
              </w:rPr>
              <w:t>11</w:t>
            </w:r>
            <w:r>
              <w:rPr>
                <w:rFonts w:hint="eastAsia" w:ascii="宋体" w:hAnsi="宋体"/>
                <w:color w:val="auto"/>
              </w:rPr>
              <w:t>日</w:t>
            </w:r>
          </w:p>
        </w:tc>
        <w:tc>
          <w:tcPr>
            <w:tcW w:w="854" w:type="pct"/>
            <w:vMerge w:val="restart"/>
            <w:vAlign w:val="center"/>
          </w:tcPr>
          <w:p w14:paraId="2524A158">
            <w:pPr>
              <w:jc w:val="center"/>
              <w:rPr>
                <w:rFonts w:ascii="宋体" w:hAnsi="宋体"/>
                <w:color w:val="auto"/>
              </w:rPr>
            </w:pPr>
            <w:r>
              <w:rPr>
                <w:rFonts w:hint="eastAsia" w:ascii="宋体" w:hAnsi="宋体"/>
                <w:color w:val="auto"/>
              </w:rPr>
              <w:t>第一次</w:t>
            </w:r>
          </w:p>
        </w:tc>
        <w:tc>
          <w:tcPr>
            <w:tcW w:w="607" w:type="pct"/>
            <w:vAlign w:val="center"/>
          </w:tcPr>
          <w:p w14:paraId="360DA078">
            <w:pPr>
              <w:jc w:val="center"/>
              <w:rPr>
                <w:rFonts w:ascii="宋体" w:hAnsi="宋体"/>
                <w:color w:val="auto"/>
              </w:rPr>
            </w:pPr>
            <w:r>
              <w:rPr>
                <w:rFonts w:hint="eastAsia" w:ascii="宋体" w:hAnsi="宋体"/>
                <w:color w:val="auto"/>
              </w:rPr>
              <w:t>上风向</w:t>
            </w:r>
          </w:p>
        </w:tc>
        <w:tc>
          <w:tcPr>
            <w:tcW w:w="1241" w:type="pct"/>
            <w:vAlign w:val="center"/>
          </w:tcPr>
          <w:p w14:paraId="59D3FABE">
            <w:pPr>
              <w:widowControl/>
              <w:jc w:val="center"/>
              <w:rPr>
                <w:rFonts w:ascii="宋体" w:hAnsi="宋体"/>
                <w:color w:val="auto"/>
                <w:kern w:val="0"/>
              </w:rPr>
            </w:pPr>
            <w:r>
              <w:rPr>
                <w:rFonts w:ascii="宋体" w:hAnsi="宋体"/>
                <w:color w:val="auto"/>
                <w:szCs w:val="22"/>
              </w:rPr>
              <w:t>0.96</w:t>
            </w:r>
          </w:p>
        </w:tc>
        <w:tc>
          <w:tcPr>
            <w:tcW w:w="1241" w:type="pct"/>
          </w:tcPr>
          <w:p w14:paraId="799EDD87">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896D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FD9608A">
            <w:pPr>
              <w:widowControl/>
              <w:jc w:val="center"/>
              <w:rPr>
                <w:rFonts w:ascii="宋体" w:hAnsi="宋体"/>
                <w:color w:val="auto"/>
              </w:rPr>
            </w:pPr>
          </w:p>
        </w:tc>
        <w:tc>
          <w:tcPr>
            <w:tcW w:w="854" w:type="pct"/>
            <w:vMerge w:val="continue"/>
            <w:vAlign w:val="center"/>
          </w:tcPr>
          <w:p w14:paraId="694CCEBB">
            <w:pPr>
              <w:widowControl/>
              <w:jc w:val="center"/>
              <w:rPr>
                <w:rFonts w:ascii="宋体" w:hAnsi="宋体"/>
                <w:color w:val="auto"/>
              </w:rPr>
            </w:pPr>
          </w:p>
        </w:tc>
        <w:tc>
          <w:tcPr>
            <w:tcW w:w="607" w:type="pct"/>
            <w:vAlign w:val="center"/>
          </w:tcPr>
          <w:p w14:paraId="68A695DF">
            <w:pPr>
              <w:jc w:val="center"/>
              <w:rPr>
                <w:rFonts w:ascii="宋体" w:hAnsi="宋体"/>
                <w:color w:val="auto"/>
              </w:rPr>
            </w:pPr>
            <w:r>
              <w:rPr>
                <w:rFonts w:hint="eastAsia" w:ascii="宋体" w:hAnsi="宋体"/>
                <w:color w:val="auto"/>
              </w:rPr>
              <w:t>下风向1</w:t>
            </w:r>
          </w:p>
        </w:tc>
        <w:tc>
          <w:tcPr>
            <w:tcW w:w="1241" w:type="pct"/>
            <w:vAlign w:val="center"/>
          </w:tcPr>
          <w:p w14:paraId="0E0AE131">
            <w:pPr>
              <w:jc w:val="center"/>
              <w:rPr>
                <w:rFonts w:ascii="宋体" w:hAnsi="宋体"/>
                <w:color w:val="auto"/>
                <w:kern w:val="0"/>
              </w:rPr>
            </w:pPr>
            <w:r>
              <w:rPr>
                <w:rFonts w:ascii="宋体" w:hAnsi="宋体"/>
                <w:color w:val="auto"/>
                <w:szCs w:val="22"/>
              </w:rPr>
              <w:t>1.28</w:t>
            </w:r>
          </w:p>
        </w:tc>
        <w:tc>
          <w:tcPr>
            <w:tcW w:w="1241" w:type="pct"/>
          </w:tcPr>
          <w:p w14:paraId="454FD7C8">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20E78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24ACDAC">
            <w:pPr>
              <w:widowControl/>
              <w:jc w:val="center"/>
              <w:rPr>
                <w:rFonts w:ascii="宋体" w:hAnsi="宋体"/>
                <w:color w:val="auto"/>
              </w:rPr>
            </w:pPr>
          </w:p>
        </w:tc>
        <w:tc>
          <w:tcPr>
            <w:tcW w:w="854" w:type="pct"/>
            <w:vMerge w:val="continue"/>
            <w:vAlign w:val="center"/>
          </w:tcPr>
          <w:p w14:paraId="234E8341">
            <w:pPr>
              <w:widowControl/>
              <w:jc w:val="center"/>
              <w:rPr>
                <w:rFonts w:ascii="宋体" w:hAnsi="宋体"/>
                <w:color w:val="auto"/>
              </w:rPr>
            </w:pPr>
          </w:p>
        </w:tc>
        <w:tc>
          <w:tcPr>
            <w:tcW w:w="607" w:type="pct"/>
            <w:vAlign w:val="center"/>
          </w:tcPr>
          <w:p w14:paraId="0A697653">
            <w:pPr>
              <w:jc w:val="center"/>
              <w:rPr>
                <w:rFonts w:ascii="宋体" w:hAnsi="宋体"/>
                <w:color w:val="auto"/>
              </w:rPr>
            </w:pPr>
            <w:r>
              <w:rPr>
                <w:rFonts w:hint="eastAsia" w:ascii="宋体" w:hAnsi="宋体"/>
                <w:color w:val="auto"/>
              </w:rPr>
              <w:t>下风向2</w:t>
            </w:r>
          </w:p>
        </w:tc>
        <w:tc>
          <w:tcPr>
            <w:tcW w:w="1241" w:type="pct"/>
            <w:vAlign w:val="center"/>
          </w:tcPr>
          <w:p w14:paraId="6AD37496">
            <w:pPr>
              <w:jc w:val="center"/>
              <w:rPr>
                <w:rFonts w:ascii="宋体" w:hAnsi="宋体"/>
                <w:color w:val="auto"/>
                <w:kern w:val="0"/>
              </w:rPr>
            </w:pPr>
            <w:r>
              <w:rPr>
                <w:rFonts w:ascii="宋体" w:hAnsi="宋体"/>
                <w:color w:val="auto"/>
                <w:szCs w:val="22"/>
              </w:rPr>
              <w:t>1.10</w:t>
            </w:r>
          </w:p>
        </w:tc>
        <w:tc>
          <w:tcPr>
            <w:tcW w:w="1241" w:type="pct"/>
          </w:tcPr>
          <w:p w14:paraId="3F11B43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DF15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68C75AA">
            <w:pPr>
              <w:widowControl/>
              <w:jc w:val="center"/>
              <w:rPr>
                <w:rFonts w:ascii="宋体" w:hAnsi="宋体"/>
                <w:color w:val="auto"/>
              </w:rPr>
            </w:pPr>
          </w:p>
        </w:tc>
        <w:tc>
          <w:tcPr>
            <w:tcW w:w="854" w:type="pct"/>
            <w:vMerge w:val="continue"/>
            <w:vAlign w:val="center"/>
          </w:tcPr>
          <w:p w14:paraId="236A1AB8">
            <w:pPr>
              <w:widowControl/>
              <w:jc w:val="center"/>
              <w:rPr>
                <w:rFonts w:ascii="宋体" w:hAnsi="宋体"/>
                <w:color w:val="auto"/>
              </w:rPr>
            </w:pPr>
          </w:p>
        </w:tc>
        <w:tc>
          <w:tcPr>
            <w:tcW w:w="607" w:type="pct"/>
            <w:vAlign w:val="center"/>
          </w:tcPr>
          <w:p w14:paraId="51A4FD9A">
            <w:pPr>
              <w:jc w:val="center"/>
              <w:rPr>
                <w:rFonts w:ascii="宋体" w:hAnsi="宋体"/>
                <w:color w:val="auto"/>
              </w:rPr>
            </w:pPr>
            <w:r>
              <w:rPr>
                <w:rFonts w:hint="eastAsia" w:ascii="宋体" w:hAnsi="宋体"/>
                <w:color w:val="auto"/>
              </w:rPr>
              <w:t>下风向3</w:t>
            </w:r>
          </w:p>
        </w:tc>
        <w:tc>
          <w:tcPr>
            <w:tcW w:w="1241" w:type="pct"/>
            <w:vAlign w:val="center"/>
          </w:tcPr>
          <w:p w14:paraId="65658B80">
            <w:pPr>
              <w:jc w:val="center"/>
              <w:rPr>
                <w:rFonts w:ascii="宋体" w:hAnsi="宋体"/>
                <w:color w:val="auto"/>
                <w:kern w:val="0"/>
              </w:rPr>
            </w:pPr>
            <w:r>
              <w:rPr>
                <w:rFonts w:ascii="宋体" w:hAnsi="宋体"/>
                <w:color w:val="auto"/>
                <w:szCs w:val="22"/>
              </w:rPr>
              <w:t>1.08</w:t>
            </w:r>
          </w:p>
        </w:tc>
        <w:tc>
          <w:tcPr>
            <w:tcW w:w="1241" w:type="pct"/>
          </w:tcPr>
          <w:p w14:paraId="7D980C1C">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68A7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FD72982">
            <w:pPr>
              <w:widowControl/>
              <w:jc w:val="center"/>
              <w:rPr>
                <w:rFonts w:ascii="宋体" w:hAnsi="宋体"/>
                <w:color w:val="auto"/>
              </w:rPr>
            </w:pPr>
          </w:p>
        </w:tc>
        <w:tc>
          <w:tcPr>
            <w:tcW w:w="854" w:type="pct"/>
            <w:vMerge w:val="restart"/>
            <w:vAlign w:val="center"/>
          </w:tcPr>
          <w:p w14:paraId="7A0F9316">
            <w:pPr>
              <w:jc w:val="center"/>
              <w:rPr>
                <w:rFonts w:ascii="宋体" w:hAnsi="宋体"/>
                <w:color w:val="auto"/>
              </w:rPr>
            </w:pPr>
            <w:r>
              <w:rPr>
                <w:rFonts w:hint="eastAsia" w:ascii="宋体" w:hAnsi="宋体"/>
                <w:color w:val="auto"/>
              </w:rPr>
              <w:t>第二次</w:t>
            </w:r>
          </w:p>
        </w:tc>
        <w:tc>
          <w:tcPr>
            <w:tcW w:w="607" w:type="pct"/>
            <w:vAlign w:val="center"/>
          </w:tcPr>
          <w:p w14:paraId="24209673">
            <w:pPr>
              <w:jc w:val="center"/>
              <w:rPr>
                <w:rFonts w:ascii="宋体" w:hAnsi="宋体"/>
                <w:color w:val="auto"/>
              </w:rPr>
            </w:pPr>
            <w:r>
              <w:rPr>
                <w:rFonts w:hint="eastAsia" w:ascii="宋体" w:hAnsi="宋体"/>
                <w:color w:val="auto"/>
              </w:rPr>
              <w:t>上风向</w:t>
            </w:r>
          </w:p>
        </w:tc>
        <w:tc>
          <w:tcPr>
            <w:tcW w:w="1241" w:type="pct"/>
            <w:vAlign w:val="center"/>
          </w:tcPr>
          <w:p w14:paraId="4AA0A185">
            <w:pPr>
              <w:widowControl/>
              <w:jc w:val="center"/>
              <w:rPr>
                <w:rFonts w:ascii="宋体" w:hAnsi="宋体"/>
                <w:color w:val="auto"/>
                <w:kern w:val="0"/>
              </w:rPr>
            </w:pPr>
            <w:r>
              <w:rPr>
                <w:rFonts w:ascii="宋体" w:hAnsi="宋体"/>
                <w:color w:val="auto"/>
                <w:szCs w:val="22"/>
              </w:rPr>
              <w:t>0.98</w:t>
            </w:r>
          </w:p>
        </w:tc>
        <w:tc>
          <w:tcPr>
            <w:tcW w:w="1241" w:type="pct"/>
          </w:tcPr>
          <w:p w14:paraId="7D7C0238">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2BD8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E148DAE">
            <w:pPr>
              <w:widowControl/>
              <w:jc w:val="center"/>
              <w:rPr>
                <w:rFonts w:ascii="宋体" w:hAnsi="宋体"/>
                <w:color w:val="auto"/>
              </w:rPr>
            </w:pPr>
          </w:p>
        </w:tc>
        <w:tc>
          <w:tcPr>
            <w:tcW w:w="854" w:type="pct"/>
            <w:vMerge w:val="continue"/>
            <w:vAlign w:val="center"/>
          </w:tcPr>
          <w:p w14:paraId="62A8346D">
            <w:pPr>
              <w:widowControl/>
              <w:jc w:val="center"/>
              <w:rPr>
                <w:rFonts w:ascii="宋体" w:hAnsi="宋体"/>
                <w:color w:val="auto"/>
              </w:rPr>
            </w:pPr>
          </w:p>
        </w:tc>
        <w:tc>
          <w:tcPr>
            <w:tcW w:w="607" w:type="pct"/>
            <w:vAlign w:val="center"/>
          </w:tcPr>
          <w:p w14:paraId="728E7E08">
            <w:pPr>
              <w:jc w:val="center"/>
              <w:rPr>
                <w:rFonts w:ascii="宋体" w:hAnsi="宋体"/>
                <w:color w:val="auto"/>
              </w:rPr>
            </w:pPr>
            <w:r>
              <w:rPr>
                <w:rFonts w:hint="eastAsia" w:ascii="宋体" w:hAnsi="宋体"/>
                <w:color w:val="auto"/>
              </w:rPr>
              <w:t>下风向1</w:t>
            </w:r>
          </w:p>
        </w:tc>
        <w:tc>
          <w:tcPr>
            <w:tcW w:w="1241" w:type="pct"/>
            <w:vAlign w:val="center"/>
          </w:tcPr>
          <w:p w14:paraId="1F4B2F87">
            <w:pPr>
              <w:jc w:val="center"/>
              <w:rPr>
                <w:rFonts w:ascii="宋体" w:hAnsi="宋体"/>
                <w:color w:val="auto"/>
                <w:kern w:val="0"/>
              </w:rPr>
            </w:pPr>
            <w:r>
              <w:rPr>
                <w:rFonts w:ascii="宋体" w:hAnsi="宋体"/>
                <w:color w:val="auto"/>
                <w:szCs w:val="22"/>
              </w:rPr>
              <w:t>1.14</w:t>
            </w:r>
          </w:p>
        </w:tc>
        <w:tc>
          <w:tcPr>
            <w:tcW w:w="1241" w:type="pct"/>
          </w:tcPr>
          <w:p w14:paraId="063D9AD3">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55495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A1D968B">
            <w:pPr>
              <w:widowControl/>
              <w:jc w:val="center"/>
              <w:rPr>
                <w:rFonts w:ascii="宋体" w:hAnsi="宋体"/>
                <w:color w:val="auto"/>
              </w:rPr>
            </w:pPr>
          </w:p>
        </w:tc>
        <w:tc>
          <w:tcPr>
            <w:tcW w:w="854" w:type="pct"/>
            <w:vMerge w:val="continue"/>
            <w:vAlign w:val="center"/>
          </w:tcPr>
          <w:p w14:paraId="4B49397C">
            <w:pPr>
              <w:widowControl/>
              <w:jc w:val="center"/>
              <w:rPr>
                <w:rFonts w:ascii="宋体" w:hAnsi="宋体"/>
                <w:color w:val="auto"/>
              </w:rPr>
            </w:pPr>
          </w:p>
        </w:tc>
        <w:tc>
          <w:tcPr>
            <w:tcW w:w="607" w:type="pct"/>
            <w:vAlign w:val="center"/>
          </w:tcPr>
          <w:p w14:paraId="3A99A53E">
            <w:pPr>
              <w:jc w:val="center"/>
              <w:rPr>
                <w:rFonts w:ascii="宋体" w:hAnsi="宋体"/>
                <w:color w:val="auto"/>
              </w:rPr>
            </w:pPr>
            <w:r>
              <w:rPr>
                <w:rFonts w:hint="eastAsia" w:ascii="宋体" w:hAnsi="宋体"/>
                <w:color w:val="auto"/>
              </w:rPr>
              <w:t>下风向2</w:t>
            </w:r>
          </w:p>
        </w:tc>
        <w:tc>
          <w:tcPr>
            <w:tcW w:w="1241" w:type="pct"/>
            <w:vAlign w:val="center"/>
          </w:tcPr>
          <w:p w14:paraId="08124D80">
            <w:pPr>
              <w:jc w:val="center"/>
              <w:rPr>
                <w:rFonts w:ascii="宋体" w:hAnsi="宋体"/>
                <w:color w:val="auto"/>
                <w:kern w:val="0"/>
              </w:rPr>
            </w:pPr>
            <w:r>
              <w:rPr>
                <w:rFonts w:ascii="宋体" w:hAnsi="宋体"/>
                <w:color w:val="auto"/>
                <w:szCs w:val="22"/>
              </w:rPr>
              <w:t>1.05</w:t>
            </w:r>
          </w:p>
        </w:tc>
        <w:tc>
          <w:tcPr>
            <w:tcW w:w="1241" w:type="pct"/>
          </w:tcPr>
          <w:p w14:paraId="33B91379">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0FF40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3267FF08">
            <w:pPr>
              <w:widowControl/>
              <w:jc w:val="center"/>
              <w:rPr>
                <w:rFonts w:ascii="宋体" w:hAnsi="宋体"/>
                <w:color w:val="auto"/>
              </w:rPr>
            </w:pPr>
          </w:p>
        </w:tc>
        <w:tc>
          <w:tcPr>
            <w:tcW w:w="854" w:type="pct"/>
            <w:vMerge w:val="continue"/>
            <w:vAlign w:val="center"/>
          </w:tcPr>
          <w:p w14:paraId="77FCE685">
            <w:pPr>
              <w:widowControl/>
              <w:jc w:val="center"/>
              <w:rPr>
                <w:rFonts w:ascii="宋体" w:hAnsi="宋体"/>
                <w:color w:val="auto"/>
              </w:rPr>
            </w:pPr>
          </w:p>
        </w:tc>
        <w:tc>
          <w:tcPr>
            <w:tcW w:w="607" w:type="pct"/>
            <w:vAlign w:val="center"/>
          </w:tcPr>
          <w:p w14:paraId="2A97D608">
            <w:pPr>
              <w:jc w:val="center"/>
              <w:rPr>
                <w:rFonts w:ascii="宋体" w:hAnsi="宋体"/>
                <w:color w:val="auto"/>
              </w:rPr>
            </w:pPr>
            <w:r>
              <w:rPr>
                <w:rFonts w:hint="eastAsia" w:ascii="宋体" w:hAnsi="宋体"/>
                <w:color w:val="auto"/>
              </w:rPr>
              <w:t>下风向3</w:t>
            </w:r>
          </w:p>
        </w:tc>
        <w:tc>
          <w:tcPr>
            <w:tcW w:w="1241" w:type="pct"/>
            <w:vAlign w:val="center"/>
          </w:tcPr>
          <w:p w14:paraId="44E6002F">
            <w:pPr>
              <w:jc w:val="center"/>
              <w:rPr>
                <w:rFonts w:ascii="宋体" w:hAnsi="宋体"/>
                <w:color w:val="auto"/>
                <w:kern w:val="0"/>
              </w:rPr>
            </w:pPr>
            <w:r>
              <w:rPr>
                <w:rFonts w:ascii="宋体" w:hAnsi="宋体"/>
                <w:color w:val="auto"/>
                <w:szCs w:val="22"/>
              </w:rPr>
              <w:t>1.13</w:t>
            </w:r>
          </w:p>
        </w:tc>
        <w:tc>
          <w:tcPr>
            <w:tcW w:w="1241" w:type="pct"/>
          </w:tcPr>
          <w:p w14:paraId="34968C7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183C2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7D29C0D">
            <w:pPr>
              <w:widowControl/>
              <w:jc w:val="center"/>
              <w:rPr>
                <w:rFonts w:ascii="宋体" w:hAnsi="宋体"/>
                <w:color w:val="auto"/>
              </w:rPr>
            </w:pPr>
          </w:p>
        </w:tc>
        <w:tc>
          <w:tcPr>
            <w:tcW w:w="854" w:type="pct"/>
            <w:vMerge w:val="restart"/>
            <w:vAlign w:val="center"/>
          </w:tcPr>
          <w:p w14:paraId="72036373">
            <w:pPr>
              <w:jc w:val="center"/>
              <w:rPr>
                <w:rFonts w:ascii="宋体" w:hAnsi="宋体"/>
                <w:color w:val="auto"/>
              </w:rPr>
            </w:pPr>
            <w:r>
              <w:rPr>
                <w:rFonts w:hint="eastAsia" w:ascii="宋体" w:hAnsi="宋体"/>
                <w:color w:val="auto"/>
              </w:rPr>
              <w:t>第三次</w:t>
            </w:r>
          </w:p>
        </w:tc>
        <w:tc>
          <w:tcPr>
            <w:tcW w:w="607" w:type="pct"/>
            <w:vAlign w:val="center"/>
          </w:tcPr>
          <w:p w14:paraId="46A24DC6">
            <w:pPr>
              <w:jc w:val="center"/>
              <w:rPr>
                <w:rFonts w:ascii="宋体" w:hAnsi="宋体"/>
                <w:color w:val="auto"/>
              </w:rPr>
            </w:pPr>
            <w:r>
              <w:rPr>
                <w:rFonts w:hint="eastAsia" w:ascii="宋体" w:hAnsi="宋体"/>
                <w:color w:val="auto"/>
              </w:rPr>
              <w:t>上风向</w:t>
            </w:r>
          </w:p>
        </w:tc>
        <w:tc>
          <w:tcPr>
            <w:tcW w:w="1241" w:type="pct"/>
            <w:vAlign w:val="center"/>
          </w:tcPr>
          <w:p w14:paraId="64585331">
            <w:pPr>
              <w:widowControl/>
              <w:jc w:val="center"/>
              <w:rPr>
                <w:rFonts w:ascii="宋体" w:hAnsi="宋体"/>
                <w:color w:val="auto"/>
                <w:kern w:val="0"/>
              </w:rPr>
            </w:pPr>
            <w:r>
              <w:rPr>
                <w:rFonts w:ascii="宋体" w:hAnsi="宋体"/>
                <w:color w:val="auto"/>
                <w:szCs w:val="22"/>
              </w:rPr>
              <w:t>0.92</w:t>
            </w:r>
          </w:p>
        </w:tc>
        <w:tc>
          <w:tcPr>
            <w:tcW w:w="1241" w:type="pct"/>
          </w:tcPr>
          <w:p w14:paraId="3AE56D1F">
            <w:pPr>
              <w:widowControl/>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B9EE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403B406">
            <w:pPr>
              <w:widowControl/>
              <w:jc w:val="center"/>
              <w:rPr>
                <w:rFonts w:ascii="宋体" w:hAnsi="宋体"/>
                <w:color w:val="auto"/>
              </w:rPr>
            </w:pPr>
          </w:p>
        </w:tc>
        <w:tc>
          <w:tcPr>
            <w:tcW w:w="854" w:type="pct"/>
            <w:vMerge w:val="continue"/>
            <w:vAlign w:val="center"/>
          </w:tcPr>
          <w:p w14:paraId="14E3C49D">
            <w:pPr>
              <w:widowControl/>
              <w:jc w:val="center"/>
              <w:rPr>
                <w:rFonts w:ascii="宋体" w:hAnsi="宋体"/>
                <w:color w:val="auto"/>
              </w:rPr>
            </w:pPr>
          </w:p>
        </w:tc>
        <w:tc>
          <w:tcPr>
            <w:tcW w:w="607" w:type="pct"/>
            <w:vAlign w:val="center"/>
          </w:tcPr>
          <w:p w14:paraId="26234335">
            <w:pPr>
              <w:jc w:val="center"/>
              <w:rPr>
                <w:rFonts w:ascii="宋体" w:hAnsi="宋体"/>
                <w:color w:val="auto"/>
              </w:rPr>
            </w:pPr>
            <w:r>
              <w:rPr>
                <w:rFonts w:hint="eastAsia" w:ascii="宋体" w:hAnsi="宋体"/>
                <w:color w:val="auto"/>
              </w:rPr>
              <w:t>下风向1</w:t>
            </w:r>
          </w:p>
        </w:tc>
        <w:tc>
          <w:tcPr>
            <w:tcW w:w="1241" w:type="pct"/>
            <w:vAlign w:val="center"/>
          </w:tcPr>
          <w:p w14:paraId="569464C1">
            <w:pPr>
              <w:jc w:val="center"/>
              <w:rPr>
                <w:rFonts w:ascii="宋体" w:hAnsi="宋体"/>
                <w:color w:val="auto"/>
                <w:kern w:val="0"/>
              </w:rPr>
            </w:pPr>
            <w:r>
              <w:rPr>
                <w:rFonts w:ascii="宋体" w:hAnsi="宋体"/>
                <w:color w:val="auto"/>
                <w:szCs w:val="22"/>
              </w:rPr>
              <w:t>1.13</w:t>
            </w:r>
          </w:p>
        </w:tc>
        <w:tc>
          <w:tcPr>
            <w:tcW w:w="1241" w:type="pct"/>
          </w:tcPr>
          <w:p w14:paraId="7CAF357B">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7FFF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455D5433">
            <w:pPr>
              <w:widowControl/>
              <w:jc w:val="center"/>
              <w:rPr>
                <w:rFonts w:ascii="宋体" w:hAnsi="宋体"/>
                <w:color w:val="auto"/>
              </w:rPr>
            </w:pPr>
          </w:p>
        </w:tc>
        <w:tc>
          <w:tcPr>
            <w:tcW w:w="854" w:type="pct"/>
            <w:vMerge w:val="continue"/>
            <w:vAlign w:val="center"/>
          </w:tcPr>
          <w:p w14:paraId="231EB67D">
            <w:pPr>
              <w:widowControl/>
              <w:jc w:val="center"/>
              <w:rPr>
                <w:rFonts w:ascii="宋体" w:hAnsi="宋体"/>
                <w:color w:val="auto"/>
              </w:rPr>
            </w:pPr>
          </w:p>
        </w:tc>
        <w:tc>
          <w:tcPr>
            <w:tcW w:w="607" w:type="pct"/>
            <w:vAlign w:val="center"/>
          </w:tcPr>
          <w:p w14:paraId="77D3E133">
            <w:pPr>
              <w:jc w:val="center"/>
              <w:rPr>
                <w:rFonts w:ascii="宋体" w:hAnsi="宋体"/>
                <w:color w:val="auto"/>
              </w:rPr>
            </w:pPr>
            <w:r>
              <w:rPr>
                <w:rFonts w:hint="eastAsia" w:ascii="宋体" w:hAnsi="宋体"/>
                <w:color w:val="auto"/>
              </w:rPr>
              <w:t>下风向2</w:t>
            </w:r>
          </w:p>
        </w:tc>
        <w:tc>
          <w:tcPr>
            <w:tcW w:w="1241" w:type="pct"/>
            <w:vAlign w:val="center"/>
          </w:tcPr>
          <w:p w14:paraId="52217130">
            <w:pPr>
              <w:jc w:val="center"/>
              <w:rPr>
                <w:rFonts w:ascii="宋体" w:hAnsi="宋体"/>
                <w:color w:val="auto"/>
                <w:kern w:val="0"/>
              </w:rPr>
            </w:pPr>
            <w:r>
              <w:rPr>
                <w:rFonts w:ascii="宋体" w:hAnsi="宋体"/>
                <w:color w:val="auto"/>
                <w:szCs w:val="22"/>
              </w:rPr>
              <w:t>1.19</w:t>
            </w:r>
          </w:p>
        </w:tc>
        <w:tc>
          <w:tcPr>
            <w:tcW w:w="1241" w:type="pct"/>
          </w:tcPr>
          <w:p w14:paraId="58A818B1">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A023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536D5BFA">
            <w:pPr>
              <w:widowControl/>
              <w:jc w:val="center"/>
              <w:rPr>
                <w:rFonts w:ascii="宋体" w:hAnsi="宋体"/>
                <w:color w:val="auto"/>
              </w:rPr>
            </w:pPr>
          </w:p>
        </w:tc>
        <w:tc>
          <w:tcPr>
            <w:tcW w:w="854" w:type="pct"/>
            <w:vMerge w:val="continue"/>
            <w:vAlign w:val="center"/>
          </w:tcPr>
          <w:p w14:paraId="70F2E702">
            <w:pPr>
              <w:widowControl/>
              <w:jc w:val="center"/>
              <w:rPr>
                <w:rFonts w:ascii="宋体" w:hAnsi="宋体"/>
                <w:color w:val="auto"/>
              </w:rPr>
            </w:pPr>
          </w:p>
        </w:tc>
        <w:tc>
          <w:tcPr>
            <w:tcW w:w="607" w:type="pct"/>
            <w:vAlign w:val="center"/>
          </w:tcPr>
          <w:p w14:paraId="2EA0C4A3">
            <w:pPr>
              <w:jc w:val="center"/>
              <w:rPr>
                <w:rFonts w:ascii="宋体" w:hAnsi="宋体"/>
                <w:color w:val="auto"/>
              </w:rPr>
            </w:pPr>
            <w:r>
              <w:rPr>
                <w:rFonts w:hint="eastAsia" w:ascii="宋体" w:hAnsi="宋体"/>
                <w:color w:val="auto"/>
              </w:rPr>
              <w:t>下风向3</w:t>
            </w:r>
          </w:p>
        </w:tc>
        <w:tc>
          <w:tcPr>
            <w:tcW w:w="1241" w:type="pct"/>
            <w:vAlign w:val="center"/>
          </w:tcPr>
          <w:p w14:paraId="048A3A1C">
            <w:pPr>
              <w:jc w:val="center"/>
              <w:rPr>
                <w:rFonts w:ascii="宋体" w:hAnsi="宋体"/>
                <w:color w:val="auto"/>
                <w:kern w:val="0"/>
              </w:rPr>
            </w:pPr>
            <w:r>
              <w:rPr>
                <w:rFonts w:ascii="宋体" w:hAnsi="宋体"/>
                <w:color w:val="auto"/>
                <w:szCs w:val="22"/>
              </w:rPr>
              <w:t>1.10</w:t>
            </w:r>
          </w:p>
        </w:tc>
        <w:tc>
          <w:tcPr>
            <w:tcW w:w="1241" w:type="pct"/>
          </w:tcPr>
          <w:p w14:paraId="25C116DD">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7BB2A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7570092D">
            <w:pPr>
              <w:widowControl/>
              <w:jc w:val="center"/>
              <w:rPr>
                <w:rFonts w:ascii="宋体" w:hAnsi="宋体"/>
                <w:color w:val="auto"/>
              </w:rPr>
            </w:pPr>
          </w:p>
        </w:tc>
        <w:tc>
          <w:tcPr>
            <w:tcW w:w="854" w:type="pct"/>
            <w:vMerge w:val="restart"/>
            <w:vAlign w:val="center"/>
          </w:tcPr>
          <w:p w14:paraId="5C5954D8">
            <w:pPr>
              <w:widowControl/>
              <w:jc w:val="center"/>
              <w:rPr>
                <w:rFonts w:ascii="宋体" w:hAnsi="宋体"/>
                <w:color w:val="auto"/>
              </w:rPr>
            </w:pPr>
            <w:r>
              <w:rPr>
                <w:rFonts w:hint="eastAsia" w:ascii="宋体" w:hAnsi="宋体"/>
                <w:color w:val="auto"/>
              </w:rPr>
              <w:t>第四次</w:t>
            </w:r>
          </w:p>
        </w:tc>
        <w:tc>
          <w:tcPr>
            <w:tcW w:w="607" w:type="pct"/>
            <w:vAlign w:val="center"/>
          </w:tcPr>
          <w:p w14:paraId="753979AA">
            <w:pPr>
              <w:jc w:val="center"/>
              <w:rPr>
                <w:rFonts w:ascii="宋体" w:hAnsi="宋体"/>
                <w:color w:val="auto"/>
              </w:rPr>
            </w:pPr>
            <w:r>
              <w:rPr>
                <w:rFonts w:hint="eastAsia" w:ascii="宋体" w:hAnsi="宋体"/>
                <w:color w:val="auto"/>
              </w:rPr>
              <w:t>上风向</w:t>
            </w:r>
          </w:p>
        </w:tc>
        <w:tc>
          <w:tcPr>
            <w:tcW w:w="1241" w:type="pct"/>
            <w:vAlign w:val="center"/>
          </w:tcPr>
          <w:p w14:paraId="3B8BA81B">
            <w:pPr>
              <w:jc w:val="center"/>
              <w:rPr>
                <w:rFonts w:ascii="宋体" w:hAnsi="宋体"/>
                <w:color w:val="auto"/>
                <w:szCs w:val="22"/>
              </w:rPr>
            </w:pPr>
            <w:r>
              <w:rPr>
                <w:rFonts w:hint="eastAsia" w:ascii="宋体" w:hAnsi="宋体"/>
                <w:color w:val="auto"/>
                <w:szCs w:val="22"/>
              </w:rPr>
              <w:t>/</w:t>
            </w:r>
          </w:p>
        </w:tc>
        <w:tc>
          <w:tcPr>
            <w:tcW w:w="1241" w:type="pct"/>
          </w:tcPr>
          <w:p w14:paraId="4C5960F9">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6339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D3259EF">
            <w:pPr>
              <w:widowControl/>
              <w:jc w:val="center"/>
              <w:rPr>
                <w:rFonts w:ascii="宋体" w:hAnsi="宋体"/>
                <w:color w:val="auto"/>
              </w:rPr>
            </w:pPr>
          </w:p>
        </w:tc>
        <w:tc>
          <w:tcPr>
            <w:tcW w:w="854" w:type="pct"/>
            <w:vMerge w:val="continue"/>
            <w:vAlign w:val="center"/>
          </w:tcPr>
          <w:p w14:paraId="1B17D3D0">
            <w:pPr>
              <w:widowControl/>
              <w:jc w:val="center"/>
              <w:rPr>
                <w:rFonts w:ascii="宋体" w:hAnsi="宋体"/>
                <w:color w:val="auto"/>
              </w:rPr>
            </w:pPr>
          </w:p>
        </w:tc>
        <w:tc>
          <w:tcPr>
            <w:tcW w:w="607" w:type="pct"/>
            <w:vAlign w:val="center"/>
          </w:tcPr>
          <w:p w14:paraId="5E0380BB">
            <w:pPr>
              <w:jc w:val="center"/>
              <w:rPr>
                <w:rFonts w:ascii="宋体" w:hAnsi="宋体"/>
                <w:color w:val="auto"/>
              </w:rPr>
            </w:pPr>
            <w:r>
              <w:rPr>
                <w:rFonts w:hint="eastAsia" w:ascii="宋体" w:hAnsi="宋体"/>
                <w:color w:val="auto"/>
              </w:rPr>
              <w:t>下风向1</w:t>
            </w:r>
          </w:p>
        </w:tc>
        <w:tc>
          <w:tcPr>
            <w:tcW w:w="1241" w:type="pct"/>
            <w:vAlign w:val="center"/>
          </w:tcPr>
          <w:p w14:paraId="1298A7F6">
            <w:pPr>
              <w:jc w:val="center"/>
              <w:rPr>
                <w:rFonts w:ascii="宋体" w:hAnsi="宋体"/>
                <w:color w:val="auto"/>
                <w:szCs w:val="22"/>
              </w:rPr>
            </w:pPr>
            <w:r>
              <w:rPr>
                <w:rFonts w:hint="eastAsia" w:ascii="宋体" w:hAnsi="宋体"/>
                <w:color w:val="auto"/>
                <w:szCs w:val="22"/>
              </w:rPr>
              <w:t>/</w:t>
            </w:r>
          </w:p>
        </w:tc>
        <w:tc>
          <w:tcPr>
            <w:tcW w:w="1241" w:type="pct"/>
          </w:tcPr>
          <w:p w14:paraId="5E61CC82">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3D7DE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037F6AA1">
            <w:pPr>
              <w:widowControl/>
              <w:jc w:val="center"/>
              <w:rPr>
                <w:rFonts w:ascii="宋体" w:hAnsi="宋体"/>
                <w:color w:val="auto"/>
              </w:rPr>
            </w:pPr>
          </w:p>
        </w:tc>
        <w:tc>
          <w:tcPr>
            <w:tcW w:w="854" w:type="pct"/>
            <w:vMerge w:val="continue"/>
            <w:vAlign w:val="center"/>
          </w:tcPr>
          <w:p w14:paraId="08C0D51D">
            <w:pPr>
              <w:widowControl/>
              <w:jc w:val="center"/>
              <w:rPr>
                <w:rFonts w:ascii="宋体" w:hAnsi="宋体"/>
                <w:color w:val="auto"/>
              </w:rPr>
            </w:pPr>
          </w:p>
        </w:tc>
        <w:tc>
          <w:tcPr>
            <w:tcW w:w="607" w:type="pct"/>
            <w:vAlign w:val="center"/>
          </w:tcPr>
          <w:p w14:paraId="2666BF1A">
            <w:pPr>
              <w:jc w:val="center"/>
              <w:rPr>
                <w:rFonts w:ascii="宋体" w:hAnsi="宋体"/>
                <w:color w:val="auto"/>
              </w:rPr>
            </w:pPr>
            <w:r>
              <w:rPr>
                <w:rFonts w:hint="eastAsia" w:ascii="宋体" w:hAnsi="宋体"/>
                <w:color w:val="auto"/>
              </w:rPr>
              <w:t>下风向2</w:t>
            </w:r>
          </w:p>
        </w:tc>
        <w:tc>
          <w:tcPr>
            <w:tcW w:w="1241" w:type="pct"/>
            <w:vAlign w:val="center"/>
          </w:tcPr>
          <w:p w14:paraId="68E5F400">
            <w:pPr>
              <w:jc w:val="center"/>
              <w:rPr>
                <w:rFonts w:ascii="宋体" w:hAnsi="宋体"/>
                <w:color w:val="auto"/>
                <w:szCs w:val="22"/>
              </w:rPr>
            </w:pPr>
            <w:r>
              <w:rPr>
                <w:rFonts w:hint="eastAsia" w:ascii="宋体" w:hAnsi="宋体"/>
                <w:color w:val="auto"/>
                <w:szCs w:val="22"/>
              </w:rPr>
              <w:t>/</w:t>
            </w:r>
          </w:p>
        </w:tc>
        <w:tc>
          <w:tcPr>
            <w:tcW w:w="1241" w:type="pct"/>
          </w:tcPr>
          <w:p w14:paraId="28266703">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r w14:paraId="444E0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14:paraId="6A3664DD">
            <w:pPr>
              <w:widowControl/>
              <w:jc w:val="center"/>
              <w:rPr>
                <w:rFonts w:ascii="宋体" w:hAnsi="宋体"/>
                <w:color w:val="auto"/>
              </w:rPr>
            </w:pPr>
          </w:p>
        </w:tc>
        <w:tc>
          <w:tcPr>
            <w:tcW w:w="854" w:type="pct"/>
            <w:vMerge w:val="continue"/>
            <w:vAlign w:val="center"/>
          </w:tcPr>
          <w:p w14:paraId="04922F71">
            <w:pPr>
              <w:widowControl/>
              <w:jc w:val="center"/>
              <w:rPr>
                <w:rFonts w:ascii="宋体" w:hAnsi="宋体"/>
                <w:color w:val="auto"/>
              </w:rPr>
            </w:pPr>
          </w:p>
        </w:tc>
        <w:tc>
          <w:tcPr>
            <w:tcW w:w="607" w:type="pct"/>
            <w:vAlign w:val="center"/>
          </w:tcPr>
          <w:p w14:paraId="56F5A655">
            <w:pPr>
              <w:jc w:val="center"/>
              <w:rPr>
                <w:rFonts w:ascii="宋体" w:hAnsi="宋体"/>
                <w:color w:val="auto"/>
              </w:rPr>
            </w:pPr>
            <w:r>
              <w:rPr>
                <w:rFonts w:hint="eastAsia" w:ascii="宋体" w:hAnsi="宋体"/>
                <w:color w:val="auto"/>
              </w:rPr>
              <w:t>下风向3</w:t>
            </w:r>
          </w:p>
        </w:tc>
        <w:tc>
          <w:tcPr>
            <w:tcW w:w="1241" w:type="pct"/>
            <w:vAlign w:val="center"/>
          </w:tcPr>
          <w:p w14:paraId="4E963E83">
            <w:pPr>
              <w:jc w:val="center"/>
              <w:rPr>
                <w:rFonts w:ascii="宋体" w:hAnsi="宋体"/>
                <w:color w:val="auto"/>
                <w:szCs w:val="22"/>
              </w:rPr>
            </w:pPr>
            <w:r>
              <w:rPr>
                <w:rFonts w:hint="eastAsia" w:ascii="宋体" w:hAnsi="宋体"/>
                <w:color w:val="auto"/>
                <w:szCs w:val="22"/>
              </w:rPr>
              <w:t>/</w:t>
            </w:r>
          </w:p>
        </w:tc>
        <w:tc>
          <w:tcPr>
            <w:tcW w:w="1241" w:type="pct"/>
          </w:tcPr>
          <w:p w14:paraId="34E01747">
            <w:pPr>
              <w:jc w:val="center"/>
              <w:rPr>
                <w:rFonts w:ascii="宋体" w:hAnsi="宋体"/>
                <w:color w:val="auto"/>
                <w:szCs w:val="22"/>
              </w:rPr>
            </w:pPr>
            <w:r>
              <w:rPr>
                <w:rFonts w:hint="eastAsia" w:ascii="宋体" w:hAnsi="宋体"/>
                <w:color w:val="auto"/>
                <w:szCs w:val="22"/>
              </w:rPr>
              <w:t>N</w:t>
            </w:r>
            <w:r>
              <w:rPr>
                <w:rFonts w:ascii="宋体" w:hAnsi="宋体"/>
                <w:color w:val="auto"/>
                <w:szCs w:val="22"/>
              </w:rPr>
              <w:t>D</w:t>
            </w:r>
          </w:p>
        </w:tc>
      </w:tr>
    </w:tbl>
    <w:p w14:paraId="4713E317">
      <w:pPr>
        <w:rPr>
          <w:rFonts w:ascii="宋体" w:hAnsi="宋体"/>
          <w:color w:val="auto"/>
        </w:rPr>
      </w:pPr>
    </w:p>
    <w:p w14:paraId="1AA51570">
      <w:pPr>
        <w:pStyle w:val="122"/>
        <w:spacing w:line="331" w:lineRule="auto"/>
        <w:ind w:firstLine="480"/>
        <w:rPr>
          <w:rFonts w:hAnsi="宋体"/>
          <w:color w:val="auto"/>
        </w:rPr>
      </w:pPr>
      <w:r>
        <w:rPr>
          <w:rFonts w:hint="eastAsia" w:hAnsi="宋体"/>
          <w:color w:val="auto"/>
        </w:rPr>
        <w:t>根据</w:t>
      </w:r>
      <w:r>
        <w:rPr>
          <w:rFonts w:hAnsi="宋体"/>
          <w:color w:val="auto"/>
        </w:rPr>
        <w:t>监测结果，</w:t>
      </w:r>
      <w:r>
        <w:rPr>
          <w:rFonts w:hint="eastAsia" w:hAnsi="宋体"/>
          <w:color w:val="auto"/>
        </w:rPr>
        <w:t>运营期井场厂界</w:t>
      </w:r>
      <w:r>
        <w:rPr>
          <w:rFonts w:hint="eastAsia" w:hAnsi="宋体"/>
          <w:snapToGrid w:val="0"/>
          <w:color w:val="auto"/>
        </w:rPr>
        <w:t>无组织</w:t>
      </w:r>
      <w:r>
        <w:rPr>
          <w:rFonts w:hAnsi="宋体"/>
          <w:snapToGrid w:val="0"/>
          <w:color w:val="auto"/>
        </w:rPr>
        <w:t>挥发</w:t>
      </w:r>
      <w:r>
        <w:rPr>
          <w:rFonts w:hint="eastAsia" w:hAnsi="宋体"/>
          <w:color w:val="auto"/>
        </w:rPr>
        <w:t>非甲烷总烃满足《挥发性有机物排放标准 第7部分：其他行业》（DB37/ 2801.7-2019）表2中VOCs厂界监控点浓度限值（2.0mg/m</w:t>
      </w:r>
      <w:r>
        <w:rPr>
          <w:rFonts w:hint="eastAsia" w:hAnsi="宋体"/>
          <w:color w:val="auto"/>
          <w:vertAlign w:val="superscript"/>
        </w:rPr>
        <w:t>3</w:t>
      </w:r>
      <w:r>
        <w:rPr>
          <w:rFonts w:hint="eastAsia" w:hAnsi="宋体"/>
          <w:color w:val="auto"/>
        </w:rPr>
        <w:t>）要求</w:t>
      </w:r>
      <w:r>
        <w:rPr>
          <w:rFonts w:hAnsi="宋体"/>
          <w:color w:val="auto"/>
        </w:rPr>
        <w:t>，</w:t>
      </w:r>
      <w:r>
        <w:rPr>
          <w:rFonts w:hint="eastAsia" w:hAnsi="宋体"/>
          <w:color w:val="auto"/>
        </w:rPr>
        <w:t>硫化氢满足</w:t>
      </w:r>
      <w:r>
        <w:rPr>
          <w:rFonts w:hint="eastAsia" w:hAnsi="宋体" w:cs="Times New Roman"/>
          <w:color w:val="auto"/>
          <w:szCs w:val="21"/>
        </w:rPr>
        <w:t>《恶臭污染物排放标准》（</w:t>
      </w:r>
      <w:r>
        <w:rPr>
          <w:rFonts w:hAnsi="宋体" w:cs="Times New Roman"/>
          <w:color w:val="auto"/>
          <w:szCs w:val="21"/>
        </w:rPr>
        <w:t>GB 14554-1993）厂界标准值</w:t>
      </w:r>
      <w:r>
        <w:rPr>
          <w:rFonts w:hint="eastAsia" w:hAnsi="宋体" w:cs="Times New Roman"/>
          <w:color w:val="auto"/>
          <w:szCs w:val="21"/>
        </w:rPr>
        <w:t>，</w:t>
      </w:r>
      <w:r>
        <w:rPr>
          <w:rFonts w:hint="eastAsia" w:hAnsi="宋体"/>
          <w:color w:val="auto"/>
        </w:rPr>
        <w:t>油井</w:t>
      </w:r>
      <w:r>
        <w:rPr>
          <w:rFonts w:hAnsi="宋体"/>
          <w:color w:val="auto"/>
        </w:rPr>
        <w:t>的运行</w:t>
      </w:r>
      <w:r>
        <w:rPr>
          <w:rFonts w:hint="eastAsia" w:hAnsi="宋体"/>
          <w:color w:val="auto"/>
        </w:rPr>
        <w:t>对</w:t>
      </w:r>
      <w:r>
        <w:rPr>
          <w:rFonts w:hAnsi="宋体"/>
          <w:color w:val="auto"/>
        </w:rPr>
        <w:t>周边大气环境影响较轻。</w:t>
      </w:r>
    </w:p>
    <w:p w14:paraId="73FD1F95">
      <w:pPr>
        <w:pStyle w:val="4"/>
        <w:ind w:firstLine="480"/>
        <w:rPr>
          <w:color w:val="auto"/>
        </w:rPr>
      </w:pPr>
      <w:r>
        <w:rPr>
          <w:rFonts w:hint="eastAsia"/>
          <w:color w:val="auto"/>
        </w:rPr>
        <w:t>2）</w:t>
      </w:r>
      <w:r>
        <w:rPr>
          <w:rFonts w:hint="eastAsia" w:cs="宋体"/>
          <w:color w:val="auto"/>
        </w:rPr>
        <w:t>燃气</w:t>
      </w:r>
      <w:r>
        <w:rPr>
          <w:rFonts w:hint="eastAsia"/>
          <w:color w:val="auto"/>
        </w:rPr>
        <w:t>水套加热炉有组织排放监测</w:t>
      </w:r>
    </w:p>
    <w:p w14:paraId="6A01209A">
      <w:pPr>
        <w:pStyle w:val="4"/>
        <w:ind w:firstLine="480"/>
        <w:rPr>
          <w:color w:val="auto"/>
        </w:rPr>
      </w:pPr>
      <w:r>
        <w:rPr>
          <w:rFonts w:hint="eastAsia"/>
          <w:color w:val="auto"/>
        </w:rPr>
        <w:t>根据《建设</w:t>
      </w:r>
      <w:r>
        <w:rPr>
          <w:color w:val="auto"/>
        </w:rPr>
        <w:t>项目竣工环境保护验收技术规范</w:t>
      </w:r>
      <w:r>
        <w:rPr>
          <w:rFonts w:hint="eastAsia"/>
          <w:color w:val="auto"/>
        </w:rPr>
        <w:t xml:space="preserve"> 石油天然气开采》（HJ</w:t>
      </w:r>
      <w:r>
        <w:rPr>
          <w:color w:val="auto"/>
        </w:rPr>
        <w:t xml:space="preserve"> </w:t>
      </w:r>
      <w:r>
        <w:rPr>
          <w:rFonts w:hint="eastAsia"/>
          <w:color w:val="auto"/>
        </w:rPr>
        <w:t>612-2011），</w:t>
      </w:r>
      <w:r>
        <w:rPr>
          <w:color w:val="auto"/>
        </w:rPr>
        <w:t>本次对井场</w:t>
      </w:r>
      <w:r>
        <w:rPr>
          <w:rFonts w:hint="eastAsia" w:cs="宋体"/>
          <w:color w:val="auto"/>
        </w:rPr>
        <w:t>燃气</w:t>
      </w:r>
      <w:r>
        <w:rPr>
          <w:color w:val="auto"/>
        </w:rPr>
        <w:t>水套加热炉有组织废气</w:t>
      </w:r>
      <w:r>
        <w:rPr>
          <w:rFonts w:hint="eastAsia"/>
          <w:color w:val="auto"/>
        </w:rPr>
        <w:t>进行</w:t>
      </w:r>
      <w:r>
        <w:rPr>
          <w:color w:val="auto"/>
        </w:rPr>
        <w:t>监测</w:t>
      </w:r>
      <w:r>
        <w:rPr>
          <w:rFonts w:hint="eastAsia"/>
          <w:color w:val="auto"/>
        </w:rPr>
        <w:t>。</w:t>
      </w:r>
    </w:p>
    <w:p w14:paraId="2DFC9B6C">
      <w:pPr>
        <w:pStyle w:val="4"/>
        <w:ind w:firstLine="480"/>
        <w:rPr>
          <w:color w:val="auto"/>
        </w:rPr>
      </w:pPr>
      <w:r>
        <w:rPr>
          <w:rFonts w:hint="eastAsia"/>
          <w:color w:val="auto"/>
        </w:rPr>
        <w:t>（1）监测布点</w:t>
      </w:r>
    </w:p>
    <w:p w14:paraId="597E4D64">
      <w:pPr>
        <w:pStyle w:val="4"/>
        <w:ind w:firstLine="480"/>
        <w:rPr>
          <w:color w:val="auto"/>
        </w:rPr>
      </w:pPr>
      <w:r>
        <w:rPr>
          <w:rFonts w:hint="eastAsia"/>
          <w:color w:val="auto"/>
        </w:rPr>
        <w:t>本次有组织排放监测共布设</w:t>
      </w:r>
      <w:r>
        <w:rPr>
          <w:color w:val="auto"/>
        </w:rPr>
        <w:t>5</w:t>
      </w:r>
      <w:r>
        <w:rPr>
          <w:rFonts w:hint="eastAsia"/>
          <w:color w:val="auto"/>
        </w:rPr>
        <w:t>个监测点位，为</w:t>
      </w:r>
      <w:r>
        <w:rPr>
          <w:rFonts w:hint="eastAsia"/>
          <w:b/>
          <w:bCs/>
          <w:color w:val="auto"/>
          <w:lang w:bidi="zh-CN"/>
        </w:rPr>
        <w:t>6#、8#、9#、11#</w:t>
      </w:r>
      <w:r>
        <w:rPr>
          <w:rFonts w:hint="eastAsia"/>
          <w:color w:val="auto"/>
        </w:rPr>
        <w:t>井场燃气水套加热炉及</w:t>
      </w:r>
      <w:r>
        <w:rPr>
          <w:rFonts w:hint="eastAsia"/>
          <w:color w:val="auto"/>
        </w:rPr>
        <w:t>高青联合站3</w:t>
      </w:r>
      <w:r>
        <w:rPr>
          <w:color w:val="auto"/>
        </w:rPr>
        <w:t>#</w:t>
      </w:r>
      <w:r>
        <w:rPr>
          <w:rFonts w:hint="eastAsia"/>
          <w:color w:val="auto"/>
        </w:rPr>
        <w:t>加热炉</w:t>
      </w:r>
      <w:r>
        <w:rPr>
          <w:color w:val="auto"/>
        </w:rPr>
        <w:t>，</w:t>
      </w:r>
      <w:r>
        <w:rPr>
          <w:rFonts w:hint="eastAsia"/>
          <w:color w:val="auto"/>
        </w:rPr>
        <w:t>废气监测孔设于排气筒规定位置。</w:t>
      </w:r>
    </w:p>
    <w:p w14:paraId="102EF1B5">
      <w:pPr>
        <w:pStyle w:val="4"/>
        <w:ind w:firstLine="480"/>
        <w:rPr>
          <w:color w:val="auto"/>
        </w:rPr>
      </w:pPr>
      <w:r>
        <w:rPr>
          <w:rFonts w:hint="eastAsia"/>
          <w:color w:val="auto"/>
        </w:rPr>
        <w:t>（2）监测</w:t>
      </w:r>
      <w:r>
        <w:rPr>
          <w:color w:val="auto"/>
        </w:rPr>
        <w:t>项目</w:t>
      </w:r>
    </w:p>
    <w:p w14:paraId="5EE96087">
      <w:pPr>
        <w:pStyle w:val="4"/>
        <w:ind w:firstLine="480"/>
        <w:rPr>
          <w:color w:val="auto"/>
        </w:rPr>
      </w:pPr>
      <w:r>
        <w:rPr>
          <w:rFonts w:hint="eastAsia"/>
          <w:color w:val="auto"/>
        </w:rPr>
        <w:t>监测项目为颗粒物、二氧化硫、氮氧化物、烟气黑度。</w:t>
      </w:r>
    </w:p>
    <w:p w14:paraId="46B44E84">
      <w:pPr>
        <w:pStyle w:val="4"/>
        <w:ind w:firstLine="480"/>
        <w:rPr>
          <w:color w:val="auto"/>
        </w:rPr>
      </w:pPr>
      <w:r>
        <w:rPr>
          <w:rFonts w:hint="eastAsia"/>
          <w:color w:val="auto"/>
        </w:rPr>
        <w:t>（3）监测</w:t>
      </w:r>
      <w:r>
        <w:rPr>
          <w:color w:val="auto"/>
        </w:rPr>
        <w:t>时间及频次</w:t>
      </w:r>
    </w:p>
    <w:p w14:paraId="2A49E0B4">
      <w:pPr>
        <w:pStyle w:val="4"/>
        <w:ind w:firstLine="480"/>
        <w:rPr>
          <w:color w:val="auto"/>
        </w:rPr>
      </w:pPr>
      <w:r>
        <w:rPr>
          <w:color w:val="auto"/>
        </w:rPr>
        <w:t>监测时间为</w:t>
      </w:r>
      <w:r>
        <w:rPr>
          <w:rFonts w:hint="eastAsia"/>
          <w:color w:val="auto"/>
        </w:rPr>
        <w:t>202</w:t>
      </w:r>
      <w:r>
        <w:rPr>
          <w:color w:val="auto"/>
        </w:rPr>
        <w:t>6</w:t>
      </w:r>
      <w:r>
        <w:rPr>
          <w:rFonts w:hint="eastAsia"/>
          <w:color w:val="auto"/>
        </w:rPr>
        <w:t>年</w:t>
      </w:r>
      <w:r>
        <w:rPr>
          <w:color w:val="auto"/>
        </w:rPr>
        <w:t>3</w:t>
      </w:r>
      <w:r>
        <w:rPr>
          <w:rFonts w:hint="eastAsia"/>
          <w:color w:val="auto"/>
        </w:rPr>
        <w:t>月</w:t>
      </w:r>
      <w:r>
        <w:rPr>
          <w:color w:val="auto"/>
        </w:rPr>
        <w:t>10</w:t>
      </w:r>
      <w:r>
        <w:rPr>
          <w:rFonts w:hint="eastAsia"/>
          <w:color w:val="auto"/>
        </w:rPr>
        <w:t>日～</w:t>
      </w:r>
      <w:r>
        <w:rPr>
          <w:color w:val="auto"/>
        </w:rPr>
        <w:t>3</w:t>
      </w:r>
      <w:r>
        <w:rPr>
          <w:rFonts w:hint="eastAsia"/>
          <w:color w:val="auto"/>
        </w:rPr>
        <w:t>月</w:t>
      </w:r>
      <w:r>
        <w:rPr>
          <w:color w:val="auto"/>
        </w:rPr>
        <w:t>11</w:t>
      </w:r>
      <w:r>
        <w:rPr>
          <w:rFonts w:hint="eastAsia"/>
          <w:color w:val="auto"/>
        </w:rPr>
        <w:t>日，202</w:t>
      </w:r>
      <w:r>
        <w:rPr>
          <w:color w:val="auto"/>
        </w:rPr>
        <w:t>6</w:t>
      </w:r>
      <w:r>
        <w:rPr>
          <w:rFonts w:hint="eastAsia"/>
          <w:color w:val="auto"/>
        </w:rPr>
        <w:t>年</w:t>
      </w:r>
      <w:r>
        <w:rPr>
          <w:color w:val="auto"/>
        </w:rPr>
        <w:t>3</w:t>
      </w:r>
      <w:r>
        <w:rPr>
          <w:rFonts w:hint="eastAsia"/>
          <w:color w:val="auto"/>
        </w:rPr>
        <w:t>月</w:t>
      </w:r>
      <w:r>
        <w:rPr>
          <w:color w:val="auto"/>
        </w:rPr>
        <w:t>16</w:t>
      </w:r>
      <w:r>
        <w:rPr>
          <w:rFonts w:hint="eastAsia"/>
          <w:color w:val="auto"/>
        </w:rPr>
        <w:t>日～</w:t>
      </w:r>
      <w:r>
        <w:rPr>
          <w:color w:val="auto"/>
        </w:rPr>
        <w:t>3</w:t>
      </w:r>
      <w:r>
        <w:rPr>
          <w:rFonts w:hint="eastAsia"/>
          <w:color w:val="auto"/>
        </w:rPr>
        <w:t>月</w:t>
      </w:r>
      <w:r>
        <w:rPr>
          <w:color w:val="auto"/>
        </w:rPr>
        <w:t>20</w:t>
      </w:r>
      <w:r>
        <w:rPr>
          <w:rFonts w:hint="eastAsia"/>
          <w:color w:val="auto"/>
        </w:rPr>
        <w:t>日、在</w:t>
      </w:r>
      <w:r>
        <w:rPr>
          <w:color w:val="auto"/>
        </w:rPr>
        <w:t>稳定运行时</w:t>
      </w:r>
      <w:r>
        <w:rPr>
          <w:rFonts w:hint="eastAsia"/>
          <w:color w:val="auto"/>
        </w:rPr>
        <w:t>连续监测2天，每天3次。</w:t>
      </w:r>
    </w:p>
    <w:p w14:paraId="4802451A">
      <w:pPr>
        <w:pStyle w:val="122"/>
        <w:spacing w:line="331" w:lineRule="auto"/>
        <w:ind w:firstLine="480"/>
        <w:rPr>
          <w:rFonts w:hAnsi="宋体"/>
          <w:color w:val="auto"/>
        </w:rPr>
      </w:pPr>
      <w:r>
        <w:rPr>
          <w:rFonts w:hint="eastAsia" w:hAnsi="宋体"/>
          <w:color w:val="auto"/>
        </w:rPr>
        <w:t>（</w:t>
      </w:r>
      <w:r>
        <w:rPr>
          <w:rFonts w:hAnsi="宋体"/>
          <w:color w:val="auto"/>
        </w:rPr>
        <w:t>4</w:t>
      </w:r>
      <w:r>
        <w:rPr>
          <w:rFonts w:hint="eastAsia" w:hAnsi="宋体"/>
          <w:color w:val="auto"/>
        </w:rPr>
        <w:t>）监测数据</w:t>
      </w:r>
    </w:p>
    <w:p w14:paraId="710F729D">
      <w:pPr>
        <w:pStyle w:val="4"/>
        <w:ind w:firstLine="480"/>
        <w:rPr>
          <w:color w:val="auto"/>
        </w:rPr>
        <w:sectPr>
          <w:pgSz w:w="11907" w:h="16839"/>
          <w:pgMar w:top="1418" w:right="1588" w:bottom="1418" w:left="1588" w:header="1134" w:footer="850" w:gutter="0"/>
          <w:cols w:space="720" w:num="1"/>
          <w:docGrid w:linePitch="312" w:charSpace="0"/>
        </w:sectPr>
      </w:pPr>
      <w:r>
        <w:rPr>
          <w:rFonts w:hint="eastAsia"/>
          <w:color w:val="auto"/>
        </w:rPr>
        <w:t>验收监测期间加热炉废气</w:t>
      </w:r>
      <w:r>
        <w:rPr>
          <w:color w:val="auto"/>
        </w:rPr>
        <w:t>监测结果见</w:t>
      </w:r>
      <w:r>
        <w:rPr>
          <w:rFonts w:hint="eastAsia"/>
          <w:color w:val="auto"/>
        </w:rPr>
        <w:t>下表。</w:t>
      </w:r>
    </w:p>
    <w:p w14:paraId="44CC8E76">
      <w:pPr>
        <w:pStyle w:val="15"/>
        <w:spacing w:before="120"/>
        <w:ind w:firstLine="480"/>
        <w:rPr>
          <w:rFonts w:hAnsi="宋体"/>
          <w:color w:val="auto"/>
        </w:rPr>
      </w:pPr>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5</w:t>
      </w:r>
      <w:r>
        <w:rPr>
          <w:rFonts w:hAnsi="宋体"/>
          <w:color w:val="auto"/>
        </w:rPr>
        <w:fldChar w:fldCharType="end"/>
      </w:r>
      <w:r>
        <w:rPr>
          <w:rFonts w:hAnsi="宋体"/>
          <w:color w:val="auto"/>
        </w:rPr>
        <w:t xml:space="preserve">  </w:t>
      </w:r>
      <w:r>
        <w:rPr>
          <w:rFonts w:hint="eastAsia" w:hAnsi="宋体"/>
          <w:color w:val="auto"/>
        </w:rPr>
        <w:t>6#井场加热炉废气监测数据（1）</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1576"/>
        <w:gridCol w:w="1965"/>
        <w:gridCol w:w="563"/>
        <w:gridCol w:w="1402"/>
        <w:gridCol w:w="943"/>
        <w:gridCol w:w="1156"/>
        <w:gridCol w:w="1192"/>
        <w:gridCol w:w="772"/>
        <w:gridCol w:w="1576"/>
        <w:gridCol w:w="389"/>
        <w:gridCol w:w="1951"/>
      </w:tblGrid>
      <w:tr w14:paraId="63AD6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vAlign w:val="center"/>
          </w:tcPr>
          <w:p w14:paraId="20B272A0">
            <w:pPr>
              <w:widowControl/>
              <w:adjustRightInd w:val="0"/>
              <w:snapToGrid w:val="0"/>
              <w:jc w:val="center"/>
              <w:rPr>
                <w:rFonts w:ascii="宋体" w:hAnsi="宋体"/>
                <w:color w:val="auto"/>
              </w:rPr>
            </w:pPr>
            <w:r>
              <w:rPr>
                <w:rFonts w:hint="eastAsia" w:ascii="宋体" w:hAnsi="宋体"/>
                <w:color w:val="auto"/>
              </w:rPr>
              <w:t>采样时间</w:t>
            </w:r>
          </w:p>
        </w:tc>
        <w:tc>
          <w:tcPr>
            <w:tcW w:w="2154" w:type="pct"/>
            <w:gridSpan w:val="5"/>
            <w:vAlign w:val="center"/>
          </w:tcPr>
          <w:p w14:paraId="74EA5E56">
            <w:pPr>
              <w:jc w:val="center"/>
              <w:rPr>
                <w:rFonts w:ascii="宋体" w:hAnsi="宋体"/>
                <w:color w:val="auto"/>
              </w:rPr>
            </w:pPr>
            <w:r>
              <w:rPr>
                <w:rFonts w:hint="eastAsia" w:ascii="宋体" w:hAnsi="宋体"/>
                <w:color w:val="auto"/>
              </w:rPr>
              <w:t>2026年3月10日</w:t>
            </w:r>
          </w:p>
        </w:tc>
        <w:tc>
          <w:tcPr>
            <w:tcW w:w="2101" w:type="pct"/>
            <w:gridSpan w:val="5"/>
            <w:vAlign w:val="center"/>
          </w:tcPr>
          <w:p w14:paraId="6ABADD77">
            <w:pPr>
              <w:jc w:val="center"/>
              <w:rPr>
                <w:rFonts w:ascii="宋体" w:hAnsi="宋体"/>
                <w:color w:val="auto"/>
              </w:rPr>
            </w:pPr>
            <w:r>
              <w:rPr>
                <w:rFonts w:hint="eastAsia" w:ascii="宋体" w:hAnsi="宋体"/>
                <w:color w:val="auto"/>
              </w:rPr>
              <w:t>2026年3月11日</w:t>
            </w:r>
          </w:p>
        </w:tc>
      </w:tr>
      <w:tr w14:paraId="15203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vAlign w:val="center"/>
          </w:tcPr>
          <w:p w14:paraId="5A31DC6F">
            <w:pPr>
              <w:widowControl/>
              <w:adjustRightInd w:val="0"/>
              <w:snapToGrid w:val="0"/>
              <w:jc w:val="center"/>
              <w:rPr>
                <w:rFonts w:ascii="宋体" w:hAnsi="宋体"/>
                <w:color w:val="auto"/>
              </w:rPr>
            </w:pPr>
            <w:r>
              <w:rPr>
                <w:rFonts w:ascii="宋体" w:hAnsi="宋体"/>
                <w:color w:val="auto"/>
              </w:rPr>
              <w:t>排气筒名称</w:t>
            </w:r>
          </w:p>
        </w:tc>
        <w:tc>
          <w:tcPr>
            <w:tcW w:w="4255" w:type="pct"/>
            <w:gridSpan w:val="10"/>
            <w:vAlign w:val="center"/>
          </w:tcPr>
          <w:p w14:paraId="637A198D">
            <w:pPr>
              <w:widowControl/>
              <w:jc w:val="center"/>
              <w:rPr>
                <w:rFonts w:ascii="宋体" w:hAnsi="宋体"/>
                <w:color w:val="auto"/>
              </w:rPr>
            </w:pPr>
            <w:r>
              <w:rPr>
                <w:rFonts w:hint="eastAsia" w:ascii="宋体" w:hAnsi="宋体"/>
                <w:color w:val="auto"/>
              </w:rPr>
              <w:t>6</w:t>
            </w:r>
            <w:r>
              <w:rPr>
                <w:rFonts w:ascii="宋体" w:hAnsi="宋体"/>
                <w:color w:val="auto"/>
              </w:rPr>
              <w:t>#井场加热炉排气筒</w:t>
            </w:r>
          </w:p>
        </w:tc>
      </w:tr>
      <w:tr w14:paraId="15A61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vAlign w:val="center"/>
          </w:tcPr>
          <w:p w14:paraId="2384DBAF">
            <w:pPr>
              <w:widowControl/>
              <w:adjustRightInd w:val="0"/>
              <w:snapToGrid w:val="0"/>
              <w:jc w:val="center"/>
              <w:rPr>
                <w:rFonts w:ascii="宋体" w:hAnsi="宋体"/>
                <w:color w:val="auto"/>
              </w:rPr>
            </w:pPr>
            <w:r>
              <w:rPr>
                <w:rFonts w:ascii="宋体" w:hAnsi="宋体"/>
                <w:color w:val="auto"/>
              </w:rPr>
              <w:t>燃料</w:t>
            </w:r>
          </w:p>
        </w:tc>
        <w:tc>
          <w:tcPr>
            <w:tcW w:w="903" w:type="pct"/>
            <w:gridSpan w:val="2"/>
            <w:vAlign w:val="center"/>
          </w:tcPr>
          <w:p w14:paraId="53AD190D">
            <w:pPr>
              <w:widowControl/>
              <w:adjustRightInd w:val="0"/>
              <w:snapToGrid w:val="0"/>
              <w:jc w:val="center"/>
              <w:rPr>
                <w:rFonts w:ascii="宋体" w:hAnsi="宋体"/>
                <w:color w:val="auto"/>
              </w:rPr>
            </w:pPr>
            <w:r>
              <w:rPr>
                <w:rFonts w:hint="eastAsia" w:ascii="宋体" w:hAnsi="宋体"/>
                <w:color w:val="auto"/>
              </w:rPr>
              <w:t>天然气</w:t>
            </w:r>
          </w:p>
        </w:tc>
        <w:tc>
          <w:tcPr>
            <w:tcW w:w="838" w:type="pct"/>
            <w:gridSpan w:val="2"/>
            <w:vAlign w:val="center"/>
          </w:tcPr>
          <w:p w14:paraId="26E38A10">
            <w:pPr>
              <w:widowControl/>
              <w:adjustRightInd w:val="0"/>
              <w:snapToGrid w:val="0"/>
              <w:jc w:val="center"/>
              <w:rPr>
                <w:rFonts w:ascii="宋体" w:hAnsi="宋体"/>
                <w:color w:val="auto"/>
              </w:rPr>
            </w:pPr>
            <w:r>
              <w:rPr>
                <w:rFonts w:ascii="宋体" w:hAnsi="宋体"/>
                <w:color w:val="auto"/>
              </w:rPr>
              <w:t>烟道截</w:t>
            </w:r>
            <w:r>
              <w:rPr>
                <w:rFonts w:hint="eastAsia" w:ascii="宋体" w:hAnsi="宋体"/>
                <w:color w:val="auto"/>
              </w:rPr>
              <w:t>面积</w:t>
            </w:r>
            <w:r>
              <w:rPr>
                <w:rFonts w:ascii="宋体" w:hAnsi="宋体"/>
                <w:color w:val="auto"/>
              </w:rPr>
              <w:t>（m</w:t>
            </w:r>
            <w:r>
              <w:rPr>
                <w:rFonts w:ascii="宋体" w:hAnsi="宋体"/>
                <w:color w:val="auto"/>
                <w:vertAlign w:val="superscript"/>
              </w:rPr>
              <w:t>2</w:t>
            </w:r>
            <w:r>
              <w:rPr>
                <w:rFonts w:ascii="宋体" w:hAnsi="宋体"/>
                <w:color w:val="auto"/>
              </w:rPr>
              <w:t>）</w:t>
            </w:r>
          </w:p>
        </w:tc>
        <w:tc>
          <w:tcPr>
            <w:tcW w:w="838" w:type="pct"/>
            <w:gridSpan w:val="2"/>
            <w:vAlign w:val="center"/>
          </w:tcPr>
          <w:p w14:paraId="3FA62F34">
            <w:pPr>
              <w:widowControl/>
              <w:adjustRightInd w:val="0"/>
              <w:snapToGrid w:val="0"/>
              <w:jc w:val="center"/>
              <w:rPr>
                <w:rFonts w:ascii="宋体" w:hAnsi="宋体"/>
                <w:color w:val="auto"/>
              </w:rPr>
            </w:pPr>
            <w:r>
              <w:rPr>
                <w:rFonts w:hint="eastAsia" w:ascii="宋体" w:hAnsi="宋体"/>
                <w:color w:val="auto"/>
              </w:rPr>
              <w:t>0.0177</w:t>
            </w:r>
          </w:p>
        </w:tc>
        <w:tc>
          <w:tcPr>
            <w:tcW w:w="839" w:type="pct"/>
            <w:gridSpan w:val="2"/>
            <w:vAlign w:val="center"/>
          </w:tcPr>
          <w:p w14:paraId="281FE697">
            <w:pPr>
              <w:widowControl/>
              <w:adjustRightInd w:val="0"/>
              <w:snapToGrid w:val="0"/>
              <w:jc w:val="center"/>
              <w:rPr>
                <w:rFonts w:ascii="宋体" w:hAnsi="宋体"/>
                <w:color w:val="auto"/>
              </w:rPr>
            </w:pPr>
            <w:r>
              <w:rPr>
                <w:rFonts w:ascii="宋体" w:hAnsi="宋体"/>
                <w:color w:val="auto"/>
              </w:rPr>
              <w:t>排气筒高度（m）</w:t>
            </w:r>
          </w:p>
        </w:tc>
        <w:tc>
          <w:tcPr>
            <w:tcW w:w="837" w:type="pct"/>
            <w:gridSpan w:val="2"/>
            <w:vAlign w:val="center"/>
          </w:tcPr>
          <w:p w14:paraId="546A15FB">
            <w:pPr>
              <w:widowControl/>
              <w:adjustRightInd w:val="0"/>
              <w:snapToGrid w:val="0"/>
              <w:jc w:val="center"/>
              <w:rPr>
                <w:rFonts w:ascii="宋体" w:hAnsi="宋体"/>
                <w:color w:val="auto"/>
              </w:rPr>
            </w:pPr>
            <w:r>
              <w:rPr>
                <w:rFonts w:hint="eastAsia" w:ascii="宋体" w:hAnsi="宋体"/>
                <w:color w:val="auto"/>
              </w:rPr>
              <w:t>8</w:t>
            </w:r>
          </w:p>
        </w:tc>
      </w:tr>
      <w:tr w14:paraId="38EC4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vAlign w:val="center"/>
          </w:tcPr>
          <w:p w14:paraId="57A07E94">
            <w:pPr>
              <w:widowControl/>
              <w:adjustRightInd w:val="0"/>
              <w:snapToGrid w:val="0"/>
              <w:jc w:val="center"/>
              <w:rPr>
                <w:rFonts w:ascii="宋体" w:hAnsi="宋体"/>
                <w:color w:val="auto"/>
              </w:rPr>
            </w:pPr>
            <w:r>
              <w:rPr>
                <w:rFonts w:ascii="宋体" w:hAnsi="宋体"/>
                <w:color w:val="auto"/>
              </w:rPr>
              <w:t>检测频次</w:t>
            </w:r>
          </w:p>
        </w:tc>
        <w:tc>
          <w:tcPr>
            <w:tcW w:w="702" w:type="pct"/>
            <w:vAlign w:val="center"/>
          </w:tcPr>
          <w:p w14:paraId="6A133D1B">
            <w:pPr>
              <w:adjustRightInd w:val="0"/>
              <w:snapToGrid w:val="0"/>
              <w:jc w:val="center"/>
              <w:rPr>
                <w:rFonts w:ascii="宋体" w:hAnsi="宋体"/>
                <w:color w:val="auto"/>
              </w:rPr>
            </w:pPr>
            <w:r>
              <w:rPr>
                <w:rFonts w:ascii="宋体" w:hAnsi="宋体"/>
                <w:color w:val="auto"/>
              </w:rPr>
              <w:t>第1次</w:t>
            </w:r>
          </w:p>
        </w:tc>
        <w:tc>
          <w:tcPr>
            <w:tcW w:w="702" w:type="pct"/>
            <w:gridSpan w:val="2"/>
            <w:vAlign w:val="center"/>
          </w:tcPr>
          <w:p w14:paraId="4E49CA72">
            <w:pPr>
              <w:adjustRightInd w:val="0"/>
              <w:snapToGrid w:val="0"/>
              <w:jc w:val="center"/>
              <w:rPr>
                <w:rFonts w:ascii="宋体" w:hAnsi="宋体"/>
                <w:color w:val="auto"/>
              </w:rPr>
            </w:pPr>
            <w:r>
              <w:rPr>
                <w:rFonts w:hint="eastAsia" w:ascii="宋体" w:hAnsi="宋体"/>
                <w:color w:val="auto"/>
              </w:rPr>
              <w:t>第2次</w:t>
            </w:r>
          </w:p>
        </w:tc>
        <w:tc>
          <w:tcPr>
            <w:tcW w:w="749" w:type="pct"/>
            <w:gridSpan w:val="2"/>
            <w:vAlign w:val="center"/>
          </w:tcPr>
          <w:p w14:paraId="59FA6622">
            <w:pPr>
              <w:adjustRightInd w:val="0"/>
              <w:snapToGrid w:val="0"/>
              <w:jc w:val="center"/>
              <w:rPr>
                <w:rFonts w:ascii="宋体" w:hAnsi="宋体"/>
                <w:color w:val="auto"/>
              </w:rPr>
            </w:pPr>
            <w:r>
              <w:rPr>
                <w:rFonts w:hint="eastAsia" w:ascii="宋体" w:hAnsi="宋体"/>
                <w:color w:val="auto"/>
              </w:rPr>
              <w:t>第3次</w:t>
            </w:r>
          </w:p>
        </w:tc>
        <w:tc>
          <w:tcPr>
            <w:tcW w:w="702" w:type="pct"/>
            <w:gridSpan w:val="2"/>
            <w:vAlign w:val="center"/>
          </w:tcPr>
          <w:p w14:paraId="1BB8C757">
            <w:pPr>
              <w:adjustRightInd w:val="0"/>
              <w:snapToGrid w:val="0"/>
              <w:jc w:val="center"/>
              <w:rPr>
                <w:rFonts w:ascii="宋体" w:hAnsi="宋体"/>
                <w:color w:val="auto"/>
              </w:rPr>
            </w:pPr>
            <w:r>
              <w:rPr>
                <w:rFonts w:ascii="宋体" w:hAnsi="宋体"/>
                <w:color w:val="auto"/>
              </w:rPr>
              <w:t>第1次</w:t>
            </w:r>
          </w:p>
        </w:tc>
        <w:tc>
          <w:tcPr>
            <w:tcW w:w="702" w:type="pct"/>
            <w:gridSpan w:val="2"/>
            <w:vAlign w:val="center"/>
          </w:tcPr>
          <w:p w14:paraId="7D430ABF">
            <w:pPr>
              <w:adjustRightInd w:val="0"/>
              <w:snapToGrid w:val="0"/>
              <w:jc w:val="center"/>
              <w:rPr>
                <w:rFonts w:ascii="宋体" w:hAnsi="宋体"/>
                <w:color w:val="auto"/>
              </w:rPr>
            </w:pPr>
            <w:r>
              <w:rPr>
                <w:rFonts w:hint="eastAsia" w:ascii="宋体" w:hAnsi="宋体"/>
                <w:color w:val="auto"/>
              </w:rPr>
              <w:t>第2次</w:t>
            </w:r>
          </w:p>
        </w:tc>
        <w:tc>
          <w:tcPr>
            <w:tcW w:w="697" w:type="pct"/>
            <w:vAlign w:val="center"/>
          </w:tcPr>
          <w:p w14:paraId="09278FA0">
            <w:pPr>
              <w:adjustRightInd w:val="0"/>
              <w:snapToGrid w:val="0"/>
              <w:jc w:val="center"/>
              <w:rPr>
                <w:rFonts w:ascii="宋体" w:hAnsi="宋体"/>
                <w:color w:val="auto"/>
              </w:rPr>
            </w:pPr>
            <w:r>
              <w:rPr>
                <w:rFonts w:hint="eastAsia" w:ascii="宋体" w:hAnsi="宋体"/>
                <w:color w:val="auto"/>
              </w:rPr>
              <w:t>第3次</w:t>
            </w:r>
          </w:p>
        </w:tc>
      </w:tr>
      <w:tr w14:paraId="4A9B7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vAlign w:val="center"/>
          </w:tcPr>
          <w:p w14:paraId="3B2D9F35">
            <w:pPr>
              <w:widowControl/>
              <w:adjustRightInd w:val="0"/>
              <w:snapToGrid w:val="0"/>
              <w:jc w:val="center"/>
              <w:rPr>
                <w:rFonts w:ascii="宋体" w:hAnsi="宋体"/>
                <w:color w:val="auto"/>
              </w:rPr>
            </w:pPr>
            <w:r>
              <w:rPr>
                <w:rFonts w:hint="eastAsia" w:ascii="宋体" w:hAnsi="宋体"/>
                <w:color w:val="auto"/>
              </w:rPr>
              <w:t>采样时间</w:t>
            </w:r>
          </w:p>
        </w:tc>
        <w:tc>
          <w:tcPr>
            <w:tcW w:w="702" w:type="pct"/>
            <w:vAlign w:val="center"/>
          </w:tcPr>
          <w:p w14:paraId="06F969A8">
            <w:pPr>
              <w:widowControl/>
              <w:adjustRightInd w:val="0"/>
              <w:snapToGrid w:val="0"/>
              <w:jc w:val="center"/>
              <w:rPr>
                <w:rFonts w:ascii="宋体" w:hAnsi="宋体"/>
                <w:color w:val="auto"/>
              </w:rPr>
            </w:pPr>
            <w:r>
              <w:rPr>
                <w:rFonts w:hint="eastAsia" w:ascii="宋体" w:hAnsi="宋体"/>
                <w:color w:val="auto"/>
              </w:rPr>
              <w:t>12:00</w:t>
            </w:r>
          </w:p>
        </w:tc>
        <w:tc>
          <w:tcPr>
            <w:tcW w:w="702" w:type="pct"/>
            <w:gridSpan w:val="2"/>
            <w:vAlign w:val="center"/>
          </w:tcPr>
          <w:p w14:paraId="2987EF31">
            <w:pPr>
              <w:widowControl/>
              <w:adjustRightInd w:val="0"/>
              <w:snapToGrid w:val="0"/>
              <w:jc w:val="center"/>
              <w:rPr>
                <w:rFonts w:ascii="宋体" w:hAnsi="宋体"/>
                <w:color w:val="auto"/>
              </w:rPr>
            </w:pPr>
            <w:r>
              <w:rPr>
                <w:rFonts w:hint="eastAsia" w:ascii="宋体" w:hAnsi="宋体"/>
                <w:color w:val="auto"/>
              </w:rPr>
              <w:t>13:05</w:t>
            </w:r>
          </w:p>
        </w:tc>
        <w:tc>
          <w:tcPr>
            <w:tcW w:w="749" w:type="pct"/>
            <w:gridSpan w:val="2"/>
            <w:vAlign w:val="center"/>
          </w:tcPr>
          <w:p w14:paraId="6759E50A">
            <w:pPr>
              <w:widowControl/>
              <w:adjustRightInd w:val="0"/>
              <w:snapToGrid w:val="0"/>
              <w:jc w:val="center"/>
              <w:rPr>
                <w:rFonts w:ascii="宋体" w:hAnsi="宋体"/>
                <w:color w:val="auto"/>
              </w:rPr>
            </w:pPr>
            <w:r>
              <w:rPr>
                <w:rFonts w:hint="eastAsia" w:ascii="宋体" w:hAnsi="宋体"/>
                <w:color w:val="auto"/>
              </w:rPr>
              <w:t>14:10</w:t>
            </w:r>
          </w:p>
        </w:tc>
        <w:tc>
          <w:tcPr>
            <w:tcW w:w="702" w:type="pct"/>
            <w:gridSpan w:val="2"/>
            <w:vAlign w:val="center"/>
          </w:tcPr>
          <w:p w14:paraId="0A5ED4E5">
            <w:pPr>
              <w:widowControl/>
              <w:adjustRightInd w:val="0"/>
              <w:snapToGrid w:val="0"/>
              <w:jc w:val="center"/>
              <w:rPr>
                <w:rFonts w:ascii="宋体" w:hAnsi="宋体"/>
                <w:color w:val="auto"/>
              </w:rPr>
            </w:pPr>
            <w:r>
              <w:rPr>
                <w:rFonts w:hint="eastAsia" w:ascii="宋体" w:hAnsi="宋体"/>
                <w:color w:val="auto"/>
              </w:rPr>
              <w:t>9:30</w:t>
            </w:r>
          </w:p>
        </w:tc>
        <w:tc>
          <w:tcPr>
            <w:tcW w:w="702" w:type="pct"/>
            <w:gridSpan w:val="2"/>
            <w:vAlign w:val="center"/>
          </w:tcPr>
          <w:p w14:paraId="67810D0B">
            <w:pPr>
              <w:widowControl/>
              <w:adjustRightInd w:val="0"/>
              <w:snapToGrid w:val="0"/>
              <w:jc w:val="center"/>
              <w:rPr>
                <w:rFonts w:ascii="宋体" w:hAnsi="宋体"/>
                <w:color w:val="auto"/>
              </w:rPr>
            </w:pPr>
            <w:r>
              <w:rPr>
                <w:rFonts w:hint="eastAsia" w:ascii="宋体" w:hAnsi="宋体"/>
                <w:color w:val="auto"/>
              </w:rPr>
              <w:t>10:35</w:t>
            </w:r>
          </w:p>
        </w:tc>
        <w:tc>
          <w:tcPr>
            <w:tcW w:w="697" w:type="pct"/>
            <w:vAlign w:val="center"/>
          </w:tcPr>
          <w:p w14:paraId="372CB167">
            <w:pPr>
              <w:widowControl/>
              <w:adjustRightInd w:val="0"/>
              <w:snapToGrid w:val="0"/>
              <w:jc w:val="center"/>
              <w:rPr>
                <w:rFonts w:ascii="宋体" w:hAnsi="宋体"/>
                <w:color w:val="auto"/>
              </w:rPr>
            </w:pPr>
            <w:r>
              <w:rPr>
                <w:rFonts w:hint="eastAsia" w:ascii="宋体" w:hAnsi="宋体"/>
                <w:color w:val="auto"/>
              </w:rPr>
              <w:t>11:40</w:t>
            </w:r>
          </w:p>
        </w:tc>
      </w:tr>
      <w:tr w14:paraId="6C8EA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vAlign w:val="center"/>
          </w:tcPr>
          <w:p w14:paraId="286CC4A5">
            <w:pPr>
              <w:widowControl/>
              <w:adjustRightInd w:val="0"/>
              <w:snapToGrid w:val="0"/>
              <w:jc w:val="center"/>
              <w:rPr>
                <w:rFonts w:ascii="宋体" w:hAnsi="宋体"/>
                <w:color w:val="auto"/>
              </w:rPr>
            </w:pPr>
            <w:r>
              <w:rPr>
                <w:rFonts w:hint="eastAsia" w:ascii="宋体" w:hAnsi="宋体"/>
                <w:color w:val="auto"/>
              </w:rPr>
              <w:t>烟气温度</w:t>
            </w:r>
            <w:r>
              <w:rPr>
                <w:rFonts w:ascii="宋体" w:hAnsi="宋体"/>
                <w:color w:val="auto"/>
              </w:rPr>
              <w:t>（</w:t>
            </w:r>
            <w:r>
              <w:rPr>
                <w:rFonts w:hint="eastAsia" w:ascii="宋体" w:hAnsi="宋体" w:cs="微软雅黑"/>
                <w:color w:val="auto"/>
              </w:rPr>
              <w:t>℃</w:t>
            </w:r>
            <w:r>
              <w:rPr>
                <w:rFonts w:ascii="宋体" w:hAnsi="宋体"/>
                <w:color w:val="auto"/>
              </w:rPr>
              <w:t>）</w:t>
            </w:r>
          </w:p>
        </w:tc>
        <w:tc>
          <w:tcPr>
            <w:tcW w:w="702" w:type="pct"/>
            <w:vAlign w:val="center"/>
          </w:tcPr>
          <w:p w14:paraId="58FBE57B">
            <w:pPr>
              <w:widowControl/>
              <w:adjustRightInd w:val="0"/>
              <w:snapToGrid w:val="0"/>
              <w:jc w:val="center"/>
              <w:rPr>
                <w:rFonts w:ascii="宋体" w:hAnsi="宋体"/>
                <w:color w:val="auto"/>
              </w:rPr>
            </w:pPr>
            <w:r>
              <w:rPr>
                <w:rFonts w:hint="eastAsia" w:ascii="宋体" w:hAnsi="宋体"/>
                <w:color w:val="auto"/>
              </w:rPr>
              <w:t>80.5</w:t>
            </w:r>
          </w:p>
        </w:tc>
        <w:tc>
          <w:tcPr>
            <w:tcW w:w="702" w:type="pct"/>
            <w:gridSpan w:val="2"/>
            <w:vAlign w:val="center"/>
          </w:tcPr>
          <w:p w14:paraId="34CFFAFF">
            <w:pPr>
              <w:widowControl/>
              <w:adjustRightInd w:val="0"/>
              <w:snapToGrid w:val="0"/>
              <w:jc w:val="center"/>
              <w:rPr>
                <w:rFonts w:ascii="宋体" w:hAnsi="宋体"/>
                <w:color w:val="auto"/>
              </w:rPr>
            </w:pPr>
            <w:r>
              <w:rPr>
                <w:rFonts w:hint="eastAsia" w:ascii="宋体" w:hAnsi="宋体"/>
                <w:color w:val="auto"/>
              </w:rPr>
              <w:t>80.8</w:t>
            </w:r>
          </w:p>
        </w:tc>
        <w:tc>
          <w:tcPr>
            <w:tcW w:w="749" w:type="pct"/>
            <w:gridSpan w:val="2"/>
            <w:vAlign w:val="center"/>
          </w:tcPr>
          <w:p w14:paraId="536729FB">
            <w:pPr>
              <w:widowControl/>
              <w:adjustRightInd w:val="0"/>
              <w:snapToGrid w:val="0"/>
              <w:jc w:val="center"/>
              <w:rPr>
                <w:rFonts w:ascii="宋体" w:hAnsi="宋体"/>
                <w:color w:val="auto"/>
              </w:rPr>
            </w:pPr>
            <w:r>
              <w:rPr>
                <w:rFonts w:hint="eastAsia" w:ascii="宋体" w:hAnsi="宋体"/>
                <w:color w:val="auto"/>
              </w:rPr>
              <w:t>81.0</w:t>
            </w:r>
          </w:p>
        </w:tc>
        <w:tc>
          <w:tcPr>
            <w:tcW w:w="702" w:type="pct"/>
            <w:gridSpan w:val="2"/>
            <w:vAlign w:val="center"/>
          </w:tcPr>
          <w:p w14:paraId="3CD56F53">
            <w:pPr>
              <w:widowControl/>
              <w:jc w:val="center"/>
              <w:rPr>
                <w:rFonts w:ascii="宋体" w:hAnsi="宋体"/>
                <w:color w:val="auto"/>
              </w:rPr>
            </w:pPr>
            <w:r>
              <w:rPr>
                <w:rFonts w:hint="eastAsia" w:ascii="宋体" w:hAnsi="宋体"/>
                <w:color w:val="auto"/>
              </w:rPr>
              <w:t>81.2</w:t>
            </w:r>
          </w:p>
        </w:tc>
        <w:tc>
          <w:tcPr>
            <w:tcW w:w="702" w:type="pct"/>
            <w:gridSpan w:val="2"/>
            <w:vAlign w:val="center"/>
          </w:tcPr>
          <w:p w14:paraId="76475E58">
            <w:pPr>
              <w:widowControl/>
              <w:jc w:val="center"/>
              <w:rPr>
                <w:rFonts w:ascii="宋体" w:hAnsi="宋体"/>
                <w:color w:val="auto"/>
              </w:rPr>
            </w:pPr>
            <w:r>
              <w:rPr>
                <w:rFonts w:hint="eastAsia" w:ascii="宋体" w:hAnsi="宋体"/>
                <w:color w:val="auto"/>
              </w:rPr>
              <w:t>81.5</w:t>
            </w:r>
          </w:p>
        </w:tc>
        <w:tc>
          <w:tcPr>
            <w:tcW w:w="697" w:type="pct"/>
            <w:vAlign w:val="center"/>
          </w:tcPr>
          <w:p w14:paraId="6E960D36">
            <w:pPr>
              <w:widowControl/>
              <w:jc w:val="center"/>
              <w:rPr>
                <w:rFonts w:ascii="宋体" w:hAnsi="宋体"/>
                <w:color w:val="auto"/>
              </w:rPr>
            </w:pPr>
            <w:r>
              <w:rPr>
                <w:rFonts w:hint="eastAsia" w:ascii="宋体" w:hAnsi="宋体"/>
                <w:color w:val="auto"/>
              </w:rPr>
              <w:t>82.0</w:t>
            </w:r>
          </w:p>
        </w:tc>
      </w:tr>
      <w:tr w14:paraId="79C3F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vAlign w:val="center"/>
          </w:tcPr>
          <w:p w14:paraId="786A1975">
            <w:pPr>
              <w:widowControl/>
              <w:adjustRightInd w:val="0"/>
              <w:snapToGrid w:val="0"/>
              <w:jc w:val="center"/>
              <w:rPr>
                <w:rFonts w:ascii="宋体" w:hAnsi="宋体"/>
                <w:color w:val="auto"/>
              </w:rPr>
            </w:pPr>
            <w:r>
              <w:rPr>
                <w:rFonts w:ascii="宋体" w:hAnsi="宋体"/>
                <w:color w:val="auto"/>
              </w:rPr>
              <w:t>标干流量（m</w:t>
            </w:r>
            <w:r>
              <w:rPr>
                <w:rFonts w:ascii="宋体" w:hAnsi="宋体"/>
                <w:color w:val="auto"/>
                <w:vertAlign w:val="superscript"/>
              </w:rPr>
              <w:t>3</w:t>
            </w:r>
            <w:r>
              <w:rPr>
                <w:rFonts w:ascii="宋体" w:hAnsi="宋体"/>
                <w:color w:val="auto"/>
              </w:rPr>
              <w:t>/h）</w:t>
            </w:r>
          </w:p>
        </w:tc>
        <w:tc>
          <w:tcPr>
            <w:tcW w:w="702" w:type="pct"/>
            <w:vAlign w:val="center"/>
          </w:tcPr>
          <w:p w14:paraId="01B01FA8">
            <w:pPr>
              <w:widowControl/>
              <w:adjustRightInd w:val="0"/>
              <w:snapToGrid w:val="0"/>
              <w:jc w:val="center"/>
              <w:rPr>
                <w:rFonts w:ascii="宋体" w:hAnsi="宋体"/>
                <w:color w:val="auto"/>
              </w:rPr>
            </w:pPr>
            <w:r>
              <w:rPr>
                <w:rFonts w:hint="eastAsia" w:ascii="宋体" w:hAnsi="宋体"/>
                <w:color w:val="auto"/>
              </w:rPr>
              <w:t>220</w:t>
            </w:r>
          </w:p>
        </w:tc>
        <w:tc>
          <w:tcPr>
            <w:tcW w:w="702" w:type="pct"/>
            <w:gridSpan w:val="2"/>
            <w:vAlign w:val="center"/>
          </w:tcPr>
          <w:p w14:paraId="37B9BECA">
            <w:pPr>
              <w:widowControl/>
              <w:adjustRightInd w:val="0"/>
              <w:snapToGrid w:val="0"/>
              <w:jc w:val="center"/>
              <w:rPr>
                <w:rFonts w:ascii="宋体" w:hAnsi="宋体"/>
                <w:color w:val="auto"/>
              </w:rPr>
            </w:pPr>
            <w:r>
              <w:rPr>
                <w:rFonts w:hint="eastAsia" w:ascii="宋体" w:hAnsi="宋体"/>
                <w:color w:val="auto"/>
              </w:rPr>
              <w:t>227</w:t>
            </w:r>
          </w:p>
        </w:tc>
        <w:tc>
          <w:tcPr>
            <w:tcW w:w="749" w:type="pct"/>
            <w:gridSpan w:val="2"/>
            <w:vAlign w:val="center"/>
          </w:tcPr>
          <w:p w14:paraId="28C8971D">
            <w:pPr>
              <w:widowControl/>
              <w:adjustRightInd w:val="0"/>
              <w:snapToGrid w:val="0"/>
              <w:jc w:val="center"/>
              <w:rPr>
                <w:rFonts w:ascii="宋体" w:hAnsi="宋体"/>
                <w:color w:val="auto"/>
              </w:rPr>
            </w:pPr>
            <w:r>
              <w:rPr>
                <w:rFonts w:hint="eastAsia" w:ascii="宋体" w:hAnsi="宋体"/>
                <w:color w:val="auto"/>
              </w:rPr>
              <w:t>213</w:t>
            </w:r>
          </w:p>
        </w:tc>
        <w:tc>
          <w:tcPr>
            <w:tcW w:w="702" w:type="pct"/>
            <w:gridSpan w:val="2"/>
            <w:vAlign w:val="center"/>
          </w:tcPr>
          <w:p w14:paraId="77C588FC">
            <w:pPr>
              <w:widowControl/>
              <w:jc w:val="center"/>
              <w:rPr>
                <w:rFonts w:ascii="宋体" w:hAnsi="宋体"/>
                <w:color w:val="auto"/>
              </w:rPr>
            </w:pPr>
            <w:r>
              <w:rPr>
                <w:rFonts w:hint="eastAsia" w:ascii="宋体" w:hAnsi="宋体"/>
                <w:color w:val="auto"/>
              </w:rPr>
              <w:t>191</w:t>
            </w:r>
          </w:p>
        </w:tc>
        <w:tc>
          <w:tcPr>
            <w:tcW w:w="702" w:type="pct"/>
            <w:gridSpan w:val="2"/>
            <w:vAlign w:val="center"/>
          </w:tcPr>
          <w:p w14:paraId="752C21CC">
            <w:pPr>
              <w:widowControl/>
              <w:jc w:val="center"/>
              <w:rPr>
                <w:rFonts w:ascii="宋体" w:hAnsi="宋体"/>
                <w:color w:val="auto"/>
              </w:rPr>
            </w:pPr>
            <w:r>
              <w:rPr>
                <w:rFonts w:hint="eastAsia" w:ascii="宋体" w:hAnsi="宋体"/>
                <w:color w:val="auto"/>
              </w:rPr>
              <w:t>183</w:t>
            </w:r>
          </w:p>
        </w:tc>
        <w:tc>
          <w:tcPr>
            <w:tcW w:w="697" w:type="pct"/>
            <w:vAlign w:val="center"/>
          </w:tcPr>
          <w:p w14:paraId="7C06761A">
            <w:pPr>
              <w:widowControl/>
              <w:jc w:val="center"/>
              <w:rPr>
                <w:rFonts w:ascii="宋体" w:hAnsi="宋体"/>
                <w:color w:val="auto"/>
              </w:rPr>
            </w:pPr>
            <w:r>
              <w:rPr>
                <w:rFonts w:hint="eastAsia" w:ascii="宋体" w:hAnsi="宋体"/>
                <w:color w:val="auto"/>
              </w:rPr>
              <w:t>191</w:t>
            </w:r>
          </w:p>
        </w:tc>
      </w:tr>
      <w:tr w14:paraId="3F034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vAlign w:val="center"/>
          </w:tcPr>
          <w:p w14:paraId="60B3B0F9">
            <w:pPr>
              <w:widowControl/>
              <w:adjustRightInd w:val="0"/>
              <w:snapToGrid w:val="0"/>
              <w:jc w:val="center"/>
              <w:rPr>
                <w:rFonts w:ascii="宋体" w:hAnsi="宋体"/>
                <w:color w:val="auto"/>
              </w:rPr>
            </w:pPr>
            <w:r>
              <w:rPr>
                <w:rFonts w:hint="eastAsia" w:ascii="宋体" w:hAnsi="宋体"/>
                <w:color w:val="auto"/>
              </w:rPr>
              <w:t>烟气含氧量均值（%）</w:t>
            </w:r>
          </w:p>
        </w:tc>
        <w:tc>
          <w:tcPr>
            <w:tcW w:w="702" w:type="pct"/>
            <w:vAlign w:val="center"/>
          </w:tcPr>
          <w:p w14:paraId="02A9850A">
            <w:pPr>
              <w:widowControl/>
              <w:adjustRightInd w:val="0"/>
              <w:snapToGrid w:val="0"/>
              <w:jc w:val="center"/>
              <w:rPr>
                <w:rFonts w:ascii="宋体" w:hAnsi="宋体"/>
                <w:color w:val="auto"/>
              </w:rPr>
            </w:pPr>
            <w:r>
              <w:rPr>
                <w:rFonts w:hint="eastAsia" w:ascii="宋体" w:hAnsi="宋体"/>
                <w:color w:val="auto"/>
              </w:rPr>
              <w:t>7.6</w:t>
            </w:r>
          </w:p>
        </w:tc>
        <w:tc>
          <w:tcPr>
            <w:tcW w:w="702" w:type="pct"/>
            <w:gridSpan w:val="2"/>
            <w:vAlign w:val="center"/>
          </w:tcPr>
          <w:p w14:paraId="34AC715E">
            <w:pPr>
              <w:widowControl/>
              <w:adjustRightInd w:val="0"/>
              <w:snapToGrid w:val="0"/>
              <w:jc w:val="center"/>
              <w:rPr>
                <w:rFonts w:ascii="宋体" w:hAnsi="宋体"/>
                <w:color w:val="auto"/>
              </w:rPr>
            </w:pPr>
            <w:r>
              <w:rPr>
                <w:rFonts w:hint="eastAsia" w:ascii="宋体" w:hAnsi="宋体"/>
                <w:color w:val="auto"/>
              </w:rPr>
              <w:t>7.8</w:t>
            </w:r>
          </w:p>
        </w:tc>
        <w:tc>
          <w:tcPr>
            <w:tcW w:w="749" w:type="pct"/>
            <w:gridSpan w:val="2"/>
            <w:vAlign w:val="center"/>
          </w:tcPr>
          <w:p w14:paraId="21D64217">
            <w:pPr>
              <w:widowControl/>
              <w:adjustRightInd w:val="0"/>
              <w:snapToGrid w:val="0"/>
              <w:jc w:val="center"/>
              <w:rPr>
                <w:rFonts w:ascii="宋体" w:hAnsi="宋体"/>
                <w:color w:val="auto"/>
              </w:rPr>
            </w:pPr>
            <w:r>
              <w:rPr>
                <w:rFonts w:hint="eastAsia" w:ascii="宋体" w:hAnsi="宋体"/>
                <w:color w:val="auto"/>
              </w:rPr>
              <w:t>7.7</w:t>
            </w:r>
          </w:p>
        </w:tc>
        <w:tc>
          <w:tcPr>
            <w:tcW w:w="702" w:type="pct"/>
            <w:gridSpan w:val="2"/>
            <w:vAlign w:val="center"/>
          </w:tcPr>
          <w:p w14:paraId="52A2C34E">
            <w:pPr>
              <w:widowControl/>
              <w:jc w:val="center"/>
              <w:rPr>
                <w:rFonts w:ascii="宋体" w:hAnsi="宋体"/>
                <w:color w:val="auto"/>
              </w:rPr>
            </w:pPr>
            <w:r>
              <w:rPr>
                <w:rFonts w:hint="eastAsia" w:ascii="宋体" w:hAnsi="宋体"/>
                <w:color w:val="auto"/>
              </w:rPr>
              <w:t>7.5</w:t>
            </w:r>
          </w:p>
        </w:tc>
        <w:tc>
          <w:tcPr>
            <w:tcW w:w="702" w:type="pct"/>
            <w:gridSpan w:val="2"/>
            <w:vAlign w:val="center"/>
          </w:tcPr>
          <w:p w14:paraId="5266E456">
            <w:pPr>
              <w:widowControl/>
              <w:jc w:val="center"/>
              <w:rPr>
                <w:rFonts w:ascii="宋体" w:hAnsi="宋体"/>
                <w:color w:val="auto"/>
              </w:rPr>
            </w:pPr>
            <w:r>
              <w:rPr>
                <w:rFonts w:hint="eastAsia" w:ascii="宋体" w:hAnsi="宋体"/>
                <w:color w:val="auto"/>
              </w:rPr>
              <w:t>7.7</w:t>
            </w:r>
          </w:p>
        </w:tc>
        <w:tc>
          <w:tcPr>
            <w:tcW w:w="697" w:type="pct"/>
            <w:vAlign w:val="center"/>
          </w:tcPr>
          <w:p w14:paraId="4303A792">
            <w:pPr>
              <w:widowControl/>
              <w:jc w:val="center"/>
              <w:rPr>
                <w:rFonts w:ascii="宋体" w:hAnsi="宋体"/>
                <w:color w:val="auto"/>
              </w:rPr>
            </w:pPr>
            <w:r>
              <w:rPr>
                <w:rFonts w:hint="eastAsia" w:ascii="宋体" w:hAnsi="宋体"/>
                <w:color w:val="auto"/>
              </w:rPr>
              <w:t>7.5</w:t>
            </w:r>
          </w:p>
        </w:tc>
      </w:tr>
      <w:tr w14:paraId="7A566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vMerge w:val="restart"/>
            <w:vAlign w:val="center"/>
          </w:tcPr>
          <w:p w14:paraId="09AB3D23">
            <w:pPr>
              <w:widowControl/>
              <w:jc w:val="center"/>
              <w:rPr>
                <w:rFonts w:ascii="宋体" w:hAnsi="宋体"/>
                <w:color w:val="auto"/>
              </w:rPr>
            </w:pPr>
            <w:r>
              <w:rPr>
                <w:rFonts w:ascii="宋体" w:hAnsi="宋体"/>
                <w:color w:val="auto"/>
              </w:rPr>
              <w:t>颗粒物</w:t>
            </w:r>
          </w:p>
        </w:tc>
        <w:tc>
          <w:tcPr>
            <w:tcW w:w="563" w:type="pct"/>
            <w:vAlign w:val="center"/>
          </w:tcPr>
          <w:p w14:paraId="0C3368EB">
            <w:pPr>
              <w:widowControl/>
              <w:adjustRightInd w:val="0"/>
              <w:snapToGrid w:val="0"/>
              <w:jc w:val="center"/>
              <w:rPr>
                <w:rFonts w:ascii="宋体" w:hAnsi="宋体"/>
                <w:color w:val="auto"/>
              </w:rPr>
            </w:pPr>
            <w:r>
              <w:rPr>
                <w:rFonts w:ascii="宋体" w:hAnsi="宋体"/>
                <w:color w:val="auto"/>
              </w:rPr>
              <w:t>实测排放浓度（mg/m</w:t>
            </w:r>
            <w:r>
              <w:rPr>
                <w:rFonts w:ascii="宋体" w:hAnsi="宋体"/>
                <w:color w:val="auto"/>
                <w:vertAlign w:val="superscript"/>
              </w:rPr>
              <w:t>3</w:t>
            </w:r>
            <w:r>
              <w:rPr>
                <w:rFonts w:ascii="宋体" w:hAnsi="宋体"/>
                <w:color w:val="auto"/>
              </w:rPr>
              <w:t>）</w:t>
            </w:r>
          </w:p>
        </w:tc>
        <w:tc>
          <w:tcPr>
            <w:tcW w:w="702" w:type="pct"/>
            <w:vAlign w:val="center"/>
          </w:tcPr>
          <w:p w14:paraId="556D2252">
            <w:pPr>
              <w:widowControl/>
              <w:adjustRightInd w:val="0"/>
              <w:snapToGrid w:val="0"/>
              <w:jc w:val="center"/>
              <w:rPr>
                <w:rFonts w:ascii="宋体" w:hAnsi="宋体"/>
                <w:color w:val="auto"/>
              </w:rPr>
            </w:pPr>
            <w:r>
              <w:rPr>
                <w:rFonts w:hint="eastAsia" w:ascii="宋体" w:hAnsi="宋体"/>
                <w:color w:val="auto"/>
              </w:rPr>
              <w:t>1.5</w:t>
            </w:r>
          </w:p>
        </w:tc>
        <w:tc>
          <w:tcPr>
            <w:tcW w:w="702" w:type="pct"/>
            <w:gridSpan w:val="2"/>
            <w:vAlign w:val="center"/>
          </w:tcPr>
          <w:p w14:paraId="4C896BC1">
            <w:pPr>
              <w:widowControl/>
              <w:adjustRightInd w:val="0"/>
              <w:snapToGrid w:val="0"/>
              <w:jc w:val="center"/>
              <w:rPr>
                <w:rFonts w:ascii="宋体" w:hAnsi="宋体"/>
                <w:color w:val="auto"/>
              </w:rPr>
            </w:pPr>
            <w:r>
              <w:rPr>
                <w:rFonts w:hint="eastAsia" w:ascii="宋体" w:hAnsi="宋体"/>
                <w:color w:val="auto"/>
              </w:rPr>
              <w:t>1.6</w:t>
            </w:r>
          </w:p>
        </w:tc>
        <w:tc>
          <w:tcPr>
            <w:tcW w:w="749" w:type="pct"/>
            <w:gridSpan w:val="2"/>
            <w:vAlign w:val="center"/>
          </w:tcPr>
          <w:p w14:paraId="03482DE3">
            <w:pPr>
              <w:widowControl/>
              <w:jc w:val="center"/>
              <w:rPr>
                <w:rFonts w:ascii="宋体" w:hAnsi="宋体"/>
                <w:color w:val="auto"/>
              </w:rPr>
            </w:pPr>
            <w:r>
              <w:rPr>
                <w:rFonts w:hint="eastAsia" w:ascii="宋体" w:hAnsi="宋体"/>
                <w:color w:val="auto"/>
              </w:rPr>
              <w:t>1.6</w:t>
            </w:r>
          </w:p>
        </w:tc>
        <w:tc>
          <w:tcPr>
            <w:tcW w:w="702" w:type="pct"/>
            <w:gridSpan w:val="2"/>
            <w:vAlign w:val="center"/>
          </w:tcPr>
          <w:p w14:paraId="1098C980">
            <w:pPr>
              <w:widowControl/>
              <w:adjustRightInd w:val="0"/>
              <w:snapToGrid w:val="0"/>
              <w:jc w:val="center"/>
              <w:rPr>
                <w:rFonts w:ascii="宋体" w:hAnsi="宋体"/>
                <w:color w:val="auto"/>
              </w:rPr>
            </w:pPr>
            <w:r>
              <w:rPr>
                <w:rFonts w:hint="eastAsia" w:ascii="宋体" w:hAnsi="宋体"/>
                <w:color w:val="auto"/>
              </w:rPr>
              <w:t>1.6</w:t>
            </w:r>
          </w:p>
        </w:tc>
        <w:tc>
          <w:tcPr>
            <w:tcW w:w="702" w:type="pct"/>
            <w:gridSpan w:val="2"/>
            <w:vAlign w:val="center"/>
          </w:tcPr>
          <w:p w14:paraId="66B39C03">
            <w:pPr>
              <w:widowControl/>
              <w:adjustRightInd w:val="0"/>
              <w:snapToGrid w:val="0"/>
              <w:jc w:val="center"/>
              <w:rPr>
                <w:rFonts w:ascii="宋体" w:hAnsi="宋体"/>
                <w:color w:val="auto"/>
              </w:rPr>
            </w:pPr>
            <w:r>
              <w:rPr>
                <w:rFonts w:hint="eastAsia" w:ascii="宋体" w:hAnsi="宋体"/>
                <w:color w:val="auto"/>
              </w:rPr>
              <w:t>1.6</w:t>
            </w:r>
          </w:p>
        </w:tc>
        <w:tc>
          <w:tcPr>
            <w:tcW w:w="697" w:type="pct"/>
            <w:vAlign w:val="center"/>
          </w:tcPr>
          <w:p w14:paraId="72F1DCF4">
            <w:pPr>
              <w:widowControl/>
              <w:adjustRightInd w:val="0"/>
              <w:snapToGrid w:val="0"/>
              <w:jc w:val="center"/>
              <w:rPr>
                <w:rFonts w:ascii="宋体" w:hAnsi="宋体"/>
                <w:color w:val="auto"/>
              </w:rPr>
            </w:pPr>
            <w:r>
              <w:rPr>
                <w:rFonts w:hint="eastAsia" w:ascii="宋体" w:hAnsi="宋体"/>
                <w:color w:val="auto"/>
              </w:rPr>
              <w:t>1.7</w:t>
            </w:r>
          </w:p>
        </w:tc>
      </w:tr>
      <w:tr w14:paraId="33871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vMerge w:val="continue"/>
            <w:vAlign w:val="center"/>
          </w:tcPr>
          <w:p w14:paraId="7504DB8D">
            <w:pPr>
              <w:widowControl/>
              <w:jc w:val="center"/>
              <w:rPr>
                <w:rFonts w:ascii="宋体" w:hAnsi="宋体"/>
                <w:color w:val="auto"/>
              </w:rPr>
            </w:pPr>
          </w:p>
        </w:tc>
        <w:tc>
          <w:tcPr>
            <w:tcW w:w="563" w:type="pct"/>
            <w:vAlign w:val="center"/>
          </w:tcPr>
          <w:p w14:paraId="5A5A0D6F">
            <w:pPr>
              <w:widowControl/>
              <w:adjustRightInd w:val="0"/>
              <w:snapToGrid w:val="0"/>
              <w:jc w:val="center"/>
              <w:rPr>
                <w:rFonts w:ascii="宋体" w:hAnsi="宋体"/>
                <w:color w:val="auto"/>
              </w:rPr>
            </w:pPr>
            <w:r>
              <w:rPr>
                <w:rFonts w:ascii="宋体" w:hAnsi="宋体"/>
                <w:color w:val="auto"/>
              </w:rPr>
              <w:t>折算排放浓度（mg/m</w:t>
            </w:r>
            <w:r>
              <w:rPr>
                <w:rFonts w:ascii="宋体" w:hAnsi="宋体"/>
                <w:color w:val="auto"/>
                <w:vertAlign w:val="superscript"/>
              </w:rPr>
              <w:t>3</w:t>
            </w:r>
            <w:r>
              <w:rPr>
                <w:rFonts w:ascii="宋体" w:hAnsi="宋体"/>
                <w:color w:val="auto"/>
              </w:rPr>
              <w:t>）</w:t>
            </w:r>
          </w:p>
        </w:tc>
        <w:tc>
          <w:tcPr>
            <w:tcW w:w="702" w:type="pct"/>
            <w:vAlign w:val="center"/>
          </w:tcPr>
          <w:p w14:paraId="65392D69">
            <w:pPr>
              <w:widowControl/>
              <w:adjustRightInd w:val="0"/>
              <w:snapToGrid w:val="0"/>
              <w:jc w:val="center"/>
              <w:rPr>
                <w:rFonts w:ascii="宋体" w:hAnsi="宋体"/>
                <w:color w:val="auto"/>
              </w:rPr>
            </w:pPr>
            <w:r>
              <w:rPr>
                <w:rFonts w:hint="eastAsia" w:ascii="宋体" w:hAnsi="宋体"/>
                <w:color w:val="auto"/>
              </w:rPr>
              <w:t>2.0</w:t>
            </w:r>
          </w:p>
        </w:tc>
        <w:tc>
          <w:tcPr>
            <w:tcW w:w="702" w:type="pct"/>
            <w:gridSpan w:val="2"/>
            <w:vAlign w:val="center"/>
          </w:tcPr>
          <w:p w14:paraId="292AFA71">
            <w:pPr>
              <w:adjustRightInd w:val="0"/>
              <w:snapToGrid w:val="0"/>
              <w:jc w:val="center"/>
              <w:rPr>
                <w:rFonts w:ascii="宋体" w:hAnsi="宋体"/>
                <w:color w:val="auto"/>
              </w:rPr>
            </w:pPr>
            <w:r>
              <w:rPr>
                <w:rFonts w:hint="eastAsia" w:ascii="宋体" w:hAnsi="宋体"/>
                <w:color w:val="auto"/>
              </w:rPr>
              <w:t>2.1</w:t>
            </w:r>
          </w:p>
        </w:tc>
        <w:tc>
          <w:tcPr>
            <w:tcW w:w="749" w:type="pct"/>
            <w:gridSpan w:val="2"/>
            <w:vAlign w:val="center"/>
          </w:tcPr>
          <w:p w14:paraId="017E9B56">
            <w:pPr>
              <w:adjustRightInd w:val="0"/>
              <w:snapToGrid w:val="0"/>
              <w:jc w:val="center"/>
              <w:rPr>
                <w:rFonts w:ascii="宋体" w:hAnsi="宋体"/>
                <w:color w:val="auto"/>
              </w:rPr>
            </w:pPr>
            <w:r>
              <w:rPr>
                <w:rFonts w:hint="eastAsia" w:ascii="宋体" w:hAnsi="宋体"/>
                <w:color w:val="auto"/>
              </w:rPr>
              <w:t>2.1</w:t>
            </w:r>
          </w:p>
        </w:tc>
        <w:tc>
          <w:tcPr>
            <w:tcW w:w="702" w:type="pct"/>
            <w:gridSpan w:val="2"/>
            <w:vAlign w:val="center"/>
          </w:tcPr>
          <w:p w14:paraId="2CAF24BB">
            <w:pPr>
              <w:adjustRightInd w:val="0"/>
              <w:snapToGrid w:val="0"/>
              <w:jc w:val="center"/>
              <w:rPr>
                <w:rFonts w:ascii="宋体" w:hAnsi="宋体"/>
                <w:color w:val="auto"/>
              </w:rPr>
            </w:pPr>
            <w:r>
              <w:rPr>
                <w:rFonts w:hint="eastAsia" w:ascii="宋体" w:hAnsi="宋体"/>
                <w:color w:val="auto"/>
              </w:rPr>
              <w:t>2.1</w:t>
            </w:r>
          </w:p>
        </w:tc>
        <w:tc>
          <w:tcPr>
            <w:tcW w:w="702" w:type="pct"/>
            <w:gridSpan w:val="2"/>
            <w:vAlign w:val="center"/>
          </w:tcPr>
          <w:p w14:paraId="743504AE">
            <w:pPr>
              <w:adjustRightInd w:val="0"/>
              <w:snapToGrid w:val="0"/>
              <w:jc w:val="center"/>
              <w:rPr>
                <w:rFonts w:ascii="宋体" w:hAnsi="宋体"/>
                <w:color w:val="auto"/>
              </w:rPr>
            </w:pPr>
            <w:r>
              <w:rPr>
                <w:rFonts w:hint="eastAsia" w:ascii="宋体" w:hAnsi="宋体"/>
                <w:color w:val="auto"/>
              </w:rPr>
              <w:t>2.1</w:t>
            </w:r>
          </w:p>
        </w:tc>
        <w:tc>
          <w:tcPr>
            <w:tcW w:w="697" w:type="pct"/>
            <w:vAlign w:val="center"/>
          </w:tcPr>
          <w:p w14:paraId="128A6C21">
            <w:pPr>
              <w:adjustRightInd w:val="0"/>
              <w:snapToGrid w:val="0"/>
              <w:jc w:val="center"/>
              <w:rPr>
                <w:rFonts w:ascii="宋体" w:hAnsi="宋体"/>
                <w:color w:val="auto"/>
              </w:rPr>
            </w:pPr>
            <w:r>
              <w:rPr>
                <w:rFonts w:hint="eastAsia" w:ascii="宋体" w:hAnsi="宋体"/>
                <w:color w:val="auto"/>
              </w:rPr>
              <w:t>2.2</w:t>
            </w:r>
          </w:p>
        </w:tc>
      </w:tr>
      <w:tr w14:paraId="66370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vMerge w:val="continue"/>
            <w:vAlign w:val="center"/>
          </w:tcPr>
          <w:p w14:paraId="67C69EE9">
            <w:pPr>
              <w:widowControl/>
              <w:jc w:val="center"/>
              <w:rPr>
                <w:rFonts w:ascii="宋体" w:hAnsi="宋体"/>
                <w:color w:val="auto"/>
              </w:rPr>
            </w:pPr>
          </w:p>
        </w:tc>
        <w:tc>
          <w:tcPr>
            <w:tcW w:w="563" w:type="pct"/>
            <w:vAlign w:val="center"/>
          </w:tcPr>
          <w:p w14:paraId="07D82BB5">
            <w:pPr>
              <w:widowControl/>
              <w:adjustRightInd w:val="0"/>
              <w:snapToGrid w:val="0"/>
              <w:jc w:val="center"/>
              <w:rPr>
                <w:rFonts w:ascii="宋体" w:hAnsi="宋体"/>
                <w:color w:val="auto"/>
              </w:rPr>
            </w:pPr>
            <w:r>
              <w:rPr>
                <w:rFonts w:hint="eastAsia" w:ascii="宋体" w:hAnsi="宋体"/>
                <w:color w:val="auto"/>
              </w:rPr>
              <w:t>排放速率</w:t>
            </w:r>
            <w:r>
              <w:rPr>
                <w:rFonts w:ascii="宋体" w:hAnsi="宋体"/>
                <w:color w:val="auto"/>
              </w:rPr>
              <w:t>（</w:t>
            </w:r>
            <w:r>
              <w:rPr>
                <w:rFonts w:hint="eastAsia" w:ascii="宋体" w:hAnsi="宋体"/>
                <w:color w:val="auto"/>
              </w:rPr>
              <w:t>kg</w:t>
            </w:r>
            <w:r>
              <w:rPr>
                <w:rFonts w:ascii="宋体" w:hAnsi="宋体"/>
                <w:color w:val="auto"/>
              </w:rPr>
              <w:t>/h）</w:t>
            </w:r>
          </w:p>
        </w:tc>
        <w:tc>
          <w:tcPr>
            <w:tcW w:w="702" w:type="pct"/>
            <w:vAlign w:val="center"/>
          </w:tcPr>
          <w:p w14:paraId="75B8C4C1">
            <w:pPr>
              <w:adjustRightInd w:val="0"/>
              <w:snapToGrid w:val="0"/>
              <w:jc w:val="center"/>
              <w:rPr>
                <w:rFonts w:ascii="宋体" w:hAnsi="宋体"/>
                <w:color w:val="auto"/>
              </w:rPr>
            </w:pPr>
            <w:r>
              <w:rPr>
                <w:rFonts w:hint="eastAsia" w:ascii="宋体" w:hAnsi="宋体"/>
                <w:color w:val="auto"/>
              </w:rPr>
              <w:t>3.30</w:t>
            </w:r>
            <w:bookmarkStart w:id="417" w:name="OLE_LINK140"/>
            <w:r>
              <w:rPr>
                <w:rFonts w:hint="eastAsia" w:ascii="宋体" w:hAnsi="宋体"/>
                <w:color w:val="auto"/>
              </w:rPr>
              <w:t>×</w:t>
            </w:r>
            <w:r>
              <w:rPr>
                <w:rFonts w:ascii="宋体" w:hAnsi="宋体"/>
                <w:color w:val="auto"/>
                <w:kern w:val="0"/>
              </w:rPr>
              <w:t>10</w:t>
            </w:r>
            <w:r>
              <w:rPr>
                <w:rFonts w:hint="eastAsia" w:ascii="宋体" w:hAnsi="宋体"/>
                <w:color w:val="auto"/>
                <w:kern w:val="0"/>
                <w:vertAlign w:val="superscript"/>
              </w:rPr>
              <w:t>-4</w:t>
            </w:r>
            <w:bookmarkEnd w:id="417"/>
          </w:p>
        </w:tc>
        <w:tc>
          <w:tcPr>
            <w:tcW w:w="702" w:type="pct"/>
            <w:gridSpan w:val="2"/>
            <w:vAlign w:val="center"/>
          </w:tcPr>
          <w:p w14:paraId="73D21E5E">
            <w:pPr>
              <w:jc w:val="center"/>
              <w:rPr>
                <w:rFonts w:ascii="宋体" w:hAnsi="宋体"/>
                <w:color w:val="auto"/>
              </w:rPr>
            </w:pPr>
            <w:r>
              <w:rPr>
                <w:rFonts w:ascii="宋体" w:hAnsi="宋体"/>
                <w:color w:val="auto"/>
                <w:kern w:val="0"/>
              </w:rPr>
              <w:t>3.63</w:t>
            </w:r>
            <w:r>
              <w:rPr>
                <w:rFonts w:hint="eastAsia" w:ascii="宋体" w:hAnsi="宋体"/>
                <w:color w:val="auto"/>
              </w:rPr>
              <w:t>×</w:t>
            </w:r>
            <w:r>
              <w:rPr>
                <w:rFonts w:ascii="宋体" w:hAnsi="宋体"/>
                <w:color w:val="auto"/>
                <w:kern w:val="0"/>
              </w:rPr>
              <w:t>10</w:t>
            </w:r>
            <w:r>
              <w:rPr>
                <w:rFonts w:hint="eastAsia" w:ascii="宋体" w:hAnsi="宋体"/>
                <w:color w:val="auto"/>
                <w:kern w:val="0"/>
                <w:vertAlign w:val="superscript"/>
              </w:rPr>
              <w:t>-4</w:t>
            </w:r>
          </w:p>
        </w:tc>
        <w:tc>
          <w:tcPr>
            <w:tcW w:w="749" w:type="pct"/>
            <w:gridSpan w:val="2"/>
            <w:vAlign w:val="center"/>
          </w:tcPr>
          <w:p w14:paraId="483CE866">
            <w:pPr>
              <w:jc w:val="center"/>
              <w:rPr>
                <w:rFonts w:ascii="宋体" w:hAnsi="宋体"/>
                <w:color w:val="auto"/>
              </w:rPr>
            </w:pPr>
            <w:r>
              <w:rPr>
                <w:rFonts w:hint="eastAsia" w:ascii="宋体" w:hAnsi="宋体"/>
                <w:color w:val="auto"/>
                <w:kern w:val="0"/>
              </w:rPr>
              <w:t>3.41</w:t>
            </w:r>
            <w:r>
              <w:rPr>
                <w:rFonts w:hint="eastAsia" w:ascii="宋体" w:hAnsi="宋体"/>
                <w:color w:val="auto"/>
              </w:rPr>
              <w:t>×</w:t>
            </w:r>
            <w:r>
              <w:rPr>
                <w:rFonts w:ascii="宋体" w:hAnsi="宋体"/>
                <w:color w:val="auto"/>
                <w:kern w:val="0"/>
              </w:rPr>
              <w:t>10</w:t>
            </w:r>
            <w:r>
              <w:rPr>
                <w:rFonts w:hint="eastAsia" w:ascii="宋体" w:hAnsi="宋体"/>
                <w:color w:val="auto"/>
                <w:kern w:val="0"/>
                <w:vertAlign w:val="superscript"/>
              </w:rPr>
              <w:t>-4</w:t>
            </w:r>
          </w:p>
        </w:tc>
        <w:tc>
          <w:tcPr>
            <w:tcW w:w="702" w:type="pct"/>
            <w:gridSpan w:val="2"/>
            <w:vAlign w:val="center"/>
          </w:tcPr>
          <w:p w14:paraId="7399ADA1">
            <w:pPr>
              <w:jc w:val="center"/>
              <w:rPr>
                <w:rFonts w:ascii="宋体" w:hAnsi="宋体"/>
                <w:color w:val="auto"/>
              </w:rPr>
            </w:pPr>
            <w:r>
              <w:rPr>
                <w:rFonts w:hint="eastAsia" w:ascii="宋体" w:hAnsi="宋体"/>
                <w:color w:val="auto"/>
              </w:rPr>
              <w:t>3.06×</w:t>
            </w:r>
            <w:r>
              <w:rPr>
                <w:rFonts w:ascii="宋体" w:hAnsi="宋体"/>
                <w:color w:val="auto"/>
                <w:kern w:val="0"/>
              </w:rPr>
              <w:t>10</w:t>
            </w:r>
            <w:r>
              <w:rPr>
                <w:rFonts w:hint="eastAsia" w:ascii="宋体" w:hAnsi="宋体"/>
                <w:color w:val="auto"/>
                <w:kern w:val="0"/>
                <w:vertAlign w:val="superscript"/>
              </w:rPr>
              <w:t>-4</w:t>
            </w:r>
          </w:p>
        </w:tc>
        <w:tc>
          <w:tcPr>
            <w:tcW w:w="702" w:type="pct"/>
            <w:gridSpan w:val="2"/>
            <w:vAlign w:val="center"/>
          </w:tcPr>
          <w:p w14:paraId="739AC291">
            <w:pPr>
              <w:jc w:val="center"/>
              <w:rPr>
                <w:rFonts w:ascii="宋体" w:hAnsi="宋体"/>
                <w:color w:val="auto"/>
              </w:rPr>
            </w:pPr>
            <w:r>
              <w:rPr>
                <w:rFonts w:hint="eastAsia" w:ascii="宋体" w:hAnsi="宋体"/>
                <w:color w:val="auto"/>
              </w:rPr>
              <w:t>2.93×</w:t>
            </w:r>
            <w:r>
              <w:rPr>
                <w:rFonts w:ascii="宋体" w:hAnsi="宋体"/>
                <w:color w:val="auto"/>
                <w:kern w:val="0"/>
              </w:rPr>
              <w:t>10</w:t>
            </w:r>
            <w:r>
              <w:rPr>
                <w:rFonts w:hint="eastAsia" w:ascii="宋体" w:hAnsi="宋体"/>
                <w:color w:val="auto"/>
                <w:kern w:val="0"/>
                <w:vertAlign w:val="superscript"/>
              </w:rPr>
              <w:t>-4</w:t>
            </w:r>
          </w:p>
        </w:tc>
        <w:tc>
          <w:tcPr>
            <w:tcW w:w="697" w:type="pct"/>
            <w:vAlign w:val="center"/>
          </w:tcPr>
          <w:p w14:paraId="60710380">
            <w:pPr>
              <w:jc w:val="center"/>
              <w:rPr>
                <w:rFonts w:ascii="宋体" w:hAnsi="宋体"/>
                <w:color w:val="auto"/>
              </w:rPr>
            </w:pPr>
            <w:r>
              <w:rPr>
                <w:rFonts w:hint="eastAsia" w:ascii="宋体" w:hAnsi="宋体"/>
                <w:color w:val="auto"/>
              </w:rPr>
              <w:t>3.25×</w:t>
            </w:r>
            <w:r>
              <w:rPr>
                <w:rFonts w:ascii="宋体" w:hAnsi="宋体"/>
                <w:color w:val="auto"/>
                <w:kern w:val="0"/>
              </w:rPr>
              <w:t>10</w:t>
            </w:r>
            <w:r>
              <w:rPr>
                <w:rFonts w:hint="eastAsia" w:ascii="宋体" w:hAnsi="宋体"/>
                <w:color w:val="auto"/>
                <w:kern w:val="0"/>
                <w:vertAlign w:val="superscript"/>
              </w:rPr>
              <w:t>-4</w:t>
            </w:r>
          </w:p>
        </w:tc>
      </w:tr>
      <w:tr w14:paraId="3DAC0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vAlign w:val="center"/>
          </w:tcPr>
          <w:p w14:paraId="12229E0E">
            <w:pPr>
              <w:widowControl/>
              <w:adjustRightInd w:val="0"/>
              <w:snapToGrid w:val="0"/>
              <w:jc w:val="center"/>
              <w:rPr>
                <w:rFonts w:ascii="宋体" w:hAnsi="宋体"/>
                <w:color w:val="auto"/>
              </w:rPr>
            </w:pPr>
            <w:r>
              <w:rPr>
                <w:rFonts w:hint="eastAsia" w:ascii="宋体" w:hAnsi="宋体"/>
                <w:color w:val="auto"/>
              </w:rPr>
              <w:t>烟气黑度（林格曼级）</w:t>
            </w:r>
          </w:p>
        </w:tc>
        <w:tc>
          <w:tcPr>
            <w:tcW w:w="702" w:type="pct"/>
            <w:vAlign w:val="center"/>
          </w:tcPr>
          <w:p w14:paraId="20740CF8">
            <w:pPr>
              <w:widowControl/>
              <w:adjustRightInd w:val="0"/>
              <w:snapToGrid w:val="0"/>
              <w:jc w:val="center"/>
              <w:rPr>
                <w:rFonts w:ascii="宋体" w:hAnsi="宋体"/>
                <w:color w:val="auto"/>
              </w:rPr>
            </w:pPr>
            <w:r>
              <w:rPr>
                <w:rFonts w:hint="eastAsia" w:ascii="宋体" w:hAnsi="宋体"/>
                <w:color w:val="auto"/>
                <w:szCs w:val="22"/>
              </w:rPr>
              <w:t>＜1</w:t>
            </w:r>
          </w:p>
        </w:tc>
        <w:tc>
          <w:tcPr>
            <w:tcW w:w="702" w:type="pct"/>
            <w:gridSpan w:val="2"/>
            <w:vAlign w:val="center"/>
          </w:tcPr>
          <w:p w14:paraId="1FC986FF">
            <w:pPr>
              <w:jc w:val="center"/>
              <w:rPr>
                <w:rFonts w:ascii="宋体" w:hAnsi="宋体"/>
                <w:color w:val="auto"/>
                <w:kern w:val="0"/>
                <w:szCs w:val="22"/>
              </w:rPr>
            </w:pPr>
            <w:r>
              <w:rPr>
                <w:rFonts w:hint="eastAsia" w:ascii="宋体" w:hAnsi="宋体"/>
                <w:color w:val="auto"/>
                <w:szCs w:val="22"/>
              </w:rPr>
              <w:t>＜1</w:t>
            </w:r>
          </w:p>
        </w:tc>
        <w:tc>
          <w:tcPr>
            <w:tcW w:w="749" w:type="pct"/>
            <w:gridSpan w:val="2"/>
            <w:vAlign w:val="center"/>
          </w:tcPr>
          <w:p w14:paraId="66144EEC">
            <w:pPr>
              <w:widowControl/>
              <w:adjustRightInd w:val="0"/>
              <w:snapToGrid w:val="0"/>
              <w:jc w:val="center"/>
              <w:rPr>
                <w:rFonts w:ascii="宋体" w:hAnsi="宋体"/>
                <w:color w:val="auto"/>
              </w:rPr>
            </w:pPr>
            <w:r>
              <w:rPr>
                <w:rFonts w:hint="eastAsia" w:ascii="宋体" w:hAnsi="宋体"/>
                <w:color w:val="auto"/>
                <w:szCs w:val="22"/>
              </w:rPr>
              <w:t>＜1</w:t>
            </w:r>
          </w:p>
        </w:tc>
        <w:tc>
          <w:tcPr>
            <w:tcW w:w="702" w:type="pct"/>
            <w:gridSpan w:val="2"/>
            <w:vAlign w:val="center"/>
          </w:tcPr>
          <w:p w14:paraId="0EF3DDCA">
            <w:pPr>
              <w:jc w:val="center"/>
              <w:rPr>
                <w:rFonts w:ascii="宋体" w:hAnsi="宋体"/>
                <w:color w:val="auto"/>
                <w:kern w:val="0"/>
                <w:szCs w:val="22"/>
              </w:rPr>
            </w:pPr>
            <w:r>
              <w:rPr>
                <w:rFonts w:hint="eastAsia" w:ascii="宋体" w:hAnsi="宋体"/>
                <w:color w:val="auto"/>
                <w:szCs w:val="22"/>
              </w:rPr>
              <w:t>＜1</w:t>
            </w:r>
          </w:p>
        </w:tc>
        <w:tc>
          <w:tcPr>
            <w:tcW w:w="702" w:type="pct"/>
            <w:gridSpan w:val="2"/>
            <w:vAlign w:val="center"/>
          </w:tcPr>
          <w:p w14:paraId="74BA78CF">
            <w:pPr>
              <w:widowControl/>
              <w:adjustRightInd w:val="0"/>
              <w:snapToGrid w:val="0"/>
              <w:jc w:val="center"/>
              <w:rPr>
                <w:rFonts w:ascii="宋体" w:hAnsi="宋体"/>
                <w:color w:val="auto"/>
              </w:rPr>
            </w:pPr>
            <w:r>
              <w:rPr>
                <w:rFonts w:hint="eastAsia" w:ascii="宋体" w:hAnsi="宋体"/>
                <w:color w:val="auto"/>
                <w:szCs w:val="22"/>
              </w:rPr>
              <w:t>＜1</w:t>
            </w:r>
          </w:p>
        </w:tc>
        <w:tc>
          <w:tcPr>
            <w:tcW w:w="697" w:type="pct"/>
            <w:vAlign w:val="center"/>
          </w:tcPr>
          <w:p w14:paraId="0039482D">
            <w:pPr>
              <w:jc w:val="center"/>
              <w:rPr>
                <w:rFonts w:ascii="宋体" w:hAnsi="宋体"/>
                <w:color w:val="auto"/>
                <w:kern w:val="0"/>
                <w:szCs w:val="22"/>
              </w:rPr>
            </w:pPr>
            <w:r>
              <w:rPr>
                <w:rFonts w:hint="eastAsia" w:ascii="宋体" w:hAnsi="宋体"/>
                <w:color w:val="auto"/>
                <w:szCs w:val="22"/>
              </w:rPr>
              <w:t>＜1</w:t>
            </w:r>
          </w:p>
        </w:tc>
      </w:tr>
      <w:tr w14:paraId="6B210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2"/>
            <w:vAlign w:val="center"/>
          </w:tcPr>
          <w:p w14:paraId="177715E0">
            <w:pPr>
              <w:widowControl/>
              <w:jc w:val="center"/>
              <w:rPr>
                <w:rFonts w:ascii="宋体" w:hAnsi="宋体"/>
                <w:color w:val="auto"/>
              </w:rPr>
            </w:pPr>
            <w:r>
              <w:rPr>
                <w:rFonts w:hint="eastAsia" w:ascii="宋体" w:hAnsi="宋体"/>
                <w:color w:val="auto"/>
              </w:rPr>
              <w:t>备注：1、</w:t>
            </w:r>
            <w:r>
              <w:rPr>
                <w:rFonts w:ascii="宋体" w:hAnsi="宋体"/>
                <w:color w:val="auto"/>
              </w:rPr>
              <w:t>折算排放浓度=实测排放浓度×（21%-基准氧含量）/（21%-实测氧含量）</w:t>
            </w:r>
            <w:r>
              <w:rPr>
                <w:rFonts w:hint="eastAsia" w:ascii="宋体" w:hAnsi="宋体"/>
                <w:color w:val="auto"/>
              </w:rPr>
              <w:t>，</w:t>
            </w:r>
            <w:r>
              <w:rPr>
                <w:rFonts w:ascii="宋体" w:hAnsi="宋体"/>
                <w:color w:val="auto"/>
              </w:rPr>
              <w:t>其中，基准氧含量取3.5%。</w:t>
            </w:r>
          </w:p>
          <w:p w14:paraId="7F4D0D9C">
            <w:pPr>
              <w:widowControl/>
              <w:jc w:val="center"/>
              <w:rPr>
                <w:rFonts w:ascii="宋体" w:hAnsi="宋体"/>
                <w:color w:val="auto"/>
              </w:rPr>
            </w:pPr>
            <w:r>
              <w:rPr>
                <w:rFonts w:hint="eastAsia" w:ascii="宋体" w:hAnsi="宋体"/>
                <w:color w:val="auto"/>
              </w:rPr>
              <w:t>2、</w:t>
            </w:r>
            <w:r>
              <w:rPr>
                <w:rFonts w:ascii="宋体" w:hAnsi="宋体"/>
                <w:color w:val="auto"/>
              </w:rPr>
              <w:t>颗粒物折算时</w:t>
            </w:r>
            <w:r>
              <w:rPr>
                <w:rFonts w:hint="eastAsia" w:ascii="宋体" w:hAnsi="宋体"/>
                <w:color w:val="auto"/>
              </w:rPr>
              <w:t>的实测氧含量</w:t>
            </w:r>
            <w:r>
              <w:rPr>
                <w:rFonts w:ascii="宋体" w:hAnsi="宋体"/>
                <w:color w:val="auto"/>
              </w:rPr>
              <w:t>按照</w:t>
            </w:r>
            <w:r>
              <w:rPr>
                <w:rFonts w:hint="eastAsia" w:ascii="宋体" w:hAnsi="宋体"/>
                <w:color w:val="auto"/>
              </w:rPr>
              <w:t>烟气1小时</w:t>
            </w:r>
            <w:r>
              <w:rPr>
                <w:rFonts w:ascii="宋体" w:hAnsi="宋体"/>
                <w:color w:val="auto"/>
              </w:rPr>
              <w:t>平均含氧量计算</w:t>
            </w:r>
            <w:r>
              <w:rPr>
                <w:rFonts w:hint="eastAsia" w:ascii="宋体" w:hAnsi="宋体"/>
                <w:color w:val="auto"/>
              </w:rPr>
              <w:t>；</w:t>
            </w:r>
          </w:p>
          <w:p w14:paraId="31116723">
            <w:pPr>
              <w:pStyle w:val="19"/>
              <w:jc w:val="center"/>
              <w:rPr>
                <w:rFonts w:ascii="宋体" w:hAnsi="宋体"/>
                <w:color w:val="auto"/>
              </w:rPr>
            </w:pPr>
            <w:r>
              <w:rPr>
                <w:rFonts w:hint="eastAsia" w:ascii="宋体" w:hAnsi="宋体"/>
                <w:color w:val="auto"/>
              </w:rPr>
              <w:t>3、排放速率</w:t>
            </w:r>
            <w:r>
              <w:rPr>
                <w:rFonts w:ascii="宋体" w:hAnsi="宋体"/>
                <w:color w:val="auto"/>
              </w:rPr>
              <w:t>（</w:t>
            </w:r>
            <w:r>
              <w:rPr>
                <w:rFonts w:hint="eastAsia" w:ascii="宋体" w:hAnsi="宋体"/>
                <w:color w:val="auto"/>
              </w:rPr>
              <w:t>k</w:t>
            </w:r>
            <w:r>
              <w:rPr>
                <w:rFonts w:ascii="宋体" w:hAnsi="宋体"/>
                <w:color w:val="auto"/>
              </w:rPr>
              <w:t>g/</w:t>
            </w:r>
            <w:r>
              <w:rPr>
                <w:rFonts w:hint="eastAsia" w:ascii="宋体" w:hAnsi="宋体"/>
                <w:color w:val="auto"/>
              </w:rPr>
              <w:t>h</w:t>
            </w:r>
            <w:r>
              <w:rPr>
                <w:rFonts w:ascii="宋体" w:hAnsi="宋体"/>
                <w:color w:val="auto"/>
              </w:rPr>
              <w:t>）</w:t>
            </w:r>
            <w:r>
              <w:rPr>
                <w:rFonts w:hint="eastAsia" w:ascii="宋体" w:hAnsi="宋体"/>
                <w:color w:val="auto"/>
              </w:rPr>
              <w:t>=实测排放浓度</w:t>
            </w:r>
            <w:r>
              <w:rPr>
                <w:rFonts w:ascii="宋体" w:hAnsi="宋体"/>
                <w:color w:val="auto"/>
              </w:rPr>
              <w:t>（mg/m</w:t>
            </w:r>
            <w:r>
              <w:rPr>
                <w:rFonts w:ascii="宋体" w:hAnsi="宋体"/>
                <w:color w:val="auto"/>
                <w:vertAlign w:val="superscript"/>
              </w:rPr>
              <w:t>3</w:t>
            </w:r>
            <w:r>
              <w:rPr>
                <w:rFonts w:ascii="宋体" w:hAnsi="宋体"/>
                <w:color w:val="auto"/>
              </w:rPr>
              <w:t>）×</w:t>
            </w:r>
            <w:r>
              <w:rPr>
                <w:rFonts w:hint="eastAsia" w:ascii="宋体" w:hAnsi="宋体"/>
                <w:color w:val="auto"/>
              </w:rPr>
              <w:t>标杆流量</w:t>
            </w:r>
            <w:r>
              <w:rPr>
                <w:rFonts w:ascii="宋体" w:hAnsi="宋体"/>
                <w:color w:val="auto"/>
              </w:rPr>
              <w:t>（m</w:t>
            </w:r>
            <w:r>
              <w:rPr>
                <w:rFonts w:ascii="宋体" w:hAnsi="宋体"/>
                <w:color w:val="auto"/>
                <w:vertAlign w:val="superscript"/>
              </w:rPr>
              <w:t>3</w:t>
            </w:r>
            <w:r>
              <w:rPr>
                <w:rFonts w:ascii="宋体" w:hAnsi="宋体"/>
                <w:color w:val="auto"/>
              </w:rPr>
              <w:t>/h）×</w:t>
            </w:r>
            <w:r>
              <w:rPr>
                <w:rFonts w:hint="eastAsia" w:ascii="宋体" w:hAnsi="宋体"/>
                <w:color w:val="auto"/>
              </w:rPr>
              <w:t>10</w:t>
            </w:r>
            <w:r>
              <w:rPr>
                <w:rFonts w:hint="eastAsia" w:ascii="宋体" w:hAnsi="宋体"/>
                <w:color w:val="auto"/>
                <w:vertAlign w:val="superscript"/>
              </w:rPr>
              <w:t>-6</w:t>
            </w:r>
            <w:r>
              <w:rPr>
                <w:rFonts w:hint="eastAsia" w:ascii="宋体" w:hAnsi="宋体"/>
                <w:color w:val="auto"/>
              </w:rPr>
              <w:t>。</w:t>
            </w:r>
          </w:p>
        </w:tc>
      </w:tr>
    </w:tbl>
    <w:p w14:paraId="6187CD15">
      <w:pPr>
        <w:pStyle w:val="15"/>
        <w:spacing w:before="120"/>
        <w:rPr>
          <w:color w:val="auto"/>
        </w:rPr>
        <w:sectPr>
          <w:pgSz w:w="16839" w:h="11907" w:orient="landscape"/>
          <w:pgMar w:top="1588" w:right="1418" w:bottom="1588" w:left="1418" w:header="1134" w:footer="850" w:gutter="0"/>
          <w:cols w:space="720" w:num="1"/>
          <w:docGrid w:linePitch="312" w:charSpace="0"/>
        </w:sectPr>
      </w:pPr>
    </w:p>
    <w:p w14:paraId="33BE9926">
      <w:pPr>
        <w:pStyle w:val="15"/>
        <w:spacing w:before="120"/>
        <w:rPr>
          <w:rFonts w:hAnsi="宋体"/>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6</w:t>
      </w:r>
      <w:r>
        <w:rPr>
          <w:color w:val="auto"/>
        </w:rPr>
        <w:fldChar w:fldCharType="end"/>
      </w:r>
      <w:r>
        <w:rPr>
          <w:color w:val="auto"/>
        </w:rPr>
        <w:t xml:space="preserve"> </w:t>
      </w:r>
      <w:r>
        <w:rPr>
          <w:rFonts w:hAnsi="宋体"/>
          <w:color w:val="auto"/>
        </w:rPr>
        <w:t xml:space="preserve"> </w:t>
      </w:r>
      <w:r>
        <w:rPr>
          <w:rFonts w:hint="eastAsia" w:hAnsi="宋体"/>
          <w:color w:val="auto"/>
        </w:rPr>
        <w:t>6#井场加热炉废气监测数据（</w:t>
      </w:r>
      <w:r>
        <w:rPr>
          <w:rFonts w:hAnsi="宋体"/>
          <w:color w:val="auto"/>
        </w:rPr>
        <w:t>2</w:t>
      </w:r>
      <w:r>
        <w:rPr>
          <w:rFonts w:hint="eastAsia" w:hAnsi="宋体"/>
          <w:color w:val="auto"/>
        </w:rPr>
        <w:t>）</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
        <w:gridCol w:w="691"/>
        <w:gridCol w:w="719"/>
        <w:gridCol w:w="719"/>
        <w:gridCol w:w="719"/>
        <w:gridCol w:w="562"/>
        <w:gridCol w:w="157"/>
        <w:gridCol w:w="41"/>
        <w:gridCol w:w="684"/>
        <w:gridCol w:w="719"/>
        <w:gridCol w:w="690"/>
        <w:gridCol w:w="33"/>
        <w:gridCol w:w="199"/>
        <w:gridCol w:w="487"/>
        <w:gridCol w:w="33"/>
        <w:gridCol w:w="719"/>
        <w:gridCol w:w="692"/>
        <w:gridCol w:w="32"/>
        <w:gridCol w:w="596"/>
        <w:gridCol w:w="123"/>
        <w:gridCol w:w="33"/>
        <w:gridCol w:w="690"/>
        <w:gridCol w:w="690"/>
        <w:gridCol w:w="33"/>
        <w:gridCol w:w="719"/>
        <w:gridCol w:w="343"/>
        <w:gridCol w:w="377"/>
        <w:gridCol w:w="719"/>
        <w:gridCol w:w="30"/>
        <w:gridCol w:w="691"/>
        <w:gridCol w:w="34"/>
        <w:gridCol w:w="691"/>
      </w:tblGrid>
      <w:tr w14:paraId="1AB25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7" w:type="pct"/>
            <w:gridSpan w:val="2"/>
            <w:vAlign w:val="center"/>
          </w:tcPr>
          <w:p w14:paraId="31A74E19">
            <w:pPr>
              <w:widowControl/>
              <w:adjustRightInd w:val="0"/>
              <w:snapToGrid w:val="0"/>
              <w:jc w:val="center"/>
              <w:rPr>
                <w:rFonts w:ascii="宋体" w:hAnsi="宋体"/>
                <w:color w:val="auto"/>
              </w:rPr>
            </w:pPr>
            <w:r>
              <w:rPr>
                <w:rFonts w:hint="eastAsia" w:ascii="宋体" w:hAnsi="宋体"/>
                <w:color w:val="auto"/>
              </w:rPr>
              <w:t>采样时间</w:t>
            </w:r>
          </w:p>
        </w:tc>
        <w:tc>
          <w:tcPr>
            <w:tcW w:w="2134" w:type="pct"/>
            <w:gridSpan w:val="14"/>
            <w:vAlign w:val="center"/>
          </w:tcPr>
          <w:p w14:paraId="1A19E3B4">
            <w:pPr>
              <w:jc w:val="center"/>
              <w:rPr>
                <w:rFonts w:ascii="宋体" w:hAnsi="宋体"/>
                <w:color w:val="auto"/>
              </w:rPr>
            </w:pPr>
            <w:r>
              <w:rPr>
                <w:rFonts w:hint="eastAsia" w:ascii="宋体" w:hAnsi="宋体"/>
                <w:color w:val="auto"/>
              </w:rPr>
              <w:t>2026年3月10日</w:t>
            </w:r>
          </w:p>
        </w:tc>
        <w:tc>
          <w:tcPr>
            <w:tcW w:w="2209" w:type="pct"/>
            <w:gridSpan w:val="16"/>
            <w:vAlign w:val="center"/>
          </w:tcPr>
          <w:p w14:paraId="33B01C96">
            <w:pPr>
              <w:jc w:val="center"/>
              <w:rPr>
                <w:rFonts w:ascii="宋体" w:hAnsi="宋体"/>
                <w:color w:val="auto"/>
              </w:rPr>
            </w:pPr>
            <w:r>
              <w:rPr>
                <w:rFonts w:hint="eastAsia" w:ascii="宋体" w:hAnsi="宋体"/>
                <w:color w:val="auto"/>
              </w:rPr>
              <w:t>2026年3月11日</w:t>
            </w:r>
          </w:p>
        </w:tc>
      </w:tr>
      <w:tr w14:paraId="675BD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7" w:type="pct"/>
            <w:gridSpan w:val="2"/>
            <w:vAlign w:val="center"/>
          </w:tcPr>
          <w:p w14:paraId="0DC3DB6C">
            <w:pPr>
              <w:widowControl/>
              <w:adjustRightInd w:val="0"/>
              <w:snapToGrid w:val="0"/>
              <w:jc w:val="center"/>
              <w:rPr>
                <w:rFonts w:ascii="宋体" w:hAnsi="宋体"/>
                <w:color w:val="auto"/>
              </w:rPr>
            </w:pPr>
            <w:r>
              <w:rPr>
                <w:rFonts w:ascii="宋体" w:hAnsi="宋体"/>
                <w:color w:val="auto"/>
              </w:rPr>
              <w:t>排气筒名称</w:t>
            </w:r>
          </w:p>
        </w:tc>
        <w:tc>
          <w:tcPr>
            <w:tcW w:w="4343" w:type="pct"/>
            <w:gridSpan w:val="30"/>
            <w:vAlign w:val="center"/>
          </w:tcPr>
          <w:p w14:paraId="11098C1C">
            <w:pPr>
              <w:widowControl/>
              <w:jc w:val="center"/>
              <w:rPr>
                <w:rFonts w:ascii="宋体" w:hAnsi="宋体"/>
                <w:color w:val="auto"/>
              </w:rPr>
            </w:pPr>
            <w:r>
              <w:rPr>
                <w:rFonts w:hint="eastAsia" w:ascii="宋体" w:hAnsi="宋体"/>
                <w:color w:val="auto"/>
              </w:rPr>
              <w:t>6</w:t>
            </w:r>
            <w:r>
              <w:rPr>
                <w:rFonts w:ascii="宋体" w:hAnsi="宋体"/>
                <w:color w:val="auto"/>
              </w:rPr>
              <w:t>#井场：FJF11-X114、115、117、118、120、122、123井场加热炉排气筒</w:t>
            </w:r>
          </w:p>
        </w:tc>
      </w:tr>
      <w:tr w14:paraId="7A6E7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7" w:type="pct"/>
            <w:gridSpan w:val="2"/>
            <w:vAlign w:val="center"/>
          </w:tcPr>
          <w:p w14:paraId="1BFC9301">
            <w:pPr>
              <w:widowControl/>
              <w:adjustRightInd w:val="0"/>
              <w:snapToGrid w:val="0"/>
              <w:jc w:val="center"/>
              <w:rPr>
                <w:rFonts w:ascii="宋体" w:hAnsi="宋体"/>
                <w:color w:val="auto"/>
              </w:rPr>
            </w:pPr>
            <w:r>
              <w:rPr>
                <w:rFonts w:ascii="宋体" w:hAnsi="宋体"/>
                <w:color w:val="auto"/>
              </w:rPr>
              <w:t>燃料</w:t>
            </w:r>
          </w:p>
        </w:tc>
        <w:tc>
          <w:tcPr>
            <w:tcW w:w="820" w:type="pct"/>
            <w:gridSpan w:val="4"/>
            <w:vAlign w:val="center"/>
          </w:tcPr>
          <w:p w14:paraId="08AA24E5">
            <w:pPr>
              <w:widowControl/>
              <w:adjustRightInd w:val="0"/>
              <w:snapToGrid w:val="0"/>
              <w:jc w:val="center"/>
              <w:rPr>
                <w:rFonts w:ascii="宋体" w:hAnsi="宋体"/>
                <w:color w:val="auto"/>
              </w:rPr>
            </w:pPr>
            <w:r>
              <w:rPr>
                <w:rFonts w:hint="eastAsia" w:ascii="宋体" w:hAnsi="宋体"/>
                <w:color w:val="auto"/>
              </w:rPr>
              <w:t>天然气</w:t>
            </w:r>
          </w:p>
        </w:tc>
        <w:tc>
          <w:tcPr>
            <w:tcW w:w="890" w:type="pct"/>
            <w:gridSpan w:val="7"/>
            <w:vAlign w:val="center"/>
          </w:tcPr>
          <w:p w14:paraId="11F3B18B">
            <w:pPr>
              <w:widowControl/>
              <w:adjustRightInd w:val="0"/>
              <w:snapToGrid w:val="0"/>
              <w:jc w:val="center"/>
              <w:rPr>
                <w:rFonts w:ascii="宋体" w:hAnsi="宋体"/>
                <w:color w:val="auto"/>
              </w:rPr>
            </w:pPr>
            <w:r>
              <w:rPr>
                <w:rFonts w:ascii="宋体" w:hAnsi="宋体"/>
                <w:color w:val="auto"/>
              </w:rPr>
              <w:t>烟道截</w:t>
            </w:r>
            <w:r>
              <w:rPr>
                <w:rFonts w:hint="eastAsia" w:ascii="宋体" w:hAnsi="宋体"/>
                <w:color w:val="auto"/>
              </w:rPr>
              <w:t>面积</w:t>
            </w:r>
            <w:r>
              <w:rPr>
                <w:rFonts w:ascii="宋体" w:hAnsi="宋体"/>
                <w:color w:val="auto"/>
              </w:rPr>
              <w:t>（m</w:t>
            </w:r>
            <w:r>
              <w:rPr>
                <w:rFonts w:ascii="宋体" w:hAnsi="宋体"/>
                <w:color w:val="auto"/>
                <w:vertAlign w:val="superscript"/>
              </w:rPr>
              <w:t>2</w:t>
            </w:r>
            <w:r>
              <w:rPr>
                <w:rFonts w:ascii="宋体" w:hAnsi="宋体"/>
                <w:color w:val="auto"/>
              </w:rPr>
              <w:t>）</w:t>
            </w:r>
          </w:p>
        </w:tc>
        <w:tc>
          <w:tcPr>
            <w:tcW w:w="840" w:type="pct"/>
            <w:gridSpan w:val="6"/>
            <w:vAlign w:val="center"/>
          </w:tcPr>
          <w:p w14:paraId="587C1C74">
            <w:pPr>
              <w:widowControl/>
              <w:adjustRightInd w:val="0"/>
              <w:snapToGrid w:val="0"/>
              <w:jc w:val="center"/>
              <w:rPr>
                <w:rFonts w:ascii="宋体" w:hAnsi="宋体"/>
                <w:color w:val="auto"/>
              </w:rPr>
            </w:pPr>
            <w:r>
              <w:rPr>
                <w:rFonts w:hint="eastAsia" w:ascii="宋体" w:hAnsi="宋体"/>
                <w:color w:val="auto"/>
              </w:rPr>
              <w:t>0.0177</w:t>
            </w:r>
          </w:p>
        </w:tc>
        <w:tc>
          <w:tcPr>
            <w:tcW w:w="915" w:type="pct"/>
            <w:gridSpan w:val="7"/>
            <w:vAlign w:val="center"/>
          </w:tcPr>
          <w:p w14:paraId="0DFAB92E">
            <w:pPr>
              <w:widowControl/>
              <w:adjustRightInd w:val="0"/>
              <w:snapToGrid w:val="0"/>
              <w:jc w:val="center"/>
              <w:rPr>
                <w:rFonts w:ascii="宋体" w:hAnsi="宋体"/>
                <w:color w:val="auto"/>
              </w:rPr>
            </w:pPr>
            <w:r>
              <w:rPr>
                <w:rFonts w:ascii="宋体" w:hAnsi="宋体"/>
                <w:color w:val="auto"/>
              </w:rPr>
              <w:t>排气筒高度（m）</w:t>
            </w:r>
          </w:p>
        </w:tc>
        <w:tc>
          <w:tcPr>
            <w:tcW w:w="878" w:type="pct"/>
            <w:gridSpan w:val="6"/>
            <w:vAlign w:val="center"/>
          </w:tcPr>
          <w:p w14:paraId="1802529F">
            <w:pPr>
              <w:widowControl/>
              <w:adjustRightInd w:val="0"/>
              <w:snapToGrid w:val="0"/>
              <w:jc w:val="center"/>
              <w:rPr>
                <w:rFonts w:ascii="宋体" w:hAnsi="宋体"/>
                <w:color w:val="auto"/>
              </w:rPr>
            </w:pPr>
            <w:r>
              <w:rPr>
                <w:rFonts w:hint="eastAsia" w:ascii="宋体" w:hAnsi="宋体"/>
                <w:color w:val="auto"/>
              </w:rPr>
              <w:t>8</w:t>
            </w:r>
          </w:p>
        </w:tc>
      </w:tr>
      <w:tr w14:paraId="30E35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7" w:type="pct"/>
            <w:gridSpan w:val="2"/>
            <w:vAlign w:val="center"/>
          </w:tcPr>
          <w:p w14:paraId="692B2337">
            <w:pPr>
              <w:widowControl/>
              <w:adjustRightInd w:val="0"/>
              <w:snapToGrid w:val="0"/>
              <w:jc w:val="center"/>
              <w:rPr>
                <w:rFonts w:ascii="宋体" w:hAnsi="宋体"/>
                <w:color w:val="auto"/>
              </w:rPr>
            </w:pPr>
            <w:r>
              <w:rPr>
                <w:rFonts w:ascii="宋体" w:hAnsi="宋体"/>
                <w:color w:val="auto"/>
              </w:rPr>
              <w:t>检测频次</w:t>
            </w:r>
          </w:p>
        </w:tc>
        <w:tc>
          <w:tcPr>
            <w:tcW w:w="631" w:type="pct"/>
            <w:gridSpan w:val="3"/>
            <w:vAlign w:val="center"/>
          </w:tcPr>
          <w:p w14:paraId="5A82722C">
            <w:pPr>
              <w:adjustRightInd w:val="0"/>
              <w:snapToGrid w:val="0"/>
              <w:jc w:val="center"/>
              <w:rPr>
                <w:rFonts w:ascii="宋体" w:hAnsi="宋体"/>
                <w:color w:val="auto"/>
              </w:rPr>
            </w:pPr>
            <w:r>
              <w:rPr>
                <w:rFonts w:ascii="宋体" w:hAnsi="宋体"/>
                <w:color w:val="auto"/>
              </w:rPr>
              <w:t>第1次</w:t>
            </w:r>
          </w:p>
        </w:tc>
        <w:tc>
          <w:tcPr>
            <w:tcW w:w="749" w:type="pct"/>
            <w:gridSpan w:val="5"/>
            <w:vAlign w:val="center"/>
          </w:tcPr>
          <w:p w14:paraId="76871D1F">
            <w:pPr>
              <w:adjustRightInd w:val="0"/>
              <w:snapToGrid w:val="0"/>
              <w:jc w:val="center"/>
              <w:rPr>
                <w:rFonts w:ascii="宋体" w:hAnsi="宋体"/>
                <w:color w:val="auto"/>
              </w:rPr>
            </w:pPr>
            <w:r>
              <w:rPr>
                <w:rFonts w:hint="eastAsia" w:ascii="宋体" w:hAnsi="宋体"/>
                <w:color w:val="auto"/>
              </w:rPr>
              <w:t>第2次</w:t>
            </w:r>
          </w:p>
        </w:tc>
        <w:tc>
          <w:tcPr>
            <w:tcW w:w="754" w:type="pct"/>
            <w:gridSpan w:val="6"/>
            <w:vAlign w:val="center"/>
          </w:tcPr>
          <w:p w14:paraId="2E2907EF">
            <w:pPr>
              <w:adjustRightInd w:val="0"/>
              <w:snapToGrid w:val="0"/>
              <w:jc w:val="center"/>
              <w:rPr>
                <w:rFonts w:ascii="宋体" w:hAnsi="宋体"/>
                <w:color w:val="auto"/>
              </w:rPr>
            </w:pPr>
            <w:r>
              <w:rPr>
                <w:rFonts w:hint="eastAsia" w:ascii="宋体" w:hAnsi="宋体"/>
                <w:color w:val="auto"/>
              </w:rPr>
              <w:t>第3次</w:t>
            </w:r>
          </w:p>
        </w:tc>
        <w:tc>
          <w:tcPr>
            <w:tcW w:w="712" w:type="pct"/>
            <w:gridSpan w:val="6"/>
            <w:vAlign w:val="center"/>
          </w:tcPr>
          <w:p w14:paraId="4C1B01A5">
            <w:pPr>
              <w:adjustRightInd w:val="0"/>
              <w:snapToGrid w:val="0"/>
              <w:jc w:val="center"/>
              <w:rPr>
                <w:rFonts w:ascii="宋体" w:hAnsi="宋体"/>
                <w:color w:val="auto"/>
              </w:rPr>
            </w:pPr>
            <w:r>
              <w:rPr>
                <w:rFonts w:ascii="宋体" w:hAnsi="宋体"/>
                <w:color w:val="auto"/>
              </w:rPr>
              <w:t>第1次</w:t>
            </w:r>
          </w:p>
        </w:tc>
        <w:tc>
          <w:tcPr>
            <w:tcW w:w="750" w:type="pct"/>
            <w:gridSpan w:val="5"/>
            <w:vAlign w:val="center"/>
          </w:tcPr>
          <w:p w14:paraId="0B3C8825">
            <w:pPr>
              <w:adjustRightInd w:val="0"/>
              <w:snapToGrid w:val="0"/>
              <w:jc w:val="center"/>
              <w:rPr>
                <w:rFonts w:ascii="宋体" w:hAnsi="宋体"/>
                <w:color w:val="auto"/>
              </w:rPr>
            </w:pPr>
            <w:r>
              <w:rPr>
                <w:rFonts w:hint="eastAsia" w:ascii="宋体" w:hAnsi="宋体"/>
                <w:color w:val="auto"/>
              </w:rPr>
              <w:t>第2次</w:t>
            </w:r>
          </w:p>
        </w:tc>
        <w:tc>
          <w:tcPr>
            <w:tcW w:w="748" w:type="pct"/>
            <w:gridSpan w:val="5"/>
            <w:vAlign w:val="center"/>
          </w:tcPr>
          <w:p w14:paraId="10FBE71E">
            <w:pPr>
              <w:adjustRightInd w:val="0"/>
              <w:snapToGrid w:val="0"/>
              <w:jc w:val="center"/>
              <w:rPr>
                <w:rFonts w:ascii="宋体" w:hAnsi="宋体"/>
                <w:color w:val="auto"/>
              </w:rPr>
            </w:pPr>
            <w:r>
              <w:rPr>
                <w:rFonts w:hint="eastAsia" w:ascii="宋体" w:hAnsi="宋体"/>
                <w:color w:val="auto"/>
              </w:rPr>
              <w:t>第3次</w:t>
            </w:r>
          </w:p>
        </w:tc>
      </w:tr>
      <w:tr w14:paraId="0B584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7" w:type="pct"/>
            <w:gridSpan w:val="2"/>
            <w:vAlign w:val="center"/>
          </w:tcPr>
          <w:p w14:paraId="03A481A7">
            <w:pPr>
              <w:widowControl/>
              <w:adjustRightInd w:val="0"/>
              <w:snapToGrid w:val="0"/>
              <w:jc w:val="center"/>
              <w:rPr>
                <w:rFonts w:ascii="宋体" w:hAnsi="宋体"/>
                <w:color w:val="auto"/>
              </w:rPr>
            </w:pPr>
            <w:r>
              <w:rPr>
                <w:rFonts w:hint="eastAsia" w:ascii="宋体" w:hAnsi="宋体"/>
                <w:color w:val="auto"/>
              </w:rPr>
              <w:t>烟气含氧量（%）</w:t>
            </w:r>
          </w:p>
        </w:tc>
        <w:tc>
          <w:tcPr>
            <w:tcW w:w="139" w:type="pct"/>
            <w:vAlign w:val="center"/>
          </w:tcPr>
          <w:p w14:paraId="233E83E4">
            <w:pPr>
              <w:widowControl/>
              <w:adjustRightInd w:val="0"/>
              <w:snapToGrid w:val="0"/>
              <w:jc w:val="center"/>
              <w:rPr>
                <w:rFonts w:ascii="宋体" w:hAnsi="宋体"/>
                <w:color w:val="auto"/>
              </w:rPr>
            </w:pPr>
            <w:r>
              <w:rPr>
                <w:rFonts w:hint="eastAsia" w:ascii="宋体" w:hAnsi="宋体"/>
                <w:color w:val="auto"/>
              </w:rPr>
              <w:t>7.6</w:t>
            </w:r>
          </w:p>
        </w:tc>
        <w:tc>
          <w:tcPr>
            <w:tcW w:w="246" w:type="pct"/>
            <w:vAlign w:val="center"/>
          </w:tcPr>
          <w:p w14:paraId="6E01413D">
            <w:pPr>
              <w:widowControl/>
              <w:adjustRightInd w:val="0"/>
              <w:snapToGrid w:val="0"/>
              <w:jc w:val="center"/>
              <w:rPr>
                <w:rFonts w:ascii="宋体" w:hAnsi="宋体"/>
                <w:color w:val="auto"/>
              </w:rPr>
            </w:pPr>
            <w:r>
              <w:rPr>
                <w:rFonts w:hint="eastAsia" w:ascii="宋体" w:hAnsi="宋体"/>
                <w:color w:val="auto"/>
              </w:rPr>
              <w:t>7.6</w:t>
            </w:r>
          </w:p>
        </w:tc>
        <w:tc>
          <w:tcPr>
            <w:tcW w:w="246" w:type="pct"/>
            <w:vAlign w:val="center"/>
          </w:tcPr>
          <w:p w14:paraId="2E3EF6B1">
            <w:pPr>
              <w:widowControl/>
              <w:adjustRightInd w:val="0"/>
              <w:snapToGrid w:val="0"/>
              <w:jc w:val="center"/>
              <w:rPr>
                <w:rFonts w:ascii="宋体" w:hAnsi="宋体"/>
                <w:color w:val="auto"/>
              </w:rPr>
            </w:pPr>
            <w:r>
              <w:rPr>
                <w:rFonts w:hint="eastAsia" w:ascii="宋体" w:hAnsi="宋体"/>
                <w:color w:val="auto"/>
              </w:rPr>
              <w:t>7.7</w:t>
            </w:r>
          </w:p>
        </w:tc>
        <w:tc>
          <w:tcPr>
            <w:tcW w:w="257" w:type="pct"/>
            <w:gridSpan w:val="3"/>
            <w:vAlign w:val="center"/>
          </w:tcPr>
          <w:p w14:paraId="25D8B561">
            <w:pPr>
              <w:widowControl/>
              <w:adjustRightInd w:val="0"/>
              <w:snapToGrid w:val="0"/>
              <w:jc w:val="center"/>
              <w:rPr>
                <w:rFonts w:ascii="宋体" w:hAnsi="宋体"/>
                <w:color w:val="auto"/>
              </w:rPr>
            </w:pPr>
            <w:r>
              <w:rPr>
                <w:rFonts w:hint="eastAsia" w:ascii="宋体" w:hAnsi="宋体"/>
                <w:color w:val="auto"/>
              </w:rPr>
              <w:t>7.7</w:t>
            </w:r>
          </w:p>
        </w:tc>
        <w:tc>
          <w:tcPr>
            <w:tcW w:w="246" w:type="pct"/>
            <w:vAlign w:val="center"/>
          </w:tcPr>
          <w:p w14:paraId="140AD207">
            <w:pPr>
              <w:widowControl/>
              <w:adjustRightInd w:val="0"/>
              <w:snapToGrid w:val="0"/>
              <w:jc w:val="center"/>
              <w:rPr>
                <w:rFonts w:ascii="宋体" w:hAnsi="宋体"/>
                <w:color w:val="auto"/>
              </w:rPr>
            </w:pPr>
            <w:r>
              <w:rPr>
                <w:rFonts w:hint="eastAsia" w:ascii="宋体" w:hAnsi="宋体"/>
                <w:color w:val="auto"/>
              </w:rPr>
              <w:t>7.8</w:t>
            </w:r>
          </w:p>
        </w:tc>
        <w:tc>
          <w:tcPr>
            <w:tcW w:w="246" w:type="pct"/>
            <w:vAlign w:val="center"/>
          </w:tcPr>
          <w:p w14:paraId="667B76F1">
            <w:pPr>
              <w:widowControl/>
              <w:adjustRightInd w:val="0"/>
              <w:snapToGrid w:val="0"/>
              <w:jc w:val="center"/>
              <w:rPr>
                <w:rFonts w:ascii="宋体" w:hAnsi="宋体"/>
                <w:color w:val="auto"/>
              </w:rPr>
            </w:pPr>
            <w:r>
              <w:rPr>
                <w:rFonts w:hint="eastAsia" w:ascii="宋体" w:hAnsi="宋体"/>
                <w:color w:val="auto"/>
              </w:rPr>
              <w:t>7.8</w:t>
            </w:r>
          </w:p>
        </w:tc>
        <w:tc>
          <w:tcPr>
            <w:tcW w:w="246" w:type="pct"/>
            <w:vAlign w:val="center"/>
          </w:tcPr>
          <w:p w14:paraId="1CAC460F">
            <w:pPr>
              <w:widowControl/>
              <w:adjustRightInd w:val="0"/>
              <w:snapToGrid w:val="0"/>
              <w:jc w:val="center"/>
              <w:rPr>
                <w:rFonts w:ascii="宋体" w:hAnsi="宋体"/>
                <w:color w:val="auto"/>
              </w:rPr>
            </w:pPr>
            <w:r>
              <w:rPr>
                <w:rFonts w:hint="eastAsia" w:ascii="宋体" w:hAnsi="宋体"/>
                <w:color w:val="auto"/>
              </w:rPr>
              <w:t>7.6</w:t>
            </w:r>
          </w:p>
        </w:tc>
        <w:tc>
          <w:tcPr>
            <w:tcW w:w="257" w:type="pct"/>
            <w:gridSpan w:val="3"/>
            <w:vAlign w:val="center"/>
          </w:tcPr>
          <w:p w14:paraId="64E320FF">
            <w:pPr>
              <w:widowControl/>
              <w:adjustRightInd w:val="0"/>
              <w:snapToGrid w:val="0"/>
              <w:jc w:val="center"/>
              <w:rPr>
                <w:rFonts w:ascii="宋体" w:hAnsi="宋体"/>
                <w:color w:val="auto"/>
              </w:rPr>
            </w:pPr>
            <w:r>
              <w:rPr>
                <w:rFonts w:hint="eastAsia" w:ascii="宋体" w:hAnsi="宋体"/>
                <w:color w:val="auto"/>
              </w:rPr>
              <w:t>7.7</w:t>
            </w:r>
          </w:p>
        </w:tc>
        <w:tc>
          <w:tcPr>
            <w:tcW w:w="251" w:type="pct"/>
            <w:gridSpan w:val="2"/>
            <w:vAlign w:val="center"/>
          </w:tcPr>
          <w:p w14:paraId="7CF5E261">
            <w:pPr>
              <w:widowControl/>
              <w:adjustRightInd w:val="0"/>
              <w:snapToGrid w:val="0"/>
              <w:jc w:val="center"/>
              <w:rPr>
                <w:rFonts w:ascii="宋体" w:hAnsi="宋体"/>
                <w:color w:val="auto"/>
              </w:rPr>
            </w:pPr>
            <w:r>
              <w:rPr>
                <w:rFonts w:hint="eastAsia" w:ascii="宋体" w:hAnsi="宋体"/>
                <w:color w:val="auto"/>
              </w:rPr>
              <w:t>7.8</w:t>
            </w:r>
          </w:p>
        </w:tc>
        <w:tc>
          <w:tcPr>
            <w:tcW w:w="217" w:type="pct"/>
            <w:vAlign w:val="center"/>
          </w:tcPr>
          <w:p w14:paraId="21C05B15">
            <w:pPr>
              <w:widowControl/>
              <w:adjustRightInd w:val="0"/>
              <w:snapToGrid w:val="0"/>
              <w:jc w:val="center"/>
              <w:rPr>
                <w:rFonts w:ascii="宋体" w:hAnsi="宋体"/>
                <w:color w:val="auto"/>
              </w:rPr>
            </w:pPr>
            <w:r>
              <w:rPr>
                <w:rFonts w:hint="eastAsia" w:ascii="宋体" w:hAnsi="宋体"/>
                <w:color w:val="auto"/>
              </w:rPr>
              <w:t>7.5</w:t>
            </w:r>
          </w:p>
        </w:tc>
        <w:tc>
          <w:tcPr>
            <w:tcW w:w="249" w:type="pct"/>
            <w:gridSpan w:val="4"/>
            <w:vAlign w:val="center"/>
          </w:tcPr>
          <w:p w14:paraId="3597AD38">
            <w:pPr>
              <w:widowControl/>
              <w:adjustRightInd w:val="0"/>
              <w:snapToGrid w:val="0"/>
              <w:jc w:val="center"/>
              <w:rPr>
                <w:rFonts w:ascii="宋体" w:hAnsi="宋体"/>
                <w:color w:val="auto"/>
              </w:rPr>
            </w:pPr>
            <w:r>
              <w:rPr>
                <w:rFonts w:hint="eastAsia" w:ascii="宋体" w:hAnsi="宋体"/>
                <w:color w:val="auto"/>
              </w:rPr>
              <w:t>7.5</w:t>
            </w:r>
          </w:p>
        </w:tc>
        <w:tc>
          <w:tcPr>
            <w:tcW w:w="246" w:type="pct"/>
            <w:vAlign w:val="center"/>
          </w:tcPr>
          <w:p w14:paraId="37084FF9">
            <w:pPr>
              <w:widowControl/>
              <w:adjustRightInd w:val="0"/>
              <w:snapToGrid w:val="0"/>
              <w:jc w:val="center"/>
              <w:rPr>
                <w:rFonts w:ascii="宋体" w:hAnsi="宋体"/>
                <w:color w:val="auto"/>
              </w:rPr>
            </w:pPr>
            <w:r>
              <w:rPr>
                <w:rFonts w:hint="eastAsia" w:ascii="宋体" w:hAnsi="宋体"/>
                <w:color w:val="auto"/>
              </w:rPr>
              <w:t>7.6</w:t>
            </w:r>
          </w:p>
        </w:tc>
        <w:tc>
          <w:tcPr>
            <w:tcW w:w="246" w:type="pct"/>
            <w:vAlign w:val="center"/>
          </w:tcPr>
          <w:p w14:paraId="5AE467BE">
            <w:pPr>
              <w:widowControl/>
              <w:adjustRightInd w:val="0"/>
              <w:snapToGrid w:val="0"/>
              <w:jc w:val="center"/>
              <w:rPr>
                <w:rFonts w:ascii="宋体" w:hAnsi="宋体"/>
                <w:color w:val="auto"/>
              </w:rPr>
            </w:pPr>
            <w:r>
              <w:rPr>
                <w:rFonts w:hint="eastAsia" w:ascii="宋体" w:hAnsi="宋体"/>
                <w:color w:val="auto"/>
              </w:rPr>
              <w:t>7.6</w:t>
            </w:r>
          </w:p>
        </w:tc>
        <w:tc>
          <w:tcPr>
            <w:tcW w:w="252" w:type="pct"/>
            <w:gridSpan w:val="2"/>
            <w:vAlign w:val="center"/>
          </w:tcPr>
          <w:p w14:paraId="5F5C02AE">
            <w:pPr>
              <w:widowControl/>
              <w:adjustRightInd w:val="0"/>
              <w:snapToGrid w:val="0"/>
              <w:jc w:val="center"/>
              <w:rPr>
                <w:rFonts w:ascii="宋体" w:hAnsi="宋体"/>
                <w:color w:val="auto"/>
              </w:rPr>
            </w:pPr>
            <w:r>
              <w:rPr>
                <w:rFonts w:hint="eastAsia" w:ascii="宋体" w:hAnsi="宋体"/>
                <w:color w:val="auto"/>
              </w:rPr>
              <w:t>7.7</w:t>
            </w:r>
          </w:p>
        </w:tc>
        <w:tc>
          <w:tcPr>
            <w:tcW w:w="251" w:type="pct"/>
            <w:gridSpan w:val="2"/>
            <w:vAlign w:val="center"/>
          </w:tcPr>
          <w:p w14:paraId="7BCE60A5">
            <w:pPr>
              <w:widowControl/>
              <w:adjustRightInd w:val="0"/>
              <w:snapToGrid w:val="0"/>
              <w:jc w:val="center"/>
              <w:rPr>
                <w:rFonts w:ascii="宋体" w:hAnsi="宋体"/>
                <w:color w:val="auto"/>
              </w:rPr>
            </w:pPr>
            <w:r>
              <w:rPr>
                <w:rFonts w:hint="eastAsia" w:ascii="宋体" w:hAnsi="宋体"/>
                <w:color w:val="auto"/>
              </w:rPr>
              <w:t>7.7</w:t>
            </w:r>
          </w:p>
        </w:tc>
        <w:tc>
          <w:tcPr>
            <w:tcW w:w="253" w:type="pct"/>
            <w:gridSpan w:val="2"/>
            <w:vAlign w:val="center"/>
          </w:tcPr>
          <w:p w14:paraId="3922EF9F">
            <w:pPr>
              <w:widowControl/>
              <w:adjustRightInd w:val="0"/>
              <w:snapToGrid w:val="0"/>
              <w:jc w:val="center"/>
              <w:rPr>
                <w:rFonts w:ascii="宋体" w:hAnsi="宋体"/>
                <w:color w:val="auto"/>
              </w:rPr>
            </w:pPr>
            <w:r>
              <w:rPr>
                <w:rFonts w:hint="eastAsia" w:ascii="宋体" w:hAnsi="宋体"/>
                <w:color w:val="auto"/>
              </w:rPr>
              <w:t>7.5</w:t>
            </w:r>
          </w:p>
        </w:tc>
        <w:tc>
          <w:tcPr>
            <w:tcW w:w="250" w:type="pct"/>
            <w:gridSpan w:val="2"/>
            <w:vAlign w:val="center"/>
          </w:tcPr>
          <w:p w14:paraId="4E5D3642">
            <w:pPr>
              <w:widowControl/>
              <w:adjustRightInd w:val="0"/>
              <w:snapToGrid w:val="0"/>
              <w:jc w:val="center"/>
              <w:rPr>
                <w:rFonts w:ascii="宋体" w:hAnsi="宋体"/>
                <w:color w:val="auto"/>
              </w:rPr>
            </w:pPr>
            <w:r>
              <w:rPr>
                <w:rFonts w:hint="eastAsia" w:ascii="宋体" w:hAnsi="宋体"/>
                <w:color w:val="auto"/>
              </w:rPr>
              <w:t>7.5</w:t>
            </w:r>
          </w:p>
        </w:tc>
        <w:tc>
          <w:tcPr>
            <w:tcW w:w="244" w:type="pct"/>
            <w:vAlign w:val="center"/>
          </w:tcPr>
          <w:p w14:paraId="66A3CBC0">
            <w:pPr>
              <w:widowControl/>
              <w:adjustRightInd w:val="0"/>
              <w:snapToGrid w:val="0"/>
              <w:jc w:val="center"/>
              <w:rPr>
                <w:rFonts w:ascii="宋体" w:hAnsi="宋体"/>
                <w:color w:val="auto"/>
              </w:rPr>
            </w:pPr>
            <w:r>
              <w:rPr>
                <w:rFonts w:hint="eastAsia" w:ascii="宋体" w:hAnsi="宋体"/>
                <w:color w:val="auto"/>
              </w:rPr>
              <w:t>7.6</w:t>
            </w:r>
          </w:p>
        </w:tc>
      </w:tr>
      <w:tr w14:paraId="3C84A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7" w:type="pct"/>
            <w:gridSpan w:val="2"/>
            <w:vAlign w:val="center"/>
          </w:tcPr>
          <w:p w14:paraId="2F2D17E8">
            <w:pPr>
              <w:widowControl/>
              <w:adjustRightInd w:val="0"/>
              <w:snapToGrid w:val="0"/>
              <w:jc w:val="center"/>
              <w:rPr>
                <w:rFonts w:ascii="宋体" w:hAnsi="宋体"/>
                <w:color w:val="auto"/>
              </w:rPr>
            </w:pPr>
            <w:r>
              <w:rPr>
                <w:rFonts w:ascii="宋体" w:hAnsi="宋体"/>
                <w:color w:val="auto"/>
              </w:rPr>
              <w:t>标干流量（m</w:t>
            </w:r>
            <w:r>
              <w:rPr>
                <w:rFonts w:ascii="宋体" w:hAnsi="宋体"/>
                <w:color w:val="auto"/>
                <w:vertAlign w:val="superscript"/>
              </w:rPr>
              <w:t>3</w:t>
            </w:r>
            <w:r>
              <w:rPr>
                <w:rFonts w:ascii="宋体" w:hAnsi="宋体"/>
                <w:color w:val="auto"/>
              </w:rPr>
              <w:t>/h）</w:t>
            </w:r>
          </w:p>
        </w:tc>
        <w:tc>
          <w:tcPr>
            <w:tcW w:w="631" w:type="pct"/>
            <w:gridSpan w:val="3"/>
            <w:vAlign w:val="center"/>
          </w:tcPr>
          <w:p w14:paraId="4AFE89A7">
            <w:pPr>
              <w:widowControl/>
              <w:adjustRightInd w:val="0"/>
              <w:snapToGrid w:val="0"/>
              <w:jc w:val="center"/>
              <w:rPr>
                <w:rFonts w:ascii="宋体" w:hAnsi="宋体"/>
                <w:color w:val="auto"/>
              </w:rPr>
            </w:pPr>
            <w:r>
              <w:rPr>
                <w:rFonts w:hint="eastAsia" w:ascii="宋体" w:hAnsi="宋体"/>
                <w:color w:val="auto"/>
              </w:rPr>
              <w:t>220</w:t>
            </w:r>
          </w:p>
        </w:tc>
        <w:tc>
          <w:tcPr>
            <w:tcW w:w="749" w:type="pct"/>
            <w:gridSpan w:val="5"/>
            <w:vAlign w:val="center"/>
          </w:tcPr>
          <w:p w14:paraId="29DC4F13">
            <w:pPr>
              <w:widowControl/>
              <w:adjustRightInd w:val="0"/>
              <w:snapToGrid w:val="0"/>
              <w:jc w:val="center"/>
              <w:rPr>
                <w:rFonts w:ascii="宋体" w:hAnsi="宋体"/>
                <w:color w:val="auto"/>
              </w:rPr>
            </w:pPr>
            <w:r>
              <w:rPr>
                <w:rFonts w:hint="eastAsia" w:ascii="宋体" w:hAnsi="宋体"/>
                <w:color w:val="auto"/>
              </w:rPr>
              <w:t>227</w:t>
            </w:r>
          </w:p>
        </w:tc>
        <w:tc>
          <w:tcPr>
            <w:tcW w:w="754" w:type="pct"/>
            <w:gridSpan w:val="6"/>
            <w:vAlign w:val="center"/>
          </w:tcPr>
          <w:p w14:paraId="5C538B8D">
            <w:pPr>
              <w:widowControl/>
              <w:adjustRightInd w:val="0"/>
              <w:snapToGrid w:val="0"/>
              <w:jc w:val="center"/>
              <w:rPr>
                <w:rFonts w:ascii="宋体" w:hAnsi="宋体"/>
                <w:color w:val="auto"/>
              </w:rPr>
            </w:pPr>
            <w:r>
              <w:rPr>
                <w:rFonts w:hint="eastAsia" w:ascii="宋体" w:hAnsi="宋体"/>
                <w:color w:val="auto"/>
              </w:rPr>
              <w:t>213</w:t>
            </w:r>
          </w:p>
        </w:tc>
        <w:tc>
          <w:tcPr>
            <w:tcW w:w="712" w:type="pct"/>
            <w:gridSpan w:val="6"/>
            <w:vAlign w:val="center"/>
          </w:tcPr>
          <w:p w14:paraId="66B3FE91">
            <w:pPr>
              <w:widowControl/>
              <w:jc w:val="center"/>
              <w:rPr>
                <w:rFonts w:ascii="宋体" w:hAnsi="宋体"/>
                <w:color w:val="auto"/>
              </w:rPr>
            </w:pPr>
            <w:r>
              <w:rPr>
                <w:rFonts w:hint="eastAsia" w:ascii="宋体" w:hAnsi="宋体"/>
                <w:color w:val="auto"/>
              </w:rPr>
              <w:t>191</w:t>
            </w:r>
          </w:p>
        </w:tc>
        <w:tc>
          <w:tcPr>
            <w:tcW w:w="750" w:type="pct"/>
            <w:gridSpan w:val="5"/>
            <w:vAlign w:val="center"/>
          </w:tcPr>
          <w:p w14:paraId="49A9A10A">
            <w:pPr>
              <w:widowControl/>
              <w:jc w:val="center"/>
              <w:rPr>
                <w:rFonts w:ascii="宋体" w:hAnsi="宋体"/>
                <w:color w:val="auto"/>
              </w:rPr>
            </w:pPr>
            <w:r>
              <w:rPr>
                <w:rFonts w:hint="eastAsia" w:ascii="宋体" w:hAnsi="宋体"/>
                <w:color w:val="auto"/>
              </w:rPr>
              <w:t>183</w:t>
            </w:r>
          </w:p>
        </w:tc>
        <w:tc>
          <w:tcPr>
            <w:tcW w:w="748" w:type="pct"/>
            <w:gridSpan w:val="5"/>
            <w:vAlign w:val="center"/>
          </w:tcPr>
          <w:p w14:paraId="411A8869">
            <w:pPr>
              <w:widowControl/>
              <w:jc w:val="center"/>
              <w:rPr>
                <w:rFonts w:ascii="宋体" w:hAnsi="宋体"/>
                <w:color w:val="auto"/>
              </w:rPr>
            </w:pPr>
            <w:r>
              <w:rPr>
                <w:rFonts w:hint="eastAsia" w:ascii="宋体" w:hAnsi="宋体"/>
                <w:color w:val="auto"/>
              </w:rPr>
              <w:t>191</w:t>
            </w:r>
          </w:p>
        </w:tc>
      </w:tr>
      <w:tr w14:paraId="79A5D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restart"/>
            <w:vAlign w:val="center"/>
          </w:tcPr>
          <w:p w14:paraId="61607134">
            <w:pPr>
              <w:widowControl/>
              <w:adjustRightInd w:val="0"/>
              <w:snapToGrid w:val="0"/>
              <w:jc w:val="center"/>
              <w:rPr>
                <w:rFonts w:ascii="宋体" w:hAnsi="宋体"/>
                <w:color w:val="auto"/>
              </w:rPr>
            </w:pPr>
            <w:r>
              <w:rPr>
                <w:rFonts w:hint="eastAsia" w:ascii="宋体" w:hAnsi="宋体"/>
                <w:color w:val="auto"/>
              </w:rPr>
              <w:t>二氧化硫</w:t>
            </w:r>
          </w:p>
        </w:tc>
        <w:tc>
          <w:tcPr>
            <w:tcW w:w="505" w:type="pct"/>
            <w:vAlign w:val="center"/>
          </w:tcPr>
          <w:p w14:paraId="51487932">
            <w:pPr>
              <w:widowControl/>
              <w:adjustRightInd w:val="0"/>
              <w:snapToGrid w:val="0"/>
              <w:jc w:val="center"/>
              <w:rPr>
                <w:rFonts w:ascii="宋体" w:hAnsi="宋体"/>
                <w:color w:val="auto"/>
              </w:rPr>
            </w:pPr>
            <w:r>
              <w:rPr>
                <w:rFonts w:ascii="宋体" w:hAnsi="宋体"/>
                <w:color w:val="auto"/>
              </w:rPr>
              <w:t>实测排放浓度（mg/m</w:t>
            </w:r>
            <w:r>
              <w:rPr>
                <w:rFonts w:ascii="宋体" w:hAnsi="宋体"/>
                <w:color w:val="auto"/>
                <w:vertAlign w:val="superscript"/>
              </w:rPr>
              <w:t>3</w:t>
            </w:r>
            <w:r>
              <w:rPr>
                <w:rFonts w:ascii="宋体" w:hAnsi="宋体"/>
                <w:color w:val="auto"/>
              </w:rPr>
              <w:t>）</w:t>
            </w:r>
          </w:p>
        </w:tc>
        <w:tc>
          <w:tcPr>
            <w:tcW w:w="139" w:type="pct"/>
            <w:vAlign w:val="center"/>
          </w:tcPr>
          <w:p w14:paraId="227E8258">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6103F333">
            <w:pPr>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3F4BF294">
            <w:pPr>
              <w:jc w:val="center"/>
              <w:rPr>
                <w:rFonts w:ascii="宋体" w:hAnsi="宋体"/>
                <w:color w:val="auto"/>
              </w:rPr>
            </w:pPr>
            <w:r>
              <w:rPr>
                <w:rFonts w:hint="eastAsia" w:ascii="宋体" w:hAnsi="宋体"/>
                <w:color w:val="auto"/>
              </w:rPr>
              <w:t>N</w:t>
            </w:r>
            <w:r>
              <w:rPr>
                <w:rFonts w:ascii="宋体" w:hAnsi="宋体"/>
                <w:color w:val="auto"/>
              </w:rPr>
              <w:t>D</w:t>
            </w:r>
          </w:p>
        </w:tc>
        <w:tc>
          <w:tcPr>
            <w:tcW w:w="257" w:type="pct"/>
            <w:gridSpan w:val="3"/>
            <w:vAlign w:val="center"/>
          </w:tcPr>
          <w:p w14:paraId="01277169">
            <w:pPr>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330A75A4">
            <w:pPr>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75AF4528">
            <w:pPr>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0CFEAB04">
            <w:pPr>
              <w:jc w:val="center"/>
              <w:rPr>
                <w:rFonts w:ascii="宋体" w:hAnsi="宋体"/>
                <w:color w:val="auto"/>
              </w:rPr>
            </w:pPr>
            <w:r>
              <w:rPr>
                <w:rFonts w:hint="eastAsia" w:ascii="宋体" w:hAnsi="宋体"/>
                <w:color w:val="auto"/>
              </w:rPr>
              <w:t>N</w:t>
            </w:r>
            <w:r>
              <w:rPr>
                <w:rFonts w:ascii="宋体" w:hAnsi="宋体"/>
                <w:color w:val="auto"/>
              </w:rPr>
              <w:t>D</w:t>
            </w:r>
          </w:p>
        </w:tc>
        <w:tc>
          <w:tcPr>
            <w:tcW w:w="257" w:type="pct"/>
            <w:gridSpan w:val="3"/>
            <w:vAlign w:val="center"/>
          </w:tcPr>
          <w:p w14:paraId="012E2B98">
            <w:pPr>
              <w:jc w:val="center"/>
              <w:rPr>
                <w:rFonts w:ascii="宋体" w:hAnsi="宋体"/>
                <w:color w:val="auto"/>
              </w:rPr>
            </w:pPr>
            <w:r>
              <w:rPr>
                <w:rFonts w:hint="eastAsia" w:ascii="宋体" w:hAnsi="宋体"/>
                <w:color w:val="auto"/>
              </w:rPr>
              <w:t>N</w:t>
            </w:r>
            <w:r>
              <w:rPr>
                <w:rFonts w:ascii="宋体" w:hAnsi="宋体"/>
                <w:color w:val="auto"/>
              </w:rPr>
              <w:t>D</w:t>
            </w:r>
          </w:p>
        </w:tc>
        <w:tc>
          <w:tcPr>
            <w:tcW w:w="251" w:type="pct"/>
            <w:gridSpan w:val="2"/>
            <w:vAlign w:val="center"/>
          </w:tcPr>
          <w:p w14:paraId="77471E35">
            <w:pPr>
              <w:jc w:val="center"/>
              <w:rPr>
                <w:rFonts w:ascii="宋体" w:hAnsi="宋体"/>
                <w:color w:val="auto"/>
              </w:rPr>
            </w:pPr>
            <w:r>
              <w:rPr>
                <w:rFonts w:hint="eastAsia" w:ascii="宋体" w:hAnsi="宋体"/>
                <w:color w:val="auto"/>
              </w:rPr>
              <w:t>N</w:t>
            </w:r>
            <w:r>
              <w:rPr>
                <w:rFonts w:ascii="宋体" w:hAnsi="宋体"/>
                <w:color w:val="auto"/>
              </w:rPr>
              <w:t>D</w:t>
            </w:r>
          </w:p>
        </w:tc>
        <w:tc>
          <w:tcPr>
            <w:tcW w:w="217" w:type="pct"/>
            <w:vAlign w:val="center"/>
          </w:tcPr>
          <w:p w14:paraId="21216FAA">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9" w:type="pct"/>
            <w:gridSpan w:val="4"/>
            <w:vAlign w:val="center"/>
          </w:tcPr>
          <w:p w14:paraId="132994D9">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359B49D7">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1C014748">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2" w:type="pct"/>
            <w:gridSpan w:val="2"/>
            <w:vAlign w:val="center"/>
          </w:tcPr>
          <w:p w14:paraId="7CEA3609">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1" w:type="pct"/>
            <w:gridSpan w:val="2"/>
            <w:vAlign w:val="center"/>
          </w:tcPr>
          <w:p w14:paraId="16E08580">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3" w:type="pct"/>
            <w:gridSpan w:val="2"/>
            <w:vAlign w:val="center"/>
          </w:tcPr>
          <w:p w14:paraId="50708F04">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0" w:type="pct"/>
            <w:gridSpan w:val="2"/>
            <w:vAlign w:val="center"/>
          </w:tcPr>
          <w:p w14:paraId="33B89F82">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4" w:type="pct"/>
            <w:vAlign w:val="center"/>
          </w:tcPr>
          <w:p w14:paraId="3AC593DA">
            <w:pPr>
              <w:widowControl/>
              <w:jc w:val="center"/>
              <w:rPr>
                <w:rFonts w:ascii="宋体" w:hAnsi="宋体"/>
                <w:color w:val="auto"/>
              </w:rPr>
            </w:pPr>
            <w:r>
              <w:rPr>
                <w:rFonts w:hint="eastAsia" w:ascii="宋体" w:hAnsi="宋体"/>
                <w:color w:val="auto"/>
              </w:rPr>
              <w:t>N</w:t>
            </w:r>
            <w:r>
              <w:rPr>
                <w:rFonts w:ascii="宋体" w:hAnsi="宋体"/>
                <w:color w:val="auto"/>
              </w:rPr>
              <w:t>D</w:t>
            </w:r>
          </w:p>
        </w:tc>
      </w:tr>
      <w:tr w14:paraId="62BCA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31DBAA55">
            <w:pPr>
              <w:widowControl/>
              <w:jc w:val="center"/>
              <w:rPr>
                <w:rFonts w:ascii="宋体" w:hAnsi="宋体"/>
                <w:color w:val="auto"/>
              </w:rPr>
            </w:pPr>
          </w:p>
        </w:tc>
        <w:tc>
          <w:tcPr>
            <w:tcW w:w="505" w:type="pct"/>
            <w:vAlign w:val="center"/>
          </w:tcPr>
          <w:p w14:paraId="1332C080">
            <w:pPr>
              <w:widowControl/>
              <w:adjustRightInd w:val="0"/>
              <w:snapToGrid w:val="0"/>
              <w:jc w:val="center"/>
              <w:rPr>
                <w:rFonts w:ascii="宋体" w:hAnsi="宋体"/>
                <w:color w:val="auto"/>
              </w:rPr>
            </w:pPr>
            <w:r>
              <w:rPr>
                <w:rFonts w:ascii="宋体" w:hAnsi="宋体"/>
                <w:color w:val="auto"/>
              </w:rPr>
              <w:t>实测排放浓度</w:t>
            </w:r>
            <w:r>
              <w:rPr>
                <w:rFonts w:hint="eastAsia" w:ascii="宋体" w:hAnsi="宋体"/>
                <w:color w:val="auto"/>
              </w:rPr>
              <w:t>均值</w:t>
            </w:r>
            <w:r>
              <w:rPr>
                <w:rFonts w:ascii="宋体" w:hAnsi="宋体"/>
                <w:color w:val="auto"/>
              </w:rPr>
              <w:t>（mg/m</w:t>
            </w:r>
            <w:r>
              <w:rPr>
                <w:rFonts w:ascii="宋体" w:hAnsi="宋体"/>
                <w:color w:val="auto"/>
                <w:vertAlign w:val="superscript"/>
              </w:rPr>
              <w:t>3</w:t>
            </w:r>
            <w:r>
              <w:rPr>
                <w:rFonts w:ascii="宋体" w:hAnsi="宋体"/>
                <w:color w:val="auto"/>
              </w:rPr>
              <w:t>）</w:t>
            </w:r>
          </w:p>
        </w:tc>
        <w:tc>
          <w:tcPr>
            <w:tcW w:w="631" w:type="pct"/>
            <w:gridSpan w:val="3"/>
            <w:vAlign w:val="center"/>
          </w:tcPr>
          <w:p w14:paraId="71ED5794">
            <w:pPr>
              <w:jc w:val="center"/>
              <w:rPr>
                <w:rFonts w:ascii="宋体" w:hAnsi="宋体"/>
                <w:color w:val="auto"/>
              </w:rPr>
            </w:pPr>
            <w:r>
              <w:rPr>
                <w:rFonts w:hint="eastAsia" w:ascii="宋体" w:hAnsi="宋体"/>
                <w:color w:val="auto"/>
              </w:rPr>
              <w:t>N</w:t>
            </w:r>
            <w:r>
              <w:rPr>
                <w:rFonts w:ascii="宋体" w:hAnsi="宋体"/>
                <w:color w:val="auto"/>
              </w:rPr>
              <w:t>D</w:t>
            </w:r>
          </w:p>
        </w:tc>
        <w:tc>
          <w:tcPr>
            <w:tcW w:w="749" w:type="pct"/>
            <w:gridSpan w:val="5"/>
            <w:vAlign w:val="center"/>
          </w:tcPr>
          <w:p w14:paraId="36CD988D">
            <w:pPr>
              <w:jc w:val="center"/>
              <w:rPr>
                <w:rFonts w:ascii="宋体" w:hAnsi="宋体"/>
                <w:color w:val="auto"/>
              </w:rPr>
            </w:pPr>
            <w:r>
              <w:rPr>
                <w:rFonts w:hint="eastAsia" w:ascii="宋体" w:hAnsi="宋体"/>
                <w:color w:val="auto"/>
              </w:rPr>
              <w:t>N</w:t>
            </w:r>
            <w:r>
              <w:rPr>
                <w:rFonts w:ascii="宋体" w:hAnsi="宋体"/>
                <w:color w:val="auto"/>
              </w:rPr>
              <w:t>D</w:t>
            </w:r>
          </w:p>
        </w:tc>
        <w:tc>
          <w:tcPr>
            <w:tcW w:w="754" w:type="pct"/>
            <w:gridSpan w:val="6"/>
            <w:vAlign w:val="center"/>
          </w:tcPr>
          <w:p w14:paraId="4D6BD356">
            <w:pPr>
              <w:jc w:val="center"/>
              <w:rPr>
                <w:rFonts w:ascii="宋体" w:hAnsi="宋体"/>
                <w:color w:val="auto"/>
              </w:rPr>
            </w:pPr>
            <w:r>
              <w:rPr>
                <w:rFonts w:hint="eastAsia" w:ascii="宋体" w:hAnsi="宋体"/>
                <w:color w:val="auto"/>
              </w:rPr>
              <w:t>N</w:t>
            </w:r>
            <w:r>
              <w:rPr>
                <w:rFonts w:ascii="宋体" w:hAnsi="宋体"/>
                <w:color w:val="auto"/>
              </w:rPr>
              <w:t>D</w:t>
            </w:r>
          </w:p>
        </w:tc>
        <w:tc>
          <w:tcPr>
            <w:tcW w:w="712" w:type="pct"/>
            <w:gridSpan w:val="6"/>
            <w:vAlign w:val="center"/>
          </w:tcPr>
          <w:p w14:paraId="05EA95AC">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750" w:type="pct"/>
            <w:gridSpan w:val="5"/>
            <w:vAlign w:val="center"/>
          </w:tcPr>
          <w:p w14:paraId="72C32AD3">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748" w:type="pct"/>
            <w:gridSpan w:val="5"/>
            <w:vAlign w:val="center"/>
          </w:tcPr>
          <w:p w14:paraId="3C1977AF">
            <w:pPr>
              <w:widowControl/>
              <w:jc w:val="center"/>
              <w:rPr>
                <w:rFonts w:ascii="宋体" w:hAnsi="宋体"/>
                <w:color w:val="auto"/>
              </w:rPr>
            </w:pPr>
            <w:r>
              <w:rPr>
                <w:rFonts w:hint="eastAsia" w:ascii="宋体" w:hAnsi="宋体"/>
                <w:color w:val="auto"/>
              </w:rPr>
              <w:t>N</w:t>
            </w:r>
            <w:r>
              <w:rPr>
                <w:rFonts w:ascii="宋体" w:hAnsi="宋体"/>
                <w:color w:val="auto"/>
              </w:rPr>
              <w:t>D</w:t>
            </w:r>
          </w:p>
        </w:tc>
      </w:tr>
      <w:tr w14:paraId="192A2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4A106EC6">
            <w:pPr>
              <w:widowControl/>
              <w:jc w:val="center"/>
              <w:rPr>
                <w:rFonts w:ascii="宋体" w:hAnsi="宋体"/>
                <w:color w:val="auto"/>
              </w:rPr>
            </w:pPr>
          </w:p>
        </w:tc>
        <w:tc>
          <w:tcPr>
            <w:tcW w:w="505" w:type="pct"/>
            <w:vAlign w:val="center"/>
          </w:tcPr>
          <w:p w14:paraId="2D05A399">
            <w:pPr>
              <w:widowControl/>
              <w:adjustRightInd w:val="0"/>
              <w:snapToGrid w:val="0"/>
              <w:jc w:val="center"/>
              <w:rPr>
                <w:rFonts w:ascii="宋体" w:hAnsi="宋体"/>
                <w:color w:val="auto"/>
              </w:rPr>
            </w:pPr>
            <w:r>
              <w:rPr>
                <w:rFonts w:ascii="宋体" w:hAnsi="宋体"/>
                <w:color w:val="auto"/>
              </w:rPr>
              <w:t>折算排放浓度（mg/m</w:t>
            </w:r>
            <w:r>
              <w:rPr>
                <w:rFonts w:ascii="宋体" w:hAnsi="宋体"/>
                <w:color w:val="auto"/>
                <w:vertAlign w:val="superscript"/>
              </w:rPr>
              <w:t>3</w:t>
            </w:r>
            <w:r>
              <w:rPr>
                <w:rFonts w:ascii="宋体" w:hAnsi="宋体"/>
                <w:color w:val="auto"/>
              </w:rPr>
              <w:t>）</w:t>
            </w:r>
          </w:p>
        </w:tc>
        <w:tc>
          <w:tcPr>
            <w:tcW w:w="139" w:type="pct"/>
            <w:vAlign w:val="center"/>
          </w:tcPr>
          <w:p w14:paraId="4FC4A004">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1056D845">
            <w:pPr>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0118A035">
            <w:pPr>
              <w:jc w:val="center"/>
              <w:rPr>
                <w:rFonts w:ascii="宋体" w:hAnsi="宋体"/>
                <w:color w:val="auto"/>
              </w:rPr>
            </w:pPr>
            <w:r>
              <w:rPr>
                <w:rFonts w:hint="eastAsia" w:ascii="宋体" w:hAnsi="宋体"/>
                <w:color w:val="auto"/>
              </w:rPr>
              <w:t>N</w:t>
            </w:r>
            <w:r>
              <w:rPr>
                <w:rFonts w:ascii="宋体" w:hAnsi="宋体"/>
                <w:color w:val="auto"/>
              </w:rPr>
              <w:t>D</w:t>
            </w:r>
          </w:p>
        </w:tc>
        <w:tc>
          <w:tcPr>
            <w:tcW w:w="257" w:type="pct"/>
            <w:gridSpan w:val="3"/>
            <w:vAlign w:val="center"/>
          </w:tcPr>
          <w:p w14:paraId="2EF4D316">
            <w:pPr>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3BEEE13B">
            <w:pPr>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4EF506F3">
            <w:pPr>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3D784646">
            <w:pPr>
              <w:jc w:val="center"/>
              <w:rPr>
                <w:rFonts w:ascii="宋体" w:hAnsi="宋体"/>
                <w:color w:val="auto"/>
              </w:rPr>
            </w:pPr>
            <w:r>
              <w:rPr>
                <w:rFonts w:hint="eastAsia" w:ascii="宋体" w:hAnsi="宋体"/>
                <w:color w:val="auto"/>
              </w:rPr>
              <w:t>N</w:t>
            </w:r>
            <w:r>
              <w:rPr>
                <w:rFonts w:ascii="宋体" w:hAnsi="宋体"/>
                <w:color w:val="auto"/>
              </w:rPr>
              <w:t>D</w:t>
            </w:r>
          </w:p>
        </w:tc>
        <w:tc>
          <w:tcPr>
            <w:tcW w:w="257" w:type="pct"/>
            <w:gridSpan w:val="3"/>
            <w:vAlign w:val="center"/>
          </w:tcPr>
          <w:p w14:paraId="35D62ADF">
            <w:pPr>
              <w:jc w:val="center"/>
              <w:rPr>
                <w:rFonts w:ascii="宋体" w:hAnsi="宋体"/>
                <w:color w:val="auto"/>
              </w:rPr>
            </w:pPr>
            <w:r>
              <w:rPr>
                <w:rFonts w:hint="eastAsia" w:ascii="宋体" w:hAnsi="宋体"/>
                <w:color w:val="auto"/>
              </w:rPr>
              <w:t>N</w:t>
            </w:r>
            <w:r>
              <w:rPr>
                <w:rFonts w:ascii="宋体" w:hAnsi="宋体"/>
                <w:color w:val="auto"/>
              </w:rPr>
              <w:t>D</w:t>
            </w:r>
          </w:p>
        </w:tc>
        <w:tc>
          <w:tcPr>
            <w:tcW w:w="251" w:type="pct"/>
            <w:gridSpan w:val="2"/>
            <w:vAlign w:val="center"/>
          </w:tcPr>
          <w:p w14:paraId="5852CBEB">
            <w:pPr>
              <w:jc w:val="center"/>
              <w:rPr>
                <w:rFonts w:ascii="宋体" w:hAnsi="宋体"/>
                <w:color w:val="auto"/>
              </w:rPr>
            </w:pPr>
            <w:r>
              <w:rPr>
                <w:rFonts w:hint="eastAsia" w:ascii="宋体" w:hAnsi="宋体"/>
                <w:color w:val="auto"/>
              </w:rPr>
              <w:t>N</w:t>
            </w:r>
            <w:r>
              <w:rPr>
                <w:rFonts w:ascii="宋体" w:hAnsi="宋体"/>
                <w:color w:val="auto"/>
              </w:rPr>
              <w:t>D</w:t>
            </w:r>
          </w:p>
        </w:tc>
        <w:tc>
          <w:tcPr>
            <w:tcW w:w="217" w:type="pct"/>
            <w:vAlign w:val="center"/>
          </w:tcPr>
          <w:p w14:paraId="01E5C07C">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9" w:type="pct"/>
            <w:gridSpan w:val="4"/>
            <w:vAlign w:val="center"/>
          </w:tcPr>
          <w:p w14:paraId="4DBF94A4">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464384F5">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6" w:type="pct"/>
            <w:vAlign w:val="center"/>
          </w:tcPr>
          <w:p w14:paraId="41422001">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2" w:type="pct"/>
            <w:gridSpan w:val="2"/>
            <w:vAlign w:val="center"/>
          </w:tcPr>
          <w:p w14:paraId="22B3104B">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1" w:type="pct"/>
            <w:gridSpan w:val="2"/>
            <w:vAlign w:val="center"/>
          </w:tcPr>
          <w:p w14:paraId="38DA402E">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3" w:type="pct"/>
            <w:gridSpan w:val="2"/>
            <w:vAlign w:val="center"/>
          </w:tcPr>
          <w:p w14:paraId="2B083664">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0" w:type="pct"/>
            <w:gridSpan w:val="2"/>
            <w:vAlign w:val="center"/>
          </w:tcPr>
          <w:p w14:paraId="51067D5C">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4" w:type="pct"/>
            <w:vAlign w:val="center"/>
          </w:tcPr>
          <w:p w14:paraId="42117588">
            <w:pPr>
              <w:widowControl/>
              <w:jc w:val="center"/>
              <w:rPr>
                <w:rFonts w:ascii="宋体" w:hAnsi="宋体"/>
                <w:color w:val="auto"/>
              </w:rPr>
            </w:pPr>
            <w:r>
              <w:rPr>
                <w:rFonts w:hint="eastAsia" w:ascii="宋体" w:hAnsi="宋体"/>
                <w:color w:val="auto"/>
              </w:rPr>
              <w:t>N</w:t>
            </w:r>
            <w:r>
              <w:rPr>
                <w:rFonts w:ascii="宋体" w:hAnsi="宋体"/>
                <w:color w:val="auto"/>
              </w:rPr>
              <w:t>D</w:t>
            </w:r>
          </w:p>
        </w:tc>
      </w:tr>
      <w:tr w14:paraId="671C1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6B5B26A4">
            <w:pPr>
              <w:widowControl/>
              <w:jc w:val="center"/>
              <w:rPr>
                <w:rFonts w:ascii="宋体" w:hAnsi="宋体"/>
                <w:color w:val="auto"/>
              </w:rPr>
            </w:pPr>
          </w:p>
        </w:tc>
        <w:tc>
          <w:tcPr>
            <w:tcW w:w="505" w:type="pct"/>
            <w:vAlign w:val="center"/>
          </w:tcPr>
          <w:p w14:paraId="008FBD25">
            <w:pPr>
              <w:widowControl/>
              <w:adjustRightInd w:val="0"/>
              <w:snapToGrid w:val="0"/>
              <w:jc w:val="center"/>
              <w:rPr>
                <w:rFonts w:ascii="宋体" w:hAnsi="宋体"/>
                <w:color w:val="auto"/>
              </w:rPr>
            </w:pPr>
            <w:r>
              <w:rPr>
                <w:rFonts w:ascii="宋体" w:hAnsi="宋体"/>
                <w:color w:val="auto"/>
              </w:rPr>
              <w:t>折算排放浓度</w:t>
            </w:r>
            <w:r>
              <w:rPr>
                <w:rFonts w:hint="eastAsia" w:ascii="宋体" w:hAnsi="宋体"/>
                <w:color w:val="auto"/>
              </w:rPr>
              <w:t>均值</w:t>
            </w:r>
            <w:r>
              <w:rPr>
                <w:rFonts w:ascii="宋体" w:hAnsi="宋体"/>
                <w:color w:val="auto"/>
              </w:rPr>
              <w:t>（mg/m</w:t>
            </w:r>
            <w:r>
              <w:rPr>
                <w:rFonts w:ascii="宋体" w:hAnsi="宋体"/>
                <w:color w:val="auto"/>
                <w:vertAlign w:val="superscript"/>
              </w:rPr>
              <w:t>3</w:t>
            </w:r>
            <w:r>
              <w:rPr>
                <w:rFonts w:ascii="宋体" w:hAnsi="宋体"/>
                <w:color w:val="auto"/>
              </w:rPr>
              <w:t>）</w:t>
            </w:r>
          </w:p>
        </w:tc>
        <w:tc>
          <w:tcPr>
            <w:tcW w:w="631" w:type="pct"/>
            <w:gridSpan w:val="3"/>
            <w:vAlign w:val="center"/>
          </w:tcPr>
          <w:p w14:paraId="0A67B717">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749" w:type="pct"/>
            <w:gridSpan w:val="5"/>
            <w:vAlign w:val="center"/>
          </w:tcPr>
          <w:p w14:paraId="1B4EA9B0">
            <w:pPr>
              <w:jc w:val="center"/>
              <w:rPr>
                <w:rFonts w:ascii="宋体" w:hAnsi="宋体"/>
                <w:color w:val="auto"/>
              </w:rPr>
            </w:pPr>
            <w:r>
              <w:rPr>
                <w:rFonts w:hint="eastAsia" w:ascii="宋体" w:hAnsi="宋体"/>
                <w:color w:val="auto"/>
              </w:rPr>
              <w:t>N</w:t>
            </w:r>
            <w:r>
              <w:rPr>
                <w:rFonts w:ascii="宋体" w:hAnsi="宋体"/>
                <w:color w:val="auto"/>
              </w:rPr>
              <w:t>D</w:t>
            </w:r>
          </w:p>
        </w:tc>
        <w:tc>
          <w:tcPr>
            <w:tcW w:w="754" w:type="pct"/>
            <w:gridSpan w:val="6"/>
            <w:vAlign w:val="center"/>
          </w:tcPr>
          <w:p w14:paraId="740A6582">
            <w:pPr>
              <w:jc w:val="center"/>
              <w:rPr>
                <w:rFonts w:ascii="宋体" w:hAnsi="宋体"/>
                <w:color w:val="auto"/>
              </w:rPr>
            </w:pPr>
            <w:r>
              <w:rPr>
                <w:rFonts w:hint="eastAsia" w:ascii="宋体" w:hAnsi="宋体"/>
                <w:color w:val="auto"/>
              </w:rPr>
              <w:t>N</w:t>
            </w:r>
            <w:r>
              <w:rPr>
                <w:rFonts w:ascii="宋体" w:hAnsi="宋体"/>
                <w:color w:val="auto"/>
              </w:rPr>
              <w:t>D</w:t>
            </w:r>
          </w:p>
        </w:tc>
        <w:tc>
          <w:tcPr>
            <w:tcW w:w="712" w:type="pct"/>
            <w:gridSpan w:val="6"/>
            <w:vAlign w:val="center"/>
          </w:tcPr>
          <w:p w14:paraId="03B7C720">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750" w:type="pct"/>
            <w:gridSpan w:val="5"/>
            <w:vAlign w:val="center"/>
          </w:tcPr>
          <w:p w14:paraId="6BEDA6CA">
            <w:pPr>
              <w:jc w:val="center"/>
              <w:rPr>
                <w:rFonts w:ascii="宋体" w:hAnsi="宋体"/>
                <w:color w:val="auto"/>
              </w:rPr>
            </w:pPr>
            <w:r>
              <w:rPr>
                <w:rFonts w:hint="eastAsia" w:ascii="宋体" w:hAnsi="宋体"/>
                <w:color w:val="auto"/>
              </w:rPr>
              <w:t>N</w:t>
            </w:r>
            <w:r>
              <w:rPr>
                <w:rFonts w:ascii="宋体" w:hAnsi="宋体"/>
                <w:color w:val="auto"/>
              </w:rPr>
              <w:t>D</w:t>
            </w:r>
          </w:p>
        </w:tc>
        <w:tc>
          <w:tcPr>
            <w:tcW w:w="748" w:type="pct"/>
            <w:gridSpan w:val="5"/>
            <w:vAlign w:val="center"/>
          </w:tcPr>
          <w:p w14:paraId="593B1A8F">
            <w:pPr>
              <w:jc w:val="center"/>
              <w:rPr>
                <w:rFonts w:ascii="宋体" w:hAnsi="宋体"/>
                <w:color w:val="auto"/>
              </w:rPr>
            </w:pPr>
            <w:r>
              <w:rPr>
                <w:rFonts w:hint="eastAsia" w:ascii="宋体" w:hAnsi="宋体"/>
                <w:color w:val="auto"/>
              </w:rPr>
              <w:t>N</w:t>
            </w:r>
            <w:r>
              <w:rPr>
                <w:rFonts w:ascii="宋体" w:hAnsi="宋体"/>
                <w:color w:val="auto"/>
              </w:rPr>
              <w:t>D</w:t>
            </w:r>
          </w:p>
        </w:tc>
      </w:tr>
      <w:tr w14:paraId="6542C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734CEC1D">
            <w:pPr>
              <w:widowControl/>
              <w:jc w:val="center"/>
              <w:rPr>
                <w:rFonts w:ascii="宋体" w:hAnsi="宋体"/>
                <w:color w:val="auto"/>
              </w:rPr>
            </w:pPr>
          </w:p>
        </w:tc>
        <w:tc>
          <w:tcPr>
            <w:tcW w:w="505" w:type="pct"/>
            <w:vAlign w:val="center"/>
          </w:tcPr>
          <w:p w14:paraId="2704922D">
            <w:pPr>
              <w:widowControl/>
              <w:adjustRightInd w:val="0"/>
              <w:snapToGrid w:val="0"/>
              <w:jc w:val="center"/>
              <w:rPr>
                <w:rFonts w:ascii="宋体" w:hAnsi="宋体"/>
                <w:color w:val="auto"/>
              </w:rPr>
            </w:pPr>
            <w:r>
              <w:rPr>
                <w:rFonts w:hint="eastAsia" w:ascii="宋体" w:hAnsi="宋体"/>
                <w:color w:val="auto"/>
              </w:rPr>
              <w:t>排放速率</w:t>
            </w:r>
            <w:r>
              <w:rPr>
                <w:rFonts w:ascii="宋体" w:hAnsi="宋体"/>
                <w:color w:val="auto"/>
              </w:rPr>
              <w:t>（</w:t>
            </w:r>
            <w:r>
              <w:rPr>
                <w:rFonts w:hint="eastAsia" w:ascii="宋体" w:hAnsi="宋体"/>
                <w:color w:val="auto"/>
              </w:rPr>
              <w:t>kg</w:t>
            </w:r>
            <w:r>
              <w:rPr>
                <w:rFonts w:ascii="宋体" w:hAnsi="宋体"/>
                <w:color w:val="auto"/>
              </w:rPr>
              <w:t>/h）</w:t>
            </w:r>
          </w:p>
        </w:tc>
        <w:tc>
          <w:tcPr>
            <w:tcW w:w="139" w:type="pct"/>
            <w:vAlign w:val="center"/>
          </w:tcPr>
          <w:p w14:paraId="46F6174D">
            <w:pPr>
              <w:widowControl/>
              <w:jc w:val="center"/>
              <w:rPr>
                <w:rFonts w:ascii="宋体" w:hAnsi="宋体"/>
                <w:color w:val="auto"/>
              </w:rPr>
            </w:pPr>
            <w:r>
              <w:rPr>
                <w:rFonts w:hint="eastAsia" w:ascii="宋体" w:hAnsi="宋体"/>
                <w:color w:val="auto"/>
              </w:rPr>
              <w:t>3.30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6" w:type="pct"/>
            <w:vAlign w:val="center"/>
          </w:tcPr>
          <w:p w14:paraId="1DA8934A">
            <w:pPr>
              <w:widowControl/>
              <w:jc w:val="center"/>
              <w:rPr>
                <w:rFonts w:ascii="宋体" w:hAnsi="宋体"/>
                <w:color w:val="auto"/>
              </w:rPr>
            </w:pPr>
            <w:r>
              <w:rPr>
                <w:rFonts w:hint="eastAsia" w:ascii="宋体" w:hAnsi="宋体"/>
                <w:color w:val="auto"/>
              </w:rPr>
              <w:t>3.30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6" w:type="pct"/>
            <w:vAlign w:val="center"/>
          </w:tcPr>
          <w:p w14:paraId="06812815">
            <w:pPr>
              <w:widowControl/>
              <w:jc w:val="center"/>
              <w:rPr>
                <w:rFonts w:ascii="宋体" w:hAnsi="宋体"/>
                <w:color w:val="auto"/>
              </w:rPr>
            </w:pPr>
            <w:r>
              <w:rPr>
                <w:rFonts w:hint="eastAsia" w:ascii="宋体" w:hAnsi="宋体"/>
                <w:color w:val="auto"/>
              </w:rPr>
              <w:t>3.30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2" w:type="pct"/>
            <w:gridSpan w:val="2"/>
            <w:vAlign w:val="center"/>
          </w:tcPr>
          <w:p w14:paraId="350857A8">
            <w:pPr>
              <w:jc w:val="center"/>
              <w:rPr>
                <w:rFonts w:ascii="宋体" w:hAnsi="宋体"/>
                <w:color w:val="auto"/>
              </w:rPr>
            </w:pPr>
            <w:r>
              <w:rPr>
                <w:rFonts w:hint="eastAsia" w:ascii="宋体" w:hAnsi="宋体"/>
                <w:color w:val="auto"/>
              </w:rPr>
              <w:t>3.40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62" w:type="pct"/>
            <w:gridSpan w:val="2"/>
            <w:vAlign w:val="center"/>
          </w:tcPr>
          <w:p w14:paraId="2C5778EF">
            <w:pPr>
              <w:jc w:val="center"/>
              <w:rPr>
                <w:rFonts w:ascii="宋体" w:hAnsi="宋体"/>
                <w:color w:val="auto"/>
              </w:rPr>
            </w:pPr>
            <w:r>
              <w:rPr>
                <w:rFonts w:hint="eastAsia" w:ascii="宋体" w:hAnsi="宋体"/>
                <w:color w:val="auto"/>
              </w:rPr>
              <w:t>3.40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6" w:type="pct"/>
            <w:vAlign w:val="center"/>
          </w:tcPr>
          <w:p w14:paraId="446E164A">
            <w:pPr>
              <w:jc w:val="center"/>
              <w:rPr>
                <w:rFonts w:ascii="宋体" w:hAnsi="宋体"/>
                <w:color w:val="auto"/>
              </w:rPr>
            </w:pPr>
            <w:r>
              <w:rPr>
                <w:rFonts w:hint="eastAsia" w:ascii="宋体" w:hAnsi="宋体"/>
                <w:color w:val="auto"/>
              </w:rPr>
              <w:t>3.40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58" w:type="pct"/>
            <w:gridSpan w:val="2"/>
            <w:vAlign w:val="center"/>
          </w:tcPr>
          <w:p w14:paraId="60CC8F0E">
            <w:pPr>
              <w:jc w:val="center"/>
              <w:rPr>
                <w:rFonts w:ascii="宋体" w:hAnsi="宋体"/>
                <w:color w:val="auto"/>
              </w:rPr>
            </w:pPr>
            <w:r>
              <w:rPr>
                <w:rFonts w:hint="eastAsia" w:ascii="宋体" w:hAnsi="宋体"/>
                <w:color w:val="auto"/>
              </w:rPr>
              <w:t>3.20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57" w:type="pct"/>
            <w:gridSpan w:val="3"/>
            <w:vAlign w:val="center"/>
          </w:tcPr>
          <w:p w14:paraId="606EBB75">
            <w:pPr>
              <w:jc w:val="center"/>
              <w:rPr>
                <w:rFonts w:ascii="宋体" w:hAnsi="宋体"/>
                <w:color w:val="auto"/>
              </w:rPr>
            </w:pPr>
            <w:r>
              <w:rPr>
                <w:rFonts w:hint="eastAsia" w:ascii="宋体" w:hAnsi="宋体"/>
                <w:color w:val="auto"/>
              </w:rPr>
              <w:t>3.20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39" w:type="pct"/>
            <w:vAlign w:val="center"/>
          </w:tcPr>
          <w:p w14:paraId="028F2339">
            <w:pPr>
              <w:jc w:val="center"/>
              <w:rPr>
                <w:rFonts w:ascii="宋体" w:hAnsi="宋体"/>
                <w:color w:val="auto"/>
              </w:rPr>
            </w:pPr>
            <w:r>
              <w:rPr>
                <w:rFonts w:hint="eastAsia" w:ascii="宋体" w:hAnsi="宋体"/>
                <w:color w:val="auto"/>
              </w:rPr>
              <w:t>3.20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27" w:type="pct"/>
            <w:gridSpan w:val="2"/>
            <w:vAlign w:val="center"/>
          </w:tcPr>
          <w:p w14:paraId="6D847E89">
            <w:pPr>
              <w:widowControl/>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27" w:type="pct"/>
            <w:gridSpan w:val="2"/>
            <w:vAlign w:val="center"/>
          </w:tcPr>
          <w:p w14:paraId="6F504F33">
            <w:pPr>
              <w:widowControl/>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57" w:type="pct"/>
            <w:gridSpan w:val="2"/>
            <w:vAlign w:val="center"/>
          </w:tcPr>
          <w:p w14:paraId="2CBE5E1C">
            <w:pPr>
              <w:widowControl/>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58" w:type="pct"/>
            <w:gridSpan w:val="2"/>
            <w:vAlign w:val="center"/>
          </w:tcPr>
          <w:p w14:paraId="46EBEF62">
            <w:pPr>
              <w:jc w:val="center"/>
              <w:rPr>
                <w:rFonts w:ascii="宋体" w:hAnsi="宋体"/>
                <w:color w:val="auto"/>
              </w:rPr>
            </w:pPr>
            <w:r>
              <w:rPr>
                <w:rFonts w:hint="eastAsia" w:ascii="宋体" w:hAnsi="宋体"/>
                <w:color w:val="auto"/>
              </w:rPr>
              <w:t>2.74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0" w:type="pct"/>
            <w:vAlign w:val="center"/>
          </w:tcPr>
          <w:p w14:paraId="0FCDB8A6">
            <w:pPr>
              <w:jc w:val="center"/>
              <w:rPr>
                <w:rFonts w:ascii="宋体" w:hAnsi="宋体"/>
                <w:color w:val="auto"/>
              </w:rPr>
            </w:pPr>
            <w:r>
              <w:rPr>
                <w:rFonts w:hint="eastAsia" w:ascii="宋体" w:hAnsi="宋体"/>
                <w:color w:val="auto"/>
              </w:rPr>
              <w:t>2.74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51" w:type="pct"/>
            <w:gridSpan w:val="2"/>
            <w:vAlign w:val="center"/>
          </w:tcPr>
          <w:p w14:paraId="2E6FD692">
            <w:pPr>
              <w:jc w:val="center"/>
              <w:rPr>
                <w:rFonts w:ascii="宋体" w:hAnsi="宋体"/>
                <w:color w:val="auto"/>
              </w:rPr>
            </w:pPr>
            <w:r>
              <w:rPr>
                <w:rFonts w:hint="eastAsia" w:ascii="宋体" w:hAnsi="宋体"/>
                <w:color w:val="auto"/>
              </w:rPr>
              <w:t>2.74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3" w:type="pct"/>
            <w:vAlign w:val="center"/>
          </w:tcPr>
          <w:p w14:paraId="7EA6EB34">
            <w:pPr>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8" w:type="pct"/>
            <w:gridSpan w:val="2"/>
            <w:vAlign w:val="center"/>
          </w:tcPr>
          <w:p w14:paraId="2E48C77D">
            <w:pPr>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56" w:type="pct"/>
            <w:gridSpan w:val="2"/>
            <w:vAlign w:val="center"/>
          </w:tcPr>
          <w:p w14:paraId="03409A16">
            <w:pPr>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r>
      <w:tr w14:paraId="55388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33D02079">
            <w:pPr>
              <w:widowControl/>
              <w:jc w:val="center"/>
              <w:rPr>
                <w:rFonts w:ascii="宋体" w:hAnsi="宋体"/>
                <w:color w:val="auto"/>
              </w:rPr>
            </w:pPr>
          </w:p>
        </w:tc>
        <w:tc>
          <w:tcPr>
            <w:tcW w:w="505" w:type="pct"/>
            <w:vAlign w:val="center"/>
          </w:tcPr>
          <w:p w14:paraId="3F9F964F">
            <w:pPr>
              <w:widowControl/>
              <w:adjustRightInd w:val="0"/>
              <w:snapToGrid w:val="0"/>
              <w:jc w:val="center"/>
              <w:rPr>
                <w:rFonts w:ascii="宋体" w:hAnsi="宋体"/>
                <w:color w:val="auto"/>
              </w:rPr>
            </w:pPr>
            <w:r>
              <w:rPr>
                <w:rFonts w:hint="eastAsia" w:ascii="宋体" w:hAnsi="宋体"/>
                <w:color w:val="auto"/>
              </w:rPr>
              <w:t>排放速率均值</w:t>
            </w:r>
            <w:r>
              <w:rPr>
                <w:rFonts w:ascii="宋体" w:hAnsi="宋体"/>
                <w:color w:val="auto"/>
              </w:rPr>
              <w:t>（</w:t>
            </w:r>
            <w:r>
              <w:rPr>
                <w:rFonts w:hint="eastAsia" w:ascii="宋体" w:hAnsi="宋体"/>
                <w:color w:val="auto"/>
              </w:rPr>
              <w:t>kg</w:t>
            </w:r>
            <w:r>
              <w:rPr>
                <w:rFonts w:ascii="宋体" w:hAnsi="宋体"/>
                <w:color w:val="auto"/>
              </w:rPr>
              <w:t>/h）</w:t>
            </w:r>
          </w:p>
        </w:tc>
        <w:tc>
          <w:tcPr>
            <w:tcW w:w="631" w:type="pct"/>
            <w:gridSpan w:val="3"/>
            <w:vAlign w:val="center"/>
          </w:tcPr>
          <w:p w14:paraId="6A33B91E">
            <w:pPr>
              <w:adjustRightInd w:val="0"/>
              <w:snapToGrid w:val="0"/>
              <w:jc w:val="center"/>
              <w:rPr>
                <w:rFonts w:ascii="宋体" w:hAnsi="宋体"/>
                <w:color w:val="auto"/>
              </w:rPr>
            </w:pPr>
            <w:r>
              <w:rPr>
                <w:rFonts w:hint="eastAsia" w:ascii="宋体" w:hAnsi="宋体"/>
                <w:color w:val="auto"/>
              </w:rPr>
              <w:t>3.30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749" w:type="pct"/>
            <w:gridSpan w:val="5"/>
            <w:vAlign w:val="center"/>
          </w:tcPr>
          <w:p w14:paraId="04CFE2CD">
            <w:pPr>
              <w:adjustRightInd w:val="0"/>
              <w:snapToGrid w:val="0"/>
              <w:jc w:val="center"/>
              <w:rPr>
                <w:rFonts w:ascii="宋体" w:hAnsi="宋体"/>
                <w:color w:val="auto"/>
                <w:kern w:val="0"/>
              </w:rPr>
            </w:pPr>
            <w:r>
              <w:rPr>
                <w:rFonts w:hint="eastAsia" w:ascii="宋体" w:hAnsi="宋体"/>
                <w:color w:val="auto"/>
              </w:rPr>
              <w:t>3.40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754" w:type="pct"/>
            <w:gridSpan w:val="6"/>
            <w:vAlign w:val="center"/>
          </w:tcPr>
          <w:p w14:paraId="1D75CE91">
            <w:pPr>
              <w:jc w:val="center"/>
              <w:rPr>
                <w:rFonts w:ascii="宋体" w:hAnsi="宋体"/>
                <w:color w:val="auto"/>
              </w:rPr>
            </w:pPr>
            <w:bookmarkStart w:id="418" w:name="OLE_LINK139"/>
            <w:r>
              <w:rPr>
                <w:rFonts w:hint="eastAsia" w:ascii="宋体" w:hAnsi="宋体"/>
                <w:color w:val="auto"/>
              </w:rPr>
              <w:t>3.20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bookmarkEnd w:id="418"/>
          </w:p>
        </w:tc>
        <w:tc>
          <w:tcPr>
            <w:tcW w:w="712" w:type="pct"/>
            <w:gridSpan w:val="6"/>
            <w:vAlign w:val="center"/>
          </w:tcPr>
          <w:p w14:paraId="275C6837">
            <w:pPr>
              <w:adjustRightInd w:val="0"/>
              <w:snapToGrid w:val="0"/>
              <w:jc w:val="center"/>
              <w:rPr>
                <w:rFonts w:ascii="宋体" w:hAnsi="宋体"/>
                <w:color w:val="auto"/>
                <w:kern w:val="0"/>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750" w:type="pct"/>
            <w:gridSpan w:val="5"/>
            <w:vAlign w:val="center"/>
          </w:tcPr>
          <w:p w14:paraId="3A4549B9">
            <w:pPr>
              <w:adjustRightInd w:val="0"/>
              <w:snapToGrid w:val="0"/>
              <w:jc w:val="center"/>
              <w:rPr>
                <w:rFonts w:ascii="宋体" w:hAnsi="宋体"/>
                <w:color w:val="auto"/>
                <w:kern w:val="0"/>
              </w:rPr>
            </w:pPr>
            <w:r>
              <w:rPr>
                <w:rFonts w:hint="eastAsia" w:ascii="宋体" w:hAnsi="宋体"/>
                <w:color w:val="auto"/>
              </w:rPr>
              <w:t>2.74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748" w:type="pct"/>
            <w:gridSpan w:val="5"/>
            <w:vAlign w:val="center"/>
          </w:tcPr>
          <w:p w14:paraId="096A357A">
            <w:pPr>
              <w:adjustRightInd w:val="0"/>
              <w:snapToGrid w:val="0"/>
              <w:jc w:val="center"/>
              <w:rPr>
                <w:rFonts w:ascii="宋体" w:hAnsi="宋体"/>
                <w:color w:val="auto"/>
                <w:kern w:val="0"/>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r>
      <w:tr w14:paraId="18AAC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restart"/>
            <w:vAlign w:val="center"/>
          </w:tcPr>
          <w:p w14:paraId="4850CF22">
            <w:pPr>
              <w:widowControl/>
              <w:adjustRightInd w:val="0"/>
              <w:snapToGrid w:val="0"/>
              <w:jc w:val="center"/>
              <w:rPr>
                <w:rFonts w:ascii="宋体" w:hAnsi="宋体"/>
                <w:color w:val="auto"/>
              </w:rPr>
            </w:pPr>
            <w:r>
              <w:rPr>
                <w:rFonts w:hint="eastAsia" w:ascii="宋体" w:hAnsi="宋体"/>
                <w:color w:val="auto"/>
              </w:rPr>
              <w:t>氮氧化物</w:t>
            </w:r>
          </w:p>
        </w:tc>
        <w:tc>
          <w:tcPr>
            <w:tcW w:w="505" w:type="pct"/>
            <w:vAlign w:val="center"/>
          </w:tcPr>
          <w:p w14:paraId="04BFA1AB">
            <w:pPr>
              <w:widowControl/>
              <w:adjustRightInd w:val="0"/>
              <w:snapToGrid w:val="0"/>
              <w:jc w:val="center"/>
              <w:rPr>
                <w:rFonts w:ascii="宋体" w:hAnsi="宋体"/>
                <w:color w:val="auto"/>
              </w:rPr>
            </w:pPr>
            <w:r>
              <w:rPr>
                <w:rFonts w:ascii="宋体" w:hAnsi="宋体"/>
                <w:color w:val="auto"/>
              </w:rPr>
              <w:t>实测排放浓度（mg/m</w:t>
            </w:r>
            <w:r>
              <w:rPr>
                <w:rFonts w:ascii="宋体" w:hAnsi="宋体"/>
                <w:color w:val="auto"/>
                <w:vertAlign w:val="superscript"/>
              </w:rPr>
              <w:t>3</w:t>
            </w:r>
            <w:r>
              <w:rPr>
                <w:rFonts w:ascii="宋体" w:hAnsi="宋体"/>
                <w:color w:val="auto"/>
              </w:rPr>
              <w:t>）</w:t>
            </w:r>
          </w:p>
        </w:tc>
        <w:tc>
          <w:tcPr>
            <w:tcW w:w="139" w:type="pct"/>
            <w:vAlign w:val="center"/>
          </w:tcPr>
          <w:p w14:paraId="351C68FA">
            <w:pPr>
              <w:widowControl/>
              <w:adjustRightInd w:val="0"/>
              <w:snapToGrid w:val="0"/>
              <w:jc w:val="center"/>
              <w:rPr>
                <w:rFonts w:ascii="宋体" w:hAnsi="宋体"/>
                <w:color w:val="auto"/>
              </w:rPr>
            </w:pPr>
            <w:r>
              <w:rPr>
                <w:rFonts w:hint="eastAsia" w:ascii="宋体" w:hAnsi="宋体"/>
                <w:color w:val="auto"/>
              </w:rPr>
              <w:t>34</w:t>
            </w:r>
          </w:p>
        </w:tc>
        <w:tc>
          <w:tcPr>
            <w:tcW w:w="246" w:type="pct"/>
            <w:vAlign w:val="center"/>
          </w:tcPr>
          <w:p w14:paraId="2D282C9F">
            <w:pPr>
              <w:adjustRightInd w:val="0"/>
              <w:snapToGrid w:val="0"/>
              <w:jc w:val="center"/>
              <w:rPr>
                <w:rFonts w:ascii="宋体" w:hAnsi="宋体"/>
                <w:color w:val="auto"/>
              </w:rPr>
            </w:pPr>
            <w:r>
              <w:rPr>
                <w:rFonts w:hint="eastAsia" w:ascii="宋体" w:hAnsi="宋体"/>
                <w:color w:val="auto"/>
              </w:rPr>
              <w:t>33</w:t>
            </w:r>
          </w:p>
        </w:tc>
        <w:tc>
          <w:tcPr>
            <w:tcW w:w="246" w:type="pct"/>
            <w:vAlign w:val="center"/>
          </w:tcPr>
          <w:p w14:paraId="6AB01B11">
            <w:pPr>
              <w:adjustRightInd w:val="0"/>
              <w:snapToGrid w:val="0"/>
              <w:jc w:val="center"/>
              <w:rPr>
                <w:rFonts w:ascii="宋体" w:hAnsi="宋体"/>
                <w:color w:val="auto"/>
              </w:rPr>
            </w:pPr>
            <w:r>
              <w:rPr>
                <w:rFonts w:hint="eastAsia" w:ascii="宋体" w:hAnsi="宋体"/>
                <w:color w:val="auto"/>
              </w:rPr>
              <w:t>34</w:t>
            </w:r>
          </w:p>
        </w:tc>
        <w:tc>
          <w:tcPr>
            <w:tcW w:w="257" w:type="pct"/>
            <w:gridSpan w:val="3"/>
            <w:vAlign w:val="center"/>
          </w:tcPr>
          <w:p w14:paraId="789CE61F">
            <w:pPr>
              <w:widowControl/>
              <w:adjustRightInd w:val="0"/>
              <w:snapToGrid w:val="0"/>
              <w:jc w:val="center"/>
              <w:rPr>
                <w:rFonts w:ascii="宋体" w:hAnsi="宋体"/>
                <w:color w:val="auto"/>
              </w:rPr>
            </w:pPr>
            <w:r>
              <w:rPr>
                <w:rFonts w:hint="eastAsia" w:ascii="宋体" w:hAnsi="宋体"/>
                <w:color w:val="auto"/>
              </w:rPr>
              <w:t>33</w:t>
            </w:r>
          </w:p>
        </w:tc>
        <w:tc>
          <w:tcPr>
            <w:tcW w:w="246" w:type="pct"/>
            <w:vAlign w:val="center"/>
          </w:tcPr>
          <w:p w14:paraId="00403B7D">
            <w:pPr>
              <w:widowControl/>
              <w:adjustRightInd w:val="0"/>
              <w:snapToGrid w:val="0"/>
              <w:jc w:val="center"/>
              <w:rPr>
                <w:rFonts w:ascii="宋体" w:hAnsi="宋体"/>
                <w:color w:val="auto"/>
              </w:rPr>
            </w:pPr>
            <w:r>
              <w:rPr>
                <w:rFonts w:hint="eastAsia" w:ascii="宋体" w:hAnsi="宋体"/>
                <w:color w:val="auto"/>
              </w:rPr>
              <w:t>32</w:t>
            </w:r>
          </w:p>
        </w:tc>
        <w:tc>
          <w:tcPr>
            <w:tcW w:w="246" w:type="pct"/>
            <w:vAlign w:val="center"/>
          </w:tcPr>
          <w:p w14:paraId="1B03FE3B">
            <w:pPr>
              <w:widowControl/>
              <w:adjustRightInd w:val="0"/>
              <w:snapToGrid w:val="0"/>
              <w:jc w:val="center"/>
              <w:rPr>
                <w:rFonts w:ascii="宋体" w:hAnsi="宋体"/>
                <w:color w:val="auto"/>
              </w:rPr>
            </w:pPr>
            <w:r>
              <w:rPr>
                <w:rFonts w:hint="eastAsia" w:ascii="宋体" w:hAnsi="宋体"/>
                <w:color w:val="auto"/>
              </w:rPr>
              <w:t>34</w:t>
            </w:r>
          </w:p>
        </w:tc>
        <w:tc>
          <w:tcPr>
            <w:tcW w:w="246" w:type="pct"/>
            <w:vAlign w:val="center"/>
          </w:tcPr>
          <w:p w14:paraId="6AF8DD87">
            <w:pPr>
              <w:widowControl/>
              <w:adjustRightInd w:val="0"/>
              <w:snapToGrid w:val="0"/>
              <w:jc w:val="center"/>
              <w:rPr>
                <w:rFonts w:ascii="宋体" w:hAnsi="宋体"/>
                <w:color w:val="auto"/>
              </w:rPr>
            </w:pPr>
            <w:r>
              <w:rPr>
                <w:rFonts w:hint="eastAsia" w:ascii="宋体" w:hAnsi="宋体"/>
                <w:color w:val="auto"/>
              </w:rPr>
              <w:t>34</w:t>
            </w:r>
          </w:p>
        </w:tc>
        <w:tc>
          <w:tcPr>
            <w:tcW w:w="257" w:type="pct"/>
            <w:gridSpan w:val="3"/>
            <w:vAlign w:val="center"/>
          </w:tcPr>
          <w:p w14:paraId="5FA0D0E0">
            <w:pPr>
              <w:widowControl/>
              <w:adjustRightInd w:val="0"/>
              <w:snapToGrid w:val="0"/>
              <w:jc w:val="center"/>
              <w:rPr>
                <w:rFonts w:ascii="宋体" w:hAnsi="宋体"/>
                <w:color w:val="auto"/>
              </w:rPr>
            </w:pPr>
            <w:r>
              <w:rPr>
                <w:rFonts w:hint="eastAsia" w:ascii="宋体" w:hAnsi="宋体"/>
                <w:color w:val="auto"/>
              </w:rPr>
              <w:t>32</w:t>
            </w:r>
          </w:p>
        </w:tc>
        <w:tc>
          <w:tcPr>
            <w:tcW w:w="251" w:type="pct"/>
            <w:gridSpan w:val="2"/>
            <w:vAlign w:val="center"/>
          </w:tcPr>
          <w:p w14:paraId="36AE80FA">
            <w:pPr>
              <w:widowControl/>
              <w:adjustRightInd w:val="0"/>
              <w:snapToGrid w:val="0"/>
              <w:jc w:val="center"/>
              <w:rPr>
                <w:rFonts w:ascii="宋体" w:hAnsi="宋体"/>
                <w:color w:val="auto"/>
              </w:rPr>
            </w:pPr>
            <w:r>
              <w:rPr>
                <w:rFonts w:hint="eastAsia" w:ascii="宋体" w:hAnsi="宋体"/>
                <w:color w:val="auto"/>
              </w:rPr>
              <w:t>32</w:t>
            </w:r>
          </w:p>
        </w:tc>
        <w:tc>
          <w:tcPr>
            <w:tcW w:w="217" w:type="pct"/>
            <w:vAlign w:val="center"/>
          </w:tcPr>
          <w:p w14:paraId="1BE4FBE3">
            <w:pPr>
              <w:widowControl/>
              <w:adjustRightInd w:val="0"/>
              <w:snapToGrid w:val="0"/>
              <w:jc w:val="center"/>
              <w:rPr>
                <w:rFonts w:ascii="宋体" w:hAnsi="宋体"/>
                <w:color w:val="auto"/>
              </w:rPr>
            </w:pPr>
            <w:r>
              <w:rPr>
                <w:rFonts w:hint="eastAsia" w:ascii="宋体" w:hAnsi="宋体"/>
                <w:color w:val="auto"/>
              </w:rPr>
              <w:t>36</w:t>
            </w:r>
          </w:p>
        </w:tc>
        <w:tc>
          <w:tcPr>
            <w:tcW w:w="249" w:type="pct"/>
            <w:gridSpan w:val="4"/>
            <w:vAlign w:val="center"/>
          </w:tcPr>
          <w:p w14:paraId="54A430AA">
            <w:pPr>
              <w:widowControl/>
              <w:adjustRightInd w:val="0"/>
              <w:snapToGrid w:val="0"/>
              <w:jc w:val="center"/>
              <w:rPr>
                <w:rFonts w:ascii="宋体" w:hAnsi="宋体"/>
                <w:color w:val="auto"/>
              </w:rPr>
            </w:pPr>
            <w:r>
              <w:rPr>
                <w:rFonts w:hint="eastAsia" w:ascii="宋体" w:hAnsi="宋体"/>
                <w:color w:val="auto"/>
              </w:rPr>
              <w:t>34</w:t>
            </w:r>
          </w:p>
        </w:tc>
        <w:tc>
          <w:tcPr>
            <w:tcW w:w="246" w:type="pct"/>
            <w:vAlign w:val="center"/>
          </w:tcPr>
          <w:p w14:paraId="435424B5">
            <w:pPr>
              <w:widowControl/>
              <w:adjustRightInd w:val="0"/>
              <w:snapToGrid w:val="0"/>
              <w:jc w:val="center"/>
              <w:rPr>
                <w:rFonts w:ascii="宋体" w:hAnsi="宋体"/>
                <w:color w:val="auto"/>
              </w:rPr>
            </w:pPr>
            <w:r>
              <w:rPr>
                <w:rFonts w:hint="eastAsia" w:ascii="宋体" w:hAnsi="宋体"/>
                <w:color w:val="auto"/>
              </w:rPr>
              <w:t>33</w:t>
            </w:r>
          </w:p>
        </w:tc>
        <w:tc>
          <w:tcPr>
            <w:tcW w:w="246" w:type="pct"/>
            <w:vAlign w:val="center"/>
          </w:tcPr>
          <w:p w14:paraId="0B021E53">
            <w:pPr>
              <w:widowControl/>
              <w:adjustRightInd w:val="0"/>
              <w:snapToGrid w:val="0"/>
              <w:jc w:val="center"/>
              <w:rPr>
                <w:rFonts w:ascii="宋体" w:hAnsi="宋体"/>
                <w:color w:val="auto"/>
              </w:rPr>
            </w:pPr>
            <w:r>
              <w:rPr>
                <w:rFonts w:hint="eastAsia" w:ascii="宋体" w:hAnsi="宋体"/>
                <w:color w:val="auto"/>
              </w:rPr>
              <w:t>33</w:t>
            </w:r>
          </w:p>
        </w:tc>
        <w:tc>
          <w:tcPr>
            <w:tcW w:w="252" w:type="pct"/>
            <w:gridSpan w:val="2"/>
            <w:vAlign w:val="center"/>
          </w:tcPr>
          <w:p w14:paraId="70A7778A">
            <w:pPr>
              <w:widowControl/>
              <w:adjustRightInd w:val="0"/>
              <w:snapToGrid w:val="0"/>
              <w:jc w:val="center"/>
              <w:rPr>
                <w:rFonts w:ascii="宋体" w:hAnsi="宋体"/>
                <w:color w:val="auto"/>
              </w:rPr>
            </w:pPr>
            <w:r>
              <w:rPr>
                <w:rFonts w:hint="eastAsia" w:ascii="宋体" w:hAnsi="宋体"/>
                <w:color w:val="auto"/>
              </w:rPr>
              <w:t>33</w:t>
            </w:r>
          </w:p>
        </w:tc>
        <w:tc>
          <w:tcPr>
            <w:tcW w:w="251" w:type="pct"/>
            <w:gridSpan w:val="2"/>
            <w:vAlign w:val="center"/>
          </w:tcPr>
          <w:p w14:paraId="51D135D9">
            <w:pPr>
              <w:widowControl/>
              <w:adjustRightInd w:val="0"/>
              <w:snapToGrid w:val="0"/>
              <w:jc w:val="center"/>
              <w:rPr>
                <w:rFonts w:ascii="宋体" w:hAnsi="宋体"/>
                <w:color w:val="auto"/>
              </w:rPr>
            </w:pPr>
            <w:r>
              <w:rPr>
                <w:rFonts w:hint="eastAsia" w:ascii="宋体" w:hAnsi="宋体"/>
                <w:color w:val="auto"/>
              </w:rPr>
              <w:t>35</w:t>
            </w:r>
          </w:p>
        </w:tc>
        <w:tc>
          <w:tcPr>
            <w:tcW w:w="253" w:type="pct"/>
            <w:gridSpan w:val="2"/>
            <w:vAlign w:val="center"/>
          </w:tcPr>
          <w:p w14:paraId="3BA59E7C">
            <w:pPr>
              <w:adjustRightInd w:val="0"/>
              <w:snapToGrid w:val="0"/>
              <w:jc w:val="center"/>
              <w:rPr>
                <w:rFonts w:ascii="宋体" w:hAnsi="宋体"/>
                <w:color w:val="auto"/>
              </w:rPr>
            </w:pPr>
            <w:r>
              <w:rPr>
                <w:rFonts w:hint="eastAsia" w:ascii="宋体" w:hAnsi="宋体"/>
                <w:color w:val="auto"/>
              </w:rPr>
              <w:t>35</w:t>
            </w:r>
          </w:p>
        </w:tc>
        <w:tc>
          <w:tcPr>
            <w:tcW w:w="250" w:type="pct"/>
            <w:gridSpan w:val="2"/>
            <w:vAlign w:val="center"/>
          </w:tcPr>
          <w:p w14:paraId="2C9CB94F">
            <w:pPr>
              <w:adjustRightInd w:val="0"/>
              <w:snapToGrid w:val="0"/>
              <w:jc w:val="center"/>
              <w:rPr>
                <w:rFonts w:ascii="宋体" w:hAnsi="宋体"/>
                <w:color w:val="auto"/>
              </w:rPr>
            </w:pPr>
            <w:r>
              <w:rPr>
                <w:rFonts w:hint="eastAsia" w:ascii="宋体" w:hAnsi="宋体"/>
                <w:color w:val="auto"/>
              </w:rPr>
              <w:t>33</w:t>
            </w:r>
          </w:p>
        </w:tc>
        <w:tc>
          <w:tcPr>
            <w:tcW w:w="244" w:type="pct"/>
            <w:vAlign w:val="center"/>
          </w:tcPr>
          <w:p w14:paraId="04696D8D">
            <w:pPr>
              <w:adjustRightInd w:val="0"/>
              <w:snapToGrid w:val="0"/>
              <w:jc w:val="center"/>
              <w:rPr>
                <w:rFonts w:ascii="宋体" w:hAnsi="宋体"/>
                <w:color w:val="auto"/>
              </w:rPr>
            </w:pPr>
            <w:r>
              <w:rPr>
                <w:rFonts w:hint="eastAsia" w:ascii="宋体" w:hAnsi="宋体"/>
                <w:color w:val="auto"/>
              </w:rPr>
              <w:t>33</w:t>
            </w:r>
          </w:p>
        </w:tc>
      </w:tr>
      <w:tr w14:paraId="209AD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123B6DAC">
            <w:pPr>
              <w:widowControl/>
              <w:jc w:val="center"/>
              <w:rPr>
                <w:rFonts w:ascii="宋体" w:hAnsi="宋体"/>
                <w:color w:val="auto"/>
              </w:rPr>
            </w:pPr>
          </w:p>
        </w:tc>
        <w:tc>
          <w:tcPr>
            <w:tcW w:w="505" w:type="pct"/>
            <w:vAlign w:val="center"/>
          </w:tcPr>
          <w:p w14:paraId="252D8DFA">
            <w:pPr>
              <w:widowControl/>
              <w:adjustRightInd w:val="0"/>
              <w:snapToGrid w:val="0"/>
              <w:jc w:val="center"/>
              <w:rPr>
                <w:rFonts w:ascii="宋体" w:hAnsi="宋体"/>
                <w:color w:val="auto"/>
              </w:rPr>
            </w:pPr>
            <w:r>
              <w:rPr>
                <w:rFonts w:ascii="宋体" w:hAnsi="宋体"/>
                <w:color w:val="auto"/>
              </w:rPr>
              <w:t>实测排放浓度</w:t>
            </w:r>
            <w:r>
              <w:rPr>
                <w:rFonts w:hint="eastAsia" w:ascii="宋体" w:hAnsi="宋体"/>
                <w:color w:val="auto"/>
              </w:rPr>
              <w:t>均值</w:t>
            </w:r>
            <w:r>
              <w:rPr>
                <w:rFonts w:ascii="宋体" w:hAnsi="宋体"/>
                <w:color w:val="auto"/>
              </w:rPr>
              <w:t>（mg/m</w:t>
            </w:r>
            <w:r>
              <w:rPr>
                <w:rFonts w:ascii="宋体" w:hAnsi="宋体"/>
                <w:color w:val="auto"/>
                <w:vertAlign w:val="superscript"/>
              </w:rPr>
              <w:t>3</w:t>
            </w:r>
            <w:r>
              <w:rPr>
                <w:rFonts w:ascii="宋体" w:hAnsi="宋体"/>
                <w:color w:val="auto"/>
              </w:rPr>
              <w:t>）</w:t>
            </w:r>
          </w:p>
        </w:tc>
        <w:tc>
          <w:tcPr>
            <w:tcW w:w="631" w:type="pct"/>
            <w:gridSpan w:val="3"/>
            <w:vAlign w:val="center"/>
          </w:tcPr>
          <w:p w14:paraId="6D16CCF5">
            <w:pPr>
              <w:adjustRightInd w:val="0"/>
              <w:snapToGrid w:val="0"/>
              <w:jc w:val="center"/>
              <w:rPr>
                <w:rFonts w:ascii="宋体" w:hAnsi="宋体"/>
                <w:color w:val="auto"/>
              </w:rPr>
            </w:pPr>
            <w:r>
              <w:rPr>
                <w:rFonts w:hint="eastAsia" w:ascii="宋体" w:hAnsi="宋体"/>
                <w:color w:val="auto"/>
              </w:rPr>
              <w:t>34</w:t>
            </w:r>
          </w:p>
        </w:tc>
        <w:tc>
          <w:tcPr>
            <w:tcW w:w="749" w:type="pct"/>
            <w:gridSpan w:val="5"/>
            <w:vAlign w:val="center"/>
          </w:tcPr>
          <w:p w14:paraId="77606499">
            <w:pPr>
              <w:widowControl/>
              <w:adjustRightInd w:val="0"/>
              <w:snapToGrid w:val="0"/>
              <w:jc w:val="center"/>
              <w:rPr>
                <w:rFonts w:ascii="宋体" w:hAnsi="宋体"/>
                <w:color w:val="auto"/>
              </w:rPr>
            </w:pPr>
            <w:r>
              <w:rPr>
                <w:rFonts w:hint="eastAsia" w:ascii="宋体" w:hAnsi="宋体"/>
                <w:color w:val="auto"/>
              </w:rPr>
              <w:t>33</w:t>
            </w:r>
          </w:p>
        </w:tc>
        <w:tc>
          <w:tcPr>
            <w:tcW w:w="754" w:type="pct"/>
            <w:gridSpan w:val="6"/>
            <w:vAlign w:val="center"/>
          </w:tcPr>
          <w:p w14:paraId="57F3CB9D">
            <w:pPr>
              <w:widowControl/>
              <w:adjustRightInd w:val="0"/>
              <w:snapToGrid w:val="0"/>
              <w:jc w:val="center"/>
              <w:rPr>
                <w:rFonts w:ascii="宋体" w:hAnsi="宋体"/>
                <w:color w:val="auto"/>
              </w:rPr>
            </w:pPr>
            <w:r>
              <w:rPr>
                <w:rFonts w:hint="eastAsia" w:ascii="宋体" w:hAnsi="宋体"/>
                <w:color w:val="auto"/>
              </w:rPr>
              <w:t>33</w:t>
            </w:r>
          </w:p>
        </w:tc>
        <w:tc>
          <w:tcPr>
            <w:tcW w:w="712" w:type="pct"/>
            <w:gridSpan w:val="6"/>
            <w:vAlign w:val="center"/>
          </w:tcPr>
          <w:p w14:paraId="72A7EEE8">
            <w:pPr>
              <w:widowControl/>
              <w:adjustRightInd w:val="0"/>
              <w:snapToGrid w:val="0"/>
              <w:jc w:val="center"/>
              <w:rPr>
                <w:rFonts w:ascii="宋体" w:hAnsi="宋体"/>
                <w:color w:val="auto"/>
              </w:rPr>
            </w:pPr>
            <w:r>
              <w:rPr>
                <w:rFonts w:hint="eastAsia" w:ascii="宋体" w:hAnsi="宋体"/>
                <w:color w:val="auto"/>
              </w:rPr>
              <w:t>34</w:t>
            </w:r>
          </w:p>
        </w:tc>
        <w:tc>
          <w:tcPr>
            <w:tcW w:w="750" w:type="pct"/>
            <w:gridSpan w:val="5"/>
            <w:vAlign w:val="center"/>
          </w:tcPr>
          <w:p w14:paraId="7E190AF1">
            <w:pPr>
              <w:widowControl/>
              <w:adjustRightInd w:val="0"/>
              <w:snapToGrid w:val="0"/>
              <w:jc w:val="center"/>
              <w:rPr>
                <w:rFonts w:ascii="宋体" w:hAnsi="宋体"/>
                <w:color w:val="auto"/>
              </w:rPr>
            </w:pPr>
            <w:r>
              <w:rPr>
                <w:rFonts w:hint="eastAsia" w:ascii="宋体" w:hAnsi="宋体"/>
                <w:color w:val="auto"/>
              </w:rPr>
              <w:t>34</w:t>
            </w:r>
          </w:p>
        </w:tc>
        <w:tc>
          <w:tcPr>
            <w:tcW w:w="748" w:type="pct"/>
            <w:gridSpan w:val="5"/>
            <w:vAlign w:val="center"/>
          </w:tcPr>
          <w:p w14:paraId="4B4AB198">
            <w:pPr>
              <w:adjustRightInd w:val="0"/>
              <w:snapToGrid w:val="0"/>
              <w:jc w:val="center"/>
              <w:rPr>
                <w:rFonts w:ascii="宋体" w:hAnsi="宋体"/>
                <w:color w:val="auto"/>
              </w:rPr>
            </w:pPr>
            <w:r>
              <w:rPr>
                <w:rFonts w:hint="eastAsia" w:ascii="宋体" w:hAnsi="宋体"/>
                <w:color w:val="auto"/>
              </w:rPr>
              <w:t>34</w:t>
            </w:r>
          </w:p>
        </w:tc>
      </w:tr>
      <w:tr w14:paraId="167DB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454D2C15">
            <w:pPr>
              <w:widowControl/>
              <w:jc w:val="center"/>
              <w:rPr>
                <w:rFonts w:ascii="宋体" w:hAnsi="宋体"/>
                <w:color w:val="auto"/>
              </w:rPr>
            </w:pPr>
          </w:p>
        </w:tc>
        <w:tc>
          <w:tcPr>
            <w:tcW w:w="505" w:type="pct"/>
            <w:vAlign w:val="center"/>
          </w:tcPr>
          <w:p w14:paraId="02558BCF">
            <w:pPr>
              <w:widowControl/>
              <w:adjustRightInd w:val="0"/>
              <w:snapToGrid w:val="0"/>
              <w:jc w:val="center"/>
              <w:rPr>
                <w:rFonts w:ascii="宋体" w:hAnsi="宋体"/>
                <w:color w:val="auto"/>
              </w:rPr>
            </w:pPr>
            <w:r>
              <w:rPr>
                <w:rFonts w:ascii="宋体" w:hAnsi="宋体"/>
                <w:color w:val="auto"/>
              </w:rPr>
              <w:t>折算排放浓度（mg/m</w:t>
            </w:r>
            <w:r>
              <w:rPr>
                <w:rFonts w:ascii="宋体" w:hAnsi="宋体"/>
                <w:color w:val="auto"/>
                <w:vertAlign w:val="superscript"/>
              </w:rPr>
              <w:t>3</w:t>
            </w:r>
            <w:r>
              <w:rPr>
                <w:rFonts w:ascii="宋体" w:hAnsi="宋体"/>
                <w:color w:val="auto"/>
              </w:rPr>
              <w:t>）</w:t>
            </w:r>
          </w:p>
        </w:tc>
        <w:tc>
          <w:tcPr>
            <w:tcW w:w="139" w:type="pct"/>
            <w:vAlign w:val="center"/>
          </w:tcPr>
          <w:p w14:paraId="5D8092DC">
            <w:pPr>
              <w:adjustRightInd w:val="0"/>
              <w:snapToGrid w:val="0"/>
              <w:jc w:val="center"/>
              <w:rPr>
                <w:rFonts w:ascii="宋体" w:hAnsi="宋体"/>
                <w:color w:val="auto"/>
              </w:rPr>
            </w:pPr>
            <w:r>
              <w:rPr>
                <w:rFonts w:hint="eastAsia" w:ascii="宋体" w:hAnsi="宋体"/>
                <w:color w:val="auto"/>
              </w:rPr>
              <w:t>44</w:t>
            </w:r>
          </w:p>
        </w:tc>
        <w:tc>
          <w:tcPr>
            <w:tcW w:w="246" w:type="pct"/>
            <w:vAlign w:val="center"/>
          </w:tcPr>
          <w:p w14:paraId="5C70DBD6">
            <w:pPr>
              <w:adjustRightInd w:val="0"/>
              <w:snapToGrid w:val="0"/>
              <w:jc w:val="center"/>
              <w:rPr>
                <w:rFonts w:ascii="宋体" w:hAnsi="宋体"/>
                <w:color w:val="auto"/>
              </w:rPr>
            </w:pPr>
            <w:r>
              <w:rPr>
                <w:rFonts w:hint="eastAsia" w:ascii="宋体" w:hAnsi="宋体"/>
                <w:color w:val="auto"/>
              </w:rPr>
              <w:t>43</w:t>
            </w:r>
          </w:p>
        </w:tc>
        <w:tc>
          <w:tcPr>
            <w:tcW w:w="246" w:type="pct"/>
            <w:vAlign w:val="center"/>
          </w:tcPr>
          <w:p w14:paraId="13C5C7BF">
            <w:pPr>
              <w:adjustRightInd w:val="0"/>
              <w:snapToGrid w:val="0"/>
              <w:jc w:val="center"/>
              <w:rPr>
                <w:rFonts w:ascii="宋体" w:hAnsi="宋体"/>
                <w:color w:val="auto"/>
              </w:rPr>
            </w:pPr>
            <w:r>
              <w:rPr>
                <w:rFonts w:hint="eastAsia" w:ascii="宋体" w:hAnsi="宋体"/>
                <w:color w:val="auto"/>
              </w:rPr>
              <w:t>45</w:t>
            </w:r>
          </w:p>
        </w:tc>
        <w:tc>
          <w:tcPr>
            <w:tcW w:w="257" w:type="pct"/>
            <w:gridSpan w:val="3"/>
            <w:vAlign w:val="center"/>
          </w:tcPr>
          <w:p w14:paraId="2BB322F1">
            <w:pPr>
              <w:adjustRightInd w:val="0"/>
              <w:snapToGrid w:val="0"/>
              <w:jc w:val="center"/>
              <w:rPr>
                <w:rFonts w:ascii="宋体" w:hAnsi="宋体"/>
                <w:color w:val="auto"/>
              </w:rPr>
            </w:pPr>
            <w:r>
              <w:rPr>
                <w:rFonts w:hint="eastAsia" w:ascii="宋体" w:hAnsi="宋体"/>
                <w:color w:val="auto"/>
              </w:rPr>
              <w:t>43</w:t>
            </w:r>
          </w:p>
        </w:tc>
        <w:tc>
          <w:tcPr>
            <w:tcW w:w="246" w:type="pct"/>
            <w:vAlign w:val="center"/>
          </w:tcPr>
          <w:p w14:paraId="4531D1F9">
            <w:pPr>
              <w:adjustRightInd w:val="0"/>
              <w:snapToGrid w:val="0"/>
              <w:jc w:val="center"/>
              <w:rPr>
                <w:rFonts w:ascii="宋体" w:hAnsi="宋体"/>
                <w:color w:val="auto"/>
              </w:rPr>
            </w:pPr>
            <w:r>
              <w:rPr>
                <w:rFonts w:hint="eastAsia" w:ascii="宋体" w:hAnsi="宋体"/>
                <w:color w:val="auto"/>
              </w:rPr>
              <w:t>42</w:t>
            </w:r>
          </w:p>
        </w:tc>
        <w:tc>
          <w:tcPr>
            <w:tcW w:w="246" w:type="pct"/>
            <w:vAlign w:val="center"/>
          </w:tcPr>
          <w:p w14:paraId="40992D0D">
            <w:pPr>
              <w:adjustRightInd w:val="0"/>
              <w:snapToGrid w:val="0"/>
              <w:jc w:val="center"/>
              <w:rPr>
                <w:rFonts w:ascii="宋体" w:hAnsi="宋体"/>
                <w:color w:val="auto"/>
              </w:rPr>
            </w:pPr>
            <w:r>
              <w:rPr>
                <w:rFonts w:hint="eastAsia" w:ascii="宋体" w:hAnsi="宋体"/>
                <w:color w:val="auto"/>
              </w:rPr>
              <w:t>45</w:t>
            </w:r>
          </w:p>
        </w:tc>
        <w:tc>
          <w:tcPr>
            <w:tcW w:w="246" w:type="pct"/>
            <w:vAlign w:val="center"/>
          </w:tcPr>
          <w:p w14:paraId="1D459ED7">
            <w:pPr>
              <w:adjustRightInd w:val="0"/>
              <w:snapToGrid w:val="0"/>
              <w:jc w:val="center"/>
              <w:rPr>
                <w:rFonts w:ascii="宋体" w:hAnsi="宋体"/>
                <w:color w:val="auto"/>
              </w:rPr>
            </w:pPr>
            <w:r>
              <w:rPr>
                <w:rFonts w:hint="eastAsia" w:ascii="宋体" w:hAnsi="宋体"/>
                <w:color w:val="auto"/>
              </w:rPr>
              <w:t>44</w:t>
            </w:r>
          </w:p>
        </w:tc>
        <w:tc>
          <w:tcPr>
            <w:tcW w:w="257" w:type="pct"/>
            <w:gridSpan w:val="3"/>
            <w:vAlign w:val="center"/>
          </w:tcPr>
          <w:p w14:paraId="787344F6">
            <w:pPr>
              <w:adjustRightInd w:val="0"/>
              <w:snapToGrid w:val="0"/>
              <w:jc w:val="center"/>
              <w:rPr>
                <w:rFonts w:ascii="宋体" w:hAnsi="宋体"/>
                <w:color w:val="auto"/>
              </w:rPr>
            </w:pPr>
            <w:r>
              <w:rPr>
                <w:rFonts w:hint="eastAsia" w:ascii="宋体" w:hAnsi="宋体"/>
                <w:color w:val="auto"/>
              </w:rPr>
              <w:t>42</w:t>
            </w:r>
          </w:p>
        </w:tc>
        <w:tc>
          <w:tcPr>
            <w:tcW w:w="251" w:type="pct"/>
            <w:gridSpan w:val="2"/>
            <w:vAlign w:val="center"/>
          </w:tcPr>
          <w:p w14:paraId="38819BC0">
            <w:pPr>
              <w:adjustRightInd w:val="0"/>
              <w:snapToGrid w:val="0"/>
              <w:jc w:val="center"/>
              <w:rPr>
                <w:rFonts w:ascii="宋体" w:hAnsi="宋体"/>
                <w:color w:val="auto"/>
              </w:rPr>
            </w:pPr>
            <w:r>
              <w:rPr>
                <w:rFonts w:hint="eastAsia" w:ascii="宋体" w:hAnsi="宋体"/>
                <w:color w:val="auto"/>
              </w:rPr>
              <w:t>42</w:t>
            </w:r>
          </w:p>
        </w:tc>
        <w:tc>
          <w:tcPr>
            <w:tcW w:w="217" w:type="pct"/>
            <w:vAlign w:val="center"/>
          </w:tcPr>
          <w:p w14:paraId="33D957C8">
            <w:pPr>
              <w:adjustRightInd w:val="0"/>
              <w:snapToGrid w:val="0"/>
              <w:jc w:val="center"/>
              <w:rPr>
                <w:rFonts w:ascii="宋体" w:hAnsi="宋体"/>
                <w:color w:val="auto"/>
              </w:rPr>
            </w:pPr>
            <w:r>
              <w:rPr>
                <w:rFonts w:hint="eastAsia" w:ascii="宋体" w:hAnsi="宋体"/>
                <w:color w:val="auto"/>
              </w:rPr>
              <w:t>47</w:t>
            </w:r>
          </w:p>
        </w:tc>
        <w:tc>
          <w:tcPr>
            <w:tcW w:w="249" w:type="pct"/>
            <w:gridSpan w:val="4"/>
            <w:vAlign w:val="center"/>
          </w:tcPr>
          <w:p w14:paraId="6F24CF57">
            <w:pPr>
              <w:adjustRightInd w:val="0"/>
              <w:snapToGrid w:val="0"/>
              <w:jc w:val="center"/>
              <w:rPr>
                <w:rFonts w:ascii="宋体" w:hAnsi="宋体"/>
                <w:color w:val="auto"/>
              </w:rPr>
            </w:pPr>
            <w:r>
              <w:rPr>
                <w:rFonts w:hint="eastAsia" w:ascii="宋体" w:hAnsi="宋体"/>
                <w:color w:val="auto"/>
              </w:rPr>
              <w:t>44</w:t>
            </w:r>
          </w:p>
        </w:tc>
        <w:tc>
          <w:tcPr>
            <w:tcW w:w="246" w:type="pct"/>
            <w:vAlign w:val="center"/>
          </w:tcPr>
          <w:p w14:paraId="6D31F3CC">
            <w:pPr>
              <w:adjustRightInd w:val="0"/>
              <w:snapToGrid w:val="0"/>
              <w:jc w:val="center"/>
              <w:rPr>
                <w:rFonts w:ascii="宋体" w:hAnsi="宋体"/>
                <w:color w:val="auto"/>
              </w:rPr>
            </w:pPr>
            <w:r>
              <w:rPr>
                <w:rFonts w:hint="eastAsia" w:ascii="宋体" w:hAnsi="宋体"/>
                <w:color w:val="auto"/>
              </w:rPr>
              <w:t>43</w:t>
            </w:r>
          </w:p>
        </w:tc>
        <w:tc>
          <w:tcPr>
            <w:tcW w:w="246" w:type="pct"/>
            <w:vAlign w:val="center"/>
          </w:tcPr>
          <w:p w14:paraId="51C3E023">
            <w:pPr>
              <w:adjustRightInd w:val="0"/>
              <w:snapToGrid w:val="0"/>
              <w:jc w:val="center"/>
              <w:rPr>
                <w:rFonts w:ascii="宋体" w:hAnsi="宋体"/>
                <w:color w:val="auto"/>
              </w:rPr>
            </w:pPr>
            <w:r>
              <w:rPr>
                <w:rFonts w:hint="eastAsia" w:ascii="宋体" w:hAnsi="宋体"/>
                <w:color w:val="auto"/>
              </w:rPr>
              <w:t>43</w:t>
            </w:r>
          </w:p>
        </w:tc>
        <w:tc>
          <w:tcPr>
            <w:tcW w:w="252" w:type="pct"/>
            <w:gridSpan w:val="2"/>
            <w:vAlign w:val="center"/>
          </w:tcPr>
          <w:p w14:paraId="6D3ED3E0">
            <w:pPr>
              <w:adjustRightInd w:val="0"/>
              <w:snapToGrid w:val="0"/>
              <w:jc w:val="center"/>
              <w:rPr>
                <w:rFonts w:ascii="宋体" w:hAnsi="宋体"/>
                <w:color w:val="auto"/>
              </w:rPr>
            </w:pPr>
            <w:r>
              <w:rPr>
                <w:rFonts w:hint="eastAsia" w:ascii="宋体" w:hAnsi="宋体"/>
                <w:color w:val="auto"/>
              </w:rPr>
              <w:t>43</w:t>
            </w:r>
          </w:p>
        </w:tc>
        <w:tc>
          <w:tcPr>
            <w:tcW w:w="251" w:type="pct"/>
            <w:gridSpan w:val="2"/>
            <w:vAlign w:val="center"/>
          </w:tcPr>
          <w:p w14:paraId="36039602">
            <w:pPr>
              <w:adjustRightInd w:val="0"/>
              <w:snapToGrid w:val="0"/>
              <w:jc w:val="center"/>
              <w:rPr>
                <w:rFonts w:ascii="宋体" w:hAnsi="宋体"/>
                <w:color w:val="auto"/>
              </w:rPr>
            </w:pPr>
            <w:r>
              <w:rPr>
                <w:rFonts w:hint="eastAsia" w:ascii="宋体" w:hAnsi="宋体"/>
                <w:color w:val="auto"/>
              </w:rPr>
              <w:t>46</w:t>
            </w:r>
          </w:p>
        </w:tc>
        <w:tc>
          <w:tcPr>
            <w:tcW w:w="253" w:type="pct"/>
            <w:gridSpan w:val="2"/>
            <w:vAlign w:val="center"/>
          </w:tcPr>
          <w:p w14:paraId="2250951F">
            <w:pPr>
              <w:adjustRightInd w:val="0"/>
              <w:snapToGrid w:val="0"/>
              <w:jc w:val="center"/>
              <w:rPr>
                <w:rFonts w:ascii="宋体" w:hAnsi="宋体"/>
                <w:color w:val="auto"/>
              </w:rPr>
            </w:pPr>
            <w:r>
              <w:rPr>
                <w:rFonts w:hint="eastAsia" w:ascii="宋体" w:hAnsi="宋体"/>
                <w:color w:val="auto"/>
              </w:rPr>
              <w:t>45</w:t>
            </w:r>
          </w:p>
        </w:tc>
        <w:tc>
          <w:tcPr>
            <w:tcW w:w="250" w:type="pct"/>
            <w:gridSpan w:val="2"/>
            <w:vAlign w:val="center"/>
          </w:tcPr>
          <w:p w14:paraId="2B45D82D">
            <w:pPr>
              <w:adjustRightInd w:val="0"/>
              <w:snapToGrid w:val="0"/>
              <w:jc w:val="center"/>
              <w:rPr>
                <w:rFonts w:ascii="宋体" w:hAnsi="宋体"/>
                <w:color w:val="auto"/>
              </w:rPr>
            </w:pPr>
            <w:r>
              <w:rPr>
                <w:rFonts w:hint="eastAsia" w:ascii="宋体" w:hAnsi="宋体"/>
                <w:color w:val="auto"/>
              </w:rPr>
              <w:t>43</w:t>
            </w:r>
          </w:p>
        </w:tc>
        <w:tc>
          <w:tcPr>
            <w:tcW w:w="244" w:type="pct"/>
            <w:vAlign w:val="center"/>
          </w:tcPr>
          <w:p w14:paraId="4C94EAB0">
            <w:pPr>
              <w:adjustRightInd w:val="0"/>
              <w:snapToGrid w:val="0"/>
              <w:jc w:val="center"/>
              <w:rPr>
                <w:rFonts w:ascii="宋体" w:hAnsi="宋体"/>
                <w:color w:val="auto"/>
              </w:rPr>
            </w:pPr>
            <w:r>
              <w:rPr>
                <w:rFonts w:hint="eastAsia" w:ascii="宋体" w:hAnsi="宋体"/>
                <w:color w:val="auto"/>
              </w:rPr>
              <w:t>43</w:t>
            </w:r>
          </w:p>
        </w:tc>
      </w:tr>
      <w:tr w14:paraId="4E207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0A54D99A">
            <w:pPr>
              <w:widowControl/>
              <w:jc w:val="center"/>
              <w:rPr>
                <w:rFonts w:ascii="宋体" w:hAnsi="宋体"/>
                <w:color w:val="auto"/>
              </w:rPr>
            </w:pPr>
          </w:p>
        </w:tc>
        <w:tc>
          <w:tcPr>
            <w:tcW w:w="505" w:type="pct"/>
            <w:vAlign w:val="center"/>
          </w:tcPr>
          <w:p w14:paraId="1B7022F9">
            <w:pPr>
              <w:widowControl/>
              <w:adjustRightInd w:val="0"/>
              <w:snapToGrid w:val="0"/>
              <w:jc w:val="center"/>
              <w:rPr>
                <w:rFonts w:ascii="宋体" w:hAnsi="宋体"/>
                <w:color w:val="auto"/>
              </w:rPr>
            </w:pPr>
            <w:r>
              <w:rPr>
                <w:rFonts w:ascii="宋体" w:hAnsi="宋体"/>
                <w:color w:val="auto"/>
              </w:rPr>
              <w:t>折算排放浓度</w:t>
            </w:r>
            <w:r>
              <w:rPr>
                <w:rFonts w:hint="eastAsia" w:ascii="宋体" w:hAnsi="宋体"/>
                <w:color w:val="auto"/>
              </w:rPr>
              <w:t>均值</w:t>
            </w:r>
            <w:r>
              <w:rPr>
                <w:rFonts w:ascii="宋体" w:hAnsi="宋体"/>
                <w:color w:val="auto"/>
              </w:rPr>
              <w:t>（mg/m</w:t>
            </w:r>
            <w:r>
              <w:rPr>
                <w:rFonts w:ascii="宋体" w:hAnsi="宋体"/>
                <w:color w:val="auto"/>
                <w:vertAlign w:val="superscript"/>
              </w:rPr>
              <w:t>3</w:t>
            </w:r>
            <w:r>
              <w:rPr>
                <w:rFonts w:ascii="宋体" w:hAnsi="宋体"/>
                <w:color w:val="auto"/>
              </w:rPr>
              <w:t>）</w:t>
            </w:r>
          </w:p>
        </w:tc>
        <w:tc>
          <w:tcPr>
            <w:tcW w:w="631" w:type="pct"/>
            <w:gridSpan w:val="3"/>
            <w:vAlign w:val="center"/>
          </w:tcPr>
          <w:p w14:paraId="3DB38585">
            <w:pPr>
              <w:adjustRightInd w:val="0"/>
              <w:snapToGrid w:val="0"/>
              <w:jc w:val="center"/>
              <w:rPr>
                <w:rFonts w:ascii="宋体" w:hAnsi="宋体"/>
                <w:color w:val="auto"/>
              </w:rPr>
            </w:pPr>
            <w:r>
              <w:rPr>
                <w:rFonts w:hint="eastAsia" w:ascii="宋体" w:hAnsi="宋体"/>
                <w:color w:val="auto"/>
              </w:rPr>
              <w:t>44</w:t>
            </w:r>
          </w:p>
        </w:tc>
        <w:tc>
          <w:tcPr>
            <w:tcW w:w="749" w:type="pct"/>
            <w:gridSpan w:val="5"/>
            <w:vAlign w:val="center"/>
          </w:tcPr>
          <w:p w14:paraId="7A8404C2">
            <w:pPr>
              <w:adjustRightInd w:val="0"/>
              <w:snapToGrid w:val="0"/>
              <w:jc w:val="center"/>
              <w:rPr>
                <w:rFonts w:ascii="宋体" w:hAnsi="宋体"/>
                <w:color w:val="auto"/>
              </w:rPr>
            </w:pPr>
            <w:r>
              <w:rPr>
                <w:rFonts w:hint="eastAsia" w:ascii="宋体" w:hAnsi="宋体"/>
                <w:color w:val="auto"/>
              </w:rPr>
              <w:t>43</w:t>
            </w:r>
          </w:p>
        </w:tc>
        <w:tc>
          <w:tcPr>
            <w:tcW w:w="754" w:type="pct"/>
            <w:gridSpan w:val="6"/>
            <w:vAlign w:val="center"/>
          </w:tcPr>
          <w:p w14:paraId="148A76F1">
            <w:pPr>
              <w:adjustRightInd w:val="0"/>
              <w:snapToGrid w:val="0"/>
              <w:jc w:val="center"/>
              <w:rPr>
                <w:rFonts w:ascii="宋体" w:hAnsi="宋体"/>
                <w:color w:val="auto"/>
              </w:rPr>
            </w:pPr>
            <w:r>
              <w:rPr>
                <w:rFonts w:hint="eastAsia" w:ascii="宋体" w:hAnsi="宋体"/>
                <w:color w:val="auto"/>
              </w:rPr>
              <w:t>43</w:t>
            </w:r>
          </w:p>
        </w:tc>
        <w:tc>
          <w:tcPr>
            <w:tcW w:w="712" w:type="pct"/>
            <w:gridSpan w:val="6"/>
            <w:vAlign w:val="center"/>
          </w:tcPr>
          <w:p w14:paraId="330EACEA">
            <w:pPr>
              <w:adjustRightInd w:val="0"/>
              <w:snapToGrid w:val="0"/>
              <w:jc w:val="center"/>
              <w:rPr>
                <w:rFonts w:ascii="宋体" w:hAnsi="宋体"/>
                <w:color w:val="auto"/>
              </w:rPr>
            </w:pPr>
            <w:r>
              <w:rPr>
                <w:rFonts w:hint="eastAsia" w:ascii="宋体" w:hAnsi="宋体"/>
                <w:color w:val="auto"/>
              </w:rPr>
              <w:t>45</w:t>
            </w:r>
          </w:p>
        </w:tc>
        <w:tc>
          <w:tcPr>
            <w:tcW w:w="750" w:type="pct"/>
            <w:gridSpan w:val="5"/>
            <w:vAlign w:val="center"/>
          </w:tcPr>
          <w:p w14:paraId="218B14AE">
            <w:pPr>
              <w:adjustRightInd w:val="0"/>
              <w:snapToGrid w:val="0"/>
              <w:jc w:val="center"/>
              <w:rPr>
                <w:rFonts w:ascii="宋体" w:hAnsi="宋体"/>
                <w:color w:val="auto"/>
              </w:rPr>
            </w:pPr>
            <w:r>
              <w:rPr>
                <w:rFonts w:hint="eastAsia" w:ascii="宋体" w:hAnsi="宋体"/>
                <w:color w:val="auto"/>
              </w:rPr>
              <w:t>44</w:t>
            </w:r>
          </w:p>
        </w:tc>
        <w:tc>
          <w:tcPr>
            <w:tcW w:w="748" w:type="pct"/>
            <w:gridSpan w:val="5"/>
            <w:vAlign w:val="center"/>
          </w:tcPr>
          <w:p w14:paraId="0E6F6053">
            <w:pPr>
              <w:adjustRightInd w:val="0"/>
              <w:snapToGrid w:val="0"/>
              <w:jc w:val="center"/>
              <w:rPr>
                <w:rFonts w:ascii="宋体" w:hAnsi="宋体"/>
                <w:color w:val="auto"/>
              </w:rPr>
            </w:pPr>
            <w:r>
              <w:rPr>
                <w:rFonts w:hint="eastAsia" w:ascii="宋体" w:hAnsi="宋体"/>
                <w:color w:val="auto"/>
              </w:rPr>
              <w:t>44</w:t>
            </w:r>
          </w:p>
        </w:tc>
      </w:tr>
      <w:tr w14:paraId="38187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36701FB4">
            <w:pPr>
              <w:widowControl/>
              <w:jc w:val="center"/>
              <w:rPr>
                <w:rFonts w:ascii="宋体" w:hAnsi="宋体"/>
                <w:color w:val="auto"/>
              </w:rPr>
            </w:pPr>
          </w:p>
        </w:tc>
        <w:tc>
          <w:tcPr>
            <w:tcW w:w="505" w:type="pct"/>
            <w:vAlign w:val="center"/>
          </w:tcPr>
          <w:p w14:paraId="1632D2C1">
            <w:pPr>
              <w:widowControl/>
              <w:adjustRightInd w:val="0"/>
              <w:snapToGrid w:val="0"/>
              <w:jc w:val="center"/>
              <w:rPr>
                <w:rFonts w:ascii="宋体" w:hAnsi="宋体"/>
                <w:color w:val="auto"/>
              </w:rPr>
            </w:pPr>
            <w:r>
              <w:rPr>
                <w:rFonts w:hint="eastAsia" w:ascii="宋体" w:hAnsi="宋体"/>
                <w:color w:val="auto"/>
              </w:rPr>
              <w:t>排放速率</w:t>
            </w:r>
            <w:r>
              <w:rPr>
                <w:rFonts w:ascii="宋体" w:hAnsi="宋体"/>
                <w:color w:val="auto"/>
              </w:rPr>
              <w:t>（</w:t>
            </w:r>
            <w:r>
              <w:rPr>
                <w:rFonts w:hint="eastAsia" w:ascii="宋体" w:hAnsi="宋体"/>
                <w:color w:val="auto"/>
              </w:rPr>
              <w:t>kg</w:t>
            </w:r>
            <w:r>
              <w:rPr>
                <w:rFonts w:ascii="宋体" w:hAnsi="宋体"/>
                <w:color w:val="auto"/>
              </w:rPr>
              <w:t>/h）</w:t>
            </w:r>
          </w:p>
        </w:tc>
        <w:tc>
          <w:tcPr>
            <w:tcW w:w="139" w:type="pct"/>
            <w:vAlign w:val="center"/>
          </w:tcPr>
          <w:p w14:paraId="1ABF7B9D">
            <w:pPr>
              <w:adjustRightInd w:val="0"/>
              <w:snapToGrid w:val="0"/>
              <w:jc w:val="center"/>
              <w:rPr>
                <w:rFonts w:ascii="宋体" w:hAnsi="宋体"/>
                <w:color w:val="auto"/>
              </w:rPr>
            </w:pPr>
            <w:r>
              <w:rPr>
                <w:rFonts w:hint="eastAsia" w:ascii="宋体" w:hAnsi="宋体"/>
                <w:color w:val="auto"/>
              </w:rPr>
              <w:t>7.48</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6" w:type="pct"/>
            <w:vAlign w:val="center"/>
          </w:tcPr>
          <w:p w14:paraId="3CC3BE1E">
            <w:pPr>
              <w:adjustRightInd w:val="0"/>
              <w:snapToGrid w:val="0"/>
              <w:jc w:val="center"/>
              <w:rPr>
                <w:rFonts w:ascii="宋体" w:hAnsi="宋体"/>
                <w:color w:val="auto"/>
              </w:rPr>
            </w:pPr>
            <w:r>
              <w:rPr>
                <w:rFonts w:hint="eastAsia" w:ascii="宋体" w:hAnsi="宋体"/>
                <w:color w:val="auto"/>
              </w:rPr>
              <w:t>7.26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6" w:type="pct"/>
            <w:vAlign w:val="center"/>
          </w:tcPr>
          <w:p w14:paraId="10B68958">
            <w:pPr>
              <w:adjustRightInd w:val="0"/>
              <w:snapToGrid w:val="0"/>
              <w:jc w:val="center"/>
              <w:rPr>
                <w:rFonts w:ascii="宋体" w:hAnsi="宋体"/>
                <w:color w:val="auto"/>
              </w:rPr>
            </w:pPr>
            <w:r>
              <w:rPr>
                <w:rFonts w:hint="eastAsia" w:ascii="宋体" w:hAnsi="宋体"/>
                <w:color w:val="auto"/>
              </w:rPr>
              <w:t>7.48</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2" w:type="pct"/>
            <w:gridSpan w:val="2"/>
            <w:vAlign w:val="center"/>
          </w:tcPr>
          <w:p w14:paraId="7FC533F6">
            <w:pPr>
              <w:jc w:val="center"/>
              <w:rPr>
                <w:rFonts w:ascii="宋体" w:hAnsi="宋体"/>
                <w:color w:val="auto"/>
              </w:rPr>
            </w:pPr>
            <w:r>
              <w:rPr>
                <w:rFonts w:hint="eastAsia" w:ascii="宋体" w:hAnsi="宋体"/>
                <w:color w:val="auto"/>
              </w:rPr>
              <w:t>7.49</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62" w:type="pct"/>
            <w:gridSpan w:val="2"/>
            <w:vAlign w:val="center"/>
          </w:tcPr>
          <w:p w14:paraId="5EE93669">
            <w:pPr>
              <w:jc w:val="center"/>
              <w:rPr>
                <w:rFonts w:ascii="宋体" w:hAnsi="宋体"/>
                <w:color w:val="auto"/>
              </w:rPr>
            </w:pPr>
            <w:r>
              <w:rPr>
                <w:rFonts w:hint="eastAsia" w:ascii="宋体" w:hAnsi="宋体"/>
                <w:color w:val="auto"/>
              </w:rPr>
              <w:t>7.26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6" w:type="pct"/>
            <w:vAlign w:val="center"/>
          </w:tcPr>
          <w:p w14:paraId="40E3A78F">
            <w:pPr>
              <w:jc w:val="center"/>
              <w:rPr>
                <w:rFonts w:ascii="宋体" w:hAnsi="宋体"/>
                <w:color w:val="auto"/>
              </w:rPr>
            </w:pPr>
            <w:r>
              <w:rPr>
                <w:rFonts w:hint="eastAsia" w:ascii="宋体" w:hAnsi="宋体"/>
                <w:color w:val="auto"/>
              </w:rPr>
              <w:t>7.72</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58" w:type="pct"/>
            <w:gridSpan w:val="2"/>
            <w:vAlign w:val="center"/>
          </w:tcPr>
          <w:p w14:paraId="57D80A89">
            <w:pPr>
              <w:jc w:val="center"/>
              <w:rPr>
                <w:rFonts w:ascii="宋体" w:hAnsi="宋体"/>
                <w:color w:val="auto"/>
              </w:rPr>
            </w:pPr>
            <w:r>
              <w:rPr>
                <w:rFonts w:hint="eastAsia" w:ascii="宋体" w:hAnsi="宋体"/>
                <w:color w:val="auto"/>
              </w:rPr>
              <w:t>7.24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57" w:type="pct"/>
            <w:gridSpan w:val="3"/>
            <w:vAlign w:val="center"/>
          </w:tcPr>
          <w:p w14:paraId="0A728F49">
            <w:pPr>
              <w:jc w:val="center"/>
              <w:rPr>
                <w:rFonts w:ascii="宋体" w:hAnsi="宋体"/>
                <w:color w:val="auto"/>
              </w:rPr>
            </w:pPr>
            <w:r>
              <w:rPr>
                <w:rFonts w:hint="eastAsia" w:ascii="宋体" w:hAnsi="宋体"/>
                <w:color w:val="auto"/>
              </w:rPr>
              <w:t>6.82</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39" w:type="pct"/>
            <w:vAlign w:val="center"/>
          </w:tcPr>
          <w:p w14:paraId="17EEEA5D">
            <w:pPr>
              <w:jc w:val="center"/>
              <w:rPr>
                <w:rFonts w:ascii="宋体" w:hAnsi="宋体"/>
                <w:color w:val="auto"/>
              </w:rPr>
            </w:pPr>
            <w:r>
              <w:rPr>
                <w:rFonts w:hint="eastAsia" w:ascii="宋体" w:hAnsi="宋体"/>
                <w:color w:val="auto"/>
              </w:rPr>
              <w:t>6.82</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27" w:type="pct"/>
            <w:gridSpan w:val="2"/>
            <w:vAlign w:val="center"/>
          </w:tcPr>
          <w:p w14:paraId="1EB45D64">
            <w:pPr>
              <w:jc w:val="center"/>
              <w:rPr>
                <w:rFonts w:ascii="宋体" w:hAnsi="宋体"/>
                <w:color w:val="auto"/>
              </w:rPr>
            </w:pPr>
            <w:r>
              <w:rPr>
                <w:rFonts w:hint="eastAsia" w:ascii="宋体" w:hAnsi="宋体"/>
                <w:color w:val="auto"/>
              </w:rPr>
              <w:t>6.88</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27" w:type="pct"/>
            <w:gridSpan w:val="2"/>
            <w:vAlign w:val="center"/>
          </w:tcPr>
          <w:p w14:paraId="184C7852">
            <w:pPr>
              <w:jc w:val="center"/>
              <w:rPr>
                <w:rFonts w:ascii="宋体" w:hAnsi="宋体"/>
                <w:color w:val="auto"/>
              </w:rPr>
            </w:pPr>
            <w:r>
              <w:rPr>
                <w:rFonts w:hint="eastAsia" w:ascii="宋体" w:hAnsi="宋体"/>
                <w:color w:val="auto"/>
              </w:rPr>
              <w:t>6.49</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57" w:type="pct"/>
            <w:gridSpan w:val="2"/>
            <w:vAlign w:val="center"/>
          </w:tcPr>
          <w:p w14:paraId="4C843ADA">
            <w:pPr>
              <w:jc w:val="center"/>
              <w:rPr>
                <w:rFonts w:ascii="宋体" w:hAnsi="宋体"/>
                <w:color w:val="auto"/>
              </w:rPr>
            </w:pPr>
            <w:r>
              <w:rPr>
                <w:rFonts w:hint="eastAsia" w:ascii="宋体" w:hAnsi="宋体"/>
                <w:color w:val="auto"/>
              </w:rPr>
              <w:t>6.30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58" w:type="pct"/>
            <w:gridSpan w:val="2"/>
            <w:vAlign w:val="center"/>
          </w:tcPr>
          <w:p w14:paraId="64B4CD7A">
            <w:pPr>
              <w:jc w:val="center"/>
              <w:rPr>
                <w:rFonts w:ascii="宋体" w:hAnsi="宋体"/>
                <w:color w:val="auto"/>
              </w:rPr>
            </w:pPr>
            <w:r>
              <w:rPr>
                <w:rFonts w:hint="eastAsia" w:ascii="宋体" w:hAnsi="宋体"/>
                <w:color w:val="auto"/>
              </w:rPr>
              <w:t>6.04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0" w:type="pct"/>
            <w:vAlign w:val="center"/>
          </w:tcPr>
          <w:p w14:paraId="5863ACCE">
            <w:pPr>
              <w:jc w:val="center"/>
              <w:rPr>
                <w:rFonts w:ascii="宋体" w:hAnsi="宋体"/>
                <w:color w:val="auto"/>
              </w:rPr>
            </w:pPr>
            <w:r>
              <w:rPr>
                <w:rFonts w:hint="eastAsia" w:ascii="宋体" w:hAnsi="宋体"/>
                <w:color w:val="auto"/>
              </w:rPr>
              <w:t>6.04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51" w:type="pct"/>
            <w:gridSpan w:val="2"/>
            <w:vAlign w:val="center"/>
          </w:tcPr>
          <w:p w14:paraId="7CAA4AA7">
            <w:pPr>
              <w:jc w:val="center"/>
              <w:rPr>
                <w:rFonts w:ascii="宋体" w:hAnsi="宋体"/>
                <w:color w:val="auto"/>
              </w:rPr>
            </w:pPr>
            <w:r>
              <w:rPr>
                <w:rFonts w:hint="eastAsia" w:ascii="宋体" w:hAnsi="宋体"/>
                <w:color w:val="auto"/>
              </w:rPr>
              <w:t>6.40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3" w:type="pct"/>
            <w:vAlign w:val="center"/>
          </w:tcPr>
          <w:p w14:paraId="7A8CB3C2">
            <w:pPr>
              <w:jc w:val="center"/>
              <w:rPr>
                <w:rFonts w:ascii="宋体" w:hAnsi="宋体"/>
                <w:color w:val="auto"/>
              </w:rPr>
            </w:pPr>
            <w:r>
              <w:rPr>
                <w:rFonts w:hint="eastAsia" w:ascii="宋体" w:hAnsi="宋体"/>
                <w:color w:val="auto"/>
              </w:rPr>
              <w:t>6.68</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8" w:type="pct"/>
            <w:gridSpan w:val="2"/>
            <w:vAlign w:val="center"/>
          </w:tcPr>
          <w:p w14:paraId="67CF8FF7">
            <w:pPr>
              <w:jc w:val="center"/>
              <w:rPr>
                <w:rFonts w:ascii="宋体" w:hAnsi="宋体"/>
                <w:color w:val="auto"/>
              </w:rPr>
            </w:pPr>
            <w:r>
              <w:rPr>
                <w:rFonts w:hint="eastAsia" w:ascii="宋体" w:hAnsi="宋体"/>
                <w:color w:val="auto"/>
              </w:rPr>
              <w:t>6.30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56" w:type="pct"/>
            <w:gridSpan w:val="2"/>
            <w:vAlign w:val="center"/>
          </w:tcPr>
          <w:p w14:paraId="09F821F8">
            <w:pPr>
              <w:jc w:val="center"/>
              <w:rPr>
                <w:rFonts w:ascii="宋体" w:hAnsi="宋体"/>
                <w:color w:val="auto"/>
              </w:rPr>
            </w:pPr>
            <w:r>
              <w:rPr>
                <w:rFonts w:hint="eastAsia" w:ascii="宋体" w:hAnsi="宋体"/>
                <w:color w:val="auto"/>
              </w:rPr>
              <w:t>6.30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r>
      <w:tr w14:paraId="01C6F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2DA7DAB8">
            <w:pPr>
              <w:widowControl/>
              <w:jc w:val="center"/>
              <w:rPr>
                <w:rFonts w:ascii="宋体" w:hAnsi="宋体"/>
                <w:color w:val="auto"/>
              </w:rPr>
            </w:pPr>
          </w:p>
        </w:tc>
        <w:tc>
          <w:tcPr>
            <w:tcW w:w="505" w:type="pct"/>
            <w:vAlign w:val="center"/>
          </w:tcPr>
          <w:p w14:paraId="003C3783">
            <w:pPr>
              <w:widowControl/>
              <w:adjustRightInd w:val="0"/>
              <w:snapToGrid w:val="0"/>
              <w:jc w:val="center"/>
              <w:rPr>
                <w:rFonts w:ascii="宋体" w:hAnsi="宋体"/>
                <w:color w:val="auto"/>
              </w:rPr>
            </w:pPr>
            <w:r>
              <w:rPr>
                <w:rFonts w:hint="eastAsia" w:ascii="宋体" w:hAnsi="宋体"/>
                <w:color w:val="auto"/>
              </w:rPr>
              <w:t>排放速率均值</w:t>
            </w:r>
            <w:r>
              <w:rPr>
                <w:rFonts w:ascii="宋体" w:hAnsi="宋体"/>
                <w:color w:val="auto"/>
              </w:rPr>
              <w:t>（</w:t>
            </w:r>
            <w:r>
              <w:rPr>
                <w:rFonts w:hint="eastAsia" w:ascii="宋体" w:hAnsi="宋体"/>
                <w:color w:val="auto"/>
              </w:rPr>
              <w:t>kg</w:t>
            </w:r>
            <w:r>
              <w:rPr>
                <w:rFonts w:ascii="宋体" w:hAnsi="宋体"/>
                <w:color w:val="auto"/>
              </w:rPr>
              <w:t>/h）</w:t>
            </w:r>
          </w:p>
        </w:tc>
        <w:tc>
          <w:tcPr>
            <w:tcW w:w="631" w:type="pct"/>
            <w:gridSpan w:val="3"/>
            <w:vAlign w:val="center"/>
          </w:tcPr>
          <w:p w14:paraId="222ED59F">
            <w:pPr>
              <w:adjustRightInd w:val="0"/>
              <w:snapToGrid w:val="0"/>
              <w:jc w:val="center"/>
              <w:rPr>
                <w:rFonts w:ascii="宋体" w:hAnsi="宋体"/>
                <w:color w:val="auto"/>
              </w:rPr>
            </w:pPr>
            <w:r>
              <w:rPr>
                <w:rFonts w:hint="eastAsia" w:ascii="宋体" w:hAnsi="宋体"/>
                <w:color w:val="auto"/>
              </w:rPr>
              <w:t>7.41</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49" w:type="pct"/>
            <w:gridSpan w:val="5"/>
            <w:vAlign w:val="center"/>
          </w:tcPr>
          <w:p w14:paraId="468B58BC">
            <w:pPr>
              <w:jc w:val="center"/>
              <w:rPr>
                <w:rFonts w:ascii="宋体" w:hAnsi="宋体"/>
                <w:color w:val="auto"/>
              </w:rPr>
            </w:pPr>
            <w:r>
              <w:rPr>
                <w:rFonts w:hint="eastAsia" w:ascii="宋体" w:hAnsi="宋体"/>
                <w:color w:val="auto"/>
              </w:rPr>
              <w:t>7.49</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54" w:type="pct"/>
            <w:gridSpan w:val="6"/>
            <w:vAlign w:val="center"/>
          </w:tcPr>
          <w:p w14:paraId="6D38E6AD">
            <w:pPr>
              <w:jc w:val="center"/>
              <w:rPr>
                <w:rFonts w:ascii="宋体" w:hAnsi="宋体"/>
                <w:color w:val="auto"/>
              </w:rPr>
            </w:pPr>
            <w:r>
              <w:rPr>
                <w:rFonts w:hint="eastAsia" w:ascii="宋体" w:hAnsi="宋体"/>
                <w:color w:val="auto"/>
              </w:rPr>
              <w:t>6.96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12" w:type="pct"/>
            <w:gridSpan w:val="6"/>
            <w:vAlign w:val="center"/>
          </w:tcPr>
          <w:p w14:paraId="36F73A90">
            <w:pPr>
              <w:jc w:val="center"/>
              <w:rPr>
                <w:rFonts w:ascii="宋体" w:hAnsi="宋体"/>
                <w:color w:val="auto"/>
              </w:rPr>
            </w:pPr>
            <w:r>
              <w:rPr>
                <w:rFonts w:hint="eastAsia" w:ascii="宋体" w:hAnsi="宋体"/>
                <w:color w:val="auto"/>
              </w:rPr>
              <w:t>6.56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50" w:type="pct"/>
            <w:gridSpan w:val="5"/>
            <w:vAlign w:val="center"/>
          </w:tcPr>
          <w:p w14:paraId="38B47F46">
            <w:pPr>
              <w:jc w:val="center"/>
              <w:rPr>
                <w:rFonts w:ascii="宋体" w:hAnsi="宋体"/>
                <w:color w:val="auto"/>
              </w:rPr>
            </w:pPr>
            <w:r>
              <w:rPr>
                <w:rFonts w:hint="eastAsia" w:ascii="宋体" w:hAnsi="宋体"/>
                <w:color w:val="auto"/>
              </w:rPr>
              <w:t>6.16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48" w:type="pct"/>
            <w:gridSpan w:val="5"/>
            <w:vAlign w:val="center"/>
          </w:tcPr>
          <w:p w14:paraId="53B65DC3">
            <w:pPr>
              <w:jc w:val="center"/>
              <w:rPr>
                <w:rFonts w:ascii="宋体" w:hAnsi="宋体"/>
                <w:color w:val="auto"/>
              </w:rPr>
            </w:pPr>
            <w:r>
              <w:rPr>
                <w:rFonts w:hint="eastAsia" w:ascii="宋体" w:hAnsi="宋体"/>
                <w:color w:val="auto"/>
              </w:rPr>
              <w:t>6.43</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r>
      <w:tr w14:paraId="7B0CA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32"/>
            <w:vAlign w:val="center"/>
          </w:tcPr>
          <w:p w14:paraId="46478BEC">
            <w:pPr>
              <w:adjustRightInd w:val="0"/>
              <w:snapToGrid w:val="0"/>
              <w:jc w:val="center"/>
              <w:rPr>
                <w:rFonts w:ascii="宋体" w:hAnsi="宋体"/>
                <w:color w:val="auto"/>
              </w:rPr>
            </w:pPr>
            <w:r>
              <w:rPr>
                <w:rFonts w:hint="eastAsia" w:ascii="宋体" w:hAnsi="宋体"/>
                <w:color w:val="auto"/>
              </w:rPr>
              <w:t>备注：1、折算排放浓度=实测排放浓度×（21%-基准氧含量）/（21%-实测氧含量），其中，基准氧含量取3.5%。</w:t>
            </w:r>
          </w:p>
          <w:p w14:paraId="4B55DC58">
            <w:pPr>
              <w:adjustRightInd w:val="0"/>
              <w:snapToGrid w:val="0"/>
              <w:jc w:val="center"/>
              <w:rPr>
                <w:rFonts w:ascii="宋体" w:hAnsi="宋体"/>
                <w:color w:val="auto"/>
              </w:rPr>
            </w:pPr>
            <w:r>
              <w:rPr>
                <w:rFonts w:hint="eastAsia" w:ascii="宋体" w:hAnsi="宋体"/>
                <w:color w:val="auto"/>
              </w:rPr>
              <w:t>2、排放速率（kg/h）=实测排放浓度（mg/m</w:t>
            </w:r>
            <w:r>
              <w:rPr>
                <w:rFonts w:hint="eastAsia" w:ascii="宋体" w:hAnsi="宋体"/>
                <w:color w:val="auto"/>
                <w:vertAlign w:val="superscript"/>
              </w:rPr>
              <w:t>3</w:t>
            </w:r>
            <w:r>
              <w:rPr>
                <w:rFonts w:hint="eastAsia" w:ascii="宋体" w:hAnsi="宋体"/>
                <w:color w:val="auto"/>
              </w:rPr>
              <w:t>）×标杆流量（m</w:t>
            </w:r>
            <w:r>
              <w:rPr>
                <w:rFonts w:hint="eastAsia" w:ascii="宋体" w:hAnsi="宋体"/>
                <w:color w:val="auto"/>
                <w:vertAlign w:val="superscript"/>
              </w:rPr>
              <w:t>3</w:t>
            </w:r>
            <w:r>
              <w:rPr>
                <w:rFonts w:hint="eastAsia" w:ascii="宋体" w:hAnsi="宋体"/>
                <w:color w:val="auto"/>
              </w:rPr>
              <w:t>/h）×10</w:t>
            </w:r>
            <w:r>
              <w:rPr>
                <w:rFonts w:hint="eastAsia" w:ascii="宋体" w:hAnsi="宋体"/>
                <w:color w:val="auto"/>
                <w:vertAlign w:val="superscript"/>
              </w:rPr>
              <w:t>-6</w:t>
            </w:r>
            <w:r>
              <w:rPr>
                <w:rFonts w:hint="eastAsia" w:ascii="宋体" w:hAnsi="宋体"/>
                <w:color w:val="auto"/>
              </w:rPr>
              <w:t>。</w:t>
            </w:r>
          </w:p>
          <w:p w14:paraId="12C7119D">
            <w:pPr>
              <w:adjustRightInd w:val="0"/>
              <w:snapToGrid w:val="0"/>
              <w:jc w:val="center"/>
              <w:rPr>
                <w:rFonts w:ascii="宋体" w:hAnsi="宋体"/>
                <w:color w:val="auto"/>
              </w:rPr>
            </w:pPr>
            <w:r>
              <w:rPr>
                <w:rFonts w:hint="eastAsia" w:ascii="宋体" w:hAnsi="宋体"/>
                <w:color w:val="auto"/>
              </w:rPr>
              <w:t>3、“ND”表示未检出。</w:t>
            </w:r>
          </w:p>
        </w:tc>
      </w:tr>
    </w:tbl>
    <w:p w14:paraId="7C5D5B36">
      <w:pPr>
        <w:rPr>
          <w:color w:val="auto"/>
        </w:rPr>
        <w:sectPr>
          <w:pgSz w:w="16839" w:h="11907" w:orient="landscape"/>
          <w:pgMar w:top="1588" w:right="1418" w:bottom="1588" w:left="1418" w:header="1134" w:footer="850" w:gutter="0"/>
          <w:cols w:space="720" w:num="1"/>
          <w:docGrid w:linePitch="312" w:charSpace="0"/>
        </w:sectPr>
      </w:pPr>
    </w:p>
    <w:p w14:paraId="07FB57E9">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7</w:t>
      </w:r>
      <w:r>
        <w:rPr>
          <w:color w:val="auto"/>
        </w:rPr>
        <w:fldChar w:fldCharType="end"/>
      </w:r>
      <w:r>
        <w:rPr>
          <w:rFonts w:hint="eastAsia"/>
          <w:color w:val="auto"/>
        </w:rPr>
        <w:t xml:space="preserve"> 8#井场加热炉排气筒（1）</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1092"/>
        <w:gridCol w:w="1040"/>
        <w:gridCol w:w="1040"/>
        <w:gridCol w:w="1040"/>
        <w:gridCol w:w="1031"/>
        <w:gridCol w:w="9"/>
        <w:gridCol w:w="1040"/>
        <w:gridCol w:w="1040"/>
        <w:gridCol w:w="1040"/>
        <w:gridCol w:w="1040"/>
        <w:gridCol w:w="1040"/>
        <w:gridCol w:w="1040"/>
        <w:gridCol w:w="1040"/>
        <w:gridCol w:w="1040"/>
      </w:tblGrid>
      <w:tr w14:paraId="597D9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63085F12">
            <w:pPr>
              <w:tabs>
                <w:tab w:val="left" w:pos="3000"/>
              </w:tabs>
              <w:jc w:val="center"/>
              <w:rPr>
                <w:rFonts w:ascii="宋体" w:hAnsi="宋体"/>
                <w:color w:val="auto"/>
              </w:rPr>
            </w:pPr>
            <w:r>
              <w:rPr>
                <w:rFonts w:ascii="宋体" w:hAnsi="宋体"/>
                <w:color w:val="auto"/>
              </w:rPr>
              <w:t>排气筒名称</w:t>
            </w:r>
          </w:p>
        </w:tc>
        <w:tc>
          <w:tcPr>
            <w:tcW w:w="4320" w:type="pct"/>
            <w:gridSpan w:val="13"/>
            <w:vAlign w:val="center"/>
          </w:tcPr>
          <w:p w14:paraId="18ED69F0">
            <w:pPr>
              <w:tabs>
                <w:tab w:val="left" w:pos="3000"/>
              </w:tabs>
              <w:jc w:val="center"/>
              <w:rPr>
                <w:rFonts w:ascii="宋体" w:hAnsi="宋体"/>
                <w:color w:val="auto"/>
              </w:rPr>
            </w:pPr>
            <w:r>
              <w:rPr>
                <w:rFonts w:ascii="宋体" w:hAnsi="宋体"/>
                <w:color w:val="auto"/>
              </w:rPr>
              <w:t>8#井场加热炉</w:t>
            </w:r>
          </w:p>
        </w:tc>
      </w:tr>
      <w:tr w14:paraId="61BD8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4604F0E6">
            <w:pPr>
              <w:tabs>
                <w:tab w:val="left" w:pos="3000"/>
              </w:tabs>
              <w:jc w:val="center"/>
              <w:rPr>
                <w:rFonts w:ascii="宋体" w:hAnsi="宋体"/>
                <w:color w:val="auto"/>
              </w:rPr>
            </w:pPr>
            <w:r>
              <w:rPr>
                <w:rFonts w:ascii="宋体" w:hAnsi="宋体"/>
                <w:color w:val="auto"/>
              </w:rPr>
              <w:t>采样日期</w:t>
            </w:r>
          </w:p>
        </w:tc>
        <w:tc>
          <w:tcPr>
            <w:tcW w:w="4320" w:type="pct"/>
            <w:gridSpan w:val="13"/>
            <w:vAlign w:val="center"/>
          </w:tcPr>
          <w:p w14:paraId="7BB01A54">
            <w:pPr>
              <w:tabs>
                <w:tab w:val="left" w:pos="3000"/>
              </w:tabs>
              <w:jc w:val="center"/>
              <w:rPr>
                <w:rFonts w:ascii="宋体" w:hAnsi="宋体"/>
                <w:color w:val="auto"/>
              </w:rPr>
            </w:pPr>
            <w:r>
              <w:rPr>
                <w:rFonts w:ascii="宋体" w:hAnsi="宋体"/>
                <w:color w:val="auto"/>
              </w:rPr>
              <w:t>2026.03.16</w:t>
            </w:r>
          </w:p>
        </w:tc>
      </w:tr>
      <w:tr w14:paraId="1D222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519A0245">
            <w:pPr>
              <w:tabs>
                <w:tab w:val="left" w:pos="3000"/>
              </w:tabs>
              <w:jc w:val="center"/>
              <w:rPr>
                <w:rFonts w:ascii="宋体" w:hAnsi="宋体"/>
                <w:color w:val="auto"/>
              </w:rPr>
            </w:pPr>
            <w:r>
              <w:rPr>
                <w:rFonts w:ascii="宋体" w:hAnsi="宋体"/>
                <w:color w:val="auto"/>
              </w:rPr>
              <w:t>分析日期</w:t>
            </w:r>
          </w:p>
        </w:tc>
        <w:tc>
          <w:tcPr>
            <w:tcW w:w="4320" w:type="pct"/>
            <w:gridSpan w:val="13"/>
            <w:vAlign w:val="center"/>
          </w:tcPr>
          <w:p w14:paraId="3B16021E">
            <w:pPr>
              <w:tabs>
                <w:tab w:val="left" w:pos="3000"/>
              </w:tabs>
              <w:jc w:val="center"/>
              <w:rPr>
                <w:rFonts w:ascii="宋体" w:hAnsi="宋体"/>
                <w:color w:val="auto"/>
              </w:rPr>
            </w:pPr>
            <w:r>
              <w:rPr>
                <w:rFonts w:ascii="宋体" w:hAnsi="宋体"/>
                <w:color w:val="auto"/>
              </w:rPr>
              <w:t>20265.03.16-03.23</w:t>
            </w:r>
          </w:p>
        </w:tc>
      </w:tr>
      <w:tr w14:paraId="1664B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04101970">
            <w:pPr>
              <w:tabs>
                <w:tab w:val="left" w:pos="3000"/>
              </w:tabs>
              <w:jc w:val="center"/>
              <w:rPr>
                <w:rFonts w:ascii="宋体" w:hAnsi="宋体"/>
                <w:color w:val="auto"/>
              </w:rPr>
            </w:pPr>
            <w:r>
              <w:rPr>
                <w:rFonts w:ascii="宋体" w:hAnsi="宋体"/>
                <w:color w:val="auto"/>
              </w:rPr>
              <w:t>排气筒高度/（m）</w:t>
            </w:r>
          </w:p>
        </w:tc>
        <w:tc>
          <w:tcPr>
            <w:tcW w:w="4320" w:type="pct"/>
            <w:gridSpan w:val="13"/>
            <w:vAlign w:val="center"/>
          </w:tcPr>
          <w:p w14:paraId="40EB3797">
            <w:pPr>
              <w:tabs>
                <w:tab w:val="left" w:pos="3000"/>
              </w:tabs>
              <w:jc w:val="center"/>
              <w:rPr>
                <w:rFonts w:ascii="宋体" w:hAnsi="宋体"/>
                <w:color w:val="auto"/>
              </w:rPr>
            </w:pPr>
            <w:r>
              <w:rPr>
                <w:rFonts w:ascii="宋体" w:hAnsi="宋体"/>
                <w:color w:val="auto"/>
              </w:rPr>
              <w:t>8</w:t>
            </w:r>
          </w:p>
        </w:tc>
      </w:tr>
      <w:tr w14:paraId="0FFF6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1CEF8BD5">
            <w:pPr>
              <w:tabs>
                <w:tab w:val="left" w:pos="3000"/>
              </w:tabs>
              <w:jc w:val="center"/>
              <w:rPr>
                <w:rFonts w:ascii="宋体" w:hAnsi="宋体"/>
                <w:color w:val="auto"/>
              </w:rPr>
            </w:pPr>
            <w:r>
              <w:rPr>
                <w:rFonts w:ascii="宋体" w:hAnsi="宋体"/>
                <w:color w:val="auto"/>
              </w:rPr>
              <w:t>测点截面积/（m</w:t>
            </w:r>
            <w:r>
              <w:rPr>
                <w:rFonts w:ascii="宋体" w:hAnsi="宋体"/>
                <w:color w:val="auto"/>
                <w:vertAlign w:val="superscript"/>
              </w:rPr>
              <w:t>2</w:t>
            </w:r>
            <w:r>
              <w:rPr>
                <w:rFonts w:ascii="宋体" w:hAnsi="宋体"/>
                <w:color w:val="auto"/>
              </w:rPr>
              <w:t>）</w:t>
            </w:r>
          </w:p>
        </w:tc>
        <w:tc>
          <w:tcPr>
            <w:tcW w:w="4320" w:type="pct"/>
            <w:gridSpan w:val="13"/>
            <w:vAlign w:val="center"/>
          </w:tcPr>
          <w:p w14:paraId="7876A0AE">
            <w:pPr>
              <w:tabs>
                <w:tab w:val="left" w:pos="3000"/>
              </w:tabs>
              <w:jc w:val="center"/>
              <w:rPr>
                <w:rFonts w:ascii="宋体" w:hAnsi="宋体"/>
                <w:color w:val="auto"/>
              </w:rPr>
            </w:pPr>
            <w:r>
              <w:rPr>
                <w:rFonts w:ascii="宋体" w:hAnsi="宋体"/>
                <w:color w:val="auto"/>
              </w:rPr>
              <w:t>0.018</w:t>
            </w:r>
          </w:p>
        </w:tc>
      </w:tr>
      <w:tr w14:paraId="7D12C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0A993A82">
            <w:pPr>
              <w:tabs>
                <w:tab w:val="left" w:pos="3000"/>
              </w:tabs>
              <w:jc w:val="center"/>
              <w:rPr>
                <w:rFonts w:ascii="宋体" w:hAnsi="宋体"/>
                <w:color w:val="auto"/>
              </w:rPr>
            </w:pPr>
            <w:r>
              <w:rPr>
                <w:rFonts w:ascii="宋体" w:hAnsi="宋体"/>
                <w:color w:val="auto"/>
              </w:rPr>
              <w:t>采样频次</w:t>
            </w:r>
          </w:p>
        </w:tc>
        <w:tc>
          <w:tcPr>
            <w:tcW w:w="360" w:type="pct"/>
            <w:vAlign w:val="center"/>
          </w:tcPr>
          <w:p w14:paraId="432BCB56">
            <w:pPr>
              <w:tabs>
                <w:tab w:val="left" w:pos="3000"/>
              </w:tabs>
              <w:jc w:val="center"/>
              <w:rPr>
                <w:rFonts w:ascii="宋体" w:hAnsi="宋体"/>
                <w:color w:val="auto"/>
              </w:rPr>
            </w:pPr>
            <w:r>
              <w:rPr>
                <w:rFonts w:ascii="宋体" w:hAnsi="宋体"/>
                <w:color w:val="auto"/>
              </w:rPr>
              <w:t>1</w:t>
            </w:r>
          </w:p>
        </w:tc>
        <w:tc>
          <w:tcPr>
            <w:tcW w:w="360" w:type="pct"/>
            <w:vAlign w:val="center"/>
          </w:tcPr>
          <w:p w14:paraId="06D5E026">
            <w:pPr>
              <w:tabs>
                <w:tab w:val="left" w:pos="3000"/>
              </w:tabs>
              <w:jc w:val="center"/>
              <w:rPr>
                <w:rFonts w:ascii="宋体" w:hAnsi="宋体"/>
                <w:color w:val="auto"/>
              </w:rPr>
            </w:pPr>
            <w:r>
              <w:rPr>
                <w:rFonts w:ascii="宋体" w:hAnsi="宋体"/>
                <w:color w:val="auto"/>
              </w:rPr>
              <w:t>2</w:t>
            </w:r>
          </w:p>
        </w:tc>
        <w:tc>
          <w:tcPr>
            <w:tcW w:w="360" w:type="pct"/>
            <w:vAlign w:val="center"/>
          </w:tcPr>
          <w:p w14:paraId="26D551C5">
            <w:pPr>
              <w:tabs>
                <w:tab w:val="left" w:pos="3000"/>
              </w:tabs>
              <w:jc w:val="center"/>
              <w:rPr>
                <w:rFonts w:ascii="宋体" w:hAnsi="宋体"/>
                <w:color w:val="auto"/>
              </w:rPr>
            </w:pPr>
            <w:r>
              <w:rPr>
                <w:rFonts w:ascii="宋体" w:hAnsi="宋体"/>
                <w:color w:val="auto"/>
              </w:rPr>
              <w:t>3</w:t>
            </w:r>
          </w:p>
        </w:tc>
        <w:tc>
          <w:tcPr>
            <w:tcW w:w="360" w:type="pct"/>
            <w:gridSpan w:val="2"/>
            <w:vAlign w:val="center"/>
          </w:tcPr>
          <w:p w14:paraId="67D89433">
            <w:pPr>
              <w:tabs>
                <w:tab w:val="left" w:pos="3000"/>
              </w:tabs>
              <w:jc w:val="center"/>
              <w:rPr>
                <w:rFonts w:ascii="宋体" w:hAnsi="宋体"/>
                <w:color w:val="auto"/>
              </w:rPr>
            </w:pPr>
            <w:r>
              <w:rPr>
                <w:rFonts w:ascii="宋体" w:hAnsi="宋体"/>
                <w:color w:val="auto"/>
              </w:rPr>
              <w:t>平均值</w:t>
            </w:r>
          </w:p>
        </w:tc>
        <w:tc>
          <w:tcPr>
            <w:tcW w:w="360" w:type="pct"/>
            <w:vAlign w:val="center"/>
          </w:tcPr>
          <w:p w14:paraId="640AA805">
            <w:pPr>
              <w:tabs>
                <w:tab w:val="left" w:pos="3000"/>
              </w:tabs>
              <w:jc w:val="center"/>
              <w:rPr>
                <w:rFonts w:ascii="宋体" w:hAnsi="宋体"/>
                <w:color w:val="auto"/>
              </w:rPr>
            </w:pPr>
            <w:r>
              <w:rPr>
                <w:rFonts w:ascii="宋体" w:hAnsi="宋体"/>
                <w:color w:val="auto"/>
              </w:rPr>
              <w:t>4</w:t>
            </w:r>
          </w:p>
        </w:tc>
        <w:tc>
          <w:tcPr>
            <w:tcW w:w="360" w:type="pct"/>
            <w:vAlign w:val="center"/>
          </w:tcPr>
          <w:p w14:paraId="1A532440">
            <w:pPr>
              <w:tabs>
                <w:tab w:val="left" w:pos="3000"/>
              </w:tabs>
              <w:jc w:val="center"/>
              <w:rPr>
                <w:rFonts w:ascii="宋体" w:hAnsi="宋体"/>
                <w:color w:val="auto"/>
              </w:rPr>
            </w:pPr>
            <w:r>
              <w:rPr>
                <w:rFonts w:ascii="宋体" w:hAnsi="宋体"/>
                <w:color w:val="auto"/>
              </w:rPr>
              <w:t>5</w:t>
            </w:r>
          </w:p>
        </w:tc>
        <w:tc>
          <w:tcPr>
            <w:tcW w:w="360" w:type="pct"/>
            <w:vAlign w:val="center"/>
          </w:tcPr>
          <w:p w14:paraId="2CB376F9">
            <w:pPr>
              <w:tabs>
                <w:tab w:val="left" w:pos="3000"/>
              </w:tabs>
              <w:jc w:val="center"/>
              <w:rPr>
                <w:rFonts w:ascii="宋体" w:hAnsi="宋体"/>
                <w:color w:val="auto"/>
              </w:rPr>
            </w:pPr>
            <w:r>
              <w:rPr>
                <w:rFonts w:ascii="宋体" w:hAnsi="宋体"/>
                <w:color w:val="auto"/>
              </w:rPr>
              <w:t>6</w:t>
            </w:r>
          </w:p>
        </w:tc>
        <w:tc>
          <w:tcPr>
            <w:tcW w:w="360" w:type="pct"/>
            <w:vAlign w:val="center"/>
          </w:tcPr>
          <w:p w14:paraId="307CF135">
            <w:pPr>
              <w:tabs>
                <w:tab w:val="left" w:pos="3000"/>
              </w:tabs>
              <w:jc w:val="center"/>
              <w:rPr>
                <w:rFonts w:ascii="宋体" w:hAnsi="宋体"/>
                <w:color w:val="auto"/>
              </w:rPr>
            </w:pPr>
            <w:r>
              <w:rPr>
                <w:rFonts w:ascii="宋体" w:hAnsi="宋体"/>
                <w:color w:val="auto"/>
              </w:rPr>
              <w:t>平均值</w:t>
            </w:r>
          </w:p>
        </w:tc>
        <w:tc>
          <w:tcPr>
            <w:tcW w:w="360" w:type="pct"/>
            <w:vAlign w:val="center"/>
          </w:tcPr>
          <w:p w14:paraId="67333140">
            <w:pPr>
              <w:tabs>
                <w:tab w:val="left" w:pos="3000"/>
              </w:tabs>
              <w:jc w:val="center"/>
              <w:rPr>
                <w:rFonts w:ascii="宋体" w:hAnsi="宋体"/>
                <w:color w:val="auto"/>
              </w:rPr>
            </w:pPr>
            <w:r>
              <w:rPr>
                <w:rFonts w:ascii="宋体" w:hAnsi="宋体"/>
                <w:color w:val="auto"/>
              </w:rPr>
              <w:t>7</w:t>
            </w:r>
          </w:p>
        </w:tc>
        <w:tc>
          <w:tcPr>
            <w:tcW w:w="360" w:type="pct"/>
            <w:vAlign w:val="center"/>
          </w:tcPr>
          <w:p w14:paraId="6FC03C97">
            <w:pPr>
              <w:tabs>
                <w:tab w:val="left" w:pos="3000"/>
              </w:tabs>
              <w:jc w:val="center"/>
              <w:rPr>
                <w:rFonts w:ascii="宋体" w:hAnsi="宋体"/>
                <w:color w:val="auto"/>
              </w:rPr>
            </w:pPr>
            <w:r>
              <w:rPr>
                <w:rFonts w:ascii="宋体" w:hAnsi="宋体"/>
                <w:color w:val="auto"/>
              </w:rPr>
              <w:t>8</w:t>
            </w:r>
          </w:p>
        </w:tc>
        <w:tc>
          <w:tcPr>
            <w:tcW w:w="360" w:type="pct"/>
            <w:vAlign w:val="center"/>
          </w:tcPr>
          <w:p w14:paraId="7CEC0DB6">
            <w:pPr>
              <w:tabs>
                <w:tab w:val="left" w:pos="3000"/>
              </w:tabs>
              <w:jc w:val="center"/>
              <w:rPr>
                <w:rFonts w:ascii="宋体" w:hAnsi="宋体"/>
                <w:color w:val="auto"/>
              </w:rPr>
            </w:pPr>
            <w:r>
              <w:rPr>
                <w:rFonts w:ascii="宋体" w:hAnsi="宋体"/>
                <w:color w:val="auto"/>
              </w:rPr>
              <w:t>9</w:t>
            </w:r>
          </w:p>
        </w:tc>
        <w:tc>
          <w:tcPr>
            <w:tcW w:w="360" w:type="pct"/>
            <w:vAlign w:val="center"/>
          </w:tcPr>
          <w:p w14:paraId="5C7A9AF4">
            <w:pPr>
              <w:tabs>
                <w:tab w:val="left" w:pos="3000"/>
              </w:tabs>
              <w:jc w:val="center"/>
              <w:rPr>
                <w:rFonts w:ascii="宋体" w:hAnsi="宋体"/>
                <w:color w:val="auto"/>
              </w:rPr>
            </w:pPr>
            <w:r>
              <w:rPr>
                <w:rFonts w:ascii="宋体" w:hAnsi="宋体"/>
                <w:color w:val="auto"/>
              </w:rPr>
              <w:t>平均值</w:t>
            </w:r>
          </w:p>
        </w:tc>
      </w:tr>
      <w:tr w14:paraId="3D0ED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07AC4F8D">
            <w:pPr>
              <w:tabs>
                <w:tab w:val="left" w:pos="3000"/>
              </w:tabs>
              <w:jc w:val="center"/>
              <w:rPr>
                <w:rFonts w:ascii="宋体" w:hAnsi="宋体"/>
                <w:color w:val="auto"/>
              </w:rPr>
            </w:pPr>
            <w:r>
              <w:rPr>
                <w:rFonts w:ascii="宋体" w:hAnsi="宋体"/>
                <w:color w:val="auto"/>
              </w:rPr>
              <w:t>温度/(</w:t>
            </w:r>
            <w:r>
              <w:rPr>
                <w:rFonts w:hint="eastAsia" w:ascii="宋体" w:hAnsi="宋体"/>
                <w:color w:val="auto"/>
              </w:rPr>
              <w:t>℃</w:t>
            </w:r>
            <w:r>
              <w:rPr>
                <w:rFonts w:ascii="宋体" w:hAnsi="宋体"/>
                <w:color w:val="auto"/>
              </w:rPr>
              <w:t>)</w:t>
            </w:r>
          </w:p>
        </w:tc>
        <w:tc>
          <w:tcPr>
            <w:tcW w:w="360" w:type="pct"/>
            <w:vAlign w:val="center"/>
          </w:tcPr>
          <w:p w14:paraId="25D00837">
            <w:pPr>
              <w:tabs>
                <w:tab w:val="left" w:pos="3000"/>
              </w:tabs>
              <w:jc w:val="center"/>
              <w:rPr>
                <w:rFonts w:ascii="宋体" w:hAnsi="宋体"/>
                <w:color w:val="auto"/>
              </w:rPr>
            </w:pPr>
            <w:r>
              <w:rPr>
                <w:rFonts w:ascii="宋体" w:hAnsi="宋体"/>
                <w:color w:val="auto"/>
              </w:rPr>
              <w:t>64</w:t>
            </w:r>
          </w:p>
        </w:tc>
        <w:tc>
          <w:tcPr>
            <w:tcW w:w="360" w:type="pct"/>
            <w:vAlign w:val="center"/>
          </w:tcPr>
          <w:p w14:paraId="27DC21CE">
            <w:pPr>
              <w:tabs>
                <w:tab w:val="left" w:pos="3000"/>
              </w:tabs>
              <w:jc w:val="center"/>
              <w:rPr>
                <w:rFonts w:ascii="宋体" w:hAnsi="宋体"/>
                <w:color w:val="auto"/>
              </w:rPr>
            </w:pPr>
            <w:r>
              <w:rPr>
                <w:rFonts w:ascii="宋体" w:hAnsi="宋体"/>
                <w:color w:val="auto"/>
              </w:rPr>
              <w:t>64</w:t>
            </w:r>
          </w:p>
        </w:tc>
        <w:tc>
          <w:tcPr>
            <w:tcW w:w="360" w:type="pct"/>
            <w:vAlign w:val="center"/>
          </w:tcPr>
          <w:p w14:paraId="671244C9">
            <w:pPr>
              <w:tabs>
                <w:tab w:val="left" w:pos="3000"/>
              </w:tabs>
              <w:jc w:val="center"/>
              <w:rPr>
                <w:rFonts w:ascii="宋体" w:hAnsi="宋体"/>
                <w:color w:val="auto"/>
              </w:rPr>
            </w:pPr>
            <w:r>
              <w:rPr>
                <w:rFonts w:ascii="宋体" w:hAnsi="宋体"/>
                <w:color w:val="auto"/>
              </w:rPr>
              <w:t>61</w:t>
            </w:r>
          </w:p>
        </w:tc>
        <w:tc>
          <w:tcPr>
            <w:tcW w:w="360" w:type="pct"/>
            <w:gridSpan w:val="2"/>
            <w:vAlign w:val="center"/>
          </w:tcPr>
          <w:p w14:paraId="3B7439FE">
            <w:pPr>
              <w:tabs>
                <w:tab w:val="left" w:pos="3000"/>
              </w:tabs>
              <w:jc w:val="center"/>
              <w:rPr>
                <w:rFonts w:ascii="宋体" w:hAnsi="宋体"/>
                <w:color w:val="auto"/>
              </w:rPr>
            </w:pPr>
            <w:r>
              <w:rPr>
                <w:rFonts w:ascii="宋体" w:hAnsi="宋体"/>
                <w:color w:val="auto"/>
              </w:rPr>
              <w:t>/</w:t>
            </w:r>
          </w:p>
        </w:tc>
        <w:tc>
          <w:tcPr>
            <w:tcW w:w="360" w:type="pct"/>
            <w:vAlign w:val="center"/>
          </w:tcPr>
          <w:p w14:paraId="31558AC7">
            <w:pPr>
              <w:tabs>
                <w:tab w:val="left" w:pos="3000"/>
              </w:tabs>
              <w:jc w:val="center"/>
              <w:rPr>
                <w:rFonts w:ascii="宋体" w:hAnsi="宋体"/>
                <w:color w:val="auto"/>
              </w:rPr>
            </w:pPr>
            <w:r>
              <w:rPr>
                <w:rFonts w:ascii="宋体" w:hAnsi="宋体"/>
                <w:color w:val="auto"/>
              </w:rPr>
              <w:t>60</w:t>
            </w:r>
          </w:p>
        </w:tc>
        <w:tc>
          <w:tcPr>
            <w:tcW w:w="360" w:type="pct"/>
            <w:vAlign w:val="center"/>
          </w:tcPr>
          <w:p w14:paraId="0294C6B9">
            <w:pPr>
              <w:tabs>
                <w:tab w:val="left" w:pos="3000"/>
              </w:tabs>
              <w:jc w:val="center"/>
              <w:rPr>
                <w:rFonts w:ascii="宋体" w:hAnsi="宋体"/>
                <w:color w:val="auto"/>
              </w:rPr>
            </w:pPr>
            <w:r>
              <w:rPr>
                <w:rFonts w:ascii="宋体" w:hAnsi="宋体"/>
                <w:color w:val="auto"/>
              </w:rPr>
              <w:t>59</w:t>
            </w:r>
          </w:p>
        </w:tc>
        <w:tc>
          <w:tcPr>
            <w:tcW w:w="360" w:type="pct"/>
            <w:vAlign w:val="center"/>
          </w:tcPr>
          <w:p w14:paraId="778EE650">
            <w:pPr>
              <w:tabs>
                <w:tab w:val="left" w:pos="3000"/>
              </w:tabs>
              <w:jc w:val="center"/>
              <w:rPr>
                <w:rFonts w:ascii="宋体" w:hAnsi="宋体"/>
                <w:color w:val="auto"/>
              </w:rPr>
            </w:pPr>
            <w:r>
              <w:rPr>
                <w:rFonts w:ascii="宋体" w:hAnsi="宋体"/>
                <w:color w:val="auto"/>
              </w:rPr>
              <w:t>59</w:t>
            </w:r>
          </w:p>
        </w:tc>
        <w:tc>
          <w:tcPr>
            <w:tcW w:w="360" w:type="pct"/>
            <w:vAlign w:val="center"/>
          </w:tcPr>
          <w:p w14:paraId="669DFC14">
            <w:pPr>
              <w:tabs>
                <w:tab w:val="left" w:pos="3000"/>
              </w:tabs>
              <w:jc w:val="center"/>
              <w:rPr>
                <w:rFonts w:ascii="宋体" w:hAnsi="宋体"/>
                <w:color w:val="auto"/>
              </w:rPr>
            </w:pPr>
            <w:r>
              <w:rPr>
                <w:rFonts w:ascii="宋体" w:hAnsi="宋体"/>
                <w:color w:val="auto"/>
              </w:rPr>
              <w:t>/</w:t>
            </w:r>
          </w:p>
        </w:tc>
        <w:tc>
          <w:tcPr>
            <w:tcW w:w="360" w:type="pct"/>
            <w:vAlign w:val="center"/>
          </w:tcPr>
          <w:p w14:paraId="3383CFE7">
            <w:pPr>
              <w:tabs>
                <w:tab w:val="left" w:pos="3000"/>
              </w:tabs>
              <w:jc w:val="center"/>
              <w:rPr>
                <w:rFonts w:ascii="宋体" w:hAnsi="宋体"/>
                <w:color w:val="auto"/>
              </w:rPr>
            </w:pPr>
            <w:r>
              <w:rPr>
                <w:rFonts w:ascii="宋体" w:hAnsi="宋体"/>
                <w:color w:val="auto"/>
              </w:rPr>
              <w:t>59</w:t>
            </w:r>
          </w:p>
        </w:tc>
        <w:tc>
          <w:tcPr>
            <w:tcW w:w="360" w:type="pct"/>
            <w:vAlign w:val="center"/>
          </w:tcPr>
          <w:p w14:paraId="1A854B4D">
            <w:pPr>
              <w:tabs>
                <w:tab w:val="left" w:pos="3000"/>
              </w:tabs>
              <w:jc w:val="center"/>
              <w:rPr>
                <w:rFonts w:ascii="宋体" w:hAnsi="宋体"/>
                <w:color w:val="auto"/>
              </w:rPr>
            </w:pPr>
            <w:r>
              <w:rPr>
                <w:rFonts w:hint="eastAsia" w:ascii="宋体" w:hAnsi="宋体"/>
                <w:color w:val="auto"/>
              </w:rPr>
              <w:t>5</w:t>
            </w:r>
            <w:r>
              <w:rPr>
                <w:rFonts w:ascii="宋体" w:hAnsi="宋体"/>
                <w:color w:val="auto"/>
              </w:rPr>
              <w:t>8</w:t>
            </w:r>
          </w:p>
        </w:tc>
        <w:tc>
          <w:tcPr>
            <w:tcW w:w="360" w:type="pct"/>
            <w:vAlign w:val="center"/>
          </w:tcPr>
          <w:p w14:paraId="0CFB37E7">
            <w:pPr>
              <w:tabs>
                <w:tab w:val="left" w:pos="3000"/>
              </w:tabs>
              <w:jc w:val="center"/>
              <w:rPr>
                <w:rFonts w:ascii="宋体" w:hAnsi="宋体"/>
                <w:color w:val="auto"/>
              </w:rPr>
            </w:pPr>
            <w:r>
              <w:rPr>
                <w:rFonts w:ascii="宋体" w:hAnsi="宋体"/>
                <w:color w:val="auto"/>
              </w:rPr>
              <w:t>58</w:t>
            </w:r>
          </w:p>
        </w:tc>
        <w:tc>
          <w:tcPr>
            <w:tcW w:w="360" w:type="pct"/>
            <w:vAlign w:val="center"/>
          </w:tcPr>
          <w:p w14:paraId="25F529EF">
            <w:pPr>
              <w:tabs>
                <w:tab w:val="left" w:pos="3000"/>
              </w:tabs>
              <w:jc w:val="center"/>
              <w:rPr>
                <w:rFonts w:ascii="宋体" w:hAnsi="宋体"/>
                <w:color w:val="auto"/>
              </w:rPr>
            </w:pPr>
            <w:r>
              <w:rPr>
                <w:rFonts w:ascii="宋体" w:hAnsi="宋体"/>
                <w:color w:val="auto"/>
              </w:rPr>
              <w:t>/</w:t>
            </w:r>
          </w:p>
        </w:tc>
      </w:tr>
      <w:tr w14:paraId="1E5FC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0F3497B3">
            <w:pPr>
              <w:tabs>
                <w:tab w:val="left" w:pos="3000"/>
              </w:tabs>
              <w:jc w:val="center"/>
              <w:rPr>
                <w:rFonts w:ascii="宋体" w:hAnsi="宋体"/>
                <w:color w:val="auto"/>
              </w:rPr>
            </w:pPr>
            <w:r>
              <w:rPr>
                <w:rFonts w:ascii="宋体" w:hAnsi="宋体"/>
                <w:color w:val="auto"/>
              </w:rPr>
              <w:t>湿度/(%)</w:t>
            </w:r>
          </w:p>
        </w:tc>
        <w:tc>
          <w:tcPr>
            <w:tcW w:w="360" w:type="pct"/>
            <w:vAlign w:val="center"/>
          </w:tcPr>
          <w:p w14:paraId="301EE5B6">
            <w:pPr>
              <w:tabs>
                <w:tab w:val="left" w:pos="3000"/>
              </w:tabs>
              <w:jc w:val="center"/>
              <w:rPr>
                <w:rFonts w:ascii="宋体" w:hAnsi="宋体"/>
                <w:color w:val="auto"/>
              </w:rPr>
            </w:pPr>
            <w:r>
              <w:rPr>
                <w:rFonts w:ascii="宋体" w:hAnsi="宋体"/>
                <w:color w:val="auto"/>
              </w:rPr>
              <w:t>4.2</w:t>
            </w:r>
          </w:p>
        </w:tc>
        <w:tc>
          <w:tcPr>
            <w:tcW w:w="360" w:type="pct"/>
            <w:vAlign w:val="center"/>
          </w:tcPr>
          <w:p w14:paraId="1195828A">
            <w:pPr>
              <w:tabs>
                <w:tab w:val="left" w:pos="3000"/>
              </w:tabs>
              <w:jc w:val="center"/>
              <w:rPr>
                <w:rFonts w:ascii="宋体" w:hAnsi="宋体"/>
                <w:color w:val="auto"/>
              </w:rPr>
            </w:pPr>
            <w:r>
              <w:rPr>
                <w:rFonts w:ascii="宋体" w:hAnsi="宋体"/>
                <w:color w:val="auto"/>
              </w:rPr>
              <w:t>4.2</w:t>
            </w:r>
          </w:p>
        </w:tc>
        <w:tc>
          <w:tcPr>
            <w:tcW w:w="360" w:type="pct"/>
            <w:vAlign w:val="center"/>
          </w:tcPr>
          <w:p w14:paraId="2E2F05AC">
            <w:pPr>
              <w:tabs>
                <w:tab w:val="left" w:pos="3000"/>
              </w:tabs>
              <w:jc w:val="center"/>
              <w:rPr>
                <w:rFonts w:ascii="宋体" w:hAnsi="宋体"/>
                <w:color w:val="auto"/>
              </w:rPr>
            </w:pPr>
            <w:r>
              <w:rPr>
                <w:rFonts w:ascii="宋体" w:hAnsi="宋体"/>
                <w:color w:val="auto"/>
              </w:rPr>
              <w:t>4.3</w:t>
            </w:r>
          </w:p>
        </w:tc>
        <w:tc>
          <w:tcPr>
            <w:tcW w:w="360" w:type="pct"/>
            <w:gridSpan w:val="2"/>
            <w:vAlign w:val="center"/>
          </w:tcPr>
          <w:p w14:paraId="6A41ACBA">
            <w:pPr>
              <w:tabs>
                <w:tab w:val="left" w:pos="3000"/>
              </w:tabs>
              <w:jc w:val="center"/>
              <w:rPr>
                <w:rFonts w:ascii="宋体" w:hAnsi="宋体"/>
                <w:color w:val="auto"/>
              </w:rPr>
            </w:pPr>
            <w:r>
              <w:rPr>
                <w:rFonts w:ascii="宋体" w:hAnsi="宋体"/>
                <w:color w:val="auto"/>
              </w:rPr>
              <w:t>/</w:t>
            </w:r>
          </w:p>
        </w:tc>
        <w:tc>
          <w:tcPr>
            <w:tcW w:w="360" w:type="pct"/>
            <w:vAlign w:val="center"/>
          </w:tcPr>
          <w:p w14:paraId="6E0F2056">
            <w:pPr>
              <w:tabs>
                <w:tab w:val="left" w:pos="3000"/>
              </w:tabs>
              <w:jc w:val="center"/>
              <w:rPr>
                <w:rFonts w:ascii="宋体" w:hAnsi="宋体"/>
                <w:color w:val="auto"/>
              </w:rPr>
            </w:pPr>
            <w:r>
              <w:rPr>
                <w:rFonts w:ascii="宋体" w:hAnsi="宋体"/>
                <w:color w:val="auto"/>
              </w:rPr>
              <w:t>4.3</w:t>
            </w:r>
          </w:p>
        </w:tc>
        <w:tc>
          <w:tcPr>
            <w:tcW w:w="360" w:type="pct"/>
            <w:vAlign w:val="center"/>
          </w:tcPr>
          <w:p w14:paraId="786A1591">
            <w:pPr>
              <w:tabs>
                <w:tab w:val="left" w:pos="3000"/>
              </w:tabs>
              <w:jc w:val="center"/>
              <w:rPr>
                <w:rFonts w:ascii="宋体" w:hAnsi="宋体"/>
                <w:color w:val="auto"/>
              </w:rPr>
            </w:pPr>
            <w:r>
              <w:rPr>
                <w:rFonts w:ascii="宋体" w:hAnsi="宋体"/>
                <w:color w:val="auto"/>
              </w:rPr>
              <w:t>4.5</w:t>
            </w:r>
          </w:p>
        </w:tc>
        <w:tc>
          <w:tcPr>
            <w:tcW w:w="360" w:type="pct"/>
            <w:vAlign w:val="center"/>
          </w:tcPr>
          <w:p w14:paraId="11D37FE2">
            <w:pPr>
              <w:tabs>
                <w:tab w:val="left" w:pos="3000"/>
              </w:tabs>
              <w:jc w:val="center"/>
              <w:rPr>
                <w:rFonts w:ascii="宋体" w:hAnsi="宋体"/>
                <w:color w:val="auto"/>
              </w:rPr>
            </w:pPr>
            <w:r>
              <w:rPr>
                <w:rFonts w:ascii="宋体" w:hAnsi="宋体"/>
                <w:color w:val="auto"/>
              </w:rPr>
              <w:t>4.4</w:t>
            </w:r>
          </w:p>
        </w:tc>
        <w:tc>
          <w:tcPr>
            <w:tcW w:w="360" w:type="pct"/>
            <w:vAlign w:val="center"/>
          </w:tcPr>
          <w:p w14:paraId="1E97C20C">
            <w:pPr>
              <w:tabs>
                <w:tab w:val="left" w:pos="3000"/>
              </w:tabs>
              <w:jc w:val="center"/>
              <w:rPr>
                <w:rFonts w:ascii="宋体" w:hAnsi="宋体"/>
                <w:color w:val="auto"/>
              </w:rPr>
            </w:pPr>
            <w:r>
              <w:rPr>
                <w:rFonts w:ascii="宋体" w:hAnsi="宋体"/>
                <w:color w:val="auto"/>
              </w:rPr>
              <w:t>/</w:t>
            </w:r>
          </w:p>
        </w:tc>
        <w:tc>
          <w:tcPr>
            <w:tcW w:w="360" w:type="pct"/>
            <w:vAlign w:val="center"/>
          </w:tcPr>
          <w:p w14:paraId="1B9FCADA">
            <w:pPr>
              <w:tabs>
                <w:tab w:val="left" w:pos="3000"/>
              </w:tabs>
              <w:jc w:val="center"/>
              <w:rPr>
                <w:rFonts w:ascii="宋体" w:hAnsi="宋体"/>
                <w:color w:val="auto"/>
              </w:rPr>
            </w:pPr>
            <w:r>
              <w:rPr>
                <w:rFonts w:ascii="宋体" w:hAnsi="宋体"/>
                <w:color w:val="auto"/>
              </w:rPr>
              <w:t>4.5</w:t>
            </w:r>
          </w:p>
        </w:tc>
        <w:tc>
          <w:tcPr>
            <w:tcW w:w="360" w:type="pct"/>
            <w:vAlign w:val="center"/>
          </w:tcPr>
          <w:p w14:paraId="4C4072DF">
            <w:pPr>
              <w:tabs>
                <w:tab w:val="left" w:pos="3000"/>
              </w:tabs>
              <w:jc w:val="center"/>
              <w:rPr>
                <w:rFonts w:ascii="宋体" w:hAnsi="宋体"/>
                <w:color w:val="auto"/>
              </w:rPr>
            </w:pPr>
            <w:r>
              <w:rPr>
                <w:rFonts w:ascii="宋体" w:hAnsi="宋体"/>
                <w:color w:val="auto"/>
              </w:rPr>
              <w:t>4.4</w:t>
            </w:r>
          </w:p>
        </w:tc>
        <w:tc>
          <w:tcPr>
            <w:tcW w:w="360" w:type="pct"/>
            <w:vAlign w:val="center"/>
          </w:tcPr>
          <w:p w14:paraId="71F66466">
            <w:pPr>
              <w:tabs>
                <w:tab w:val="left" w:pos="3000"/>
              </w:tabs>
              <w:jc w:val="center"/>
              <w:rPr>
                <w:rFonts w:ascii="宋体" w:hAnsi="宋体"/>
                <w:color w:val="auto"/>
              </w:rPr>
            </w:pPr>
            <w:r>
              <w:rPr>
                <w:rFonts w:ascii="宋体" w:hAnsi="宋体"/>
                <w:color w:val="auto"/>
              </w:rPr>
              <w:t>4.4</w:t>
            </w:r>
          </w:p>
        </w:tc>
        <w:tc>
          <w:tcPr>
            <w:tcW w:w="360" w:type="pct"/>
            <w:vAlign w:val="center"/>
          </w:tcPr>
          <w:p w14:paraId="0824D4D5">
            <w:pPr>
              <w:tabs>
                <w:tab w:val="left" w:pos="3000"/>
              </w:tabs>
              <w:jc w:val="center"/>
              <w:rPr>
                <w:rFonts w:ascii="宋体" w:hAnsi="宋体"/>
                <w:color w:val="auto"/>
              </w:rPr>
            </w:pPr>
            <w:r>
              <w:rPr>
                <w:rFonts w:ascii="宋体" w:hAnsi="宋体"/>
                <w:color w:val="auto"/>
              </w:rPr>
              <w:t>/</w:t>
            </w:r>
          </w:p>
        </w:tc>
      </w:tr>
      <w:tr w14:paraId="495DF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0EBA0366">
            <w:pPr>
              <w:tabs>
                <w:tab w:val="left" w:pos="3000"/>
              </w:tabs>
              <w:jc w:val="center"/>
              <w:rPr>
                <w:rFonts w:ascii="宋体" w:hAnsi="宋体"/>
                <w:color w:val="auto"/>
              </w:rPr>
            </w:pPr>
            <w:r>
              <w:rPr>
                <w:rFonts w:ascii="宋体" w:hAnsi="宋体"/>
                <w:color w:val="auto"/>
              </w:rPr>
              <w:t>流速/(m/s)</w:t>
            </w:r>
          </w:p>
        </w:tc>
        <w:tc>
          <w:tcPr>
            <w:tcW w:w="360" w:type="pct"/>
            <w:vAlign w:val="center"/>
          </w:tcPr>
          <w:p w14:paraId="5639EC2D">
            <w:pPr>
              <w:tabs>
                <w:tab w:val="left" w:pos="3000"/>
              </w:tabs>
              <w:jc w:val="center"/>
              <w:rPr>
                <w:rFonts w:ascii="宋体" w:hAnsi="宋体"/>
                <w:color w:val="auto"/>
              </w:rPr>
            </w:pPr>
            <w:r>
              <w:rPr>
                <w:rFonts w:ascii="宋体" w:hAnsi="宋体"/>
                <w:color w:val="auto"/>
              </w:rPr>
              <w:t>5.5</w:t>
            </w:r>
          </w:p>
        </w:tc>
        <w:tc>
          <w:tcPr>
            <w:tcW w:w="360" w:type="pct"/>
            <w:vAlign w:val="center"/>
          </w:tcPr>
          <w:p w14:paraId="5270E911">
            <w:pPr>
              <w:tabs>
                <w:tab w:val="left" w:pos="3000"/>
              </w:tabs>
              <w:jc w:val="center"/>
              <w:rPr>
                <w:rFonts w:ascii="宋体" w:hAnsi="宋体"/>
                <w:color w:val="auto"/>
              </w:rPr>
            </w:pPr>
            <w:r>
              <w:rPr>
                <w:rFonts w:ascii="宋体" w:hAnsi="宋体"/>
                <w:color w:val="auto"/>
              </w:rPr>
              <w:t>5.5</w:t>
            </w:r>
          </w:p>
        </w:tc>
        <w:tc>
          <w:tcPr>
            <w:tcW w:w="360" w:type="pct"/>
            <w:vAlign w:val="center"/>
          </w:tcPr>
          <w:p w14:paraId="4D51145B">
            <w:pPr>
              <w:tabs>
                <w:tab w:val="left" w:pos="3000"/>
              </w:tabs>
              <w:jc w:val="center"/>
              <w:rPr>
                <w:rFonts w:ascii="宋体" w:hAnsi="宋体"/>
                <w:color w:val="auto"/>
              </w:rPr>
            </w:pPr>
            <w:r>
              <w:rPr>
                <w:rFonts w:ascii="宋体" w:hAnsi="宋体"/>
                <w:color w:val="auto"/>
              </w:rPr>
              <w:t>5.5</w:t>
            </w:r>
          </w:p>
        </w:tc>
        <w:tc>
          <w:tcPr>
            <w:tcW w:w="360" w:type="pct"/>
            <w:gridSpan w:val="2"/>
            <w:vAlign w:val="center"/>
          </w:tcPr>
          <w:p w14:paraId="5A906C6C">
            <w:pPr>
              <w:tabs>
                <w:tab w:val="left" w:pos="3000"/>
              </w:tabs>
              <w:jc w:val="center"/>
              <w:rPr>
                <w:rFonts w:ascii="宋体" w:hAnsi="宋体"/>
                <w:color w:val="auto"/>
              </w:rPr>
            </w:pPr>
            <w:r>
              <w:rPr>
                <w:rFonts w:ascii="宋体" w:hAnsi="宋体"/>
                <w:color w:val="auto"/>
              </w:rPr>
              <w:t>/</w:t>
            </w:r>
          </w:p>
        </w:tc>
        <w:tc>
          <w:tcPr>
            <w:tcW w:w="360" w:type="pct"/>
            <w:vAlign w:val="center"/>
          </w:tcPr>
          <w:p w14:paraId="6327A15A">
            <w:pPr>
              <w:tabs>
                <w:tab w:val="left" w:pos="3000"/>
              </w:tabs>
              <w:jc w:val="center"/>
              <w:rPr>
                <w:rFonts w:ascii="宋体" w:hAnsi="宋体"/>
                <w:color w:val="auto"/>
              </w:rPr>
            </w:pPr>
            <w:r>
              <w:rPr>
                <w:rFonts w:ascii="宋体" w:hAnsi="宋体"/>
                <w:color w:val="auto"/>
              </w:rPr>
              <w:t>5.9</w:t>
            </w:r>
          </w:p>
        </w:tc>
        <w:tc>
          <w:tcPr>
            <w:tcW w:w="360" w:type="pct"/>
            <w:vAlign w:val="center"/>
          </w:tcPr>
          <w:p w14:paraId="7227540D">
            <w:pPr>
              <w:tabs>
                <w:tab w:val="left" w:pos="3000"/>
              </w:tabs>
              <w:jc w:val="center"/>
              <w:rPr>
                <w:rFonts w:ascii="宋体" w:hAnsi="宋体"/>
                <w:color w:val="auto"/>
              </w:rPr>
            </w:pPr>
            <w:r>
              <w:rPr>
                <w:rFonts w:ascii="宋体" w:hAnsi="宋体"/>
                <w:color w:val="auto"/>
              </w:rPr>
              <w:t>5.8</w:t>
            </w:r>
          </w:p>
        </w:tc>
        <w:tc>
          <w:tcPr>
            <w:tcW w:w="360" w:type="pct"/>
            <w:vAlign w:val="center"/>
          </w:tcPr>
          <w:p w14:paraId="1BD728BB">
            <w:pPr>
              <w:tabs>
                <w:tab w:val="left" w:pos="3000"/>
              </w:tabs>
              <w:jc w:val="center"/>
              <w:rPr>
                <w:rFonts w:ascii="宋体" w:hAnsi="宋体"/>
                <w:color w:val="auto"/>
              </w:rPr>
            </w:pPr>
            <w:r>
              <w:rPr>
                <w:rFonts w:ascii="宋体" w:hAnsi="宋体"/>
                <w:color w:val="auto"/>
              </w:rPr>
              <w:t>5.8</w:t>
            </w:r>
          </w:p>
        </w:tc>
        <w:tc>
          <w:tcPr>
            <w:tcW w:w="360" w:type="pct"/>
            <w:vAlign w:val="center"/>
          </w:tcPr>
          <w:p w14:paraId="0C564D52">
            <w:pPr>
              <w:tabs>
                <w:tab w:val="left" w:pos="3000"/>
              </w:tabs>
              <w:jc w:val="center"/>
              <w:rPr>
                <w:rFonts w:ascii="宋体" w:hAnsi="宋体"/>
                <w:color w:val="auto"/>
              </w:rPr>
            </w:pPr>
            <w:r>
              <w:rPr>
                <w:rFonts w:ascii="宋体" w:hAnsi="宋体"/>
                <w:color w:val="auto"/>
              </w:rPr>
              <w:t>/</w:t>
            </w:r>
          </w:p>
        </w:tc>
        <w:tc>
          <w:tcPr>
            <w:tcW w:w="360" w:type="pct"/>
            <w:vAlign w:val="center"/>
          </w:tcPr>
          <w:p w14:paraId="3292A2FE">
            <w:pPr>
              <w:tabs>
                <w:tab w:val="left" w:pos="3000"/>
              </w:tabs>
              <w:jc w:val="center"/>
              <w:rPr>
                <w:rFonts w:ascii="宋体" w:hAnsi="宋体"/>
                <w:color w:val="auto"/>
              </w:rPr>
            </w:pPr>
            <w:r>
              <w:rPr>
                <w:rFonts w:ascii="宋体" w:hAnsi="宋体"/>
                <w:color w:val="auto"/>
              </w:rPr>
              <w:t>6.0</w:t>
            </w:r>
          </w:p>
        </w:tc>
        <w:tc>
          <w:tcPr>
            <w:tcW w:w="360" w:type="pct"/>
            <w:vAlign w:val="center"/>
          </w:tcPr>
          <w:p w14:paraId="122C44E3">
            <w:pPr>
              <w:tabs>
                <w:tab w:val="left" w:pos="3000"/>
              </w:tabs>
              <w:jc w:val="center"/>
              <w:rPr>
                <w:rFonts w:ascii="宋体" w:hAnsi="宋体"/>
                <w:color w:val="auto"/>
              </w:rPr>
            </w:pPr>
            <w:r>
              <w:rPr>
                <w:rFonts w:ascii="宋体" w:hAnsi="宋体"/>
                <w:color w:val="auto"/>
              </w:rPr>
              <w:t>6.0</w:t>
            </w:r>
          </w:p>
        </w:tc>
        <w:tc>
          <w:tcPr>
            <w:tcW w:w="360" w:type="pct"/>
            <w:vAlign w:val="center"/>
          </w:tcPr>
          <w:p w14:paraId="48E7674E">
            <w:pPr>
              <w:tabs>
                <w:tab w:val="left" w:pos="3000"/>
              </w:tabs>
              <w:jc w:val="center"/>
              <w:rPr>
                <w:rFonts w:ascii="宋体" w:hAnsi="宋体"/>
                <w:color w:val="auto"/>
              </w:rPr>
            </w:pPr>
            <w:r>
              <w:rPr>
                <w:rFonts w:ascii="宋体" w:hAnsi="宋体"/>
                <w:color w:val="auto"/>
              </w:rPr>
              <w:t>5.7</w:t>
            </w:r>
          </w:p>
        </w:tc>
        <w:tc>
          <w:tcPr>
            <w:tcW w:w="360" w:type="pct"/>
            <w:vAlign w:val="center"/>
          </w:tcPr>
          <w:p w14:paraId="3EFF6619">
            <w:pPr>
              <w:tabs>
                <w:tab w:val="left" w:pos="3000"/>
              </w:tabs>
              <w:jc w:val="center"/>
              <w:rPr>
                <w:rFonts w:ascii="宋体" w:hAnsi="宋体"/>
                <w:color w:val="auto"/>
              </w:rPr>
            </w:pPr>
            <w:r>
              <w:rPr>
                <w:rFonts w:ascii="宋体" w:hAnsi="宋体"/>
                <w:color w:val="auto"/>
              </w:rPr>
              <w:t>/</w:t>
            </w:r>
          </w:p>
        </w:tc>
      </w:tr>
      <w:tr w14:paraId="0579F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2F750184">
            <w:pPr>
              <w:tabs>
                <w:tab w:val="left" w:pos="3000"/>
              </w:tabs>
              <w:jc w:val="center"/>
              <w:rPr>
                <w:rFonts w:ascii="宋体" w:hAnsi="宋体"/>
                <w:color w:val="auto"/>
              </w:rPr>
            </w:pPr>
            <w:r>
              <w:rPr>
                <w:rFonts w:ascii="宋体" w:hAnsi="宋体"/>
                <w:color w:val="auto"/>
              </w:rPr>
              <w:t>含氧量/(%)</w:t>
            </w:r>
          </w:p>
        </w:tc>
        <w:tc>
          <w:tcPr>
            <w:tcW w:w="360" w:type="pct"/>
            <w:vAlign w:val="center"/>
          </w:tcPr>
          <w:p w14:paraId="06158682">
            <w:pPr>
              <w:tabs>
                <w:tab w:val="left" w:pos="3000"/>
              </w:tabs>
              <w:jc w:val="center"/>
              <w:rPr>
                <w:rFonts w:ascii="宋体" w:hAnsi="宋体"/>
                <w:color w:val="auto"/>
              </w:rPr>
            </w:pPr>
            <w:r>
              <w:rPr>
                <w:rFonts w:ascii="宋体" w:hAnsi="宋体"/>
                <w:color w:val="auto"/>
              </w:rPr>
              <w:t>4.3</w:t>
            </w:r>
          </w:p>
        </w:tc>
        <w:tc>
          <w:tcPr>
            <w:tcW w:w="360" w:type="pct"/>
            <w:vAlign w:val="center"/>
          </w:tcPr>
          <w:p w14:paraId="11887F41">
            <w:pPr>
              <w:tabs>
                <w:tab w:val="left" w:pos="3000"/>
              </w:tabs>
              <w:jc w:val="center"/>
              <w:rPr>
                <w:rFonts w:ascii="宋体" w:hAnsi="宋体"/>
                <w:color w:val="auto"/>
              </w:rPr>
            </w:pPr>
            <w:r>
              <w:rPr>
                <w:rFonts w:ascii="宋体" w:hAnsi="宋体"/>
                <w:color w:val="auto"/>
              </w:rPr>
              <w:t>4.4</w:t>
            </w:r>
          </w:p>
        </w:tc>
        <w:tc>
          <w:tcPr>
            <w:tcW w:w="360" w:type="pct"/>
            <w:vAlign w:val="center"/>
          </w:tcPr>
          <w:p w14:paraId="778B60DE">
            <w:pPr>
              <w:tabs>
                <w:tab w:val="left" w:pos="3000"/>
              </w:tabs>
              <w:jc w:val="center"/>
              <w:rPr>
                <w:rFonts w:ascii="宋体" w:hAnsi="宋体"/>
                <w:color w:val="auto"/>
              </w:rPr>
            </w:pPr>
            <w:r>
              <w:rPr>
                <w:rFonts w:ascii="宋体" w:hAnsi="宋体"/>
                <w:color w:val="auto"/>
              </w:rPr>
              <w:t>4.4</w:t>
            </w:r>
          </w:p>
        </w:tc>
        <w:tc>
          <w:tcPr>
            <w:tcW w:w="360" w:type="pct"/>
            <w:gridSpan w:val="2"/>
            <w:vAlign w:val="center"/>
          </w:tcPr>
          <w:p w14:paraId="54D74310">
            <w:pPr>
              <w:tabs>
                <w:tab w:val="left" w:pos="3000"/>
              </w:tabs>
              <w:jc w:val="center"/>
              <w:rPr>
                <w:rFonts w:ascii="宋体" w:hAnsi="宋体"/>
                <w:color w:val="auto"/>
              </w:rPr>
            </w:pPr>
            <w:r>
              <w:rPr>
                <w:rFonts w:ascii="宋体" w:hAnsi="宋体"/>
                <w:color w:val="auto"/>
              </w:rPr>
              <w:t>/</w:t>
            </w:r>
          </w:p>
        </w:tc>
        <w:tc>
          <w:tcPr>
            <w:tcW w:w="360" w:type="pct"/>
            <w:vAlign w:val="center"/>
          </w:tcPr>
          <w:p w14:paraId="33D7BDF4">
            <w:pPr>
              <w:tabs>
                <w:tab w:val="left" w:pos="3000"/>
              </w:tabs>
              <w:jc w:val="center"/>
              <w:rPr>
                <w:rFonts w:ascii="宋体" w:hAnsi="宋体"/>
                <w:color w:val="auto"/>
              </w:rPr>
            </w:pPr>
            <w:r>
              <w:rPr>
                <w:rFonts w:ascii="宋体" w:hAnsi="宋体"/>
                <w:color w:val="auto"/>
              </w:rPr>
              <w:t>4.6</w:t>
            </w:r>
          </w:p>
        </w:tc>
        <w:tc>
          <w:tcPr>
            <w:tcW w:w="360" w:type="pct"/>
            <w:vAlign w:val="center"/>
          </w:tcPr>
          <w:p w14:paraId="6F5409E5">
            <w:pPr>
              <w:tabs>
                <w:tab w:val="left" w:pos="3000"/>
              </w:tabs>
              <w:jc w:val="center"/>
              <w:rPr>
                <w:rFonts w:ascii="宋体" w:hAnsi="宋体"/>
                <w:color w:val="auto"/>
              </w:rPr>
            </w:pPr>
            <w:r>
              <w:rPr>
                <w:rFonts w:ascii="宋体" w:hAnsi="宋体"/>
                <w:color w:val="auto"/>
              </w:rPr>
              <w:t>4.5</w:t>
            </w:r>
          </w:p>
        </w:tc>
        <w:tc>
          <w:tcPr>
            <w:tcW w:w="360" w:type="pct"/>
            <w:vAlign w:val="center"/>
          </w:tcPr>
          <w:p w14:paraId="065BF27D">
            <w:pPr>
              <w:tabs>
                <w:tab w:val="left" w:pos="3000"/>
              </w:tabs>
              <w:jc w:val="center"/>
              <w:rPr>
                <w:rFonts w:ascii="宋体" w:hAnsi="宋体"/>
                <w:color w:val="auto"/>
              </w:rPr>
            </w:pPr>
            <w:r>
              <w:rPr>
                <w:rFonts w:hint="eastAsia" w:ascii="宋体" w:hAnsi="宋体"/>
                <w:color w:val="auto"/>
              </w:rPr>
              <w:t>4.7</w:t>
            </w:r>
          </w:p>
        </w:tc>
        <w:tc>
          <w:tcPr>
            <w:tcW w:w="360" w:type="pct"/>
            <w:vAlign w:val="center"/>
          </w:tcPr>
          <w:p w14:paraId="2A423228">
            <w:pPr>
              <w:tabs>
                <w:tab w:val="left" w:pos="3000"/>
              </w:tabs>
              <w:jc w:val="center"/>
              <w:rPr>
                <w:rFonts w:ascii="宋体" w:hAnsi="宋体"/>
                <w:color w:val="auto"/>
              </w:rPr>
            </w:pPr>
            <w:r>
              <w:rPr>
                <w:rFonts w:ascii="宋体" w:hAnsi="宋体"/>
                <w:color w:val="auto"/>
              </w:rPr>
              <w:t>/</w:t>
            </w:r>
          </w:p>
        </w:tc>
        <w:tc>
          <w:tcPr>
            <w:tcW w:w="360" w:type="pct"/>
            <w:vAlign w:val="center"/>
          </w:tcPr>
          <w:p w14:paraId="6BB18786">
            <w:pPr>
              <w:tabs>
                <w:tab w:val="left" w:pos="3000"/>
              </w:tabs>
              <w:jc w:val="center"/>
              <w:rPr>
                <w:rFonts w:ascii="宋体" w:hAnsi="宋体"/>
                <w:color w:val="auto"/>
              </w:rPr>
            </w:pPr>
            <w:r>
              <w:rPr>
                <w:rFonts w:ascii="宋体" w:hAnsi="宋体"/>
                <w:color w:val="auto"/>
              </w:rPr>
              <w:t>4.8</w:t>
            </w:r>
          </w:p>
        </w:tc>
        <w:tc>
          <w:tcPr>
            <w:tcW w:w="360" w:type="pct"/>
            <w:vAlign w:val="center"/>
          </w:tcPr>
          <w:p w14:paraId="38ED12A2">
            <w:pPr>
              <w:tabs>
                <w:tab w:val="left" w:pos="3000"/>
              </w:tabs>
              <w:jc w:val="center"/>
              <w:rPr>
                <w:rFonts w:ascii="宋体" w:hAnsi="宋体"/>
                <w:color w:val="auto"/>
              </w:rPr>
            </w:pPr>
            <w:r>
              <w:rPr>
                <w:rFonts w:ascii="宋体" w:hAnsi="宋体"/>
                <w:color w:val="auto"/>
              </w:rPr>
              <w:t>4.8</w:t>
            </w:r>
          </w:p>
        </w:tc>
        <w:tc>
          <w:tcPr>
            <w:tcW w:w="360" w:type="pct"/>
            <w:vAlign w:val="center"/>
          </w:tcPr>
          <w:p w14:paraId="19D47269">
            <w:pPr>
              <w:tabs>
                <w:tab w:val="left" w:pos="3000"/>
              </w:tabs>
              <w:jc w:val="center"/>
              <w:rPr>
                <w:rFonts w:ascii="宋体" w:hAnsi="宋体"/>
                <w:color w:val="auto"/>
              </w:rPr>
            </w:pPr>
            <w:r>
              <w:rPr>
                <w:rFonts w:ascii="宋体" w:hAnsi="宋体"/>
                <w:color w:val="auto"/>
              </w:rPr>
              <w:t>4.7</w:t>
            </w:r>
          </w:p>
        </w:tc>
        <w:tc>
          <w:tcPr>
            <w:tcW w:w="360" w:type="pct"/>
            <w:vAlign w:val="center"/>
          </w:tcPr>
          <w:p w14:paraId="302B5A9A">
            <w:pPr>
              <w:tabs>
                <w:tab w:val="left" w:pos="3000"/>
              </w:tabs>
              <w:jc w:val="center"/>
              <w:rPr>
                <w:rFonts w:ascii="宋体" w:hAnsi="宋体"/>
                <w:color w:val="auto"/>
              </w:rPr>
            </w:pPr>
            <w:r>
              <w:rPr>
                <w:rFonts w:ascii="宋体" w:hAnsi="宋体"/>
                <w:color w:val="auto"/>
              </w:rPr>
              <w:t>/</w:t>
            </w:r>
          </w:p>
        </w:tc>
      </w:tr>
      <w:tr w14:paraId="7F73C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16A2628C">
            <w:pPr>
              <w:tabs>
                <w:tab w:val="left" w:pos="3000"/>
              </w:tabs>
              <w:jc w:val="center"/>
              <w:rPr>
                <w:rFonts w:ascii="宋体" w:hAnsi="宋体"/>
                <w:color w:val="auto"/>
              </w:rPr>
            </w:pPr>
            <w:r>
              <w:rPr>
                <w:rFonts w:ascii="宋体" w:hAnsi="宋体"/>
                <w:color w:val="auto"/>
              </w:rPr>
              <w:t>标干废气量/（Nm</w:t>
            </w:r>
            <w:r>
              <w:rPr>
                <w:rFonts w:ascii="宋体" w:hAnsi="宋体"/>
                <w:color w:val="auto"/>
                <w:vertAlign w:val="superscript"/>
              </w:rPr>
              <w:t>3</w:t>
            </w:r>
            <w:r>
              <w:rPr>
                <w:rFonts w:ascii="宋体" w:hAnsi="宋体"/>
                <w:color w:val="auto"/>
              </w:rPr>
              <w:t>/h）</w:t>
            </w:r>
          </w:p>
        </w:tc>
        <w:tc>
          <w:tcPr>
            <w:tcW w:w="360" w:type="pct"/>
            <w:vAlign w:val="center"/>
          </w:tcPr>
          <w:p w14:paraId="63952217">
            <w:pPr>
              <w:tabs>
                <w:tab w:val="left" w:pos="3000"/>
              </w:tabs>
              <w:jc w:val="center"/>
              <w:rPr>
                <w:rFonts w:ascii="宋体" w:hAnsi="宋体"/>
                <w:color w:val="auto"/>
              </w:rPr>
            </w:pPr>
            <w:r>
              <w:rPr>
                <w:rFonts w:ascii="宋体" w:hAnsi="宋体"/>
                <w:color w:val="auto"/>
              </w:rPr>
              <w:t>274</w:t>
            </w:r>
          </w:p>
        </w:tc>
        <w:tc>
          <w:tcPr>
            <w:tcW w:w="360" w:type="pct"/>
            <w:vAlign w:val="center"/>
          </w:tcPr>
          <w:p w14:paraId="2A89A37A">
            <w:pPr>
              <w:tabs>
                <w:tab w:val="left" w:pos="3000"/>
              </w:tabs>
              <w:jc w:val="center"/>
              <w:rPr>
                <w:rFonts w:ascii="宋体" w:hAnsi="宋体"/>
                <w:color w:val="auto"/>
              </w:rPr>
            </w:pPr>
            <w:r>
              <w:rPr>
                <w:rFonts w:ascii="宋体" w:hAnsi="宋体"/>
                <w:color w:val="auto"/>
              </w:rPr>
              <w:t>277</w:t>
            </w:r>
          </w:p>
        </w:tc>
        <w:tc>
          <w:tcPr>
            <w:tcW w:w="360" w:type="pct"/>
            <w:vAlign w:val="center"/>
          </w:tcPr>
          <w:p w14:paraId="2A4D77DB">
            <w:pPr>
              <w:tabs>
                <w:tab w:val="left" w:pos="3000"/>
              </w:tabs>
              <w:jc w:val="center"/>
              <w:rPr>
                <w:rFonts w:ascii="宋体" w:hAnsi="宋体"/>
                <w:color w:val="auto"/>
              </w:rPr>
            </w:pPr>
            <w:r>
              <w:rPr>
                <w:rFonts w:ascii="宋体" w:hAnsi="宋体"/>
                <w:color w:val="auto"/>
              </w:rPr>
              <w:t>278</w:t>
            </w:r>
          </w:p>
        </w:tc>
        <w:tc>
          <w:tcPr>
            <w:tcW w:w="360" w:type="pct"/>
            <w:gridSpan w:val="2"/>
            <w:vAlign w:val="center"/>
          </w:tcPr>
          <w:p w14:paraId="37209152">
            <w:pPr>
              <w:tabs>
                <w:tab w:val="left" w:pos="3000"/>
              </w:tabs>
              <w:jc w:val="center"/>
              <w:rPr>
                <w:rFonts w:ascii="宋体" w:hAnsi="宋体"/>
                <w:color w:val="auto"/>
              </w:rPr>
            </w:pPr>
            <w:r>
              <w:rPr>
                <w:rFonts w:ascii="宋体" w:hAnsi="宋体"/>
                <w:color w:val="auto"/>
              </w:rPr>
              <w:t>/</w:t>
            </w:r>
          </w:p>
        </w:tc>
        <w:tc>
          <w:tcPr>
            <w:tcW w:w="360" w:type="pct"/>
            <w:vAlign w:val="center"/>
          </w:tcPr>
          <w:p w14:paraId="4C269553">
            <w:pPr>
              <w:tabs>
                <w:tab w:val="left" w:pos="3000"/>
              </w:tabs>
              <w:jc w:val="center"/>
              <w:rPr>
                <w:rFonts w:ascii="宋体" w:hAnsi="宋体"/>
                <w:color w:val="auto"/>
              </w:rPr>
            </w:pPr>
            <w:r>
              <w:rPr>
                <w:rFonts w:ascii="宋体" w:hAnsi="宋体"/>
                <w:color w:val="auto"/>
              </w:rPr>
              <w:t>290</w:t>
            </w:r>
          </w:p>
        </w:tc>
        <w:tc>
          <w:tcPr>
            <w:tcW w:w="360" w:type="pct"/>
            <w:vAlign w:val="center"/>
          </w:tcPr>
          <w:p w14:paraId="406ED34C">
            <w:pPr>
              <w:tabs>
                <w:tab w:val="left" w:pos="3000"/>
              </w:tabs>
              <w:jc w:val="center"/>
              <w:rPr>
                <w:rFonts w:ascii="宋体" w:hAnsi="宋体"/>
                <w:color w:val="auto"/>
              </w:rPr>
            </w:pPr>
            <w:r>
              <w:rPr>
                <w:rFonts w:ascii="宋体" w:hAnsi="宋体"/>
                <w:color w:val="auto"/>
              </w:rPr>
              <w:t>290</w:t>
            </w:r>
          </w:p>
        </w:tc>
        <w:tc>
          <w:tcPr>
            <w:tcW w:w="360" w:type="pct"/>
            <w:vAlign w:val="center"/>
          </w:tcPr>
          <w:p w14:paraId="08DB0848">
            <w:pPr>
              <w:tabs>
                <w:tab w:val="left" w:pos="3000"/>
              </w:tabs>
              <w:jc w:val="center"/>
              <w:rPr>
                <w:rFonts w:ascii="宋体" w:hAnsi="宋体"/>
                <w:color w:val="auto"/>
              </w:rPr>
            </w:pPr>
            <w:r>
              <w:rPr>
                <w:rFonts w:ascii="宋体" w:hAnsi="宋体"/>
                <w:color w:val="auto"/>
              </w:rPr>
              <w:t>290</w:t>
            </w:r>
          </w:p>
        </w:tc>
        <w:tc>
          <w:tcPr>
            <w:tcW w:w="360" w:type="pct"/>
            <w:vAlign w:val="center"/>
          </w:tcPr>
          <w:p w14:paraId="5845BCF1">
            <w:pPr>
              <w:tabs>
                <w:tab w:val="left" w:pos="3000"/>
              </w:tabs>
              <w:jc w:val="center"/>
              <w:rPr>
                <w:rFonts w:ascii="宋体" w:hAnsi="宋体"/>
                <w:color w:val="auto"/>
              </w:rPr>
            </w:pPr>
            <w:r>
              <w:rPr>
                <w:rFonts w:ascii="宋体" w:hAnsi="宋体"/>
                <w:color w:val="auto"/>
              </w:rPr>
              <w:t>/</w:t>
            </w:r>
          </w:p>
        </w:tc>
        <w:tc>
          <w:tcPr>
            <w:tcW w:w="360" w:type="pct"/>
            <w:vAlign w:val="center"/>
          </w:tcPr>
          <w:p w14:paraId="5E3158FF">
            <w:pPr>
              <w:tabs>
                <w:tab w:val="left" w:pos="3000"/>
              </w:tabs>
              <w:jc w:val="center"/>
              <w:rPr>
                <w:rFonts w:ascii="宋体" w:hAnsi="宋体"/>
                <w:color w:val="auto"/>
              </w:rPr>
            </w:pPr>
            <w:r>
              <w:rPr>
                <w:rFonts w:ascii="宋体" w:hAnsi="宋体"/>
                <w:color w:val="auto"/>
              </w:rPr>
              <w:t>295</w:t>
            </w:r>
          </w:p>
        </w:tc>
        <w:tc>
          <w:tcPr>
            <w:tcW w:w="360" w:type="pct"/>
            <w:vAlign w:val="center"/>
          </w:tcPr>
          <w:p w14:paraId="0FE8DC0A">
            <w:pPr>
              <w:tabs>
                <w:tab w:val="left" w:pos="3000"/>
              </w:tabs>
              <w:jc w:val="center"/>
              <w:rPr>
                <w:rFonts w:ascii="宋体" w:hAnsi="宋体"/>
                <w:color w:val="auto"/>
              </w:rPr>
            </w:pPr>
            <w:r>
              <w:rPr>
                <w:rFonts w:ascii="宋体" w:hAnsi="宋体"/>
                <w:color w:val="auto"/>
              </w:rPr>
              <w:t>296</w:t>
            </w:r>
          </w:p>
        </w:tc>
        <w:tc>
          <w:tcPr>
            <w:tcW w:w="360" w:type="pct"/>
            <w:vAlign w:val="center"/>
          </w:tcPr>
          <w:p w14:paraId="472385BD">
            <w:pPr>
              <w:tabs>
                <w:tab w:val="left" w:pos="3000"/>
              </w:tabs>
              <w:jc w:val="center"/>
              <w:rPr>
                <w:rFonts w:ascii="宋体" w:hAnsi="宋体"/>
                <w:color w:val="auto"/>
              </w:rPr>
            </w:pPr>
            <w:r>
              <w:rPr>
                <w:rFonts w:ascii="宋体" w:hAnsi="宋体"/>
                <w:color w:val="auto"/>
              </w:rPr>
              <w:t>285</w:t>
            </w:r>
          </w:p>
        </w:tc>
        <w:tc>
          <w:tcPr>
            <w:tcW w:w="360" w:type="pct"/>
            <w:vAlign w:val="center"/>
          </w:tcPr>
          <w:p w14:paraId="5E13FBEF">
            <w:pPr>
              <w:tabs>
                <w:tab w:val="left" w:pos="3000"/>
              </w:tabs>
              <w:jc w:val="center"/>
              <w:rPr>
                <w:rFonts w:ascii="宋体" w:hAnsi="宋体"/>
                <w:color w:val="auto"/>
              </w:rPr>
            </w:pPr>
            <w:r>
              <w:rPr>
                <w:rFonts w:ascii="宋体" w:hAnsi="宋体"/>
                <w:color w:val="auto"/>
              </w:rPr>
              <w:t>/</w:t>
            </w:r>
          </w:p>
        </w:tc>
      </w:tr>
      <w:tr w14:paraId="512BF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restart"/>
            <w:vAlign w:val="center"/>
          </w:tcPr>
          <w:p w14:paraId="5D7010D7">
            <w:pPr>
              <w:tabs>
                <w:tab w:val="left" w:pos="3000"/>
              </w:tabs>
              <w:jc w:val="center"/>
              <w:rPr>
                <w:rFonts w:ascii="宋体" w:hAnsi="宋体"/>
                <w:color w:val="auto"/>
              </w:rPr>
            </w:pPr>
            <w:r>
              <w:rPr>
                <w:rFonts w:ascii="宋体" w:hAnsi="宋体"/>
                <w:color w:val="auto"/>
              </w:rPr>
              <w:t>颗粒物</w:t>
            </w:r>
          </w:p>
        </w:tc>
        <w:tc>
          <w:tcPr>
            <w:tcW w:w="461" w:type="pct"/>
            <w:vAlign w:val="center"/>
          </w:tcPr>
          <w:p w14:paraId="04200A38">
            <w:pPr>
              <w:tabs>
                <w:tab w:val="left" w:pos="3000"/>
              </w:tabs>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60" w:type="pct"/>
            <w:vAlign w:val="center"/>
          </w:tcPr>
          <w:p w14:paraId="47B32E55">
            <w:pPr>
              <w:tabs>
                <w:tab w:val="left" w:pos="3000"/>
              </w:tabs>
              <w:jc w:val="center"/>
              <w:rPr>
                <w:rFonts w:ascii="宋体" w:hAnsi="宋体"/>
                <w:color w:val="auto"/>
              </w:rPr>
            </w:pPr>
            <w:r>
              <w:rPr>
                <w:rFonts w:ascii="宋体" w:hAnsi="宋体"/>
                <w:color w:val="auto"/>
              </w:rPr>
              <w:t>4.5</w:t>
            </w:r>
          </w:p>
        </w:tc>
        <w:tc>
          <w:tcPr>
            <w:tcW w:w="360" w:type="pct"/>
            <w:vAlign w:val="center"/>
          </w:tcPr>
          <w:p w14:paraId="12048732">
            <w:pPr>
              <w:tabs>
                <w:tab w:val="left" w:pos="3000"/>
              </w:tabs>
              <w:jc w:val="center"/>
              <w:rPr>
                <w:rFonts w:ascii="宋体" w:hAnsi="宋体"/>
                <w:color w:val="auto"/>
              </w:rPr>
            </w:pPr>
            <w:r>
              <w:rPr>
                <w:rFonts w:ascii="宋体" w:hAnsi="宋体"/>
                <w:color w:val="auto"/>
              </w:rPr>
              <w:t>4.1</w:t>
            </w:r>
          </w:p>
        </w:tc>
        <w:tc>
          <w:tcPr>
            <w:tcW w:w="360" w:type="pct"/>
            <w:vAlign w:val="center"/>
          </w:tcPr>
          <w:p w14:paraId="4F48DB6A">
            <w:pPr>
              <w:tabs>
                <w:tab w:val="left" w:pos="3000"/>
              </w:tabs>
              <w:jc w:val="center"/>
              <w:rPr>
                <w:rFonts w:ascii="宋体" w:hAnsi="宋体"/>
                <w:color w:val="auto"/>
              </w:rPr>
            </w:pPr>
            <w:r>
              <w:rPr>
                <w:rFonts w:ascii="宋体" w:hAnsi="宋体"/>
                <w:color w:val="auto"/>
              </w:rPr>
              <w:t>3.1</w:t>
            </w:r>
          </w:p>
        </w:tc>
        <w:tc>
          <w:tcPr>
            <w:tcW w:w="360" w:type="pct"/>
            <w:gridSpan w:val="2"/>
            <w:vAlign w:val="center"/>
          </w:tcPr>
          <w:p w14:paraId="3EDCBEC3">
            <w:pPr>
              <w:tabs>
                <w:tab w:val="left" w:pos="3000"/>
              </w:tabs>
              <w:jc w:val="center"/>
              <w:rPr>
                <w:rFonts w:ascii="宋体" w:hAnsi="宋体"/>
                <w:bCs/>
                <w:color w:val="auto"/>
              </w:rPr>
            </w:pPr>
            <w:r>
              <w:rPr>
                <w:rFonts w:ascii="宋体" w:hAnsi="宋体"/>
                <w:bCs/>
                <w:color w:val="auto"/>
              </w:rPr>
              <w:t>3.9</w:t>
            </w:r>
          </w:p>
        </w:tc>
        <w:tc>
          <w:tcPr>
            <w:tcW w:w="360" w:type="pct"/>
            <w:vAlign w:val="center"/>
          </w:tcPr>
          <w:p w14:paraId="5CFE9520">
            <w:pPr>
              <w:tabs>
                <w:tab w:val="left" w:pos="3000"/>
              </w:tabs>
              <w:jc w:val="center"/>
              <w:rPr>
                <w:rFonts w:ascii="宋体" w:hAnsi="宋体"/>
                <w:color w:val="auto"/>
              </w:rPr>
            </w:pPr>
            <w:r>
              <w:rPr>
                <w:rFonts w:ascii="宋体" w:hAnsi="宋体"/>
                <w:color w:val="auto"/>
              </w:rPr>
              <w:t>3.8</w:t>
            </w:r>
          </w:p>
        </w:tc>
        <w:tc>
          <w:tcPr>
            <w:tcW w:w="360" w:type="pct"/>
            <w:vAlign w:val="center"/>
          </w:tcPr>
          <w:p w14:paraId="2314E278">
            <w:pPr>
              <w:tabs>
                <w:tab w:val="left" w:pos="3000"/>
              </w:tabs>
              <w:jc w:val="center"/>
              <w:rPr>
                <w:rFonts w:ascii="宋体" w:hAnsi="宋体"/>
                <w:color w:val="auto"/>
              </w:rPr>
            </w:pPr>
            <w:r>
              <w:rPr>
                <w:rFonts w:ascii="宋体" w:hAnsi="宋体"/>
                <w:color w:val="auto"/>
              </w:rPr>
              <w:t>4.0</w:t>
            </w:r>
          </w:p>
        </w:tc>
        <w:tc>
          <w:tcPr>
            <w:tcW w:w="360" w:type="pct"/>
            <w:vAlign w:val="center"/>
          </w:tcPr>
          <w:p w14:paraId="083F4240">
            <w:pPr>
              <w:tabs>
                <w:tab w:val="left" w:pos="3000"/>
              </w:tabs>
              <w:jc w:val="center"/>
              <w:rPr>
                <w:rFonts w:ascii="宋体" w:hAnsi="宋体"/>
                <w:color w:val="auto"/>
              </w:rPr>
            </w:pPr>
            <w:r>
              <w:rPr>
                <w:rFonts w:ascii="宋体" w:hAnsi="宋体"/>
                <w:color w:val="auto"/>
              </w:rPr>
              <w:t>3.7</w:t>
            </w:r>
          </w:p>
        </w:tc>
        <w:tc>
          <w:tcPr>
            <w:tcW w:w="360" w:type="pct"/>
            <w:vAlign w:val="center"/>
          </w:tcPr>
          <w:p w14:paraId="4DA254B9">
            <w:pPr>
              <w:tabs>
                <w:tab w:val="left" w:pos="3000"/>
              </w:tabs>
              <w:jc w:val="center"/>
              <w:rPr>
                <w:rFonts w:ascii="宋体" w:hAnsi="宋体"/>
                <w:bCs/>
                <w:color w:val="auto"/>
              </w:rPr>
            </w:pPr>
            <w:r>
              <w:rPr>
                <w:rFonts w:ascii="宋体" w:hAnsi="宋体"/>
                <w:bCs/>
                <w:color w:val="auto"/>
              </w:rPr>
              <w:t>3.8</w:t>
            </w:r>
          </w:p>
        </w:tc>
        <w:tc>
          <w:tcPr>
            <w:tcW w:w="360" w:type="pct"/>
            <w:vAlign w:val="center"/>
          </w:tcPr>
          <w:p w14:paraId="6381224E">
            <w:pPr>
              <w:tabs>
                <w:tab w:val="left" w:pos="3000"/>
              </w:tabs>
              <w:jc w:val="center"/>
              <w:rPr>
                <w:rFonts w:ascii="宋体" w:hAnsi="宋体"/>
                <w:color w:val="auto"/>
              </w:rPr>
            </w:pPr>
            <w:r>
              <w:rPr>
                <w:rFonts w:ascii="宋体" w:hAnsi="宋体"/>
                <w:color w:val="auto"/>
              </w:rPr>
              <w:t>3.0</w:t>
            </w:r>
          </w:p>
        </w:tc>
        <w:tc>
          <w:tcPr>
            <w:tcW w:w="360" w:type="pct"/>
            <w:vAlign w:val="center"/>
          </w:tcPr>
          <w:p w14:paraId="08727B89">
            <w:pPr>
              <w:tabs>
                <w:tab w:val="left" w:pos="3000"/>
              </w:tabs>
              <w:jc w:val="center"/>
              <w:rPr>
                <w:rFonts w:ascii="宋体" w:hAnsi="宋体"/>
                <w:color w:val="auto"/>
              </w:rPr>
            </w:pPr>
            <w:r>
              <w:rPr>
                <w:rFonts w:ascii="宋体" w:hAnsi="宋体"/>
                <w:color w:val="auto"/>
              </w:rPr>
              <w:t>2.4</w:t>
            </w:r>
          </w:p>
        </w:tc>
        <w:tc>
          <w:tcPr>
            <w:tcW w:w="360" w:type="pct"/>
            <w:vAlign w:val="center"/>
          </w:tcPr>
          <w:p w14:paraId="528E40AB">
            <w:pPr>
              <w:tabs>
                <w:tab w:val="left" w:pos="3000"/>
              </w:tabs>
              <w:jc w:val="center"/>
              <w:rPr>
                <w:rFonts w:ascii="宋体" w:hAnsi="宋体"/>
                <w:color w:val="auto"/>
              </w:rPr>
            </w:pPr>
            <w:r>
              <w:rPr>
                <w:rFonts w:ascii="宋体" w:hAnsi="宋体"/>
                <w:color w:val="auto"/>
              </w:rPr>
              <w:t>4.2</w:t>
            </w:r>
          </w:p>
        </w:tc>
        <w:tc>
          <w:tcPr>
            <w:tcW w:w="360" w:type="pct"/>
            <w:vAlign w:val="center"/>
          </w:tcPr>
          <w:p w14:paraId="1BB2578E">
            <w:pPr>
              <w:tabs>
                <w:tab w:val="left" w:pos="3000"/>
              </w:tabs>
              <w:jc w:val="center"/>
              <w:rPr>
                <w:rFonts w:ascii="宋体" w:hAnsi="宋体"/>
                <w:bCs/>
                <w:color w:val="auto"/>
              </w:rPr>
            </w:pPr>
            <w:r>
              <w:rPr>
                <w:rFonts w:ascii="宋体" w:hAnsi="宋体"/>
                <w:bCs/>
                <w:color w:val="auto"/>
              </w:rPr>
              <w:t>3.2</w:t>
            </w:r>
          </w:p>
        </w:tc>
      </w:tr>
      <w:tr w14:paraId="11814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172998D8">
            <w:pPr>
              <w:tabs>
                <w:tab w:val="left" w:pos="3000"/>
              </w:tabs>
              <w:jc w:val="center"/>
              <w:rPr>
                <w:rFonts w:ascii="宋体" w:hAnsi="宋体"/>
                <w:color w:val="auto"/>
              </w:rPr>
            </w:pPr>
          </w:p>
        </w:tc>
        <w:tc>
          <w:tcPr>
            <w:tcW w:w="461" w:type="pct"/>
            <w:vAlign w:val="center"/>
          </w:tcPr>
          <w:p w14:paraId="3D419357">
            <w:pPr>
              <w:tabs>
                <w:tab w:val="left" w:pos="3000"/>
              </w:tabs>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60" w:type="pct"/>
            <w:vAlign w:val="center"/>
          </w:tcPr>
          <w:p w14:paraId="5DAD3285">
            <w:pPr>
              <w:tabs>
                <w:tab w:val="left" w:pos="3000"/>
              </w:tabs>
              <w:jc w:val="center"/>
              <w:rPr>
                <w:rFonts w:ascii="宋体" w:hAnsi="宋体"/>
                <w:color w:val="auto"/>
              </w:rPr>
            </w:pPr>
            <w:r>
              <w:rPr>
                <w:rFonts w:ascii="宋体" w:hAnsi="宋体"/>
                <w:color w:val="auto"/>
              </w:rPr>
              <w:t>4.7</w:t>
            </w:r>
          </w:p>
        </w:tc>
        <w:tc>
          <w:tcPr>
            <w:tcW w:w="360" w:type="pct"/>
            <w:vAlign w:val="center"/>
          </w:tcPr>
          <w:p w14:paraId="3094133F">
            <w:pPr>
              <w:tabs>
                <w:tab w:val="left" w:pos="3000"/>
              </w:tabs>
              <w:jc w:val="center"/>
              <w:rPr>
                <w:rFonts w:ascii="宋体" w:hAnsi="宋体"/>
                <w:color w:val="auto"/>
              </w:rPr>
            </w:pPr>
            <w:r>
              <w:rPr>
                <w:rFonts w:ascii="宋体" w:hAnsi="宋体"/>
                <w:color w:val="auto"/>
              </w:rPr>
              <w:t>4.3</w:t>
            </w:r>
          </w:p>
        </w:tc>
        <w:tc>
          <w:tcPr>
            <w:tcW w:w="360" w:type="pct"/>
            <w:vAlign w:val="center"/>
          </w:tcPr>
          <w:p w14:paraId="3AF5E6EA">
            <w:pPr>
              <w:tabs>
                <w:tab w:val="left" w:pos="3000"/>
              </w:tabs>
              <w:jc w:val="center"/>
              <w:rPr>
                <w:rFonts w:ascii="宋体" w:hAnsi="宋体"/>
                <w:color w:val="auto"/>
              </w:rPr>
            </w:pPr>
            <w:r>
              <w:rPr>
                <w:rFonts w:ascii="宋体" w:hAnsi="宋体"/>
                <w:color w:val="auto"/>
              </w:rPr>
              <w:t>3.3</w:t>
            </w:r>
          </w:p>
        </w:tc>
        <w:tc>
          <w:tcPr>
            <w:tcW w:w="360" w:type="pct"/>
            <w:gridSpan w:val="2"/>
            <w:vAlign w:val="center"/>
          </w:tcPr>
          <w:p w14:paraId="42C836E8">
            <w:pPr>
              <w:tabs>
                <w:tab w:val="left" w:pos="3000"/>
              </w:tabs>
              <w:jc w:val="center"/>
              <w:rPr>
                <w:rFonts w:ascii="宋体" w:hAnsi="宋体"/>
                <w:bCs/>
                <w:color w:val="auto"/>
              </w:rPr>
            </w:pPr>
            <w:r>
              <w:rPr>
                <w:rFonts w:ascii="宋体" w:hAnsi="宋体"/>
                <w:bCs/>
                <w:color w:val="auto"/>
              </w:rPr>
              <w:t>4.1</w:t>
            </w:r>
          </w:p>
        </w:tc>
        <w:tc>
          <w:tcPr>
            <w:tcW w:w="360" w:type="pct"/>
            <w:vAlign w:val="center"/>
          </w:tcPr>
          <w:p w14:paraId="30D1FB09">
            <w:pPr>
              <w:tabs>
                <w:tab w:val="left" w:pos="3000"/>
              </w:tabs>
              <w:jc w:val="center"/>
              <w:rPr>
                <w:rFonts w:ascii="宋体" w:hAnsi="宋体"/>
                <w:color w:val="auto"/>
              </w:rPr>
            </w:pPr>
            <w:r>
              <w:rPr>
                <w:rFonts w:ascii="宋体" w:hAnsi="宋体"/>
                <w:color w:val="auto"/>
              </w:rPr>
              <w:t>4.1</w:t>
            </w:r>
          </w:p>
        </w:tc>
        <w:tc>
          <w:tcPr>
            <w:tcW w:w="360" w:type="pct"/>
            <w:vAlign w:val="center"/>
          </w:tcPr>
          <w:p w14:paraId="569D35BD">
            <w:pPr>
              <w:tabs>
                <w:tab w:val="left" w:pos="3000"/>
              </w:tabs>
              <w:jc w:val="center"/>
              <w:rPr>
                <w:rFonts w:ascii="宋体" w:hAnsi="宋体"/>
                <w:color w:val="auto"/>
              </w:rPr>
            </w:pPr>
            <w:r>
              <w:rPr>
                <w:rFonts w:ascii="宋体" w:hAnsi="宋体"/>
                <w:color w:val="auto"/>
              </w:rPr>
              <w:t>4.2</w:t>
            </w:r>
          </w:p>
        </w:tc>
        <w:tc>
          <w:tcPr>
            <w:tcW w:w="360" w:type="pct"/>
            <w:vAlign w:val="center"/>
          </w:tcPr>
          <w:p w14:paraId="3E8DC3D9">
            <w:pPr>
              <w:tabs>
                <w:tab w:val="left" w:pos="3000"/>
              </w:tabs>
              <w:jc w:val="center"/>
              <w:rPr>
                <w:rFonts w:ascii="宋体" w:hAnsi="宋体"/>
                <w:color w:val="auto"/>
              </w:rPr>
            </w:pPr>
            <w:r>
              <w:rPr>
                <w:rFonts w:hint="eastAsia" w:ascii="宋体" w:hAnsi="宋体"/>
                <w:color w:val="auto"/>
              </w:rPr>
              <w:t>4.0</w:t>
            </w:r>
          </w:p>
        </w:tc>
        <w:tc>
          <w:tcPr>
            <w:tcW w:w="360" w:type="pct"/>
            <w:vAlign w:val="center"/>
          </w:tcPr>
          <w:p w14:paraId="45FA0BA0">
            <w:pPr>
              <w:tabs>
                <w:tab w:val="left" w:pos="3000"/>
              </w:tabs>
              <w:jc w:val="center"/>
              <w:rPr>
                <w:rFonts w:ascii="宋体" w:hAnsi="宋体"/>
                <w:bCs/>
                <w:color w:val="auto"/>
              </w:rPr>
            </w:pPr>
            <w:r>
              <w:rPr>
                <w:rFonts w:ascii="宋体" w:hAnsi="宋体"/>
                <w:bCs/>
                <w:color w:val="auto"/>
              </w:rPr>
              <w:t>4.1</w:t>
            </w:r>
          </w:p>
        </w:tc>
        <w:tc>
          <w:tcPr>
            <w:tcW w:w="360" w:type="pct"/>
            <w:vAlign w:val="center"/>
          </w:tcPr>
          <w:p w14:paraId="32D5032D">
            <w:pPr>
              <w:tabs>
                <w:tab w:val="left" w:pos="3000"/>
              </w:tabs>
              <w:jc w:val="center"/>
              <w:rPr>
                <w:rFonts w:ascii="宋体" w:hAnsi="宋体"/>
                <w:color w:val="auto"/>
              </w:rPr>
            </w:pPr>
            <w:r>
              <w:rPr>
                <w:rFonts w:ascii="宋体" w:hAnsi="宋体"/>
                <w:color w:val="auto"/>
              </w:rPr>
              <w:t>3.2</w:t>
            </w:r>
          </w:p>
        </w:tc>
        <w:tc>
          <w:tcPr>
            <w:tcW w:w="360" w:type="pct"/>
            <w:vAlign w:val="center"/>
          </w:tcPr>
          <w:p w14:paraId="6A423BF4">
            <w:pPr>
              <w:tabs>
                <w:tab w:val="left" w:pos="3000"/>
              </w:tabs>
              <w:jc w:val="center"/>
              <w:rPr>
                <w:rFonts w:ascii="宋体" w:hAnsi="宋体"/>
                <w:color w:val="auto"/>
              </w:rPr>
            </w:pPr>
            <w:r>
              <w:rPr>
                <w:rFonts w:ascii="宋体" w:hAnsi="宋体"/>
                <w:color w:val="auto"/>
              </w:rPr>
              <w:t>2.6</w:t>
            </w:r>
          </w:p>
        </w:tc>
        <w:tc>
          <w:tcPr>
            <w:tcW w:w="360" w:type="pct"/>
            <w:vAlign w:val="center"/>
          </w:tcPr>
          <w:p w14:paraId="66A980F7">
            <w:pPr>
              <w:tabs>
                <w:tab w:val="left" w:pos="3000"/>
              </w:tabs>
              <w:jc w:val="center"/>
              <w:rPr>
                <w:rFonts w:ascii="宋体" w:hAnsi="宋体"/>
                <w:color w:val="auto"/>
              </w:rPr>
            </w:pPr>
            <w:r>
              <w:rPr>
                <w:rFonts w:ascii="宋体" w:hAnsi="宋体"/>
                <w:color w:val="auto"/>
              </w:rPr>
              <w:t>4.5</w:t>
            </w:r>
          </w:p>
        </w:tc>
        <w:tc>
          <w:tcPr>
            <w:tcW w:w="360" w:type="pct"/>
            <w:vAlign w:val="center"/>
          </w:tcPr>
          <w:p w14:paraId="10043DCC">
            <w:pPr>
              <w:tabs>
                <w:tab w:val="left" w:pos="3000"/>
              </w:tabs>
              <w:jc w:val="center"/>
              <w:rPr>
                <w:rFonts w:ascii="宋体" w:hAnsi="宋体"/>
                <w:bCs/>
                <w:color w:val="auto"/>
              </w:rPr>
            </w:pPr>
            <w:r>
              <w:rPr>
                <w:rFonts w:ascii="宋体" w:hAnsi="宋体"/>
                <w:bCs/>
                <w:color w:val="auto"/>
              </w:rPr>
              <w:t>3.4</w:t>
            </w:r>
          </w:p>
        </w:tc>
      </w:tr>
      <w:tr w14:paraId="2DA72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430EBCA0">
            <w:pPr>
              <w:tabs>
                <w:tab w:val="left" w:pos="3000"/>
              </w:tabs>
              <w:jc w:val="center"/>
              <w:rPr>
                <w:rFonts w:ascii="宋体" w:hAnsi="宋体"/>
                <w:color w:val="auto"/>
              </w:rPr>
            </w:pPr>
          </w:p>
        </w:tc>
        <w:tc>
          <w:tcPr>
            <w:tcW w:w="461" w:type="pct"/>
            <w:vAlign w:val="center"/>
          </w:tcPr>
          <w:p w14:paraId="34CD1CCB">
            <w:pPr>
              <w:tabs>
                <w:tab w:val="left" w:pos="3000"/>
              </w:tabs>
              <w:jc w:val="center"/>
              <w:rPr>
                <w:rFonts w:ascii="宋体" w:hAnsi="宋体"/>
                <w:color w:val="auto"/>
              </w:rPr>
            </w:pPr>
            <w:r>
              <w:rPr>
                <w:rFonts w:ascii="宋体" w:hAnsi="宋体"/>
                <w:color w:val="auto"/>
              </w:rPr>
              <w:t>排放速率/（kg/h）</w:t>
            </w:r>
          </w:p>
        </w:tc>
        <w:tc>
          <w:tcPr>
            <w:tcW w:w="360" w:type="pct"/>
            <w:vAlign w:val="center"/>
          </w:tcPr>
          <w:p w14:paraId="339096AF">
            <w:pPr>
              <w:tabs>
                <w:tab w:val="left" w:pos="3000"/>
              </w:tabs>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60" w:type="pct"/>
            <w:vAlign w:val="center"/>
          </w:tcPr>
          <w:p w14:paraId="06056C8B">
            <w:pPr>
              <w:tabs>
                <w:tab w:val="left" w:pos="3000"/>
              </w:tabs>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60" w:type="pct"/>
            <w:vAlign w:val="center"/>
          </w:tcPr>
          <w:p w14:paraId="314A0DD9">
            <w:pPr>
              <w:tabs>
                <w:tab w:val="left" w:pos="3000"/>
              </w:tabs>
              <w:jc w:val="center"/>
              <w:rPr>
                <w:rFonts w:ascii="宋体" w:hAnsi="宋体"/>
                <w:color w:val="auto"/>
              </w:rPr>
            </w:pPr>
            <w:r>
              <w:rPr>
                <w:rFonts w:ascii="宋体" w:hAnsi="宋体"/>
                <w:color w:val="auto"/>
              </w:rPr>
              <w:t>8.6×10</w:t>
            </w:r>
            <w:r>
              <w:rPr>
                <w:rFonts w:ascii="宋体" w:hAnsi="宋体"/>
                <w:color w:val="auto"/>
                <w:vertAlign w:val="superscript"/>
              </w:rPr>
              <w:t>-4</w:t>
            </w:r>
          </w:p>
        </w:tc>
        <w:tc>
          <w:tcPr>
            <w:tcW w:w="360" w:type="pct"/>
            <w:gridSpan w:val="2"/>
            <w:vAlign w:val="center"/>
          </w:tcPr>
          <w:p w14:paraId="5C9166D2">
            <w:pPr>
              <w:tabs>
                <w:tab w:val="left" w:pos="3000"/>
              </w:tabs>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60" w:type="pct"/>
            <w:vAlign w:val="center"/>
          </w:tcPr>
          <w:p w14:paraId="27C6E69D">
            <w:pPr>
              <w:tabs>
                <w:tab w:val="left" w:pos="3000"/>
              </w:tabs>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60" w:type="pct"/>
            <w:vAlign w:val="center"/>
          </w:tcPr>
          <w:p w14:paraId="549041FB">
            <w:pPr>
              <w:tabs>
                <w:tab w:val="left" w:pos="3000"/>
              </w:tabs>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60" w:type="pct"/>
            <w:vAlign w:val="center"/>
          </w:tcPr>
          <w:p w14:paraId="7855B40F">
            <w:pPr>
              <w:tabs>
                <w:tab w:val="left" w:pos="3000"/>
              </w:tabs>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60" w:type="pct"/>
            <w:vAlign w:val="center"/>
          </w:tcPr>
          <w:p w14:paraId="734F935A">
            <w:pPr>
              <w:tabs>
                <w:tab w:val="left" w:pos="3000"/>
              </w:tabs>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60" w:type="pct"/>
            <w:vAlign w:val="center"/>
          </w:tcPr>
          <w:p w14:paraId="33C1D470">
            <w:pPr>
              <w:tabs>
                <w:tab w:val="left" w:pos="3000"/>
              </w:tabs>
              <w:jc w:val="center"/>
              <w:rPr>
                <w:rFonts w:ascii="宋体" w:hAnsi="宋体"/>
                <w:color w:val="auto"/>
              </w:rPr>
            </w:pPr>
            <w:r>
              <w:rPr>
                <w:rFonts w:ascii="宋体" w:hAnsi="宋体"/>
                <w:color w:val="auto"/>
              </w:rPr>
              <w:t>8.8×10</w:t>
            </w:r>
            <w:r>
              <w:rPr>
                <w:rFonts w:ascii="宋体" w:hAnsi="宋体"/>
                <w:color w:val="auto"/>
                <w:vertAlign w:val="superscript"/>
              </w:rPr>
              <w:t>-4</w:t>
            </w:r>
          </w:p>
        </w:tc>
        <w:tc>
          <w:tcPr>
            <w:tcW w:w="360" w:type="pct"/>
            <w:vAlign w:val="center"/>
          </w:tcPr>
          <w:p w14:paraId="71BEDECF">
            <w:pPr>
              <w:tabs>
                <w:tab w:val="left" w:pos="3000"/>
              </w:tabs>
              <w:jc w:val="center"/>
              <w:rPr>
                <w:rFonts w:ascii="宋体" w:hAnsi="宋体"/>
                <w:color w:val="auto"/>
              </w:rPr>
            </w:pPr>
            <w:r>
              <w:rPr>
                <w:rFonts w:ascii="宋体" w:hAnsi="宋体"/>
                <w:color w:val="auto"/>
              </w:rPr>
              <w:t>7.1×10</w:t>
            </w:r>
            <w:r>
              <w:rPr>
                <w:rFonts w:ascii="宋体" w:hAnsi="宋体"/>
                <w:color w:val="auto"/>
                <w:vertAlign w:val="superscript"/>
              </w:rPr>
              <w:t>-4</w:t>
            </w:r>
          </w:p>
        </w:tc>
        <w:tc>
          <w:tcPr>
            <w:tcW w:w="360" w:type="pct"/>
            <w:vAlign w:val="center"/>
          </w:tcPr>
          <w:p w14:paraId="7D1B0BFD">
            <w:pPr>
              <w:tabs>
                <w:tab w:val="left" w:pos="3000"/>
              </w:tabs>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60" w:type="pct"/>
            <w:vAlign w:val="center"/>
          </w:tcPr>
          <w:p w14:paraId="0C13AD37">
            <w:pPr>
              <w:tabs>
                <w:tab w:val="left" w:pos="3000"/>
              </w:tabs>
              <w:jc w:val="center"/>
              <w:rPr>
                <w:rFonts w:ascii="宋体" w:hAnsi="宋体"/>
                <w:color w:val="auto"/>
              </w:rPr>
            </w:pPr>
            <w:r>
              <w:rPr>
                <w:rFonts w:ascii="宋体" w:hAnsi="宋体"/>
                <w:color w:val="auto"/>
              </w:rPr>
              <w:t>9.3×10</w:t>
            </w:r>
            <w:r>
              <w:rPr>
                <w:rFonts w:ascii="宋体" w:hAnsi="宋体"/>
                <w:color w:val="auto"/>
                <w:vertAlign w:val="superscript"/>
              </w:rPr>
              <w:t>-4</w:t>
            </w:r>
          </w:p>
        </w:tc>
      </w:tr>
      <w:tr w14:paraId="3A99B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restart"/>
            <w:vAlign w:val="center"/>
          </w:tcPr>
          <w:p w14:paraId="56B88355">
            <w:pPr>
              <w:tabs>
                <w:tab w:val="left" w:pos="3000"/>
              </w:tabs>
              <w:jc w:val="center"/>
              <w:rPr>
                <w:rFonts w:ascii="宋体" w:hAnsi="宋体"/>
                <w:color w:val="auto"/>
              </w:rPr>
            </w:pPr>
            <w:r>
              <w:rPr>
                <w:rFonts w:ascii="宋体" w:hAnsi="宋体"/>
                <w:color w:val="auto"/>
              </w:rPr>
              <w:t>二氧化硫</w:t>
            </w:r>
          </w:p>
        </w:tc>
        <w:tc>
          <w:tcPr>
            <w:tcW w:w="461" w:type="pct"/>
            <w:vAlign w:val="center"/>
          </w:tcPr>
          <w:p w14:paraId="2A47F2A7">
            <w:pPr>
              <w:tabs>
                <w:tab w:val="left" w:pos="3000"/>
              </w:tabs>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60" w:type="pct"/>
            <w:vAlign w:val="center"/>
          </w:tcPr>
          <w:p w14:paraId="57CEB50A">
            <w:pPr>
              <w:tabs>
                <w:tab w:val="left" w:pos="3000"/>
              </w:tabs>
              <w:jc w:val="center"/>
              <w:rPr>
                <w:rFonts w:ascii="宋体" w:hAnsi="宋体"/>
                <w:color w:val="auto"/>
              </w:rPr>
            </w:pPr>
            <w:r>
              <w:rPr>
                <w:rFonts w:ascii="宋体" w:hAnsi="宋体"/>
                <w:color w:val="auto"/>
              </w:rPr>
              <w:t>3L</w:t>
            </w:r>
          </w:p>
        </w:tc>
        <w:tc>
          <w:tcPr>
            <w:tcW w:w="360" w:type="pct"/>
            <w:vAlign w:val="center"/>
          </w:tcPr>
          <w:p w14:paraId="6B434CA9">
            <w:pPr>
              <w:tabs>
                <w:tab w:val="left" w:pos="3000"/>
              </w:tabs>
              <w:jc w:val="center"/>
              <w:rPr>
                <w:rFonts w:ascii="宋体" w:hAnsi="宋体"/>
                <w:color w:val="auto"/>
              </w:rPr>
            </w:pPr>
            <w:r>
              <w:rPr>
                <w:rFonts w:ascii="宋体" w:hAnsi="宋体"/>
                <w:color w:val="auto"/>
              </w:rPr>
              <w:t>3L</w:t>
            </w:r>
          </w:p>
        </w:tc>
        <w:tc>
          <w:tcPr>
            <w:tcW w:w="360" w:type="pct"/>
            <w:vAlign w:val="center"/>
          </w:tcPr>
          <w:p w14:paraId="2DA3364D">
            <w:pPr>
              <w:tabs>
                <w:tab w:val="left" w:pos="3000"/>
              </w:tabs>
              <w:jc w:val="center"/>
              <w:rPr>
                <w:rFonts w:ascii="宋体" w:hAnsi="宋体"/>
                <w:color w:val="auto"/>
              </w:rPr>
            </w:pPr>
            <w:r>
              <w:rPr>
                <w:rFonts w:ascii="宋体" w:hAnsi="宋体"/>
                <w:color w:val="auto"/>
              </w:rPr>
              <w:t>3L</w:t>
            </w:r>
          </w:p>
        </w:tc>
        <w:tc>
          <w:tcPr>
            <w:tcW w:w="360" w:type="pct"/>
            <w:gridSpan w:val="2"/>
            <w:vAlign w:val="center"/>
          </w:tcPr>
          <w:p w14:paraId="00FBE7F8">
            <w:pPr>
              <w:tabs>
                <w:tab w:val="left" w:pos="3000"/>
              </w:tabs>
              <w:jc w:val="center"/>
              <w:rPr>
                <w:rFonts w:ascii="宋体" w:hAnsi="宋体"/>
                <w:color w:val="auto"/>
              </w:rPr>
            </w:pPr>
            <w:r>
              <w:rPr>
                <w:rFonts w:ascii="宋体" w:hAnsi="宋体"/>
                <w:color w:val="auto"/>
              </w:rPr>
              <w:t>3L</w:t>
            </w:r>
          </w:p>
        </w:tc>
        <w:tc>
          <w:tcPr>
            <w:tcW w:w="360" w:type="pct"/>
            <w:vAlign w:val="center"/>
          </w:tcPr>
          <w:p w14:paraId="23C37D05">
            <w:pPr>
              <w:tabs>
                <w:tab w:val="left" w:pos="3000"/>
              </w:tabs>
              <w:jc w:val="center"/>
              <w:rPr>
                <w:rFonts w:ascii="宋体" w:hAnsi="宋体"/>
                <w:color w:val="auto"/>
              </w:rPr>
            </w:pPr>
            <w:r>
              <w:rPr>
                <w:rFonts w:ascii="宋体" w:hAnsi="宋体"/>
                <w:color w:val="auto"/>
              </w:rPr>
              <w:t>3L</w:t>
            </w:r>
          </w:p>
        </w:tc>
        <w:tc>
          <w:tcPr>
            <w:tcW w:w="360" w:type="pct"/>
            <w:vAlign w:val="center"/>
          </w:tcPr>
          <w:p w14:paraId="26D9CB9A">
            <w:pPr>
              <w:tabs>
                <w:tab w:val="left" w:pos="3000"/>
              </w:tabs>
              <w:jc w:val="center"/>
              <w:rPr>
                <w:rFonts w:ascii="宋体" w:hAnsi="宋体"/>
                <w:color w:val="auto"/>
              </w:rPr>
            </w:pPr>
            <w:r>
              <w:rPr>
                <w:rFonts w:ascii="宋体" w:hAnsi="宋体"/>
                <w:color w:val="auto"/>
              </w:rPr>
              <w:t>3L</w:t>
            </w:r>
          </w:p>
        </w:tc>
        <w:tc>
          <w:tcPr>
            <w:tcW w:w="360" w:type="pct"/>
            <w:vAlign w:val="center"/>
          </w:tcPr>
          <w:p w14:paraId="19879B38">
            <w:pPr>
              <w:tabs>
                <w:tab w:val="left" w:pos="3000"/>
              </w:tabs>
              <w:jc w:val="center"/>
              <w:rPr>
                <w:rFonts w:ascii="宋体" w:hAnsi="宋体"/>
                <w:color w:val="auto"/>
              </w:rPr>
            </w:pPr>
            <w:r>
              <w:rPr>
                <w:rFonts w:ascii="宋体" w:hAnsi="宋体"/>
                <w:color w:val="auto"/>
              </w:rPr>
              <w:t>3L</w:t>
            </w:r>
          </w:p>
        </w:tc>
        <w:tc>
          <w:tcPr>
            <w:tcW w:w="360" w:type="pct"/>
            <w:vAlign w:val="center"/>
          </w:tcPr>
          <w:p w14:paraId="7BFC3BF7">
            <w:pPr>
              <w:tabs>
                <w:tab w:val="left" w:pos="3000"/>
              </w:tabs>
              <w:jc w:val="center"/>
              <w:rPr>
                <w:rFonts w:ascii="宋体" w:hAnsi="宋体"/>
                <w:color w:val="auto"/>
              </w:rPr>
            </w:pPr>
            <w:r>
              <w:rPr>
                <w:rFonts w:ascii="宋体" w:hAnsi="宋体"/>
                <w:color w:val="auto"/>
              </w:rPr>
              <w:t>3L</w:t>
            </w:r>
          </w:p>
        </w:tc>
        <w:tc>
          <w:tcPr>
            <w:tcW w:w="360" w:type="pct"/>
            <w:vAlign w:val="center"/>
          </w:tcPr>
          <w:p w14:paraId="621FCBB8">
            <w:pPr>
              <w:tabs>
                <w:tab w:val="left" w:pos="3000"/>
              </w:tabs>
              <w:jc w:val="center"/>
              <w:rPr>
                <w:rFonts w:ascii="宋体" w:hAnsi="宋体"/>
                <w:color w:val="auto"/>
              </w:rPr>
            </w:pPr>
            <w:r>
              <w:rPr>
                <w:rFonts w:ascii="宋体" w:hAnsi="宋体"/>
                <w:color w:val="auto"/>
              </w:rPr>
              <w:t>3L</w:t>
            </w:r>
          </w:p>
        </w:tc>
        <w:tc>
          <w:tcPr>
            <w:tcW w:w="360" w:type="pct"/>
            <w:vAlign w:val="center"/>
          </w:tcPr>
          <w:p w14:paraId="7EE54E23">
            <w:pPr>
              <w:tabs>
                <w:tab w:val="left" w:pos="3000"/>
              </w:tabs>
              <w:jc w:val="center"/>
              <w:rPr>
                <w:rFonts w:ascii="宋体" w:hAnsi="宋体"/>
                <w:color w:val="auto"/>
              </w:rPr>
            </w:pPr>
            <w:r>
              <w:rPr>
                <w:rFonts w:ascii="宋体" w:hAnsi="宋体"/>
                <w:color w:val="auto"/>
              </w:rPr>
              <w:t>3L</w:t>
            </w:r>
          </w:p>
        </w:tc>
        <w:tc>
          <w:tcPr>
            <w:tcW w:w="360" w:type="pct"/>
            <w:vAlign w:val="center"/>
          </w:tcPr>
          <w:p w14:paraId="0CF1D48E">
            <w:pPr>
              <w:tabs>
                <w:tab w:val="left" w:pos="3000"/>
              </w:tabs>
              <w:jc w:val="center"/>
              <w:rPr>
                <w:rFonts w:ascii="宋体" w:hAnsi="宋体"/>
                <w:color w:val="auto"/>
              </w:rPr>
            </w:pPr>
            <w:r>
              <w:rPr>
                <w:rFonts w:ascii="宋体" w:hAnsi="宋体"/>
                <w:color w:val="auto"/>
              </w:rPr>
              <w:t>3L</w:t>
            </w:r>
          </w:p>
        </w:tc>
        <w:tc>
          <w:tcPr>
            <w:tcW w:w="360" w:type="pct"/>
            <w:vAlign w:val="center"/>
          </w:tcPr>
          <w:p w14:paraId="4B253748">
            <w:pPr>
              <w:tabs>
                <w:tab w:val="left" w:pos="3000"/>
              </w:tabs>
              <w:jc w:val="center"/>
              <w:rPr>
                <w:rFonts w:ascii="宋体" w:hAnsi="宋体"/>
                <w:color w:val="auto"/>
              </w:rPr>
            </w:pPr>
            <w:r>
              <w:rPr>
                <w:rFonts w:ascii="宋体" w:hAnsi="宋体"/>
                <w:color w:val="auto"/>
              </w:rPr>
              <w:t>3L</w:t>
            </w:r>
          </w:p>
        </w:tc>
      </w:tr>
      <w:tr w14:paraId="3F329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03E90C9C">
            <w:pPr>
              <w:tabs>
                <w:tab w:val="left" w:pos="3000"/>
              </w:tabs>
              <w:jc w:val="center"/>
              <w:rPr>
                <w:rFonts w:ascii="宋体" w:hAnsi="宋体"/>
                <w:color w:val="auto"/>
              </w:rPr>
            </w:pPr>
          </w:p>
        </w:tc>
        <w:tc>
          <w:tcPr>
            <w:tcW w:w="461" w:type="pct"/>
            <w:vAlign w:val="center"/>
          </w:tcPr>
          <w:p w14:paraId="1A72FC7A">
            <w:pPr>
              <w:tabs>
                <w:tab w:val="left" w:pos="3000"/>
              </w:tabs>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60" w:type="pct"/>
            <w:vAlign w:val="center"/>
          </w:tcPr>
          <w:p w14:paraId="30A32093">
            <w:pPr>
              <w:tabs>
                <w:tab w:val="left" w:pos="3000"/>
              </w:tabs>
              <w:jc w:val="center"/>
              <w:rPr>
                <w:rFonts w:ascii="宋体" w:hAnsi="宋体"/>
                <w:color w:val="auto"/>
              </w:rPr>
            </w:pPr>
            <w:r>
              <w:rPr>
                <w:rFonts w:ascii="宋体" w:hAnsi="宋体"/>
                <w:color w:val="auto"/>
              </w:rPr>
              <w:t>3L</w:t>
            </w:r>
          </w:p>
        </w:tc>
        <w:tc>
          <w:tcPr>
            <w:tcW w:w="360" w:type="pct"/>
            <w:vAlign w:val="center"/>
          </w:tcPr>
          <w:p w14:paraId="44C05674">
            <w:pPr>
              <w:tabs>
                <w:tab w:val="left" w:pos="3000"/>
              </w:tabs>
              <w:jc w:val="center"/>
              <w:rPr>
                <w:rFonts w:ascii="宋体" w:hAnsi="宋体"/>
                <w:color w:val="auto"/>
              </w:rPr>
            </w:pPr>
            <w:r>
              <w:rPr>
                <w:rFonts w:ascii="宋体" w:hAnsi="宋体"/>
                <w:color w:val="auto"/>
              </w:rPr>
              <w:t>3L</w:t>
            </w:r>
          </w:p>
        </w:tc>
        <w:tc>
          <w:tcPr>
            <w:tcW w:w="360" w:type="pct"/>
            <w:vAlign w:val="center"/>
          </w:tcPr>
          <w:p w14:paraId="3C260523">
            <w:pPr>
              <w:tabs>
                <w:tab w:val="left" w:pos="3000"/>
              </w:tabs>
              <w:jc w:val="center"/>
              <w:rPr>
                <w:rFonts w:ascii="宋体" w:hAnsi="宋体"/>
                <w:color w:val="auto"/>
              </w:rPr>
            </w:pPr>
            <w:r>
              <w:rPr>
                <w:rFonts w:ascii="宋体" w:hAnsi="宋体"/>
                <w:color w:val="auto"/>
              </w:rPr>
              <w:t>3L</w:t>
            </w:r>
          </w:p>
        </w:tc>
        <w:tc>
          <w:tcPr>
            <w:tcW w:w="360" w:type="pct"/>
            <w:gridSpan w:val="2"/>
            <w:vAlign w:val="center"/>
          </w:tcPr>
          <w:p w14:paraId="232FEF99">
            <w:pPr>
              <w:tabs>
                <w:tab w:val="left" w:pos="3000"/>
              </w:tabs>
              <w:jc w:val="center"/>
              <w:rPr>
                <w:rFonts w:ascii="宋体" w:hAnsi="宋体"/>
                <w:color w:val="auto"/>
              </w:rPr>
            </w:pPr>
            <w:r>
              <w:rPr>
                <w:rFonts w:ascii="宋体" w:hAnsi="宋体"/>
                <w:color w:val="auto"/>
              </w:rPr>
              <w:t>3L</w:t>
            </w:r>
          </w:p>
        </w:tc>
        <w:tc>
          <w:tcPr>
            <w:tcW w:w="360" w:type="pct"/>
            <w:vAlign w:val="center"/>
          </w:tcPr>
          <w:p w14:paraId="6D041063">
            <w:pPr>
              <w:tabs>
                <w:tab w:val="left" w:pos="3000"/>
              </w:tabs>
              <w:jc w:val="center"/>
              <w:rPr>
                <w:rFonts w:ascii="宋体" w:hAnsi="宋体"/>
                <w:color w:val="auto"/>
              </w:rPr>
            </w:pPr>
            <w:r>
              <w:rPr>
                <w:rFonts w:ascii="宋体" w:hAnsi="宋体"/>
                <w:color w:val="auto"/>
              </w:rPr>
              <w:t>3L</w:t>
            </w:r>
          </w:p>
        </w:tc>
        <w:tc>
          <w:tcPr>
            <w:tcW w:w="360" w:type="pct"/>
            <w:vAlign w:val="center"/>
          </w:tcPr>
          <w:p w14:paraId="75D51DC5">
            <w:pPr>
              <w:tabs>
                <w:tab w:val="left" w:pos="3000"/>
              </w:tabs>
              <w:jc w:val="center"/>
              <w:rPr>
                <w:rFonts w:ascii="宋体" w:hAnsi="宋体"/>
                <w:color w:val="auto"/>
              </w:rPr>
            </w:pPr>
            <w:r>
              <w:rPr>
                <w:rFonts w:ascii="宋体" w:hAnsi="宋体"/>
                <w:color w:val="auto"/>
              </w:rPr>
              <w:t>3L</w:t>
            </w:r>
          </w:p>
        </w:tc>
        <w:tc>
          <w:tcPr>
            <w:tcW w:w="360" w:type="pct"/>
            <w:vAlign w:val="center"/>
          </w:tcPr>
          <w:p w14:paraId="1F411743">
            <w:pPr>
              <w:tabs>
                <w:tab w:val="left" w:pos="3000"/>
              </w:tabs>
              <w:jc w:val="center"/>
              <w:rPr>
                <w:rFonts w:ascii="宋体" w:hAnsi="宋体"/>
                <w:color w:val="auto"/>
              </w:rPr>
            </w:pPr>
            <w:r>
              <w:rPr>
                <w:rFonts w:ascii="宋体" w:hAnsi="宋体"/>
                <w:color w:val="auto"/>
              </w:rPr>
              <w:t>3L</w:t>
            </w:r>
          </w:p>
        </w:tc>
        <w:tc>
          <w:tcPr>
            <w:tcW w:w="360" w:type="pct"/>
            <w:vAlign w:val="center"/>
          </w:tcPr>
          <w:p w14:paraId="59F26AC9">
            <w:pPr>
              <w:tabs>
                <w:tab w:val="left" w:pos="3000"/>
              </w:tabs>
              <w:jc w:val="center"/>
              <w:rPr>
                <w:rFonts w:ascii="宋体" w:hAnsi="宋体"/>
                <w:color w:val="auto"/>
              </w:rPr>
            </w:pPr>
            <w:r>
              <w:rPr>
                <w:rFonts w:ascii="宋体" w:hAnsi="宋体"/>
                <w:color w:val="auto"/>
              </w:rPr>
              <w:t>3L</w:t>
            </w:r>
          </w:p>
        </w:tc>
        <w:tc>
          <w:tcPr>
            <w:tcW w:w="360" w:type="pct"/>
            <w:vAlign w:val="center"/>
          </w:tcPr>
          <w:p w14:paraId="1CF04CBE">
            <w:pPr>
              <w:tabs>
                <w:tab w:val="left" w:pos="3000"/>
              </w:tabs>
              <w:jc w:val="center"/>
              <w:rPr>
                <w:rFonts w:ascii="宋体" w:hAnsi="宋体"/>
                <w:color w:val="auto"/>
              </w:rPr>
            </w:pPr>
            <w:r>
              <w:rPr>
                <w:rFonts w:ascii="宋体" w:hAnsi="宋体"/>
                <w:color w:val="auto"/>
              </w:rPr>
              <w:t>3L</w:t>
            </w:r>
          </w:p>
        </w:tc>
        <w:tc>
          <w:tcPr>
            <w:tcW w:w="360" w:type="pct"/>
            <w:vAlign w:val="center"/>
          </w:tcPr>
          <w:p w14:paraId="649D4230">
            <w:pPr>
              <w:tabs>
                <w:tab w:val="left" w:pos="3000"/>
              </w:tabs>
              <w:jc w:val="center"/>
              <w:rPr>
                <w:rFonts w:ascii="宋体" w:hAnsi="宋体"/>
                <w:color w:val="auto"/>
              </w:rPr>
            </w:pPr>
            <w:r>
              <w:rPr>
                <w:rFonts w:ascii="宋体" w:hAnsi="宋体"/>
                <w:color w:val="auto"/>
              </w:rPr>
              <w:t>3L</w:t>
            </w:r>
          </w:p>
        </w:tc>
        <w:tc>
          <w:tcPr>
            <w:tcW w:w="360" w:type="pct"/>
            <w:vAlign w:val="center"/>
          </w:tcPr>
          <w:p w14:paraId="5B789561">
            <w:pPr>
              <w:tabs>
                <w:tab w:val="left" w:pos="3000"/>
              </w:tabs>
              <w:jc w:val="center"/>
              <w:rPr>
                <w:rFonts w:ascii="宋体" w:hAnsi="宋体"/>
                <w:color w:val="auto"/>
              </w:rPr>
            </w:pPr>
            <w:r>
              <w:rPr>
                <w:rFonts w:ascii="宋体" w:hAnsi="宋体"/>
                <w:color w:val="auto"/>
              </w:rPr>
              <w:t>3L</w:t>
            </w:r>
          </w:p>
        </w:tc>
        <w:tc>
          <w:tcPr>
            <w:tcW w:w="360" w:type="pct"/>
            <w:vAlign w:val="center"/>
          </w:tcPr>
          <w:p w14:paraId="4344F559">
            <w:pPr>
              <w:tabs>
                <w:tab w:val="left" w:pos="3000"/>
              </w:tabs>
              <w:jc w:val="center"/>
              <w:rPr>
                <w:rFonts w:ascii="宋体" w:hAnsi="宋体"/>
                <w:color w:val="auto"/>
              </w:rPr>
            </w:pPr>
            <w:r>
              <w:rPr>
                <w:rFonts w:ascii="宋体" w:hAnsi="宋体"/>
                <w:color w:val="auto"/>
              </w:rPr>
              <w:t>3L</w:t>
            </w:r>
          </w:p>
        </w:tc>
      </w:tr>
      <w:tr w14:paraId="2C279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47B32F19">
            <w:pPr>
              <w:tabs>
                <w:tab w:val="left" w:pos="3000"/>
              </w:tabs>
              <w:jc w:val="center"/>
              <w:rPr>
                <w:rFonts w:ascii="宋体" w:hAnsi="宋体"/>
                <w:color w:val="auto"/>
              </w:rPr>
            </w:pPr>
          </w:p>
        </w:tc>
        <w:tc>
          <w:tcPr>
            <w:tcW w:w="461" w:type="pct"/>
            <w:vAlign w:val="center"/>
          </w:tcPr>
          <w:p w14:paraId="41209357">
            <w:pPr>
              <w:tabs>
                <w:tab w:val="left" w:pos="3000"/>
              </w:tabs>
              <w:jc w:val="center"/>
              <w:rPr>
                <w:rFonts w:ascii="宋体" w:hAnsi="宋体"/>
                <w:color w:val="auto"/>
              </w:rPr>
            </w:pPr>
            <w:r>
              <w:rPr>
                <w:rFonts w:ascii="宋体" w:hAnsi="宋体"/>
                <w:color w:val="auto"/>
              </w:rPr>
              <w:t>排放速率/（kg/h）</w:t>
            </w:r>
          </w:p>
        </w:tc>
        <w:tc>
          <w:tcPr>
            <w:tcW w:w="360" w:type="pct"/>
            <w:vAlign w:val="center"/>
          </w:tcPr>
          <w:p w14:paraId="395150F5">
            <w:pPr>
              <w:tabs>
                <w:tab w:val="left" w:pos="3000"/>
              </w:tabs>
              <w:jc w:val="center"/>
              <w:rPr>
                <w:rFonts w:ascii="宋体" w:hAnsi="宋体"/>
                <w:color w:val="auto"/>
              </w:rPr>
            </w:pPr>
            <w:r>
              <w:rPr>
                <w:rFonts w:ascii="宋体" w:hAnsi="宋体"/>
                <w:color w:val="auto"/>
              </w:rPr>
              <w:t>/</w:t>
            </w:r>
          </w:p>
        </w:tc>
        <w:tc>
          <w:tcPr>
            <w:tcW w:w="360" w:type="pct"/>
            <w:vAlign w:val="center"/>
          </w:tcPr>
          <w:p w14:paraId="159EAD65">
            <w:pPr>
              <w:tabs>
                <w:tab w:val="left" w:pos="3000"/>
              </w:tabs>
              <w:jc w:val="center"/>
              <w:rPr>
                <w:rFonts w:ascii="宋体" w:hAnsi="宋体"/>
                <w:color w:val="auto"/>
              </w:rPr>
            </w:pPr>
            <w:r>
              <w:rPr>
                <w:rFonts w:ascii="宋体" w:hAnsi="宋体"/>
                <w:color w:val="auto"/>
              </w:rPr>
              <w:t>/</w:t>
            </w:r>
          </w:p>
        </w:tc>
        <w:tc>
          <w:tcPr>
            <w:tcW w:w="360" w:type="pct"/>
            <w:vAlign w:val="center"/>
          </w:tcPr>
          <w:p w14:paraId="3F2EB5BC">
            <w:pPr>
              <w:tabs>
                <w:tab w:val="left" w:pos="3000"/>
              </w:tabs>
              <w:jc w:val="center"/>
              <w:rPr>
                <w:rFonts w:ascii="宋体" w:hAnsi="宋体"/>
                <w:color w:val="auto"/>
              </w:rPr>
            </w:pPr>
            <w:r>
              <w:rPr>
                <w:rFonts w:ascii="宋体" w:hAnsi="宋体"/>
                <w:color w:val="auto"/>
              </w:rPr>
              <w:t>/</w:t>
            </w:r>
          </w:p>
        </w:tc>
        <w:tc>
          <w:tcPr>
            <w:tcW w:w="360" w:type="pct"/>
            <w:gridSpan w:val="2"/>
            <w:vAlign w:val="center"/>
          </w:tcPr>
          <w:p w14:paraId="19CB3C88">
            <w:pPr>
              <w:tabs>
                <w:tab w:val="left" w:pos="3000"/>
              </w:tabs>
              <w:jc w:val="center"/>
              <w:rPr>
                <w:rFonts w:ascii="宋体" w:hAnsi="宋体"/>
                <w:color w:val="auto"/>
              </w:rPr>
            </w:pPr>
            <w:r>
              <w:rPr>
                <w:rFonts w:ascii="宋体" w:hAnsi="宋体"/>
                <w:color w:val="auto"/>
              </w:rPr>
              <w:t>/</w:t>
            </w:r>
          </w:p>
        </w:tc>
        <w:tc>
          <w:tcPr>
            <w:tcW w:w="360" w:type="pct"/>
            <w:vAlign w:val="center"/>
          </w:tcPr>
          <w:p w14:paraId="2C42CA0F">
            <w:pPr>
              <w:tabs>
                <w:tab w:val="left" w:pos="3000"/>
              </w:tabs>
              <w:jc w:val="center"/>
              <w:rPr>
                <w:rFonts w:ascii="宋体" w:hAnsi="宋体"/>
                <w:color w:val="auto"/>
              </w:rPr>
            </w:pPr>
            <w:r>
              <w:rPr>
                <w:rFonts w:ascii="宋体" w:hAnsi="宋体"/>
                <w:color w:val="auto"/>
              </w:rPr>
              <w:t>/</w:t>
            </w:r>
          </w:p>
        </w:tc>
        <w:tc>
          <w:tcPr>
            <w:tcW w:w="360" w:type="pct"/>
            <w:vAlign w:val="center"/>
          </w:tcPr>
          <w:p w14:paraId="5CB387DD">
            <w:pPr>
              <w:tabs>
                <w:tab w:val="left" w:pos="3000"/>
              </w:tabs>
              <w:jc w:val="center"/>
              <w:rPr>
                <w:rFonts w:ascii="宋体" w:hAnsi="宋体"/>
                <w:color w:val="auto"/>
              </w:rPr>
            </w:pPr>
            <w:r>
              <w:rPr>
                <w:rFonts w:ascii="宋体" w:hAnsi="宋体"/>
                <w:color w:val="auto"/>
              </w:rPr>
              <w:t>/</w:t>
            </w:r>
          </w:p>
        </w:tc>
        <w:tc>
          <w:tcPr>
            <w:tcW w:w="360" w:type="pct"/>
            <w:vAlign w:val="center"/>
          </w:tcPr>
          <w:p w14:paraId="3350DC78">
            <w:pPr>
              <w:tabs>
                <w:tab w:val="left" w:pos="3000"/>
              </w:tabs>
              <w:jc w:val="center"/>
              <w:rPr>
                <w:rFonts w:ascii="宋体" w:hAnsi="宋体"/>
                <w:color w:val="auto"/>
              </w:rPr>
            </w:pPr>
            <w:r>
              <w:rPr>
                <w:rFonts w:ascii="宋体" w:hAnsi="宋体"/>
                <w:color w:val="auto"/>
              </w:rPr>
              <w:t>/</w:t>
            </w:r>
          </w:p>
        </w:tc>
        <w:tc>
          <w:tcPr>
            <w:tcW w:w="360" w:type="pct"/>
            <w:vAlign w:val="center"/>
          </w:tcPr>
          <w:p w14:paraId="75B7B34B">
            <w:pPr>
              <w:tabs>
                <w:tab w:val="left" w:pos="3000"/>
              </w:tabs>
              <w:jc w:val="center"/>
              <w:rPr>
                <w:rFonts w:ascii="宋体" w:hAnsi="宋体"/>
                <w:color w:val="auto"/>
              </w:rPr>
            </w:pPr>
            <w:r>
              <w:rPr>
                <w:rFonts w:ascii="宋体" w:hAnsi="宋体"/>
                <w:color w:val="auto"/>
              </w:rPr>
              <w:t>/</w:t>
            </w:r>
          </w:p>
        </w:tc>
        <w:tc>
          <w:tcPr>
            <w:tcW w:w="360" w:type="pct"/>
            <w:vAlign w:val="center"/>
          </w:tcPr>
          <w:p w14:paraId="22469CD2">
            <w:pPr>
              <w:tabs>
                <w:tab w:val="left" w:pos="3000"/>
              </w:tabs>
              <w:jc w:val="center"/>
              <w:rPr>
                <w:rFonts w:ascii="宋体" w:hAnsi="宋体"/>
                <w:color w:val="auto"/>
              </w:rPr>
            </w:pPr>
            <w:r>
              <w:rPr>
                <w:rFonts w:ascii="宋体" w:hAnsi="宋体"/>
                <w:color w:val="auto"/>
              </w:rPr>
              <w:t>/</w:t>
            </w:r>
          </w:p>
        </w:tc>
        <w:tc>
          <w:tcPr>
            <w:tcW w:w="360" w:type="pct"/>
            <w:vAlign w:val="center"/>
          </w:tcPr>
          <w:p w14:paraId="3EB059F1">
            <w:pPr>
              <w:tabs>
                <w:tab w:val="left" w:pos="3000"/>
              </w:tabs>
              <w:jc w:val="center"/>
              <w:rPr>
                <w:rFonts w:ascii="宋体" w:hAnsi="宋体"/>
                <w:color w:val="auto"/>
              </w:rPr>
            </w:pPr>
            <w:r>
              <w:rPr>
                <w:rFonts w:ascii="宋体" w:hAnsi="宋体"/>
                <w:color w:val="auto"/>
              </w:rPr>
              <w:t>/</w:t>
            </w:r>
          </w:p>
        </w:tc>
        <w:tc>
          <w:tcPr>
            <w:tcW w:w="360" w:type="pct"/>
            <w:vAlign w:val="center"/>
          </w:tcPr>
          <w:p w14:paraId="035E7116">
            <w:pPr>
              <w:tabs>
                <w:tab w:val="left" w:pos="3000"/>
              </w:tabs>
              <w:jc w:val="center"/>
              <w:rPr>
                <w:rFonts w:ascii="宋体" w:hAnsi="宋体"/>
                <w:color w:val="auto"/>
              </w:rPr>
            </w:pPr>
            <w:r>
              <w:rPr>
                <w:rFonts w:ascii="宋体" w:hAnsi="宋体"/>
                <w:color w:val="auto"/>
              </w:rPr>
              <w:t>/</w:t>
            </w:r>
          </w:p>
        </w:tc>
        <w:tc>
          <w:tcPr>
            <w:tcW w:w="360" w:type="pct"/>
            <w:vAlign w:val="center"/>
          </w:tcPr>
          <w:p w14:paraId="06902847">
            <w:pPr>
              <w:tabs>
                <w:tab w:val="left" w:pos="3000"/>
              </w:tabs>
              <w:jc w:val="center"/>
              <w:rPr>
                <w:rFonts w:ascii="宋体" w:hAnsi="宋体"/>
                <w:color w:val="auto"/>
              </w:rPr>
            </w:pPr>
            <w:r>
              <w:rPr>
                <w:rFonts w:ascii="宋体" w:hAnsi="宋体"/>
                <w:color w:val="auto"/>
              </w:rPr>
              <w:t>/</w:t>
            </w:r>
          </w:p>
        </w:tc>
      </w:tr>
      <w:tr w14:paraId="07274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restart"/>
            <w:vAlign w:val="center"/>
          </w:tcPr>
          <w:p w14:paraId="156AA43A">
            <w:pPr>
              <w:tabs>
                <w:tab w:val="left" w:pos="3000"/>
              </w:tabs>
              <w:jc w:val="center"/>
              <w:rPr>
                <w:rFonts w:ascii="宋体" w:hAnsi="宋体"/>
                <w:color w:val="auto"/>
              </w:rPr>
            </w:pPr>
            <w:r>
              <w:rPr>
                <w:rFonts w:ascii="宋体" w:hAnsi="宋体"/>
                <w:color w:val="auto"/>
              </w:rPr>
              <w:t>氮氧化物</w:t>
            </w:r>
          </w:p>
        </w:tc>
        <w:tc>
          <w:tcPr>
            <w:tcW w:w="461" w:type="pct"/>
            <w:vAlign w:val="center"/>
          </w:tcPr>
          <w:p w14:paraId="14667BCF">
            <w:pPr>
              <w:tabs>
                <w:tab w:val="left" w:pos="3000"/>
              </w:tabs>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60" w:type="pct"/>
            <w:vAlign w:val="center"/>
          </w:tcPr>
          <w:p w14:paraId="2B270E76">
            <w:pPr>
              <w:tabs>
                <w:tab w:val="left" w:pos="3000"/>
              </w:tabs>
              <w:jc w:val="center"/>
              <w:rPr>
                <w:rFonts w:ascii="宋体" w:hAnsi="宋体"/>
                <w:color w:val="auto"/>
              </w:rPr>
            </w:pPr>
            <w:r>
              <w:rPr>
                <w:rFonts w:ascii="宋体" w:hAnsi="宋体"/>
                <w:color w:val="auto"/>
              </w:rPr>
              <w:t>35</w:t>
            </w:r>
          </w:p>
        </w:tc>
        <w:tc>
          <w:tcPr>
            <w:tcW w:w="360" w:type="pct"/>
            <w:vAlign w:val="center"/>
          </w:tcPr>
          <w:p w14:paraId="0D193DCD">
            <w:pPr>
              <w:tabs>
                <w:tab w:val="left" w:pos="3000"/>
              </w:tabs>
              <w:jc w:val="center"/>
              <w:rPr>
                <w:rFonts w:ascii="宋体" w:hAnsi="宋体"/>
                <w:color w:val="auto"/>
              </w:rPr>
            </w:pPr>
            <w:r>
              <w:rPr>
                <w:rFonts w:ascii="宋体" w:hAnsi="宋体"/>
                <w:color w:val="auto"/>
              </w:rPr>
              <w:t>34</w:t>
            </w:r>
          </w:p>
        </w:tc>
        <w:tc>
          <w:tcPr>
            <w:tcW w:w="360" w:type="pct"/>
            <w:vAlign w:val="center"/>
          </w:tcPr>
          <w:p w14:paraId="7BF488E0">
            <w:pPr>
              <w:tabs>
                <w:tab w:val="left" w:pos="3000"/>
              </w:tabs>
              <w:jc w:val="center"/>
              <w:rPr>
                <w:rFonts w:ascii="宋体" w:hAnsi="宋体"/>
                <w:color w:val="auto"/>
              </w:rPr>
            </w:pPr>
            <w:r>
              <w:rPr>
                <w:rFonts w:ascii="宋体" w:hAnsi="宋体"/>
                <w:color w:val="auto"/>
              </w:rPr>
              <w:t>34</w:t>
            </w:r>
          </w:p>
        </w:tc>
        <w:tc>
          <w:tcPr>
            <w:tcW w:w="360" w:type="pct"/>
            <w:gridSpan w:val="2"/>
            <w:vAlign w:val="center"/>
          </w:tcPr>
          <w:p w14:paraId="20368E7F">
            <w:pPr>
              <w:tabs>
                <w:tab w:val="left" w:pos="3000"/>
              </w:tabs>
              <w:jc w:val="center"/>
              <w:rPr>
                <w:rFonts w:ascii="宋体" w:hAnsi="宋体"/>
                <w:color w:val="auto"/>
              </w:rPr>
            </w:pPr>
            <w:r>
              <w:rPr>
                <w:rFonts w:ascii="宋体" w:hAnsi="宋体"/>
                <w:color w:val="auto"/>
              </w:rPr>
              <w:t>34</w:t>
            </w:r>
          </w:p>
        </w:tc>
        <w:tc>
          <w:tcPr>
            <w:tcW w:w="360" w:type="pct"/>
            <w:vAlign w:val="center"/>
          </w:tcPr>
          <w:p w14:paraId="6AEC12B6">
            <w:pPr>
              <w:tabs>
                <w:tab w:val="left" w:pos="3000"/>
              </w:tabs>
              <w:jc w:val="center"/>
              <w:rPr>
                <w:rFonts w:ascii="宋体" w:hAnsi="宋体"/>
                <w:color w:val="auto"/>
              </w:rPr>
            </w:pPr>
            <w:r>
              <w:rPr>
                <w:rFonts w:ascii="宋体" w:hAnsi="宋体"/>
                <w:color w:val="auto"/>
              </w:rPr>
              <w:t>37</w:t>
            </w:r>
          </w:p>
        </w:tc>
        <w:tc>
          <w:tcPr>
            <w:tcW w:w="360" w:type="pct"/>
            <w:vAlign w:val="center"/>
          </w:tcPr>
          <w:p w14:paraId="3ED604D2">
            <w:pPr>
              <w:tabs>
                <w:tab w:val="left" w:pos="3000"/>
              </w:tabs>
              <w:jc w:val="center"/>
              <w:rPr>
                <w:rFonts w:ascii="宋体" w:hAnsi="宋体"/>
                <w:color w:val="auto"/>
              </w:rPr>
            </w:pPr>
            <w:r>
              <w:rPr>
                <w:rFonts w:ascii="宋体" w:hAnsi="宋体"/>
                <w:color w:val="auto"/>
              </w:rPr>
              <w:t>36</w:t>
            </w:r>
          </w:p>
        </w:tc>
        <w:tc>
          <w:tcPr>
            <w:tcW w:w="360" w:type="pct"/>
            <w:vAlign w:val="center"/>
          </w:tcPr>
          <w:p w14:paraId="1539FC22">
            <w:pPr>
              <w:tabs>
                <w:tab w:val="left" w:pos="3000"/>
              </w:tabs>
              <w:jc w:val="center"/>
              <w:rPr>
                <w:rFonts w:ascii="宋体" w:hAnsi="宋体"/>
                <w:color w:val="auto"/>
              </w:rPr>
            </w:pPr>
            <w:r>
              <w:rPr>
                <w:rFonts w:ascii="宋体" w:hAnsi="宋体"/>
                <w:color w:val="auto"/>
              </w:rPr>
              <w:t>36</w:t>
            </w:r>
          </w:p>
        </w:tc>
        <w:tc>
          <w:tcPr>
            <w:tcW w:w="360" w:type="pct"/>
            <w:vAlign w:val="center"/>
          </w:tcPr>
          <w:p w14:paraId="530B5CFF">
            <w:pPr>
              <w:tabs>
                <w:tab w:val="left" w:pos="3000"/>
              </w:tabs>
              <w:jc w:val="center"/>
              <w:rPr>
                <w:rFonts w:ascii="宋体" w:hAnsi="宋体"/>
                <w:color w:val="auto"/>
              </w:rPr>
            </w:pPr>
            <w:r>
              <w:rPr>
                <w:rFonts w:ascii="宋体" w:hAnsi="宋体"/>
                <w:color w:val="auto"/>
              </w:rPr>
              <w:t>36</w:t>
            </w:r>
          </w:p>
        </w:tc>
        <w:tc>
          <w:tcPr>
            <w:tcW w:w="360" w:type="pct"/>
            <w:vAlign w:val="center"/>
          </w:tcPr>
          <w:p w14:paraId="55F732B1">
            <w:pPr>
              <w:tabs>
                <w:tab w:val="left" w:pos="3000"/>
              </w:tabs>
              <w:jc w:val="center"/>
              <w:rPr>
                <w:rFonts w:ascii="宋体" w:hAnsi="宋体"/>
                <w:color w:val="auto"/>
              </w:rPr>
            </w:pPr>
            <w:r>
              <w:rPr>
                <w:rFonts w:ascii="宋体" w:hAnsi="宋体"/>
                <w:color w:val="auto"/>
              </w:rPr>
              <w:t>32</w:t>
            </w:r>
          </w:p>
        </w:tc>
        <w:tc>
          <w:tcPr>
            <w:tcW w:w="360" w:type="pct"/>
            <w:vAlign w:val="center"/>
          </w:tcPr>
          <w:p w14:paraId="2384395E">
            <w:pPr>
              <w:tabs>
                <w:tab w:val="left" w:pos="3000"/>
              </w:tabs>
              <w:jc w:val="center"/>
              <w:rPr>
                <w:rFonts w:ascii="宋体" w:hAnsi="宋体"/>
                <w:color w:val="auto"/>
              </w:rPr>
            </w:pPr>
            <w:r>
              <w:rPr>
                <w:rFonts w:ascii="宋体" w:hAnsi="宋体"/>
                <w:color w:val="auto"/>
              </w:rPr>
              <w:t>33</w:t>
            </w:r>
          </w:p>
        </w:tc>
        <w:tc>
          <w:tcPr>
            <w:tcW w:w="360" w:type="pct"/>
            <w:vAlign w:val="center"/>
          </w:tcPr>
          <w:p w14:paraId="6EBAB94C">
            <w:pPr>
              <w:tabs>
                <w:tab w:val="left" w:pos="3000"/>
              </w:tabs>
              <w:jc w:val="center"/>
              <w:rPr>
                <w:rFonts w:ascii="宋体" w:hAnsi="宋体"/>
                <w:color w:val="auto"/>
              </w:rPr>
            </w:pPr>
            <w:r>
              <w:rPr>
                <w:rFonts w:ascii="宋体" w:hAnsi="宋体"/>
                <w:color w:val="auto"/>
              </w:rPr>
              <w:t>34</w:t>
            </w:r>
          </w:p>
        </w:tc>
        <w:tc>
          <w:tcPr>
            <w:tcW w:w="360" w:type="pct"/>
            <w:vAlign w:val="center"/>
          </w:tcPr>
          <w:p w14:paraId="5DE31515">
            <w:pPr>
              <w:tabs>
                <w:tab w:val="left" w:pos="3000"/>
              </w:tabs>
              <w:jc w:val="center"/>
              <w:rPr>
                <w:rFonts w:ascii="宋体" w:hAnsi="宋体"/>
                <w:color w:val="auto"/>
              </w:rPr>
            </w:pPr>
            <w:r>
              <w:rPr>
                <w:rFonts w:ascii="宋体" w:hAnsi="宋体"/>
                <w:color w:val="auto"/>
              </w:rPr>
              <w:t>33</w:t>
            </w:r>
          </w:p>
        </w:tc>
      </w:tr>
      <w:tr w14:paraId="3AF4C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7B082F33">
            <w:pPr>
              <w:tabs>
                <w:tab w:val="left" w:pos="3000"/>
              </w:tabs>
              <w:jc w:val="center"/>
              <w:rPr>
                <w:rFonts w:ascii="宋体" w:hAnsi="宋体"/>
                <w:color w:val="auto"/>
              </w:rPr>
            </w:pPr>
          </w:p>
        </w:tc>
        <w:tc>
          <w:tcPr>
            <w:tcW w:w="461" w:type="pct"/>
            <w:vAlign w:val="center"/>
          </w:tcPr>
          <w:p w14:paraId="2E99FF6D">
            <w:pPr>
              <w:tabs>
                <w:tab w:val="left" w:pos="3000"/>
              </w:tabs>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60" w:type="pct"/>
            <w:vAlign w:val="center"/>
          </w:tcPr>
          <w:p w14:paraId="6A0FCF63">
            <w:pPr>
              <w:tabs>
                <w:tab w:val="left" w:pos="3000"/>
              </w:tabs>
              <w:jc w:val="center"/>
              <w:rPr>
                <w:rFonts w:ascii="宋体" w:hAnsi="宋体"/>
                <w:color w:val="auto"/>
              </w:rPr>
            </w:pPr>
            <w:r>
              <w:rPr>
                <w:rFonts w:ascii="宋体" w:hAnsi="宋体"/>
                <w:color w:val="auto"/>
              </w:rPr>
              <w:t>37</w:t>
            </w:r>
          </w:p>
        </w:tc>
        <w:tc>
          <w:tcPr>
            <w:tcW w:w="360" w:type="pct"/>
            <w:vAlign w:val="center"/>
          </w:tcPr>
          <w:p w14:paraId="670FE793">
            <w:pPr>
              <w:tabs>
                <w:tab w:val="left" w:pos="3000"/>
              </w:tabs>
              <w:jc w:val="center"/>
              <w:rPr>
                <w:rFonts w:ascii="宋体" w:hAnsi="宋体"/>
                <w:color w:val="auto"/>
              </w:rPr>
            </w:pPr>
            <w:r>
              <w:rPr>
                <w:rFonts w:ascii="宋体" w:hAnsi="宋体"/>
                <w:color w:val="auto"/>
              </w:rPr>
              <w:t>36</w:t>
            </w:r>
          </w:p>
        </w:tc>
        <w:tc>
          <w:tcPr>
            <w:tcW w:w="360" w:type="pct"/>
            <w:vAlign w:val="center"/>
          </w:tcPr>
          <w:p w14:paraId="5B9DE057">
            <w:pPr>
              <w:tabs>
                <w:tab w:val="left" w:pos="3000"/>
              </w:tabs>
              <w:jc w:val="center"/>
              <w:rPr>
                <w:rFonts w:ascii="宋体" w:hAnsi="宋体"/>
                <w:color w:val="auto"/>
              </w:rPr>
            </w:pPr>
            <w:r>
              <w:rPr>
                <w:rFonts w:ascii="宋体" w:hAnsi="宋体"/>
                <w:color w:val="auto"/>
              </w:rPr>
              <w:t>36</w:t>
            </w:r>
          </w:p>
        </w:tc>
        <w:tc>
          <w:tcPr>
            <w:tcW w:w="360" w:type="pct"/>
            <w:gridSpan w:val="2"/>
            <w:vAlign w:val="center"/>
          </w:tcPr>
          <w:p w14:paraId="5E5BDBAE">
            <w:pPr>
              <w:tabs>
                <w:tab w:val="left" w:pos="3000"/>
              </w:tabs>
              <w:jc w:val="center"/>
              <w:rPr>
                <w:rFonts w:ascii="宋体" w:hAnsi="宋体"/>
                <w:color w:val="auto"/>
              </w:rPr>
            </w:pPr>
            <w:r>
              <w:rPr>
                <w:rFonts w:ascii="宋体" w:hAnsi="宋体"/>
                <w:color w:val="auto"/>
              </w:rPr>
              <w:t>36</w:t>
            </w:r>
          </w:p>
        </w:tc>
        <w:tc>
          <w:tcPr>
            <w:tcW w:w="360" w:type="pct"/>
            <w:vAlign w:val="center"/>
          </w:tcPr>
          <w:p w14:paraId="61708569">
            <w:pPr>
              <w:tabs>
                <w:tab w:val="left" w:pos="3000"/>
              </w:tabs>
              <w:jc w:val="center"/>
              <w:rPr>
                <w:rFonts w:ascii="宋体" w:hAnsi="宋体"/>
                <w:color w:val="auto"/>
              </w:rPr>
            </w:pPr>
            <w:r>
              <w:rPr>
                <w:rFonts w:ascii="宋体" w:hAnsi="宋体"/>
                <w:color w:val="auto"/>
              </w:rPr>
              <w:t>39</w:t>
            </w:r>
          </w:p>
        </w:tc>
        <w:tc>
          <w:tcPr>
            <w:tcW w:w="360" w:type="pct"/>
            <w:vAlign w:val="center"/>
          </w:tcPr>
          <w:p w14:paraId="668F83BB">
            <w:pPr>
              <w:tabs>
                <w:tab w:val="left" w:pos="3000"/>
              </w:tabs>
              <w:jc w:val="center"/>
              <w:rPr>
                <w:rFonts w:ascii="宋体" w:hAnsi="宋体"/>
                <w:color w:val="auto"/>
              </w:rPr>
            </w:pPr>
            <w:r>
              <w:rPr>
                <w:rFonts w:ascii="宋体" w:hAnsi="宋体"/>
                <w:color w:val="auto"/>
              </w:rPr>
              <w:t>38</w:t>
            </w:r>
          </w:p>
        </w:tc>
        <w:tc>
          <w:tcPr>
            <w:tcW w:w="360" w:type="pct"/>
            <w:vAlign w:val="center"/>
          </w:tcPr>
          <w:p w14:paraId="696DED4B">
            <w:pPr>
              <w:tabs>
                <w:tab w:val="left" w:pos="3000"/>
              </w:tabs>
              <w:jc w:val="center"/>
              <w:rPr>
                <w:rFonts w:ascii="宋体" w:hAnsi="宋体"/>
                <w:color w:val="auto"/>
              </w:rPr>
            </w:pPr>
            <w:r>
              <w:rPr>
                <w:rFonts w:hint="eastAsia" w:ascii="宋体" w:hAnsi="宋体"/>
                <w:color w:val="auto"/>
              </w:rPr>
              <w:t>39</w:t>
            </w:r>
          </w:p>
        </w:tc>
        <w:tc>
          <w:tcPr>
            <w:tcW w:w="360" w:type="pct"/>
            <w:vAlign w:val="center"/>
          </w:tcPr>
          <w:p w14:paraId="0204FF39">
            <w:pPr>
              <w:tabs>
                <w:tab w:val="left" w:pos="3000"/>
              </w:tabs>
              <w:jc w:val="center"/>
              <w:rPr>
                <w:rFonts w:ascii="宋体" w:hAnsi="宋体"/>
                <w:color w:val="auto"/>
              </w:rPr>
            </w:pPr>
            <w:r>
              <w:rPr>
                <w:rFonts w:hint="eastAsia" w:ascii="宋体" w:hAnsi="宋体"/>
                <w:color w:val="auto"/>
              </w:rPr>
              <w:t>39</w:t>
            </w:r>
          </w:p>
        </w:tc>
        <w:tc>
          <w:tcPr>
            <w:tcW w:w="360" w:type="pct"/>
            <w:vAlign w:val="center"/>
          </w:tcPr>
          <w:p w14:paraId="193B9C10">
            <w:pPr>
              <w:tabs>
                <w:tab w:val="left" w:pos="3000"/>
              </w:tabs>
              <w:jc w:val="center"/>
              <w:rPr>
                <w:rFonts w:ascii="宋体" w:hAnsi="宋体"/>
                <w:color w:val="auto"/>
              </w:rPr>
            </w:pPr>
            <w:r>
              <w:rPr>
                <w:rFonts w:ascii="宋体" w:hAnsi="宋体"/>
                <w:color w:val="auto"/>
              </w:rPr>
              <w:t>35</w:t>
            </w:r>
          </w:p>
        </w:tc>
        <w:tc>
          <w:tcPr>
            <w:tcW w:w="360" w:type="pct"/>
            <w:vAlign w:val="center"/>
          </w:tcPr>
          <w:p w14:paraId="096365F2">
            <w:pPr>
              <w:tabs>
                <w:tab w:val="left" w:pos="3000"/>
              </w:tabs>
              <w:jc w:val="center"/>
              <w:rPr>
                <w:rFonts w:ascii="宋体" w:hAnsi="宋体"/>
                <w:color w:val="auto"/>
              </w:rPr>
            </w:pPr>
            <w:r>
              <w:rPr>
                <w:rFonts w:ascii="宋体" w:hAnsi="宋体"/>
                <w:color w:val="auto"/>
              </w:rPr>
              <w:t>36</w:t>
            </w:r>
          </w:p>
        </w:tc>
        <w:tc>
          <w:tcPr>
            <w:tcW w:w="360" w:type="pct"/>
            <w:vAlign w:val="center"/>
          </w:tcPr>
          <w:p w14:paraId="13693ECA">
            <w:pPr>
              <w:tabs>
                <w:tab w:val="left" w:pos="3000"/>
              </w:tabs>
              <w:jc w:val="center"/>
              <w:rPr>
                <w:rFonts w:ascii="宋体" w:hAnsi="宋体"/>
                <w:color w:val="auto"/>
              </w:rPr>
            </w:pPr>
            <w:r>
              <w:rPr>
                <w:rFonts w:ascii="宋体" w:hAnsi="宋体"/>
                <w:color w:val="auto"/>
              </w:rPr>
              <w:t>37</w:t>
            </w:r>
          </w:p>
        </w:tc>
        <w:tc>
          <w:tcPr>
            <w:tcW w:w="360" w:type="pct"/>
            <w:vAlign w:val="center"/>
          </w:tcPr>
          <w:p w14:paraId="0A7DD59A">
            <w:pPr>
              <w:tabs>
                <w:tab w:val="left" w:pos="3000"/>
              </w:tabs>
              <w:jc w:val="center"/>
              <w:rPr>
                <w:rFonts w:ascii="宋体" w:hAnsi="宋体"/>
                <w:color w:val="auto"/>
              </w:rPr>
            </w:pPr>
            <w:r>
              <w:rPr>
                <w:rFonts w:ascii="宋体" w:hAnsi="宋体"/>
                <w:color w:val="auto"/>
              </w:rPr>
              <w:t>36</w:t>
            </w:r>
          </w:p>
        </w:tc>
      </w:tr>
      <w:tr w14:paraId="7A342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3ADE7EFB">
            <w:pPr>
              <w:tabs>
                <w:tab w:val="left" w:pos="3000"/>
              </w:tabs>
              <w:jc w:val="center"/>
              <w:rPr>
                <w:rFonts w:ascii="宋体" w:hAnsi="宋体"/>
                <w:color w:val="auto"/>
              </w:rPr>
            </w:pPr>
          </w:p>
        </w:tc>
        <w:tc>
          <w:tcPr>
            <w:tcW w:w="461" w:type="pct"/>
            <w:vAlign w:val="center"/>
          </w:tcPr>
          <w:p w14:paraId="73677C57">
            <w:pPr>
              <w:tabs>
                <w:tab w:val="left" w:pos="3000"/>
              </w:tabs>
              <w:jc w:val="center"/>
              <w:rPr>
                <w:rFonts w:ascii="宋体" w:hAnsi="宋体"/>
                <w:color w:val="auto"/>
              </w:rPr>
            </w:pPr>
            <w:r>
              <w:rPr>
                <w:rFonts w:ascii="宋体" w:hAnsi="宋体"/>
                <w:color w:val="auto"/>
              </w:rPr>
              <w:t>排放速率/（kg/h）</w:t>
            </w:r>
          </w:p>
        </w:tc>
        <w:tc>
          <w:tcPr>
            <w:tcW w:w="360" w:type="pct"/>
            <w:vAlign w:val="center"/>
          </w:tcPr>
          <w:p w14:paraId="43E86030">
            <w:pPr>
              <w:tabs>
                <w:tab w:val="left" w:pos="3000"/>
              </w:tabs>
              <w:jc w:val="center"/>
              <w:rPr>
                <w:rFonts w:ascii="宋体" w:hAnsi="宋体"/>
                <w:color w:val="auto"/>
              </w:rPr>
            </w:pPr>
            <w:r>
              <w:rPr>
                <w:rFonts w:ascii="宋体" w:hAnsi="宋体"/>
                <w:color w:val="auto"/>
              </w:rPr>
              <w:t>9.6×10</w:t>
            </w:r>
            <w:r>
              <w:rPr>
                <w:rFonts w:ascii="宋体" w:hAnsi="宋体"/>
                <w:color w:val="auto"/>
                <w:vertAlign w:val="superscript"/>
              </w:rPr>
              <w:t>-3</w:t>
            </w:r>
          </w:p>
        </w:tc>
        <w:tc>
          <w:tcPr>
            <w:tcW w:w="360" w:type="pct"/>
            <w:vAlign w:val="center"/>
          </w:tcPr>
          <w:p w14:paraId="52C91C11">
            <w:pPr>
              <w:tabs>
                <w:tab w:val="left" w:pos="3000"/>
              </w:tabs>
              <w:jc w:val="center"/>
              <w:rPr>
                <w:rFonts w:ascii="宋体" w:hAnsi="宋体"/>
                <w:color w:val="auto"/>
              </w:rPr>
            </w:pPr>
            <w:r>
              <w:rPr>
                <w:rFonts w:ascii="宋体" w:hAnsi="宋体"/>
                <w:color w:val="auto"/>
              </w:rPr>
              <w:t>9.4×10</w:t>
            </w:r>
            <w:r>
              <w:rPr>
                <w:rFonts w:ascii="宋体" w:hAnsi="宋体"/>
                <w:color w:val="auto"/>
                <w:vertAlign w:val="superscript"/>
              </w:rPr>
              <w:t>-3</w:t>
            </w:r>
          </w:p>
        </w:tc>
        <w:tc>
          <w:tcPr>
            <w:tcW w:w="360" w:type="pct"/>
            <w:vAlign w:val="center"/>
          </w:tcPr>
          <w:p w14:paraId="2B369874">
            <w:pPr>
              <w:tabs>
                <w:tab w:val="left" w:pos="3000"/>
              </w:tabs>
              <w:jc w:val="center"/>
              <w:rPr>
                <w:rFonts w:ascii="宋体" w:hAnsi="宋体"/>
                <w:color w:val="auto"/>
              </w:rPr>
            </w:pPr>
            <w:r>
              <w:rPr>
                <w:rFonts w:ascii="宋体" w:hAnsi="宋体"/>
                <w:color w:val="auto"/>
              </w:rPr>
              <w:t>9.5×10</w:t>
            </w:r>
            <w:r>
              <w:rPr>
                <w:rFonts w:ascii="宋体" w:hAnsi="宋体"/>
                <w:color w:val="auto"/>
                <w:vertAlign w:val="superscript"/>
              </w:rPr>
              <w:t>-3</w:t>
            </w:r>
          </w:p>
        </w:tc>
        <w:tc>
          <w:tcPr>
            <w:tcW w:w="360" w:type="pct"/>
            <w:gridSpan w:val="2"/>
            <w:vAlign w:val="center"/>
          </w:tcPr>
          <w:p w14:paraId="7F53AD0D">
            <w:pPr>
              <w:tabs>
                <w:tab w:val="left" w:pos="3000"/>
              </w:tabs>
              <w:jc w:val="center"/>
              <w:rPr>
                <w:rFonts w:ascii="宋体" w:hAnsi="宋体"/>
                <w:color w:val="auto"/>
              </w:rPr>
            </w:pPr>
            <w:r>
              <w:rPr>
                <w:rFonts w:ascii="宋体" w:hAnsi="宋体"/>
                <w:color w:val="auto"/>
              </w:rPr>
              <w:t>9.5×10</w:t>
            </w:r>
            <w:r>
              <w:rPr>
                <w:rFonts w:ascii="宋体" w:hAnsi="宋体"/>
                <w:color w:val="auto"/>
                <w:vertAlign w:val="superscript"/>
              </w:rPr>
              <w:t>-3</w:t>
            </w:r>
          </w:p>
        </w:tc>
        <w:tc>
          <w:tcPr>
            <w:tcW w:w="360" w:type="pct"/>
            <w:vAlign w:val="center"/>
          </w:tcPr>
          <w:p w14:paraId="60B0FCD0">
            <w:pPr>
              <w:tabs>
                <w:tab w:val="left" w:pos="3000"/>
              </w:tabs>
              <w:jc w:val="center"/>
              <w:rPr>
                <w:rFonts w:ascii="宋体" w:hAnsi="宋体"/>
                <w:color w:val="auto"/>
              </w:rPr>
            </w:pPr>
            <w:r>
              <w:rPr>
                <w:rFonts w:ascii="宋体" w:hAnsi="宋体"/>
                <w:color w:val="auto"/>
              </w:rPr>
              <w:t>1.1×10</w:t>
            </w:r>
            <w:r>
              <w:rPr>
                <w:rFonts w:ascii="宋体" w:hAnsi="宋体"/>
                <w:color w:val="auto"/>
                <w:vertAlign w:val="superscript"/>
              </w:rPr>
              <w:t>-2</w:t>
            </w:r>
          </w:p>
        </w:tc>
        <w:tc>
          <w:tcPr>
            <w:tcW w:w="360" w:type="pct"/>
            <w:vAlign w:val="center"/>
          </w:tcPr>
          <w:p w14:paraId="13655499">
            <w:pPr>
              <w:tabs>
                <w:tab w:val="left" w:pos="3000"/>
              </w:tabs>
              <w:jc w:val="center"/>
              <w:rPr>
                <w:rFonts w:ascii="宋体" w:hAnsi="宋体"/>
                <w:color w:val="auto"/>
              </w:rPr>
            </w:pPr>
            <w:r>
              <w:rPr>
                <w:rFonts w:ascii="宋体" w:hAnsi="宋体"/>
                <w:color w:val="auto"/>
              </w:rPr>
              <w:t>1.0×10</w:t>
            </w:r>
            <w:r>
              <w:rPr>
                <w:rFonts w:ascii="宋体" w:hAnsi="宋体"/>
                <w:color w:val="auto"/>
                <w:vertAlign w:val="superscript"/>
              </w:rPr>
              <w:t>-2</w:t>
            </w:r>
          </w:p>
        </w:tc>
        <w:tc>
          <w:tcPr>
            <w:tcW w:w="360" w:type="pct"/>
            <w:vAlign w:val="center"/>
          </w:tcPr>
          <w:p w14:paraId="73161B64">
            <w:pPr>
              <w:tabs>
                <w:tab w:val="left" w:pos="3000"/>
              </w:tabs>
              <w:jc w:val="center"/>
              <w:rPr>
                <w:rFonts w:ascii="宋体" w:hAnsi="宋体"/>
                <w:color w:val="auto"/>
              </w:rPr>
            </w:pPr>
            <w:r>
              <w:rPr>
                <w:rFonts w:ascii="宋体" w:hAnsi="宋体"/>
                <w:color w:val="auto"/>
              </w:rPr>
              <w:t>1.0×10</w:t>
            </w:r>
            <w:r>
              <w:rPr>
                <w:rFonts w:ascii="宋体" w:hAnsi="宋体"/>
                <w:color w:val="auto"/>
                <w:vertAlign w:val="superscript"/>
              </w:rPr>
              <w:t>-2</w:t>
            </w:r>
          </w:p>
        </w:tc>
        <w:tc>
          <w:tcPr>
            <w:tcW w:w="360" w:type="pct"/>
            <w:vAlign w:val="center"/>
          </w:tcPr>
          <w:p w14:paraId="6918EB27">
            <w:pPr>
              <w:tabs>
                <w:tab w:val="left" w:pos="3000"/>
              </w:tabs>
              <w:jc w:val="center"/>
              <w:rPr>
                <w:rFonts w:ascii="宋体" w:hAnsi="宋体"/>
                <w:color w:val="auto"/>
              </w:rPr>
            </w:pPr>
            <w:r>
              <w:rPr>
                <w:rFonts w:ascii="宋体" w:hAnsi="宋体"/>
                <w:color w:val="auto"/>
              </w:rPr>
              <w:t>1.0×10</w:t>
            </w:r>
            <w:r>
              <w:rPr>
                <w:rFonts w:ascii="宋体" w:hAnsi="宋体"/>
                <w:color w:val="auto"/>
                <w:vertAlign w:val="superscript"/>
              </w:rPr>
              <w:t>-2</w:t>
            </w:r>
          </w:p>
        </w:tc>
        <w:tc>
          <w:tcPr>
            <w:tcW w:w="360" w:type="pct"/>
            <w:vAlign w:val="center"/>
          </w:tcPr>
          <w:p w14:paraId="3430BA80">
            <w:pPr>
              <w:tabs>
                <w:tab w:val="left" w:pos="3000"/>
              </w:tabs>
              <w:jc w:val="center"/>
              <w:rPr>
                <w:rFonts w:ascii="宋体" w:hAnsi="宋体"/>
                <w:color w:val="auto"/>
              </w:rPr>
            </w:pPr>
            <w:r>
              <w:rPr>
                <w:rFonts w:ascii="宋体" w:hAnsi="宋体"/>
                <w:color w:val="auto"/>
              </w:rPr>
              <w:t>9.4×10</w:t>
            </w:r>
            <w:r>
              <w:rPr>
                <w:rFonts w:ascii="宋体" w:hAnsi="宋体"/>
                <w:color w:val="auto"/>
                <w:vertAlign w:val="superscript"/>
              </w:rPr>
              <w:t>-3</w:t>
            </w:r>
          </w:p>
        </w:tc>
        <w:tc>
          <w:tcPr>
            <w:tcW w:w="360" w:type="pct"/>
            <w:vAlign w:val="center"/>
          </w:tcPr>
          <w:p w14:paraId="4652FEF8">
            <w:pPr>
              <w:tabs>
                <w:tab w:val="left" w:pos="3000"/>
              </w:tabs>
              <w:jc w:val="center"/>
              <w:rPr>
                <w:rFonts w:ascii="宋体" w:hAnsi="宋体"/>
                <w:color w:val="auto"/>
              </w:rPr>
            </w:pPr>
            <w:r>
              <w:rPr>
                <w:rFonts w:ascii="宋体" w:hAnsi="宋体"/>
                <w:color w:val="auto"/>
              </w:rPr>
              <w:t>9.8×10</w:t>
            </w:r>
            <w:r>
              <w:rPr>
                <w:rFonts w:ascii="宋体" w:hAnsi="宋体"/>
                <w:color w:val="auto"/>
                <w:vertAlign w:val="superscript"/>
              </w:rPr>
              <w:t>-3</w:t>
            </w:r>
          </w:p>
        </w:tc>
        <w:tc>
          <w:tcPr>
            <w:tcW w:w="360" w:type="pct"/>
            <w:vAlign w:val="center"/>
          </w:tcPr>
          <w:p w14:paraId="02EA6E25">
            <w:pPr>
              <w:tabs>
                <w:tab w:val="left" w:pos="3000"/>
              </w:tabs>
              <w:jc w:val="center"/>
              <w:rPr>
                <w:rFonts w:ascii="宋体" w:hAnsi="宋体"/>
                <w:color w:val="auto"/>
              </w:rPr>
            </w:pPr>
            <w:r>
              <w:rPr>
                <w:rFonts w:ascii="宋体" w:hAnsi="宋体"/>
                <w:color w:val="auto"/>
              </w:rPr>
              <w:t>9.7×10</w:t>
            </w:r>
            <w:r>
              <w:rPr>
                <w:rFonts w:ascii="宋体" w:hAnsi="宋体"/>
                <w:color w:val="auto"/>
                <w:vertAlign w:val="superscript"/>
              </w:rPr>
              <w:t>-3</w:t>
            </w:r>
          </w:p>
        </w:tc>
        <w:tc>
          <w:tcPr>
            <w:tcW w:w="360" w:type="pct"/>
            <w:vAlign w:val="center"/>
          </w:tcPr>
          <w:p w14:paraId="529B6622">
            <w:pPr>
              <w:tabs>
                <w:tab w:val="left" w:pos="3000"/>
              </w:tabs>
              <w:jc w:val="center"/>
              <w:rPr>
                <w:rFonts w:ascii="宋体" w:hAnsi="宋体"/>
                <w:color w:val="auto"/>
              </w:rPr>
            </w:pPr>
            <w:r>
              <w:rPr>
                <w:rFonts w:ascii="宋体" w:hAnsi="宋体"/>
                <w:color w:val="auto"/>
              </w:rPr>
              <w:t>9.6×10</w:t>
            </w:r>
            <w:r>
              <w:rPr>
                <w:rFonts w:ascii="宋体" w:hAnsi="宋体"/>
                <w:color w:val="auto"/>
                <w:vertAlign w:val="superscript"/>
              </w:rPr>
              <w:t>-3</w:t>
            </w:r>
          </w:p>
        </w:tc>
      </w:tr>
      <w:tr w14:paraId="757F5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225751CD">
            <w:pPr>
              <w:tabs>
                <w:tab w:val="left" w:pos="3000"/>
              </w:tabs>
              <w:jc w:val="center"/>
              <w:rPr>
                <w:rFonts w:ascii="宋体" w:hAnsi="宋体"/>
                <w:color w:val="auto"/>
              </w:rPr>
            </w:pPr>
            <w:r>
              <w:rPr>
                <w:rFonts w:ascii="宋体" w:hAnsi="宋体"/>
                <w:color w:val="auto"/>
              </w:rPr>
              <w:t>烟气黑度/（级）</w:t>
            </w:r>
          </w:p>
        </w:tc>
        <w:tc>
          <w:tcPr>
            <w:tcW w:w="1437" w:type="pct"/>
            <w:gridSpan w:val="4"/>
            <w:vAlign w:val="center"/>
          </w:tcPr>
          <w:p w14:paraId="73212505">
            <w:pPr>
              <w:tabs>
                <w:tab w:val="left" w:pos="3000"/>
              </w:tabs>
              <w:jc w:val="center"/>
              <w:rPr>
                <w:rFonts w:ascii="宋体" w:hAnsi="宋体"/>
                <w:color w:val="auto"/>
              </w:rPr>
            </w:pPr>
            <w:r>
              <w:rPr>
                <w:rFonts w:ascii="宋体" w:hAnsi="宋体"/>
                <w:color w:val="auto"/>
              </w:rPr>
              <w:t>＜1</w:t>
            </w:r>
          </w:p>
        </w:tc>
        <w:tc>
          <w:tcPr>
            <w:tcW w:w="1443" w:type="pct"/>
            <w:gridSpan w:val="5"/>
            <w:vAlign w:val="center"/>
          </w:tcPr>
          <w:p w14:paraId="6D011076">
            <w:pPr>
              <w:tabs>
                <w:tab w:val="left" w:pos="3000"/>
              </w:tabs>
              <w:jc w:val="center"/>
              <w:rPr>
                <w:rFonts w:ascii="宋体" w:hAnsi="宋体"/>
                <w:color w:val="auto"/>
              </w:rPr>
            </w:pPr>
            <w:r>
              <w:rPr>
                <w:rFonts w:ascii="宋体" w:hAnsi="宋体"/>
                <w:color w:val="auto"/>
              </w:rPr>
              <w:t>＜1</w:t>
            </w:r>
          </w:p>
        </w:tc>
        <w:tc>
          <w:tcPr>
            <w:tcW w:w="1440" w:type="pct"/>
            <w:gridSpan w:val="4"/>
            <w:vAlign w:val="center"/>
          </w:tcPr>
          <w:p w14:paraId="5DD1A3B7">
            <w:pPr>
              <w:tabs>
                <w:tab w:val="left" w:pos="3000"/>
              </w:tabs>
              <w:jc w:val="center"/>
              <w:rPr>
                <w:rFonts w:ascii="宋体" w:hAnsi="宋体"/>
                <w:color w:val="auto"/>
              </w:rPr>
            </w:pPr>
            <w:r>
              <w:rPr>
                <w:rFonts w:ascii="宋体" w:hAnsi="宋体"/>
                <w:color w:val="auto"/>
              </w:rPr>
              <w:t>＜1</w:t>
            </w:r>
          </w:p>
        </w:tc>
      </w:tr>
      <w:tr w14:paraId="5EA6B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Align w:val="center"/>
          </w:tcPr>
          <w:p w14:paraId="52E0246F">
            <w:pPr>
              <w:tabs>
                <w:tab w:val="left" w:pos="3000"/>
              </w:tabs>
              <w:jc w:val="center"/>
              <w:rPr>
                <w:rFonts w:ascii="宋体" w:hAnsi="宋体"/>
                <w:color w:val="auto"/>
              </w:rPr>
            </w:pPr>
            <w:r>
              <w:rPr>
                <w:rFonts w:ascii="宋体" w:hAnsi="宋体"/>
                <w:color w:val="auto"/>
              </w:rPr>
              <w:t>备注</w:t>
            </w:r>
          </w:p>
        </w:tc>
        <w:tc>
          <w:tcPr>
            <w:tcW w:w="4780" w:type="pct"/>
            <w:gridSpan w:val="14"/>
            <w:vAlign w:val="center"/>
          </w:tcPr>
          <w:p w14:paraId="167A45D2">
            <w:pPr>
              <w:numPr>
                <w:ilvl w:val="0"/>
                <w:numId w:val="24"/>
              </w:numPr>
              <w:tabs>
                <w:tab w:val="left" w:pos="3000"/>
              </w:tabs>
              <w:jc w:val="center"/>
              <w:rPr>
                <w:rFonts w:ascii="宋体" w:hAnsi="宋体"/>
                <w:color w:val="auto"/>
              </w:rPr>
            </w:pPr>
            <w:r>
              <w:rPr>
                <w:rFonts w:ascii="宋体" w:hAnsi="宋体"/>
                <w:color w:val="auto"/>
              </w:rPr>
              <w:t>基准氧含量：3.5%</w:t>
            </w:r>
          </w:p>
          <w:p w14:paraId="7A94A368">
            <w:pPr>
              <w:tabs>
                <w:tab w:val="left" w:pos="3000"/>
              </w:tabs>
              <w:jc w:val="center"/>
              <w:rPr>
                <w:rFonts w:ascii="宋体" w:hAnsi="宋体"/>
                <w:color w:val="auto"/>
              </w:rPr>
            </w:pPr>
            <w:r>
              <w:rPr>
                <w:rFonts w:ascii="宋体" w:hAnsi="宋体"/>
                <w:color w:val="auto"/>
              </w:rPr>
              <w:t>2、HJ 57-2017固定污染源废气 二氧化硫的测定 定电位电解法检测二氧化硫，一氧化碳干扰显著，测定样品时须同时测定一氧化碳浓度，一氧化碳浓度超过50μmol/mol（62.5mg/m</w:t>
            </w:r>
            <w:r>
              <w:rPr>
                <w:rFonts w:ascii="宋体" w:hAnsi="宋体"/>
                <w:color w:val="auto"/>
                <w:vertAlign w:val="superscript"/>
              </w:rPr>
              <w:t>3</w:t>
            </w:r>
            <w:r>
              <w:rPr>
                <w:rFonts w:ascii="宋体" w:hAnsi="宋体"/>
                <w:color w:val="auto"/>
              </w:rPr>
              <w:t>）时，定电位电解法不适用。</w:t>
            </w:r>
          </w:p>
          <w:p w14:paraId="0510B0D8">
            <w:pPr>
              <w:tabs>
                <w:tab w:val="left" w:pos="3000"/>
              </w:tabs>
              <w:jc w:val="center"/>
              <w:rPr>
                <w:rFonts w:ascii="宋体" w:hAnsi="宋体"/>
                <w:color w:val="auto"/>
              </w:rPr>
            </w:pPr>
            <w:r>
              <w:rPr>
                <w:rFonts w:ascii="宋体" w:hAnsi="宋体"/>
                <w:color w:val="auto"/>
              </w:rPr>
              <w:t>3、检测结果低于分析方法检出限时，结果报告为使用方法检出限值，并加标志位“L”。</w:t>
            </w:r>
          </w:p>
          <w:p w14:paraId="59914141">
            <w:pPr>
              <w:tabs>
                <w:tab w:val="left" w:pos="3000"/>
              </w:tabs>
              <w:jc w:val="center"/>
              <w:rPr>
                <w:rFonts w:ascii="宋体" w:hAnsi="宋体"/>
                <w:color w:val="auto"/>
              </w:rPr>
            </w:pPr>
            <w:r>
              <w:rPr>
                <w:rFonts w:ascii="宋体" w:hAnsi="宋体"/>
                <w:color w:val="auto"/>
              </w:rPr>
              <w:t>4、如果实测浓度用检出限（L）或＜检出限表示，则折算浓度按照折算后结果表示。</w:t>
            </w:r>
          </w:p>
        </w:tc>
      </w:tr>
    </w:tbl>
    <w:p w14:paraId="1CD6593F">
      <w:pPr>
        <w:pStyle w:val="15"/>
        <w:spacing w:before="120"/>
        <w:rPr>
          <w:color w:val="auto"/>
        </w:rPr>
      </w:pPr>
      <w:r>
        <w:rPr>
          <w:color w:val="auto"/>
        </w:rPr>
        <w:tab/>
      </w: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8</w:t>
      </w:r>
      <w:r>
        <w:rPr>
          <w:color w:val="auto"/>
        </w:rPr>
        <w:fldChar w:fldCharType="end"/>
      </w:r>
      <w:r>
        <w:rPr>
          <w:rFonts w:hint="eastAsia"/>
          <w:color w:val="auto"/>
        </w:rPr>
        <w:t xml:space="preserve"> 8#井场加热炉排气筒（2）</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1092"/>
        <w:gridCol w:w="1040"/>
        <w:gridCol w:w="1040"/>
        <w:gridCol w:w="1040"/>
        <w:gridCol w:w="1034"/>
        <w:gridCol w:w="6"/>
        <w:gridCol w:w="1040"/>
        <w:gridCol w:w="1040"/>
        <w:gridCol w:w="1040"/>
        <w:gridCol w:w="1040"/>
        <w:gridCol w:w="1040"/>
        <w:gridCol w:w="1040"/>
        <w:gridCol w:w="1040"/>
        <w:gridCol w:w="1040"/>
      </w:tblGrid>
      <w:tr w14:paraId="065EE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0283D5A3">
            <w:pPr>
              <w:jc w:val="center"/>
              <w:rPr>
                <w:rFonts w:ascii="宋体" w:hAnsi="宋体"/>
                <w:color w:val="auto"/>
              </w:rPr>
            </w:pPr>
            <w:r>
              <w:rPr>
                <w:rFonts w:ascii="宋体" w:hAnsi="宋体"/>
                <w:color w:val="auto"/>
              </w:rPr>
              <w:t>排气筒名称</w:t>
            </w:r>
          </w:p>
        </w:tc>
        <w:tc>
          <w:tcPr>
            <w:tcW w:w="4242" w:type="pct"/>
            <w:gridSpan w:val="13"/>
            <w:vAlign w:val="center"/>
          </w:tcPr>
          <w:p w14:paraId="771C2CCD">
            <w:pPr>
              <w:jc w:val="center"/>
              <w:rPr>
                <w:rFonts w:ascii="宋体" w:hAnsi="宋体"/>
                <w:color w:val="auto"/>
              </w:rPr>
            </w:pPr>
            <w:r>
              <w:rPr>
                <w:rFonts w:ascii="宋体" w:hAnsi="宋体"/>
                <w:color w:val="auto"/>
              </w:rPr>
              <w:t>8#井场加热炉</w:t>
            </w:r>
          </w:p>
        </w:tc>
      </w:tr>
      <w:tr w14:paraId="46ECE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02B9D935">
            <w:pPr>
              <w:jc w:val="center"/>
              <w:rPr>
                <w:rFonts w:ascii="宋体" w:hAnsi="宋体"/>
                <w:color w:val="auto"/>
              </w:rPr>
            </w:pPr>
            <w:r>
              <w:rPr>
                <w:rFonts w:ascii="宋体" w:hAnsi="宋体"/>
                <w:color w:val="auto"/>
              </w:rPr>
              <w:t>采样日期</w:t>
            </w:r>
          </w:p>
        </w:tc>
        <w:tc>
          <w:tcPr>
            <w:tcW w:w="4242" w:type="pct"/>
            <w:gridSpan w:val="13"/>
            <w:vAlign w:val="center"/>
          </w:tcPr>
          <w:p w14:paraId="0CD70A96">
            <w:pPr>
              <w:jc w:val="center"/>
              <w:rPr>
                <w:rFonts w:ascii="宋体" w:hAnsi="宋体"/>
                <w:color w:val="auto"/>
              </w:rPr>
            </w:pPr>
            <w:r>
              <w:rPr>
                <w:rFonts w:ascii="宋体" w:hAnsi="宋体"/>
                <w:color w:val="auto"/>
              </w:rPr>
              <w:t>2026.03.17</w:t>
            </w:r>
          </w:p>
        </w:tc>
      </w:tr>
      <w:tr w14:paraId="66C89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772AE2FD">
            <w:pPr>
              <w:jc w:val="center"/>
              <w:rPr>
                <w:rFonts w:ascii="宋体" w:hAnsi="宋体"/>
                <w:color w:val="auto"/>
              </w:rPr>
            </w:pPr>
            <w:r>
              <w:rPr>
                <w:rFonts w:ascii="宋体" w:hAnsi="宋体"/>
                <w:color w:val="auto"/>
              </w:rPr>
              <w:t>分析日期</w:t>
            </w:r>
          </w:p>
        </w:tc>
        <w:tc>
          <w:tcPr>
            <w:tcW w:w="4242" w:type="pct"/>
            <w:gridSpan w:val="13"/>
            <w:vAlign w:val="center"/>
          </w:tcPr>
          <w:p w14:paraId="09C85211">
            <w:pPr>
              <w:jc w:val="center"/>
              <w:rPr>
                <w:rFonts w:ascii="宋体" w:hAnsi="宋体"/>
                <w:color w:val="auto"/>
              </w:rPr>
            </w:pPr>
            <w:r>
              <w:rPr>
                <w:rFonts w:ascii="宋体" w:hAnsi="宋体"/>
                <w:color w:val="auto"/>
              </w:rPr>
              <w:t>2026.03.17-03.23</w:t>
            </w:r>
          </w:p>
        </w:tc>
      </w:tr>
      <w:tr w14:paraId="3A56B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3253B33D">
            <w:pPr>
              <w:jc w:val="center"/>
              <w:rPr>
                <w:rFonts w:ascii="宋体" w:hAnsi="宋体"/>
                <w:color w:val="auto"/>
              </w:rPr>
            </w:pPr>
            <w:r>
              <w:rPr>
                <w:rFonts w:ascii="宋体" w:hAnsi="宋体"/>
                <w:color w:val="auto"/>
              </w:rPr>
              <w:t>排气筒高度/（m）</w:t>
            </w:r>
          </w:p>
        </w:tc>
        <w:tc>
          <w:tcPr>
            <w:tcW w:w="4242" w:type="pct"/>
            <w:gridSpan w:val="13"/>
            <w:vAlign w:val="center"/>
          </w:tcPr>
          <w:p w14:paraId="31975251">
            <w:pPr>
              <w:jc w:val="center"/>
              <w:rPr>
                <w:rFonts w:ascii="宋体" w:hAnsi="宋体"/>
                <w:color w:val="auto"/>
              </w:rPr>
            </w:pPr>
            <w:r>
              <w:rPr>
                <w:rFonts w:ascii="宋体" w:hAnsi="宋体"/>
                <w:color w:val="auto"/>
              </w:rPr>
              <w:t>8</w:t>
            </w:r>
          </w:p>
        </w:tc>
      </w:tr>
      <w:tr w14:paraId="77596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5BFB934B">
            <w:pPr>
              <w:jc w:val="center"/>
              <w:rPr>
                <w:rFonts w:ascii="宋体" w:hAnsi="宋体"/>
                <w:color w:val="auto"/>
              </w:rPr>
            </w:pPr>
            <w:r>
              <w:rPr>
                <w:rFonts w:ascii="宋体" w:hAnsi="宋体"/>
                <w:color w:val="auto"/>
              </w:rPr>
              <w:t>测点截面积/（m</w:t>
            </w:r>
            <w:r>
              <w:rPr>
                <w:rFonts w:ascii="宋体" w:hAnsi="宋体"/>
                <w:color w:val="auto"/>
                <w:vertAlign w:val="superscript"/>
              </w:rPr>
              <w:t>2</w:t>
            </w:r>
            <w:r>
              <w:rPr>
                <w:rFonts w:ascii="宋体" w:hAnsi="宋体"/>
                <w:color w:val="auto"/>
              </w:rPr>
              <w:t>）</w:t>
            </w:r>
          </w:p>
        </w:tc>
        <w:tc>
          <w:tcPr>
            <w:tcW w:w="4242" w:type="pct"/>
            <w:gridSpan w:val="13"/>
            <w:vAlign w:val="center"/>
          </w:tcPr>
          <w:p w14:paraId="7C58BE79">
            <w:pPr>
              <w:jc w:val="center"/>
              <w:rPr>
                <w:rFonts w:ascii="宋体" w:hAnsi="宋体"/>
                <w:color w:val="auto"/>
              </w:rPr>
            </w:pPr>
            <w:r>
              <w:rPr>
                <w:rFonts w:ascii="宋体" w:hAnsi="宋体"/>
                <w:color w:val="auto"/>
              </w:rPr>
              <w:t>0.018</w:t>
            </w:r>
          </w:p>
        </w:tc>
      </w:tr>
      <w:tr w14:paraId="46689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54D79FED">
            <w:pPr>
              <w:jc w:val="center"/>
              <w:rPr>
                <w:rFonts w:ascii="宋体" w:hAnsi="宋体"/>
                <w:color w:val="auto"/>
              </w:rPr>
            </w:pPr>
            <w:r>
              <w:rPr>
                <w:rFonts w:ascii="宋体" w:hAnsi="宋体"/>
                <w:color w:val="auto"/>
              </w:rPr>
              <w:t>采样频次</w:t>
            </w:r>
          </w:p>
        </w:tc>
        <w:tc>
          <w:tcPr>
            <w:tcW w:w="288" w:type="pct"/>
            <w:vAlign w:val="center"/>
          </w:tcPr>
          <w:p w14:paraId="68C983BB">
            <w:pPr>
              <w:jc w:val="center"/>
              <w:rPr>
                <w:rFonts w:ascii="宋体" w:hAnsi="宋体"/>
                <w:color w:val="auto"/>
              </w:rPr>
            </w:pPr>
            <w:r>
              <w:rPr>
                <w:rFonts w:ascii="宋体" w:hAnsi="宋体"/>
                <w:color w:val="auto"/>
              </w:rPr>
              <w:t>1</w:t>
            </w:r>
          </w:p>
        </w:tc>
        <w:tc>
          <w:tcPr>
            <w:tcW w:w="359" w:type="pct"/>
            <w:vAlign w:val="center"/>
          </w:tcPr>
          <w:p w14:paraId="087CF283">
            <w:pPr>
              <w:jc w:val="center"/>
              <w:rPr>
                <w:rFonts w:ascii="宋体" w:hAnsi="宋体"/>
                <w:color w:val="auto"/>
              </w:rPr>
            </w:pPr>
            <w:r>
              <w:rPr>
                <w:rFonts w:ascii="宋体" w:hAnsi="宋体"/>
                <w:color w:val="auto"/>
              </w:rPr>
              <w:t>2</w:t>
            </w:r>
          </w:p>
        </w:tc>
        <w:tc>
          <w:tcPr>
            <w:tcW w:w="359" w:type="pct"/>
            <w:vAlign w:val="center"/>
          </w:tcPr>
          <w:p w14:paraId="1CB4D6EA">
            <w:pPr>
              <w:jc w:val="center"/>
              <w:rPr>
                <w:rFonts w:ascii="宋体" w:hAnsi="宋体"/>
                <w:color w:val="auto"/>
              </w:rPr>
            </w:pPr>
            <w:r>
              <w:rPr>
                <w:rFonts w:ascii="宋体" w:hAnsi="宋体"/>
                <w:color w:val="auto"/>
              </w:rPr>
              <w:t>3</w:t>
            </w:r>
          </w:p>
        </w:tc>
        <w:tc>
          <w:tcPr>
            <w:tcW w:w="359" w:type="pct"/>
            <w:gridSpan w:val="2"/>
            <w:vAlign w:val="center"/>
          </w:tcPr>
          <w:p w14:paraId="73D9F703">
            <w:pPr>
              <w:jc w:val="center"/>
              <w:rPr>
                <w:rFonts w:ascii="宋体" w:hAnsi="宋体"/>
                <w:color w:val="auto"/>
              </w:rPr>
            </w:pPr>
            <w:r>
              <w:rPr>
                <w:rFonts w:ascii="宋体" w:hAnsi="宋体"/>
                <w:color w:val="auto"/>
              </w:rPr>
              <w:t>平均值</w:t>
            </w:r>
          </w:p>
        </w:tc>
        <w:tc>
          <w:tcPr>
            <w:tcW w:w="359" w:type="pct"/>
            <w:vAlign w:val="center"/>
          </w:tcPr>
          <w:p w14:paraId="505C0DFC">
            <w:pPr>
              <w:jc w:val="center"/>
              <w:rPr>
                <w:rFonts w:ascii="宋体" w:hAnsi="宋体"/>
                <w:color w:val="auto"/>
              </w:rPr>
            </w:pPr>
            <w:r>
              <w:rPr>
                <w:rFonts w:ascii="宋体" w:hAnsi="宋体"/>
                <w:color w:val="auto"/>
              </w:rPr>
              <w:t>4</w:t>
            </w:r>
          </w:p>
        </w:tc>
        <w:tc>
          <w:tcPr>
            <w:tcW w:w="359" w:type="pct"/>
            <w:vAlign w:val="center"/>
          </w:tcPr>
          <w:p w14:paraId="7A77242E">
            <w:pPr>
              <w:jc w:val="center"/>
              <w:rPr>
                <w:rFonts w:ascii="宋体" w:hAnsi="宋体"/>
                <w:color w:val="auto"/>
              </w:rPr>
            </w:pPr>
            <w:r>
              <w:rPr>
                <w:rFonts w:ascii="宋体" w:hAnsi="宋体"/>
                <w:color w:val="auto"/>
              </w:rPr>
              <w:t>5</w:t>
            </w:r>
          </w:p>
        </w:tc>
        <w:tc>
          <w:tcPr>
            <w:tcW w:w="359" w:type="pct"/>
            <w:vAlign w:val="center"/>
          </w:tcPr>
          <w:p w14:paraId="67E9C03B">
            <w:pPr>
              <w:jc w:val="center"/>
              <w:rPr>
                <w:rFonts w:ascii="宋体" w:hAnsi="宋体"/>
                <w:color w:val="auto"/>
              </w:rPr>
            </w:pPr>
            <w:r>
              <w:rPr>
                <w:rFonts w:ascii="宋体" w:hAnsi="宋体"/>
                <w:color w:val="auto"/>
              </w:rPr>
              <w:t>6</w:t>
            </w:r>
          </w:p>
        </w:tc>
        <w:tc>
          <w:tcPr>
            <w:tcW w:w="359" w:type="pct"/>
            <w:vAlign w:val="center"/>
          </w:tcPr>
          <w:p w14:paraId="1C4DE3DE">
            <w:pPr>
              <w:jc w:val="center"/>
              <w:rPr>
                <w:rFonts w:ascii="宋体" w:hAnsi="宋体"/>
                <w:color w:val="auto"/>
              </w:rPr>
            </w:pPr>
            <w:r>
              <w:rPr>
                <w:rFonts w:ascii="宋体" w:hAnsi="宋体"/>
                <w:color w:val="auto"/>
              </w:rPr>
              <w:t>平均值</w:t>
            </w:r>
          </w:p>
        </w:tc>
        <w:tc>
          <w:tcPr>
            <w:tcW w:w="359" w:type="pct"/>
            <w:vAlign w:val="center"/>
          </w:tcPr>
          <w:p w14:paraId="0D3ABF55">
            <w:pPr>
              <w:jc w:val="center"/>
              <w:rPr>
                <w:rFonts w:ascii="宋体" w:hAnsi="宋体"/>
                <w:color w:val="auto"/>
              </w:rPr>
            </w:pPr>
            <w:r>
              <w:rPr>
                <w:rFonts w:ascii="宋体" w:hAnsi="宋体"/>
                <w:color w:val="auto"/>
              </w:rPr>
              <w:t>7</w:t>
            </w:r>
          </w:p>
        </w:tc>
        <w:tc>
          <w:tcPr>
            <w:tcW w:w="359" w:type="pct"/>
            <w:vAlign w:val="center"/>
          </w:tcPr>
          <w:p w14:paraId="1B7B33EB">
            <w:pPr>
              <w:jc w:val="center"/>
              <w:rPr>
                <w:rFonts w:ascii="宋体" w:hAnsi="宋体"/>
                <w:color w:val="auto"/>
              </w:rPr>
            </w:pPr>
            <w:r>
              <w:rPr>
                <w:rFonts w:ascii="宋体" w:hAnsi="宋体"/>
                <w:color w:val="auto"/>
              </w:rPr>
              <w:t>8</w:t>
            </w:r>
          </w:p>
        </w:tc>
        <w:tc>
          <w:tcPr>
            <w:tcW w:w="359" w:type="pct"/>
            <w:vAlign w:val="center"/>
          </w:tcPr>
          <w:p w14:paraId="61BE66A2">
            <w:pPr>
              <w:jc w:val="center"/>
              <w:rPr>
                <w:rFonts w:ascii="宋体" w:hAnsi="宋体"/>
                <w:color w:val="auto"/>
              </w:rPr>
            </w:pPr>
            <w:r>
              <w:rPr>
                <w:rFonts w:ascii="宋体" w:hAnsi="宋体"/>
                <w:color w:val="auto"/>
              </w:rPr>
              <w:t>9</w:t>
            </w:r>
          </w:p>
        </w:tc>
        <w:tc>
          <w:tcPr>
            <w:tcW w:w="359" w:type="pct"/>
            <w:vAlign w:val="center"/>
          </w:tcPr>
          <w:p w14:paraId="38F61426">
            <w:pPr>
              <w:jc w:val="center"/>
              <w:rPr>
                <w:rFonts w:ascii="宋体" w:hAnsi="宋体"/>
                <w:color w:val="auto"/>
              </w:rPr>
            </w:pPr>
            <w:r>
              <w:rPr>
                <w:rFonts w:ascii="宋体" w:hAnsi="宋体"/>
                <w:color w:val="auto"/>
              </w:rPr>
              <w:t>平均值</w:t>
            </w:r>
          </w:p>
        </w:tc>
      </w:tr>
      <w:tr w14:paraId="516B2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13566A72">
            <w:pPr>
              <w:jc w:val="center"/>
              <w:rPr>
                <w:rFonts w:ascii="宋体" w:hAnsi="宋体"/>
                <w:color w:val="auto"/>
              </w:rPr>
            </w:pPr>
            <w:r>
              <w:rPr>
                <w:rFonts w:ascii="宋体" w:hAnsi="宋体"/>
                <w:color w:val="auto"/>
              </w:rPr>
              <w:t>温度/(</w:t>
            </w:r>
            <w:r>
              <w:rPr>
                <w:rFonts w:hint="eastAsia" w:ascii="宋体" w:hAnsi="宋体"/>
                <w:color w:val="auto"/>
              </w:rPr>
              <w:t>℃</w:t>
            </w:r>
            <w:r>
              <w:rPr>
                <w:rFonts w:ascii="宋体" w:hAnsi="宋体"/>
                <w:color w:val="auto"/>
              </w:rPr>
              <w:t>)</w:t>
            </w:r>
          </w:p>
        </w:tc>
        <w:tc>
          <w:tcPr>
            <w:tcW w:w="288" w:type="pct"/>
            <w:vAlign w:val="center"/>
          </w:tcPr>
          <w:p w14:paraId="7E4D4A2E">
            <w:pPr>
              <w:jc w:val="center"/>
              <w:rPr>
                <w:rFonts w:ascii="宋体" w:hAnsi="宋体"/>
                <w:color w:val="auto"/>
              </w:rPr>
            </w:pPr>
            <w:r>
              <w:rPr>
                <w:rFonts w:ascii="宋体" w:hAnsi="宋体"/>
                <w:color w:val="auto"/>
              </w:rPr>
              <w:t>55</w:t>
            </w:r>
          </w:p>
        </w:tc>
        <w:tc>
          <w:tcPr>
            <w:tcW w:w="359" w:type="pct"/>
            <w:vAlign w:val="center"/>
          </w:tcPr>
          <w:p w14:paraId="7C2DA117">
            <w:pPr>
              <w:jc w:val="center"/>
              <w:rPr>
                <w:rFonts w:ascii="宋体" w:hAnsi="宋体"/>
                <w:color w:val="auto"/>
              </w:rPr>
            </w:pPr>
            <w:r>
              <w:rPr>
                <w:rFonts w:ascii="宋体" w:hAnsi="宋体"/>
                <w:color w:val="auto"/>
              </w:rPr>
              <w:t>55</w:t>
            </w:r>
          </w:p>
        </w:tc>
        <w:tc>
          <w:tcPr>
            <w:tcW w:w="359" w:type="pct"/>
            <w:vAlign w:val="center"/>
          </w:tcPr>
          <w:p w14:paraId="24937AC6">
            <w:pPr>
              <w:jc w:val="center"/>
              <w:rPr>
                <w:rFonts w:ascii="宋体" w:hAnsi="宋体"/>
                <w:color w:val="auto"/>
              </w:rPr>
            </w:pPr>
            <w:r>
              <w:rPr>
                <w:rFonts w:ascii="宋体" w:hAnsi="宋体"/>
                <w:color w:val="auto"/>
              </w:rPr>
              <w:t>56</w:t>
            </w:r>
          </w:p>
        </w:tc>
        <w:tc>
          <w:tcPr>
            <w:tcW w:w="359" w:type="pct"/>
            <w:gridSpan w:val="2"/>
            <w:vAlign w:val="center"/>
          </w:tcPr>
          <w:p w14:paraId="6B382E2E">
            <w:pPr>
              <w:jc w:val="center"/>
              <w:rPr>
                <w:rFonts w:ascii="宋体" w:hAnsi="宋体"/>
                <w:color w:val="auto"/>
              </w:rPr>
            </w:pPr>
            <w:r>
              <w:rPr>
                <w:rFonts w:ascii="宋体" w:hAnsi="宋体"/>
                <w:color w:val="auto"/>
              </w:rPr>
              <w:t>/</w:t>
            </w:r>
          </w:p>
        </w:tc>
        <w:tc>
          <w:tcPr>
            <w:tcW w:w="359" w:type="pct"/>
            <w:vAlign w:val="center"/>
          </w:tcPr>
          <w:p w14:paraId="15A4EC18">
            <w:pPr>
              <w:jc w:val="center"/>
              <w:rPr>
                <w:rFonts w:ascii="宋体" w:hAnsi="宋体"/>
                <w:color w:val="auto"/>
              </w:rPr>
            </w:pPr>
            <w:r>
              <w:rPr>
                <w:rFonts w:ascii="宋体" w:hAnsi="宋体"/>
                <w:color w:val="auto"/>
              </w:rPr>
              <w:t>56</w:t>
            </w:r>
          </w:p>
        </w:tc>
        <w:tc>
          <w:tcPr>
            <w:tcW w:w="359" w:type="pct"/>
            <w:vAlign w:val="center"/>
          </w:tcPr>
          <w:p w14:paraId="06873901">
            <w:pPr>
              <w:jc w:val="center"/>
              <w:rPr>
                <w:rFonts w:ascii="宋体" w:hAnsi="宋体"/>
                <w:color w:val="auto"/>
              </w:rPr>
            </w:pPr>
            <w:r>
              <w:rPr>
                <w:rFonts w:ascii="宋体" w:hAnsi="宋体"/>
                <w:color w:val="auto"/>
              </w:rPr>
              <w:t>57</w:t>
            </w:r>
          </w:p>
        </w:tc>
        <w:tc>
          <w:tcPr>
            <w:tcW w:w="359" w:type="pct"/>
            <w:vAlign w:val="center"/>
          </w:tcPr>
          <w:p w14:paraId="67D65464">
            <w:pPr>
              <w:jc w:val="center"/>
              <w:rPr>
                <w:rFonts w:ascii="宋体" w:hAnsi="宋体"/>
                <w:color w:val="auto"/>
              </w:rPr>
            </w:pPr>
            <w:r>
              <w:rPr>
                <w:rFonts w:ascii="宋体" w:hAnsi="宋体"/>
                <w:color w:val="auto"/>
              </w:rPr>
              <w:t>57</w:t>
            </w:r>
          </w:p>
        </w:tc>
        <w:tc>
          <w:tcPr>
            <w:tcW w:w="359" w:type="pct"/>
            <w:vAlign w:val="center"/>
          </w:tcPr>
          <w:p w14:paraId="5F58DA85">
            <w:pPr>
              <w:jc w:val="center"/>
              <w:rPr>
                <w:rFonts w:ascii="宋体" w:hAnsi="宋体"/>
                <w:color w:val="auto"/>
              </w:rPr>
            </w:pPr>
            <w:r>
              <w:rPr>
                <w:rFonts w:ascii="宋体" w:hAnsi="宋体"/>
                <w:color w:val="auto"/>
              </w:rPr>
              <w:t>/</w:t>
            </w:r>
          </w:p>
        </w:tc>
        <w:tc>
          <w:tcPr>
            <w:tcW w:w="359" w:type="pct"/>
            <w:vAlign w:val="center"/>
          </w:tcPr>
          <w:p w14:paraId="3D7DAD67">
            <w:pPr>
              <w:jc w:val="center"/>
              <w:rPr>
                <w:rFonts w:ascii="宋体" w:hAnsi="宋体"/>
                <w:color w:val="auto"/>
              </w:rPr>
            </w:pPr>
            <w:r>
              <w:rPr>
                <w:rFonts w:ascii="宋体" w:hAnsi="宋体"/>
                <w:color w:val="auto"/>
              </w:rPr>
              <w:t>58</w:t>
            </w:r>
          </w:p>
        </w:tc>
        <w:tc>
          <w:tcPr>
            <w:tcW w:w="359" w:type="pct"/>
            <w:vAlign w:val="center"/>
          </w:tcPr>
          <w:p w14:paraId="4B9148E9">
            <w:pPr>
              <w:jc w:val="center"/>
              <w:rPr>
                <w:rFonts w:ascii="宋体" w:hAnsi="宋体"/>
                <w:color w:val="auto"/>
              </w:rPr>
            </w:pPr>
            <w:r>
              <w:rPr>
                <w:rFonts w:ascii="宋体" w:hAnsi="宋体"/>
                <w:color w:val="auto"/>
              </w:rPr>
              <w:t>58</w:t>
            </w:r>
          </w:p>
        </w:tc>
        <w:tc>
          <w:tcPr>
            <w:tcW w:w="359" w:type="pct"/>
            <w:vAlign w:val="center"/>
          </w:tcPr>
          <w:p w14:paraId="155251E6">
            <w:pPr>
              <w:jc w:val="center"/>
              <w:rPr>
                <w:rFonts w:ascii="宋体" w:hAnsi="宋体"/>
                <w:color w:val="auto"/>
              </w:rPr>
            </w:pPr>
            <w:r>
              <w:rPr>
                <w:rFonts w:ascii="宋体" w:hAnsi="宋体"/>
                <w:color w:val="auto"/>
              </w:rPr>
              <w:t>59</w:t>
            </w:r>
          </w:p>
        </w:tc>
        <w:tc>
          <w:tcPr>
            <w:tcW w:w="359" w:type="pct"/>
            <w:vAlign w:val="center"/>
          </w:tcPr>
          <w:p w14:paraId="24688DFC">
            <w:pPr>
              <w:jc w:val="center"/>
              <w:rPr>
                <w:rFonts w:ascii="宋体" w:hAnsi="宋体"/>
                <w:color w:val="auto"/>
              </w:rPr>
            </w:pPr>
            <w:r>
              <w:rPr>
                <w:rFonts w:ascii="宋体" w:hAnsi="宋体"/>
                <w:color w:val="auto"/>
              </w:rPr>
              <w:t>/</w:t>
            </w:r>
          </w:p>
        </w:tc>
      </w:tr>
      <w:tr w14:paraId="7831F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619AEBB6">
            <w:pPr>
              <w:jc w:val="center"/>
              <w:rPr>
                <w:rFonts w:ascii="宋体" w:hAnsi="宋体"/>
                <w:color w:val="auto"/>
              </w:rPr>
            </w:pPr>
            <w:r>
              <w:rPr>
                <w:rFonts w:ascii="宋体" w:hAnsi="宋体"/>
                <w:color w:val="auto"/>
              </w:rPr>
              <w:t>湿度/(%)</w:t>
            </w:r>
          </w:p>
        </w:tc>
        <w:tc>
          <w:tcPr>
            <w:tcW w:w="288" w:type="pct"/>
            <w:vAlign w:val="center"/>
          </w:tcPr>
          <w:p w14:paraId="679F7C6A">
            <w:pPr>
              <w:jc w:val="center"/>
              <w:rPr>
                <w:rFonts w:ascii="宋体" w:hAnsi="宋体"/>
                <w:color w:val="auto"/>
              </w:rPr>
            </w:pPr>
            <w:r>
              <w:rPr>
                <w:rFonts w:ascii="宋体" w:hAnsi="宋体"/>
                <w:color w:val="auto"/>
              </w:rPr>
              <w:t>4.7</w:t>
            </w:r>
          </w:p>
        </w:tc>
        <w:tc>
          <w:tcPr>
            <w:tcW w:w="359" w:type="pct"/>
            <w:vAlign w:val="center"/>
          </w:tcPr>
          <w:p w14:paraId="2CD741BC">
            <w:pPr>
              <w:jc w:val="center"/>
              <w:rPr>
                <w:rFonts w:ascii="宋体" w:hAnsi="宋体"/>
                <w:color w:val="auto"/>
              </w:rPr>
            </w:pPr>
            <w:r>
              <w:rPr>
                <w:rFonts w:ascii="宋体" w:hAnsi="宋体"/>
                <w:color w:val="auto"/>
              </w:rPr>
              <w:t>4.6</w:t>
            </w:r>
          </w:p>
        </w:tc>
        <w:tc>
          <w:tcPr>
            <w:tcW w:w="359" w:type="pct"/>
            <w:vAlign w:val="center"/>
          </w:tcPr>
          <w:p w14:paraId="58629DB4">
            <w:pPr>
              <w:jc w:val="center"/>
              <w:rPr>
                <w:rFonts w:ascii="宋体" w:hAnsi="宋体"/>
                <w:color w:val="auto"/>
              </w:rPr>
            </w:pPr>
            <w:r>
              <w:rPr>
                <w:rFonts w:ascii="宋体" w:hAnsi="宋体"/>
                <w:color w:val="auto"/>
              </w:rPr>
              <w:t>4.6</w:t>
            </w:r>
          </w:p>
        </w:tc>
        <w:tc>
          <w:tcPr>
            <w:tcW w:w="359" w:type="pct"/>
            <w:gridSpan w:val="2"/>
            <w:vAlign w:val="center"/>
          </w:tcPr>
          <w:p w14:paraId="564A30A5">
            <w:pPr>
              <w:jc w:val="center"/>
              <w:rPr>
                <w:rFonts w:ascii="宋体" w:hAnsi="宋体"/>
                <w:color w:val="auto"/>
              </w:rPr>
            </w:pPr>
            <w:r>
              <w:rPr>
                <w:rFonts w:ascii="宋体" w:hAnsi="宋体"/>
                <w:color w:val="auto"/>
              </w:rPr>
              <w:t>/</w:t>
            </w:r>
          </w:p>
        </w:tc>
        <w:tc>
          <w:tcPr>
            <w:tcW w:w="359" w:type="pct"/>
            <w:vAlign w:val="center"/>
          </w:tcPr>
          <w:p w14:paraId="31394E69">
            <w:pPr>
              <w:jc w:val="center"/>
              <w:rPr>
                <w:rFonts w:ascii="宋体" w:hAnsi="宋体"/>
                <w:color w:val="auto"/>
              </w:rPr>
            </w:pPr>
            <w:r>
              <w:rPr>
                <w:rFonts w:ascii="宋体" w:hAnsi="宋体"/>
                <w:color w:val="auto"/>
              </w:rPr>
              <w:t>4.7</w:t>
            </w:r>
          </w:p>
        </w:tc>
        <w:tc>
          <w:tcPr>
            <w:tcW w:w="359" w:type="pct"/>
            <w:vAlign w:val="center"/>
          </w:tcPr>
          <w:p w14:paraId="646D7774">
            <w:pPr>
              <w:jc w:val="center"/>
              <w:rPr>
                <w:rFonts w:ascii="宋体" w:hAnsi="宋体"/>
                <w:color w:val="auto"/>
              </w:rPr>
            </w:pPr>
            <w:r>
              <w:rPr>
                <w:rFonts w:ascii="宋体" w:hAnsi="宋体"/>
                <w:color w:val="auto"/>
              </w:rPr>
              <w:t>4.6</w:t>
            </w:r>
          </w:p>
        </w:tc>
        <w:tc>
          <w:tcPr>
            <w:tcW w:w="359" w:type="pct"/>
            <w:vAlign w:val="center"/>
          </w:tcPr>
          <w:p w14:paraId="4A1ABAF1">
            <w:pPr>
              <w:jc w:val="center"/>
              <w:rPr>
                <w:rFonts w:ascii="宋体" w:hAnsi="宋体"/>
                <w:color w:val="auto"/>
              </w:rPr>
            </w:pPr>
            <w:r>
              <w:rPr>
                <w:rFonts w:ascii="宋体" w:hAnsi="宋体"/>
                <w:color w:val="auto"/>
              </w:rPr>
              <w:t>4.6</w:t>
            </w:r>
          </w:p>
        </w:tc>
        <w:tc>
          <w:tcPr>
            <w:tcW w:w="359" w:type="pct"/>
            <w:vAlign w:val="center"/>
          </w:tcPr>
          <w:p w14:paraId="77B4DED0">
            <w:pPr>
              <w:jc w:val="center"/>
              <w:rPr>
                <w:rFonts w:ascii="宋体" w:hAnsi="宋体"/>
                <w:color w:val="auto"/>
              </w:rPr>
            </w:pPr>
            <w:r>
              <w:rPr>
                <w:rFonts w:ascii="宋体" w:hAnsi="宋体"/>
                <w:color w:val="auto"/>
              </w:rPr>
              <w:t>/</w:t>
            </w:r>
          </w:p>
        </w:tc>
        <w:tc>
          <w:tcPr>
            <w:tcW w:w="359" w:type="pct"/>
            <w:vAlign w:val="center"/>
          </w:tcPr>
          <w:p w14:paraId="33CE7825">
            <w:pPr>
              <w:jc w:val="center"/>
              <w:rPr>
                <w:rFonts w:ascii="宋体" w:hAnsi="宋体"/>
                <w:color w:val="auto"/>
              </w:rPr>
            </w:pPr>
            <w:r>
              <w:rPr>
                <w:rFonts w:ascii="宋体" w:hAnsi="宋体"/>
                <w:color w:val="auto"/>
              </w:rPr>
              <w:t>4.5</w:t>
            </w:r>
          </w:p>
        </w:tc>
        <w:tc>
          <w:tcPr>
            <w:tcW w:w="359" w:type="pct"/>
            <w:vAlign w:val="center"/>
          </w:tcPr>
          <w:p w14:paraId="11E51348">
            <w:pPr>
              <w:jc w:val="center"/>
              <w:rPr>
                <w:rFonts w:ascii="宋体" w:hAnsi="宋体"/>
                <w:color w:val="auto"/>
              </w:rPr>
            </w:pPr>
            <w:r>
              <w:rPr>
                <w:rFonts w:ascii="宋体" w:hAnsi="宋体"/>
                <w:color w:val="auto"/>
              </w:rPr>
              <w:t>4.6</w:t>
            </w:r>
          </w:p>
        </w:tc>
        <w:tc>
          <w:tcPr>
            <w:tcW w:w="359" w:type="pct"/>
            <w:vAlign w:val="center"/>
          </w:tcPr>
          <w:p w14:paraId="789E8278">
            <w:pPr>
              <w:jc w:val="center"/>
              <w:rPr>
                <w:rFonts w:ascii="宋体" w:hAnsi="宋体"/>
                <w:color w:val="auto"/>
              </w:rPr>
            </w:pPr>
            <w:r>
              <w:rPr>
                <w:rFonts w:ascii="宋体" w:hAnsi="宋体"/>
                <w:color w:val="auto"/>
              </w:rPr>
              <w:t>4.5</w:t>
            </w:r>
          </w:p>
        </w:tc>
        <w:tc>
          <w:tcPr>
            <w:tcW w:w="359" w:type="pct"/>
            <w:vAlign w:val="center"/>
          </w:tcPr>
          <w:p w14:paraId="380DC43A">
            <w:pPr>
              <w:jc w:val="center"/>
              <w:rPr>
                <w:rFonts w:ascii="宋体" w:hAnsi="宋体"/>
                <w:color w:val="auto"/>
              </w:rPr>
            </w:pPr>
            <w:r>
              <w:rPr>
                <w:rFonts w:ascii="宋体" w:hAnsi="宋体"/>
                <w:color w:val="auto"/>
              </w:rPr>
              <w:t>/</w:t>
            </w:r>
          </w:p>
        </w:tc>
      </w:tr>
      <w:tr w14:paraId="37330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66EBA508">
            <w:pPr>
              <w:jc w:val="center"/>
              <w:rPr>
                <w:rFonts w:ascii="宋体" w:hAnsi="宋体"/>
                <w:color w:val="auto"/>
              </w:rPr>
            </w:pPr>
            <w:r>
              <w:rPr>
                <w:rFonts w:ascii="宋体" w:hAnsi="宋体"/>
                <w:color w:val="auto"/>
              </w:rPr>
              <w:t>流速/(m/s)</w:t>
            </w:r>
          </w:p>
        </w:tc>
        <w:tc>
          <w:tcPr>
            <w:tcW w:w="288" w:type="pct"/>
            <w:vAlign w:val="center"/>
          </w:tcPr>
          <w:p w14:paraId="26D28D42">
            <w:pPr>
              <w:jc w:val="center"/>
              <w:rPr>
                <w:rFonts w:ascii="宋体" w:hAnsi="宋体"/>
                <w:color w:val="auto"/>
              </w:rPr>
            </w:pPr>
            <w:r>
              <w:rPr>
                <w:rFonts w:ascii="宋体" w:hAnsi="宋体"/>
                <w:color w:val="auto"/>
              </w:rPr>
              <w:t>5.7</w:t>
            </w:r>
          </w:p>
        </w:tc>
        <w:tc>
          <w:tcPr>
            <w:tcW w:w="359" w:type="pct"/>
            <w:vAlign w:val="center"/>
          </w:tcPr>
          <w:p w14:paraId="721D510C">
            <w:pPr>
              <w:jc w:val="center"/>
              <w:rPr>
                <w:rFonts w:ascii="宋体" w:hAnsi="宋体"/>
                <w:color w:val="auto"/>
              </w:rPr>
            </w:pPr>
            <w:r>
              <w:rPr>
                <w:rFonts w:ascii="宋体" w:hAnsi="宋体"/>
                <w:color w:val="auto"/>
              </w:rPr>
              <w:t>5.8</w:t>
            </w:r>
          </w:p>
        </w:tc>
        <w:tc>
          <w:tcPr>
            <w:tcW w:w="359" w:type="pct"/>
            <w:vAlign w:val="center"/>
          </w:tcPr>
          <w:p w14:paraId="57F1B7B8">
            <w:pPr>
              <w:jc w:val="center"/>
              <w:rPr>
                <w:rFonts w:ascii="宋体" w:hAnsi="宋体"/>
                <w:color w:val="auto"/>
              </w:rPr>
            </w:pPr>
            <w:r>
              <w:rPr>
                <w:rFonts w:ascii="宋体" w:hAnsi="宋体"/>
                <w:color w:val="auto"/>
              </w:rPr>
              <w:t>5.7</w:t>
            </w:r>
          </w:p>
        </w:tc>
        <w:tc>
          <w:tcPr>
            <w:tcW w:w="359" w:type="pct"/>
            <w:gridSpan w:val="2"/>
            <w:vAlign w:val="center"/>
          </w:tcPr>
          <w:p w14:paraId="21D8D3AC">
            <w:pPr>
              <w:jc w:val="center"/>
              <w:rPr>
                <w:rFonts w:ascii="宋体" w:hAnsi="宋体"/>
                <w:color w:val="auto"/>
              </w:rPr>
            </w:pPr>
            <w:r>
              <w:rPr>
                <w:rFonts w:ascii="宋体" w:hAnsi="宋体"/>
                <w:color w:val="auto"/>
              </w:rPr>
              <w:t>/</w:t>
            </w:r>
          </w:p>
        </w:tc>
        <w:tc>
          <w:tcPr>
            <w:tcW w:w="359" w:type="pct"/>
            <w:vAlign w:val="center"/>
          </w:tcPr>
          <w:p w14:paraId="07CD1013">
            <w:pPr>
              <w:jc w:val="center"/>
              <w:rPr>
                <w:rFonts w:ascii="宋体" w:hAnsi="宋体"/>
                <w:color w:val="auto"/>
              </w:rPr>
            </w:pPr>
            <w:r>
              <w:rPr>
                <w:rFonts w:ascii="宋体" w:hAnsi="宋体"/>
                <w:color w:val="auto"/>
              </w:rPr>
              <w:t>5.7</w:t>
            </w:r>
          </w:p>
        </w:tc>
        <w:tc>
          <w:tcPr>
            <w:tcW w:w="359" w:type="pct"/>
            <w:vAlign w:val="center"/>
          </w:tcPr>
          <w:p w14:paraId="1D684F48">
            <w:pPr>
              <w:jc w:val="center"/>
              <w:rPr>
                <w:rFonts w:ascii="宋体" w:hAnsi="宋体"/>
                <w:color w:val="auto"/>
              </w:rPr>
            </w:pPr>
            <w:r>
              <w:rPr>
                <w:rFonts w:ascii="宋体" w:hAnsi="宋体"/>
                <w:color w:val="auto"/>
              </w:rPr>
              <w:t>5.7</w:t>
            </w:r>
          </w:p>
        </w:tc>
        <w:tc>
          <w:tcPr>
            <w:tcW w:w="359" w:type="pct"/>
            <w:vAlign w:val="center"/>
          </w:tcPr>
          <w:p w14:paraId="4F217445">
            <w:pPr>
              <w:jc w:val="center"/>
              <w:rPr>
                <w:rFonts w:ascii="宋体" w:hAnsi="宋体"/>
                <w:color w:val="auto"/>
              </w:rPr>
            </w:pPr>
            <w:r>
              <w:rPr>
                <w:rFonts w:ascii="宋体" w:hAnsi="宋体"/>
                <w:color w:val="auto"/>
              </w:rPr>
              <w:t>5.8</w:t>
            </w:r>
          </w:p>
        </w:tc>
        <w:tc>
          <w:tcPr>
            <w:tcW w:w="359" w:type="pct"/>
            <w:vAlign w:val="center"/>
          </w:tcPr>
          <w:p w14:paraId="03EB8AAC">
            <w:pPr>
              <w:jc w:val="center"/>
              <w:rPr>
                <w:rFonts w:ascii="宋体" w:hAnsi="宋体"/>
                <w:color w:val="auto"/>
              </w:rPr>
            </w:pPr>
            <w:r>
              <w:rPr>
                <w:rFonts w:ascii="宋体" w:hAnsi="宋体"/>
                <w:color w:val="auto"/>
              </w:rPr>
              <w:t>/</w:t>
            </w:r>
          </w:p>
        </w:tc>
        <w:tc>
          <w:tcPr>
            <w:tcW w:w="359" w:type="pct"/>
            <w:vAlign w:val="center"/>
          </w:tcPr>
          <w:p w14:paraId="12BB8E34">
            <w:pPr>
              <w:jc w:val="center"/>
              <w:rPr>
                <w:rFonts w:ascii="宋体" w:hAnsi="宋体"/>
                <w:color w:val="auto"/>
              </w:rPr>
            </w:pPr>
            <w:r>
              <w:rPr>
                <w:rFonts w:ascii="宋体" w:hAnsi="宋体"/>
                <w:color w:val="auto"/>
              </w:rPr>
              <w:t>6.0</w:t>
            </w:r>
          </w:p>
        </w:tc>
        <w:tc>
          <w:tcPr>
            <w:tcW w:w="359" w:type="pct"/>
            <w:vAlign w:val="center"/>
          </w:tcPr>
          <w:p w14:paraId="318B8EF0">
            <w:pPr>
              <w:jc w:val="center"/>
              <w:rPr>
                <w:rFonts w:ascii="宋体" w:hAnsi="宋体"/>
                <w:color w:val="auto"/>
              </w:rPr>
            </w:pPr>
            <w:r>
              <w:rPr>
                <w:rFonts w:ascii="宋体" w:hAnsi="宋体"/>
                <w:color w:val="auto"/>
              </w:rPr>
              <w:t>5.8</w:t>
            </w:r>
          </w:p>
        </w:tc>
        <w:tc>
          <w:tcPr>
            <w:tcW w:w="359" w:type="pct"/>
            <w:vAlign w:val="center"/>
          </w:tcPr>
          <w:p w14:paraId="37993663">
            <w:pPr>
              <w:jc w:val="center"/>
              <w:rPr>
                <w:rFonts w:ascii="宋体" w:hAnsi="宋体"/>
                <w:color w:val="auto"/>
              </w:rPr>
            </w:pPr>
            <w:r>
              <w:rPr>
                <w:rFonts w:ascii="宋体" w:hAnsi="宋体"/>
                <w:color w:val="auto"/>
              </w:rPr>
              <w:t>5.7</w:t>
            </w:r>
          </w:p>
        </w:tc>
        <w:tc>
          <w:tcPr>
            <w:tcW w:w="359" w:type="pct"/>
            <w:vAlign w:val="center"/>
          </w:tcPr>
          <w:p w14:paraId="1D332BA5">
            <w:pPr>
              <w:jc w:val="center"/>
              <w:rPr>
                <w:rFonts w:ascii="宋体" w:hAnsi="宋体"/>
                <w:color w:val="auto"/>
              </w:rPr>
            </w:pPr>
            <w:r>
              <w:rPr>
                <w:rFonts w:ascii="宋体" w:hAnsi="宋体"/>
                <w:color w:val="auto"/>
              </w:rPr>
              <w:t>/</w:t>
            </w:r>
          </w:p>
        </w:tc>
      </w:tr>
      <w:tr w14:paraId="48F45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792D2269">
            <w:pPr>
              <w:jc w:val="center"/>
              <w:rPr>
                <w:rFonts w:ascii="宋体" w:hAnsi="宋体"/>
                <w:color w:val="auto"/>
              </w:rPr>
            </w:pPr>
            <w:r>
              <w:rPr>
                <w:rFonts w:ascii="宋体" w:hAnsi="宋体"/>
                <w:color w:val="auto"/>
              </w:rPr>
              <w:t>含氧量/(%)</w:t>
            </w:r>
          </w:p>
        </w:tc>
        <w:tc>
          <w:tcPr>
            <w:tcW w:w="288" w:type="pct"/>
            <w:vAlign w:val="center"/>
          </w:tcPr>
          <w:p w14:paraId="43323CEC">
            <w:pPr>
              <w:jc w:val="center"/>
              <w:rPr>
                <w:rFonts w:ascii="宋体" w:hAnsi="宋体"/>
                <w:color w:val="auto"/>
              </w:rPr>
            </w:pPr>
            <w:r>
              <w:rPr>
                <w:rFonts w:ascii="宋体" w:hAnsi="宋体"/>
                <w:color w:val="auto"/>
              </w:rPr>
              <w:t>4.8</w:t>
            </w:r>
          </w:p>
        </w:tc>
        <w:tc>
          <w:tcPr>
            <w:tcW w:w="359" w:type="pct"/>
            <w:vAlign w:val="center"/>
          </w:tcPr>
          <w:p w14:paraId="3D93B53D">
            <w:pPr>
              <w:jc w:val="center"/>
              <w:rPr>
                <w:rFonts w:ascii="宋体" w:hAnsi="宋体"/>
                <w:color w:val="auto"/>
              </w:rPr>
            </w:pPr>
            <w:r>
              <w:rPr>
                <w:rFonts w:ascii="宋体" w:hAnsi="宋体"/>
                <w:color w:val="auto"/>
              </w:rPr>
              <w:t>4.7</w:t>
            </w:r>
          </w:p>
        </w:tc>
        <w:tc>
          <w:tcPr>
            <w:tcW w:w="359" w:type="pct"/>
            <w:vAlign w:val="center"/>
          </w:tcPr>
          <w:p w14:paraId="7680B5BA">
            <w:pPr>
              <w:jc w:val="center"/>
              <w:rPr>
                <w:rFonts w:ascii="宋体" w:hAnsi="宋体"/>
                <w:color w:val="auto"/>
              </w:rPr>
            </w:pPr>
            <w:r>
              <w:rPr>
                <w:rFonts w:ascii="宋体" w:hAnsi="宋体"/>
                <w:color w:val="auto"/>
              </w:rPr>
              <w:t>4.7</w:t>
            </w:r>
          </w:p>
        </w:tc>
        <w:tc>
          <w:tcPr>
            <w:tcW w:w="359" w:type="pct"/>
            <w:gridSpan w:val="2"/>
            <w:vAlign w:val="center"/>
          </w:tcPr>
          <w:p w14:paraId="6AB1C43C">
            <w:pPr>
              <w:jc w:val="center"/>
              <w:rPr>
                <w:rFonts w:ascii="宋体" w:hAnsi="宋体"/>
                <w:color w:val="auto"/>
              </w:rPr>
            </w:pPr>
            <w:r>
              <w:rPr>
                <w:rFonts w:ascii="宋体" w:hAnsi="宋体"/>
                <w:color w:val="auto"/>
              </w:rPr>
              <w:t>/</w:t>
            </w:r>
          </w:p>
        </w:tc>
        <w:tc>
          <w:tcPr>
            <w:tcW w:w="359" w:type="pct"/>
            <w:vAlign w:val="center"/>
          </w:tcPr>
          <w:p w14:paraId="23439CA6">
            <w:pPr>
              <w:jc w:val="center"/>
              <w:rPr>
                <w:rFonts w:ascii="宋体" w:hAnsi="宋体"/>
                <w:color w:val="auto"/>
              </w:rPr>
            </w:pPr>
            <w:r>
              <w:rPr>
                <w:rFonts w:ascii="宋体" w:hAnsi="宋体"/>
                <w:color w:val="auto"/>
              </w:rPr>
              <w:t>4.6</w:t>
            </w:r>
          </w:p>
        </w:tc>
        <w:tc>
          <w:tcPr>
            <w:tcW w:w="359" w:type="pct"/>
            <w:vAlign w:val="center"/>
          </w:tcPr>
          <w:p w14:paraId="301A2D01">
            <w:pPr>
              <w:jc w:val="center"/>
              <w:rPr>
                <w:rFonts w:ascii="宋体" w:hAnsi="宋体"/>
                <w:color w:val="auto"/>
              </w:rPr>
            </w:pPr>
            <w:r>
              <w:rPr>
                <w:rFonts w:ascii="宋体" w:hAnsi="宋体"/>
                <w:color w:val="auto"/>
              </w:rPr>
              <w:t>4.8</w:t>
            </w:r>
          </w:p>
        </w:tc>
        <w:tc>
          <w:tcPr>
            <w:tcW w:w="359" w:type="pct"/>
            <w:vAlign w:val="center"/>
          </w:tcPr>
          <w:p w14:paraId="0208BFBE">
            <w:pPr>
              <w:jc w:val="center"/>
              <w:rPr>
                <w:rFonts w:ascii="宋体" w:hAnsi="宋体"/>
                <w:color w:val="auto"/>
              </w:rPr>
            </w:pPr>
            <w:r>
              <w:rPr>
                <w:rFonts w:ascii="宋体" w:hAnsi="宋体"/>
                <w:color w:val="auto"/>
              </w:rPr>
              <w:t>4.5</w:t>
            </w:r>
          </w:p>
        </w:tc>
        <w:tc>
          <w:tcPr>
            <w:tcW w:w="359" w:type="pct"/>
            <w:vAlign w:val="center"/>
          </w:tcPr>
          <w:p w14:paraId="6C843D72">
            <w:pPr>
              <w:jc w:val="center"/>
              <w:rPr>
                <w:rFonts w:ascii="宋体" w:hAnsi="宋体"/>
                <w:color w:val="auto"/>
              </w:rPr>
            </w:pPr>
            <w:r>
              <w:rPr>
                <w:rFonts w:ascii="宋体" w:hAnsi="宋体"/>
                <w:color w:val="auto"/>
              </w:rPr>
              <w:t>/</w:t>
            </w:r>
          </w:p>
        </w:tc>
        <w:tc>
          <w:tcPr>
            <w:tcW w:w="359" w:type="pct"/>
            <w:vAlign w:val="center"/>
          </w:tcPr>
          <w:p w14:paraId="3463595D">
            <w:pPr>
              <w:jc w:val="center"/>
              <w:rPr>
                <w:rFonts w:ascii="宋体" w:hAnsi="宋体"/>
                <w:color w:val="auto"/>
              </w:rPr>
            </w:pPr>
            <w:r>
              <w:rPr>
                <w:rFonts w:ascii="宋体" w:hAnsi="宋体"/>
                <w:color w:val="auto"/>
              </w:rPr>
              <w:t>4.8</w:t>
            </w:r>
          </w:p>
        </w:tc>
        <w:tc>
          <w:tcPr>
            <w:tcW w:w="359" w:type="pct"/>
            <w:vAlign w:val="center"/>
          </w:tcPr>
          <w:p w14:paraId="5AAF53A0">
            <w:pPr>
              <w:jc w:val="center"/>
              <w:rPr>
                <w:rFonts w:ascii="宋体" w:hAnsi="宋体"/>
                <w:color w:val="auto"/>
              </w:rPr>
            </w:pPr>
            <w:r>
              <w:rPr>
                <w:rFonts w:ascii="宋体" w:hAnsi="宋体"/>
                <w:color w:val="auto"/>
              </w:rPr>
              <w:t>4.8</w:t>
            </w:r>
          </w:p>
        </w:tc>
        <w:tc>
          <w:tcPr>
            <w:tcW w:w="359" w:type="pct"/>
            <w:vAlign w:val="center"/>
          </w:tcPr>
          <w:p w14:paraId="6998FF81">
            <w:pPr>
              <w:jc w:val="center"/>
              <w:rPr>
                <w:rFonts w:ascii="宋体" w:hAnsi="宋体"/>
                <w:color w:val="auto"/>
              </w:rPr>
            </w:pPr>
            <w:r>
              <w:rPr>
                <w:rFonts w:ascii="宋体" w:hAnsi="宋体"/>
                <w:color w:val="auto"/>
              </w:rPr>
              <w:t>4.7</w:t>
            </w:r>
          </w:p>
        </w:tc>
        <w:tc>
          <w:tcPr>
            <w:tcW w:w="359" w:type="pct"/>
            <w:vAlign w:val="center"/>
          </w:tcPr>
          <w:p w14:paraId="0536312E">
            <w:pPr>
              <w:jc w:val="center"/>
              <w:rPr>
                <w:rFonts w:ascii="宋体" w:hAnsi="宋体"/>
                <w:color w:val="auto"/>
              </w:rPr>
            </w:pPr>
            <w:r>
              <w:rPr>
                <w:rFonts w:ascii="宋体" w:hAnsi="宋体"/>
                <w:color w:val="auto"/>
              </w:rPr>
              <w:t>/</w:t>
            </w:r>
          </w:p>
        </w:tc>
      </w:tr>
      <w:tr w14:paraId="2D69E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2384B792">
            <w:pPr>
              <w:jc w:val="center"/>
              <w:rPr>
                <w:rFonts w:ascii="宋体" w:hAnsi="宋体"/>
                <w:color w:val="auto"/>
              </w:rPr>
            </w:pPr>
            <w:r>
              <w:rPr>
                <w:rFonts w:ascii="宋体" w:hAnsi="宋体"/>
                <w:color w:val="auto"/>
              </w:rPr>
              <w:t>标干废气量/（Nm</w:t>
            </w:r>
            <w:r>
              <w:rPr>
                <w:rFonts w:ascii="宋体" w:hAnsi="宋体"/>
                <w:color w:val="auto"/>
                <w:vertAlign w:val="superscript"/>
              </w:rPr>
              <w:t>3</w:t>
            </w:r>
            <w:r>
              <w:rPr>
                <w:rFonts w:ascii="宋体" w:hAnsi="宋体"/>
                <w:color w:val="auto"/>
              </w:rPr>
              <w:t>/h）</w:t>
            </w:r>
          </w:p>
        </w:tc>
        <w:tc>
          <w:tcPr>
            <w:tcW w:w="288" w:type="pct"/>
            <w:vAlign w:val="center"/>
          </w:tcPr>
          <w:p w14:paraId="215FF15B">
            <w:pPr>
              <w:jc w:val="center"/>
              <w:rPr>
                <w:rFonts w:ascii="宋体" w:hAnsi="宋体"/>
                <w:color w:val="auto"/>
              </w:rPr>
            </w:pPr>
            <w:r>
              <w:rPr>
                <w:rFonts w:ascii="宋体" w:hAnsi="宋体"/>
                <w:color w:val="auto"/>
              </w:rPr>
              <w:t>286</w:t>
            </w:r>
          </w:p>
        </w:tc>
        <w:tc>
          <w:tcPr>
            <w:tcW w:w="359" w:type="pct"/>
            <w:vAlign w:val="center"/>
          </w:tcPr>
          <w:p w14:paraId="60F18E35">
            <w:pPr>
              <w:jc w:val="center"/>
              <w:rPr>
                <w:rFonts w:ascii="宋体" w:hAnsi="宋体"/>
                <w:color w:val="auto"/>
              </w:rPr>
            </w:pPr>
            <w:r>
              <w:rPr>
                <w:rFonts w:ascii="宋体" w:hAnsi="宋体"/>
                <w:color w:val="auto"/>
              </w:rPr>
              <w:t>292</w:t>
            </w:r>
          </w:p>
        </w:tc>
        <w:tc>
          <w:tcPr>
            <w:tcW w:w="359" w:type="pct"/>
            <w:vAlign w:val="center"/>
          </w:tcPr>
          <w:p w14:paraId="14E69636">
            <w:pPr>
              <w:jc w:val="center"/>
              <w:rPr>
                <w:rFonts w:ascii="宋体" w:hAnsi="宋体"/>
                <w:color w:val="auto"/>
              </w:rPr>
            </w:pPr>
            <w:r>
              <w:rPr>
                <w:rFonts w:ascii="宋体" w:hAnsi="宋体"/>
                <w:color w:val="auto"/>
              </w:rPr>
              <w:t>286</w:t>
            </w:r>
          </w:p>
        </w:tc>
        <w:tc>
          <w:tcPr>
            <w:tcW w:w="359" w:type="pct"/>
            <w:gridSpan w:val="2"/>
            <w:vAlign w:val="center"/>
          </w:tcPr>
          <w:p w14:paraId="7B327C80">
            <w:pPr>
              <w:jc w:val="center"/>
              <w:rPr>
                <w:rFonts w:ascii="宋体" w:hAnsi="宋体"/>
                <w:color w:val="auto"/>
              </w:rPr>
            </w:pPr>
            <w:r>
              <w:rPr>
                <w:rFonts w:ascii="宋体" w:hAnsi="宋体"/>
                <w:color w:val="auto"/>
              </w:rPr>
              <w:t>/</w:t>
            </w:r>
          </w:p>
        </w:tc>
        <w:tc>
          <w:tcPr>
            <w:tcW w:w="359" w:type="pct"/>
            <w:vAlign w:val="center"/>
          </w:tcPr>
          <w:p w14:paraId="3F0A1AA6">
            <w:pPr>
              <w:jc w:val="center"/>
              <w:rPr>
                <w:rFonts w:ascii="宋体" w:hAnsi="宋体"/>
                <w:color w:val="auto"/>
              </w:rPr>
            </w:pPr>
            <w:r>
              <w:rPr>
                <w:rFonts w:ascii="宋体" w:hAnsi="宋体"/>
                <w:color w:val="auto"/>
              </w:rPr>
              <w:t>285</w:t>
            </w:r>
          </w:p>
        </w:tc>
        <w:tc>
          <w:tcPr>
            <w:tcW w:w="359" w:type="pct"/>
            <w:vAlign w:val="center"/>
          </w:tcPr>
          <w:p w14:paraId="013221F6">
            <w:pPr>
              <w:jc w:val="center"/>
              <w:rPr>
                <w:rFonts w:ascii="宋体" w:hAnsi="宋体"/>
                <w:color w:val="auto"/>
              </w:rPr>
            </w:pPr>
            <w:r>
              <w:rPr>
                <w:rFonts w:ascii="宋体" w:hAnsi="宋体"/>
                <w:color w:val="auto"/>
              </w:rPr>
              <w:t>285</w:t>
            </w:r>
          </w:p>
        </w:tc>
        <w:tc>
          <w:tcPr>
            <w:tcW w:w="359" w:type="pct"/>
            <w:vAlign w:val="center"/>
          </w:tcPr>
          <w:p w14:paraId="3C625614">
            <w:pPr>
              <w:jc w:val="center"/>
              <w:rPr>
                <w:rFonts w:ascii="宋体" w:hAnsi="宋体"/>
                <w:color w:val="auto"/>
              </w:rPr>
            </w:pPr>
            <w:r>
              <w:rPr>
                <w:rFonts w:ascii="宋体" w:hAnsi="宋体"/>
                <w:color w:val="auto"/>
              </w:rPr>
              <w:t>290</w:t>
            </w:r>
          </w:p>
        </w:tc>
        <w:tc>
          <w:tcPr>
            <w:tcW w:w="359" w:type="pct"/>
            <w:vAlign w:val="center"/>
          </w:tcPr>
          <w:p w14:paraId="04CD48C4">
            <w:pPr>
              <w:jc w:val="center"/>
              <w:rPr>
                <w:rFonts w:ascii="宋体" w:hAnsi="宋体"/>
                <w:color w:val="auto"/>
              </w:rPr>
            </w:pPr>
            <w:r>
              <w:rPr>
                <w:rFonts w:ascii="宋体" w:hAnsi="宋体"/>
                <w:color w:val="auto"/>
              </w:rPr>
              <w:t>/</w:t>
            </w:r>
          </w:p>
        </w:tc>
        <w:tc>
          <w:tcPr>
            <w:tcW w:w="359" w:type="pct"/>
            <w:vAlign w:val="center"/>
          </w:tcPr>
          <w:p w14:paraId="77115FBF">
            <w:pPr>
              <w:jc w:val="center"/>
              <w:rPr>
                <w:rFonts w:ascii="宋体" w:hAnsi="宋体"/>
                <w:color w:val="auto"/>
              </w:rPr>
            </w:pPr>
            <w:r>
              <w:rPr>
                <w:rFonts w:ascii="宋体" w:hAnsi="宋体"/>
                <w:color w:val="auto"/>
              </w:rPr>
              <w:t>296</w:t>
            </w:r>
          </w:p>
        </w:tc>
        <w:tc>
          <w:tcPr>
            <w:tcW w:w="359" w:type="pct"/>
            <w:vAlign w:val="center"/>
          </w:tcPr>
          <w:p w14:paraId="51AEA069">
            <w:pPr>
              <w:jc w:val="center"/>
              <w:rPr>
                <w:rFonts w:ascii="宋体" w:hAnsi="宋体"/>
                <w:color w:val="auto"/>
              </w:rPr>
            </w:pPr>
            <w:r>
              <w:rPr>
                <w:rFonts w:ascii="宋体" w:hAnsi="宋体"/>
                <w:color w:val="auto"/>
              </w:rPr>
              <w:t>290</w:t>
            </w:r>
          </w:p>
        </w:tc>
        <w:tc>
          <w:tcPr>
            <w:tcW w:w="359" w:type="pct"/>
            <w:vAlign w:val="center"/>
          </w:tcPr>
          <w:p w14:paraId="3508E6CF">
            <w:pPr>
              <w:jc w:val="center"/>
              <w:rPr>
                <w:rFonts w:ascii="宋体" w:hAnsi="宋体"/>
                <w:color w:val="auto"/>
              </w:rPr>
            </w:pPr>
            <w:r>
              <w:rPr>
                <w:rFonts w:ascii="宋体" w:hAnsi="宋体"/>
                <w:color w:val="auto"/>
              </w:rPr>
              <w:t>284</w:t>
            </w:r>
          </w:p>
        </w:tc>
        <w:tc>
          <w:tcPr>
            <w:tcW w:w="359" w:type="pct"/>
            <w:vAlign w:val="center"/>
          </w:tcPr>
          <w:p w14:paraId="611E79DB">
            <w:pPr>
              <w:jc w:val="center"/>
              <w:rPr>
                <w:rFonts w:ascii="宋体" w:hAnsi="宋体"/>
                <w:color w:val="auto"/>
              </w:rPr>
            </w:pPr>
            <w:r>
              <w:rPr>
                <w:rFonts w:ascii="宋体" w:hAnsi="宋体"/>
                <w:color w:val="auto"/>
              </w:rPr>
              <w:t>/</w:t>
            </w:r>
          </w:p>
        </w:tc>
      </w:tr>
      <w:tr w14:paraId="30964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Merge w:val="restart"/>
            <w:vAlign w:val="center"/>
          </w:tcPr>
          <w:p w14:paraId="66190614">
            <w:pPr>
              <w:jc w:val="center"/>
              <w:rPr>
                <w:rFonts w:ascii="宋体" w:hAnsi="宋体"/>
                <w:color w:val="auto"/>
              </w:rPr>
            </w:pPr>
            <w:r>
              <w:rPr>
                <w:rFonts w:ascii="宋体" w:hAnsi="宋体"/>
                <w:color w:val="auto"/>
              </w:rPr>
              <w:t>颗粒物</w:t>
            </w:r>
          </w:p>
        </w:tc>
        <w:tc>
          <w:tcPr>
            <w:tcW w:w="469" w:type="pct"/>
            <w:vAlign w:val="center"/>
          </w:tcPr>
          <w:p w14:paraId="4E55DAAF">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288" w:type="pct"/>
            <w:vAlign w:val="center"/>
          </w:tcPr>
          <w:p w14:paraId="4B50B8D4">
            <w:pPr>
              <w:jc w:val="center"/>
              <w:rPr>
                <w:rFonts w:ascii="宋体" w:hAnsi="宋体"/>
                <w:color w:val="auto"/>
              </w:rPr>
            </w:pPr>
            <w:r>
              <w:rPr>
                <w:rFonts w:ascii="宋体" w:hAnsi="宋体"/>
                <w:color w:val="auto"/>
              </w:rPr>
              <w:t>4.2</w:t>
            </w:r>
          </w:p>
        </w:tc>
        <w:tc>
          <w:tcPr>
            <w:tcW w:w="359" w:type="pct"/>
            <w:vAlign w:val="center"/>
          </w:tcPr>
          <w:p w14:paraId="16A3459D">
            <w:pPr>
              <w:jc w:val="center"/>
              <w:rPr>
                <w:rFonts w:ascii="宋体" w:hAnsi="宋体"/>
                <w:color w:val="auto"/>
              </w:rPr>
            </w:pPr>
            <w:r>
              <w:rPr>
                <w:rFonts w:ascii="宋体" w:hAnsi="宋体"/>
                <w:color w:val="auto"/>
              </w:rPr>
              <w:t>4.3</w:t>
            </w:r>
          </w:p>
        </w:tc>
        <w:tc>
          <w:tcPr>
            <w:tcW w:w="359" w:type="pct"/>
            <w:vAlign w:val="center"/>
          </w:tcPr>
          <w:p w14:paraId="625C6E1A">
            <w:pPr>
              <w:jc w:val="center"/>
              <w:rPr>
                <w:rFonts w:ascii="宋体" w:hAnsi="宋体"/>
                <w:color w:val="auto"/>
              </w:rPr>
            </w:pPr>
            <w:r>
              <w:rPr>
                <w:rFonts w:ascii="宋体" w:hAnsi="宋体"/>
                <w:color w:val="auto"/>
              </w:rPr>
              <w:t>2.3</w:t>
            </w:r>
          </w:p>
        </w:tc>
        <w:tc>
          <w:tcPr>
            <w:tcW w:w="359" w:type="pct"/>
            <w:gridSpan w:val="2"/>
            <w:vAlign w:val="center"/>
          </w:tcPr>
          <w:p w14:paraId="0F5BA442">
            <w:pPr>
              <w:jc w:val="center"/>
              <w:rPr>
                <w:rFonts w:ascii="宋体" w:hAnsi="宋体"/>
                <w:bCs/>
                <w:color w:val="auto"/>
              </w:rPr>
            </w:pPr>
            <w:r>
              <w:rPr>
                <w:rFonts w:ascii="宋体" w:hAnsi="宋体"/>
                <w:bCs/>
                <w:color w:val="auto"/>
              </w:rPr>
              <w:t>3.6</w:t>
            </w:r>
          </w:p>
        </w:tc>
        <w:tc>
          <w:tcPr>
            <w:tcW w:w="359" w:type="pct"/>
            <w:vAlign w:val="center"/>
          </w:tcPr>
          <w:p w14:paraId="66D8ACA3">
            <w:pPr>
              <w:jc w:val="center"/>
              <w:rPr>
                <w:rFonts w:ascii="宋体" w:hAnsi="宋体"/>
                <w:color w:val="auto"/>
              </w:rPr>
            </w:pPr>
            <w:r>
              <w:rPr>
                <w:rFonts w:ascii="宋体" w:hAnsi="宋体"/>
                <w:color w:val="auto"/>
              </w:rPr>
              <w:t>3.8</w:t>
            </w:r>
          </w:p>
        </w:tc>
        <w:tc>
          <w:tcPr>
            <w:tcW w:w="359" w:type="pct"/>
            <w:vAlign w:val="center"/>
          </w:tcPr>
          <w:p w14:paraId="47B2DA24">
            <w:pPr>
              <w:jc w:val="center"/>
              <w:rPr>
                <w:rFonts w:ascii="宋体" w:hAnsi="宋体"/>
                <w:color w:val="auto"/>
              </w:rPr>
            </w:pPr>
            <w:r>
              <w:rPr>
                <w:rFonts w:ascii="宋体" w:hAnsi="宋体"/>
                <w:color w:val="auto"/>
              </w:rPr>
              <w:t>4.3</w:t>
            </w:r>
          </w:p>
        </w:tc>
        <w:tc>
          <w:tcPr>
            <w:tcW w:w="359" w:type="pct"/>
            <w:vAlign w:val="center"/>
          </w:tcPr>
          <w:p w14:paraId="2CB7237A">
            <w:pPr>
              <w:jc w:val="center"/>
              <w:rPr>
                <w:rFonts w:ascii="宋体" w:hAnsi="宋体"/>
                <w:color w:val="auto"/>
              </w:rPr>
            </w:pPr>
            <w:r>
              <w:rPr>
                <w:rFonts w:ascii="宋体" w:hAnsi="宋体"/>
                <w:color w:val="auto"/>
              </w:rPr>
              <w:t>3.6</w:t>
            </w:r>
          </w:p>
        </w:tc>
        <w:tc>
          <w:tcPr>
            <w:tcW w:w="359" w:type="pct"/>
            <w:vAlign w:val="center"/>
          </w:tcPr>
          <w:p w14:paraId="15700F01">
            <w:pPr>
              <w:jc w:val="center"/>
              <w:rPr>
                <w:rFonts w:ascii="宋体" w:hAnsi="宋体"/>
                <w:bCs/>
                <w:color w:val="auto"/>
              </w:rPr>
            </w:pPr>
            <w:r>
              <w:rPr>
                <w:rFonts w:ascii="宋体" w:hAnsi="宋体"/>
                <w:bCs/>
                <w:color w:val="auto"/>
              </w:rPr>
              <w:t>3.9</w:t>
            </w:r>
          </w:p>
        </w:tc>
        <w:tc>
          <w:tcPr>
            <w:tcW w:w="359" w:type="pct"/>
            <w:vAlign w:val="center"/>
          </w:tcPr>
          <w:p w14:paraId="1A36CBA7">
            <w:pPr>
              <w:jc w:val="center"/>
              <w:rPr>
                <w:rFonts w:ascii="宋体" w:hAnsi="宋体"/>
                <w:color w:val="auto"/>
              </w:rPr>
            </w:pPr>
            <w:r>
              <w:rPr>
                <w:rFonts w:ascii="宋体" w:hAnsi="宋体"/>
                <w:color w:val="auto"/>
              </w:rPr>
              <w:t>2.1</w:t>
            </w:r>
          </w:p>
        </w:tc>
        <w:tc>
          <w:tcPr>
            <w:tcW w:w="359" w:type="pct"/>
            <w:vAlign w:val="center"/>
          </w:tcPr>
          <w:p w14:paraId="29AD60A7">
            <w:pPr>
              <w:jc w:val="center"/>
              <w:rPr>
                <w:rFonts w:ascii="宋体" w:hAnsi="宋体"/>
                <w:color w:val="auto"/>
              </w:rPr>
            </w:pPr>
            <w:r>
              <w:rPr>
                <w:rFonts w:ascii="宋体" w:hAnsi="宋体"/>
                <w:color w:val="auto"/>
              </w:rPr>
              <w:t>2.9</w:t>
            </w:r>
          </w:p>
        </w:tc>
        <w:tc>
          <w:tcPr>
            <w:tcW w:w="359" w:type="pct"/>
            <w:vAlign w:val="center"/>
          </w:tcPr>
          <w:p w14:paraId="4C944155">
            <w:pPr>
              <w:jc w:val="center"/>
              <w:rPr>
                <w:rFonts w:ascii="宋体" w:hAnsi="宋体"/>
                <w:color w:val="auto"/>
              </w:rPr>
            </w:pPr>
            <w:r>
              <w:rPr>
                <w:rFonts w:ascii="宋体" w:hAnsi="宋体"/>
                <w:color w:val="auto"/>
              </w:rPr>
              <w:t>3.1</w:t>
            </w:r>
          </w:p>
        </w:tc>
        <w:tc>
          <w:tcPr>
            <w:tcW w:w="359" w:type="pct"/>
            <w:vAlign w:val="center"/>
          </w:tcPr>
          <w:p w14:paraId="458CC869">
            <w:pPr>
              <w:jc w:val="center"/>
              <w:rPr>
                <w:rFonts w:ascii="宋体" w:hAnsi="宋体"/>
                <w:bCs/>
                <w:color w:val="auto"/>
              </w:rPr>
            </w:pPr>
            <w:r>
              <w:rPr>
                <w:rFonts w:ascii="宋体" w:hAnsi="宋体"/>
                <w:bCs/>
                <w:color w:val="auto"/>
              </w:rPr>
              <w:t>2.7</w:t>
            </w:r>
          </w:p>
        </w:tc>
      </w:tr>
      <w:tr w14:paraId="25787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Merge w:val="continue"/>
            <w:vAlign w:val="center"/>
          </w:tcPr>
          <w:p w14:paraId="2AE48F11">
            <w:pPr>
              <w:jc w:val="center"/>
              <w:rPr>
                <w:rFonts w:ascii="宋体" w:hAnsi="宋体"/>
                <w:color w:val="auto"/>
              </w:rPr>
            </w:pPr>
          </w:p>
        </w:tc>
        <w:tc>
          <w:tcPr>
            <w:tcW w:w="469" w:type="pct"/>
            <w:vAlign w:val="center"/>
          </w:tcPr>
          <w:p w14:paraId="1DC577A7">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288" w:type="pct"/>
            <w:vAlign w:val="center"/>
          </w:tcPr>
          <w:p w14:paraId="75E33895">
            <w:pPr>
              <w:jc w:val="center"/>
              <w:rPr>
                <w:rFonts w:ascii="宋体" w:hAnsi="宋体"/>
                <w:color w:val="auto"/>
              </w:rPr>
            </w:pPr>
            <w:r>
              <w:rPr>
                <w:rFonts w:ascii="宋体" w:hAnsi="宋体"/>
                <w:color w:val="auto"/>
              </w:rPr>
              <w:t>4.5</w:t>
            </w:r>
          </w:p>
        </w:tc>
        <w:tc>
          <w:tcPr>
            <w:tcW w:w="359" w:type="pct"/>
            <w:vAlign w:val="center"/>
          </w:tcPr>
          <w:p w14:paraId="3696E22E">
            <w:pPr>
              <w:jc w:val="center"/>
              <w:rPr>
                <w:rFonts w:ascii="宋体" w:hAnsi="宋体"/>
                <w:color w:val="auto"/>
              </w:rPr>
            </w:pPr>
            <w:r>
              <w:rPr>
                <w:rFonts w:ascii="宋体" w:hAnsi="宋体"/>
                <w:color w:val="auto"/>
              </w:rPr>
              <w:t>4.6</w:t>
            </w:r>
          </w:p>
        </w:tc>
        <w:tc>
          <w:tcPr>
            <w:tcW w:w="359" w:type="pct"/>
            <w:vAlign w:val="center"/>
          </w:tcPr>
          <w:p w14:paraId="2C50FC64">
            <w:pPr>
              <w:jc w:val="center"/>
              <w:rPr>
                <w:rFonts w:ascii="宋体" w:hAnsi="宋体"/>
                <w:color w:val="auto"/>
              </w:rPr>
            </w:pPr>
            <w:r>
              <w:rPr>
                <w:rFonts w:ascii="宋体" w:hAnsi="宋体"/>
                <w:color w:val="auto"/>
              </w:rPr>
              <w:t>2.5</w:t>
            </w:r>
          </w:p>
        </w:tc>
        <w:tc>
          <w:tcPr>
            <w:tcW w:w="359" w:type="pct"/>
            <w:gridSpan w:val="2"/>
            <w:vAlign w:val="center"/>
          </w:tcPr>
          <w:p w14:paraId="5D42A218">
            <w:pPr>
              <w:jc w:val="center"/>
              <w:rPr>
                <w:rFonts w:ascii="宋体" w:hAnsi="宋体"/>
                <w:bCs/>
                <w:color w:val="auto"/>
              </w:rPr>
            </w:pPr>
            <w:r>
              <w:rPr>
                <w:rFonts w:ascii="宋体" w:hAnsi="宋体"/>
                <w:bCs/>
                <w:color w:val="auto"/>
              </w:rPr>
              <w:t>3.9</w:t>
            </w:r>
          </w:p>
        </w:tc>
        <w:tc>
          <w:tcPr>
            <w:tcW w:w="359" w:type="pct"/>
            <w:vAlign w:val="center"/>
          </w:tcPr>
          <w:p w14:paraId="76278AE9">
            <w:pPr>
              <w:jc w:val="center"/>
              <w:rPr>
                <w:rFonts w:ascii="宋体" w:hAnsi="宋体"/>
                <w:color w:val="auto"/>
              </w:rPr>
            </w:pPr>
            <w:r>
              <w:rPr>
                <w:rFonts w:ascii="宋体" w:hAnsi="宋体"/>
                <w:color w:val="auto"/>
              </w:rPr>
              <w:t>4.1</w:t>
            </w:r>
          </w:p>
        </w:tc>
        <w:tc>
          <w:tcPr>
            <w:tcW w:w="359" w:type="pct"/>
            <w:vAlign w:val="center"/>
          </w:tcPr>
          <w:p w14:paraId="5B4DA162">
            <w:pPr>
              <w:jc w:val="center"/>
              <w:rPr>
                <w:rFonts w:ascii="宋体" w:hAnsi="宋体"/>
                <w:color w:val="auto"/>
              </w:rPr>
            </w:pPr>
            <w:r>
              <w:rPr>
                <w:rFonts w:ascii="宋体" w:hAnsi="宋体"/>
                <w:color w:val="auto"/>
              </w:rPr>
              <w:t>4.6</w:t>
            </w:r>
          </w:p>
        </w:tc>
        <w:tc>
          <w:tcPr>
            <w:tcW w:w="359" w:type="pct"/>
            <w:vAlign w:val="center"/>
          </w:tcPr>
          <w:p w14:paraId="2E76F931">
            <w:pPr>
              <w:jc w:val="center"/>
              <w:rPr>
                <w:rFonts w:ascii="宋体" w:hAnsi="宋体"/>
                <w:color w:val="auto"/>
              </w:rPr>
            </w:pPr>
            <w:r>
              <w:rPr>
                <w:rFonts w:ascii="宋体" w:hAnsi="宋体"/>
                <w:color w:val="auto"/>
              </w:rPr>
              <w:t>3.8</w:t>
            </w:r>
          </w:p>
        </w:tc>
        <w:tc>
          <w:tcPr>
            <w:tcW w:w="359" w:type="pct"/>
            <w:vAlign w:val="center"/>
          </w:tcPr>
          <w:p w14:paraId="1EF6F9CC">
            <w:pPr>
              <w:jc w:val="center"/>
              <w:rPr>
                <w:rFonts w:ascii="宋体" w:hAnsi="宋体"/>
                <w:bCs/>
                <w:color w:val="auto"/>
              </w:rPr>
            </w:pPr>
            <w:r>
              <w:rPr>
                <w:rFonts w:ascii="宋体" w:hAnsi="宋体"/>
                <w:bCs/>
                <w:color w:val="auto"/>
              </w:rPr>
              <w:t>4.2</w:t>
            </w:r>
          </w:p>
        </w:tc>
        <w:tc>
          <w:tcPr>
            <w:tcW w:w="359" w:type="pct"/>
            <w:vAlign w:val="center"/>
          </w:tcPr>
          <w:p w14:paraId="020DC638">
            <w:pPr>
              <w:jc w:val="center"/>
              <w:rPr>
                <w:rFonts w:ascii="宋体" w:hAnsi="宋体"/>
                <w:color w:val="auto"/>
              </w:rPr>
            </w:pPr>
            <w:r>
              <w:rPr>
                <w:rFonts w:ascii="宋体" w:hAnsi="宋体"/>
                <w:color w:val="auto"/>
              </w:rPr>
              <w:t>2.3</w:t>
            </w:r>
          </w:p>
        </w:tc>
        <w:tc>
          <w:tcPr>
            <w:tcW w:w="359" w:type="pct"/>
            <w:vAlign w:val="center"/>
          </w:tcPr>
          <w:p w14:paraId="4112C7D5">
            <w:pPr>
              <w:jc w:val="center"/>
              <w:rPr>
                <w:rFonts w:ascii="宋体" w:hAnsi="宋体"/>
                <w:color w:val="auto"/>
              </w:rPr>
            </w:pPr>
            <w:r>
              <w:rPr>
                <w:rFonts w:ascii="宋体" w:hAnsi="宋体"/>
                <w:color w:val="auto"/>
              </w:rPr>
              <w:t>3.1</w:t>
            </w:r>
          </w:p>
        </w:tc>
        <w:tc>
          <w:tcPr>
            <w:tcW w:w="359" w:type="pct"/>
            <w:vAlign w:val="center"/>
          </w:tcPr>
          <w:p w14:paraId="7A617DC5">
            <w:pPr>
              <w:jc w:val="center"/>
              <w:rPr>
                <w:rFonts w:ascii="宋体" w:hAnsi="宋体"/>
                <w:color w:val="auto"/>
              </w:rPr>
            </w:pPr>
            <w:r>
              <w:rPr>
                <w:rFonts w:ascii="宋体" w:hAnsi="宋体"/>
                <w:color w:val="auto"/>
              </w:rPr>
              <w:t>3.3</w:t>
            </w:r>
          </w:p>
        </w:tc>
        <w:tc>
          <w:tcPr>
            <w:tcW w:w="359" w:type="pct"/>
            <w:vAlign w:val="center"/>
          </w:tcPr>
          <w:p w14:paraId="72ADAF51">
            <w:pPr>
              <w:jc w:val="center"/>
              <w:rPr>
                <w:rFonts w:ascii="宋体" w:hAnsi="宋体"/>
                <w:bCs/>
                <w:color w:val="auto"/>
              </w:rPr>
            </w:pPr>
            <w:r>
              <w:rPr>
                <w:rFonts w:ascii="宋体" w:hAnsi="宋体"/>
                <w:bCs/>
                <w:color w:val="auto"/>
              </w:rPr>
              <w:t>2.9</w:t>
            </w:r>
          </w:p>
        </w:tc>
      </w:tr>
      <w:tr w14:paraId="78B97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Merge w:val="continue"/>
            <w:vAlign w:val="center"/>
          </w:tcPr>
          <w:p w14:paraId="48A9FC64">
            <w:pPr>
              <w:jc w:val="center"/>
              <w:rPr>
                <w:rFonts w:ascii="宋体" w:hAnsi="宋体"/>
                <w:color w:val="auto"/>
              </w:rPr>
            </w:pPr>
          </w:p>
        </w:tc>
        <w:tc>
          <w:tcPr>
            <w:tcW w:w="469" w:type="pct"/>
            <w:vAlign w:val="center"/>
          </w:tcPr>
          <w:p w14:paraId="601575A0">
            <w:pPr>
              <w:jc w:val="center"/>
              <w:rPr>
                <w:rFonts w:ascii="宋体" w:hAnsi="宋体"/>
                <w:color w:val="auto"/>
              </w:rPr>
            </w:pPr>
            <w:r>
              <w:rPr>
                <w:rFonts w:ascii="宋体" w:hAnsi="宋体"/>
                <w:color w:val="auto"/>
              </w:rPr>
              <w:t>排放速率/（kg/h）</w:t>
            </w:r>
          </w:p>
        </w:tc>
        <w:tc>
          <w:tcPr>
            <w:tcW w:w="288" w:type="pct"/>
            <w:vAlign w:val="center"/>
          </w:tcPr>
          <w:p w14:paraId="3554FF72">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59" w:type="pct"/>
            <w:vAlign w:val="center"/>
          </w:tcPr>
          <w:p w14:paraId="4D93B098">
            <w:pPr>
              <w:jc w:val="center"/>
              <w:rPr>
                <w:rFonts w:ascii="宋体" w:hAnsi="宋体"/>
                <w:color w:val="auto"/>
              </w:rPr>
            </w:pPr>
            <w:r>
              <w:rPr>
                <w:rFonts w:ascii="宋体" w:hAnsi="宋体"/>
                <w:color w:val="auto"/>
              </w:rPr>
              <w:t>1.3×10</w:t>
            </w:r>
            <w:r>
              <w:rPr>
                <w:rFonts w:ascii="宋体" w:hAnsi="宋体"/>
                <w:color w:val="auto"/>
                <w:vertAlign w:val="superscript"/>
              </w:rPr>
              <w:t>-3</w:t>
            </w:r>
          </w:p>
        </w:tc>
        <w:tc>
          <w:tcPr>
            <w:tcW w:w="359" w:type="pct"/>
            <w:vAlign w:val="center"/>
          </w:tcPr>
          <w:p w14:paraId="2B184910">
            <w:pPr>
              <w:jc w:val="center"/>
              <w:rPr>
                <w:rFonts w:ascii="宋体" w:hAnsi="宋体"/>
                <w:color w:val="auto"/>
              </w:rPr>
            </w:pPr>
            <w:r>
              <w:rPr>
                <w:rFonts w:ascii="宋体" w:hAnsi="宋体"/>
                <w:color w:val="auto"/>
              </w:rPr>
              <w:t>6.6×10</w:t>
            </w:r>
            <w:r>
              <w:rPr>
                <w:rFonts w:ascii="宋体" w:hAnsi="宋体"/>
                <w:color w:val="auto"/>
                <w:vertAlign w:val="superscript"/>
              </w:rPr>
              <w:t>-4</w:t>
            </w:r>
          </w:p>
        </w:tc>
        <w:tc>
          <w:tcPr>
            <w:tcW w:w="359" w:type="pct"/>
            <w:gridSpan w:val="2"/>
            <w:vAlign w:val="center"/>
          </w:tcPr>
          <w:p w14:paraId="792757BF">
            <w:pPr>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59" w:type="pct"/>
            <w:vAlign w:val="center"/>
          </w:tcPr>
          <w:p w14:paraId="315A0027">
            <w:pPr>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59" w:type="pct"/>
            <w:vAlign w:val="center"/>
          </w:tcPr>
          <w:p w14:paraId="7D51359C">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59" w:type="pct"/>
            <w:vAlign w:val="center"/>
          </w:tcPr>
          <w:p w14:paraId="4948CBEB">
            <w:pPr>
              <w:jc w:val="center"/>
              <w:rPr>
                <w:rFonts w:ascii="宋体" w:hAnsi="宋体"/>
                <w:color w:val="auto"/>
              </w:rPr>
            </w:pPr>
            <w:r>
              <w:rPr>
                <w:rFonts w:ascii="宋体" w:hAnsi="宋体"/>
                <w:color w:val="auto"/>
              </w:rPr>
              <w:t>1.0×10</w:t>
            </w:r>
            <w:r>
              <w:rPr>
                <w:rFonts w:ascii="宋体" w:hAnsi="宋体"/>
                <w:color w:val="auto"/>
                <w:vertAlign w:val="superscript"/>
              </w:rPr>
              <w:t>-3</w:t>
            </w:r>
          </w:p>
        </w:tc>
        <w:tc>
          <w:tcPr>
            <w:tcW w:w="359" w:type="pct"/>
            <w:vAlign w:val="center"/>
          </w:tcPr>
          <w:p w14:paraId="5E47427B">
            <w:pPr>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59" w:type="pct"/>
            <w:vAlign w:val="center"/>
          </w:tcPr>
          <w:p w14:paraId="27F462B5">
            <w:pPr>
              <w:jc w:val="center"/>
              <w:rPr>
                <w:rFonts w:ascii="宋体" w:hAnsi="宋体"/>
                <w:color w:val="auto"/>
              </w:rPr>
            </w:pPr>
            <w:r>
              <w:rPr>
                <w:rFonts w:ascii="宋体" w:hAnsi="宋体"/>
                <w:color w:val="auto"/>
              </w:rPr>
              <w:t>6.2×10</w:t>
            </w:r>
            <w:r>
              <w:rPr>
                <w:rFonts w:ascii="宋体" w:hAnsi="宋体"/>
                <w:color w:val="auto"/>
                <w:vertAlign w:val="superscript"/>
              </w:rPr>
              <w:t>-4</w:t>
            </w:r>
          </w:p>
        </w:tc>
        <w:tc>
          <w:tcPr>
            <w:tcW w:w="359" w:type="pct"/>
            <w:vAlign w:val="center"/>
          </w:tcPr>
          <w:p w14:paraId="63DA0C4B">
            <w:pPr>
              <w:jc w:val="center"/>
              <w:rPr>
                <w:rFonts w:ascii="宋体" w:hAnsi="宋体"/>
                <w:color w:val="auto"/>
              </w:rPr>
            </w:pPr>
            <w:r>
              <w:rPr>
                <w:rFonts w:ascii="宋体" w:hAnsi="宋体"/>
                <w:color w:val="auto"/>
              </w:rPr>
              <w:t>8.4×10</w:t>
            </w:r>
            <w:r>
              <w:rPr>
                <w:rFonts w:ascii="宋体" w:hAnsi="宋体"/>
                <w:color w:val="auto"/>
                <w:vertAlign w:val="superscript"/>
              </w:rPr>
              <w:t>-4</w:t>
            </w:r>
          </w:p>
        </w:tc>
        <w:tc>
          <w:tcPr>
            <w:tcW w:w="359" w:type="pct"/>
            <w:vAlign w:val="center"/>
          </w:tcPr>
          <w:p w14:paraId="5C92AA6A">
            <w:pPr>
              <w:jc w:val="center"/>
              <w:rPr>
                <w:rFonts w:ascii="宋体" w:hAnsi="宋体"/>
                <w:color w:val="auto"/>
              </w:rPr>
            </w:pPr>
            <w:r>
              <w:rPr>
                <w:rFonts w:ascii="宋体" w:hAnsi="宋体"/>
                <w:color w:val="auto"/>
              </w:rPr>
              <w:t>8.8×10</w:t>
            </w:r>
            <w:r>
              <w:rPr>
                <w:rFonts w:ascii="宋体" w:hAnsi="宋体"/>
                <w:color w:val="auto"/>
                <w:vertAlign w:val="superscript"/>
              </w:rPr>
              <w:t>-4</w:t>
            </w:r>
          </w:p>
        </w:tc>
        <w:tc>
          <w:tcPr>
            <w:tcW w:w="359" w:type="pct"/>
            <w:vAlign w:val="center"/>
          </w:tcPr>
          <w:p w14:paraId="1BE9EB37">
            <w:pPr>
              <w:jc w:val="center"/>
              <w:rPr>
                <w:rFonts w:ascii="宋体" w:hAnsi="宋体"/>
                <w:color w:val="auto"/>
              </w:rPr>
            </w:pPr>
            <w:r>
              <w:rPr>
                <w:rFonts w:ascii="宋体" w:hAnsi="宋体"/>
                <w:color w:val="auto"/>
              </w:rPr>
              <w:t>7.8×10</w:t>
            </w:r>
            <w:r>
              <w:rPr>
                <w:rFonts w:ascii="宋体" w:hAnsi="宋体"/>
                <w:color w:val="auto"/>
                <w:vertAlign w:val="superscript"/>
              </w:rPr>
              <w:t>-4</w:t>
            </w:r>
          </w:p>
        </w:tc>
      </w:tr>
      <w:tr w14:paraId="41802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Merge w:val="restart"/>
            <w:vAlign w:val="center"/>
          </w:tcPr>
          <w:p w14:paraId="27E00CA9">
            <w:pPr>
              <w:jc w:val="center"/>
              <w:rPr>
                <w:rFonts w:ascii="宋体" w:hAnsi="宋体"/>
                <w:color w:val="auto"/>
              </w:rPr>
            </w:pPr>
            <w:r>
              <w:rPr>
                <w:rFonts w:ascii="宋体" w:hAnsi="宋体"/>
                <w:color w:val="auto"/>
              </w:rPr>
              <w:t>二氧化硫</w:t>
            </w:r>
          </w:p>
        </w:tc>
        <w:tc>
          <w:tcPr>
            <w:tcW w:w="469" w:type="pct"/>
            <w:vAlign w:val="center"/>
          </w:tcPr>
          <w:p w14:paraId="426D11AF">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288" w:type="pct"/>
            <w:vAlign w:val="center"/>
          </w:tcPr>
          <w:p w14:paraId="16916FF6">
            <w:pPr>
              <w:jc w:val="center"/>
              <w:rPr>
                <w:rFonts w:ascii="宋体" w:hAnsi="宋体"/>
                <w:color w:val="auto"/>
              </w:rPr>
            </w:pPr>
            <w:r>
              <w:rPr>
                <w:rFonts w:ascii="宋体" w:hAnsi="宋体"/>
                <w:color w:val="auto"/>
              </w:rPr>
              <w:t>3L</w:t>
            </w:r>
          </w:p>
        </w:tc>
        <w:tc>
          <w:tcPr>
            <w:tcW w:w="359" w:type="pct"/>
            <w:vAlign w:val="center"/>
          </w:tcPr>
          <w:p w14:paraId="34709546">
            <w:pPr>
              <w:jc w:val="center"/>
              <w:rPr>
                <w:rFonts w:ascii="宋体" w:hAnsi="宋体"/>
                <w:color w:val="auto"/>
              </w:rPr>
            </w:pPr>
            <w:r>
              <w:rPr>
                <w:rFonts w:ascii="宋体" w:hAnsi="宋体"/>
                <w:color w:val="auto"/>
              </w:rPr>
              <w:t>3L</w:t>
            </w:r>
          </w:p>
        </w:tc>
        <w:tc>
          <w:tcPr>
            <w:tcW w:w="359" w:type="pct"/>
            <w:vAlign w:val="center"/>
          </w:tcPr>
          <w:p w14:paraId="415542E5">
            <w:pPr>
              <w:jc w:val="center"/>
              <w:rPr>
                <w:rFonts w:ascii="宋体" w:hAnsi="宋体"/>
                <w:color w:val="auto"/>
              </w:rPr>
            </w:pPr>
            <w:r>
              <w:rPr>
                <w:rFonts w:ascii="宋体" w:hAnsi="宋体"/>
                <w:color w:val="auto"/>
              </w:rPr>
              <w:t>3L</w:t>
            </w:r>
          </w:p>
        </w:tc>
        <w:tc>
          <w:tcPr>
            <w:tcW w:w="359" w:type="pct"/>
            <w:gridSpan w:val="2"/>
            <w:vAlign w:val="center"/>
          </w:tcPr>
          <w:p w14:paraId="69964A3C">
            <w:pPr>
              <w:jc w:val="center"/>
              <w:rPr>
                <w:rFonts w:ascii="宋体" w:hAnsi="宋体"/>
                <w:color w:val="auto"/>
              </w:rPr>
            </w:pPr>
            <w:r>
              <w:rPr>
                <w:rFonts w:ascii="宋体" w:hAnsi="宋体"/>
                <w:color w:val="auto"/>
              </w:rPr>
              <w:t>3L</w:t>
            </w:r>
          </w:p>
        </w:tc>
        <w:tc>
          <w:tcPr>
            <w:tcW w:w="359" w:type="pct"/>
            <w:vAlign w:val="center"/>
          </w:tcPr>
          <w:p w14:paraId="00739576">
            <w:pPr>
              <w:jc w:val="center"/>
              <w:rPr>
                <w:rFonts w:ascii="宋体" w:hAnsi="宋体"/>
                <w:color w:val="auto"/>
              </w:rPr>
            </w:pPr>
            <w:r>
              <w:rPr>
                <w:rFonts w:ascii="宋体" w:hAnsi="宋体"/>
                <w:color w:val="auto"/>
              </w:rPr>
              <w:t>3L</w:t>
            </w:r>
          </w:p>
        </w:tc>
        <w:tc>
          <w:tcPr>
            <w:tcW w:w="359" w:type="pct"/>
            <w:vAlign w:val="center"/>
          </w:tcPr>
          <w:p w14:paraId="05E15EEB">
            <w:pPr>
              <w:jc w:val="center"/>
              <w:rPr>
                <w:rFonts w:ascii="宋体" w:hAnsi="宋体"/>
                <w:color w:val="auto"/>
              </w:rPr>
            </w:pPr>
            <w:r>
              <w:rPr>
                <w:rFonts w:ascii="宋体" w:hAnsi="宋体"/>
                <w:color w:val="auto"/>
              </w:rPr>
              <w:t>3L</w:t>
            </w:r>
          </w:p>
        </w:tc>
        <w:tc>
          <w:tcPr>
            <w:tcW w:w="359" w:type="pct"/>
            <w:vAlign w:val="center"/>
          </w:tcPr>
          <w:p w14:paraId="47C83D22">
            <w:pPr>
              <w:jc w:val="center"/>
              <w:rPr>
                <w:rFonts w:ascii="宋体" w:hAnsi="宋体"/>
                <w:color w:val="auto"/>
              </w:rPr>
            </w:pPr>
            <w:r>
              <w:rPr>
                <w:rFonts w:ascii="宋体" w:hAnsi="宋体"/>
                <w:color w:val="auto"/>
              </w:rPr>
              <w:t>3L</w:t>
            </w:r>
          </w:p>
        </w:tc>
        <w:tc>
          <w:tcPr>
            <w:tcW w:w="359" w:type="pct"/>
            <w:vAlign w:val="center"/>
          </w:tcPr>
          <w:p w14:paraId="2E25A8FC">
            <w:pPr>
              <w:jc w:val="center"/>
              <w:rPr>
                <w:rFonts w:ascii="宋体" w:hAnsi="宋体"/>
                <w:color w:val="auto"/>
              </w:rPr>
            </w:pPr>
            <w:r>
              <w:rPr>
                <w:rFonts w:ascii="宋体" w:hAnsi="宋体"/>
                <w:color w:val="auto"/>
              </w:rPr>
              <w:t>3L</w:t>
            </w:r>
          </w:p>
        </w:tc>
        <w:tc>
          <w:tcPr>
            <w:tcW w:w="359" w:type="pct"/>
            <w:vAlign w:val="center"/>
          </w:tcPr>
          <w:p w14:paraId="61E94385">
            <w:pPr>
              <w:jc w:val="center"/>
              <w:rPr>
                <w:rFonts w:ascii="宋体" w:hAnsi="宋体"/>
                <w:color w:val="auto"/>
              </w:rPr>
            </w:pPr>
            <w:r>
              <w:rPr>
                <w:rFonts w:ascii="宋体" w:hAnsi="宋体"/>
                <w:color w:val="auto"/>
              </w:rPr>
              <w:t>3L</w:t>
            </w:r>
          </w:p>
        </w:tc>
        <w:tc>
          <w:tcPr>
            <w:tcW w:w="359" w:type="pct"/>
            <w:vAlign w:val="center"/>
          </w:tcPr>
          <w:p w14:paraId="371D3F67">
            <w:pPr>
              <w:jc w:val="center"/>
              <w:rPr>
                <w:rFonts w:ascii="宋体" w:hAnsi="宋体"/>
                <w:color w:val="auto"/>
              </w:rPr>
            </w:pPr>
            <w:r>
              <w:rPr>
                <w:rFonts w:ascii="宋体" w:hAnsi="宋体"/>
                <w:color w:val="auto"/>
              </w:rPr>
              <w:t>3L</w:t>
            </w:r>
          </w:p>
        </w:tc>
        <w:tc>
          <w:tcPr>
            <w:tcW w:w="359" w:type="pct"/>
            <w:vAlign w:val="center"/>
          </w:tcPr>
          <w:p w14:paraId="258A9F77">
            <w:pPr>
              <w:jc w:val="center"/>
              <w:rPr>
                <w:rFonts w:ascii="宋体" w:hAnsi="宋体"/>
                <w:color w:val="auto"/>
              </w:rPr>
            </w:pPr>
            <w:r>
              <w:rPr>
                <w:rFonts w:ascii="宋体" w:hAnsi="宋体"/>
                <w:color w:val="auto"/>
              </w:rPr>
              <w:t>3L</w:t>
            </w:r>
          </w:p>
        </w:tc>
        <w:tc>
          <w:tcPr>
            <w:tcW w:w="359" w:type="pct"/>
            <w:vAlign w:val="center"/>
          </w:tcPr>
          <w:p w14:paraId="748795B1">
            <w:pPr>
              <w:jc w:val="center"/>
              <w:rPr>
                <w:rFonts w:ascii="宋体" w:hAnsi="宋体"/>
                <w:color w:val="auto"/>
              </w:rPr>
            </w:pPr>
            <w:r>
              <w:rPr>
                <w:rFonts w:ascii="宋体" w:hAnsi="宋体"/>
                <w:color w:val="auto"/>
              </w:rPr>
              <w:t>3L</w:t>
            </w:r>
          </w:p>
        </w:tc>
      </w:tr>
      <w:tr w14:paraId="3C942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Merge w:val="continue"/>
            <w:vAlign w:val="center"/>
          </w:tcPr>
          <w:p w14:paraId="44A51284">
            <w:pPr>
              <w:jc w:val="center"/>
              <w:rPr>
                <w:rFonts w:ascii="宋体" w:hAnsi="宋体"/>
                <w:color w:val="auto"/>
              </w:rPr>
            </w:pPr>
          </w:p>
        </w:tc>
        <w:tc>
          <w:tcPr>
            <w:tcW w:w="469" w:type="pct"/>
            <w:vAlign w:val="center"/>
          </w:tcPr>
          <w:p w14:paraId="16DC72A6">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288" w:type="pct"/>
            <w:vAlign w:val="center"/>
          </w:tcPr>
          <w:p w14:paraId="2C8B9005">
            <w:pPr>
              <w:jc w:val="center"/>
              <w:rPr>
                <w:rFonts w:ascii="宋体" w:hAnsi="宋体"/>
                <w:color w:val="auto"/>
              </w:rPr>
            </w:pPr>
            <w:r>
              <w:rPr>
                <w:rFonts w:ascii="宋体" w:hAnsi="宋体"/>
                <w:color w:val="auto"/>
              </w:rPr>
              <w:t>3L</w:t>
            </w:r>
          </w:p>
        </w:tc>
        <w:tc>
          <w:tcPr>
            <w:tcW w:w="359" w:type="pct"/>
            <w:vAlign w:val="center"/>
          </w:tcPr>
          <w:p w14:paraId="2EB15B90">
            <w:pPr>
              <w:jc w:val="center"/>
              <w:rPr>
                <w:rFonts w:ascii="宋体" w:hAnsi="宋体"/>
                <w:color w:val="auto"/>
              </w:rPr>
            </w:pPr>
            <w:r>
              <w:rPr>
                <w:rFonts w:ascii="宋体" w:hAnsi="宋体"/>
                <w:color w:val="auto"/>
              </w:rPr>
              <w:t>3L</w:t>
            </w:r>
          </w:p>
        </w:tc>
        <w:tc>
          <w:tcPr>
            <w:tcW w:w="359" w:type="pct"/>
            <w:vAlign w:val="center"/>
          </w:tcPr>
          <w:p w14:paraId="461282B0">
            <w:pPr>
              <w:jc w:val="center"/>
              <w:rPr>
                <w:rFonts w:ascii="宋体" w:hAnsi="宋体"/>
                <w:color w:val="auto"/>
              </w:rPr>
            </w:pPr>
            <w:r>
              <w:rPr>
                <w:rFonts w:ascii="宋体" w:hAnsi="宋体"/>
                <w:color w:val="auto"/>
              </w:rPr>
              <w:t>3L</w:t>
            </w:r>
          </w:p>
        </w:tc>
        <w:tc>
          <w:tcPr>
            <w:tcW w:w="359" w:type="pct"/>
            <w:gridSpan w:val="2"/>
            <w:vAlign w:val="center"/>
          </w:tcPr>
          <w:p w14:paraId="06CFC2BC">
            <w:pPr>
              <w:jc w:val="center"/>
              <w:rPr>
                <w:rFonts w:ascii="宋体" w:hAnsi="宋体"/>
                <w:color w:val="auto"/>
              </w:rPr>
            </w:pPr>
            <w:r>
              <w:rPr>
                <w:rFonts w:ascii="宋体" w:hAnsi="宋体"/>
                <w:color w:val="auto"/>
              </w:rPr>
              <w:t>3L</w:t>
            </w:r>
          </w:p>
        </w:tc>
        <w:tc>
          <w:tcPr>
            <w:tcW w:w="359" w:type="pct"/>
            <w:vAlign w:val="center"/>
          </w:tcPr>
          <w:p w14:paraId="18A879C8">
            <w:pPr>
              <w:jc w:val="center"/>
              <w:rPr>
                <w:rFonts w:ascii="宋体" w:hAnsi="宋体"/>
                <w:color w:val="auto"/>
              </w:rPr>
            </w:pPr>
            <w:r>
              <w:rPr>
                <w:rFonts w:ascii="宋体" w:hAnsi="宋体"/>
                <w:color w:val="auto"/>
              </w:rPr>
              <w:t>3L</w:t>
            </w:r>
          </w:p>
        </w:tc>
        <w:tc>
          <w:tcPr>
            <w:tcW w:w="359" w:type="pct"/>
            <w:vAlign w:val="center"/>
          </w:tcPr>
          <w:p w14:paraId="3CDD9A12">
            <w:pPr>
              <w:jc w:val="center"/>
              <w:rPr>
                <w:rFonts w:ascii="宋体" w:hAnsi="宋体"/>
                <w:color w:val="auto"/>
              </w:rPr>
            </w:pPr>
            <w:r>
              <w:rPr>
                <w:rFonts w:ascii="宋体" w:hAnsi="宋体"/>
                <w:color w:val="auto"/>
              </w:rPr>
              <w:t>3L</w:t>
            </w:r>
          </w:p>
        </w:tc>
        <w:tc>
          <w:tcPr>
            <w:tcW w:w="359" w:type="pct"/>
            <w:vAlign w:val="center"/>
          </w:tcPr>
          <w:p w14:paraId="3002005E">
            <w:pPr>
              <w:jc w:val="center"/>
              <w:rPr>
                <w:rFonts w:ascii="宋体" w:hAnsi="宋体"/>
                <w:color w:val="auto"/>
              </w:rPr>
            </w:pPr>
            <w:r>
              <w:rPr>
                <w:rFonts w:ascii="宋体" w:hAnsi="宋体"/>
                <w:color w:val="auto"/>
              </w:rPr>
              <w:t>3L</w:t>
            </w:r>
          </w:p>
        </w:tc>
        <w:tc>
          <w:tcPr>
            <w:tcW w:w="359" w:type="pct"/>
            <w:vAlign w:val="center"/>
          </w:tcPr>
          <w:p w14:paraId="65B1D663">
            <w:pPr>
              <w:jc w:val="center"/>
              <w:rPr>
                <w:rFonts w:ascii="宋体" w:hAnsi="宋体"/>
                <w:color w:val="auto"/>
              </w:rPr>
            </w:pPr>
            <w:r>
              <w:rPr>
                <w:rFonts w:ascii="宋体" w:hAnsi="宋体"/>
                <w:color w:val="auto"/>
              </w:rPr>
              <w:t>3L</w:t>
            </w:r>
          </w:p>
        </w:tc>
        <w:tc>
          <w:tcPr>
            <w:tcW w:w="359" w:type="pct"/>
            <w:vAlign w:val="center"/>
          </w:tcPr>
          <w:p w14:paraId="31DB05DD">
            <w:pPr>
              <w:jc w:val="center"/>
              <w:rPr>
                <w:rFonts w:ascii="宋体" w:hAnsi="宋体"/>
                <w:color w:val="auto"/>
              </w:rPr>
            </w:pPr>
            <w:r>
              <w:rPr>
                <w:rFonts w:ascii="宋体" w:hAnsi="宋体"/>
                <w:color w:val="auto"/>
              </w:rPr>
              <w:t>3L</w:t>
            </w:r>
          </w:p>
        </w:tc>
        <w:tc>
          <w:tcPr>
            <w:tcW w:w="359" w:type="pct"/>
            <w:vAlign w:val="center"/>
          </w:tcPr>
          <w:p w14:paraId="3EEBAE8D">
            <w:pPr>
              <w:jc w:val="center"/>
              <w:rPr>
                <w:rFonts w:ascii="宋体" w:hAnsi="宋体"/>
                <w:color w:val="auto"/>
              </w:rPr>
            </w:pPr>
            <w:r>
              <w:rPr>
                <w:rFonts w:ascii="宋体" w:hAnsi="宋体"/>
                <w:color w:val="auto"/>
              </w:rPr>
              <w:t>3L</w:t>
            </w:r>
          </w:p>
        </w:tc>
        <w:tc>
          <w:tcPr>
            <w:tcW w:w="359" w:type="pct"/>
            <w:vAlign w:val="center"/>
          </w:tcPr>
          <w:p w14:paraId="6CE850CC">
            <w:pPr>
              <w:jc w:val="center"/>
              <w:rPr>
                <w:rFonts w:ascii="宋体" w:hAnsi="宋体"/>
                <w:color w:val="auto"/>
              </w:rPr>
            </w:pPr>
            <w:r>
              <w:rPr>
                <w:rFonts w:ascii="宋体" w:hAnsi="宋体"/>
                <w:color w:val="auto"/>
              </w:rPr>
              <w:t>3L</w:t>
            </w:r>
          </w:p>
        </w:tc>
        <w:tc>
          <w:tcPr>
            <w:tcW w:w="359" w:type="pct"/>
            <w:vAlign w:val="center"/>
          </w:tcPr>
          <w:p w14:paraId="0130CA14">
            <w:pPr>
              <w:jc w:val="center"/>
              <w:rPr>
                <w:rFonts w:ascii="宋体" w:hAnsi="宋体"/>
                <w:color w:val="auto"/>
              </w:rPr>
            </w:pPr>
            <w:r>
              <w:rPr>
                <w:rFonts w:ascii="宋体" w:hAnsi="宋体"/>
                <w:color w:val="auto"/>
              </w:rPr>
              <w:t>3L</w:t>
            </w:r>
          </w:p>
        </w:tc>
      </w:tr>
      <w:tr w14:paraId="6512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Merge w:val="continue"/>
            <w:vAlign w:val="center"/>
          </w:tcPr>
          <w:p w14:paraId="39224528">
            <w:pPr>
              <w:jc w:val="center"/>
              <w:rPr>
                <w:rFonts w:ascii="宋体" w:hAnsi="宋体"/>
                <w:color w:val="auto"/>
              </w:rPr>
            </w:pPr>
          </w:p>
        </w:tc>
        <w:tc>
          <w:tcPr>
            <w:tcW w:w="469" w:type="pct"/>
            <w:vAlign w:val="center"/>
          </w:tcPr>
          <w:p w14:paraId="5EC110A8">
            <w:pPr>
              <w:jc w:val="center"/>
              <w:rPr>
                <w:rFonts w:ascii="宋体" w:hAnsi="宋体"/>
                <w:color w:val="auto"/>
              </w:rPr>
            </w:pPr>
            <w:r>
              <w:rPr>
                <w:rFonts w:ascii="宋体" w:hAnsi="宋体"/>
                <w:color w:val="auto"/>
              </w:rPr>
              <w:t>排放速率/（kg/h）</w:t>
            </w:r>
          </w:p>
        </w:tc>
        <w:tc>
          <w:tcPr>
            <w:tcW w:w="288" w:type="pct"/>
            <w:vAlign w:val="center"/>
          </w:tcPr>
          <w:p w14:paraId="0E199E74">
            <w:pPr>
              <w:jc w:val="center"/>
              <w:rPr>
                <w:rFonts w:ascii="宋体" w:hAnsi="宋体"/>
                <w:color w:val="auto"/>
              </w:rPr>
            </w:pPr>
            <w:r>
              <w:rPr>
                <w:rFonts w:ascii="宋体" w:hAnsi="宋体"/>
                <w:color w:val="auto"/>
              </w:rPr>
              <w:t>/</w:t>
            </w:r>
          </w:p>
        </w:tc>
        <w:tc>
          <w:tcPr>
            <w:tcW w:w="359" w:type="pct"/>
            <w:vAlign w:val="center"/>
          </w:tcPr>
          <w:p w14:paraId="4E9721A7">
            <w:pPr>
              <w:jc w:val="center"/>
              <w:rPr>
                <w:rFonts w:ascii="宋体" w:hAnsi="宋体"/>
                <w:color w:val="auto"/>
              </w:rPr>
            </w:pPr>
            <w:r>
              <w:rPr>
                <w:rFonts w:ascii="宋体" w:hAnsi="宋体"/>
                <w:color w:val="auto"/>
              </w:rPr>
              <w:t>/</w:t>
            </w:r>
          </w:p>
        </w:tc>
        <w:tc>
          <w:tcPr>
            <w:tcW w:w="359" w:type="pct"/>
            <w:vAlign w:val="center"/>
          </w:tcPr>
          <w:p w14:paraId="4A62E750">
            <w:pPr>
              <w:jc w:val="center"/>
              <w:rPr>
                <w:rFonts w:ascii="宋体" w:hAnsi="宋体"/>
                <w:color w:val="auto"/>
              </w:rPr>
            </w:pPr>
            <w:r>
              <w:rPr>
                <w:rFonts w:ascii="宋体" w:hAnsi="宋体"/>
                <w:color w:val="auto"/>
              </w:rPr>
              <w:t>/</w:t>
            </w:r>
          </w:p>
        </w:tc>
        <w:tc>
          <w:tcPr>
            <w:tcW w:w="359" w:type="pct"/>
            <w:gridSpan w:val="2"/>
            <w:vAlign w:val="center"/>
          </w:tcPr>
          <w:p w14:paraId="3BAFAEE4">
            <w:pPr>
              <w:jc w:val="center"/>
              <w:rPr>
                <w:rFonts w:ascii="宋体" w:hAnsi="宋体"/>
                <w:color w:val="auto"/>
              </w:rPr>
            </w:pPr>
            <w:r>
              <w:rPr>
                <w:rFonts w:ascii="宋体" w:hAnsi="宋体"/>
                <w:color w:val="auto"/>
              </w:rPr>
              <w:t>/</w:t>
            </w:r>
          </w:p>
        </w:tc>
        <w:tc>
          <w:tcPr>
            <w:tcW w:w="359" w:type="pct"/>
            <w:vAlign w:val="center"/>
          </w:tcPr>
          <w:p w14:paraId="24E1EEAF">
            <w:pPr>
              <w:jc w:val="center"/>
              <w:rPr>
                <w:rFonts w:ascii="宋体" w:hAnsi="宋体"/>
                <w:color w:val="auto"/>
              </w:rPr>
            </w:pPr>
            <w:r>
              <w:rPr>
                <w:rFonts w:ascii="宋体" w:hAnsi="宋体"/>
                <w:color w:val="auto"/>
              </w:rPr>
              <w:t>/</w:t>
            </w:r>
          </w:p>
        </w:tc>
        <w:tc>
          <w:tcPr>
            <w:tcW w:w="359" w:type="pct"/>
            <w:vAlign w:val="center"/>
          </w:tcPr>
          <w:p w14:paraId="00DC094D">
            <w:pPr>
              <w:jc w:val="center"/>
              <w:rPr>
                <w:rFonts w:ascii="宋体" w:hAnsi="宋体"/>
                <w:color w:val="auto"/>
              </w:rPr>
            </w:pPr>
            <w:r>
              <w:rPr>
                <w:rFonts w:ascii="宋体" w:hAnsi="宋体"/>
                <w:color w:val="auto"/>
              </w:rPr>
              <w:t>/</w:t>
            </w:r>
          </w:p>
        </w:tc>
        <w:tc>
          <w:tcPr>
            <w:tcW w:w="359" w:type="pct"/>
            <w:vAlign w:val="center"/>
          </w:tcPr>
          <w:p w14:paraId="75554E7B">
            <w:pPr>
              <w:jc w:val="center"/>
              <w:rPr>
                <w:rFonts w:ascii="宋体" w:hAnsi="宋体"/>
                <w:color w:val="auto"/>
              </w:rPr>
            </w:pPr>
            <w:r>
              <w:rPr>
                <w:rFonts w:ascii="宋体" w:hAnsi="宋体"/>
                <w:color w:val="auto"/>
              </w:rPr>
              <w:t>/</w:t>
            </w:r>
          </w:p>
        </w:tc>
        <w:tc>
          <w:tcPr>
            <w:tcW w:w="359" w:type="pct"/>
            <w:vAlign w:val="center"/>
          </w:tcPr>
          <w:p w14:paraId="48A84873">
            <w:pPr>
              <w:jc w:val="center"/>
              <w:rPr>
                <w:rFonts w:ascii="宋体" w:hAnsi="宋体"/>
                <w:color w:val="auto"/>
              </w:rPr>
            </w:pPr>
            <w:r>
              <w:rPr>
                <w:rFonts w:ascii="宋体" w:hAnsi="宋体"/>
                <w:color w:val="auto"/>
              </w:rPr>
              <w:t>/</w:t>
            </w:r>
          </w:p>
        </w:tc>
        <w:tc>
          <w:tcPr>
            <w:tcW w:w="359" w:type="pct"/>
            <w:vAlign w:val="center"/>
          </w:tcPr>
          <w:p w14:paraId="4A67E8DD">
            <w:pPr>
              <w:jc w:val="center"/>
              <w:rPr>
                <w:rFonts w:ascii="宋体" w:hAnsi="宋体"/>
                <w:color w:val="auto"/>
              </w:rPr>
            </w:pPr>
            <w:r>
              <w:rPr>
                <w:rFonts w:ascii="宋体" w:hAnsi="宋体"/>
                <w:color w:val="auto"/>
              </w:rPr>
              <w:t>/</w:t>
            </w:r>
          </w:p>
        </w:tc>
        <w:tc>
          <w:tcPr>
            <w:tcW w:w="359" w:type="pct"/>
            <w:vAlign w:val="center"/>
          </w:tcPr>
          <w:p w14:paraId="0451CCE9">
            <w:pPr>
              <w:jc w:val="center"/>
              <w:rPr>
                <w:rFonts w:ascii="宋体" w:hAnsi="宋体"/>
                <w:color w:val="auto"/>
              </w:rPr>
            </w:pPr>
            <w:r>
              <w:rPr>
                <w:rFonts w:ascii="宋体" w:hAnsi="宋体"/>
                <w:color w:val="auto"/>
              </w:rPr>
              <w:t>/</w:t>
            </w:r>
          </w:p>
        </w:tc>
        <w:tc>
          <w:tcPr>
            <w:tcW w:w="359" w:type="pct"/>
            <w:vAlign w:val="center"/>
          </w:tcPr>
          <w:p w14:paraId="73940D7C">
            <w:pPr>
              <w:jc w:val="center"/>
              <w:rPr>
                <w:rFonts w:ascii="宋体" w:hAnsi="宋体"/>
                <w:color w:val="auto"/>
              </w:rPr>
            </w:pPr>
            <w:r>
              <w:rPr>
                <w:rFonts w:ascii="宋体" w:hAnsi="宋体"/>
                <w:color w:val="auto"/>
              </w:rPr>
              <w:t>/</w:t>
            </w:r>
          </w:p>
        </w:tc>
        <w:tc>
          <w:tcPr>
            <w:tcW w:w="359" w:type="pct"/>
            <w:vAlign w:val="center"/>
          </w:tcPr>
          <w:p w14:paraId="5D0BB368">
            <w:pPr>
              <w:jc w:val="center"/>
              <w:rPr>
                <w:rFonts w:ascii="宋体" w:hAnsi="宋体"/>
                <w:color w:val="auto"/>
              </w:rPr>
            </w:pPr>
            <w:r>
              <w:rPr>
                <w:rFonts w:ascii="宋体" w:hAnsi="宋体"/>
                <w:color w:val="auto"/>
              </w:rPr>
              <w:t>/</w:t>
            </w:r>
          </w:p>
        </w:tc>
      </w:tr>
      <w:tr w14:paraId="026F3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Align w:val="center"/>
          </w:tcPr>
          <w:p w14:paraId="73942ED5">
            <w:pPr>
              <w:jc w:val="center"/>
              <w:rPr>
                <w:rFonts w:ascii="宋体" w:hAnsi="宋体"/>
                <w:color w:val="auto"/>
              </w:rPr>
            </w:pPr>
            <w:r>
              <w:rPr>
                <w:rFonts w:ascii="宋体" w:hAnsi="宋体"/>
                <w:color w:val="auto"/>
              </w:rPr>
              <w:t>一氧化碳</w:t>
            </w:r>
          </w:p>
        </w:tc>
        <w:tc>
          <w:tcPr>
            <w:tcW w:w="469" w:type="pct"/>
            <w:vAlign w:val="center"/>
          </w:tcPr>
          <w:p w14:paraId="5F785832">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288" w:type="pct"/>
            <w:vAlign w:val="center"/>
          </w:tcPr>
          <w:p w14:paraId="5B1E0784">
            <w:pPr>
              <w:jc w:val="center"/>
              <w:rPr>
                <w:rFonts w:ascii="宋体" w:hAnsi="宋体"/>
                <w:color w:val="auto"/>
              </w:rPr>
            </w:pPr>
            <w:r>
              <w:rPr>
                <w:rFonts w:ascii="宋体" w:hAnsi="宋体"/>
                <w:color w:val="auto"/>
              </w:rPr>
              <w:t>6</w:t>
            </w:r>
          </w:p>
        </w:tc>
        <w:tc>
          <w:tcPr>
            <w:tcW w:w="359" w:type="pct"/>
            <w:vAlign w:val="center"/>
          </w:tcPr>
          <w:p w14:paraId="54AA88A3">
            <w:pPr>
              <w:jc w:val="center"/>
              <w:rPr>
                <w:rFonts w:ascii="宋体" w:hAnsi="宋体"/>
                <w:color w:val="auto"/>
              </w:rPr>
            </w:pPr>
            <w:r>
              <w:rPr>
                <w:rFonts w:ascii="宋体" w:hAnsi="宋体"/>
                <w:color w:val="auto"/>
              </w:rPr>
              <w:t>7</w:t>
            </w:r>
          </w:p>
        </w:tc>
        <w:tc>
          <w:tcPr>
            <w:tcW w:w="359" w:type="pct"/>
            <w:vAlign w:val="center"/>
          </w:tcPr>
          <w:p w14:paraId="581C9744">
            <w:pPr>
              <w:jc w:val="center"/>
              <w:rPr>
                <w:rFonts w:ascii="宋体" w:hAnsi="宋体"/>
                <w:color w:val="auto"/>
              </w:rPr>
            </w:pPr>
            <w:r>
              <w:rPr>
                <w:rFonts w:ascii="宋体" w:hAnsi="宋体"/>
                <w:color w:val="auto"/>
              </w:rPr>
              <w:t>8</w:t>
            </w:r>
          </w:p>
        </w:tc>
        <w:tc>
          <w:tcPr>
            <w:tcW w:w="359" w:type="pct"/>
            <w:gridSpan w:val="2"/>
            <w:vAlign w:val="center"/>
          </w:tcPr>
          <w:p w14:paraId="674BA8B8">
            <w:pPr>
              <w:jc w:val="center"/>
              <w:rPr>
                <w:rFonts w:ascii="宋体" w:hAnsi="宋体"/>
                <w:color w:val="auto"/>
              </w:rPr>
            </w:pPr>
            <w:r>
              <w:rPr>
                <w:rFonts w:ascii="宋体" w:hAnsi="宋体"/>
                <w:color w:val="auto"/>
              </w:rPr>
              <w:t>7</w:t>
            </w:r>
          </w:p>
        </w:tc>
        <w:tc>
          <w:tcPr>
            <w:tcW w:w="359" w:type="pct"/>
            <w:vAlign w:val="center"/>
          </w:tcPr>
          <w:p w14:paraId="292D033B">
            <w:pPr>
              <w:jc w:val="center"/>
              <w:rPr>
                <w:rFonts w:ascii="宋体" w:hAnsi="宋体"/>
                <w:color w:val="auto"/>
              </w:rPr>
            </w:pPr>
            <w:r>
              <w:rPr>
                <w:rFonts w:ascii="宋体" w:hAnsi="宋体"/>
                <w:color w:val="auto"/>
              </w:rPr>
              <w:t>8</w:t>
            </w:r>
          </w:p>
        </w:tc>
        <w:tc>
          <w:tcPr>
            <w:tcW w:w="359" w:type="pct"/>
            <w:vAlign w:val="center"/>
          </w:tcPr>
          <w:p w14:paraId="3FB94188">
            <w:pPr>
              <w:jc w:val="center"/>
              <w:rPr>
                <w:rFonts w:ascii="宋体" w:hAnsi="宋体"/>
                <w:color w:val="auto"/>
              </w:rPr>
            </w:pPr>
            <w:r>
              <w:rPr>
                <w:rFonts w:ascii="宋体" w:hAnsi="宋体"/>
                <w:color w:val="auto"/>
              </w:rPr>
              <w:t>8</w:t>
            </w:r>
          </w:p>
        </w:tc>
        <w:tc>
          <w:tcPr>
            <w:tcW w:w="359" w:type="pct"/>
            <w:vAlign w:val="center"/>
          </w:tcPr>
          <w:p w14:paraId="2938F360">
            <w:pPr>
              <w:jc w:val="center"/>
              <w:rPr>
                <w:rFonts w:ascii="宋体" w:hAnsi="宋体"/>
                <w:color w:val="auto"/>
              </w:rPr>
            </w:pPr>
            <w:r>
              <w:rPr>
                <w:rFonts w:ascii="宋体" w:hAnsi="宋体"/>
                <w:color w:val="auto"/>
              </w:rPr>
              <w:t>9</w:t>
            </w:r>
          </w:p>
        </w:tc>
        <w:tc>
          <w:tcPr>
            <w:tcW w:w="359" w:type="pct"/>
            <w:vAlign w:val="center"/>
          </w:tcPr>
          <w:p w14:paraId="14E88AC3">
            <w:pPr>
              <w:jc w:val="center"/>
              <w:rPr>
                <w:rFonts w:ascii="宋体" w:hAnsi="宋体"/>
                <w:color w:val="auto"/>
              </w:rPr>
            </w:pPr>
            <w:r>
              <w:rPr>
                <w:rFonts w:ascii="宋体" w:hAnsi="宋体"/>
                <w:color w:val="auto"/>
              </w:rPr>
              <w:t>8</w:t>
            </w:r>
          </w:p>
        </w:tc>
        <w:tc>
          <w:tcPr>
            <w:tcW w:w="359" w:type="pct"/>
            <w:vAlign w:val="center"/>
          </w:tcPr>
          <w:p w14:paraId="2648EE90">
            <w:pPr>
              <w:jc w:val="center"/>
              <w:rPr>
                <w:rFonts w:ascii="宋体" w:hAnsi="宋体"/>
                <w:color w:val="auto"/>
              </w:rPr>
            </w:pPr>
            <w:r>
              <w:rPr>
                <w:rFonts w:ascii="宋体" w:hAnsi="宋体"/>
                <w:color w:val="auto"/>
              </w:rPr>
              <w:t>7</w:t>
            </w:r>
          </w:p>
        </w:tc>
        <w:tc>
          <w:tcPr>
            <w:tcW w:w="359" w:type="pct"/>
            <w:vAlign w:val="center"/>
          </w:tcPr>
          <w:p w14:paraId="430CDE1F">
            <w:pPr>
              <w:jc w:val="center"/>
              <w:rPr>
                <w:rFonts w:ascii="宋体" w:hAnsi="宋体"/>
                <w:color w:val="auto"/>
              </w:rPr>
            </w:pPr>
            <w:r>
              <w:rPr>
                <w:rFonts w:ascii="宋体" w:hAnsi="宋体"/>
                <w:color w:val="auto"/>
              </w:rPr>
              <w:t>8</w:t>
            </w:r>
          </w:p>
        </w:tc>
        <w:tc>
          <w:tcPr>
            <w:tcW w:w="359" w:type="pct"/>
            <w:vAlign w:val="center"/>
          </w:tcPr>
          <w:p w14:paraId="2164DCA1">
            <w:pPr>
              <w:jc w:val="center"/>
              <w:rPr>
                <w:rFonts w:ascii="宋体" w:hAnsi="宋体"/>
                <w:color w:val="auto"/>
              </w:rPr>
            </w:pPr>
            <w:r>
              <w:rPr>
                <w:rFonts w:ascii="宋体" w:hAnsi="宋体"/>
                <w:color w:val="auto"/>
              </w:rPr>
              <w:t>8</w:t>
            </w:r>
          </w:p>
        </w:tc>
        <w:tc>
          <w:tcPr>
            <w:tcW w:w="359" w:type="pct"/>
            <w:vAlign w:val="center"/>
          </w:tcPr>
          <w:p w14:paraId="41219E08">
            <w:pPr>
              <w:jc w:val="center"/>
              <w:rPr>
                <w:rFonts w:ascii="宋体" w:hAnsi="宋体"/>
                <w:color w:val="auto"/>
              </w:rPr>
            </w:pPr>
            <w:r>
              <w:rPr>
                <w:rFonts w:ascii="宋体" w:hAnsi="宋体"/>
                <w:color w:val="auto"/>
              </w:rPr>
              <w:t>8</w:t>
            </w:r>
          </w:p>
        </w:tc>
      </w:tr>
      <w:tr w14:paraId="797E5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Merge w:val="restart"/>
            <w:vAlign w:val="center"/>
          </w:tcPr>
          <w:p w14:paraId="427BCE7B">
            <w:pPr>
              <w:jc w:val="center"/>
              <w:rPr>
                <w:rFonts w:ascii="宋体" w:hAnsi="宋体"/>
                <w:color w:val="auto"/>
              </w:rPr>
            </w:pPr>
            <w:r>
              <w:rPr>
                <w:rFonts w:ascii="宋体" w:hAnsi="宋体"/>
                <w:color w:val="auto"/>
              </w:rPr>
              <w:t>氮氧化物</w:t>
            </w:r>
          </w:p>
        </w:tc>
        <w:tc>
          <w:tcPr>
            <w:tcW w:w="469" w:type="pct"/>
            <w:vAlign w:val="center"/>
          </w:tcPr>
          <w:p w14:paraId="49F32932">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288" w:type="pct"/>
            <w:vAlign w:val="center"/>
          </w:tcPr>
          <w:p w14:paraId="581C7667">
            <w:pPr>
              <w:jc w:val="center"/>
              <w:rPr>
                <w:rFonts w:ascii="宋体" w:hAnsi="宋体"/>
                <w:color w:val="auto"/>
              </w:rPr>
            </w:pPr>
            <w:r>
              <w:rPr>
                <w:rFonts w:ascii="宋体" w:hAnsi="宋体"/>
                <w:color w:val="auto"/>
              </w:rPr>
              <w:t>32</w:t>
            </w:r>
          </w:p>
        </w:tc>
        <w:tc>
          <w:tcPr>
            <w:tcW w:w="359" w:type="pct"/>
            <w:vAlign w:val="center"/>
          </w:tcPr>
          <w:p w14:paraId="5B7566FB">
            <w:pPr>
              <w:jc w:val="center"/>
              <w:rPr>
                <w:rFonts w:ascii="宋体" w:hAnsi="宋体"/>
                <w:color w:val="auto"/>
              </w:rPr>
            </w:pPr>
            <w:r>
              <w:rPr>
                <w:rFonts w:ascii="宋体" w:hAnsi="宋体"/>
                <w:color w:val="auto"/>
              </w:rPr>
              <w:t>34</w:t>
            </w:r>
          </w:p>
        </w:tc>
        <w:tc>
          <w:tcPr>
            <w:tcW w:w="359" w:type="pct"/>
            <w:vAlign w:val="center"/>
          </w:tcPr>
          <w:p w14:paraId="0E06B931">
            <w:pPr>
              <w:jc w:val="center"/>
              <w:rPr>
                <w:rFonts w:ascii="宋体" w:hAnsi="宋体"/>
                <w:color w:val="auto"/>
              </w:rPr>
            </w:pPr>
            <w:r>
              <w:rPr>
                <w:rFonts w:ascii="宋体" w:hAnsi="宋体"/>
                <w:color w:val="auto"/>
              </w:rPr>
              <w:t>33</w:t>
            </w:r>
          </w:p>
        </w:tc>
        <w:tc>
          <w:tcPr>
            <w:tcW w:w="359" w:type="pct"/>
            <w:gridSpan w:val="2"/>
            <w:vAlign w:val="center"/>
          </w:tcPr>
          <w:p w14:paraId="31697E4C">
            <w:pPr>
              <w:jc w:val="center"/>
              <w:rPr>
                <w:rFonts w:ascii="宋体" w:hAnsi="宋体"/>
                <w:color w:val="auto"/>
              </w:rPr>
            </w:pPr>
            <w:r>
              <w:rPr>
                <w:rFonts w:ascii="宋体" w:hAnsi="宋体"/>
                <w:color w:val="auto"/>
              </w:rPr>
              <w:t>33</w:t>
            </w:r>
          </w:p>
        </w:tc>
        <w:tc>
          <w:tcPr>
            <w:tcW w:w="359" w:type="pct"/>
            <w:vAlign w:val="center"/>
          </w:tcPr>
          <w:p w14:paraId="66A3C539">
            <w:pPr>
              <w:jc w:val="center"/>
              <w:rPr>
                <w:rFonts w:ascii="宋体" w:hAnsi="宋体"/>
                <w:color w:val="auto"/>
              </w:rPr>
            </w:pPr>
            <w:r>
              <w:rPr>
                <w:rFonts w:ascii="宋体" w:hAnsi="宋体"/>
                <w:color w:val="auto"/>
              </w:rPr>
              <w:t>34</w:t>
            </w:r>
          </w:p>
        </w:tc>
        <w:tc>
          <w:tcPr>
            <w:tcW w:w="359" w:type="pct"/>
            <w:vAlign w:val="center"/>
          </w:tcPr>
          <w:p w14:paraId="000AAE52">
            <w:pPr>
              <w:jc w:val="center"/>
              <w:rPr>
                <w:rFonts w:ascii="宋体" w:hAnsi="宋体"/>
                <w:color w:val="auto"/>
              </w:rPr>
            </w:pPr>
            <w:r>
              <w:rPr>
                <w:rFonts w:ascii="宋体" w:hAnsi="宋体"/>
                <w:color w:val="auto"/>
              </w:rPr>
              <w:t>30</w:t>
            </w:r>
          </w:p>
        </w:tc>
        <w:tc>
          <w:tcPr>
            <w:tcW w:w="359" w:type="pct"/>
            <w:vAlign w:val="center"/>
          </w:tcPr>
          <w:p w14:paraId="17A1ADE2">
            <w:pPr>
              <w:jc w:val="center"/>
              <w:rPr>
                <w:rFonts w:ascii="宋体" w:hAnsi="宋体"/>
                <w:color w:val="auto"/>
              </w:rPr>
            </w:pPr>
            <w:r>
              <w:rPr>
                <w:rFonts w:ascii="宋体" w:hAnsi="宋体"/>
                <w:color w:val="auto"/>
              </w:rPr>
              <w:t>36</w:t>
            </w:r>
          </w:p>
        </w:tc>
        <w:tc>
          <w:tcPr>
            <w:tcW w:w="359" w:type="pct"/>
            <w:vAlign w:val="center"/>
          </w:tcPr>
          <w:p w14:paraId="4D5BB7D8">
            <w:pPr>
              <w:jc w:val="center"/>
              <w:rPr>
                <w:rFonts w:ascii="宋体" w:hAnsi="宋体"/>
                <w:color w:val="auto"/>
              </w:rPr>
            </w:pPr>
            <w:r>
              <w:rPr>
                <w:rFonts w:ascii="宋体" w:hAnsi="宋体"/>
                <w:color w:val="auto"/>
              </w:rPr>
              <w:t>33</w:t>
            </w:r>
          </w:p>
        </w:tc>
        <w:tc>
          <w:tcPr>
            <w:tcW w:w="359" w:type="pct"/>
            <w:vAlign w:val="center"/>
          </w:tcPr>
          <w:p w14:paraId="05FE7380">
            <w:pPr>
              <w:jc w:val="center"/>
              <w:rPr>
                <w:rFonts w:ascii="宋体" w:hAnsi="宋体"/>
                <w:color w:val="auto"/>
              </w:rPr>
            </w:pPr>
            <w:r>
              <w:rPr>
                <w:rFonts w:ascii="宋体" w:hAnsi="宋体"/>
                <w:color w:val="auto"/>
              </w:rPr>
              <w:t>35</w:t>
            </w:r>
          </w:p>
        </w:tc>
        <w:tc>
          <w:tcPr>
            <w:tcW w:w="359" w:type="pct"/>
            <w:vAlign w:val="center"/>
          </w:tcPr>
          <w:p w14:paraId="1011652C">
            <w:pPr>
              <w:jc w:val="center"/>
              <w:rPr>
                <w:rFonts w:ascii="宋体" w:hAnsi="宋体"/>
                <w:color w:val="auto"/>
              </w:rPr>
            </w:pPr>
            <w:r>
              <w:rPr>
                <w:rFonts w:ascii="宋体" w:hAnsi="宋体"/>
                <w:color w:val="auto"/>
              </w:rPr>
              <w:t>35</w:t>
            </w:r>
          </w:p>
        </w:tc>
        <w:tc>
          <w:tcPr>
            <w:tcW w:w="359" w:type="pct"/>
            <w:vAlign w:val="center"/>
          </w:tcPr>
          <w:p w14:paraId="32667B11">
            <w:pPr>
              <w:jc w:val="center"/>
              <w:rPr>
                <w:rFonts w:ascii="宋体" w:hAnsi="宋体"/>
                <w:color w:val="auto"/>
              </w:rPr>
            </w:pPr>
            <w:r>
              <w:rPr>
                <w:rFonts w:ascii="宋体" w:hAnsi="宋体"/>
                <w:color w:val="auto"/>
              </w:rPr>
              <w:t>34</w:t>
            </w:r>
          </w:p>
        </w:tc>
        <w:tc>
          <w:tcPr>
            <w:tcW w:w="359" w:type="pct"/>
            <w:vAlign w:val="center"/>
          </w:tcPr>
          <w:p w14:paraId="2BB05AA1">
            <w:pPr>
              <w:jc w:val="center"/>
              <w:rPr>
                <w:rFonts w:ascii="宋体" w:hAnsi="宋体"/>
                <w:color w:val="auto"/>
              </w:rPr>
            </w:pPr>
            <w:r>
              <w:rPr>
                <w:rFonts w:ascii="宋体" w:hAnsi="宋体"/>
                <w:color w:val="auto"/>
              </w:rPr>
              <w:t>35</w:t>
            </w:r>
          </w:p>
        </w:tc>
      </w:tr>
      <w:tr w14:paraId="0C8C3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Merge w:val="continue"/>
            <w:vAlign w:val="center"/>
          </w:tcPr>
          <w:p w14:paraId="3D85E4F8">
            <w:pPr>
              <w:jc w:val="center"/>
              <w:rPr>
                <w:rFonts w:ascii="宋体" w:hAnsi="宋体"/>
                <w:color w:val="auto"/>
              </w:rPr>
            </w:pPr>
          </w:p>
        </w:tc>
        <w:tc>
          <w:tcPr>
            <w:tcW w:w="469" w:type="pct"/>
            <w:vAlign w:val="center"/>
          </w:tcPr>
          <w:p w14:paraId="2DAE0DAA">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288" w:type="pct"/>
            <w:vAlign w:val="center"/>
          </w:tcPr>
          <w:p w14:paraId="757AE776">
            <w:pPr>
              <w:jc w:val="center"/>
              <w:rPr>
                <w:rFonts w:ascii="宋体" w:hAnsi="宋体"/>
                <w:color w:val="auto"/>
              </w:rPr>
            </w:pPr>
            <w:r>
              <w:rPr>
                <w:rFonts w:ascii="宋体" w:hAnsi="宋体"/>
                <w:color w:val="auto"/>
              </w:rPr>
              <w:t>35</w:t>
            </w:r>
          </w:p>
        </w:tc>
        <w:tc>
          <w:tcPr>
            <w:tcW w:w="359" w:type="pct"/>
            <w:vAlign w:val="center"/>
          </w:tcPr>
          <w:p w14:paraId="198ABA17">
            <w:pPr>
              <w:jc w:val="center"/>
              <w:rPr>
                <w:rFonts w:ascii="宋体" w:hAnsi="宋体"/>
                <w:color w:val="auto"/>
              </w:rPr>
            </w:pPr>
            <w:r>
              <w:rPr>
                <w:rFonts w:ascii="宋体" w:hAnsi="宋体"/>
                <w:color w:val="auto"/>
              </w:rPr>
              <w:t>37</w:t>
            </w:r>
          </w:p>
        </w:tc>
        <w:tc>
          <w:tcPr>
            <w:tcW w:w="359" w:type="pct"/>
            <w:vAlign w:val="center"/>
          </w:tcPr>
          <w:p w14:paraId="1B5C263F">
            <w:pPr>
              <w:jc w:val="center"/>
              <w:rPr>
                <w:rFonts w:ascii="宋体" w:hAnsi="宋体"/>
                <w:color w:val="auto"/>
              </w:rPr>
            </w:pPr>
            <w:r>
              <w:rPr>
                <w:rFonts w:ascii="宋体" w:hAnsi="宋体"/>
                <w:color w:val="auto"/>
              </w:rPr>
              <w:t>35</w:t>
            </w:r>
          </w:p>
        </w:tc>
        <w:tc>
          <w:tcPr>
            <w:tcW w:w="359" w:type="pct"/>
            <w:gridSpan w:val="2"/>
            <w:vAlign w:val="center"/>
          </w:tcPr>
          <w:p w14:paraId="7F18572E">
            <w:pPr>
              <w:jc w:val="center"/>
              <w:rPr>
                <w:rFonts w:ascii="宋体" w:hAnsi="宋体"/>
                <w:color w:val="auto"/>
              </w:rPr>
            </w:pPr>
            <w:r>
              <w:rPr>
                <w:rFonts w:ascii="宋体" w:hAnsi="宋体"/>
                <w:color w:val="auto"/>
              </w:rPr>
              <w:t>36</w:t>
            </w:r>
          </w:p>
        </w:tc>
        <w:tc>
          <w:tcPr>
            <w:tcW w:w="359" w:type="pct"/>
            <w:vAlign w:val="center"/>
          </w:tcPr>
          <w:p w14:paraId="2495122B">
            <w:pPr>
              <w:jc w:val="center"/>
              <w:rPr>
                <w:rFonts w:ascii="宋体" w:hAnsi="宋体"/>
                <w:color w:val="auto"/>
              </w:rPr>
            </w:pPr>
            <w:r>
              <w:rPr>
                <w:rFonts w:ascii="宋体" w:hAnsi="宋体"/>
                <w:color w:val="auto"/>
              </w:rPr>
              <w:t>36</w:t>
            </w:r>
          </w:p>
        </w:tc>
        <w:tc>
          <w:tcPr>
            <w:tcW w:w="359" w:type="pct"/>
            <w:vAlign w:val="center"/>
          </w:tcPr>
          <w:p w14:paraId="70DD0887">
            <w:pPr>
              <w:jc w:val="center"/>
              <w:rPr>
                <w:rFonts w:ascii="宋体" w:hAnsi="宋体"/>
                <w:color w:val="auto"/>
              </w:rPr>
            </w:pPr>
            <w:r>
              <w:rPr>
                <w:rFonts w:ascii="宋体" w:hAnsi="宋体"/>
                <w:color w:val="auto"/>
              </w:rPr>
              <w:t>32</w:t>
            </w:r>
          </w:p>
        </w:tc>
        <w:tc>
          <w:tcPr>
            <w:tcW w:w="359" w:type="pct"/>
            <w:vAlign w:val="center"/>
          </w:tcPr>
          <w:p w14:paraId="100555B7">
            <w:pPr>
              <w:jc w:val="center"/>
              <w:rPr>
                <w:rFonts w:ascii="宋体" w:hAnsi="宋体"/>
                <w:color w:val="auto"/>
              </w:rPr>
            </w:pPr>
            <w:r>
              <w:rPr>
                <w:rFonts w:ascii="宋体" w:hAnsi="宋体"/>
                <w:color w:val="auto"/>
              </w:rPr>
              <w:t>38</w:t>
            </w:r>
          </w:p>
        </w:tc>
        <w:tc>
          <w:tcPr>
            <w:tcW w:w="359" w:type="pct"/>
            <w:vAlign w:val="center"/>
          </w:tcPr>
          <w:p w14:paraId="17F77DC9">
            <w:pPr>
              <w:jc w:val="center"/>
              <w:rPr>
                <w:rFonts w:ascii="宋体" w:hAnsi="宋体"/>
                <w:color w:val="auto"/>
              </w:rPr>
            </w:pPr>
            <w:r>
              <w:rPr>
                <w:rFonts w:ascii="宋体" w:hAnsi="宋体"/>
                <w:color w:val="auto"/>
              </w:rPr>
              <w:t>35</w:t>
            </w:r>
          </w:p>
        </w:tc>
        <w:tc>
          <w:tcPr>
            <w:tcW w:w="359" w:type="pct"/>
            <w:vAlign w:val="center"/>
          </w:tcPr>
          <w:p w14:paraId="43ADD15F">
            <w:pPr>
              <w:jc w:val="center"/>
              <w:rPr>
                <w:rFonts w:ascii="宋体" w:hAnsi="宋体"/>
                <w:color w:val="auto"/>
              </w:rPr>
            </w:pPr>
            <w:r>
              <w:rPr>
                <w:rFonts w:ascii="宋体" w:hAnsi="宋体"/>
                <w:color w:val="auto"/>
              </w:rPr>
              <w:t>38</w:t>
            </w:r>
          </w:p>
        </w:tc>
        <w:tc>
          <w:tcPr>
            <w:tcW w:w="359" w:type="pct"/>
            <w:vAlign w:val="center"/>
          </w:tcPr>
          <w:p w14:paraId="2647EF71">
            <w:pPr>
              <w:jc w:val="center"/>
              <w:rPr>
                <w:rFonts w:ascii="宋体" w:hAnsi="宋体"/>
                <w:color w:val="auto"/>
              </w:rPr>
            </w:pPr>
            <w:r>
              <w:rPr>
                <w:rFonts w:ascii="宋体" w:hAnsi="宋体"/>
                <w:color w:val="auto"/>
              </w:rPr>
              <w:t>38</w:t>
            </w:r>
          </w:p>
        </w:tc>
        <w:tc>
          <w:tcPr>
            <w:tcW w:w="359" w:type="pct"/>
            <w:vAlign w:val="center"/>
          </w:tcPr>
          <w:p w14:paraId="02BB9794">
            <w:pPr>
              <w:jc w:val="center"/>
              <w:rPr>
                <w:rFonts w:ascii="宋体" w:hAnsi="宋体"/>
                <w:color w:val="auto"/>
              </w:rPr>
            </w:pPr>
            <w:r>
              <w:rPr>
                <w:rFonts w:ascii="宋体" w:hAnsi="宋体"/>
                <w:color w:val="auto"/>
              </w:rPr>
              <w:t>37</w:t>
            </w:r>
          </w:p>
        </w:tc>
        <w:tc>
          <w:tcPr>
            <w:tcW w:w="359" w:type="pct"/>
            <w:vAlign w:val="center"/>
          </w:tcPr>
          <w:p w14:paraId="079445F8">
            <w:pPr>
              <w:jc w:val="center"/>
              <w:rPr>
                <w:rFonts w:ascii="宋体" w:hAnsi="宋体"/>
                <w:color w:val="auto"/>
              </w:rPr>
            </w:pPr>
            <w:r>
              <w:rPr>
                <w:rFonts w:ascii="宋体" w:hAnsi="宋体"/>
                <w:color w:val="auto"/>
              </w:rPr>
              <w:t>38</w:t>
            </w:r>
          </w:p>
        </w:tc>
      </w:tr>
      <w:tr w14:paraId="0D55B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Merge w:val="continue"/>
            <w:vAlign w:val="center"/>
          </w:tcPr>
          <w:p w14:paraId="16B2BCAF">
            <w:pPr>
              <w:jc w:val="center"/>
              <w:rPr>
                <w:rFonts w:ascii="宋体" w:hAnsi="宋体"/>
                <w:color w:val="auto"/>
              </w:rPr>
            </w:pPr>
          </w:p>
        </w:tc>
        <w:tc>
          <w:tcPr>
            <w:tcW w:w="469" w:type="pct"/>
            <w:vAlign w:val="center"/>
          </w:tcPr>
          <w:p w14:paraId="3C6082AA">
            <w:pPr>
              <w:jc w:val="center"/>
              <w:rPr>
                <w:rFonts w:ascii="宋体" w:hAnsi="宋体"/>
                <w:color w:val="auto"/>
              </w:rPr>
            </w:pPr>
            <w:r>
              <w:rPr>
                <w:rFonts w:ascii="宋体" w:hAnsi="宋体"/>
                <w:color w:val="auto"/>
              </w:rPr>
              <w:t>排放速率/（kg/h）</w:t>
            </w:r>
          </w:p>
        </w:tc>
        <w:tc>
          <w:tcPr>
            <w:tcW w:w="288" w:type="pct"/>
            <w:vAlign w:val="center"/>
          </w:tcPr>
          <w:p w14:paraId="240CF0BE">
            <w:pPr>
              <w:jc w:val="center"/>
              <w:rPr>
                <w:rFonts w:ascii="宋体" w:hAnsi="宋体"/>
                <w:color w:val="auto"/>
              </w:rPr>
            </w:pPr>
            <w:r>
              <w:rPr>
                <w:rFonts w:ascii="宋体" w:hAnsi="宋体"/>
                <w:color w:val="auto"/>
              </w:rPr>
              <w:t>9.2×10</w:t>
            </w:r>
            <w:r>
              <w:rPr>
                <w:rFonts w:ascii="宋体" w:hAnsi="宋体"/>
                <w:color w:val="auto"/>
                <w:vertAlign w:val="superscript"/>
              </w:rPr>
              <w:t>-3</w:t>
            </w:r>
          </w:p>
        </w:tc>
        <w:tc>
          <w:tcPr>
            <w:tcW w:w="359" w:type="pct"/>
            <w:vAlign w:val="center"/>
          </w:tcPr>
          <w:p w14:paraId="46624B60">
            <w:pPr>
              <w:jc w:val="center"/>
              <w:rPr>
                <w:rFonts w:ascii="宋体" w:hAnsi="宋体"/>
                <w:color w:val="auto"/>
              </w:rPr>
            </w:pPr>
            <w:r>
              <w:rPr>
                <w:rFonts w:ascii="宋体" w:hAnsi="宋体"/>
                <w:color w:val="auto"/>
              </w:rPr>
              <w:t>9.9×10</w:t>
            </w:r>
            <w:r>
              <w:rPr>
                <w:rFonts w:ascii="宋体" w:hAnsi="宋体"/>
                <w:color w:val="auto"/>
                <w:vertAlign w:val="superscript"/>
              </w:rPr>
              <w:t>-3</w:t>
            </w:r>
          </w:p>
        </w:tc>
        <w:tc>
          <w:tcPr>
            <w:tcW w:w="359" w:type="pct"/>
            <w:vAlign w:val="center"/>
          </w:tcPr>
          <w:p w14:paraId="1811D113">
            <w:pPr>
              <w:jc w:val="center"/>
              <w:rPr>
                <w:rFonts w:ascii="宋体" w:hAnsi="宋体"/>
                <w:color w:val="auto"/>
              </w:rPr>
            </w:pPr>
            <w:r>
              <w:rPr>
                <w:rFonts w:ascii="宋体" w:hAnsi="宋体"/>
                <w:color w:val="auto"/>
              </w:rPr>
              <w:t>9.4×10</w:t>
            </w:r>
            <w:r>
              <w:rPr>
                <w:rFonts w:ascii="宋体" w:hAnsi="宋体"/>
                <w:color w:val="auto"/>
                <w:vertAlign w:val="superscript"/>
              </w:rPr>
              <w:t>-3</w:t>
            </w:r>
          </w:p>
        </w:tc>
        <w:tc>
          <w:tcPr>
            <w:tcW w:w="359" w:type="pct"/>
            <w:gridSpan w:val="2"/>
            <w:vAlign w:val="center"/>
          </w:tcPr>
          <w:p w14:paraId="299B987C">
            <w:pPr>
              <w:jc w:val="center"/>
              <w:rPr>
                <w:rFonts w:ascii="宋体" w:hAnsi="宋体"/>
                <w:color w:val="auto"/>
              </w:rPr>
            </w:pPr>
            <w:r>
              <w:rPr>
                <w:rFonts w:ascii="宋体" w:hAnsi="宋体"/>
                <w:color w:val="auto"/>
              </w:rPr>
              <w:t>9.5×10</w:t>
            </w:r>
            <w:r>
              <w:rPr>
                <w:rFonts w:ascii="宋体" w:hAnsi="宋体"/>
                <w:color w:val="auto"/>
                <w:vertAlign w:val="superscript"/>
              </w:rPr>
              <w:t>-3</w:t>
            </w:r>
          </w:p>
        </w:tc>
        <w:tc>
          <w:tcPr>
            <w:tcW w:w="359" w:type="pct"/>
            <w:vAlign w:val="center"/>
          </w:tcPr>
          <w:p w14:paraId="46B17441">
            <w:pPr>
              <w:jc w:val="center"/>
              <w:rPr>
                <w:rFonts w:ascii="宋体" w:hAnsi="宋体"/>
                <w:color w:val="auto"/>
              </w:rPr>
            </w:pPr>
            <w:r>
              <w:rPr>
                <w:rFonts w:ascii="宋体" w:hAnsi="宋体"/>
                <w:color w:val="auto"/>
              </w:rPr>
              <w:t>9.7×10</w:t>
            </w:r>
            <w:r>
              <w:rPr>
                <w:rFonts w:ascii="宋体" w:hAnsi="宋体"/>
                <w:color w:val="auto"/>
                <w:vertAlign w:val="superscript"/>
              </w:rPr>
              <w:t>-3</w:t>
            </w:r>
          </w:p>
        </w:tc>
        <w:tc>
          <w:tcPr>
            <w:tcW w:w="359" w:type="pct"/>
            <w:vAlign w:val="center"/>
          </w:tcPr>
          <w:p w14:paraId="0DC80708">
            <w:pPr>
              <w:jc w:val="center"/>
              <w:rPr>
                <w:rFonts w:ascii="宋体" w:hAnsi="宋体"/>
                <w:color w:val="auto"/>
              </w:rPr>
            </w:pPr>
            <w:r>
              <w:rPr>
                <w:rFonts w:ascii="宋体" w:hAnsi="宋体"/>
                <w:color w:val="auto"/>
              </w:rPr>
              <w:t>8.6×10</w:t>
            </w:r>
            <w:r>
              <w:rPr>
                <w:rFonts w:ascii="宋体" w:hAnsi="宋体"/>
                <w:color w:val="auto"/>
                <w:vertAlign w:val="superscript"/>
              </w:rPr>
              <w:t>-3</w:t>
            </w:r>
          </w:p>
        </w:tc>
        <w:tc>
          <w:tcPr>
            <w:tcW w:w="359" w:type="pct"/>
            <w:vAlign w:val="center"/>
          </w:tcPr>
          <w:p w14:paraId="3EE53C9D">
            <w:pPr>
              <w:jc w:val="center"/>
              <w:rPr>
                <w:rFonts w:ascii="宋体" w:hAnsi="宋体"/>
                <w:color w:val="auto"/>
              </w:rPr>
            </w:pPr>
            <w:r>
              <w:rPr>
                <w:rFonts w:ascii="宋体" w:hAnsi="宋体"/>
                <w:color w:val="auto"/>
              </w:rPr>
              <w:t>1.0×10</w:t>
            </w:r>
            <w:r>
              <w:rPr>
                <w:rFonts w:ascii="宋体" w:hAnsi="宋体"/>
                <w:color w:val="auto"/>
                <w:vertAlign w:val="superscript"/>
              </w:rPr>
              <w:t>-2</w:t>
            </w:r>
          </w:p>
        </w:tc>
        <w:tc>
          <w:tcPr>
            <w:tcW w:w="359" w:type="pct"/>
            <w:vAlign w:val="center"/>
          </w:tcPr>
          <w:p w14:paraId="195AAFF8">
            <w:pPr>
              <w:jc w:val="center"/>
              <w:rPr>
                <w:rFonts w:ascii="宋体" w:hAnsi="宋体"/>
                <w:color w:val="auto"/>
              </w:rPr>
            </w:pPr>
            <w:r>
              <w:rPr>
                <w:rFonts w:ascii="宋体" w:hAnsi="宋体"/>
                <w:color w:val="auto"/>
              </w:rPr>
              <w:t>9.4×10</w:t>
            </w:r>
            <w:r>
              <w:rPr>
                <w:rFonts w:ascii="宋体" w:hAnsi="宋体"/>
                <w:color w:val="auto"/>
                <w:vertAlign w:val="superscript"/>
              </w:rPr>
              <w:t>-3</w:t>
            </w:r>
          </w:p>
        </w:tc>
        <w:tc>
          <w:tcPr>
            <w:tcW w:w="359" w:type="pct"/>
            <w:vAlign w:val="center"/>
          </w:tcPr>
          <w:p w14:paraId="04E8E0E9">
            <w:pPr>
              <w:jc w:val="center"/>
              <w:rPr>
                <w:rFonts w:ascii="宋体" w:hAnsi="宋体"/>
                <w:color w:val="auto"/>
              </w:rPr>
            </w:pPr>
            <w:r>
              <w:rPr>
                <w:rFonts w:ascii="宋体" w:hAnsi="宋体"/>
                <w:color w:val="auto"/>
              </w:rPr>
              <w:t>1.0×10</w:t>
            </w:r>
            <w:r>
              <w:rPr>
                <w:rFonts w:ascii="宋体" w:hAnsi="宋体"/>
                <w:color w:val="auto"/>
                <w:vertAlign w:val="superscript"/>
              </w:rPr>
              <w:t>-2</w:t>
            </w:r>
          </w:p>
        </w:tc>
        <w:tc>
          <w:tcPr>
            <w:tcW w:w="359" w:type="pct"/>
            <w:vAlign w:val="center"/>
          </w:tcPr>
          <w:p w14:paraId="5E718ED6">
            <w:pPr>
              <w:jc w:val="center"/>
              <w:rPr>
                <w:rFonts w:ascii="宋体" w:hAnsi="宋体"/>
                <w:color w:val="auto"/>
              </w:rPr>
            </w:pPr>
            <w:r>
              <w:rPr>
                <w:rFonts w:ascii="宋体" w:hAnsi="宋体"/>
                <w:color w:val="auto"/>
              </w:rPr>
              <w:t>1.0×10</w:t>
            </w:r>
            <w:r>
              <w:rPr>
                <w:rFonts w:ascii="宋体" w:hAnsi="宋体"/>
                <w:color w:val="auto"/>
                <w:vertAlign w:val="superscript"/>
              </w:rPr>
              <w:t>-2</w:t>
            </w:r>
          </w:p>
        </w:tc>
        <w:tc>
          <w:tcPr>
            <w:tcW w:w="359" w:type="pct"/>
            <w:vAlign w:val="center"/>
          </w:tcPr>
          <w:p w14:paraId="3EE3A928">
            <w:pPr>
              <w:jc w:val="center"/>
              <w:rPr>
                <w:rFonts w:ascii="宋体" w:hAnsi="宋体"/>
                <w:color w:val="auto"/>
              </w:rPr>
            </w:pPr>
            <w:r>
              <w:rPr>
                <w:rFonts w:ascii="宋体" w:hAnsi="宋体"/>
                <w:color w:val="auto"/>
              </w:rPr>
              <w:t>9.7×10</w:t>
            </w:r>
            <w:r>
              <w:rPr>
                <w:rFonts w:ascii="宋体" w:hAnsi="宋体"/>
                <w:color w:val="auto"/>
                <w:vertAlign w:val="superscript"/>
              </w:rPr>
              <w:t>-3</w:t>
            </w:r>
          </w:p>
        </w:tc>
        <w:tc>
          <w:tcPr>
            <w:tcW w:w="359" w:type="pct"/>
            <w:vAlign w:val="center"/>
          </w:tcPr>
          <w:p w14:paraId="7D9C8BA4">
            <w:pPr>
              <w:jc w:val="center"/>
              <w:rPr>
                <w:rFonts w:ascii="宋体" w:hAnsi="宋体"/>
                <w:color w:val="auto"/>
              </w:rPr>
            </w:pPr>
            <w:r>
              <w:rPr>
                <w:rFonts w:ascii="宋体" w:hAnsi="宋体"/>
                <w:color w:val="auto"/>
              </w:rPr>
              <w:t>9.9×10</w:t>
            </w:r>
            <w:r>
              <w:rPr>
                <w:rFonts w:ascii="宋体" w:hAnsi="宋体"/>
                <w:color w:val="auto"/>
                <w:vertAlign w:val="superscript"/>
              </w:rPr>
              <w:t>-3</w:t>
            </w:r>
          </w:p>
        </w:tc>
      </w:tr>
      <w:tr w14:paraId="2F4AC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8" w:type="pct"/>
            <w:gridSpan w:val="2"/>
            <w:vAlign w:val="center"/>
          </w:tcPr>
          <w:p w14:paraId="4D48F827">
            <w:pPr>
              <w:jc w:val="center"/>
              <w:rPr>
                <w:rFonts w:ascii="宋体" w:hAnsi="宋体"/>
                <w:color w:val="auto"/>
              </w:rPr>
            </w:pPr>
            <w:r>
              <w:rPr>
                <w:rFonts w:ascii="宋体" w:hAnsi="宋体"/>
                <w:color w:val="auto"/>
              </w:rPr>
              <w:t>烟气黑度/（级）</w:t>
            </w:r>
          </w:p>
        </w:tc>
        <w:tc>
          <w:tcPr>
            <w:tcW w:w="1363" w:type="pct"/>
            <w:gridSpan w:val="4"/>
            <w:vAlign w:val="center"/>
          </w:tcPr>
          <w:p w14:paraId="33408079">
            <w:pPr>
              <w:jc w:val="center"/>
              <w:rPr>
                <w:rFonts w:ascii="宋体" w:hAnsi="宋体"/>
                <w:color w:val="auto"/>
              </w:rPr>
            </w:pPr>
            <w:r>
              <w:rPr>
                <w:rFonts w:ascii="宋体" w:hAnsi="宋体"/>
                <w:color w:val="auto"/>
              </w:rPr>
              <w:t>＜1</w:t>
            </w:r>
          </w:p>
        </w:tc>
        <w:tc>
          <w:tcPr>
            <w:tcW w:w="1441" w:type="pct"/>
            <w:gridSpan w:val="5"/>
            <w:vAlign w:val="center"/>
          </w:tcPr>
          <w:p w14:paraId="4F62DA59">
            <w:pPr>
              <w:jc w:val="center"/>
              <w:rPr>
                <w:rFonts w:ascii="宋体" w:hAnsi="宋体"/>
                <w:color w:val="auto"/>
              </w:rPr>
            </w:pPr>
            <w:r>
              <w:rPr>
                <w:rFonts w:ascii="宋体" w:hAnsi="宋体"/>
                <w:color w:val="auto"/>
              </w:rPr>
              <w:t>＜1</w:t>
            </w:r>
          </w:p>
        </w:tc>
        <w:tc>
          <w:tcPr>
            <w:tcW w:w="1438" w:type="pct"/>
            <w:gridSpan w:val="4"/>
            <w:vAlign w:val="center"/>
          </w:tcPr>
          <w:p w14:paraId="3F479D80">
            <w:pPr>
              <w:jc w:val="center"/>
              <w:rPr>
                <w:rFonts w:ascii="宋体" w:hAnsi="宋体"/>
                <w:color w:val="auto"/>
              </w:rPr>
            </w:pPr>
            <w:r>
              <w:rPr>
                <w:rFonts w:ascii="宋体" w:hAnsi="宋体"/>
                <w:color w:val="auto"/>
              </w:rPr>
              <w:t>＜1</w:t>
            </w:r>
          </w:p>
        </w:tc>
      </w:tr>
      <w:tr w14:paraId="38531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9" w:type="pct"/>
            <w:vAlign w:val="center"/>
          </w:tcPr>
          <w:p w14:paraId="0461BF9F">
            <w:pPr>
              <w:jc w:val="center"/>
              <w:rPr>
                <w:rFonts w:ascii="宋体" w:hAnsi="宋体"/>
                <w:color w:val="auto"/>
              </w:rPr>
            </w:pPr>
            <w:r>
              <w:rPr>
                <w:rFonts w:ascii="宋体" w:hAnsi="宋体"/>
                <w:color w:val="auto"/>
              </w:rPr>
              <w:t>备注</w:t>
            </w:r>
          </w:p>
        </w:tc>
        <w:tc>
          <w:tcPr>
            <w:tcW w:w="4711" w:type="pct"/>
            <w:gridSpan w:val="14"/>
            <w:vAlign w:val="center"/>
          </w:tcPr>
          <w:p w14:paraId="5E0E2567">
            <w:pPr>
              <w:numPr>
                <w:ilvl w:val="0"/>
                <w:numId w:val="25"/>
              </w:numPr>
              <w:jc w:val="center"/>
              <w:rPr>
                <w:rFonts w:ascii="宋体" w:hAnsi="宋体"/>
                <w:color w:val="auto"/>
              </w:rPr>
            </w:pPr>
            <w:r>
              <w:rPr>
                <w:rFonts w:ascii="宋体" w:hAnsi="宋体"/>
                <w:color w:val="auto"/>
              </w:rPr>
              <w:t>基准氧含量：3.5%</w:t>
            </w:r>
          </w:p>
          <w:p w14:paraId="3B1E8327">
            <w:pPr>
              <w:jc w:val="center"/>
              <w:rPr>
                <w:rFonts w:ascii="宋体" w:hAnsi="宋体"/>
                <w:color w:val="auto"/>
              </w:rPr>
            </w:pPr>
            <w:r>
              <w:rPr>
                <w:rFonts w:ascii="宋体" w:hAnsi="宋体"/>
                <w:color w:val="auto"/>
              </w:rPr>
              <w:t>2、HJ 57-2017固定污染源废气 二氧化硫的测定 定电位电解法检测二氧化硫，一氧化碳干扰显著，测定样品时须同时测定一氧化碳浓度，一氧化碳浓度超过50μmol/mol（62.5mg/m</w:t>
            </w:r>
            <w:r>
              <w:rPr>
                <w:rFonts w:ascii="宋体" w:hAnsi="宋体"/>
                <w:color w:val="auto"/>
                <w:vertAlign w:val="superscript"/>
              </w:rPr>
              <w:t>3</w:t>
            </w:r>
            <w:r>
              <w:rPr>
                <w:rFonts w:ascii="宋体" w:hAnsi="宋体"/>
                <w:color w:val="auto"/>
              </w:rPr>
              <w:t>）时，定电位电解法不适用。</w:t>
            </w:r>
          </w:p>
          <w:p w14:paraId="57782290">
            <w:pPr>
              <w:jc w:val="center"/>
              <w:rPr>
                <w:rFonts w:ascii="宋体" w:hAnsi="宋体"/>
                <w:color w:val="auto"/>
              </w:rPr>
            </w:pPr>
            <w:r>
              <w:rPr>
                <w:rFonts w:ascii="宋体" w:hAnsi="宋体"/>
                <w:color w:val="auto"/>
              </w:rPr>
              <w:t>3、检测结果低于分析方法检出限时，结果报告为使用方法检出限值，并加标志位“L”。</w:t>
            </w:r>
          </w:p>
          <w:p w14:paraId="6F35AC68">
            <w:pPr>
              <w:jc w:val="center"/>
              <w:rPr>
                <w:rFonts w:ascii="宋体" w:hAnsi="宋体"/>
                <w:color w:val="auto"/>
              </w:rPr>
            </w:pPr>
            <w:r>
              <w:rPr>
                <w:rFonts w:ascii="宋体" w:hAnsi="宋体"/>
                <w:color w:val="auto"/>
              </w:rPr>
              <w:t>4、如果实测浓度用检出限（L）或＜检出限表示，则折算浓度按照折算后结果表示。</w:t>
            </w:r>
          </w:p>
        </w:tc>
      </w:tr>
    </w:tbl>
    <w:p w14:paraId="19447D41">
      <w:pPr>
        <w:rPr>
          <w:color w:val="auto"/>
        </w:rPr>
      </w:pPr>
    </w:p>
    <w:p w14:paraId="647BFEEC">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9</w:t>
      </w:r>
      <w:r>
        <w:rPr>
          <w:color w:val="auto"/>
        </w:rPr>
        <w:fldChar w:fldCharType="end"/>
      </w:r>
      <w:r>
        <w:rPr>
          <w:rFonts w:hint="eastAsia"/>
          <w:color w:val="auto"/>
        </w:rPr>
        <w:t xml:space="preserve"> 9#井场加热炉排气筒监测数据（1）</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1092"/>
        <w:gridCol w:w="1040"/>
        <w:gridCol w:w="1040"/>
        <w:gridCol w:w="1040"/>
        <w:gridCol w:w="783"/>
        <w:gridCol w:w="257"/>
        <w:gridCol w:w="1040"/>
        <w:gridCol w:w="1040"/>
        <w:gridCol w:w="1040"/>
        <w:gridCol w:w="1040"/>
        <w:gridCol w:w="1040"/>
        <w:gridCol w:w="1040"/>
        <w:gridCol w:w="1040"/>
        <w:gridCol w:w="1040"/>
      </w:tblGrid>
      <w:tr w14:paraId="5315E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481C4FEF">
            <w:pPr>
              <w:jc w:val="center"/>
              <w:rPr>
                <w:rFonts w:ascii="宋体" w:hAnsi="宋体"/>
                <w:color w:val="auto"/>
              </w:rPr>
            </w:pPr>
            <w:r>
              <w:rPr>
                <w:rFonts w:ascii="宋体" w:hAnsi="宋体"/>
                <w:color w:val="auto"/>
              </w:rPr>
              <w:t>排气筒名称</w:t>
            </w:r>
          </w:p>
        </w:tc>
        <w:tc>
          <w:tcPr>
            <w:tcW w:w="4401" w:type="pct"/>
            <w:gridSpan w:val="13"/>
            <w:vAlign w:val="center"/>
          </w:tcPr>
          <w:p w14:paraId="1B0F4D80">
            <w:pPr>
              <w:jc w:val="center"/>
              <w:rPr>
                <w:rFonts w:ascii="宋体" w:hAnsi="宋体"/>
                <w:color w:val="auto"/>
              </w:rPr>
            </w:pPr>
            <w:r>
              <w:rPr>
                <w:rFonts w:ascii="宋体" w:hAnsi="宋体"/>
                <w:color w:val="auto"/>
              </w:rPr>
              <w:t>9#井场加热炉</w:t>
            </w:r>
          </w:p>
        </w:tc>
      </w:tr>
      <w:tr w14:paraId="7D0FF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0348B22C">
            <w:pPr>
              <w:jc w:val="center"/>
              <w:rPr>
                <w:rFonts w:ascii="宋体" w:hAnsi="宋体"/>
                <w:color w:val="auto"/>
              </w:rPr>
            </w:pPr>
            <w:r>
              <w:rPr>
                <w:rFonts w:ascii="宋体" w:hAnsi="宋体"/>
                <w:color w:val="auto"/>
              </w:rPr>
              <w:t>采样日期</w:t>
            </w:r>
          </w:p>
        </w:tc>
        <w:tc>
          <w:tcPr>
            <w:tcW w:w="4401" w:type="pct"/>
            <w:gridSpan w:val="13"/>
            <w:vAlign w:val="center"/>
          </w:tcPr>
          <w:p w14:paraId="10AE2422">
            <w:pPr>
              <w:jc w:val="center"/>
              <w:rPr>
                <w:rFonts w:ascii="宋体" w:hAnsi="宋体"/>
                <w:color w:val="auto"/>
              </w:rPr>
            </w:pPr>
            <w:r>
              <w:rPr>
                <w:rFonts w:ascii="宋体" w:hAnsi="宋体"/>
                <w:color w:val="auto"/>
              </w:rPr>
              <w:t>2026.03.19</w:t>
            </w:r>
          </w:p>
        </w:tc>
      </w:tr>
      <w:tr w14:paraId="319D4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1B3746F5">
            <w:pPr>
              <w:jc w:val="center"/>
              <w:rPr>
                <w:rFonts w:ascii="宋体" w:hAnsi="宋体"/>
                <w:color w:val="auto"/>
              </w:rPr>
            </w:pPr>
            <w:r>
              <w:rPr>
                <w:rFonts w:ascii="宋体" w:hAnsi="宋体"/>
                <w:color w:val="auto"/>
              </w:rPr>
              <w:t>分析日期</w:t>
            </w:r>
          </w:p>
        </w:tc>
        <w:tc>
          <w:tcPr>
            <w:tcW w:w="4401" w:type="pct"/>
            <w:gridSpan w:val="13"/>
            <w:vAlign w:val="center"/>
          </w:tcPr>
          <w:p w14:paraId="66EDBF93">
            <w:pPr>
              <w:jc w:val="center"/>
              <w:rPr>
                <w:rFonts w:ascii="宋体" w:hAnsi="宋体"/>
                <w:color w:val="auto"/>
              </w:rPr>
            </w:pPr>
            <w:r>
              <w:rPr>
                <w:rFonts w:ascii="宋体" w:hAnsi="宋体"/>
                <w:color w:val="auto"/>
              </w:rPr>
              <w:t>2026.03.19-03.23</w:t>
            </w:r>
          </w:p>
        </w:tc>
      </w:tr>
      <w:tr w14:paraId="024E9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18CB2FEF">
            <w:pPr>
              <w:jc w:val="center"/>
              <w:rPr>
                <w:rFonts w:ascii="宋体" w:hAnsi="宋体"/>
                <w:color w:val="auto"/>
              </w:rPr>
            </w:pPr>
            <w:r>
              <w:rPr>
                <w:rFonts w:ascii="宋体" w:hAnsi="宋体"/>
                <w:color w:val="auto"/>
              </w:rPr>
              <w:t>排气筒高度/（m）</w:t>
            </w:r>
          </w:p>
        </w:tc>
        <w:tc>
          <w:tcPr>
            <w:tcW w:w="4401" w:type="pct"/>
            <w:gridSpan w:val="13"/>
            <w:vAlign w:val="center"/>
          </w:tcPr>
          <w:p w14:paraId="329FFAA5">
            <w:pPr>
              <w:jc w:val="center"/>
              <w:rPr>
                <w:rFonts w:ascii="宋体" w:hAnsi="宋体"/>
                <w:color w:val="auto"/>
              </w:rPr>
            </w:pPr>
            <w:r>
              <w:rPr>
                <w:rFonts w:ascii="宋体" w:hAnsi="宋体"/>
                <w:color w:val="auto"/>
              </w:rPr>
              <w:t>9.4</w:t>
            </w:r>
          </w:p>
        </w:tc>
      </w:tr>
      <w:tr w14:paraId="075E6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68DE689F">
            <w:pPr>
              <w:jc w:val="center"/>
              <w:rPr>
                <w:rFonts w:ascii="宋体" w:hAnsi="宋体"/>
                <w:color w:val="auto"/>
              </w:rPr>
            </w:pPr>
            <w:r>
              <w:rPr>
                <w:rFonts w:ascii="宋体" w:hAnsi="宋体"/>
                <w:color w:val="auto"/>
              </w:rPr>
              <w:t>测点截面积/（m</w:t>
            </w:r>
            <w:r>
              <w:rPr>
                <w:rFonts w:ascii="宋体" w:hAnsi="宋体"/>
                <w:color w:val="auto"/>
                <w:vertAlign w:val="superscript"/>
              </w:rPr>
              <w:t>2</w:t>
            </w:r>
            <w:r>
              <w:rPr>
                <w:rFonts w:ascii="宋体" w:hAnsi="宋体"/>
                <w:color w:val="auto"/>
              </w:rPr>
              <w:t>）</w:t>
            </w:r>
          </w:p>
        </w:tc>
        <w:tc>
          <w:tcPr>
            <w:tcW w:w="4401" w:type="pct"/>
            <w:gridSpan w:val="13"/>
            <w:vAlign w:val="center"/>
          </w:tcPr>
          <w:p w14:paraId="1EDA0840">
            <w:pPr>
              <w:jc w:val="center"/>
              <w:rPr>
                <w:rFonts w:ascii="宋体" w:hAnsi="宋体"/>
                <w:color w:val="auto"/>
              </w:rPr>
            </w:pPr>
            <w:r>
              <w:rPr>
                <w:rFonts w:ascii="宋体" w:hAnsi="宋体"/>
                <w:color w:val="auto"/>
              </w:rPr>
              <w:t>0.018</w:t>
            </w:r>
          </w:p>
        </w:tc>
      </w:tr>
      <w:tr w14:paraId="07EC6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02AA9E71">
            <w:pPr>
              <w:jc w:val="center"/>
              <w:rPr>
                <w:rFonts w:ascii="宋体" w:hAnsi="宋体"/>
                <w:color w:val="auto"/>
              </w:rPr>
            </w:pPr>
            <w:r>
              <w:rPr>
                <w:rFonts w:ascii="宋体" w:hAnsi="宋体"/>
                <w:color w:val="auto"/>
              </w:rPr>
              <w:t>采样频次</w:t>
            </w:r>
          </w:p>
        </w:tc>
        <w:tc>
          <w:tcPr>
            <w:tcW w:w="360" w:type="pct"/>
            <w:vAlign w:val="center"/>
          </w:tcPr>
          <w:p w14:paraId="5D4BB56D">
            <w:pPr>
              <w:jc w:val="center"/>
              <w:rPr>
                <w:rFonts w:ascii="宋体" w:hAnsi="宋体"/>
                <w:color w:val="auto"/>
              </w:rPr>
            </w:pPr>
            <w:r>
              <w:rPr>
                <w:rFonts w:ascii="宋体" w:hAnsi="宋体"/>
                <w:color w:val="auto"/>
              </w:rPr>
              <w:t>1</w:t>
            </w:r>
          </w:p>
        </w:tc>
        <w:tc>
          <w:tcPr>
            <w:tcW w:w="370" w:type="pct"/>
            <w:vAlign w:val="center"/>
          </w:tcPr>
          <w:p w14:paraId="71E3C660">
            <w:pPr>
              <w:jc w:val="center"/>
              <w:rPr>
                <w:rFonts w:ascii="宋体" w:hAnsi="宋体"/>
                <w:color w:val="auto"/>
              </w:rPr>
            </w:pPr>
            <w:r>
              <w:rPr>
                <w:rFonts w:ascii="宋体" w:hAnsi="宋体"/>
                <w:color w:val="auto"/>
              </w:rPr>
              <w:t>2</w:t>
            </w:r>
          </w:p>
        </w:tc>
        <w:tc>
          <w:tcPr>
            <w:tcW w:w="370" w:type="pct"/>
            <w:vAlign w:val="center"/>
          </w:tcPr>
          <w:p w14:paraId="14A4AC22">
            <w:pPr>
              <w:jc w:val="center"/>
              <w:rPr>
                <w:rFonts w:ascii="宋体" w:hAnsi="宋体"/>
                <w:color w:val="auto"/>
              </w:rPr>
            </w:pPr>
            <w:r>
              <w:rPr>
                <w:rFonts w:ascii="宋体" w:hAnsi="宋体"/>
                <w:color w:val="auto"/>
              </w:rPr>
              <w:t>3</w:t>
            </w:r>
          </w:p>
        </w:tc>
        <w:tc>
          <w:tcPr>
            <w:tcW w:w="360" w:type="pct"/>
            <w:gridSpan w:val="2"/>
            <w:vAlign w:val="center"/>
          </w:tcPr>
          <w:p w14:paraId="69CEFDB0">
            <w:pPr>
              <w:jc w:val="center"/>
              <w:rPr>
                <w:rFonts w:ascii="宋体" w:hAnsi="宋体"/>
                <w:color w:val="auto"/>
              </w:rPr>
            </w:pPr>
            <w:r>
              <w:rPr>
                <w:rFonts w:ascii="宋体" w:hAnsi="宋体"/>
                <w:color w:val="auto"/>
              </w:rPr>
              <w:t>平均值</w:t>
            </w:r>
          </w:p>
        </w:tc>
        <w:tc>
          <w:tcPr>
            <w:tcW w:w="367" w:type="pct"/>
            <w:vAlign w:val="center"/>
          </w:tcPr>
          <w:p w14:paraId="48875819">
            <w:pPr>
              <w:jc w:val="center"/>
              <w:rPr>
                <w:rFonts w:ascii="宋体" w:hAnsi="宋体"/>
                <w:color w:val="auto"/>
              </w:rPr>
            </w:pPr>
            <w:r>
              <w:rPr>
                <w:rFonts w:ascii="宋体" w:hAnsi="宋体"/>
                <w:color w:val="auto"/>
              </w:rPr>
              <w:t>4</w:t>
            </w:r>
          </w:p>
        </w:tc>
        <w:tc>
          <w:tcPr>
            <w:tcW w:w="370" w:type="pct"/>
            <w:vAlign w:val="center"/>
          </w:tcPr>
          <w:p w14:paraId="4262C6CA">
            <w:pPr>
              <w:jc w:val="center"/>
              <w:rPr>
                <w:rFonts w:ascii="宋体" w:hAnsi="宋体"/>
                <w:color w:val="auto"/>
              </w:rPr>
            </w:pPr>
            <w:r>
              <w:rPr>
                <w:rFonts w:ascii="宋体" w:hAnsi="宋体"/>
                <w:color w:val="auto"/>
              </w:rPr>
              <w:t>5</w:t>
            </w:r>
          </w:p>
        </w:tc>
        <w:tc>
          <w:tcPr>
            <w:tcW w:w="371" w:type="pct"/>
            <w:vAlign w:val="center"/>
          </w:tcPr>
          <w:p w14:paraId="07D19456">
            <w:pPr>
              <w:jc w:val="center"/>
              <w:rPr>
                <w:rFonts w:ascii="宋体" w:hAnsi="宋体"/>
                <w:color w:val="auto"/>
              </w:rPr>
            </w:pPr>
            <w:r>
              <w:rPr>
                <w:rFonts w:ascii="宋体" w:hAnsi="宋体"/>
                <w:color w:val="auto"/>
              </w:rPr>
              <w:t>6</w:t>
            </w:r>
          </w:p>
        </w:tc>
        <w:tc>
          <w:tcPr>
            <w:tcW w:w="361" w:type="pct"/>
            <w:vAlign w:val="center"/>
          </w:tcPr>
          <w:p w14:paraId="42A665AC">
            <w:pPr>
              <w:jc w:val="center"/>
              <w:rPr>
                <w:rFonts w:ascii="宋体" w:hAnsi="宋体"/>
                <w:color w:val="auto"/>
              </w:rPr>
            </w:pPr>
            <w:r>
              <w:rPr>
                <w:rFonts w:ascii="宋体" w:hAnsi="宋体"/>
                <w:color w:val="auto"/>
              </w:rPr>
              <w:t>平均值</w:t>
            </w:r>
          </w:p>
        </w:tc>
        <w:tc>
          <w:tcPr>
            <w:tcW w:w="369" w:type="pct"/>
            <w:vAlign w:val="center"/>
          </w:tcPr>
          <w:p w14:paraId="172FC4C9">
            <w:pPr>
              <w:jc w:val="center"/>
              <w:rPr>
                <w:rFonts w:ascii="宋体" w:hAnsi="宋体"/>
                <w:color w:val="auto"/>
              </w:rPr>
            </w:pPr>
            <w:r>
              <w:rPr>
                <w:rFonts w:ascii="宋体" w:hAnsi="宋体"/>
                <w:color w:val="auto"/>
              </w:rPr>
              <w:t>7</w:t>
            </w:r>
          </w:p>
        </w:tc>
        <w:tc>
          <w:tcPr>
            <w:tcW w:w="371" w:type="pct"/>
            <w:vAlign w:val="center"/>
          </w:tcPr>
          <w:p w14:paraId="71169E79">
            <w:pPr>
              <w:jc w:val="center"/>
              <w:rPr>
                <w:rFonts w:ascii="宋体" w:hAnsi="宋体"/>
                <w:color w:val="auto"/>
              </w:rPr>
            </w:pPr>
            <w:r>
              <w:rPr>
                <w:rFonts w:ascii="宋体" w:hAnsi="宋体"/>
                <w:color w:val="auto"/>
              </w:rPr>
              <w:t>8</w:t>
            </w:r>
          </w:p>
        </w:tc>
        <w:tc>
          <w:tcPr>
            <w:tcW w:w="371" w:type="pct"/>
            <w:vAlign w:val="center"/>
          </w:tcPr>
          <w:p w14:paraId="4AF3E2A3">
            <w:pPr>
              <w:jc w:val="center"/>
              <w:rPr>
                <w:rFonts w:ascii="宋体" w:hAnsi="宋体"/>
                <w:color w:val="auto"/>
              </w:rPr>
            </w:pPr>
            <w:r>
              <w:rPr>
                <w:rFonts w:ascii="宋体" w:hAnsi="宋体"/>
                <w:color w:val="auto"/>
              </w:rPr>
              <w:t>9</w:t>
            </w:r>
          </w:p>
        </w:tc>
        <w:tc>
          <w:tcPr>
            <w:tcW w:w="361" w:type="pct"/>
            <w:vAlign w:val="center"/>
          </w:tcPr>
          <w:p w14:paraId="427DBD97">
            <w:pPr>
              <w:jc w:val="center"/>
              <w:rPr>
                <w:rFonts w:ascii="宋体" w:hAnsi="宋体"/>
                <w:color w:val="auto"/>
              </w:rPr>
            </w:pPr>
            <w:r>
              <w:rPr>
                <w:rFonts w:ascii="宋体" w:hAnsi="宋体"/>
                <w:color w:val="auto"/>
              </w:rPr>
              <w:t>平均值</w:t>
            </w:r>
          </w:p>
        </w:tc>
      </w:tr>
      <w:tr w14:paraId="507BF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62BFF2F1">
            <w:pPr>
              <w:jc w:val="center"/>
              <w:rPr>
                <w:rFonts w:ascii="宋体" w:hAnsi="宋体"/>
                <w:color w:val="auto"/>
              </w:rPr>
            </w:pPr>
            <w:r>
              <w:rPr>
                <w:rFonts w:ascii="宋体" w:hAnsi="宋体"/>
                <w:color w:val="auto"/>
              </w:rPr>
              <w:t>温度/(</w:t>
            </w:r>
            <w:r>
              <w:rPr>
                <w:rFonts w:hint="eastAsia" w:ascii="宋体" w:hAnsi="宋体"/>
                <w:color w:val="auto"/>
              </w:rPr>
              <w:t>℃</w:t>
            </w:r>
            <w:r>
              <w:rPr>
                <w:rFonts w:ascii="宋体" w:hAnsi="宋体"/>
                <w:color w:val="auto"/>
              </w:rPr>
              <w:t>)</w:t>
            </w:r>
          </w:p>
        </w:tc>
        <w:tc>
          <w:tcPr>
            <w:tcW w:w="360" w:type="pct"/>
            <w:vAlign w:val="center"/>
          </w:tcPr>
          <w:p w14:paraId="2FF724C3">
            <w:pPr>
              <w:jc w:val="center"/>
              <w:rPr>
                <w:rFonts w:ascii="宋体" w:hAnsi="宋体"/>
                <w:color w:val="auto"/>
              </w:rPr>
            </w:pPr>
            <w:r>
              <w:rPr>
                <w:rFonts w:ascii="宋体" w:hAnsi="宋体"/>
                <w:color w:val="auto"/>
              </w:rPr>
              <w:t>59</w:t>
            </w:r>
          </w:p>
        </w:tc>
        <w:tc>
          <w:tcPr>
            <w:tcW w:w="370" w:type="pct"/>
            <w:vAlign w:val="center"/>
          </w:tcPr>
          <w:p w14:paraId="7C063F90">
            <w:pPr>
              <w:jc w:val="center"/>
              <w:rPr>
                <w:rFonts w:ascii="宋体" w:hAnsi="宋体"/>
                <w:color w:val="auto"/>
              </w:rPr>
            </w:pPr>
            <w:r>
              <w:rPr>
                <w:rFonts w:ascii="宋体" w:hAnsi="宋体"/>
                <w:color w:val="auto"/>
              </w:rPr>
              <w:t>60</w:t>
            </w:r>
          </w:p>
        </w:tc>
        <w:tc>
          <w:tcPr>
            <w:tcW w:w="370" w:type="pct"/>
            <w:vAlign w:val="center"/>
          </w:tcPr>
          <w:p w14:paraId="0EC74151">
            <w:pPr>
              <w:jc w:val="center"/>
              <w:rPr>
                <w:rFonts w:ascii="宋体" w:hAnsi="宋体"/>
                <w:color w:val="auto"/>
              </w:rPr>
            </w:pPr>
            <w:r>
              <w:rPr>
                <w:rFonts w:ascii="宋体" w:hAnsi="宋体"/>
                <w:color w:val="auto"/>
              </w:rPr>
              <w:t>59</w:t>
            </w:r>
          </w:p>
        </w:tc>
        <w:tc>
          <w:tcPr>
            <w:tcW w:w="360" w:type="pct"/>
            <w:gridSpan w:val="2"/>
            <w:vAlign w:val="center"/>
          </w:tcPr>
          <w:p w14:paraId="7F26CD92">
            <w:pPr>
              <w:jc w:val="center"/>
              <w:rPr>
                <w:rFonts w:ascii="宋体" w:hAnsi="宋体"/>
                <w:color w:val="auto"/>
              </w:rPr>
            </w:pPr>
            <w:r>
              <w:rPr>
                <w:rFonts w:ascii="宋体" w:hAnsi="宋体"/>
                <w:color w:val="auto"/>
              </w:rPr>
              <w:t>/</w:t>
            </w:r>
          </w:p>
        </w:tc>
        <w:tc>
          <w:tcPr>
            <w:tcW w:w="367" w:type="pct"/>
            <w:vAlign w:val="center"/>
          </w:tcPr>
          <w:p w14:paraId="1126BEFB">
            <w:pPr>
              <w:jc w:val="center"/>
              <w:rPr>
                <w:rFonts w:ascii="宋体" w:hAnsi="宋体"/>
                <w:color w:val="auto"/>
              </w:rPr>
            </w:pPr>
            <w:r>
              <w:rPr>
                <w:rFonts w:ascii="宋体" w:hAnsi="宋体"/>
                <w:color w:val="auto"/>
              </w:rPr>
              <w:t>59</w:t>
            </w:r>
          </w:p>
        </w:tc>
        <w:tc>
          <w:tcPr>
            <w:tcW w:w="370" w:type="pct"/>
            <w:vAlign w:val="center"/>
          </w:tcPr>
          <w:p w14:paraId="2E9DFE7E">
            <w:pPr>
              <w:jc w:val="center"/>
              <w:rPr>
                <w:rFonts w:ascii="宋体" w:hAnsi="宋体"/>
                <w:color w:val="auto"/>
              </w:rPr>
            </w:pPr>
            <w:r>
              <w:rPr>
                <w:rFonts w:ascii="宋体" w:hAnsi="宋体"/>
                <w:color w:val="auto"/>
              </w:rPr>
              <w:t>59</w:t>
            </w:r>
          </w:p>
        </w:tc>
        <w:tc>
          <w:tcPr>
            <w:tcW w:w="371" w:type="pct"/>
            <w:vAlign w:val="center"/>
          </w:tcPr>
          <w:p w14:paraId="4B27F7DE">
            <w:pPr>
              <w:jc w:val="center"/>
              <w:rPr>
                <w:rFonts w:ascii="宋体" w:hAnsi="宋体"/>
                <w:color w:val="auto"/>
              </w:rPr>
            </w:pPr>
            <w:r>
              <w:rPr>
                <w:rFonts w:ascii="宋体" w:hAnsi="宋体"/>
                <w:color w:val="auto"/>
              </w:rPr>
              <w:t>59</w:t>
            </w:r>
          </w:p>
        </w:tc>
        <w:tc>
          <w:tcPr>
            <w:tcW w:w="361" w:type="pct"/>
            <w:vAlign w:val="center"/>
          </w:tcPr>
          <w:p w14:paraId="6B3BE26F">
            <w:pPr>
              <w:jc w:val="center"/>
              <w:rPr>
                <w:rFonts w:ascii="宋体" w:hAnsi="宋体"/>
                <w:color w:val="auto"/>
              </w:rPr>
            </w:pPr>
            <w:r>
              <w:rPr>
                <w:rFonts w:ascii="宋体" w:hAnsi="宋体"/>
                <w:color w:val="auto"/>
              </w:rPr>
              <w:t>/</w:t>
            </w:r>
          </w:p>
        </w:tc>
        <w:tc>
          <w:tcPr>
            <w:tcW w:w="369" w:type="pct"/>
            <w:vAlign w:val="center"/>
          </w:tcPr>
          <w:p w14:paraId="545472E5">
            <w:pPr>
              <w:jc w:val="center"/>
              <w:rPr>
                <w:rFonts w:ascii="宋体" w:hAnsi="宋体"/>
                <w:color w:val="auto"/>
              </w:rPr>
            </w:pPr>
            <w:r>
              <w:rPr>
                <w:rFonts w:ascii="宋体" w:hAnsi="宋体"/>
                <w:color w:val="auto"/>
              </w:rPr>
              <w:t>59</w:t>
            </w:r>
          </w:p>
        </w:tc>
        <w:tc>
          <w:tcPr>
            <w:tcW w:w="371" w:type="pct"/>
            <w:vAlign w:val="center"/>
          </w:tcPr>
          <w:p w14:paraId="28BF0BAC">
            <w:pPr>
              <w:jc w:val="center"/>
              <w:rPr>
                <w:rFonts w:ascii="宋体" w:hAnsi="宋体"/>
                <w:color w:val="auto"/>
              </w:rPr>
            </w:pPr>
            <w:r>
              <w:rPr>
                <w:rFonts w:ascii="宋体" w:hAnsi="宋体"/>
                <w:color w:val="auto"/>
              </w:rPr>
              <w:t>59</w:t>
            </w:r>
          </w:p>
        </w:tc>
        <w:tc>
          <w:tcPr>
            <w:tcW w:w="371" w:type="pct"/>
            <w:vAlign w:val="center"/>
          </w:tcPr>
          <w:p w14:paraId="378E0339">
            <w:pPr>
              <w:jc w:val="center"/>
              <w:rPr>
                <w:rFonts w:ascii="宋体" w:hAnsi="宋体"/>
                <w:color w:val="auto"/>
              </w:rPr>
            </w:pPr>
            <w:r>
              <w:rPr>
                <w:rFonts w:ascii="宋体" w:hAnsi="宋体"/>
                <w:color w:val="auto"/>
              </w:rPr>
              <w:t>59</w:t>
            </w:r>
          </w:p>
        </w:tc>
        <w:tc>
          <w:tcPr>
            <w:tcW w:w="361" w:type="pct"/>
            <w:vAlign w:val="center"/>
          </w:tcPr>
          <w:p w14:paraId="382BD554">
            <w:pPr>
              <w:jc w:val="center"/>
              <w:rPr>
                <w:rFonts w:ascii="宋体" w:hAnsi="宋体"/>
                <w:color w:val="auto"/>
              </w:rPr>
            </w:pPr>
            <w:r>
              <w:rPr>
                <w:rFonts w:ascii="宋体" w:hAnsi="宋体"/>
                <w:color w:val="auto"/>
              </w:rPr>
              <w:t>/</w:t>
            </w:r>
          </w:p>
        </w:tc>
      </w:tr>
      <w:tr w14:paraId="77BA2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2EF33276">
            <w:pPr>
              <w:jc w:val="center"/>
              <w:rPr>
                <w:rFonts w:ascii="宋体" w:hAnsi="宋体"/>
                <w:color w:val="auto"/>
              </w:rPr>
            </w:pPr>
            <w:r>
              <w:rPr>
                <w:rFonts w:ascii="宋体" w:hAnsi="宋体"/>
                <w:color w:val="auto"/>
              </w:rPr>
              <w:t>湿度/(%)</w:t>
            </w:r>
          </w:p>
        </w:tc>
        <w:tc>
          <w:tcPr>
            <w:tcW w:w="360" w:type="pct"/>
            <w:vAlign w:val="center"/>
          </w:tcPr>
          <w:p w14:paraId="56C7A3C9">
            <w:pPr>
              <w:jc w:val="center"/>
              <w:rPr>
                <w:rFonts w:ascii="宋体" w:hAnsi="宋体"/>
                <w:color w:val="auto"/>
              </w:rPr>
            </w:pPr>
            <w:r>
              <w:rPr>
                <w:rFonts w:ascii="宋体" w:hAnsi="宋体"/>
                <w:color w:val="auto"/>
              </w:rPr>
              <w:t>5.0</w:t>
            </w:r>
          </w:p>
        </w:tc>
        <w:tc>
          <w:tcPr>
            <w:tcW w:w="370" w:type="pct"/>
            <w:vAlign w:val="center"/>
          </w:tcPr>
          <w:p w14:paraId="618E604C">
            <w:pPr>
              <w:jc w:val="center"/>
              <w:rPr>
                <w:rFonts w:ascii="宋体" w:hAnsi="宋体"/>
                <w:color w:val="auto"/>
              </w:rPr>
            </w:pPr>
            <w:r>
              <w:rPr>
                <w:rFonts w:ascii="宋体" w:hAnsi="宋体"/>
                <w:color w:val="auto"/>
              </w:rPr>
              <w:t>4.8</w:t>
            </w:r>
          </w:p>
        </w:tc>
        <w:tc>
          <w:tcPr>
            <w:tcW w:w="370" w:type="pct"/>
            <w:vAlign w:val="center"/>
          </w:tcPr>
          <w:p w14:paraId="740CE06C">
            <w:pPr>
              <w:jc w:val="center"/>
              <w:rPr>
                <w:rFonts w:ascii="宋体" w:hAnsi="宋体"/>
                <w:color w:val="auto"/>
              </w:rPr>
            </w:pPr>
            <w:r>
              <w:rPr>
                <w:rFonts w:ascii="宋体" w:hAnsi="宋体"/>
                <w:color w:val="auto"/>
              </w:rPr>
              <w:t>4.8</w:t>
            </w:r>
          </w:p>
        </w:tc>
        <w:tc>
          <w:tcPr>
            <w:tcW w:w="360" w:type="pct"/>
            <w:gridSpan w:val="2"/>
            <w:vAlign w:val="center"/>
          </w:tcPr>
          <w:p w14:paraId="5D42AF31">
            <w:pPr>
              <w:jc w:val="center"/>
              <w:rPr>
                <w:rFonts w:ascii="宋体" w:hAnsi="宋体"/>
                <w:color w:val="auto"/>
              </w:rPr>
            </w:pPr>
            <w:r>
              <w:rPr>
                <w:rFonts w:ascii="宋体" w:hAnsi="宋体"/>
                <w:color w:val="auto"/>
              </w:rPr>
              <w:t>/</w:t>
            </w:r>
          </w:p>
        </w:tc>
        <w:tc>
          <w:tcPr>
            <w:tcW w:w="367" w:type="pct"/>
            <w:vAlign w:val="center"/>
          </w:tcPr>
          <w:p w14:paraId="03A60BB0">
            <w:pPr>
              <w:jc w:val="center"/>
              <w:rPr>
                <w:rFonts w:ascii="宋体" w:hAnsi="宋体"/>
                <w:color w:val="auto"/>
              </w:rPr>
            </w:pPr>
            <w:r>
              <w:rPr>
                <w:rFonts w:ascii="宋体" w:hAnsi="宋体"/>
                <w:color w:val="auto"/>
              </w:rPr>
              <w:t>4.8</w:t>
            </w:r>
          </w:p>
        </w:tc>
        <w:tc>
          <w:tcPr>
            <w:tcW w:w="370" w:type="pct"/>
            <w:vAlign w:val="center"/>
          </w:tcPr>
          <w:p w14:paraId="4727F80E">
            <w:pPr>
              <w:jc w:val="center"/>
              <w:rPr>
                <w:rFonts w:ascii="宋体" w:hAnsi="宋体"/>
                <w:color w:val="auto"/>
              </w:rPr>
            </w:pPr>
            <w:r>
              <w:rPr>
                <w:rFonts w:ascii="宋体" w:hAnsi="宋体"/>
                <w:color w:val="auto"/>
              </w:rPr>
              <w:t>4.7</w:t>
            </w:r>
          </w:p>
        </w:tc>
        <w:tc>
          <w:tcPr>
            <w:tcW w:w="371" w:type="pct"/>
            <w:vAlign w:val="center"/>
          </w:tcPr>
          <w:p w14:paraId="338D5CB4">
            <w:pPr>
              <w:jc w:val="center"/>
              <w:rPr>
                <w:rFonts w:ascii="宋体" w:hAnsi="宋体"/>
                <w:color w:val="auto"/>
              </w:rPr>
            </w:pPr>
            <w:r>
              <w:rPr>
                <w:rFonts w:ascii="宋体" w:hAnsi="宋体"/>
                <w:color w:val="auto"/>
              </w:rPr>
              <w:t>4.8</w:t>
            </w:r>
          </w:p>
        </w:tc>
        <w:tc>
          <w:tcPr>
            <w:tcW w:w="361" w:type="pct"/>
            <w:vAlign w:val="center"/>
          </w:tcPr>
          <w:p w14:paraId="66A3070D">
            <w:pPr>
              <w:jc w:val="center"/>
              <w:rPr>
                <w:rFonts w:ascii="宋体" w:hAnsi="宋体"/>
                <w:color w:val="auto"/>
              </w:rPr>
            </w:pPr>
            <w:r>
              <w:rPr>
                <w:rFonts w:ascii="宋体" w:hAnsi="宋体"/>
                <w:color w:val="auto"/>
              </w:rPr>
              <w:t>/</w:t>
            </w:r>
          </w:p>
        </w:tc>
        <w:tc>
          <w:tcPr>
            <w:tcW w:w="369" w:type="pct"/>
            <w:vAlign w:val="center"/>
          </w:tcPr>
          <w:p w14:paraId="63DC97F5">
            <w:pPr>
              <w:jc w:val="center"/>
              <w:rPr>
                <w:rFonts w:ascii="宋体" w:hAnsi="宋体"/>
                <w:color w:val="auto"/>
              </w:rPr>
            </w:pPr>
            <w:r>
              <w:rPr>
                <w:rFonts w:ascii="宋体" w:hAnsi="宋体"/>
                <w:color w:val="auto"/>
              </w:rPr>
              <w:t>4.8</w:t>
            </w:r>
          </w:p>
        </w:tc>
        <w:tc>
          <w:tcPr>
            <w:tcW w:w="371" w:type="pct"/>
            <w:vAlign w:val="center"/>
          </w:tcPr>
          <w:p w14:paraId="7DBFCE11">
            <w:pPr>
              <w:jc w:val="center"/>
              <w:rPr>
                <w:rFonts w:ascii="宋体" w:hAnsi="宋体"/>
                <w:color w:val="auto"/>
              </w:rPr>
            </w:pPr>
            <w:r>
              <w:rPr>
                <w:rFonts w:ascii="宋体" w:hAnsi="宋体"/>
                <w:color w:val="auto"/>
              </w:rPr>
              <w:t>4.9</w:t>
            </w:r>
          </w:p>
        </w:tc>
        <w:tc>
          <w:tcPr>
            <w:tcW w:w="371" w:type="pct"/>
            <w:vAlign w:val="center"/>
          </w:tcPr>
          <w:p w14:paraId="7173377D">
            <w:pPr>
              <w:jc w:val="center"/>
              <w:rPr>
                <w:rFonts w:ascii="宋体" w:hAnsi="宋体"/>
                <w:color w:val="auto"/>
              </w:rPr>
            </w:pPr>
            <w:r>
              <w:rPr>
                <w:rFonts w:ascii="宋体" w:hAnsi="宋体"/>
                <w:color w:val="auto"/>
              </w:rPr>
              <w:t>4.9</w:t>
            </w:r>
          </w:p>
        </w:tc>
        <w:tc>
          <w:tcPr>
            <w:tcW w:w="361" w:type="pct"/>
            <w:vAlign w:val="center"/>
          </w:tcPr>
          <w:p w14:paraId="2C5A64E2">
            <w:pPr>
              <w:jc w:val="center"/>
              <w:rPr>
                <w:rFonts w:ascii="宋体" w:hAnsi="宋体"/>
                <w:color w:val="auto"/>
              </w:rPr>
            </w:pPr>
            <w:r>
              <w:rPr>
                <w:rFonts w:ascii="宋体" w:hAnsi="宋体"/>
                <w:color w:val="auto"/>
              </w:rPr>
              <w:t>/</w:t>
            </w:r>
          </w:p>
        </w:tc>
      </w:tr>
      <w:tr w14:paraId="2A354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006257C4">
            <w:pPr>
              <w:jc w:val="center"/>
              <w:rPr>
                <w:rFonts w:ascii="宋体" w:hAnsi="宋体"/>
                <w:color w:val="auto"/>
              </w:rPr>
            </w:pPr>
            <w:r>
              <w:rPr>
                <w:rFonts w:ascii="宋体" w:hAnsi="宋体"/>
                <w:color w:val="auto"/>
              </w:rPr>
              <w:t>流速/(m/s)</w:t>
            </w:r>
          </w:p>
        </w:tc>
        <w:tc>
          <w:tcPr>
            <w:tcW w:w="360" w:type="pct"/>
            <w:vAlign w:val="center"/>
          </w:tcPr>
          <w:p w14:paraId="249CFACC">
            <w:pPr>
              <w:jc w:val="center"/>
              <w:rPr>
                <w:rFonts w:ascii="宋体" w:hAnsi="宋体"/>
                <w:color w:val="auto"/>
              </w:rPr>
            </w:pPr>
            <w:r>
              <w:rPr>
                <w:rFonts w:ascii="宋体" w:hAnsi="宋体"/>
                <w:color w:val="auto"/>
              </w:rPr>
              <w:t>5.9</w:t>
            </w:r>
          </w:p>
        </w:tc>
        <w:tc>
          <w:tcPr>
            <w:tcW w:w="370" w:type="pct"/>
            <w:vAlign w:val="center"/>
          </w:tcPr>
          <w:p w14:paraId="735F06DB">
            <w:pPr>
              <w:jc w:val="center"/>
              <w:rPr>
                <w:rFonts w:ascii="宋体" w:hAnsi="宋体"/>
                <w:color w:val="auto"/>
              </w:rPr>
            </w:pPr>
            <w:r>
              <w:rPr>
                <w:rFonts w:ascii="宋体" w:hAnsi="宋体"/>
                <w:color w:val="auto"/>
              </w:rPr>
              <w:t>6.1</w:t>
            </w:r>
          </w:p>
        </w:tc>
        <w:tc>
          <w:tcPr>
            <w:tcW w:w="370" w:type="pct"/>
            <w:vAlign w:val="center"/>
          </w:tcPr>
          <w:p w14:paraId="43C404F5">
            <w:pPr>
              <w:jc w:val="center"/>
              <w:rPr>
                <w:rFonts w:ascii="宋体" w:hAnsi="宋体"/>
                <w:color w:val="auto"/>
              </w:rPr>
            </w:pPr>
            <w:r>
              <w:rPr>
                <w:rFonts w:ascii="宋体" w:hAnsi="宋体"/>
                <w:color w:val="auto"/>
              </w:rPr>
              <w:t>5.6</w:t>
            </w:r>
          </w:p>
        </w:tc>
        <w:tc>
          <w:tcPr>
            <w:tcW w:w="360" w:type="pct"/>
            <w:gridSpan w:val="2"/>
            <w:vAlign w:val="center"/>
          </w:tcPr>
          <w:p w14:paraId="5E3E2A7B">
            <w:pPr>
              <w:jc w:val="center"/>
              <w:rPr>
                <w:rFonts w:ascii="宋体" w:hAnsi="宋体"/>
                <w:color w:val="auto"/>
              </w:rPr>
            </w:pPr>
            <w:r>
              <w:rPr>
                <w:rFonts w:ascii="宋体" w:hAnsi="宋体"/>
                <w:color w:val="auto"/>
              </w:rPr>
              <w:t>/</w:t>
            </w:r>
          </w:p>
        </w:tc>
        <w:tc>
          <w:tcPr>
            <w:tcW w:w="367" w:type="pct"/>
            <w:vAlign w:val="center"/>
          </w:tcPr>
          <w:p w14:paraId="7E1864C2">
            <w:pPr>
              <w:jc w:val="center"/>
              <w:rPr>
                <w:rFonts w:ascii="宋体" w:hAnsi="宋体"/>
                <w:color w:val="auto"/>
              </w:rPr>
            </w:pPr>
            <w:r>
              <w:rPr>
                <w:rFonts w:ascii="宋体" w:hAnsi="宋体"/>
                <w:color w:val="auto"/>
              </w:rPr>
              <w:t>5.7</w:t>
            </w:r>
          </w:p>
        </w:tc>
        <w:tc>
          <w:tcPr>
            <w:tcW w:w="370" w:type="pct"/>
            <w:vAlign w:val="center"/>
          </w:tcPr>
          <w:p w14:paraId="3D67FC19">
            <w:pPr>
              <w:jc w:val="center"/>
              <w:rPr>
                <w:rFonts w:ascii="宋体" w:hAnsi="宋体"/>
                <w:color w:val="auto"/>
              </w:rPr>
            </w:pPr>
            <w:r>
              <w:rPr>
                <w:rFonts w:ascii="宋体" w:hAnsi="宋体"/>
                <w:color w:val="auto"/>
              </w:rPr>
              <w:t>5.9</w:t>
            </w:r>
          </w:p>
        </w:tc>
        <w:tc>
          <w:tcPr>
            <w:tcW w:w="371" w:type="pct"/>
            <w:vAlign w:val="center"/>
          </w:tcPr>
          <w:p w14:paraId="609F9D17">
            <w:pPr>
              <w:jc w:val="center"/>
              <w:rPr>
                <w:rFonts w:ascii="宋体" w:hAnsi="宋体"/>
                <w:color w:val="auto"/>
              </w:rPr>
            </w:pPr>
            <w:r>
              <w:rPr>
                <w:rFonts w:ascii="宋体" w:hAnsi="宋体"/>
                <w:color w:val="auto"/>
              </w:rPr>
              <w:t>5.9</w:t>
            </w:r>
          </w:p>
        </w:tc>
        <w:tc>
          <w:tcPr>
            <w:tcW w:w="361" w:type="pct"/>
            <w:vAlign w:val="center"/>
          </w:tcPr>
          <w:p w14:paraId="4C31FD13">
            <w:pPr>
              <w:jc w:val="center"/>
              <w:rPr>
                <w:rFonts w:ascii="宋体" w:hAnsi="宋体"/>
                <w:color w:val="auto"/>
              </w:rPr>
            </w:pPr>
            <w:r>
              <w:rPr>
                <w:rFonts w:ascii="宋体" w:hAnsi="宋体"/>
                <w:color w:val="auto"/>
              </w:rPr>
              <w:t>/</w:t>
            </w:r>
          </w:p>
        </w:tc>
        <w:tc>
          <w:tcPr>
            <w:tcW w:w="369" w:type="pct"/>
            <w:vAlign w:val="center"/>
          </w:tcPr>
          <w:p w14:paraId="464CDEF7">
            <w:pPr>
              <w:jc w:val="center"/>
              <w:rPr>
                <w:rFonts w:ascii="宋体" w:hAnsi="宋体"/>
                <w:color w:val="auto"/>
              </w:rPr>
            </w:pPr>
            <w:r>
              <w:rPr>
                <w:rFonts w:ascii="宋体" w:hAnsi="宋体"/>
                <w:color w:val="auto"/>
              </w:rPr>
              <w:t>5.8</w:t>
            </w:r>
          </w:p>
        </w:tc>
        <w:tc>
          <w:tcPr>
            <w:tcW w:w="371" w:type="pct"/>
            <w:vAlign w:val="center"/>
          </w:tcPr>
          <w:p w14:paraId="1E6BDEC2">
            <w:pPr>
              <w:jc w:val="center"/>
              <w:rPr>
                <w:rFonts w:ascii="宋体" w:hAnsi="宋体"/>
                <w:color w:val="auto"/>
              </w:rPr>
            </w:pPr>
            <w:r>
              <w:rPr>
                <w:rFonts w:ascii="宋体" w:hAnsi="宋体"/>
                <w:color w:val="auto"/>
              </w:rPr>
              <w:t>5.7</w:t>
            </w:r>
          </w:p>
        </w:tc>
        <w:tc>
          <w:tcPr>
            <w:tcW w:w="371" w:type="pct"/>
            <w:vAlign w:val="center"/>
          </w:tcPr>
          <w:p w14:paraId="20E53172">
            <w:pPr>
              <w:jc w:val="center"/>
              <w:rPr>
                <w:rFonts w:ascii="宋体" w:hAnsi="宋体"/>
                <w:color w:val="auto"/>
              </w:rPr>
            </w:pPr>
            <w:r>
              <w:rPr>
                <w:rFonts w:ascii="宋体" w:hAnsi="宋体"/>
                <w:color w:val="auto"/>
              </w:rPr>
              <w:t>6.1</w:t>
            </w:r>
          </w:p>
        </w:tc>
        <w:tc>
          <w:tcPr>
            <w:tcW w:w="361" w:type="pct"/>
            <w:vAlign w:val="center"/>
          </w:tcPr>
          <w:p w14:paraId="24955AE9">
            <w:pPr>
              <w:jc w:val="center"/>
              <w:rPr>
                <w:rFonts w:ascii="宋体" w:hAnsi="宋体"/>
                <w:color w:val="auto"/>
              </w:rPr>
            </w:pPr>
            <w:r>
              <w:rPr>
                <w:rFonts w:ascii="宋体" w:hAnsi="宋体"/>
                <w:color w:val="auto"/>
              </w:rPr>
              <w:t>/</w:t>
            </w:r>
          </w:p>
        </w:tc>
      </w:tr>
      <w:tr w14:paraId="4E69E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718820DB">
            <w:pPr>
              <w:jc w:val="center"/>
              <w:rPr>
                <w:rFonts w:ascii="宋体" w:hAnsi="宋体"/>
                <w:color w:val="auto"/>
              </w:rPr>
            </w:pPr>
            <w:r>
              <w:rPr>
                <w:rFonts w:ascii="宋体" w:hAnsi="宋体"/>
                <w:color w:val="auto"/>
              </w:rPr>
              <w:t>含氧量/(%)</w:t>
            </w:r>
          </w:p>
        </w:tc>
        <w:tc>
          <w:tcPr>
            <w:tcW w:w="360" w:type="pct"/>
            <w:vAlign w:val="center"/>
          </w:tcPr>
          <w:p w14:paraId="0EB6BE9E">
            <w:pPr>
              <w:jc w:val="center"/>
              <w:rPr>
                <w:rFonts w:ascii="宋体" w:hAnsi="宋体"/>
                <w:color w:val="auto"/>
              </w:rPr>
            </w:pPr>
            <w:r>
              <w:rPr>
                <w:rFonts w:ascii="宋体" w:hAnsi="宋体"/>
                <w:color w:val="auto"/>
              </w:rPr>
              <w:t>4.7</w:t>
            </w:r>
          </w:p>
        </w:tc>
        <w:tc>
          <w:tcPr>
            <w:tcW w:w="370" w:type="pct"/>
            <w:vAlign w:val="center"/>
          </w:tcPr>
          <w:p w14:paraId="2276E351">
            <w:pPr>
              <w:jc w:val="center"/>
              <w:rPr>
                <w:rFonts w:ascii="宋体" w:hAnsi="宋体"/>
                <w:color w:val="auto"/>
              </w:rPr>
            </w:pPr>
            <w:r>
              <w:rPr>
                <w:rFonts w:ascii="宋体" w:hAnsi="宋体"/>
                <w:color w:val="auto"/>
              </w:rPr>
              <w:t>4.7</w:t>
            </w:r>
          </w:p>
        </w:tc>
        <w:tc>
          <w:tcPr>
            <w:tcW w:w="370" w:type="pct"/>
            <w:vAlign w:val="center"/>
          </w:tcPr>
          <w:p w14:paraId="4CD435AC">
            <w:pPr>
              <w:jc w:val="center"/>
              <w:rPr>
                <w:rFonts w:ascii="宋体" w:hAnsi="宋体"/>
                <w:color w:val="auto"/>
              </w:rPr>
            </w:pPr>
            <w:r>
              <w:rPr>
                <w:rFonts w:ascii="宋体" w:hAnsi="宋体"/>
                <w:color w:val="auto"/>
              </w:rPr>
              <w:t>4.5</w:t>
            </w:r>
          </w:p>
        </w:tc>
        <w:tc>
          <w:tcPr>
            <w:tcW w:w="360" w:type="pct"/>
            <w:gridSpan w:val="2"/>
            <w:vAlign w:val="center"/>
          </w:tcPr>
          <w:p w14:paraId="6A553C82">
            <w:pPr>
              <w:jc w:val="center"/>
              <w:rPr>
                <w:rFonts w:ascii="宋体" w:hAnsi="宋体"/>
                <w:color w:val="auto"/>
              </w:rPr>
            </w:pPr>
            <w:r>
              <w:rPr>
                <w:rFonts w:ascii="宋体" w:hAnsi="宋体"/>
                <w:color w:val="auto"/>
              </w:rPr>
              <w:t>/</w:t>
            </w:r>
          </w:p>
        </w:tc>
        <w:tc>
          <w:tcPr>
            <w:tcW w:w="367" w:type="pct"/>
            <w:vAlign w:val="center"/>
          </w:tcPr>
          <w:p w14:paraId="4C5AFE46">
            <w:pPr>
              <w:jc w:val="center"/>
              <w:rPr>
                <w:rFonts w:ascii="宋体" w:hAnsi="宋体"/>
                <w:color w:val="auto"/>
              </w:rPr>
            </w:pPr>
            <w:r>
              <w:rPr>
                <w:rFonts w:ascii="宋体" w:hAnsi="宋体"/>
                <w:color w:val="auto"/>
              </w:rPr>
              <w:t>4.5</w:t>
            </w:r>
          </w:p>
        </w:tc>
        <w:tc>
          <w:tcPr>
            <w:tcW w:w="370" w:type="pct"/>
            <w:vAlign w:val="center"/>
          </w:tcPr>
          <w:p w14:paraId="3DE22D9A">
            <w:pPr>
              <w:jc w:val="center"/>
              <w:rPr>
                <w:rFonts w:ascii="宋体" w:hAnsi="宋体"/>
                <w:color w:val="auto"/>
              </w:rPr>
            </w:pPr>
            <w:r>
              <w:rPr>
                <w:rFonts w:ascii="宋体" w:hAnsi="宋体"/>
                <w:color w:val="auto"/>
              </w:rPr>
              <w:t>4.5</w:t>
            </w:r>
          </w:p>
        </w:tc>
        <w:tc>
          <w:tcPr>
            <w:tcW w:w="371" w:type="pct"/>
            <w:vAlign w:val="center"/>
          </w:tcPr>
          <w:p w14:paraId="68FD8C68">
            <w:pPr>
              <w:jc w:val="center"/>
              <w:rPr>
                <w:rFonts w:ascii="宋体" w:hAnsi="宋体"/>
                <w:color w:val="auto"/>
              </w:rPr>
            </w:pPr>
            <w:r>
              <w:rPr>
                <w:rFonts w:ascii="宋体" w:hAnsi="宋体"/>
                <w:color w:val="auto"/>
              </w:rPr>
              <w:t>4.2</w:t>
            </w:r>
          </w:p>
        </w:tc>
        <w:tc>
          <w:tcPr>
            <w:tcW w:w="361" w:type="pct"/>
            <w:vAlign w:val="center"/>
          </w:tcPr>
          <w:p w14:paraId="060AD997">
            <w:pPr>
              <w:jc w:val="center"/>
              <w:rPr>
                <w:rFonts w:ascii="宋体" w:hAnsi="宋体"/>
                <w:color w:val="auto"/>
              </w:rPr>
            </w:pPr>
            <w:r>
              <w:rPr>
                <w:rFonts w:ascii="宋体" w:hAnsi="宋体"/>
                <w:color w:val="auto"/>
              </w:rPr>
              <w:t>/</w:t>
            </w:r>
          </w:p>
        </w:tc>
        <w:tc>
          <w:tcPr>
            <w:tcW w:w="369" w:type="pct"/>
            <w:vAlign w:val="center"/>
          </w:tcPr>
          <w:p w14:paraId="1D51DE45">
            <w:pPr>
              <w:jc w:val="center"/>
              <w:rPr>
                <w:rFonts w:ascii="宋体" w:hAnsi="宋体"/>
                <w:color w:val="auto"/>
              </w:rPr>
            </w:pPr>
            <w:r>
              <w:rPr>
                <w:rFonts w:ascii="宋体" w:hAnsi="宋体"/>
                <w:color w:val="auto"/>
              </w:rPr>
              <w:t>4.1</w:t>
            </w:r>
          </w:p>
        </w:tc>
        <w:tc>
          <w:tcPr>
            <w:tcW w:w="371" w:type="pct"/>
            <w:vAlign w:val="center"/>
          </w:tcPr>
          <w:p w14:paraId="43856BA9">
            <w:pPr>
              <w:jc w:val="center"/>
              <w:rPr>
                <w:rFonts w:ascii="宋体" w:hAnsi="宋体"/>
                <w:color w:val="auto"/>
              </w:rPr>
            </w:pPr>
            <w:r>
              <w:rPr>
                <w:rFonts w:ascii="宋体" w:hAnsi="宋体"/>
                <w:color w:val="auto"/>
              </w:rPr>
              <w:t>4.3</w:t>
            </w:r>
          </w:p>
        </w:tc>
        <w:tc>
          <w:tcPr>
            <w:tcW w:w="371" w:type="pct"/>
            <w:vAlign w:val="center"/>
          </w:tcPr>
          <w:p w14:paraId="557B9B1A">
            <w:pPr>
              <w:jc w:val="center"/>
              <w:rPr>
                <w:rFonts w:ascii="宋体" w:hAnsi="宋体"/>
                <w:color w:val="auto"/>
              </w:rPr>
            </w:pPr>
            <w:r>
              <w:rPr>
                <w:rFonts w:ascii="宋体" w:hAnsi="宋体"/>
                <w:color w:val="auto"/>
              </w:rPr>
              <w:t>4.6</w:t>
            </w:r>
          </w:p>
        </w:tc>
        <w:tc>
          <w:tcPr>
            <w:tcW w:w="361" w:type="pct"/>
            <w:vAlign w:val="center"/>
          </w:tcPr>
          <w:p w14:paraId="3AB651E9">
            <w:pPr>
              <w:jc w:val="center"/>
              <w:rPr>
                <w:rFonts w:ascii="宋体" w:hAnsi="宋体"/>
                <w:color w:val="auto"/>
              </w:rPr>
            </w:pPr>
            <w:r>
              <w:rPr>
                <w:rFonts w:ascii="宋体" w:hAnsi="宋体"/>
                <w:color w:val="auto"/>
              </w:rPr>
              <w:t>/</w:t>
            </w:r>
          </w:p>
        </w:tc>
      </w:tr>
      <w:tr w14:paraId="27568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28A11CCF">
            <w:pPr>
              <w:jc w:val="center"/>
              <w:rPr>
                <w:rFonts w:ascii="宋体" w:hAnsi="宋体"/>
                <w:color w:val="auto"/>
              </w:rPr>
            </w:pPr>
            <w:r>
              <w:rPr>
                <w:rFonts w:ascii="宋体" w:hAnsi="宋体"/>
                <w:color w:val="auto"/>
              </w:rPr>
              <w:t>标干废气量/（Nm</w:t>
            </w:r>
            <w:r>
              <w:rPr>
                <w:rFonts w:ascii="宋体" w:hAnsi="宋体"/>
                <w:color w:val="auto"/>
                <w:vertAlign w:val="superscript"/>
              </w:rPr>
              <w:t>3</w:t>
            </w:r>
            <w:r>
              <w:rPr>
                <w:rFonts w:ascii="宋体" w:hAnsi="宋体"/>
                <w:color w:val="auto"/>
              </w:rPr>
              <w:t>/h）</w:t>
            </w:r>
          </w:p>
        </w:tc>
        <w:tc>
          <w:tcPr>
            <w:tcW w:w="360" w:type="pct"/>
            <w:vAlign w:val="center"/>
          </w:tcPr>
          <w:p w14:paraId="7CE24FE1">
            <w:pPr>
              <w:jc w:val="center"/>
              <w:rPr>
                <w:rFonts w:ascii="宋体" w:hAnsi="宋体"/>
                <w:color w:val="auto"/>
              </w:rPr>
            </w:pPr>
            <w:r>
              <w:rPr>
                <w:rFonts w:ascii="宋体" w:hAnsi="宋体"/>
                <w:color w:val="auto"/>
              </w:rPr>
              <w:t>292</w:t>
            </w:r>
          </w:p>
        </w:tc>
        <w:tc>
          <w:tcPr>
            <w:tcW w:w="370" w:type="pct"/>
            <w:vAlign w:val="center"/>
          </w:tcPr>
          <w:p w14:paraId="3407946E">
            <w:pPr>
              <w:jc w:val="center"/>
              <w:rPr>
                <w:rFonts w:ascii="宋体" w:hAnsi="宋体"/>
                <w:color w:val="auto"/>
              </w:rPr>
            </w:pPr>
            <w:r>
              <w:rPr>
                <w:rFonts w:ascii="宋体" w:hAnsi="宋体"/>
                <w:color w:val="auto"/>
              </w:rPr>
              <w:t>303</w:t>
            </w:r>
          </w:p>
        </w:tc>
        <w:tc>
          <w:tcPr>
            <w:tcW w:w="370" w:type="pct"/>
            <w:vAlign w:val="center"/>
          </w:tcPr>
          <w:p w14:paraId="6D9525C6">
            <w:pPr>
              <w:jc w:val="center"/>
              <w:rPr>
                <w:rFonts w:ascii="宋体" w:hAnsi="宋体"/>
                <w:color w:val="auto"/>
              </w:rPr>
            </w:pPr>
            <w:r>
              <w:rPr>
                <w:rFonts w:ascii="宋体" w:hAnsi="宋体"/>
                <w:color w:val="auto"/>
              </w:rPr>
              <w:t>278</w:t>
            </w:r>
          </w:p>
        </w:tc>
        <w:tc>
          <w:tcPr>
            <w:tcW w:w="360" w:type="pct"/>
            <w:gridSpan w:val="2"/>
            <w:vAlign w:val="center"/>
          </w:tcPr>
          <w:p w14:paraId="48A82D3E">
            <w:pPr>
              <w:jc w:val="center"/>
              <w:rPr>
                <w:rFonts w:ascii="宋体" w:hAnsi="宋体"/>
                <w:color w:val="auto"/>
              </w:rPr>
            </w:pPr>
            <w:r>
              <w:rPr>
                <w:rFonts w:ascii="宋体" w:hAnsi="宋体"/>
                <w:color w:val="auto"/>
              </w:rPr>
              <w:t>/</w:t>
            </w:r>
          </w:p>
        </w:tc>
        <w:tc>
          <w:tcPr>
            <w:tcW w:w="367" w:type="pct"/>
            <w:vAlign w:val="center"/>
          </w:tcPr>
          <w:p w14:paraId="0B36A3A5">
            <w:pPr>
              <w:jc w:val="center"/>
              <w:rPr>
                <w:rFonts w:ascii="宋体" w:hAnsi="宋体"/>
                <w:color w:val="auto"/>
              </w:rPr>
            </w:pPr>
            <w:r>
              <w:rPr>
                <w:rFonts w:ascii="宋体" w:hAnsi="宋体"/>
                <w:color w:val="auto"/>
              </w:rPr>
              <w:t>283</w:t>
            </w:r>
          </w:p>
        </w:tc>
        <w:tc>
          <w:tcPr>
            <w:tcW w:w="370" w:type="pct"/>
            <w:vAlign w:val="center"/>
          </w:tcPr>
          <w:p w14:paraId="50BF717F">
            <w:pPr>
              <w:jc w:val="center"/>
              <w:rPr>
                <w:rFonts w:ascii="宋体" w:hAnsi="宋体"/>
                <w:color w:val="auto"/>
              </w:rPr>
            </w:pPr>
            <w:r>
              <w:rPr>
                <w:rFonts w:ascii="宋体" w:hAnsi="宋体"/>
                <w:color w:val="auto"/>
              </w:rPr>
              <w:t>293</w:t>
            </w:r>
          </w:p>
        </w:tc>
        <w:tc>
          <w:tcPr>
            <w:tcW w:w="371" w:type="pct"/>
            <w:vAlign w:val="center"/>
          </w:tcPr>
          <w:p w14:paraId="3C6FBDBC">
            <w:pPr>
              <w:jc w:val="center"/>
              <w:rPr>
                <w:rFonts w:ascii="宋体" w:hAnsi="宋体"/>
                <w:color w:val="auto"/>
              </w:rPr>
            </w:pPr>
            <w:r>
              <w:rPr>
                <w:rFonts w:ascii="宋体" w:hAnsi="宋体"/>
                <w:color w:val="auto"/>
              </w:rPr>
              <w:t>293</w:t>
            </w:r>
          </w:p>
        </w:tc>
        <w:tc>
          <w:tcPr>
            <w:tcW w:w="361" w:type="pct"/>
            <w:vAlign w:val="center"/>
          </w:tcPr>
          <w:p w14:paraId="7056FC69">
            <w:pPr>
              <w:jc w:val="center"/>
              <w:rPr>
                <w:rFonts w:ascii="宋体" w:hAnsi="宋体"/>
                <w:color w:val="auto"/>
              </w:rPr>
            </w:pPr>
            <w:r>
              <w:rPr>
                <w:rFonts w:ascii="宋体" w:hAnsi="宋体"/>
                <w:color w:val="auto"/>
              </w:rPr>
              <w:t>/</w:t>
            </w:r>
          </w:p>
        </w:tc>
        <w:tc>
          <w:tcPr>
            <w:tcW w:w="369" w:type="pct"/>
            <w:vAlign w:val="center"/>
          </w:tcPr>
          <w:p w14:paraId="763ACE17">
            <w:pPr>
              <w:jc w:val="center"/>
              <w:rPr>
                <w:rFonts w:ascii="宋体" w:hAnsi="宋体"/>
                <w:color w:val="auto"/>
              </w:rPr>
            </w:pPr>
            <w:r>
              <w:rPr>
                <w:rFonts w:ascii="宋体" w:hAnsi="宋体"/>
                <w:color w:val="auto"/>
              </w:rPr>
              <w:t>288</w:t>
            </w:r>
          </w:p>
        </w:tc>
        <w:tc>
          <w:tcPr>
            <w:tcW w:w="371" w:type="pct"/>
            <w:vAlign w:val="center"/>
          </w:tcPr>
          <w:p w14:paraId="364B3A60">
            <w:pPr>
              <w:jc w:val="center"/>
              <w:rPr>
                <w:rFonts w:ascii="宋体" w:hAnsi="宋体"/>
                <w:color w:val="auto"/>
              </w:rPr>
            </w:pPr>
            <w:r>
              <w:rPr>
                <w:rFonts w:ascii="宋体" w:hAnsi="宋体"/>
                <w:color w:val="auto"/>
              </w:rPr>
              <w:t>283</w:t>
            </w:r>
          </w:p>
        </w:tc>
        <w:tc>
          <w:tcPr>
            <w:tcW w:w="371" w:type="pct"/>
            <w:vAlign w:val="center"/>
          </w:tcPr>
          <w:p w14:paraId="0DE6D1B6">
            <w:pPr>
              <w:jc w:val="center"/>
              <w:rPr>
                <w:rFonts w:ascii="宋体" w:hAnsi="宋体"/>
                <w:color w:val="auto"/>
              </w:rPr>
            </w:pPr>
            <w:r>
              <w:rPr>
                <w:rFonts w:ascii="宋体" w:hAnsi="宋体"/>
                <w:color w:val="auto"/>
              </w:rPr>
              <w:t>302</w:t>
            </w:r>
          </w:p>
        </w:tc>
        <w:tc>
          <w:tcPr>
            <w:tcW w:w="361" w:type="pct"/>
            <w:vAlign w:val="center"/>
          </w:tcPr>
          <w:p w14:paraId="18E3678F">
            <w:pPr>
              <w:jc w:val="center"/>
              <w:rPr>
                <w:rFonts w:ascii="宋体" w:hAnsi="宋体"/>
                <w:color w:val="auto"/>
              </w:rPr>
            </w:pPr>
            <w:r>
              <w:rPr>
                <w:rFonts w:ascii="宋体" w:hAnsi="宋体"/>
                <w:color w:val="auto"/>
              </w:rPr>
              <w:t>/</w:t>
            </w:r>
          </w:p>
        </w:tc>
      </w:tr>
      <w:tr w14:paraId="689D6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restart"/>
            <w:vAlign w:val="center"/>
          </w:tcPr>
          <w:p w14:paraId="28AB0F8B">
            <w:pPr>
              <w:jc w:val="center"/>
              <w:rPr>
                <w:rFonts w:ascii="宋体" w:hAnsi="宋体"/>
                <w:color w:val="auto"/>
              </w:rPr>
            </w:pPr>
            <w:r>
              <w:rPr>
                <w:rFonts w:ascii="宋体" w:hAnsi="宋体"/>
                <w:color w:val="auto"/>
              </w:rPr>
              <w:t>颗粒物</w:t>
            </w:r>
          </w:p>
        </w:tc>
        <w:tc>
          <w:tcPr>
            <w:tcW w:w="447" w:type="pct"/>
            <w:vAlign w:val="center"/>
          </w:tcPr>
          <w:p w14:paraId="2723777C">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60" w:type="pct"/>
            <w:vAlign w:val="center"/>
          </w:tcPr>
          <w:p w14:paraId="199EB1AD">
            <w:pPr>
              <w:jc w:val="center"/>
              <w:rPr>
                <w:rFonts w:ascii="宋体" w:hAnsi="宋体"/>
                <w:color w:val="auto"/>
              </w:rPr>
            </w:pPr>
            <w:r>
              <w:rPr>
                <w:rFonts w:ascii="宋体" w:hAnsi="宋体"/>
                <w:color w:val="auto"/>
              </w:rPr>
              <w:t>3.7</w:t>
            </w:r>
          </w:p>
        </w:tc>
        <w:tc>
          <w:tcPr>
            <w:tcW w:w="370" w:type="pct"/>
            <w:vAlign w:val="center"/>
          </w:tcPr>
          <w:p w14:paraId="287CD5A7">
            <w:pPr>
              <w:jc w:val="center"/>
              <w:rPr>
                <w:rFonts w:ascii="宋体" w:hAnsi="宋体"/>
                <w:color w:val="auto"/>
              </w:rPr>
            </w:pPr>
            <w:r>
              <w:rPr>
                <w:rFonts w:ascii="宋体" w:hAnsi="宋体"/>
                <w:color w:val="auto"/>
              </w:rPr>
              <w:t>2.2</w:t>
            </w:r>
          </w:p>
        </w:tc>
        <w:tc>
          <w:tcPr>
            <w:tcW w:w="370" w:type="pct"/>
            <w:vAlign w:val="center"/>
          </w:tcPr>
          <w:p w14:paraId="7915313B">
            <w:pPr>
              <w:jc w:val="center"/>
              <w:rPr>
                <w:rFonts w:ascii="宋体" w:hAnsi="宋体"/>
                <w:color w:val="auto"/>
              </w:rPr>
            </w:pPr>
            <w:r>
              <w:rPr>
                <w:rFonts w:ascii="宋体" w:hAnsi="宋体"/>
                <w:color w:val="auto"/>
              </w:rPr>
              <w:t>3.0</w:t>
            </w:r>
          </w:p>
        </w:tc>
        <w:tc>
          <w:tcPr>
            <w:tcW w:w="360" w:type="pct"/>
            <w:gridSpan w:val="2"/>
            <w:vAlign w:val="center"/>
          </w:tcPr>
          <w:p w14:paraId="0DCCE281">
            <w:pPr>
              <w:jc w:val="center"/>
              <w:rPr>
                <w:rFonts w:ascii="宋体" w:hAnsi="宋体"/>
                <w:bCs/>
                <w:color w:val="auto"/>
              </w:rPr>
            </w:pPr>
            <w:r>
              <w:rPr>
                <w:rFonts w:ascii="宋体" w:hAnsi="宋体"/>
                <w:bCs/>
                <w:color w:val="auto"/>
              </w:rPr>
              <w:t>3.0</w:t>
            </w:r>
          </w:p>
        </w:tc>
        <w:tc>
          <w:tcPr>
            <w:tcW w:w="367" w:type="pct"/>
            <w:vAlign w:val="center"/>
          </w:tcPr>
          <w:p w14:paraId="6090DCA7">
            <w:pPr>
              <w:jc w:val="center"/>
              <w:rPr>
                <w:rFonts w:ascii="宋体" w:hAnsi="宋体"/>
                <w:color w:val="auto"/>
              </w:rPr>
            </w:pPr>
            <w:r>
              <w:rPr>
                <w:rFonts w:ascii="宋体" w:hAnsi="宋体"/>
                <w:color w:val="auto"/>
              </w:rPr>
              <w:t>3.2</w:t>
            </w:r>
          </w:p>
        </w:tc>
        <w:tc>
          <w:tcPr>
            <w:tcW w:w="370" w:type="pct"/>
            <w:vAlign w:val="center"/>
          </w:tcPr>
          <w:p w14:paraId="0CF782C0">
            <w:pPr>
              <w:jc w:val="center"/>
              <w:rPr>
                <w:rFonts w:ascii="宋体" w:hAnsi="宋体"/>
                <w:color w:val="auto"/>
              </w:rPr>
            </w:pPr>
            <w:r>
              <w:rPr>
                <w:rFonts w:ascii="宋体" w:hAnsi="宋体"/>
                <w:color w:val="auto"/>
              </w:rPr>
              <w:t>3.1</w:t>
            </w:r>
          </w:p>
        </w:tc>
        <w:tc>
          <w:tcPr>
            <w:tcW w:w="371" w:type="pct"/>
            <w:vAlign w:val="center"/>
          </w:tcPr>
          <w:p w14:paraId="3DF93A6C">
            <w:pPr>
              <w:jc w:val="center"/>
              <w:rPr>
                <w:rFonts w:ascii="宋体" w:hAnsi="宋体"/>
                <w:color w:val="auto"/>
              </w:rPr>
            </w:pPr>
            <w:r>
              <w:rPr>
                <w:rFonts w:ascii="宋体" w:hAnsi="宋体"/>
                <w:color w:val="auto"/>
              </w:rPr>
              <w:t>2.9</w:t>
            </w:r>
          </w:p>
        </w:tc>
        <w:tc>
          <w:tcPr>
            <w:tcW w:w="361" w:type="pct"/>
            <w:vAlign w:val="center"/>
          </w:tcPr>
          <w:p w14:paraId="7AEF5088">
            <w:pPr>
              <w:jc w:val="center"/>
              <w:rPr>
                <w:rFonts w:ascii="宋体" w:hAnsi="宋体"/>
                <w:bCs/>
                <w:color w:val="auto"/>
              </w:rPr>
            </w:pPr>
            <w:r>
              <w:rPr>
                <w:rFonts w:ascii="宋体" w:hAnsi="宋体"/>
                <w:bCs/>
                <w:color w:val="auto"/>
              </w:rPr>
              <w:t>3.1</w:t>
            </w:r>
          </w:p>
        </w:tc>
        <w:tc>
          <w:tcPr>
            <w:tcW w:w="369" w:type="pct"/>
            <w:vAlign w:val="center"/>
          </w:tcPr>
          <w:p w14:paraId="030CB23B">
            <w:pPr>
              <w:jc w:val="center"/>
              <w:rPr>
                <w:rFonts w:ascii="宋体" w:hAnsi="宋体"/>
                <w:color w:val="auto"/>
              </w:rPr>
            </w:pPr>
            <w:r>
              <w:rPr>
                <w:rFonts w:ascii="宋体" w:hAnsi="宋体"/>
                <w:color w:val="auto"/>
              </w:rPr>
              <w:t>4.1</w:t>
            </w:r>
          </w:p>
        </w:tc>
        <w:tc>
          <w:tcPr>
            <w:tcW w:w="371" w:type="pct"/>
            <w:vAlign w:val="center"/>
          </w:tcPr>
          <w:p w14:paraId="14510F6B">
            <w:pPr>
              <w:jc w:val="center"/>
              <w:rPr>
                <w:rFonts w:ascii="宋体" w:hAnsi="宋体"/>
                <w:color w:val="auto"/>
              </w:rPr>
            </w:pPr>
            <w:r>
              <w:rPr>
                <w:rFonts w:ascii="宋体" w:hAnsi="宋体"/>
                <w:color w:val="auto"/>
              </w:rPr>
              <w:t>3.4</w:t>
            </w:r>
          </w:p>
        </w:tc>
        <w:tc>
          <w:tcPr>
            <w:tcW w:w="371" w:type="pct"/>
            <w:vAlign w:val="center"/>
          </w:tcPr>
          <w:p w14:paraId="20819729">
            <w:pPr>
              <w:jc w:val="center"/>
              <w:rPr>
                <w:rFonts w:ascii="宋体" w:hAnsi="宋体"/>
                <w:color w:val="auto"/>
              </w:rPr>
            </w:pPr>
            <w:r>
              <w:rPr>
                <w:rFonts w:ascii="宋体" w:hAnsi="宋体"/>
                <w:color w:val="auto"/>
              </w:rPr>
              <w:t>3.8</w:t>
            </w:r>
          </w:p>
        </w:tc>
        <w:tc>
          <w:tcPr>
            <w:tcW w:w="361" w:type="pct"/>
            <w:vAlign w:val="center"/>
          </w:tcPr>
          <w:p w14:paraId="274D0D55">
            <w:pPr>
              <w:jc w:val="center"/>
              <w:rPr>
                <w:rFonts w:ascii="宋体" w:hAnsi="宋体"/>
                <w:bCs/>
                <w:color w:val="auto"/>
              </w:rPr>
            </w:pPr>
            <w:r>
              <w:rPr>
                <w:rFonts w:ascii="宋体" w:hAnsi="宋体"/>
                <w:bCs/>
                <w:color w:val="auto"/>
              </w:rPr>
              <w:t>3.8</w:t>
            </w:r>
          </w:p>
        </w:tc>
      </w:tr>
      <w:tr w14:paraId="6C386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62CE41DC">
            <w:pPr>
              <w:jc w:val="center"/>
              <w:rPr>
                <w:rFonts w:ascii="宋体" w:hAnsi="宋体"/>
                <w:color w:val="auto"/>
              </w:rPr>
            </w:pPr>
          </w:p>
        </w:tc>
        <w:tc>
          <w:tcPr>
            <w:tcW w:w="447" w:type="pct"/>
            <w:vAlign w:val="center"/>
          </w:tcPr>
          <w:p w14:paraId="14304B38">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60" w:type="pct"/>
            <w:vAlign w:val="center"/>
          </w:tcPr>
          <w:p w14:paraId="73641EE0">
            <w:pPr>
              <w:jc w:val="center"/>
              <w:rPr>
                <w:rFonts w:ascii="宋体" w:hAnsi="宋体"/>
                <w:color w:val="auto"/>
              </w:rPr>
            </w:pPr>
            <w:r>
              <w:rPr>
                <w:rFonts w:ascii="宋体" w:hAnsi="宋体"/>
                <w:color w:val="auto"/>
              </w:rPr>
              <w:t>4.0</w:t>
            </w:r>
          </w:p>
        </w:tc>
        <w:tc>
          <w:tcPr>
            <w:tcW w:w="370" w:type="pct"/>
            <w:vAlign w:val="center"/>
          </w:tcPr>
          <w:p w14:paraId="038EEC5B">
            <w:pPr>
              <w:jc w:val="center"/>
              <w:rPr>
                <w:rFonts w:ascii="宋体" w:hAnsi="宋体"/>
                <w:color w:val="auto"/>
              </w:rPr>
            </w:pPr>
            <w:r>
              <w:rPr>
                <w:rFonts w:ascii="宋体" w:hAnsi="宋体"/>
                <w:color w:val="auto"/>
              </w:rPr>
              <w:t>2.4</w:t>
            </w:r>
          </w:p>
        </w:tc>
        <w:tc>
          <w:tcPr>
            <w:tcW w:w="370" w:type="pct"/>
            <w:vAlign w:val="center"/>
          </w:tcPr>
          <w:p w14:paraId="035B09BF">
            <w:pPr>
              <w:jc w:val="center"/>
              <w:rPr>
                <w:rFonts w:ascii="宋体" w:hAnsi="宋体"/>
                <w:color w:val="auto"/>
              </w:rPr>
            </w:pPr>
            <w:r>
              <w:rPr>
                <w:rFonts w:ascii="宋体" w:hAnsi="宋体"/>
                <w:color w:val="auto"/>
              </w:rPr>
              <w:t>3.2</w:t>
            </w:r>
          </w:p>
        </w:tc>
        <w:tc>
          <w:tcPr>
            <w:tcW w:w="360" w:type="pct"/>
            <w:gridSpan w:val="2"/>
            <w:vAlign w:val="center"/>
          </w:tcPr>
          <w:p w14:paraId="1DBC28D4">
            <w:pPr>
              <w:jc w:val="center"/>
              <w:rPr>
                <w:rFonts w:ascii="宋体" w:hAnsi="宋体"/>
                <w:bCs/>
                <w:color w:val="auto"/>
              </w:rPr>
            </w:pPr>
            <w:r>
              <w:rPr>
                <w:rFonts w:ascii="宋体" w:hAnsi="宋体"/>
                <w:bCs/>
                <w:color w:val="auto"/>
              </w:rPr>
              <w:t>3.2</w:t>
            </w:r>
          </w:p>
        </w:tc>
        <w:tc>
          <w:tcPr>
            <w:tcW w:w="367" w:type="pct"/>
            <w:vAlign w:val="center"/>
          </w:tcPr>
          <w:p w14:paraId="23F15BE0">
            <w:pPr>
              <w:jc w:val="center"/>
              <w:rPr>
                <w:rFonts w:ascii="宋体" w:hAnsi="宋体"/>
                <w:color w:val="auto"/>
              </w:rPr>
            </w:pPr>
            <w:r>
              <w:rPr>
                <w:rFonts w:ascii="宋体" w:hAnsi="宋体"/>
                <w:color w:val="auto"/>
              </w:rPr>
              <w:t>3.4</w:t>
            </w:r>
          </w:p>
        </w:tc>
        <w:tc>
          <w:tcPr>
            <w:tcW w:w="370" w:type="pct"/>
            <w:vAlign w:val="center"/>
          </w:tcPr>
          <w:p w14:paraId="29614C16">
            <w:pPr>
              <w:jc w:val="center"/>
              <w:rPr>
                <w:rFonts w:ascii="宋体" w:hAnsi="宋体"/>
                <w:color w:val="auto"/>
              </w:rPr>
            </w:pPr>
            <w:r>
              <w:rPr>
                <w:rFonts w:ascii="宋体" w:hAnsi="宋体"/>
                <w:color w:val="auto"/>
              </w:rPr>
              <w:t>3.3</w:t>
            </w:r>
          </w:p>
        </w:tc>
        <w:tc>
          <w:tcPr>
            <w:tcW w:w="371" w:type="pct"/>
            <w:vAlign w:val="center"/>
          </w:tcPr>
          <w:p w14:paraId="5C55AC8B">
            <w:pPr>
              <w:jc w:val="center"/>
              <w:rPr>
                <w:rFonts w:ascii="宋体" w:hAnsi="宋体"/>
                <w:color w:val="auto"/>
              </w:rPr>
            </w:pPr>
            <w:r>
              <w:rPr>
                <w:rFonts w:ascii="宋体" w:hAnsi="宋体"/>
                <w:color w:val="auto"/>
              </w:rPr>
              <w:t>3.0</w:t>
            </w:r>
          </w:p>
        </w:tc>
        <w:tc>
          <w:tcPr>
            <w:tcW w:w="361" w:type="pct"/>
            <w:vAlign w:val="center"/>
          </w:tcPr>
          <w:p w14:paraId="2D5C5960">
            <w:pPr>
              <w:jc w:val="center"/>
              <w:rPr>
                <w:rFonts w:ascii="宋体" w:hAnsi="宋体"/>
                <w:bCs/>
                <w:color w:val="auto"/>
              </w:rPr>
            </w:pPr>
            <w:r>
              <w:rPr>
                <w:rFonts w:ascii="宋体" w:hAnsi="宋体"/>
                <w:bCs/>
                <w:color w:val="auto"/>
              </w:rPr>
              <w:t>3.2</w:t>
            </w:r>
          </w:p>
        </w:tc>
        <w:tc>
          <w:tcPr>
            <w:tcW w:w="369" w:type="pct"/>
            <w:vAlign w:val="center"/>
          </w:tcPr>
          <w:p w14:paraId="0CF4956B">
            <w:pPr>
              <w:jc w:val="center"/>
              <w:rPr>
                <w:rFonts w:ascii="宋体" w:hAnsi="宋体"/>
                <w:color w:val="auto"/>
              </w:rPr>
            </w:pPr>
            <w:r>
              <w:rPr>
                <w:rFonts w:ascii="宋体" w:hAnsi="宋体"/>
                <w:color w:val="auto"/>
              </w:rPr>
              <w:t>4.2</w:t>
            </w:r>
          </w:p>
        </w:tc>
        <w:tc>
          <w:tcPr>
            <w:tcW w:w="371" w:type="pct"/>
            <w:vAlign w:val="center"/>
          </w:tcPr>
          <w:p w14:paraId="2F0D590C">
            <w:pPr>
              <w:jc w:val="center"/>
              <w:rPr>
                <w:rFonts w:ascii="宋体" w:hAnsi="宋体"/>
                <w:color w:val="auto"/>
              </w:rPr>
            </w:pPr>
            <w:r>
              <w:rPr>
                <w:rFonts w:ascii="宋体" w:hAnsi="宋体"/>
                <w:color w:val="auto"/>
              </w:rPr>
              <w:t>3.6</w:t>
            </w:r>
          </w:p>
        </w:tc>
        <w:tc>
          <w:tcPr>
            <w:tcW w:w="371" w:type="pct"/>
            <w:vAlign w:val="center"/>
          </w:tcPr>
          <w:p w14:paraId="5E255B71">
            <w:pPr>
              <w:jc w:val="center"/>
              <w:rPr>
                <w:rFonts w:ascii="宋体" w:hAnsi="宋体"/>
                <w:color w:val="auto"/>
              </w:rPr>
            </w:pPr>
            <w:r>
              <w:rPr>
                <w:rFonts w:ascii="宋体" w:hAnsi="宋体"/>
                <w:color w:val="auto"/>
              </w:rPr>
              <w:t>4.1</w:t>
            </w:r>
          </w:p>
        </w:tc>
        <w:tc>
          <w:tcPr>
            <w:tcW w:w="361" w:type="pct"/>
            <w:vAlign w:val="center"/>
          </w:tcPr>
          <w:p w14:paraId="13DF1727">
            <w:pPr>
              <w:jc w:val="center"/>
              <w:rPr>
                <w:rFonts w:ascii="宋体" w:hAnsi="宋体"/>
                <w:bCs/>
                <w:color w:val="auto"/>
              </w:rPr>
            </w:pPr>
            <w:r>
              <w:rPr>
                <w:rFonts w:ascii="宋体" w:hAnsi="宋体"/>
                <w:bCs/>
                <w:color w:val="auto"/>
              </w:rPr>
              <w:t>4.0</w:t>
            </w:r>
          </w:p>
        </w:tc>
      </w:tr>
      <w:tr w14:paraId="2208A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7630DD66">
            <w:pPr>
              <w:jc w:val="center"/>
              <w:rPr>
                <w:rFonts w:ascii="宋体" w:hAnsi="宋体"/>
                <w:color w:val="auto"/>
              </w:rPr>
            </w:pPr>
          </w:p>
        </w:tc>
        <w:tc>
          <w:tcPr>
            <w:tcW w:w="447" w:type="pct"/>
            <w:vAlign w:val="center"/>
          </w:tcPr>
          <w:p w14:paraId="077659EB">
            <w:pPr>
              <w:jc w:val="center"/>
              <w:rPr>
                <w:rFonts w:ascii="宋体" w:hAnsi="宋体"/>
                <w:color w:val="auto"/>
              </w:rPr>
            </w:pPr>
            <w:r>
              <w:rPr>
                <w:rFonts w:ascii="宋体" w:hAnsi="宋体"/>
                <w:color w:val="auto"/>
              </w:rPr>
              <w:t>排放速率/（kg/h）</w:t>
            </w:r>
          </w:p>
        </w:tc>
        <w:tc>
          <w:tcPr>
            <w:tcW w:w="360" w:type="pct"/>
            <w:vAlign w:val="center"/>
          </w:tcPr>
          <w:p w14:paraId="204814C2">
            <w:pPr>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70" w:type="pct"/>
            <w:vAlign w:val="center"/>
          </w:tcPr>
          <w:p w14:paraId="02693837">
            <w:pPr>
              <w:jc w:val="center"/>
              <w:rPr>
                <w:rFonts w:ascii="宋体" w:hAnsi="宋体"/>
                <w:color w:val="auto"/>
              </w:rPr>
            </w:pPr>
            <w:r>
              <w:rPr>
                <w:rFonts w:ascii="宋体" w:hAnsi="宋体"/>
                <w:color w:val="auto"/>
              </w:rPr>
              <w:t>6.7×10</w:t>
            </w:r>
            <w:r>
              <w:rPr>
                <w:rFonts w:ascii="宋体" w:hAnsi="宋体"/>
                <w:color w:val="auto"/>
                <w:vertAlign w:val="superscript"/>
              </w:rPr>
              <w:t>-4</w:t>
            </w:r>
          </w:p>
        </w:tc>
        <w:tc>
          <w:tcPr>
            <w:tcW w:w="370" w:type="pct"/>
            <w:vAlign w:val="center"/>
          </w:tcPr>
          <w:p w14:paraId="4D0FDA45">
            <w:pPr>
              <w:jc w:val="center"/>
              <w:rPr>
                <w:rFonts w:ascii="宋体" w:hAnsi="宋体"/>
                <w:color w:val="auto"/>
              </w:rPr>
            </w:pPr>
            <w:r>
              <w:rPr>
                <w:rFonts w:ascii="宋体" w:hAnsi="宋体"/>
                <w:color w:val="auto"/>
              </w:rPr>
              <w:t>8.3×10</w:t>
            </w:r>
            <w:r>
              <w:rPr>
                <w:rFonts w:ascii="宋体" w:hAnsi="宋体"/>
                <w:color w:val="auto"/>
                <w:vertAlign w:val="superscript"/>
              </w:rPr>
              <w:t>-4</w:t>
            </w:r>
          </w:p>
        </w:tc>
        <w:tc>
          <w:tcPr>
            <w:tcW w:w="360" w:type="pct"/>
            <w:gridSpan w:val="2"/>
            <w:vAlign w:val="center"/>
          </w:tcPr>
          <w:p w14:paraId="3B095E13">
            <w:pPr>
              <w:jc w:val="center"/>
              <w:rPr>
                <w:rFonts w:ascii="宋体" w:hAnsi="宋体"/>
                <w:color w:val="auto"/>
              </w:rPr>
            </w:pPr>
            <w:r>
              <w:rPr>
                <w:rFonts w:ascii="宋体" w:hAnsi="宋体"/>
                <w:color w:val="auto"/>
              </w:rPr>
              <w:t>8.7×10</w:t>
            </w:r>
            <w:r>
              <w:rPr>
                <w:rFonts w:ascii="宋体" w:hAnsi="宋体"/>
                <w:color w:val="auto"/>
                <w:vertAlign w:val="superscript"/>
              </w:rPr>
              <w:t>-4</w:t>
            </w:r>
          </w:p>
        </w:tc>
        <w:tc>
          <w:tcPr>
            <w:tcW w:w="367" w:type="pct"/>
            <w:vAlign w:val="center"/>
          </w:tcPr>
          <w:p w14:paraId="281809DD">
            <w:pPr>
              <w:jc w:val="center"/>
              <w:rPr>
                <w:rFonts w:ascii="宋体" w:hAnsi="宋体"/>
                <w:color w:val="auto"/>
              </w:rPr>
            </w:pPr>
            <w:r>
              <w:rPr>
                <w:rFonts w:ascii="宋体" w:hAnsi="宋体"/>
                <w:color w:val="auto"/>
              </w:rPr>
              <w:t>9.1×10</w:t>
            </w:r>
            <w:r>
              <w:rPr>
                <w:rFonts w:ascii="宋体" w:hAnsi="宋体"/>
                <w:color w:val="auto"/>
                <w:vertAlign w:val="superscript"/>
              </w:rPr>
              <w:t>-4</w:t>
            </w:r>
          </w:p>
        </w:tc>
        <w:tc>
          <w:tcPr>
            <w:tcW w:w="370" w:type="pct"/>
            <w:vAlign w:val="center"/>
          </w:tcPr>
          <w:p w14:paraId="169EF1E6">
            <w:pPr>
              <w:jc w:val="center"/>
              <w:rPr>
                <w:rFonts w:ascii="宋体" w:hAnsi="宋体"/>
                <w:color w:val="auto"/>
              </w:rPr>
            </w:pPr>
            <w:r>
              <w:rPr>
                <w:rFonts w:ascii="宋体" w:hAnsi="宋体"/>
                <w:color w:val="auto"/>
              </w:rPr>
              <w:t>9.1×10</w:t>
            </w:r>
            <w:r>
              <w:rPr>
                <w:rFonts w:ascii="宋体" w:hAnsi="宋体"/>
                <w:color w:val="auto"/>
                <w:vertAlign w:val="superscript"/>
              </w:rPr>
              <w:t>-4</w:t>
            </w:r>
          </w:p>
        </w:tc>
        <w:tc>
          <w:tcPr>
            <w:tcW w:w="371" w:type="pct"/>
            <w:vAlign w:val="center"/>
          </w:tcPr>
          <w:p w14:paraId="7F118441">
            <w:pPr>
              <w:jc w:val="center"/>
              <w:rPr>
                <w:rFonts w:ascii="宋体" w:hAnsi="宋体"/>
                <w:color w:val="auto"/>
              </w:rPr>
            </w:pPr>
            <w:r>
              <w:rPr>
                <w:rFonts w:ascii="宋体" w:hAnsi="宋体"/>
                <w:color w:val="auto"/>
              </w:rPr>
              <w:t>8.5×10</w:t>
            </w:r>
            <w:r>
              <w:rPr>
                <w:rFonts w:ascii="宋体" w:hAnsi="宋体"/>
                <w:color w:val="auto"/>
                <w:vertAlign w:val="superscript"/>
              </w:rPr>
              <w:t>-4</w:t>
            </w:r>
          </w:p>
        </w:tc>
        <w:tc>
          <w:tcPr>
            <w:tcW w:w="361" w:type="pct"/>
            <w:vAlign w:val="center"/>
          </w:tcPr>
          <w:p w14:paraId="2617B991">
            <w:pPr>
              <w:jc w:val="center"/>
              <w:rPr>
                <w:rFonts w:ascii="宋体" w:hAnsi="宋体"/>
                <w:color w:val="auto"/>
              </w:rPr>
            </w:pPr>
            <w:r>
              <w:rPr>
                <w:rFonts w:ascii="宋体" w:hAnsi="宋体"/>
                <w:color w:val="auto"/>
              </w:rPr>
              <w:t>8.9×10</w:t>
            </w:r>
            <w:r>
              <w:rPr>
                <w:rFonts w:ascii="宋体" w:hAnsi="宋体"/>
                <w:color w:val="auto"/>
                <w:vertAlign w:val="superscript"/>
              </w:rPr>
              <w:t>-4</w:t>
            </w:r>
          </w:p>
        </w:tc>
        <w:tc>
          <w:tcPr>
            <w:tcW w:w="369" w:type="pct"/>
            <w:vAlign w:val="center"/>
          </w:tcPr>
          <w:p w14:paraId="0F42EAC4">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71" w:type="pct"/>
            <w:vAlign w:val="center"/>
          </w:tcPr>
          <w:p w14:paraId="13D7ED76">
            <w:pPr>
              <w:jc w:val="center"/>
              <w:rPr>
                <w:rFonts w:ascii="宋体" w:hAnsi="宋体"/>
                <w:color w:val="auto"/>
              </w:rPr>
            </w:pPr>
            <w:r>
              <w:rPr>
                <w:rFonts w:ascii="宋体" w:hAnsi="宋体"/>
                <w:color w:val="auto"/>
              </w:rPr>
              <w:t>9.6×10</w:t>
            </w:r>
            <w:r>
              <w:rPr>
                <w:rFonts w:ascii="宋体" w:hAnsi="宋体"/>
                <w:color w:val="auto"/>
                <w:vertAlign w:val="superscript"/>
              </w:rPr>
              <w:t>-4</w:t>
            </w:r>
          </w:p>
        </w:tc>
        <w:tc>
          <w:tcPr>
            <w:tcW w:w="371" w:type="pct"/>
            <w:vAlign w:val="center"/>
          </w:tcPr>
          <w:p w14:paraId="0C14012D">
            <w:pPr>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61" w:type="pct"/>
            <w:vAlign w:val="center"/>
          </w:tcPr>
          <w:p w14:paraId="5F9EA5AB">
            <w:pPr>
              <w:jc w:val="center"/>
              <w:rPr>
                <w:rFonts w:ascii="宋体" w:hAnsi="宋体"/>
                <w:color w:val="auto"/>
              </w:rPr>
            </w:pPr>
            <w:r>
              <w:rPr>
                <w:rFonts w:ascii="宋体" w:hAnsi="宋体"/>
                <w:color w:val="auto"/>
              </w:rPr>
              <w:t>1.1×10</w:t>
            </w:r>
            <w:r>
              <w:rPr>
                <w:rFonts w:ascii="宋体" w:hAnsi="宋体"/>
                <w:color w:val="auto"/>
                <w:vertAlign w:val="superscript"/>
              </w:rPr>
              <w:t>-3</w:t>
            </w:r>
          </w:p>
        </w:tc>
      </w:tr>
      <w:tr w14:paraId="79AC9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restart"/>
            <w:vAlign w:val="center"/>
          </w:tcPr>
          <w:p w14:paraId="4D0C2305">
            <w:pPr>
              <w:jc w:val="center"/>
              <w:rPr>
                <w:rFonts w:ascii="宋体" w:hAnsi="宋体"/>
                <w:color w:val="auto"/>
              </w:rPr>
            </w:pPr>
            <w:r>
              <w:rPr>
                <w:rFonts w:ascii="宋体" w:hAnsi="宋体"/>
                <w:color w:val="auto"/>
              </w:rPr>
              <w:t>二氧化硫</w:t>
            </w:r>
          </w:p>
        </w:tc>
        <w:tc>
          <w:tcPr>
            <w:tcW w:w="447" w:type="pct"/>
            <w:vAlign w:val="center"/>
          </w:tcPr>
          <w:p w14:paraId="16D49E69">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60" w:type="pct"/>
            <w:vAlign w:val="center"/>
          </w:tcPr>
          <w:p w14:paraId="7D6AC739">
            <w:pPr>
              <w:jc w:val="center"/>
              <w:rPr>
                <w:rFonts w:ascii="宋体" w:hAnsi="宋体"/>
                <w:color w:val="auto"/>
              </w:rPr>
            </w:pPr>
            <w:r>
              <w:rPr>
                <w:rFonts w:ascii="宋体" w:hAnsi="宋体"/>
                <w:color w:val="auto"/>
              </w:rPr>
              <w:t>3L</w:t>
            </w:r>
          </w:p>
        </w:tc>
        <w:tc>
          <w:tcPr>
            <w:tcW w:w="370" w:type="pct"/>
            <w:vAlign w:val="center"/>
          </w:tcPr>
          <w:p w14:paraId="16F4B895">
            <w:pPr>
              <w:jc w:val="center"/>
              <w:rPr>
                <w:rFonts w:ascii="宋体" w:hAnsi="宋体"/>
                <w:color w:val="auto"/>
              </w:rPr>
            </w:pPr>
            <w:r>
              <w:rPr>
                <w:rFonts w:ascii="宋体" w:hAnsi="宋体"/>
                <w:color w:val="auto"/>
              </w:rPr>
              <w:t>3L</w:t>
            </w:r>
          </w:p>
        </w:tc>
        <w:tc>
          <w:tcPr>
            <w:tcW w:w="370" w:type="pct"/>
            <w:vAlign w:val="center"/>
          </w:tcPr>
          <w:p w14:paraId="24FD05F1">
            <w:pPr>
              <w:jc w:val="center"/>
              <w:rPr>
                <w:rFonts w:ascii="宋体" w:hAnsi="宋体"/>
                <w:color w:val="auto"/>
              </w:rPr>
            </w:pPr>
            <w:r>
              <w:rPr>
                <w:rFonts w:ascii="宋体" w:hAnsi="宋体"/>
                <w:color w:val="auto"/>
              </w:rPr>
              <w:t>3L</w:t>
            </w:r>
          </w:p>
        </w:tc>
        <w:tc>
          <w:tcPr>
            <w:tcW w:w="360" w:type="pct"/>
            <w:gridSpan w:val="2"/>
            <w:vAlign w:val="center"/>
          </w:tcPr>
          <w:p w14:paraId="3CB64CAB">
            <w:pPr>
              <w:jc w:val="center"/>
              <w:rPr>
                <w:rFonts w:ascii="宋体" w:hAnsi="宋体"/>
                <w:color w:val="auto"/>
              </w:rPr>
            </w:pPr>
            <w:r>
              <w:rPr>
                <w:rFonts w:ascii="宋体" w:hAnsi="宋体"/>
                <w:color w:val="auto"/>
              </w:rPr>
              <w:t>3L</w:t>
            </w:r>
          </w:p>
        </w:tc>
        <w:tc>
          <w:tcPr>
            <w:tcW w:w="367" w:type="pct"/>
            <w:vAlign w:val="center"/>
          </w:tcPr>
          <w:p w14:paraId="2E65EEA3">
            <w:pPr>
              <w:jc w:val="center"/>
              <w:rPr>
                <w:rFonts w:ascii="宋体" w:hAnsi="宋体"/>
                <w:color w:val="auto"/>
              </w:rPr>
            </w:pPr>
            <w:r>
              <w:rPr>
                <w:rFonts w:ascii="宋体" w:hAnsi="宋体"/>
                <w:color w:val="auto"/>
              </w:rPr>
              <w:t>3L</w:t>
            </w:r>
          </w:p>
        </w:tc>
        <w:tc>
          <w:tcPr>
            <w:tcW w:w="370" w:type="pct"/>
            <w:vAlign w:val="center"/>
          </w:tcPr>
          <w:p w14:paraId="179B0E52">
            <w:pPr>
              <w:jc w:val="center"/>
              <w:rPr>
                <w:rFonts w:ascii="宋体" w:hAnsi="宋体"/>
                <w:color w:val="auto"/>
              </w:rPr>
            </w:pPr>
            <w:r>
              <w:rPr>
                <w:rFonts w:ascii="宋体" w:hAnsi="宋体"/>
                <w:color w:val="auto"/>
              </w:rPr>
              <w:t>3L</w:t>
            </w:r>
          </w:p>
        </w:tc>
        <w:tc>
          <w:tcPr>
            <w:tcW w:w="371" w:type="pct"/>
            <w:vAlign w:val="center"/>
          </w:tcPr>
          <w:p w14:paraId="1593230A">
            <w:pPr>
              <w:jc w:val="center"/>
              <w:rPr>
                <w:rFonts w:ascii="宋体" w:hAnsi="宋体"/>
                <w:color w:val="auto"/>
              </w:rPr>
            </w:pPr>
            <w:r>
              <w:rPr>
                <w:rFonts w:ascii="宋体" w:hAnsi="宋体"/>
                <w:color w:val="auto"/>
              </w:rPr>
              <w:t>3L</w:t>
            </w:r>
          </w:p>
        </w:tc>
        <w:tc>
          <w:tcPr>
            <w:tcW w:w="361" w:type="pct"/>
            <w:vAlign w:val="center"/>
          </w:tcPr>
          <w:p w14:paraId="0120DB92">
            <w:pPr>
              <w:jc w:val="center"/>
              <w:rPr>
                <w:rFonts w:ascii="宋体" w:hAnsi="宋体"/>
                <w:color w:val="auto"/>
              </w:rPr>
            </w:pPr>
            <w:r>
              <w:rPr>
                <w:rFonts w:ascii="宋体" w:hAnsi="宋体"/>
                <w:color w:val="auto"/>
              </w:rPr>
              <w:t>3L</w:t>
            </w:r>
          </w:p>
        </w:tc>
        <w:tc>
          <w:tcPr>
            <w:tcW w:w="369" w:type="pct"/>
            <w:vAlign w:val="center"/>
          </w:tcPr>
          <w:p w14:paraId="345498B8">
            <w:pPr>
              <w:jc w:val="center"/>
              <w:rPr>
                <w:rFonts w:ascii="宋体" w:hAnsi="宋体"/>
                <w:color w:val="auto"/>
              </w:rPr>
            </w:pPr>
            <w:r>
              <w:rPr>
                <w:rFonts w:ascii="宋体" w:hAnsi="宋体"/>
                <w:color w:val="auto"/>
              </w:rPr>
              <w:t>3L</w:t>
            </w:r>
          </w:p>
        </w:tc>
        <w:tc>
          <w:tcPr>
            <w:tcW w:w="371" w:type="pct"/>
            <w:vAlign w:val="center"/>
          </w:tcPr>
          <w:p w14:paraId="6A56F122">
            <w:pPr>
              <w:jc w:val="center"/>
              <w:rPr>
                <w:rFonts w:ascii="宋体" w:hAnsi="宋体"/>
                <w:color w:val="auto"/>
              </w:rPr>
            </w:pPr>
            <w:r>
              <w:rPr>
                <w:rFonts w:ascii="宋体" w:hAnsi="宋体"/>
                <w:color w:val="auto"/>
              </w:rPr>
              <w:t>3L</w:t>
            </w:r>
          </w:p>
        </w:tc>
        <w:tc>
          <w:tcPr>
            <w:tcW w:w="371" w:type="pct"/>
            <w:vAlign w:val="center"/>
          </w:tcPr>
          <w:p w14:paraId="3F2A9745">
            <w:pPr>
              <w:jc w:val="center"/>
              <w:rPr>
                <w:rFonts w:ascii="宋体" w:hAnsi="宋体"/>
                <w:color w:val="auto"/>
              </w:rPr>
            </w:pPr>
            <w:r>
              <w:rPr>
                <w:rFonts w:ascii="宋体" w:hAnsi="宋体"/>
                <w:color w:val="auto"/>
              </w:rPr>
              <w:t>3L</w:t>
            </w:r>
          </w:p>
        </w:tc>
        <w:tc>
          <w:tcPr>
            <w:tcW w:w="361" w:type="pct"/>
            <w:vAlign w:val="center"/>
          </w:tcPr>
          <w:p w14:paraId="5710BB24">
            <w:pPr>
              <w:jc w:val="center"/>
              <w:rPr>
                <w:rFonts w:ascii="宋体" w:hAnsi="宋体"/>
                <w:color w:val="auto"/>
              </w:rPr>
            </w:pPr>
            <w:r>
              <w:rPr>
                <w:rFonts w:ascii="宋体" w:hAnsi="宋体"/>
                <w:color w:val="auto"/>
              </w:rPr>
              <w:t>3L</w:t>
            </w:r>
          </w:p>
        </w:tc>
      </w:tr>
      <w:tr w14:paraId="0810A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06EB527F">
            <w:pPr>
              <w:jc w:val="center"/>
              <w:rPr>
                <w:rFonts w:ascii="宋体" w:hAnsi="宋体"/>
                <w:color w:val="auto"/>
              </w:rPr>
            </w:pPr>
          </w:p>
        </w:tc>
        <w:tc>
          <w:tcPr>
            <w:tcW w:w="447" w:type="pct"/>
            <w:vAlign w:val="center"/>
          </w:tcPr>
          <w:p w14:paraId="3625188F">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60" w:type="pct"/>
            <w:vAlign w:val="center"/>
          </w:tcPr>
          <w:p w14:paraId="7C176ED2">
            <w:pPr>
              <w:jc w:val="center"/>
              <w:rPr>
                <w:rFonts w:ascii="宋体" w:hAnsi="宋体"/>
                <w:color w:val="auto"/>
              </w:rPr>
            </w:pPr>
            <w:r>
              <w:rPr>
                <w:rFonts w:ascii="宋体" w:hAnsi="宋体"/>
                <w:color w:val="auto"/>
              </w:rPr>
              <w:t>3L</w:t>
            </w:r>
          </w:p>
        </w:tc>
        <w:tc>
          <w:tcPr>
            <w:tcW w:w="370" w:type="pct"/>
            <w:vAlign w:val="center"/>
          </w:tcPr>
          <w:p w14:paraId="00402033">
            <w:pPr>
              <w:jc w:val="center"/>
              <w:rPr>
                <w:rFonts w:ascii="宋体" w:hAnsi="宋体"/>
                <w:color w:val="auto"/>
              </w:rPr>
            </w:pPr>
            <w:r>
              <w:rPr>
                <w:rFonts w:ascii="宋体" w:hAnsi="宋体"/>
                <w:color w:val="auto"/>
              </w:rPr>
              <w:t>3L</w:t>
            </w:r>
          </w:p>
        </w:tc>
        <w:tc>
          <w:tcPr>
            <w:tcW w:w="370" w:type="pct"/>
            <w:vAlign w:val="center"/>
          </w:tcPr>
          <w:p w14:paraId="6082B202">
            <w:pPr>
              <w:jc w:val="center"/>
              <w:rPr>
                <w:rFonts w:ascii="宋体" w:hAnsi="宋体"/>
                <w:color w:val="auto"/>
              </w:rPr>
            </w:pPr>
            <w:r>
              <w:rPr>
                <w:rFonts w:ascii="宋体" w:hAnsi="宋体"/>
                <w:color w:val="auto"/>
              </w:rPr>
              <w:t>3L</w:t>
            </w:r>
          </w:p>
        </w:tc>
        <w:tc>
          <w:tcPr>
            <w:tcW w:w="360" w:type="pct"/>
            <w:gridSpan w:val="2"/>
            <w:vAlign w:val="center"/>
          </w:tcPr>
          <w:p w14:paraId="0CD78B0B">
            <w:pPr>
              <w:jc w:val="center"/>
              <w:rPr>
                <w:rFonts w:ascii="宋体" w:hAnsi="宋体"/>
                <w:color w:val="auto"/>
              </w:rPr>
            </w:pPr>
            <w:r>
              <w:rPr>
                <w:rFonts w:ascii="宋体" w:hAnsi="宋体"/>
                <w:color w:val="auto"/>
              </w:rPr>
              <w:t>3L</w:t>
            </w:r>
          </w:p>
        </w:tc>
        <w:tc>
          <w:tcPr>
            <w:tcW w:w="367" w:type="pct"/>
            <w:vAlign w:val="center"/>
          </w:tcPr>
          <w:p w14:paraId="59C11F14">
            <w:pPr>
              <w:jc w:val="center"/>
              <w:rPr>
                <w:rFonts w:ascii="宋体" w:hAnsi="宋体"/>
                <w:color w:val="auto"/>
              </w:rPr>
            </w:pPr>
            <w:r>
              <w:rPr>
                <w:rFonts w:ascii="宋体" w:hAnsi="宋体"/>
                <w:color w:val="auto"/>
              </w:rPr>
              <w:t>3L</w:t>
            </w:r>
          </w:p>
        </w:tc>
        <w:tc>
          <w:tcPr>
            <w:tcW w:w="370" w:type="pct"/>
            <w:vAlign w:val="center"/>
          </w:tcPr>
          <w:p w14:paraId="0F98011F">
            <w:pPr>
              <w:jc w:val="center"/>
              <w:rPr>
                <w:rFonts w:ascii="宋体" w:hAnsi="宋体"/>
                <w:color w:val="auto"/>
              </w:rPr>
            </w:pPr>
            <w:r>
              <w:rPr>
                <w:rFonts w:ascii="宋体" w:hAnsi="宋体"/>
                <w:color w:val="auto"/>
              </w:rPr>
              <w:t>3L</w:t>
            </w:r>
          </w:p>
        </w:tc>
        <w:tc>
          <w:tcPr>
            <w:tcW w:w="371" w:type="pct"/>
            <w:vAlign w:val="center"/>
          </w:tcPr>
          <w:p w14:paraId="4F494DB2">
            <w:pPr>
              <w:jc w:val="center"/>
              <w:rPr>
                <w:rFonts w:ascii="宋体" w:hAnsi="宋体"/>
                <w:color w:val="auto"/>
              </w:rPr>
            </w:pPr>
            <w:r>
              <w:rPr>
                <w:rFonts w:ascii="宋体" w:hAnsi="宋体"/>
                <w:color w:val="auto"/>
              </w:rPr>
              <w:t>3L</w:t>
            </w:r>
          </w:p>
        </w:tc>
        <w:tc>
          <w:tcPr>
            <w:tcW w:w="361" w:type="pct"/>
            <w:vAlign w:val="center"/>
          </w:tcPr>
          <w:p w14:paraId="0195607E">
            <w:pPr>
              <w:jc w:val="center"/>
              <w:rPr>
                <w:rFonts w:ascii="宋体" w:hAnsi="宋体"/>
                <w:color w:val="auto"/>
              </w:rPr>
            </w:pPr>
            <w:r>
              <w:rPr>
                <w:rFonts w:ascii="宋体" w:hAnsi="宋体"/>
                <w:color w:val="auto"/>
              </w:rPr>
              <w:t>3L</w:t>
            </w:r>
          </w:p>
        </w:tc>
        <w:tc>
          <w:tcPr>
            <w:tcW w:w="369" w:type="pct"/>
            <w:vAlign w:val="center"/>
          </w:tcPr>
          <w:p w14:paraId="7A5BD640">
            <w:pPr>
              <w:jc w:val="center"/>
              <w:rPr>
                <w:rFonts w:ascii="宋体" w:hAnsi="宋体"/>
                <w:color w:val="auto"/>
              </w:rPr>
            </w:pPr>
            <w:r>
              <w:rPr>
                <w:rFonts w:ascii="宋体" w:hAnsi="宋体"/>
                <w:color w:val="auto"/>
              </w:rPr>
              <w:t>3L</w:t>
            </w:r>
          </w:p>
        </w:tc>
        <w:tc>
          <w:tcPr>
            <w:tcW w:w="371" w:type="pct"/>
            <w:vAlign w:val="center"/>
          </w:tcPr>
          <w:p w14:paraId="47BFCBEF">
            <w:pPr>
              <w:jc w:val="center"/>
              <w:rPr>
                <w:rFonts w:ascii="宋体" w:hAnsi="宋体"/>
                <w:color w:val="auto"/>
              </w:rPr>
            </w:pPr>
            <w:r>
              <w:rPr>
                <w:rFonts w:ascii="宋体" w:hAnsi="宋体"/>
                <w:color w:val="auto"/>
              </w:rPr>
              <w:t>3L</w:t>
            </w:r>
          </w:p>
        </w:tc>
        <w:tc>
          <w:tcPr>
            <w:tcW w:w="371" w:type="pct"/>
            <w:vAlign w:val="center"/>
          </w:tcPr>
          <w:p w14:paraId="6DF2876B">
            <w:pPr>
              <w:jc w:val="center"/>
              <w:rPr>
                <w:rFonts w:ascii="宋体" w:hAnsi="宋体"/>
                <w:color w:val="auto"/>
              </w:rPr>
            </w:pPr>
            <w:r>
              <w:rPr>
                <w:rFonts w:ascii="宋体" w:hAnsi="宋体"/>
                <w:color w:val="auto"/>
              </w:rPr>
              <w:t>3L</w:t>
            </w:r>
          </w:p>
        </w:tc>
        <w:tc>
          <w:tcPr>
            <w:tcW w:w="361" w:type="pct"/>
            <w:vAlign w:val="center"/>
          </w:tcPr>
          <w:p w14:paraId="507EDAB5">
            <w:pPr>
              <w:jc w:val="center"/>
              <w:rPr>
                <w:rFonts w:ascii="宋体" w:hAnsi="宋体"/>
                <w:color w:val="auto"/>
              </w:rPr>
            </w:pPr>
            <w:r>
              <w:rPr>
                <w:rFonts w:ascii="宋体" w:hAnsi="宋体"/>
                <w:color w:val="auto"/>
              </w:rPr>
              <w:t>3L</w:t>
            </w:r>
          </w:p>
        </w:tc>
      </w:tr>
      <w:tr w14:paraId="3FA16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1D9C8F0C">
            <w:pPr>
              <w:jc w:val="center"/>
              <w:rPr>
                <w:rFonts w:ascii="宋体" w:hAnsi="宋体"/>
                <w:color w:val="auto"/>
              </w:rPr>
            </w:pPr>
          </w:p>
        </w:tc>
        <w:tc>
          <w:tcPr>
            <w:tcW w:w="447" w:type="pct"/>
            <w:vAlign w:val="center"/>
          </w:tcPr>
          <w:p w14:paraId="54EE2C5B">
            <w:pPr>
              <w:jc w:val="center"/>
              <w:rPr>
                <w:rFonts w:ascii="宋体" w:hAnsi="宋体"/>
                <w:color w:val="auto"/>
              </w:rPr>
            </w:pPr>
            <w:r>
              <w:rPr>
                <w:rFonts w:ascii="宋体" w:hAnsi="宋体"/>
                <w:color w:val="auto"/>
              </w:rPr>
              <w:t>排放速率/（kg/h）</w:t>
            </w:r>
          </w:p>
        </w:tc>
        <w:tc>
          <w:tcPr>
            <w:tcW w:w="360" w:type="pct"/>
            <w:vAlign w:val="center"/>
          </w:tcPr>
          <w:p w14:paraId="5AA0C0E1">
            <w:pPr>
              <w:jc w:val="center"/>
              <w:rPr>
                <w:rFonts w:ascii="宋体" w:hAnsi="宋体"/>
                <w:color w:val="auto"/>
              </w:rPr>
            </w:pPr>
            <w:r>
              <w:rPr>
                <w:rFonts w:ascii="宋体" w:hAnsi="宋体"/>
                <w:color w:val="auto"/>
              </w:rPr>
              <w:t>/</w:t>
            </w:r>
          </w:p>
        </w:tc>
        <w:tc>
          <w:tcPr>
            <w:tcW w:w="370" w:type="pct"/>
            <w:vAlign w:val="center"/>
          </w:tcPr>
          <w:p w14:paraId="2DE08AC3">
            <w:pPr>
              <w:jc w:val="center"/>
              <w:rPr>
                <w:rFonts w:ascii="宋体" w:hAnsi="宋体"/>
                <w:color w:val="auto"/>
              </w:rPr>
            </w:pPr>
            <w:r>
              <w:rPr>
                <w:rFonts w:ascii="宋体" w:hAnsi="宋体"/>
                <w:color w:val="auto"/>
              </w:rPr>
              <w:t>/</w:t>
            </w:r>
          </w:p>
        </w:tc>
        <w:tc>
          <w:tcPr>
            <w:tcW w:w="370" w:type="pct"/>
            <w:vAlign w:val="center"/>
          </w:tcPr>
          <w:p w14:paraId="59BBBD70">
            <w:pPr>
              <w:jc w:val="center"/>
              <w:rPr>
                <w:rFonts w:ascii="宋体" w:hAnsi="宋体"/>
                <w:color w:val="auto"/>
              </w:rPr>
            </w:pPr>
            <w:r>
              <w:rPr>
                <w:rFonts w:ascii="宋体" w:hAnsi="宋体"/>
                <w:color w:val="auto"/>
              </w:rPr>
              <w:t>/</w:t>
            </w:r>
          </w:p>
        </w:tc>
        <w:tc>
          <w:tcPr>
            <w:tcW w:w="360" w:type="pct"/>
            <w:gridSpan w:val="2"/>
            <w:vAlign w:val="center"/>
          </w:tcPr>
          <w:p w14:paraId="6A6D523C">
            <w:pPr>
              <w:jc w:val="center"/>
              <w:rPr>
                <w:rFonts w:ascii="宋体" w:hAnsi="宋体"/>
                <w:color w:val="auto"/>
              </w:rPr>
            </w:pPr>
            <w:r>
              <w:rPr>
                <w:rFonts w:ascii="宋体" w:hAnsi="宋体"/>
                <w:color w:val="auto"/>
              </w:rPr>
              <w:t>/</w:t>
            </w:r>
          </w:p>
        </w:tc>
        <w:tc>
          <w:tcPr>
            <w:tcW w:w="367" w:type="pct"/>
            <w:vAlign w:val="center"/>
          </w:tcPr>
          <w:p w14:paraId="551D340A">
            <w:pPr>
              <w:jc w:val="center"/>
              <w:rPr>
                <w:rFonts w:ascii="宋体" w:hAnsi="宋体"/>
                <w:color w:val="auto"/>
              </w:rPr>
            </w:pPr>
            <w:r>
              <w:rPr>
                <w:rFonts w:ascii="宋体" w:hAnsi="宋体"/>
                <w:color w:val="auto"/>
              </w:rPr>
              <w:t>/</w:t>
            </w:r>
          </w:p>
        </w:tc>
        <w:tc>
          <w:tcPr>
            <w:tcW w:w="370" w:type="pct"/>
            <w:vAlign w:val="center"/>
          </w:tcPr>
          <w:p w14:paraId="1E63B3CA">
            <w:pPr>
              <w:jc w:val="center"/>
              <w:rPr>
                <w:rFonts w:ascii="宋体" w:hAnsi="宋体"/>
                <w:color w:val="auto"/>
              </w:rPr>
            </w:pPr>
            <w:r>
              <w:rPr>
                <w:rFonts w:ascii="宋体" w:hAnsi="宋体"/>
                <w:color w:val="auto"/>
              </w:rPr>
              <w:t>/</w:t>
            </w:r>
          </w:p>
        </w:tc>
        <w:tc>
          <w:tcPr>
            <w:tcW w:w="371" w:type="pct"/>
            <w:vAlign w:val="center"/>
          </w:tcPr>
          <w:p w14:paraId="178753E4">
            <w:pPr>
              <w:jc w:val="center"/>
              <w:rPr>
                <w:rFonts w:ascii="宋体" w:hAnsi="宋体"/>
                <w:color w:val="auto"/>
              </w:rPr>
            </w:pPr>
            <w:r>
              <w:rPr>
                <w:rFonts w:ascii="宋体" w:hAnsi="宋体"/>
                <w:color w:val="auto"/>
              </w:rPr>
              <w:t>/</w:t>
            </w:r>
          </w:p>
        </w:tc>
        <w:tc>
          <w:tcPr>
            <w:tcW w:w="361" w:type="pct"/>
            <w:vAlign w:val="center"/>
          </w:tcPr>
          <w:p w14:paraId="57B34004">
            <w:pPr>
              <w:jc w:val="center"/>
              <w:rPr>
                <w:rFonts w:ascii="宋体" w:hAnsi="宋体"/>
                <w:color w:val="auto"/>
              </w:rPr>
            </w:pPr>
            <w:r>
              <w:rPr>
                <w:rFonts w:ascii="宋体" w:hAnsi="宋体"/>
                <w:color w:val="auto"/>
              </w:rPr>
              <w:t>/</w:t>
            </w:r>
          </w:p>
        </w:tc>
        <w:tc>
          <w:tcPr>
            <w:tcW w:w="369" w:type="pct"/>
            <w:vAlign w:val="center"/>
          </w:tcPr>
          <w:p w14:paraId="02F158EA">
            <w:pPr>
              <w:jc w:val="center"/>
              <w:rPr>
                <w:rFonts w:ascii="宋体" w:hAnsi="宋体"/>
                <w:color w:val="auto"/>
              </w:rPr>
            </w:pPr>
            <w:r>
              <w:rPr>
                <w:rFonts w:ascii="宋体" w:hAnsi="宋体"/>
                <w:color w:val="auto"/>
              </w:rPr>
              <w:t>/</w:t>
            </w:r>
          </w:p>
        </w:tc>
        <w:tc>
          <w:tcPr>
            <w:tcW w:w="371" w:type="pct"/>
            <w:vAlign w:val="center"/>
          </w:tcPr>
          <w:p w14:paraId="519CA04B">
            <w:pPr>
              <w:jc w:val="center"/>
              <w:rPr>
                <w:rFonts w:ascii="宋体" w:hAnsi="宋体"/>
                <w:color w:val="auto"/>
              </w:rPr>
            </w:pPr>
            <w:r>
              <w:rPr>
                <w:rFonts w:ascii="宋体" w:hAnsi="宋体"/>
                <w:color w:val="auto"/>
              </w:rPr>
              <w:t>/</w:t>
            </w:r>
          </w:p>
        </w:tc>
        <w:tc>
          <w:tcPr>
            <w:tcW w:w="371" w:type="pct"/>
            <w:vAlign w:val="center"/>
          </w:tcPr>
          <w:p w14:paraId="61C63609">
            <w:pPr>
              <w:jc w:val="center"/>
              <w:rPr>
                <w:rFonts w:ascii="宋体" w:hAnsi="宋体"/>
                <w:color w:val="auto"/>
              </w:rPr>
            </w:pPr>
            <w:r>
              <w:rPr>
                <w:rFonts w:ascii="宋体" w:hAnsi="宋体"/>
                <w:color w:val="auto"/>
              </w:rPr>
              <w:t>/</w:t>
            </w:r>
          </w:p>
        </w:tc>
        <w:tc>
          <w:tcPr>
            <w:tcW w:w="361" w:type="pct"/>
            <w:vAlign w:val="center"/>
          </w:tcPr>
          <w:p w14:paraId="1DC9C3C0">
            <w:pPr>
              <w:jc w:val="center"/>
              <w:rPr>
                <w:rFonts w:ascii="宋体" w:hAnsi="宋体"/>
                <w:color w:val="auto"/>
              </w:rPr>
            </w:pPr>
            <w:r>
              <w:rPr>
                <w:rFonts w:ascii="宋体" w:hAnsi="宋体"/>
                <w:color w:val="auto"/>
              </w:rPr>
              <w:t>/</w:t>
            </w:r>
          </w:p>
        </w:tc>
      </w:tr>
      <w:tr w14:paraId="732DE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restart"/>
            <w:vAlign w:val="center"/>
          </w:tcPr>
          <w:p w14:paraId="69B2DABA">
            <w:pPr>
              <w:jc w:val="center"/>
              <w:rPr>
                <w:rFonts w:ascii="宋体" w:hAnsi="宋体"/>
                <w:color w:val="auto"/>
              </w:rPr>
            </w:pPr>
            <w:r>
              <w:rPr>
                <w:rFonts w:ascii="宋体" w:hAnsi="宋体"/>
                <w:color w:val="auto"/>
              </w:rPr>
              <w:t>氮氧化物</w:t>
            </w:r>
          </w:p>
        </w:tc>
        <w:tc>
          <w:tcPr>
            <w:tcW w:w="447" w:type="pct"/>
            <w:vAlign w:val="center"/>
          </w:tcPr>
          <w:p w14:paraId="2BD90A91">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60" w:type="pct"/>
            <w:vAlign w:val="center"/>
          </w:tcPr>
          <w:p w14:paraId="217851DA">
            <w:pPr>
              <w:jc w:val="center"/>
              <w:rPr>
                <w:rFonts w:ascii="宋体" w:hAnsi="宋体"/>
                <w:color w:val="auto"/>
              </w:rPr>
            </w:pPr>
            <w:r>
              <w:rPr>
                <w:rFonts w:ascii="宋体" w:hAnsi="宋体"/>
                <w:color w:val="auto"/>
              </w:rPr>
              <w:t>40</w:t>
            </w:r>
          </w:p>
        </w:tc>
        <w:tc>
          <w:tcPr>
            <w:tcW w:w="370" w:type="pct"/>
            <w:vAlign w:val="center"/>
          </w:tcPr>
          <w:p w14:paraId="5D55AA4C">
            <w:pPr>
              <w:jc w:val="center"/>
              <w:rPr>
                <w:rFonts w:ascii="宋体" w:hAnsi="宋体"/>
                <w:color w:val="auto"/>
              </w:rPr>
            </w:pPr>
            <w:r>
              <w:rPr>
                <w:rFonts w:ascii="宋体" w:hAnsi="宋体"/>
                <w:color w:val="auto"/>
              </w:rPr>
              <w:t>41</w:t>
            </w:r>
          </w:p>
        </w:tc>
        <w:tc>
          <w:tcPr>
            <w:tcW w:w="370" w:type="pct"/>
            <w:vAlign w:val="center"/>
          </w:tcPr>
          <w:p w14:paraId="0A6965D5">
            <w:pPr>
              <w:jc w:val="center"/>
              <w:rPr>
                <w:rFonts w:ascii="宋体" w:hAnsi="宋体"/>
                <w:color w:val="auto"/>
              </w:rPr>
            </w:pPr>
            <w:r>
              <w:rPr>
                <w:rFonts w:ascii="宋体" w:hAnsi="宋体"/>
                <w:color w:val="auto"/>
              </w:rPr>
              <w:t>37</w:t>
            </w:r>
          </w:p>
        </w:tc>
        <w:tc>
          <w:tcPr>
            <w:tcW w:w="360" w:type="pct"/>
            <w:gridSpan w:val="2"/>
            <w:vAlign w:val="center"/>
          </w:tcPr>
          <w:p w14:paraId="1A3B1A63">
            <w:pPr>
              <w:jc w:val="center"/>
              <w:rPr>
                <w:rFonts w:ascii="宋体" w:hAnsi="宋体"/>
                <w:color w:val="auto"/>
              </w:rPr>
            </w:pPr>
            <w:r>
              <w:rPr>
                <w:rFonts w:ascii="宋体" w:hAnsi="宋体"/>
                <w:color w:val="auto"/>
              </w:rPr>
              <w:t>39</w:t>
            </w:r>
          </w:p>
        </w:tc>
        <w:tc>
          <w:tcPr>
            <w:tcW w:w="367" w:type="pct"/>
            <w:vAlign w:val="center"/>
          </w:tcPr>
          <w:p w14:paraId="7EECA743">
            <w:pPr>
              <w:jc w:val="center"/>
              <w:rPr>
                <w:rFonts w:ascii="宋体" w:hAnsi="宋体"/>
                <w:color w:val="auto"/>
              </w:rPr>
            </w:pPr>
            <w:r>
              <w:rPr>
                <w:rFonts w:ascii="宋体" w:hAnsi="宋体"/>
                <w:color w:val="auto"/>
              </w:rPr>
              <w:t>43</w:t>
            </w:r>
          </w:p>
        </w:tc>
        <w:tc>
          <w:tcPr>
            <w:tcW w:w="370" w:type="pct"/>
            <w:vAlign w:val="center"/>
          </w:tcPr>
          <w:p w14:paraId="63B1459A">
            <w:pPr>
              <w:jc w:val="center"/>
              <w:rPr>
                <w:rFonts w:ascii="宋体" w:hAnsi="宋体"/>
                <w:color w:val="auto"/>
              </w:rPr>
            </w:pPr>
            <w:r>
              <w:rPr>
                <w:rFonts w:ascii="宋体" w:hAnsi="宋体"/>
                <w:color w:val="auto"/>
              </w:rPr>
              <w:t>41</w:t>
            </w:r>
          </w:p>
        </w:tc>
        <w:tc>
          <w:tcPr>
            <w:tcW w:w="371" w:type="pct"/>
            <w:vAlign w:val="center"/>
          </w:tcPr>
          <w:p w14:paraId="32E91C28">
            <w:pPr>
              <w:jc w:val="center"/>
              <w:rPr>
                <w:rFonts w:ascii="宋体" w:hAnsi="宋体"/>
                <w:color w:val="auto"/>
              </w:rPr>
            </w:pPr>
            <w:r>
              <w:rPr>
                <w:rFonts w:ascii="宋体" w:hAnsi="宋体"/>
                <w:color w:val="auto"/>
              </w:rPr>
              <w:t>37</w:t>
            </w:r>
          </w:p>
        </w:tc>
        <w:tc>
          <w:tcPr>
            <w:tcW w:w="361" w:type="pct"/>
            <w:vAlign w:val="center"/>
          </w:tcPr>
          <w:p w14:paraId="6DFF8DCE">
            <w:pPr>
              <w:jc w:val="center"/>
              <w:rPr>
                <w:rFonts w:ascii="宋体" w:hAnsi="宋体"/>
                <w:color w:val="auto"/>
              </w:rPr>
            </w:pPr>
            <w:r>
              <w:rPr>
                <w:rFonts w:ascii="宋体" w:hAnsi="宋体"/>
                <w:color w:val="auto"/>
              </w:rPr>
              <w:t>40</w:t>
            </w:r>
          </w:p>
        </w:tc>
        <w:tc>
          <w:tcPr>
            <w:tcW w:w="369" w:type="pct"/>
            <w:vAlign w:val="center"/>
          </w:tcPr>
          <w:p w14:paraId="3EDFAA54">
            <w:pPr>
              <w:jc w:val="center"/>
              <w:rPr>
                <w:rFonts w:ascii="宋体" w:hAnsi="宋体"/>
                <w:color w:val="auto"/>
              </w:rPr>
            </w:pPr>
            <w:r>
              <w:rPr>
                <w:rFonts w:ascii="宋体" w:hAnsi="宋体"/>
                <w:color w:val="auto"/>
              </w:rPr>
              <w:t>43</w:t>
            </w:r>
          </w:p>
        </w:tc>
        <w:tc>
          <w:tcPr>
            <w:tcW w:w="371" w:type="pct"/>
            <w:vAlign w:val="center"/>
          </w:tcPr>
          <w:p w14:paraId="0328E235">
            <w:pPr>
              <w:jc w:val="center"/>
              <w:rPr>
                <w:rFonts w:ascii="宋体" w:hAnsi="宋体"/>
                <w:color w:val="auto"/>
              </w:rPr>
            </w:pPr>
            <w:r>
              <w:rPr>
                <w:rFonts w:ascii="宋体" w:hAnsi="宋体"/>
                <w:color w:val="auto"/>
              </w:rPr>
              <w:t>43</w:t>
            </w:r>
          </w:p>
        </w:tc>
        <w:tc>
          <w:tcPr>
            <w:tcW w:w="371" w:type="pct"/>
            <w:vAlign w:val="center"/>
          </w:tcPr>
          <w:p w14:paraId="5FC9DAD9">
            <w:pPr>
              <w:jc w:val="center"/>
              <w:rPr>
                <w:rFonts w:ascii="宋体" w:hAnsi="宋体"/>
                <w:color w:val="auto"/>
              </w:rPr>
            </w:pPr>
            <w:r>
              <w:rPr>
                <w:rFonts w:ascii="宋体" w:hAnsi="宋体"/>
                <w:color w:val="auto"/>
              </w:rPr>
              <w:t>44</w:t>
            </w:r>
          </w:p>
        </w:tc>
        <w:tc>
          <w:tcPr>
            <w:tcW w:w="361" w:type="pct"/>
            <w:vAlign w:val="center"/>
          </w:tcPr>
          <w:p w14:paraId="69ADFAC4">
            <w:pPr>
              <w:jc w:val="center"/>
              <w:rPr>
                <w:rFonts w:ascii="宋体" w:hAnsi="宋体"/>
                <w:color w:val="auto"/>
              </w:rPr>
            </w:pPr>
            <w:r>
              <w:rPr>
                <w:rFonts w:ascii="宋体" w:hAnsi="宋体"/>
                <w:color w:val="auto"/>
              </w:rPr>
              <w:t>43</w:t>
            </w:r>
          </w:p>
        </w:tc>
      </w:tr>
      <w:tr w14:paraId="1BD0E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27ABFFFF">
            <w:pPr>
              <w:jc w:val="center"/>
              <w:rPr>
                <w:rFonts w:ascii="宋体" w:hAnsi="宋体"/>
                <w:color w:val="auto"/>
              </w:rPr>
            </w:pPr>
          </w:p>
        </w:tc>
        <w:tc>
          <w:tcPr>
            <w:tcW w:w="447" w:type="pct"/>
            <w:vAlign w:val="center"/>
          </w:tcPr>
          <w:p w14:paraId="24A7B24A">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60" w:type="pct"/>
            <w:vAlign w:val="center"/>
          </w:tcPr>
          <w:p w14:paraId="54EEE679">
            <w:pPr>
              <w:jc w:val="center"/>
              <w:rPr>
                <w:rFonts w:ascii="宋体" w:hAnsi="宋体"/>
                <w:color w:val="auto"/>
              </w:rPr>
            </w:pPr>
            <w:r>
              <w:rPr>
                <w:rFonts w:ascii="宋体" w:hAnsi="宋体"/>
                <w:color w:val="auto"/>
              </w:rPr>
              <w:t>43</w:t>
            </w:r>
          </w:p>
        </w:tc>
        <w:tc>
          <w:tcPr>
            <w:tcW w:w="370" w:type="pct"/>
            <w:vAlign w:val="center"/>
          </w:tcPr>
          <w:p w14:paraId="67AA81B8">
            <w:pPr>
              <w:jc w:val="center"/>
              <w:rPr>
                <w:rFonts w:ascii="宋体" w:hAnsi="宋体"/>
                <w:color w:val="auto"/>
              </w:rPr>
            </w:pPr>
            <w:r>
              <w:rPr>
                <w:rFonts w:ascii="宋体" w:hAnsi="宋体"/>
                <w:color w:val="auto"/>
              </w:rPr>
              <w:t>44</w:t>
            </w:r>
          </w:p>
        </w:tc>
        <w:tc>
          <w:tcPr>
            <w:tcW w:w="370" w:type="pct"/>
            <w:vAlign w:val="center"/>
          </w:tcPr>
          <w:p w14:paraId="79A9A8E9">
            <w:pPr>
              <w:jc w:val="center"/>
              <w:rPr>
                <w:rFonts w:ascii="宋体" w:hAnsi="宋体"/>
                <w:color w:val="auto"/>
              </w:rPr>
            </w:pPr>
            <w:r>
              <w:rPr>
                <w:rFonts w:ascii="宋体" w:hAnsi="宋体"/>
                <w:color w:val="auto"/>
              </w:rPr>
              <w:t>39</w:t>
            </w:r>
          </w:p>
        </w:tc>
        <w:tc>
          <w:tcPr>
            <w:tcW w:w="360" w:type="pct"/>
            <w:gridSpan w:val="2"/>
            <w:vAlign w:val="center"/>
          </w:tcPr>
          <w:p w14:paraId="69706550">
            <w:pPr>
              <w:jc w:val="center"/>
              <w:rPr>
                <w:rFonts w:ascii="宋体" w:hAnsi="宋体"/>
                <w:color w:val="auto"/>
              </w:rPr>
            </w:pPr>
            <w:r>
              <w:rPr>
                <w:rFonts w:ascii="宋体" w:hAnsi="宋体"/>
                <w:color w:val="auto"/>
              </w:rPr>
              <w:t>42</w:t>
            </w:r>
          </w:p>
        </w:tc>
        <w:tc>
          <w:tcPr>
            <w:tcW w:w="367" w:type="pct"/>
            <w:vAlign w:val="center"/>
          </w:tcPr>
          <w:p w14:paraId="47CB77CF">
            <w:pPr>
              <w:jc w:val="center"/>
              <w:rPr>
                <w:rFonts w:ascii="宋体" w:hAnsi="宋体"/>
                <w:color w:val="auto"/>
              </w:rPr>
            </w:pPr>
            <w:r>
              <w:rPr>
                <w:rFonts w:ascii="宋体" w:hAnsi="宋体"/>
                <w:color w:val="auto"/>
              </w:rPr>
              <w:t>46</w:t>
            </w:r>
          </w:p>
        </w:tc>
        <w:tc>
          <w:tcPr>
            <w:tcW w:w="370" w:type="pct"/>
            <w:vAlign w:val="center"/>
          </w:tcPr>
          <w:p w14:paraId="542F90DA">
            <w:pPr>
              <w:jc w:val="center"/>
              <w:rPr>
                <w:rFonts w:ascii="宋体" w:hAnsi="宋体"/>
                <w:color w:val="auto"/>
              </w:rPr>
            </w:pPr>
            <w:r>
              <w:rPr>
                <w:rFonts w:ascii="宋体" w:hAnsi="宋体"/>
                <w:color w:val="auto"/>
              </w:rPr>
              <w:t>43</w:t>
            </w:r>
          </w:p>
        </w:tc>
        <w:tc>
          <w:tcPr>
            <w:tcW w:w="371" w:type="pct"/>
            <w:vAlign w:val="center"/>
          </w:tcPr>
          <w:p w14:paraId="66B7A2AC">
            <w:pPr>
              <w:jc w:val="center"/>
              <w:rPr>
                <w:rFonts w:ascii="宋体" w:hAnsi="宋体"/>
                <w:color w:val="auto"/>
              </w:rPr>
            </w:pPr>
            <w:r>
              <w:rPr>
                <w:rFonts w:ascii="宋体" w:hAnsi="宋体"/>
                <w:color w:val="auto"/>
              </w:rPr>
              <w:t>39</w:t>
            </w:r>
          </w:p>
        </w:tc>
        <w:tc>
          <w:tcPr>
            <w:tcW w:w="361" w:type="pct"/>
            <w:vAlign w:val="center"/>
          </w:tcPr>
          <w:p w14:paraId="22F6ED77">
            <w:pPr>
              <w:jc w:val="center"/>
              <w:rPr>
                <w:rFonts w:ascii="宋体" w:hAnsi="宋体"/>
                <w:color w:val="auto"/>
              </w:rPr>
            </w:pPr>
            <w:r>
              <w:rPr>
                <w:rFonts w:ascii="宋体" w:hAnsi="宋体"/>
                <w:color w:val="auto"/>
              </w:rPr>
              <w:t>43</w:t>
            </w:r>
          </w:p>
        </w:tc>
        <w:tc>
          <w:tcPr>
            <w:tcW w:w="369" w:type="pct"/>
            <w:vAlign w:val="center"/>
          </w:tcPr>
          <w:p w14:paraId="4343C613">
            <w:pPr>
              <w:jc w:val="center"/>
              <w:rPr>
                <w:rFonts w:ascii="宋体" w:hAnsi="宋体"/>
                <w:color w:val="auto"/>
              </w:rPr>
            </w:pPr>
            <w:r>
              <w:rPr>
                <w:rFonts w:ascii="宋体" w:hAnsi="宋体"/>
                <w:color w:val="auto"/>
              </w:rPr>
              <w:t>45</w:t>
            </w:r>
          </w:p>
        </w:tc>
        <w:tc>
          <w:tcPr>
            <w:tcW w:w="371" w:type="pct"/>
            <w:vAlign w:val="center"/>
          </w:tcPr>
          <w:p w14:paraId="2867E140">
            <w:pPr>
              <w:jc w:val="center"/>
              <w:rPr>
                <w:rFonts w:ascii="宋体" w:hAnsi="宋体"/>
                <w:color w:val="auto"/>
              </w:rPr>
            </w:pPr>
            <w:r>
              <w:rPr>
                <w:rFonts w:ascii="宋体" w:hAnsi="宋体"/>
                <w:color w:val="auto"/>
              </w:rPr>
              <w:t>45</w:t>
            </w:r>
          </w:p>
        </w:tc>
        <w:tc>
          <w:tcPr>
            <w:tcW w:w="371" w:type="pct"/>
            <w:vAlign w:val="center"/>
          </w:tcPr>
          <w:p w14:paraId="39EAE40A">
            <w:pPr>
              <w:jc w:val="center"/>
              <w:rPr>
                <w:rFonts w:ascii="宋体" w:hAnsi="宋体"/>
                <w:color w:val="auto"/>
              </w:rPr>
            </w:pPr>
            <w:r>
              <w:rPr>
                <w:rFonts w:ascii="宋体" w:hAnsi="宋体"/>
                <w:color w:val="auto"/>
              </w:rPr>
              <w:t>47</w:t>
            </w:r>
          </w:p>
        </w:tc>
        <w:tc>
          <w:tcPr>
            <w:tcW w:w="361" w:type="pct"/>
            <w:vAlign w:val="center"/>
          </w:tcPr>
          <w:p w14:paraId="12A3EF98">
            <w:pPr>
              <w:jc w:val="center"/>
              <w:rPr>
                <w:rFonts w:ascii="宋体" w:hAnsi="宋体"/>
                <w:color w:val="auto"/>
              </w:rPr>
            </w:pPr>
            <w:r>
              <w:rPr>
                <w:rFonts w:ascii="宋体" w:hAnsi="宋体"/>
                <w:color w:val="auto"/>
              </w:rPr>
              <w:t>46</w:t>
            </w:r>
          </w:p>
        </w:tc>
      </w:tr>
      <w:tr w14:paraId="677AE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160302D3">
            <w:pPr>
              <w:jc w:val="center"/>
              <w:rPr>
                <w:rFonts w:ascii="宋体" w:hAnsi="宋体"/>
                <w:color w:val="auto"/>
              </w:rPr>
            </w:pPr>
          </w:p>
        </w:tc>
        <w:tc>
          <w:tcPr>
            <w:tcW w:w="447" w:type="pct"/>
            <w:vAlign w:val="center"/>
          </w:tcPr>
          <w:p w14:paraId="209F818D">
            <w:pPr>
              <w:jc w:val="center"/>
              <w:rPr>
                <w:rFonts w:ascii="宋体" w:hAnsi="宋体"/>
                <w:color w:val="auto"/>
              </w:rPr>
            </w:pPr>
            <w:r>
              <w:rPr>
                <w:rFonts w:ascii="宋体" w:hAnsi="宋体"/>
                <w:color w:val="auto"/>
              </w:rPr>
              <w:t>排放速率/（kg/h）</w:t>
            </w:r>
          </w:p>
        </w:tc>
        <w:tc>
          <w:tcPr>
            <w:tcW w:w="360" w:type="pct"/>
            <w:vAlign w:val="center"/>
          </w:tcPr>
          <w:p w14:paraId="7AAF41DA">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0" w:type="pct"/>
            <w:vAlign w:val="center"/>
          </w:tcPr>
          <w:p w14:paraId="10C8D73B">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0" w:type="pct"/>
            <w:vAlign w:val="center"/>
          </w:tcPr>
          <w:p w14:paraId="47B94904">
            <w:pPr>
              <w:jc w:val="center"/>
              <w:rPr>
                <w:rFonts w:ascii="宋体" w:hAnsi="宋体"/>
                <w:color w:val="auto"/>
              </w:rPr>
            </w:pPr>
            <w:r>
              <w:rPr>
                <w:rFonts w:ascii="宋体" w:hAnsi="宋体"/>
                <w:color w:val="auto"/>
              </w:rPr>
              <w:t>1.0×10</w:t>
            </w:r>
            <w:r>
              <w:rPr>
                <w:rFonts w:ascii="宋体" w:hAnsi="宋体"/>
                <w:color w:val="auto"/>
                <w:vertAlign w:val="superscript"/>
              </w:rPr>
              <w:t>-2</w:t>
            </w:r>
          </w:p>
        </w:tc>
        <w:tc>
          <w:tcPr>
            <w:tcW w:w="360" w:type="pct"/>
            <w:gridSpan w:val="2"/>
            <w:vAlign w:val="center"/>
          </w:tcPr>
          <w:p w14:paraId="49472C73">
            <w:pPr>
              <w:jc w:val="center"/>
              <w:rPr>
                <w:rFonts w:ascii="宋体" w:hAnsi="宋体"/>
                <w:color w:val="auto"/>
              </w:rPr>
            </w:pPr>
            <w:r>
              <w:rPr>
                <w:rFonts w:ascii="宋体" w:hAnsi="宋体"/>
                <w:color w:val="auto"/>
              </w:rPr>
              <w:t>1.1×10</w:t>
            </w:r>
            <w:r>
              <w:rPr>
                <w:rFonts w:ascii="宋体" w:hAnsi="宋体"/>
                <w:color w:val="auto"/>
                <w:vertAlign w:val="superscript"/>
              </w:rPr>
              <w:t>-2</w:t>
            </w:r>
          </w:p>
        </w:tc>
        <w:tc>
          <w:tcPr>
            <w:tcW w:w="367" w:type="pct"/>
            <w:vAlign w:val="center"/>
          </w:tcPr>
          <w:p w14:paraId="57DA9D79">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0" w:type="pct"/>
            <w:vAlign w:val="center"/>
          </w:tcPr>
          <w:p w14:paraId="5B0E04F3">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1" w:type="pct"/>
            <w:vAlign w:val="center"/>
          </w:tcPr>
          <w:p w14:paraId="1A5FACBD">
            <w:pPr>
              <w:jc w:val="center"/>
              <w:rPr>
                <w:rFonts w:ascii="宋体" w:hAnsi="宋体"/>
                <w:color w:val="auto"/>
              </w:rPr>
            </w:pPr>
            <w:r>
              <w:rPr>
                <w:rFonts w:ascii="宋体" w:hAnsi="宋体"/>
                <w:color w:val="auto"/>
              </w:rPr>
              <w:t>1.1×10</w:t>
            </w:r>
            <w:r>
              <w:rPr>
                <w:rFonts w:ascii="宋体" w:hAnsi="宋体"/>
                <w:color w:val="auto"/>
                <w:vertAlign w:val="superscript"/>
              </w:rPr>
              <w:t>-2</w:t>
            </w:r>
          </w:p>
        </w:tc>
        <w:tc>
          <w:tcPr>
            <w:tcW w:w="361" w:type="pct"/>
            <w:vAlign w:val="center"/>
          </w:tcPr>
          <w:p w14:paraId="108FE8C9">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69" w:type="pct"/>
            <w:vAlign w:val="center"/>
          </w:tcPr>
          <w:p w14:paraId="10814963">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1" w:type="pct"/>
            <w:vAlign w:val="center"/>
          </w:tcPr>
          <w:p w14:paraId="1A857904">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1" w:type="pct"/>
            <w:vAlign w:val="center"/>
          </w:tcPr>
          <w:p w14:paraId="4F3CBC7B">
            <w:pPr>
              <w:jc w:val="center"/>
              <w:rPr>
                <w:rFonts w:ascii="宋体" w:hAnsi="宋体"/>
                <w:color w:val="auto"/>
              </w:rPr>
            </w:pPr>
            <w:r>
              <w:rPr>
                <w:rFonts w:ascii="宋体" w:hAnsi="宋体"/>
                <w:color w:val="auto"/>
              </w:rPr>
              <w:t>1.3×10</w:t>
            </w:r>
            <w:r>
              <w:rPr>
                <w:rFonts w:ascii="宋体" w:hAnsi="宋体"/>
                <w:color w:val="auto"/>
                <w:vertAlign w:val="superscript"/>
              </w:rPr>
              <w:t>-2</w:t>
            </w:r>
          </w:p>
        </w:tc>
        <w:tc>
          <w:tcPr>
            <w:tcW w:w="361" w:type="pct"/>
            <w:vAlign w:val="center"/>
          </w:tcPr>
          <w:p w14:paraId="78AC5D5A">
            <w:pPr>
              <w:jc w:val="center"/>
              <w:rPr>
                <w:rFonts w:ascii="宋体" w:hAnsi="宋体"/>
                <w:color w:val="auto"/>
              </w:rPr>
            </w:pPr>
            <w:r>
              <w:rPr>
                <w:rFonts w:ascii="宋体" w:hAnsi="宋体"/>
                <w:color w:val="auto"/>
              </w:rPr>
              <w:t>1.2×10</w:t>
            </w:r>
            <w:r>
              <w:rPr>
                <w:rFonts w:ascii="宋体" w:hAnsi="宋体"/>
                <w:color w:val="auto"/>
                <w:vertAlign w:val="superscript"/>
              </w:rPr>
              <w:t>-2</w:t>
            </w:r>
          </w:p>
        </w:tc>
      </w:tr>
      <w:tr w14:paraId="15CEE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gridSpan w:val="2"/>
            <w:vAlign w:val="center"/>
          </w:tcPr>
          <w:p w14:paraId="02340661">
            <w:pPr>
              <w:jc w:val="center"/>
              <w:rPr>
                <w:rFonts w:ascii="宋体" w:hAnsi="宋体"/>
                <w:color w:val="auto"/>
              </w:rPr>
            </w:pPr>
            <w:r>
              <w:rPr>
                <w:rFonts w:ascii="宋体" w:hAnsi="宋体"/>
                <w:color w:val="auto"/>
              </w:rPr>
              <w:t>烟气黑度/（级）</w:t>
            </w:r>
          </w:p>
        </w:tc>
        <w:tc>
          <w:tcPr>
            <w:tcW w:w="1371" w:type="pct"/>
            <w:gridSpan w:val="4"/>
            <w:vAlign w:val="center"/>
          </w:tcPr>
          <w:p w14:paraId="4EF08E19">
            <w:pPr>
              <w:jc w:val="center"/>
              <w:rPr>
                <w:rFonts w:ascii="宋体" w:hAnsi="宋体"/>
                <w:color w:val="auto"/>
              </w:rPr>
            </w:pPr>
            <w:r>
              <w:rPr>
                <w:rFonts w:ascii="宋体" w:hAnsi="宋体"/>
                <w:color w:val="auto"/>
              </w:rPr>
              <w:t>＜1</w:t>
            </w:r>
          </w:p>
        </w:tc>
        <w:tc>
          <w:tcPr>
            <w:tcW w:w="1558" w:type="pct"/>
            <w:gridSpan w:val="5"/>
            <w:vAlign w:val="center"/>
          </w:tcPr>
          <w:p w14:paraId="22AD6FF6">
            <w:pPr>
              <w:jc w:val="center"/>
              <w:rPr>
                <w:rFonts w:ascii="宋体" w:hAnsi="宋体"/>
                <w:color w:val="auto"/>
              </w:rPr>
            </w:pPr>
            <w:r>
              <w:rPr>
                <w:rFonts w:ascii="宋体" w:hAnsi="宋体"/>
                <w:color w:val="auto"/>
              </w:rPr>
              <w:t>＜1</w:t>
            </w:r>
          </w:p>
        </w:tc>
        <w:tc>
          <w:tcPr>
            <w:tcW w:w="1472" w:type="pct"/>
            <w:gridSpan w:val="4"/>
            <w:vAlign w:val="center"/>
          </w:tcPr>
          <w:p w14:paraId="2875B4F7">
            <w:pPr>
              <w:jc w:val="center"/>
              <w:rPr>
                <w:rFonts w:ascii="宋体" w:hAnsi="宋体"/>
                <w:color w:val="auto"/>
              </w:rPr>
            </w:pPr>
            <w:r>
              <w:rPr>
                <w:rFonts w:ascii="宋体" w:hAnsi="宋体"/>
                <w:color w:val="auto"/>
              </w:rPr>
              <w:t>＜1</w:t>
            </w:r>
          </w:p>
        </w:tc>
      </w:tr>
      <w:tr w14:paraId="7BE87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Align w:val="center"/>
          </w:tcPr>
          <w:p w14:paraId="4095763F">
            <w:pPr>
              <w:jc w:val="center"/>
              <w:rPr>
                <w:rFonts w:ascii="宋体" w:hAnsi="宋体"/>
                <w:color w:val="auto"/>
              </w:rPr>
            </w:pPr>
            <w:r>
              <w:rPr>
                <w:rFonts w:ascii="宋体" w:hAnsi="宋体"/>
                <w:color w:val="auto"/>
              </w:rPr>
              <w:t>备注</w:t>
            </w:r>
          </w:p>
        </w:tc>
        <w:tc>
          <w:tcPr>
            <w:tcW w:w="4848" w:type="pct"/>
            <w:gridSpan w:val="14"/>
            <w:vAlign w:val="center"/>
          </w:tcPr>
          <w:p w14:paraId="7F177FE9">
            <w:pPr>
              <w:numPr>
                <w:ilvl w:val="0"/>
                <w:numId w:val="26"/>
              </w:numPr>
              <w:jc w:val="center"/>
              <w:rPr>
                <w:rFonts w:ascii="宋体" w:hAnsi="宋体"/>
                <w:color w:val="auto"/>
              </w:rPr>
            </w:pPr>
            <w:r>
              <w:rPr>
                <w:rFonts w:ascii="宋体" w:hAnsi="宋体"/>
                <w:color w:val="auto"/>
              </w:rPr>
              <w:t>基准氧含量：3.5%</w:t>
            </w:r>
          </w:p>
          <w:p w14:paraId="353BEC13">
            <w:pPr>
              <w:jc w:val="center"/>
              <w:rPr>
                <w:rFonts w:ascii="宋体" w:hAnsi="宋体"/>
                <w:color w:val="auto"/>
              </w:rPr>
            </w:pPr>
            <w:r>
              <w:rPr>
                <w:rFonts w:ascii="宋体" w:hAnsi="宋体"/>
                <w:color w:val="auto"/>
              </w:rPr>
              <w:t>2、HJ 57-2017固定污染源废气 二氧化硫的测定 定电位电解法检测二氧化硫，一氧化碳干扰显著，测定样品时须同时测定一氧化碳浓度，一氧化碳浓度超过50μmol/mol（62.5mg/m</w:t>
            </w:r>
            <w:r>
              <w:rPr>
                <w:rFonts w:ascii="宋体" w:hAnsi="宋体"/>
                <w:color w:val="auto"/>
                <w:vertAlign w:val="superscript"/>
              </w:rPr>
              <w:t>3</w:t>
            </w:r>
            <w:r>
              <w:rPr>
                <w:rFonts w:ascii="宋体" w:hAnsi="宋体"/>
                <w:color w:val="auto"/>
              </w:rPr>
              <w:t>）时，定电位电解法不适用。</w:t>
            </w:r>
          </w:p>
          <w:p w14:paraId="6741EC4A">
            <w:pPr>
              <w:jc w:val="center"/>
              <w:rPr>
                <w:rFonts w:ascii="宋体" w:hAnsi="宋体"/>
                <w:color w:val="auto"/>
              </w:rPr>
            </w:pPr>
            <w:r>
              <w:rPr>
                <w:rFonts w:ascii="宋体" w:hAnsi="宋体"/>
                <w:color w:val="auto"/>
              </w:rPr>
              <w:t>3、检测结果低于分析方法检出限时，结果报告为使用方法检出限值，并加标志位“L”。</w:t>
            </w:r>
          </w:p>
          <w:p w14:paraId="29FDB065">
            <w:pPr>
              <w:jc w:val="center"/>
              <w:rPr>
                <w:rFonts w:ascii="宋体" w:hAnsi="宋体"/>
                <w:color w:val="auto"/>
              </w:rPr>
            </w:pPr>
            <w:r>
              <w:rPr>
                <w:rFonts w:ascii="宋体" w:hAnsi="宋体"/>
                <w:color w:val="auto"/>
              </w:rPr>
              <w:t>4、如果实测浓度用检出限（L）或＜检出限表示，则折算浓度按照折算后结果表示。</w:t>
            </w:r>
          </w:p>
        </w:tc>
      </w:tr>
    </w:tbl>
    <w:p w14:paraId="45708910">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10</w:t>
      </w:r>
      <w:r>
        <w:rPr>
          <w:color w:val="auto"/>
        </w:rPr>
        <w:fldChar w:fldCharType="end"/>
      </w:r>
      <w:r>
        <w:rPr>
          <w:rFonts w:hint="eastAsia"/>
          <w:color w:val="auto"/>
        </w:rPr>
        <w:t xml:space="preserve"> 9#井场加热炉排气筒监测数据（2）</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1092"/>
        <w:gridCol w:w="1040"/>
        <w:gridCol w:w="1040"/>
        <w:gridCol w:w="1040"/>
        <w:gridCol w:w="931"/>
        <w:gridCol w:w="109"/>
        <w:gridCol w:w="1040"/>
        <w:gridCol w:w="1040"/>
        <w:gridCol w:w="1040"/>
        <w:gridCol w:w="1040"/>
        <w:gridCol w:w="1040"/>
        <w:gridCol w:w="1040"/>
        <w:gridCol w:w="1040"/>
        <w:gridCol w:w="1040"/>
      </w:tblGrid>
      <w:tr w14:paraId="2E84B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01E83261">
            <w:pPr>
              <w:jc w:val="center"/>
              <w:rPr>
                <w:rFonts w:ascii="宋体" w:hAnsi="宋体"/>
                <w:color w:val="auto"/>
              </w:rPr>
            </w:pPr>
            <w:r>
              <w:rPr>
                <w:rFonts w:ascii="宋体" w:hAnsi="宋体"/>
                <w:color w:val="auto"/>
              </w:rPr>
              <w:t>排气筒名称</w:t>
            </w:r>
          </w:p>
        </w:tc>
        <w:tc>
          <w:tcPr>
            <w:tcW w:w="4394" w:type="pct"/>
            <w:gridSpan w:val="13"/>
            <w:vAlign w:val="center"/>
          </w:tcPr>
          <w:p w14:paraId="0DC3231A">
            <w:pPr>
              <w:jc w:val="center"/>
              <w:rPr>
                <w:rFonts w:ascii="宋体" w:hAnsi="宋体"/>
                <w:color w:val="auto"/>
              </w:rPr>
            </w:pPr>
            <w:r>
              <w:rPr>
                <w:rFonts w:ascii="宋体" w:hAnsi="宋体"/>
                <w:color w:val="auto"/>
              </w:rPr>
              <w:t>9#井场加热炉</w:t>
            </w:r>
          </w:p>
        </w:tc>
      </w:tr>
      <w:tr w14:paraId="60B3B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6B19C125">
            <w:pPr>
              <w:jc w:val="center"/>
              <w:rPr>
                <w:rFonts w:ascii="宋体" w:hAnsi="宋体"/>
                <w:color w:val="auto"/>
              </w:rPr>
            </w:pPr>
            <w:r>
              <w:rPr>
                <w:rFonts w:ascii="宋体" w:hAnsi="宋体"/>
                <w:color w:val="auto"/>
              </w:rPr>
              <w:t>采样日期</w:t>
            </w:r>
          </w:p>
        </w:tc>
        <w:tc>
          <w:tcPr>
            <w:tcW w:w="4394" w:type="pct"/>
            <w:gridSpan w:val="13"/>
            <w:vAlign w:val="center"/>
          </w:tcPr>
          <w:p w14:paraId="1E94624A">
            <w:pPr>
              <w:jc w:val="center"/>
              <w:rPr>
                <w:rFonts w:ascii="宋体" w:hAnsi="宋体"/>
                <w:color w:val="auto"/>
              </w:rPr>
            </w:pPr>
            <w:r>
              <w:rPr>
                <w:rFonts w:ascii="宋体" w:hAnsi="宋体"/>
                <w:color w:val="auto"/>
              </w:rPr>
              <w:t>2026.03.20</w:t>
            </w:r>
          </w:p>
        </w:tc>
      </w:tr>
      <w:tr w14:paraId="05085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3352DEA7">
            <w:pPr>
              <w:jc w:val="center"/>
              <w:rPr>
                <w:rFonts w:ascii="宋体" w:hAnsi="宋体"/>
                <w:color w:val="auto"/>
              </w:rPr>
            </w:pPr>
            <w:r>
              <w:rPr>
                <w:rFonts w:ascii="宋体" w:hAnsi="宋体"/>
                <w:color w:val="auto"/>
              </w:rPr>
              <w:t>分析日期</w:t>
            </w:r>
          </w:p>
        </w:tc>
        <w:tc>
          <w:tcPr>
            <w:tcW w:w="4394" w:type="pct"/>
            <w:gridSpan w:val="13"/>
            <w:vAlign w:val="center"/>
          </w:tcPr>
          <w:p w14:paraId="766C00BE">
            <w:pPr>
              <w:jc w:val="center"/>
              <w:rPr>
                <w:rFonts w:ascii="宋体" w:hAnsi="宋体"/>
                <w:color w:val="auto"/>
              </w:rPr>
            </w:pPr>
            <w:r>
              <w:rPr>
                <w:rFonts w:ascii="宋体" w:hAnsi="宋体"/>
                <w:color w:val="auto"/>
              </w:rPr>
              <w:t>2026.03.20-03.23</w:t>
            </w:r>
          </w:p>
        </w:tc>
      </w:tr>
      <w:tr w14:paraId="19CEF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2DEBD8B5">
            <w:pPr>
              <w:jc w:val="center"/>
              <w:rPr>
                <w:rFonts w:ascii="宋体" w:hAnsi="宋体"/>
                <w:color w:val="auto"/>
              </w:rPr>
            </w:pPr>
            <w:r>
              <w:rPr>
                <w:rFonts w:ascii="宋体" w:hAnsi="宋体"/>
                <w:color w:val="auto"/>
              </w:rPr>
              <w:t>排气筒高度/（m）</w:t>
            </w:r>
          </w:p>
        </w:tc>
        <w:tc>
          <w:tcPr>
            <w:tcW w:w="4394" w:type="pct"/>
            <w:gridSpan w:val="13"/>
            <w:vAlign w:val="center"/>
          </w:tcPr>
          <w:p w14:paraId="6428CDB0">
            <w:pPr>
              <w:jc w:val="center"/>
              <w:rPr>
                <w:rFonts w:ascii="宋体" w:hAnsi="宋体"/>
                <w:color w:val="auto"/>
              </w:rPr>
            </w:pPr>
            <w:r>
              <w:rPr>
                <w:rFonts w:ascii="宋体" w:hAnsi="宋体"/>
                <w:color w:val="auto"/>
              </w:rPr>
              <w:t>9.4</w:t>
            </w:r>
          </w:p>
        </w:tc>
      </w:tr>
      <w:tr w14:paraId="46407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2872FB88">
            <w:pPr>
              <w:jc w:val="center"/>
              <w:rPr>
                <w:rFonts w:ascii="宋体" w:hAnsi="宋体"/>
                <w:color w:val="auto"/>
              </w:rPr>
            </w:pPr>
            <w:r>
              <w:rPr>
                <w:rFonts w:ascii="宋体" w:hAnsi="宋体"/>
                <w:color w:val="auto"/>
              </w:rPr>
              <w:t>测点截面积/（m</w:t>
            </w:r>
            <w:r>
              <w:rPr>
                <w:rFonts w:ascii="宋体" w:hAnsi="宋体"/>
                <w:color w:val="auto"/>
                <w:vertAlign w:val="superscript"/>
              </w:rPr>
              <w:t>2</w:t>
            </w:r>
            <w:r>
              <w:rPr>
                <w:rFonts w:ascii="宋体" w:hAnsi="宋体"/>
                <w:color w:val="auto"/>
              </w:rPr>
              <w:t>）</w:t>
            </w:r>
          </w:p>
        </w:tc>
        <w:tc>
          <w:tcPr>
            <w:tcW w:w="4394" w:type="pct"/>
            <w:gridSpan w:val="13"/>
            <w:vAlign w:val="center"/>
          </w:tcPr>
          <w:p w14:paraId="705B3C1E">
            <w:pPr>
              <w:jc w:val="center"/>
              <w:rPr>
                <w:rFonts w:ascii="宋体" w:hAnsi="宋体"/>
                <w:color w:val="auto"/>
              </w:rPr>
            </w:pPr>
            <w:r>
              <w:rPr>
                <w:rFonts w:ascii="宋体" w:hAnsi="宋体"/>
                <w:color w:val="auto"/>
              </w:rPr>
              <w:t>0.018</w:t>
            </w:r>
          </w:p>
        </w:tc>
      </w:tr>
      <w:tr w14:paraId="354E4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002B6BBF">
            <w:pPr>
              <w:jc w:val="center"/>
              <w:rPr>
                <w:rFonts w:ascii="宋体" w:hAnsi="宋体"/>
                <w:color w:val="auto"/>
              </w:rPr>
            </w:pPr>
            <w:r>
              <w:rPr>
                <w:rFonts w:ascii="宋体" w:hAnsi="宋体"/>
                <w:color w:val="auto"/>
              </w:rPr>
              <w:t>采样频次</w:t>
            </w:r>
          </w:p>
        </w:tc>
        <w:tc>
          <w:tcPr>
            <w:tcW w:w="318" w:type="pct"/>
            <w:vAlign w:val="center"/>
          </w:tcPr>
          <w:p w14:paraId="4A5CD274">
            <w:pPr>
              <w:jc w:val="center"/>
              <w:rPr>
                <w:rFonts w:ascii="宋体" w:hAnsi="宋体"/>
                <w:color w:val="auto"/>
              </w:rPr>
            </w:pPr>
            <w:r>
              <w:rPr>
                <w:rFonts w:ascii="宋体" w:hAnsi="宋体"/>
                <w:color w:val="auto"/>
              </w:rPr>
              <w:t>1</w:t>
            </w:r>
          </w:p>
        </w:tc>
        <w:tc>
          <w:tcPr>
            <w:tcW w:w="374" w:type="pct"/>
            <w:vAlign w:val="center"/>
          </w:tcPr>
          <w:p w14:paraId="21356D0C">
            <w:pPr>
              <w:jc w:val="center"/>
              <w:rPr>
                <w:rFonts w:ascii="宋体" w:hAnsi="宋体"/>
                <w:color w:val="auto"/>
              </w:rPr>
            </w:pPr>
            <w:r>
              <w:rPr>
                <w:rFonts w:ascii="宋体" w:hAnsi="宋体"/>
                <w:color w:val="auto"/>
              </w:rPr>
              <w:t>2</w:t>
            </w:r>
          </w:p>
        </w:tc>
        <w:tc>
          <w:tcPr>
            <w:tcW w:w="374" w:type="pct"/>
            <w:vAlign w:val="center"/>
          </w:tcPr>
          <w:p w14:paraId="5D34402F">
            <w:pPr>
              <w:jc w:val="center"/>
              <w:rPr>
                <w:rFonts w:ascii="宋体" w:hAnsi="宋体"/>
                <w:color w:val="auto"/>
              </w:rPr>
            </w:pPr>
            <w:r>
              <w:rPr>
                <w:rFonts w:ascii="宋体" w:hAnsi="宋体"/>
                <w:color w:val="auto"/>
              </w:rPr>
              <w:t>3</w:t>
            </w:r>
          </w:p>
        </w:tc>
        <w:tc>
          <w:tcPr>
            <w:tcW w:w="360" w:type="pct"/>
            <w:gridSpan w:val="2"/>
            <w:vAlign w:val="center"/>
          </w:tcPr>
          <w:p w14:paraId="04D39F5F">
            <w:pPr>
              <w:jc w:val="center"/>
              <w:rPr>
                <w:rFonts w:ascii="宋体" w:hAnsi="宋体"/>
                <w:color w:val="auto"/>
              </w:rPr>
            </w:pPr>
            <w:r>
              <w:rPr>
                <w:rFonts w:ascii="宋体" w:hAnsi="宋体"/>
                <w:color w:val="auto"/>
              </w:rPr>
              <w:t>平均值</w:t>
            </w:r>
          </w:p>
        </w:tc>
        <w:tc>
          <w:tcPr>
            <w:tcW w:w="374" w:type="pct"/>
            <w:vAlign w:val="center"/>
          </w:tcPr>
          <w:p w14:paraId="4EEF924F">
            <w:pPr>
              <w:jc w:val="center"/>
              <w:rPr>
                <w:rFonts w:ascii="宋体" w:hAnsi="宋体"/>
                <w:color w:val="auto"/>
              </w:rPr>
            </w:pPr>
            <w:r>
              <w:rPr>
                <w:rFonts w:ascii="宋体" w:hAnsi="宋体"/>
                <w:color w:val="auto"/>
              </w:rPr>
              <w:t>4</w:t>
            </w:r>
          </w:p>
        </w:tc>
        <w:tc>
          <w:tcPr>
            <w:tcW w:w="374" w:type="pct"/>
            <w:vAlign w:val="center"/>
          </w:tcPr>
          <w:p w14:paraId="0E851985">
            <w:pPr>
              <w:jc w:val="center"/>
              <w:rPr>
                <w:rFonts w:ascii="宋体" w:hAnsi="宋体"/>
                <w:color w:val="auto"/>
              </w:rPr>
            </w:pPr>
            <w:r>
              <w:rPr>
                <w:rFonts w:ascii="宋体" w:hAnsi="宋体"/>
                <w:color w:val="auto"/>
              </w:rPr>
              <w:t>5</w:t>
            </w:r>
          </w:p>
        </w:tc>
        <w:tc>
          <w:tcPr>
            <w:tcW w:w="375" w:type="pct"/>
            <w:vAlign w:val="center"/>
          </w:tcPr>
          <w:p w14:paraId="55BCC088">
            <w:pPr>
              <w:jc w:val="center"/>
              <w:rPr>
                <w:rFonts w:ascii="宋体" w:hAnsi="宋体"/>
                <w:color w:val="auto"/>
              </w:rPr>
            </w:pPr>
            <w:r>
              <w:rPr>
                <w:rFonts w:ascii="宋体" w:hAnsi="宋体"/>
                <w:color w:val="auto"/>
              </w:rPr>
              <w:t>6</w:t>
            </w:r>
          </w:p>
        </w:tc>
        <w:tc>
          <w:tcPr>
            <w:tcW w:w="362" w:type="pct"/>
            <w:vAlign w:val="center"/>
          </w:tcPr>
          <w:p w14:paraId="68DB5057">
            <w:pPr>
              <w:jc w:val="center"/>
              <w:rPr>
                <w:rFonts w:ascii="宋体" w:hAnsi="宋体"/>
                <w:color w:val="auto"/>
              </w:rPr>
            </w:pPr>
            <w:r>
              <w:rPr>
                <w:rFonts w:ascii="宋体" w:hAnsi="宋体"/>
                <w:color w:val="auto"/>
              </w:rPr>
              <w:t>平均值</w:t>
            </w:r>
          </w:p>
        </w:tc>
        <w:tc>
          <w:tcPr>
            <w:tcW w:w="375" w:type="pct"/>
            <w:vAlign w:val="center"/>
          </w:tcPr>
          <w:p w14:paraId="13B02429">
            <w:pPr>
              <w:jc w:val="center"/>
              <w:rPr>
                <w:rFonts w:ascii="宋体" w:hAnsi="宋体"/>
                <w:color w:val="auto"/>
              </w:rPr>
            </w:pPr>
            <w:r>
              <w:rPr>
                <w:rFonts w:ascii="宋体" w:hAnsi="宋体"/>
                <w:color w:val="auto"/>
              </w:rPr>
              <w:t>7</w:t>
            </w:r>
          </w:p>
        </w:tc>
        <w:tc>
          <w:tcPr>
            <w:tcW w:w="375" w:type="pct"/>
            <w:vAlign w:val="center"/>
          </w:tcPr>
          <w:p w14:paraId="4E9206FE">
            <w:pPr>
              <w:jc w:val="center"/>
              <w:rPr>
                <w:rFonts w:ascii="宋体" w:hAnsi="宋体"/>
                <w:color w:val="auto"/>
              </w:rPr>
            </w:pPr>
            <w:r>
              <w:rPr>
                <w:rFonts w:ascii="宋体" w:hAnsi="宋体"/>
                <w:color w:val="auto"/>
              </w:rPr>
              <w:t>8</w:t>
            </w:r>
          </w:p>
        </w:tc>
        <w:tc>
          <w:tcPr>
            <w:tcW w:w="375" w:type="pct"/>
            <w:vAlign w:val="center"/>
          </w:tcPr>
          <w:p w14:paraId="18734065">
            <w:pPr>
              <w:jc w:val="center"/>
              <w:rPr>
                <w:rFonts w:ascii="宋体" w:hAnsi="宋体"/>
                <w:color w:val="auto"/>
              </w:rPr>
            </w:pPr>
            <w:r>
              <w:rPr>
                <w:rFonts w:ascii="宋体" w:hAnsi="宋体"/>
                <w:color w:val="auto"/>
              </w:rPr>
              <w:t>9</w:t>
            </w:r>
          </w:p>
        </w:tc>
        <w:tc>
          <w:tcPr>
            <w:tcW w:w="359" w:type="pct"/>
            <w:vAlign w:val="center"/>
          </w:tcPr>
          <w:p w14:paraId="7C4E5ED3">
            <w:pPr>
              <w:jc w:val="center"/>
              <w:rPr>
                <w:rFonts w:ascii="宋体" w:hAnsi="宋体"/>
                <w:color w:val="auto"/>
              </w:rPr>
            </w:pPr>
            <w:r>
              <w:rPr>
                <w:rFonts w:ascii="宋体" w:hAnsi="宋体"/>
                <w:color w:val="auto"/>
              </w:rPr>
              <w:t>平均值</w:t>
            </w:r>
          </w:p>
        </w:tc>
      </w:tr>
      <w:tr w14:paraId="24167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0E37BA4F">
            <w:pPr>
              <w:jc w:val="center"/>
              <w:rPr>
                <w:rFonts w:ascii="宋体" w:hAnsi="宋体"/>
                <w:color w:val="auto"/>
              </w:rPr>
            </w:pPr>
            <w:r>
              <w:rPr>
                <w:rFonts w:ascii="宋体" w:hAnsi="宋体"/>
                <w:color w:val="auto"/>
              </w:rPr>
              <w:t>温度/(</w:t>
            </w:r>
            <w:r>
              <w:rPr>
                <w:rFonts w:hint="eastAsia" w:ascii="宋体" w:hAnsi="宋体"/>
                <w:color w:val="auto"/>
              </w:rPr>
              <w:t>℃</w:t>
            </w:r>
            <w:r>
              <w:rPr>
                <w:rFonts w:ascii="宋体" w:hAnsi="宋体"/>
                <w:color w:val="auto"/>
              </w:rPr>
              <w:t>)</w:t>
            </w:r>
          </w:p>
        </w:tc>
        <w:tc>
          <w:tcPr>
            <w:tcW w:w="318" w:type="pct"/>
            <w:vAlign w:val="center"/>
          </w:tcPr>
          <w:p w14:paraId="0BAF7319">
            <w:pPr>
              <w:jc w:val="center"/>
              <w:rPr>
                <w:rFonts w:ascii="宋体" w:hAnsi="宋体"/>
                <w:color w:val="auto"/>
              </w:rPr>
            </w:pPr>
            <w:r>
              <w:rPr>
                <w:rFonts w:ascii="宋体" w:hAnsi="宋体"/>
                <w:color w:val="auto"/>
              </w:rPr>
              <w:t>60</w:t>
            </w:r>
          </w:p>
        </w:tc>
        <w:tc>
          <w:tcPr>
            <w:tcW w:w="374" w:type="pct"/>
            <w:vAlign w:val="center"/>
          </w:tcPr>
          <w:p w14:paraId="002D2218">
            <w:pPr>
              <w:jc w:val="center"/>
              <w:rPr>
                <w:rFonts w:ascii="宋体" w:hAnsi="宋体"/>
                <w:color w:val="auto"/>
              </w:rPr>
            </w:pPr>
            <w:r>
              <w:rPr>
                <w:rFonts w:ascii="宋体" w:hAnsi="宋体"/>
                <w:color w:val="auto"/>
              </w:rPr>
              <w:t>60</w:t>
            </w:r>
          </w:p>
        </w:tc>
        <w:tc>
          <w:tcPr>
            <w:tcW w:w="374" w:type="pct"/>
            <w:vAlign w:val="center"/>
          </w:tcPr>
          <w:p w14:paraId="685150F9">
            <w:pPr>
              <w:jc w:val="center"/>
              <w:rPr>
                <w:rFonts w:ascii="宋体" w:hAnsi="宋体"/>
                <w:color w:val="auto"/>
              </w:rPr>
            </w:pPr>
            <w:r>
              <w:rPr>
                <w:rFonts w:ascii="宋体" w:hAnsi="宋体"/>
                <w:color w:val="auto"/>
              </w:rPr>
              <w:t>60</w:t>
            </w:r>
          </w:p>
        </w:tc>
        <w:tc>
          <w:tcPr>
            <w:tcW w:w="360" w:type="pct"/>
            <w:gridSpan w:val="2"/>
            <w:vAlign w:val="center"/>
          </w:tcPr>
          <w:p w14:paraId="3E4E39BA">
            <w:pPr>
              <w:jc w:val="center"/>
              <w:rPr>
                <w:rFonts w:ascii="宋体" w:hAnsi="宋体"/>
                <w:color w:val="auto"/>
              </w:rPr>
            </w:pPr>
            <w:r>
              <w:rPr>
                <w:rFonts w:ascii="宋体" w:hAnsi="宋体"/>
                <w:color w:val="auto"/>
              </w:rPr>
              <w:t>/</w:t>
            </w:r>
          </w:p>
        </w:tc>
        <w:tc>
          <w:tcPr>
            <w:tcW w:w="374" w:type="pct"/>
            <w:vAlign w:val="center"/>
          </w:tcPr>
          <w:p w14:paraId="713D098D">
            <w:pPr>
              <w:jc w:val="center"/>
              <w:rPr>
                <w:rFonts w:ascii="宋体" w:hAnsi="宋体"/>
                <w:color w:val="auto"/>
              </w:rPr>
            </w:pPr>
            <w:r>
              <w:rPr>
                <w:rFonts w:ascii="宋体" w:hAnsi="宋体"/>
                <w:color w:val="auto"/>
              </w:rPr>
              <w:t>59</w:t>
            </w:r>
          </w:p>
        </w:tc>
        <w:tc>
          <w:tcPr>
            <w:tcW w:w="374" w:type="pct"/>
            <w:vAlign w:val="center"/>
          </w:tcPr>
          <w:p w14:paraId="3F907AC7">
            <w:pPr>
              <w:jc w:val="center"/>
              <w:rPr>
                <w:rFonts w:ascii="宋体" w:hAnsi="宋体"/>
                <w:color w:val="auto"/>
              </w:rPr>
            </w:pPr>
            <w:r>
              <w:rPr>
                <w:rFonts w:ascii="宋体" w:hAnsi="宋体"/>
                <w:color w:val="auto"/>
              </w:rPr>
              <w:t>60</w:t>
            </w:r>
          </w:p>
        </w:tc>
        <w:tc>
          <w:tcPr>
            <w:tcW w:w="375" w:type="pct"/>
            <w:vAlign w:val="center"/>
          </w:tcPr>
          <w:p w14:paraId="2F120033">
            <w:pPr>
              <w:jc w:val="center"/>
              <w:rPr>
                <w:rFonts w:ascii="宋体" w:hAnsi="宋体"/>
                <w:color w:val="auto"/>
              </w:rPr>
            </w:pPr>
            <w:r>
              <w:rPr>
                <w:rFonts w:ascii="宋体" w:hAnsi="宋体"/>
                <w:color w:val="auto"/>
              </w:rPr>
              <w:t>59</w:t>
            </w:r>
          </w:p>
        </w:tc>
        <w:tc>
          <w:tcPr>
            <w:tcW w:w="362" w:type="pct"/>
            <w:vAlign w:val="center"/>
          </w:tcPr>
          <w:p w14:paraId="606C7D02">
            <w:pPr>
              <w:jc w:val="center"/>
              <w:rPr>
                <w:rFonts w:ascii="宋体" w:hAnsi="宋体"/>
                <w:color w:val="auto"/>
              </w:rPr>
            </w:pPr>
            <w:r>
              <w:rPr>
                <w:rFonts w:ascii="宋体" w:hAnsi="宋体"/>
                <w:color w:val="auto"/>
              </w:rPr>
              <w:t>/</w:t>
            </w:r>
          </w:p>
        </w:tc>
        <w:tc>
          <w:tcPr>
            <w:tcW w:w="375" w:type="pct"/>
            <w:vAlign w:val="center"/>
          </w:tcPr>
          <w:p w14:paraId="66FE2808">
            <w:pPr>
              <w:jc w:val="center"/>
              <w:rPr>
                <w:rFonts w:ascii="宋体" w:hAnsi="宋体"/>
                <w:color w:val="auto"/>
              </w:rPr>
            </w:pPr>
            <w:r>
              <w:rPr>
                <w:rFonts w:ascii="宋体" w:hAnsi="宋体"/>
                <w:color w:val="auto"/>
              </w:rPr>
              <w:t>60</w:t>
            </w:r>
          </w:p>
        </w:tc>
        <w:tc>
          <w:tcPr>
            <w:tcW w:w="375" w:type="pct"/>
            <w:vAlign w:val="center"/>
          </w:tcPr>
          <w:p w14:paraId="3A434347">
            <w:pPr>
              <w:jc w:val="center"/>
              <w:rPr>
                <w:rFonts w:ascii="宋体" w:hAnsi="宋体"/>
                <w:color w:val="auto"/>
              </w:rPr>
            </w:pPr>
            <w:r>
              <w:rPr>
                <w:rFonts w:ascii="宋体" w:hAnsi="宋体"/>
                <w:color w:val="auto"/>
              </w:rPr>
              <w:t>60</w:t>
            </w:r>
          </w:p>
        </w:tc>
        <w:tc>
          <w:tcPr>
            <w:tcW w:w="375" w:type="pct"/>
            <w:vAlign w:val="center"/>
          </w:tcPr>
          <w:p w14:paraId="0AE8FED8">
            <w:pPr>
              <w:jc w:val="center"/>
              <w:rPr>
                <w:rFonts w:ascii="宋体" w:hAnsi="宋体"/>
                <w:color w:val="auto"/>
              </w:rPr>
            </w:pPr>
            <w:r>
              <w:rPr>
                <w:rFonts w:ascii="宋体" w:hAnsi="宋体"/>
                <w:color w:val="auto"/>
              </w:rPr>
              <w:t>60</w:t>
            </w:r>
          </w:p>
        </w:tc>
        <w:tc>
          <w:tcPr>
            <w:tcW w:w="359" w:type="pct"/>
            <w:vAlign w:val="center"/>
          </w:tcPr>
          <w:p w14:paraId="61210BA2">
            <w:pPr>
              <w:jc w:val="center"/>
              <w:rPr>
                <w:rFonts w:ascii="宋体" w:hAnsi="宋体"/>
                <w:color w:val="auto"/>
              </w:rPr>
            </w:pPr>
            <w:r>
              <w:rPr>
                <w:rFonts w:ascii="宋体" w:hAnsi="宋体"/>
                <w:color w:val="auto"/>
              </w:rPr>
              <w:t>/</w:t>
            </w:r>
          </w:p>
        </w:tc>
      </w:tr>
      <w:tr w14:paraId="32CD7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0499DA73">
            <w:pPr>
              <w:jc w:val="center"/>
              <w:rPr>
                <w:rFonts w:ascii="宋体" w:hAnsi="宋体"/>
                <w:color w:val="auto"/>
              </w:rPr>
            </w:pPr>
            <w:r>
              <w:rPr>
                <w:rFonts w:ascii="宋体" w:hAnsi="宋体"/>
                <w:color w:val="auto"/>
              </w:rPr>
              <w:t>湿度/(%)</w:t>
            </w:r>
          </w:p>
        </w:tc>
        <w:tc>
          <w:tcPr>
            <w:tcW w:w="318" w:type="pct"/>
            <w:vAlign w:val="center"/>
          </w:tcPr>
          <w:p w14:paraId="0EC92A61">
            <w:pPr>
              <w:jc w:val="center"/>
              <w:rPr>
                <w:rFonts w:ascii="宋体" w:hAnsi="宋体"/>
                <w:color w:val="auto"/>
              </w:rPr>
            </w:pPr>
            <w:r>
              <w:rPr>
                <w:rFonts w:ascii="宋体" w:hAnsi="宋体"/>
                <w:color w:val="auto"/>
              </w:rPr>
              <w:t>4.9</w:t>
            </w:r>
          </w:p>
        </w:tc>
        <w:tc>
          <w:tcPr>
            <w:tcW w:w="374" w:type="pct"/>
            <w:vAlign w:val="center"/>
          </w:tcPr>
          <w:p w14:paraId="18DE32CC">
            <w:pPr>
              <w:jc w:val="center"/>
              <w:rPr>
                <w:rFonts w:ascii="宋体" w:hAnsi="宋体"/>
                <w:color w:val="auto"/>
              </w:rPr>
            </w:pPr>
            <w:r>
              <w:rPr>
                <w:rFonts w:ascii="宋体" w:hAnsi="宋体"/>
                <w:color w:val="auto"/>
              </w:rPr>
              <w:t>4.9</w:t>
            </w:r>
          </w:p>
        </w:tc>
        <w:tc>
          <w:tcPr>
            <w:tcW w:w="374" w:type="pct"/>
            <w:vAlign w:val="center"/>
          </w:tcPr>
          <w:p w14:paraId="36F1A4C1">
            <w:pPr>
              <w:jc w:val="center"/>
              <w:rPr>
                <w:rFonts w:ascii="宋体" w:hAnsi="宋体"/>
                <w:color w:val="auto"/>
              </w:rPr>
            </w:pPr>
            <w:r>
              <w:rPr>
                <w:rFonts w:ascii="宋体" w:hAnsi="宋体"/>
                <w:color w:val="auto"/>
              </w:rPr>
              <w:t>4.8</w:t>
            </w:r>
          </w:p>
        </w:tc>
        <w:tc>
          <w:tcPr>
            <w:tcW w:w="360" w:type="pct"/>
            <w:gridSpan w:val="2"/>
            <w:vAlign w:val="center"/>
          </w:tcPr>
          <w:p w14:paraId="121B47DF">
            <w:pPr>
              <w:jc w:val="center"/>
              <w:rPr>
                <w:rFonts w:ascii="宋体" w:hAnsi="宋体"/>
                <w:color w:val="auto"/>
              </w:rPr>
            </w:pPr>
            <w:r>
              <w:rPr>
                <w:rFonts w:ascii="宋体" w:hAnsi="宋体"/>
                <w:color w:val="auto"/>
              </w:rPr>
              <w:t>/</w:t>
            </w:r>
          </w:p>
        </w:tc>
        <w:tc>
          <w:tcPr>
            <w:tcW w:w="374" w:type="pct"/>
            <w:vAlign w:val="center"/>
          </w:tcPr>
          <w:p w14:paraId="23E669EA">
            <w:pPr>
              <w:jc w:val="center"/>
              <w:rPr>
                <w:rFonts w:ascii="宋体" w:hAnsi="宋体"/>
                <w:color w:val="auto"/>
              </w:rPr>
            </w:pPr>
            <w:r>
              <w:rPr>
                <w:rFonts w:ascii="宋体" w:hAnsi="宋体"/>
                <w:color w:val="auto"/>
              </w:rPr>
              <w:t>4.7</w:t>
            </w:r>
          </w:p>
        </w:tc>
        <w:tc>
          <w:tcPr>
            <w:tcW w:w="374" w:type="pct"/>
            <w:vAlign w:val="center"/>
          </w:tcPr>
          <w:p w14:paraId="4DF88B02">
            <w:pPr>
              <w:jc w:val="center"/>
              <w:rPr>
                <w:rFonts w:ascii="宋体" w:hAnsi="宋体"/>
                <w:color w:val="auto"/>
              </w:rPr>
            </w:pPr>
            <w:r>
              <w:rPr>
                <w:rFonts w:hint="eastAsia" w:ascii="宋体" w:hAnsi="宋体"/>
                <w:color w:val="auto"/>
              </w:rPr>
              <w:t>4.7</w:t>
            </w:r>
          </w:p>
        </w:tc>
        <w:tc>
          <w:tcPr>
            <w:tcW w:w="375" w:type="pct"/>
            <w:vAlign w:val="center"/>
          </w:tcPr>
          <w:p w14:paraId="6F2DB845">
            <w:pPr>
              <w:jc w:val="center"/>
              <w:rPr>
                <w:rFonts w:ascii="宋体" w:hAnsi="宋体"/>
                <w:color w:val="auto"/>
              </w:rPr>
            </w:pPr>
            <w:r>
              <w:rPr>
                <w:rFonts w:ascii="宋体" w:hAnsi="宋体"/>
                <w:color w:val="auto"/>
              </w:rPr>
              <w:t>4.7</w:t>
            </w:r>
          </w:p>
        </w:tc>
        <w:tc>
          <w:tcPr>
            <w:tcW w:w="362" w:type="pct"/>
            <w:vAlign w:val="center"/>
          </w:tcPr>
          <w:p w14:paraId="287A811C">
            <w:pPr>
              <w:jc w:val="center"/>
              <w:rPr>
                <w:rFonts w:ascii="宋体" w:hAnsi="宋体"/>
                <w:color w:val="auto"/>
              </w:rPr>
            </w:pPr>
            <w:r>
              <w:rPr>
                <w:rFonts w:ascii="宋体" w:hAnsi="宋体"/>
                <w:color w:val="auto"/>
              </w:rPr>
              <w:t>/</w:t>
            </w:r>
          </w:p>
        </w:tc>
        <w:tc>
          <w:tcPr>
            <w:tcW w:w="375" w:type="pct"/>
            <w:vAlign w:val="center"/>
          </w:tcPr>
          <w:p w14:paraId="20DCE10C">
            <w:pPr>
              <w:jc w:val="center"/>
              <w:rPr>
                <w:rFonts w:ascii="宋体" w:hAnsi="宋体"/>
                <w:color w:val="auto"/>
              </w:rPr>
            </w:pPr>
            <w:r>
              <w:rPr>
                <w:rFonts w:ascii="宋体" w:hAnsi="宋体"/>
                <w:color w:val="auto"/>
              </w:rPr>
              <w:t>4.9</w:t>
            </w:r>
          </w:p>
        </w:tc>
        <w:tc>
          <w:tcPr>
            <w:tcW w:w="375" w:type="pct"/>
            <w:vAlign w:val="center"/>
          </w:tcPr>
          <w:p w14:paraId="1D7EC7A3">
            <w:pPr>
              <w:jc w:val="center"/>
              <w:rPr>
                <w:rFonts w:ascii="宋体" w:hAnsi="宋体"/>
                <w:color w:val="auto"/>
              </w:rPr>
            </w:pPr>
            <w:r>
              <w:rPr>
                <w:rFonts w:ascii="宋体" w:hAnsi="宋体"/>
                <w:color w:val="auto"/>
              </w:rPr>
              <w:t>4.9</w:t>
            </w:r>
          </w:p>
        </w:tc>
        <w:tc>
          <w:tcPr>
            <w:tcW w:w="375" w:type="pct"/>
            <w:vAlign w:val="center"/>
          </w:tcPr>
          <w:p w14:paraId="1C35B187">
            <w:pPr>
              <w:jc w:val="center"/>
              <w:rPr>
                <w:rFonts w:ascii="宋体" w:hAnsi="宋体"/>
                <w:color w:val="auto"/>
              </w:rPr>
            </w:pPr>
            <w:r>
              <w:rPr>
                <w:rFonts w:ascii="宋体" w:hAnsi="宋体"/>
                <w:color w:val="auto"/>
              </w:rPr>
              <w:t>4.8</w:t>
            </w:r>
          </w:p>
        </w:tc>
        <w:tc>
          <w:tcPr>
            <w:tcW w:w="359" w:type="pct"/>
            <w:vAlign w:val="center"/>
          </w:tcPr>
          <w:p w14:paraId="394A05EC">
            <w:pPr>
              <w:jc w:val="center"/>
              <w:rPr>
                <w:rFonts w:ascii="宋体" w:hAnsi="宋体"/>
                <w:color w:val="auto"/>
              </w:rPr>
            </w:pPr>
            <w:r>
              <w:rPr>
                <w:rFonts w:ascii="宋体" w:hAnsi="宋体"/>
                <w:color w:val="auto"/>
              </w:rPr>
              <w:t>/</w:t>
            </w:r>
          </w:p>
        </w:tc>
      </w:tr>
      <w:tr w14:paraId="6E18B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5B393DB1">
            <w:pPr>
              <w:jc w:val="center"/>
              <w:rPr>
                <w:rFonts w:ascii="宋体" w:hAnsi="宋体"/>
                <w:color w:val="auto"/>
              </w:rPr>
            </w:pPr>
            <w:r>
              <w:rPr>
                <w:rFonts w:ascii="宋体" w:hAnsi="宋体"/>
                <w:color w:val="auto"/>
              </w:rPr>
              <w:t>流速/(m/s)</w:t>
            </w:r>
          </w:p>
        </w:tc>
        <w:tc>
          <w:tcPr>
            <w:tcW w:w="318" w:type="pct"/>
            <w:vAlign w:val="center"/>
          </w:tcPr>
          <w:p w14:paraId="56BE1C9B">
            <w:pPr>
              <w:jc w:val="center"/>
              <w:rPr>
                <w:rFonts w:ascii="宋体" w:hAnsi="宋体"/>
                <w:color w:val="auto"/>
              </w:rPr>
            </w:pPr>
            <w:r>
              <w:rPr>
                <w:rFonts w:ascii="宋体" w:hAnsi="宋体"/>
                <w:color w:val="auto"/>
              </w:rPr>
              <w:t>5.7</w:t>
            </w:r>
          </w:p>
        </w:tc>
        <w:tc>
          <w:tcPr>
            <w:tcW w:w="374" w:type="pct"/>
            <w:vAlign w:val="center"/>
          </w:tcPr>
          <w:p w14:paraId="48920497">
            <w:pPr>
              <w:jc w:val="center"/>
              <w:rPr>
                <w:rFonts w:ascii="宋体" w:hAnsi="宋体"/>
                <w:color w:val="auto"/>
              </w:rPr>
            </w:pPr>
            <w:r>
              <w:rPr>
                <w:rFonts w:ascii="宋体" w:hAnsi="宋体"/>
                <w:color w:val="auto"/>
              </w:rPr>
              <w:t>5.9</w:t>
            </w:r>
          </w:p>
        </w:tc>
        <w:tc>
          <w:tcPr>
            <w:tcW w:w="374" w:type="pct"/>
            <w:vAlign w:val="center"/>
          </w:tcPr>
          <w:p w14:paraId="7A615785">
            <w:pPr>
              <w:jc w:val="center"/>
              <w:rPr>
                <w:rFonts w:ascii="宋体" w:hAnsi="宋体"/>
                <w:color w:val="auto"/>
              </w:rPr>
            </w:pPr>
            <w:r>
              <w:rPr>
                <w:rFonts w:ascii="宋体" w:hAnsi="宋体"/>
                <w:color w:val="auto"/>
              </w:rPr>
              <w:t>6.1</w:t>
            </w:r>
          </w:p>
        </w:tc>
        <w:tc>
          <w:tcPr>
            <w:tcW w:w="360" w:type="pct"/>
            <w:gridSpan w:val="2"/>
            <w:vAlign w:val="center"/>
          </w:tcPr>
          <w:p w14:paraId="6BE7AA01">
            <w:pPr>
              <w:jc w:val="center"/>
              <w:rPr>
                <w:rFonts w:ascii="宋体" w:hAnsi="宋体"/>
                <w:color w:val="auto"/>
              </w:rPr>
            </w:pPr>
            <w:r>
              <w:rPr>
                <w:rFonts w:ascii="宋体" w:hAnsi="宋体"/>
                <w:color w:val="auto"/>
              </w:rPr>
              <w:t>/</w:t>
            </w:r>
          </w:p>
        </w:tc>
        <w:tc>
          <w:tcPr>
            <w:tcW w:w="374" w:type="pct"/>
            <w:vAlign w:val="center"/>
          </w:tcPr>
          <w:p w14:paraId="240D6B47">
            <w:pPr>
              <w:jc w:val="center"/>
              <w:rPr>
                <w:rFonts w:ascii="宋体" w:hAnsi="宋体"/>
                <w:color w:val="auto"/>
              </w:rPr>
            </w:pPr>
            <w:r>
              <w:rPr>
                <w:rFonts w:ascii="宋体" w:hAnsi="宋体"/>
                <w:color w:val="auto"/>
              </w:rPr>
              <w:t>6.2</w:t>
            </w:r>
          </w:p>
        </w:tc>
        <w:tc>
          <w:tcPr>
            <w:tcW w:w="374" w:type="pct"/>
            <w:vAlign w:val="center"/>
          </w:tcPr>
          <w:p w14:paraId="0EBCBAA3">
            <w:pPr>
              <w:jc w:val="center"/>
              <w:rPr>
                <w:rFonts w:ascii="宋体" w:hAnsi="宋体"/>
                <w:color w:val="auto"/>
              </w:rPr>
            </w:pPr>
            <w:r>
              <w:rPr>
                <w:rFonts w:ascii="宋体" w:hAnsi="宋体"/>
                <w:color w:val="auto"/>
              </w:rPr>
              <w:t>5.9</w:t>
            </w:r>
          </w:p>
        </w:tc>
        <w:tc>
          <w:tcPr>
            <w:tcW w:w="375" w:type="pct"/>
            <w:vAlign w:val="center"/>
          </w:tcPr>
          <w:p w14:paraId="0AFB9E81">
            <w:pPr>
              <w:jc w:val="center"/>
              <w:rPr>
                <w:rFonts w:ascii="宋体" w:hAnsi="宋体"/>
                <w:color w:val="auto"/>
              </w:rPr>
            </w:pPr>
            <w:r>
              <w:rPr>
                <w:rFonts w:ascii="宋体" w:hAnsi="宋体"/>
                <w:color w:val="auto"/>
              </w:rPr>
              <w:t>5.7</w:t>
            </w:r>
          </w:p>
        </w:tc>
        <w:tc>
          <w:tcPr>
            <w:tcW w:w="362" w:type="pct"/>
            <w:vAlign w:val="center"/>
          </w:tcPr>
          <w:p w14:paraId="0BDF6529">
            <w:pPr>
              <w:jc w:val="center"/>
              <w:rPr>
                <w:rFonts w:ascii="宋体" w:hAnsi="宋体"/>
                <w:color w:val="auto"/>
              </w:rPr>
            </w:pPr>
            <w:r>
              <w:rPr>
                <w:rFonts w:ascii="宋体" w:hAnsi="宋体"/>
                <w:color w:val="auto"/>
              </w:rPr>
              <w:t>/</w:t>
            </w:r>
          </w:p>
        </w:tc>
        <w:tc>
          <w:tcPr>
            <w:tcW w:w="375" w:type="pct"/>
            <w:vAlign w:val="center"/>
          </w:tcPr>
          <w:p w14:paraId="26D82EDD">
            <w:pPr>
              <w:jc w:val="center"/>
              <w:rPr>
                <w:rFonts w:ascii="宋体" w:hAnsi="宋体"/>
                <w:color w:val="auto"/>
              </w:rPr>
            </w:pPr>
            <w:r>
              <w:rPr>
                <w:rFonts w:ascii="宋体" w:hAnsi="宋体"/>
                <w:color w:val="auto"/>
              </w:rPr>
              <w:t>5.7</w:t>
            </w:r>
          </w:p>
        </w:tc>
        <w:tc>
          <w:tcPr>
            <w:tcW w:w="375" w:type="pct"/>
            <w:vAlign w:val="center"/>
          </w:tcPr>
          <w:p w14:paraId="049A591D">
            <w:pPr>
              <w:jc w:val="center"/>
              <w:rPr>
                <w:rFonts w:ascii="宋体" w:hAnsi="宋体"/>
                <w:color w:val="auto"/>
              </w:rPr>
            </w:pPr>
            <w:r>
              <w:rPr>
                <w:rFonts w:ascii="宋体" w:hAnsi="宋体"/>
                <w:color w:val="auto"/>
              </w:rPr>
              <w:t>5.9</w:t>
            </w:r>
          </w:p>
        </w:tc>
        <w:tc>
          <w:tcPr>
            <w:tcW w:w="375" w:type="pct"/>
            <w:vAlign w:val="center"/>
          </w:tcPr>
          <w:p w14:paraId="6A6438CB">
            <w:pPr>
              <w:jc w:val="center"/>
              <w:rPr>
                <w:rFonts w:ascii="宋体" w:hAnsi="宋体"/>
                <w:color w:val="auto"/>
              </w:rPr>
            </w:pPr>
            <w:r>
              <w:rPr>
                <w:rFonts w:ascii="宋体" w:hAnsi="宋体"/>
                <w:color w:val="auto"/>
              </w:rPr>
              <w:t>5.9</w:t>
            </w:r>
          </w:p>
        </w:tc>
        <w:tc>
          <w:tcPr>
            <w:tcW w:w="359" w:type="pct"/>
            <w:vAlign w:val="center"/>
          </w:tcPr>
          <w:p w14:paraId="27965855">
            <w:pPr>
              <w:jc w:val="center"/>
              <w:rPr>
                <w:rFonts w:ascii="宋体" w:hAnsi="宋体"/>
                <w:color w:val="auto"/>
              </w:rPr>
            </w:pPr>
            <w:r>
              <w:rPr>
                <w:rFonts w:ascii="宋体" w:hAnsi="宋体"/>
                <w:color w:val="auto"/>
              </w:rPr>
              <w:t>/</w:t>
            </w:r>
          </w:p>
        </w:tc>
      </w:tr>
      <w:tr w14:paraId="1CB69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7BB2B416">
            <w:pPr>
              <w:jc w:val="center"/>
              <w:rPr>
                <w:rFonts w:ascii="宋体" w:hAnsi="宋体"/>
                <w:color w:val="auto"/>
              </w:rPr>
            </w:pPr>
            <w:r>
              <w:rPr>
                <w:rFonts w:ascii="宋体" w:hAnsi="宋体"/>
                <w:color w:val="auto"/>
              </w:rPr>
              <w:t>含氧量/(%)</w:t>
            </w:r>
          </w:p>
        </w:tc>
        <w:tc>
          <w:tcPr>
            <w:tcW w:w="318" w:type="pct"/>
            <w:vAlign w:val="center"/>
          </w:tcPr>
          <w:p w14:paraId="0E405204">
            <w:pPr>
              <w:jc w:val="center"/>
              <w:rPr>
                <w:rFonts w:ascii="宋体" w:hAnsi="宋体"/>
                <w:color w:val="auto"/>
              </w:rPr>
            </w:pPr>
            <w:r>
              <w:rPr>
                <w:rFonts w:ascii="宋体" w:hAnsi="宋体"/>
                <w:color w:val="auto"/>
              </w:rPr>
              <w:t>4.7</w:t>
            </w:r>
          </w:p>
        </w:tc>
        <w:tc>
          <w:tcPr>
            <w:tcW w:w="374" w:type="pct"/>
            <w:vAlign w:val="center"/>
          </w:tcPr>
          <w:p w14:paraId="11607F5E">
            <w:pPr>
              <w:jc w:val="center"/>
              <w:rPr>
                <w:rFonts w:ascii="宋体" w:hAnsi="宋体"/>
                <w:color w:val="auto"/>
              </w:rPr>
            </w:pPr>
            <w:r>
              <w:rPr>
                <w:rFonts w:ascii="宋体" w:hAnsi="宋体"/>
                <w:color w:val="auto"/>
              </w:rPr>
              <w:t>4.5</w:t>
            </w:r>
          </w:p>
        </w:tc>
        <w:tc>
          <w:tcPr>
            <w:tcW w:w="374" w:type="pct"/>
            <w:vAlign w:val="center"/>
          </w:tcPr>
          <w:p w14:paraId="7BD5886B">
            <w:pPr>
              <w:jc w:val="center"/>
              <w:rPr>
                <w:rFonts w:ascii="宋体" w:hAnsi="宋体"/>
                <w:color w:val="auto"/>
              </w:rPr>
            </w:pPr>
            <w:r>
              <w:rPr>
                <w:rFonts w:ascii="宋体" w:hAnsi="宋体"/>
                <w:color w:val="auto"/>
              </w:rPr>
              <w:t>4.2</w:t>
            </w:r>
          </w:p>
        </w:tc>
        <w:tc>
          <w:tcPr>
            <w:tcW w:w="360" w:type="pct"/>
            <w:gridSpan w:val="2"/>
            <w:vAlign w:val="center"/>
          </w:tcPr>
          <w:p w14:paraId="5310E5F0">
            <w:pPr>
              <w:jc w:val="center"/>
              <w:rPr>
                <w:rFonts w:ascii="宋体" w:hAnsi="宋体"/>
                <w:color w:val="auto"/>
              </w:rPr>
            </w:pPr>
            <w:r>
              <w:rPr>
                <w:rFonts w:ascii="宋体" w:hAnsi="宋体"/>
                <w:color w:val="auto"/>
              </w:rPr>
              <w:t>/</w:t>
            </w:r>
          </w:p>
        </w:tc>
        <w:tc>
          <w:tcPr>
            <w:tcW w:w="374" w:type="pct"/>
            <w:vAlign w:val="center"/>
          </w:tcPr>
          <w:p w14:paraId="2405A387">
            <w:pPr>
              <w:jc w:val="center"/>
              <w:rPr>
                <w:rFonts w:ascii="宋体" w:hAnsi="宋体"/>
                <w:color w:val="auto"/>
              </w:rPr>
            </w:pPr>
            <w:r>
              <w:rPr>
                <w:rFonts w:ascii="宋体" w:hAnsi="宋体"/>
                <w:color w:val="auto"/>
              </w:rPr>
              <w:t>4.2</w:t>
            </w:r>
          </w:p>
        </w:tc>
        <w:tc>
          <w:tcPr>
            <w:tcW w:w="374" w:type="pct"/>
            <w:vAlign w:val="center"/>
          </w:tcPr>
          <w:p w14:paraId="4FA1052E">
            <w:pPr>
              <w:jc w:val="center"/>
              <w:rPr>
                <w:rFonts w:ascii="宋体" w:hAnsi="宋体"/>
                <w:color w:val="auto"/>
              </w:rPr>
            </w:pPr>
            <w:r>
              <w:rPr>
                <w:rFonts w:ascii="宋体" w:hAnsi="宋体"/>
                <w:color w:val="auto"/>
              </w:rPr>
              <w:t>4.6</w:t>
            </w:r>
          </w:p>
        </w:tc>
        <w:tc>
          <w:tcPr>
            <w:tcW w:w="375" w:type="pct"/>
            <w:vAlign w:val="center"/>
          </w:tcPr>
          <w:p w14:paraId="49BA56CE">
            <w:pPr>
              <w:jc w:val="center"/>
              <w:rPr>
                <w:rFonts w:ascii="宋体" w:hAnsi="宋体"/>
                <w:color w:val="auto"/>
              </w:rPr>
            </w:pPr>
            <w:r>
              <w:rPr>
                <w:rFonts w:ascii="宋体" w:hAnsi="宋体"/>
                <w:color w:val="auto"/>
              </w:rPr>
              <w:t>4.7</w:t>
            </w:r>
          </w:p>
        </w:tc>
        <w:tc>
          <w:tcPr>
            <w:tcW w:w="362" w:type="pct"/>
            <w:vAlign w:val="center"/>
          </w:tcPr>
          <w:p w14:paraId="00169FE2">
            <w:pPr>
              <w:jc w:val="center"/>
              <w:rPr>
                <w:rFonts w:ascii="宋体" w:hAnsi="宋体"/>
                <w:color w:val="auto"/>
              </w:rPr>
            </w:pPr>
            <w:r>
              <w:rPr>
                <w:rFonts w:ascii="宋体" w:hAnsi="宋体"/>
                <w:color w:val="auto"/>
              </w:rPr>
              <w:t>/</w:t>
            </w:r>
          </w:p>
        </w:tc>
        <w:tc>
          <w:tcPr>
            <w:tcW w:w="375" w:type="pct"/>
            <w:vAlign w:val="center"/>
          </w:tcPr>
          <w:p w14:paraId="5F89611A">
            <w:pPr>
              <w:jc w:val="center"/>
              <w:rPr>
                <w:rFonts w:ascii="宋体" w:hAnsi="宋体"/>
                <w:color w:val="auto"/>
              </w:rPr>
            </w:pPr>
            <w:r>
              <w:rPr>
                <w:rFonts w:ascii="宋体" w:hAnsi="宋体"/>
                <w:color w:val="auto"/>
              </w:rPr>
              <w:t>4.6</w:t>
            </w:r>
          </w:p>
        </w:tc>
        <w:tc>
          <w:tcPr>
            <w:tcW w:w="375" w:type="pct"/>
            <w:vAlign w:val="center"/>
          </w:tcPr>
          <w:p w14:paraId="7F0BA31C">
            <w:pPr>
              <w:jc w:val="center"/>
              <w:rPr>
                <w:rFonts w:ascii="宋体" w:hAnsi="宋体"/>
                <w:color w:val="auto"/>
              </w:rPr>
            </w:pPr>
            <w:r>
              <w:rPr>
                <w:rFonts w:ascii="宋体" w:hAnsi="宋体"/>
                <w:color w:val="auto"/>
              </w:rPr>
              <w:t>4.7</w:t>
            </w:r>
          </w:p>
        </w:tc>
        <w:tc>
          <w:tcPr>
            <w:tcW w:w="375" w:type="pct"/>
            <w:vAlign w:val="center"/>
          </w:tcPr>
          <w:p w14:paraId="75012DDB">
            <w:pPr>
              <w:jc w:val="center"/>
              <w:rPr>
                <w:rFonts w:ascii="宋体" w:hAnsi="宋体"/>
                <w:color w:val="auto"/>
              </w:rPr>
            </w:pPr>
            <w:r>
              <w:rPr>
                <w:rFonts w:ascii="宋体" w:hAnsi="宋体"/>
                <w:color w:val="auto"/>
              </w:rPr>
              <w:t>4.6</w:t>
            </w:r>
          </w:p>
        </w:tc>
        <w:tc>
          <w:tcPr>
            <w:tcW w:w="359" w:type="pct"/>
            <w:vAlign w:val="center"/>
          </w:tcPr>
          <w:p w14:paraId="6AA53AEA">
            <w:pPr>
              <w:jc w:val="center"/>
              <w:rPr>
                <w:rFonts w:ascii="宋体" w:hAnsi="宋体"/>
                <w:color w:val="auto"/>
              </w:rPr>
            </w:pPr>
            <w:r>
              <w:rPr>
                <w:rFonts w:ascii="宋体" w:hAnsi="宋体"/>
                <w:color w:val="auto"/>
              </w:rPr>
              <w:t>/</w:t>
            </w:r>
          </w:p>
        </w:tc>
      </w:tr>
      <w:tr w14:paraId="4F29B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3586BFF0">
            <w:pPr>
              <w:jc w:val="center"/>
              <w:rPr>
                <w:rFonts w:ascii="宋体" w:hAnsi="宋体"/>
                <w:color w:val="auto"/>
              </w:rPr>
            </w:pPr>
            <w:r>
              <w:rPr>
                <w:rFonts w:ascii="宋体" w:hAnsi="宋体"/>
                <w:color w:val="auto"/>
              </w:rPr>
              <w:t>标干废气量/（Nm</w:t>
            </w:r>
            <w:r>
              <w:rPr>
                <w:rFonts w:ascii="宋体" w:hAnsi="宋体"/>
                <w:color w:val="auto"/>
                <w:vertAlign w:val="superscript"/>
              </w:rPr>
              <w:t>3</w:t>
            </w:r>
            <w:r>
              <w:rPr>
                <w:rFonts w:ascii="宋体" w:hAnsi="宋体"/>
                <w:color w:val="auto"/>
              </w:rPr>
              <w:t>/h）</w:t>
            </w:r>
          </w:p>
        </w:tc>
        <w:tc>
          <w:tcPr>
            <w:tcW w:w="318" w:type="pct"/>
            <w:vAlign w:val="center"/>
          </w:tcPr>
          <w:p w14:paraId="160789A2">
            <w:pPr>
              <w:jc w:val="center"/>
              <w:rPr>
                <w:rFonts w:ascii="宋体" w:hAnsi="宋体"/>
                <w:color w:val="auto"/>
              </w:rPr>
            </w:pPr>
            <w:r>
              <w:rPr>
                <w:rFonts w:ascii="宋体" w:hAnsi="宋体"/>
                <w:color w:val="auto"/>
              </w:rPr>
              <w:t>282</w:t>
            </w:r>
          </w:p>
        </w:tc>
        <w:tc>
          <w:tcPr>
            <w:tcW w:w="374" w:type="pct"/>
            <w:vAlign w:val="center"/>
          </w:tcPr>
          <w:p w14:paraId="6BE3BFAD">
            <w:pPr>
              <w:jc w:val="center"/>
              <w:rPr>
                <w:rFonts w:ascii="宋体" w:hAnsi="宋体"/>
                <w:color w:val="auto"/>
              </w:rPr>
            </w:pPr>
            <w:r>
              <w:rPr>
                <w:rFonts w:ascii="宋体" w:hAnsi="宋体"/>
                <w:color w:val="auto"/>
              </w:rPr>
              <w:t>292</w:t>
            </w:r>
          </w:p>
        </w:tc>
        <w:tc>
          <w:tcPr>
            <w:tcW w:w="374" w:type="pct"/>
            <w:vAlign w:val="center"/>
          </w:tcPr>
          <w:p w14:paraId="5CF2F025">
            <w:pPr>
              <w:jc w:val="center"/>
              <w:rPr>
                <w:rFonts w:ascii="宋体" w:hAnsi="宋体"/>
                <w:color w:val="auto"/>
              </w:rPr>
            </w:pPr>
            <w:r>
              <w:rPr>
                <w:rFonts w:ascii="宋体" w:hAnsi="宋体"/>
                <w:color w:val="auto"/>
              </w:rPr>
              <w:t>303</w:t>
            </w:r>
          </w:p>
        </w:tc>
        <w:tc>
          <w:tcPr>
            <w:tcW w:w="360" w:type="pct"/>
            <w:gridSpan w:val="2"/>
            <w:vAlign w:val="center"/>
          </w:tcPr>
          <w:p w14:paraId="74038186">
            <w:pPr>
              <w:jc w:val="center"/>
              <w:rPr>
                <w:rFonts w:ascii="宋体" w:hAnsi="宋体"/>
                <w:color w:val="auto"/>
              </w:rPr>
            </w:pPr>
            <w:r>
              <w:rPr>
                <w:rFonts w:ascii="宋体" w:hAnsi="宋体"/>
                <w:color w:val="auto"/>
              </w:rPr>
              <w:t>/</w:t>
            </w:r>
          </w:p>
        </w:tc>
        <w:tc>
          <w:tcPr>
            <w:tcW w:w="374" w:type="pct"/>
            <w:vAlign w:val="center"/>
          </w:tcPr>
          <w:p w14:paraId="5AB1944A">
            <w:pPr>
              <w:jc w:val="center"/>
              <w:rPr>
                <w:rFonts w:ascii="宋体" w:hAnsi="宋体"/>
                <w:color w:val="auto"/>
              </w:rPr>
            </w:pPr>
            <w:r>
              <w:rPr>
                <w:rFonts w:ascii="宋体" w:hAnsi="宋体"/>
                <w:color w:val="auto"/>
              </w:rPr>
              <w:t>308</w:t>
            </w:r>
          </w:p>
        </w:tc>
        <w:tc>
          <w:tcPr>
            <w:tcW w:w="374" w:type="pct"/>
            <w:vAlign w:val="center"/>
          </w:tcPr>
          <w:p w14:paraId="6819CFC7">
            <w:pPr>
              <w:jc w:val="center"/>
              <w:rPr>
                <w:rFonts w:ascii="宋体" w:hAnsi="宋体"/>
                <w:color w:val="auto"/>
              </w:rPr>
            </w:pPr>
            <w:r>
              <w:rPr>
                <w:rFonts w:ascii="宋体" w:hAnsi="宋体"/>
                <w:color w:val="auto"/>
              </w:rPr>
              <w:t>293</w:t>
            </w:r>
          </w:p>
        </w:tc>
        <w:tc>
          <w:tcPr>
            <w:tcW w:w="375" w:type="pct"/>
            <w:vAlign w:val="center"/>
          </w:tcPr>
          <w:p w14:paraId="76C33EB7">
            <w:pPr>
              <w:jc w:val="center"/>
              <w:rPr>
                <w:rFonts w:ascii="宋体" w:hAnsi="宋体"/>
                <w:color w:val="auto"/>
              </w:rPr>
            </w:pPr>
            <w:r>
              <w:rPr>
                <w:rFonts w:ascii="宋体" w:hAnsi="宋体"/>
                <w:color w:val="auto"/>
              </w:rPr>
              <w:t>284</w:t>
            </w:r>
          </w:p>
        </w:tc>
        <w:tc>
          <w:tcPr>
            <w:tcW w:w="362" w:type="pct"/>
            <w:vAlign w:val="center"/>
          </w:tcPr>
          <w:p w14:paraId="15D16066">
            <w:pPr>
              <w:jc w:val="center"/>
              <w:rPr>
                <w:rFonts w:ascii="宋体" w:hAnsi="宋体"/>
                <w:color w:val="auto"/>
              </w:rPr>
            </w:pPr>
            <w:r>
              <w:rPr>
                <w:rFonts w:ascii="宋体" w:hAnsi="宋体"/>
                <w:color w:val="auto"/>
              </w:rPr>
              <w:t>/</w:t>
            </w:r>
          </w:p>
        </w:tc>
        <w:tc>
          <w:tcPr>
            <w:tcW w:w="375" w:type="pct"/>
            <w:vAlign w:val="center"/>
          </w:tcPr>
          <w:p w14:paraId="0D72CFF2">
            <w:pPr>
              <w:jc w:val="center"/>
              <w:rPr>
                <w:rFonts w:ascii="宋体" w:hAnsi="宋体"/>
                <w:color w:val="auto"/>
              </w:rPr>
            </w:pPr>
            <w:r>
              <w:rPr>
                <w:rFonts w:ascii="宋体" w:hAnsi="宋体"/>
                <w:color w:val="auto"/>
              </w:rPr>
              <w:t>283</w:t>
            </w:r>
          </w:p>
        </w:tc>
        <w:tc>
          <w:tcPr>
            <w:tcW w:w="375" w:type="pct"/>
            <w:vAlign w:val="center"/>
          </w:tcPr>
          <w:p w14:paraId="35B5EF8A">
            <w:pPr>
              <w:jc w:val="center"/>
              <w:rPr>
                <w:rFonts w:ascii="宋体" w:hAnsi="宋体"/>
                <w:color w:val="auto"/>
              </w:rPr>
            </w:pPr>
            <w:r>
              <w:rPr>
                <w:rFonts w:ascii="宋体" w:hAnsi="宋体"/>
                <w:color w:val="auto"/>
              </w:rPr>
              <w:t>293</w:t>
            </w:r>
          </w:p>
        </w:tc>
        <w:tc>
          <w:tcPr>
            <w:tcW w:w="375" w:type="pct"/>
            <w:vAlign w:val="center"/>
          </w:tcPr>
          <w:p w14:paraId="1CDD8C1C">
            <w:pPr>
              <w:jc w:val="center"/>
              <w:rPr>
                <w:rFonts w:ascii="宋体" w:hAnsi="宋体"/>
                <w:color w:val="auto"/>
              </w:rPr>
            </w:pPr>
            <w:r>
              <w:rPr>
                <w:rFonts w:ascii="宋体" w:hAnsi="宋体"/>
                <w:color w:val="auto"/>
              </w:rPr>
              <w:t>293</w:t>
            </w:r>
          </w:p>
        </w:tc>
        <w:tc>
          <w:tcPr>
            <w:tcW w:w="359" w:type="pct"/>
            <w:vAlign w:val="center"/>
          </w:tcPr>
          <w:p w14:paraId="147062B9">
            <w:pPr>
              <w:jc w:val="center"/>
              <w:rPr>
                <w:rFonts w:ascii="宋体" w:hAnsi="宋体"/>
                <w:color w:val="auto"/>
              </w:rPr>
            </w:pPr>
            <w:r>
              <w:rPr>
                <w:rFonts w:ascii="宋体" w:hAnsi="宋体"/>
                <w:color w:val="auto"/>
              </w:rPr>
              <w:t>/</w:t>
            </w:r>
          </w:p>
        </w:tc>
      </w:tr>
      <w:tr w14:paraId="35526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restart"/>
            <w:vAlign w:val="center"/>
          </w:tcPr>
          <w:p w14:paraId="54FFF0A7">
            <w:pPr>
              <w:jc w:val="center"/>
              <w:rPr>
                <w:rFonts w:ascii="宋体" w:hAnsi="宋体"/>
                <w:color w:val="auto"/>
              </w:rPr>
            </w:pPr>
            <w:r>
              <w:rPr>
                <w:rFonts w:ascii="宋体" w:hAnsi="宋体"/>
                <w:color w:val="auto"/>
              </w:rPr>
              <w:t>颗粒物</w:t>
            </w:r>
          </w:p>
        </w:tc>
        <w:tc>
          <w:tcPr>
            <w:tcW w:w="454" w:type="pct"/>
            <w:vAlign w:val="center"/>
          </w:tcPr>
          <w:p w14:paraId="09DB055C">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18" w:type="pct"/>
            <w:vAlign w:val="center"/>
          </w:tcPr>
          <w:p w14:paraId="26D855E3">
            <w:pPr>
              <w:jc w:val="center"/>
              <w:rPr>
                <w:rFonts w:ascii="宋体" w:hAnsi="宋体"/>
                <w:color w:val="auto"/>
              </w:rPr>
            </w:pPr>
            <w:r>
              <w:rPr>
                <w:rFonts w:ascii="宋体" w:hAnsi="宋体"/>
                <w:color w:val="auto"/>
              </w:rPr>
              <w:t>2.9</w:t>
            </w:r>
          </w:p>
        </w:tc>
        <w:tc>
          <w:tcPr>
            <w:tcW w:w="374" w:type="pct"/>
            <w:vAlign w:val="center"/>
          </w:tcPr>
          <w:p w14:paraId="09A737C0">
            <w:pPr>
              <w:jc w:val="center"/>
              <w:rPr>
                <w:rFonts w:ascii="宋体" w:hAnsi="宋体"/>
                <w:color w:val="auto"/>
              </w:rPr>
            </w:pPr>
            <w:r>
              <w:rPr>
                <w:rFonts w:ascii="宋体" w:hAnsi="宋体"/>
                <w:color w:val="auto"/>
              </w:rPr>
              <w:t>4.0</w:t>
            </w:r>
          </w:p>
        </w:tc>
        <w:tc>
          <w:tcPr>
            <w:tcW w:w="374" w:type="pct"/>
            <w:vAlign w:val="center"/>
          </w:tcPr>
          <w:p w14:paraId="5FE5565B">
            <w:pPr>
              <w:jc w:val="center"/>
              <w:rPr>
                <w:rFonts w:ascii="宋体" w:hAnsi="宋体"/>
                <w:color w:val="auto"/>
              </w:rPr>
            </w:pPr>
            <w:r>
              <w:rPr>
                <w:rFonts w:ascii="宋体" w:hAnsi="宋体"/>
                <w:color w:val="auto"/>
              </w:rPr>
              <w:t>2.5</w:t>
            </w:r>
          </w:p>
        </w:tc>
        <w:tc>
          <w:tcPr>
            <w:tcW w:w="360" w:type="pct"/>
            <w:gridSpan w:val="2"/>
            <w:vAlign w:val="center"/>
          </w:tcPr>
          <w:p w14:paraId="10FEAA03">
            <w:pPr>
              <w:jc w:val="center"/>
              <w:rPr>
                <w:rFonts w:ascii="宋体" w:hAnsi="宋体"/>
                <w:color w:val="auto"/>
              </w:rPr>
            </w:pPr>
            <w:r>
              <w:rPr>
                <w:rFonts w:ascii="宋体" w:hAnsi="宋体"/>
                <w:color w:val="auto"/>
              </w:rPr>
              <w:t>3.1</w:t>
            </w:r>
          </w:p>
        </w:tc>
        <w:tc>
          <w:tcPr>
            <w:tcW w:w="374" w:type="pct"/>
            <w:vAlign w:val="center"/>
          </w:tcPr>
          <w:p w14:paraId="58DF5B5D">
            <w:pPr>
              <w:jc w:val="center"/>
              <w:rPr>
                <w:rFonts w:ascii="宋体" w:hAnsi="宋体"/>
                <w:color w:val="auto"/>
              </w:rPr>
            </w:pPr>
            <w:r>
              <w:rPr>
                <w:rFonts w:ascii="宋体" w:hAnsi="宋体"/>
                <w:color w:val="auto"/>
              </w:rPr>
              <w:t>3.8</w:t>
            </w:r>
          </w:p>
        </w:tc>
        <w:tc>
          <w:tcPr>
            <w:tcW w:w="374" w:type="pct"/>
            <w:vAlign w:val="center"/>
          </w:tcPr>
          <w:p w14:paraId="4ECF45EB">
            <w:pPr>
              <w:jc w:val="center"/>
              <w:rPr>
                <w:rFonts w:ascii="宋体" w:hAnsi="宋体"/>
                <w:color w:val="auto"/>
              </w:rPr>
            </w:pPr>
            <w:r>
              <w:rPr>
                <w:rFonts w:ascii="宋体" w:hAnsi="宋体"/>
                <w:color w:val="auto"/>
              </w:rPr>
              <w:t>4.4</w:t>
            </w:r>
          </w:p>
        </w:tc>
        <w:tc>
          <w:tcPr>
            <w:tcW w:w="375" w:type="pct"/>
            <w:vAlign w:val="center"/>
          </w:tcPr>
          <w:p w14:paraId="02C9A3BA">
            <w:pPr>
              <w:jc w:val="center"/>
              <w:rPr>
                <w:rFonts w:ascii="宋体" w:hAnsi="宋体"/>
                <w:color w:val="auto"/>
              </w:rPr>
            </w:pPr>
            <w:r>
              <w:rPr>
                <w:rFonts w:ascii="宋体" w:hAnsi="宋体"/>
                <w:color w:val="auto"/>
              </w:rPr>
              <w:t>4.3</w:t>
            </w:r>
          </w:p>
        </w:tc>
        <w:tc>
          <w:tcPr>
            <w:tcW w:w="362" w:type="pct"/>
            <w:vAlign w:val="center"/>
          </w:tcPr>
          <w:p w14:paraId="414FE576">
            <w:pPr>
              <w:jc w:val="center"/>
              <w:rPr>
                <w:rFonts w:ascii="宋体" w:hAnsi="宋体"/>
                <w:bCs/>
                <w:color w:val="auto"/>
              </w:rPr>
            </w:pPr>
            <w:r>
              <w:rPr>
                <w:rFonts w:ascii="宋体" w:hAnsi="宋体"/>
                <w:bCs/>
                <w:color w:val="auto"/>
              </w:rPr>
              <w:t>4.2</w:t>
            </w:r>
          </w:p>
        </w:tc>
        <w:tc>
          <w:tcPr>
            <w:tcW w:w="375" w:type="pct"/>
            <w:vAlign w:val="center"/>
          </w:tcPr>
          <w:p w14:paraId="6B8850D5">
            <w:pPr>
              <w:jc w:val="center"/>
              <w:rPr>
                <w:rFonts w:ascii="宋体" w:hAnsi="宋体"/>
                <w:color w:val="auto"/>
              </w:rPr>
            </w:pPr>
            <w:r>
              <w:rPr>
                <w:rFonts w:ascii="宋体" w:hAnsi="宋体"/>
                <w:color w:val="auto"/>
              </w:rPr>
              <w:t>3.5</w:t>
            </w:r>
          </w:p>
        </w:tc>
        <w:tc>
          <w:tcPr>
            <w:tcW w:w="375" w:type="pct"/>
            <w:vAlign w:val="center"/>
          </w:tcPr>
          <w:p w14:paraId="5D0EA8B2">
            <w:pPr>
              <w:jc w:val="center"/>
              <w:rPr>
                <w:rFonts w:ascii="宋体" w:hAnsi="宋体"/>
                <w:color w:val="auto"/>
              </w:rPr>
            </w:pPr>
            <w:r>
              <w:rPr>
                <w:rFonts w:ascii="宋体" w:hAnsi="宋体"/>
                <w:color w:val="auto"/>
              </w:rPr>
              <w:t>4.4</w:t>
            </w:r>
          </w:p>
        </w:tc>
        <w:tc>
          <w:tcPr>
            <w:tcW w:w="375" w:type="pct"/>
            <w:vAlign w:val="center"/>
          </w:tcPr>
          <w:p w14:paraId="5674B61C">
            <w:pPr>
              <w:jc w:val="center"/>
              <w:rPr>
                <w:rFonts w:ascii="宋体" w:hAnsi="宋体"/>
                <w:color w:val="auto"/>
              </w:rPr>
            </w:pPr>
            <w:r>
              <w:rPr>
                <w:rFonts w:ascii="宋体" w:hAnsi="宋体"/>
                <w:color w:val="auto"/>
              </w:rPr>
              <w:t>3.1</w:t>
            </w:r>
          </w:p>
        </w:tc>
        <w:tc>
          <w:tcPr>
            <w:tcW w:w="359" w:type="pct"/>
            <w:vAlign w:val="center"/>
          </w:tcPr>
          <w:p w14:paraId="44666964">
            <w:pPr>
              <w:jc w:val="center"/>
              <w:rPr>
                <w:rFonts w:ascii="宋体" w:hAnsi="宋体"/>
                <w:bCs/>
                <w:color w:val="auto"/>
              </w:rPr>
            </w:pPr>
            <w:r>
              <w:rPr>
                <w:rFonts w:ascii="宋体" w:hAnsi="宋体"/>
                <w:bCs/>
                <w:color w:val="auto"/>
              </w:rPr>
              <w:t>3.7</w:t>
            </w:r>
          </w:p>
        </w:tc>
      </w:tr>
      <w:tr w14:paraId="52601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0DF49DBF">
            <w:pPr>
              <w:jc w:val="center"/>
              <w:rPr>
                <w:rFonts w:ascii="宋体" w:hAnsi="宋体"/>
                <w:color w:val="auto"/>
              </w:rPr>
            </w:pPr>
          </w:p>
        </w:tc>
        <w:tc>
          <w:tcPr>
            <w:tcW w:w="454" w:type="pct"/>
            <w:vAlign w:val="center"/>
          </w:tcPr>
          <w:p w14:paraId="19DDC4B9">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18" w:type="pct"/>
            <w:vAlign w:val="center"/>
          </w:tcPr>
          <w:p w14:paraId="6785B582">
            <w:pPr>
              <w:jc w:val="center"/>
              <w:rPr>
                <w:rFonts w:ascii="宋体" w:hAnsi="宋体"/>
                <w:color w:val="auto"/>
              </w:rPr>
            </w:pPr>
            <w:r>
              <w:rPr>
                <w:rFonts w:ascii="宋体" w:hAnsi="宋体"/>
                <w:color w:val="auto"/>
              </w:rPr>
              <w:t>3.1</w:t>
            </w:r>
          </w:p>
        </w:tc>
        <w:tc>
          <w:tcPr>
            <w:tcW w:w="374" w:type="pct"/>
            <w:vAlign w:val="center"/>
          </w:tcPr>
          <w:p w14:paraId="77D0F8B6">
            <w:pPr>
              <w:jc w:val="center"/>
              <w:rPr>
                <w:rFonts w:ascii="宋体" w:hAnsi="宋体"/>
                <w:color w:val="auto"/>
              </w:rPr>
            </w:pPr>
            <w:r>
              <w:rPr>
                <w:rFonts w:ascii="宋体" w:hAnsi="宋体"/>
                <w:color w:val="auto"/>
              </w:rPr>
              <w:t>4.2</w:t>
            </w:r>
          </w:p>
        </w:tc>
        <w:tc>
          <w:tcPr>
            <w:tcW w:w="374" w:type="pct"/>
            <w:vAlign w:val="center"/>
          </w:tcPr>
          <w:p w14:paraId="0E9C2281">
            <w:pPr>
              <w:jc w:val="center"/>
              <w:rPr>
                <w:rFonts w:ascii="宋体" w:hAnsi="宋体"/>
                <w:color w:val="auto"/>
              </w:rPr>
            </w:pPr>
            <w:r>
              <w:rPr>
                <w:rFonts w:ascii="宋体" w:hAnsi="宋体"/>
                <w:color w:val="auto"/>
              </w:rPr>
              <w:t>2.6</w:t>
            </w:r>
          </w:p>
        </w:tc>
        <w:tc>
          <w:tcPr>
            <w:tcW w:w="360" w:type="pct"/>
            <w:gridSpan w:val="2"/>
            <w:vAlign w:val="center"/>
          </w:tcPr>
          <w:p w14:paraId="40666491">
            <w:pPr>
              <w:jc w:val="center"/>
              <w:rPr>
                <w:rFonts w:ascii="宋体" w:hAnsi="宋体"/>
                <w:bCs/>
                <w:color w:val="auto"/>
              </w:rPr>
            </w:pPr>
            <w:r>
              <w:rPr>
                <w:rFonts w:ascii="宋体" w:hAnsi="宋体"/>
                <w:bCs/>
                <w:color w:val="auto"/>
              </w:rPr>
              <w:t>3.3</w:t>
            </w:r>
          </w:p>
        </w:tc>
        <w:tc>
          <w:tcPr>
            <w:tcW w:w="374" w:type="pct"/>
            <w:vAlign w:val="center"/>
          </w:tcPr>
          <w:p w14:paraId="3C1B7D15">
            <w:pPr>
              <w:jc w:val="center"/>
              <w:rPr>
                <w:rFonts w:ascii="宋体" w:hAnsi="宋体"/>
                <w:color w:val="auto"/>
              </w:rPr>
            </w:pPr>
            <w:r>
              <w:rPr>
                <w:rFonts w:ascii="宋体" w:hAnsi="宋体"/>
                <w:color w:val="auto"/>
              </w:rPr>
              <w:t>4.0</w:t>
            </w:r>
          </w:p>
        </w:tc>
        <w:tc>
          <w:tcPr>
            <w:tcW w:w="374" w:type="pct"/>
            <w:vAlign w:val="center"/>
          </w:tcPr>
          <w:p w14:paraId="04CF4A97">
            <w:pPr>
              <w:jc w:val="center"/>
              <w:rPr>
                <w:rFonts w:ascii="宋体" w:hAnsi="宋体"/>
                <w:color w:val="auto"/>
              </w:rPr>
            </w:pPr>
            <w:r>
              <w:rPr>
                <w:rFonts w:ascii="宋体" w:hAnsi="宋体"/>
                <w:color w:val="auto"/>
              </w:rPr>
              <w:t>4.7</w:t>
            </w:r>
          </w:p>
        </w:tc>
        <w:tc>
          <w:tcPr>
            <w:tcW w:w="375" w:type="pct"/>
            <w:vAlign w:val="center"/>
          </w:tcPr>
          <w:p w14:paraId="7A0F8EF5">
            <w:pPr>
              <w:jc w:val="center"/>
              <w:rPr>
                <w:rFonts w:ascii="宋体" w:hAnsi="宋体"/>
                <w:color w:val="auto"/>
              </w:rPr>
            </w:pPr>
            <w:r>
              <w:rPr>
                <w:rFonts w:ascii="宋体" w:hAnsi="宋体"/>
                <w:color w:val="auto"/>
              </w:rPr>
              <w:t>4.6</w:t>
            </w:r>
          </w:p>
        </w:tc>
        <w:tc>
          <w:tcPr>
            <w:tcW w:w="362" w:type="pct"/>
            <w:vAlign w:val="center"/>
          </w:tcPr>
          <w:p w14:paraId="583D44FC">
            <w:pPr>
              <w:jc w:val="center"/>
              <w:rPr>
                <w:rFonts w:ascii="宋体" w:hAnsi="宋体"/>
                <w:bCs/>
                <w:color w:val="auto"/>
              </w:rPr>
            </w:pPr>
            <w:r>
              <w:rPr>
                <w:rFonts w:ascii="宋体" w:hAnsi="宋体"/>
                <w:bCs/>
                <w:color w:val="auto"/>
              </w:rPr>
              <w:t>4.4</w:t>
            </w:r>
          </w:p>
        </w:tc>
        <w:tc>
          <w:tcPr>
            <w:tcW w:w="375" w:type="pct"/>
            <w:vAlign w:val="center"/>
          </w:tcPr>
          <w:p w14:paraId="4D647E49">
            <w:pPr>
              <w:jc w:val="center"/>
              <w:rPr>
                <w:rFonts w:ascii="宋体" w:hAnsi="宋体"/>
                <w:color w:val="auto"/>
              </w:rPr>
            </w:pPr>
            <w:r>
              <w:rPr>
                <w:rFonts w:ascii="宋体" w:hAnsi="宋体"/>
                <w:color w:val="auto"/>
              </w:rPr>
              <w:t>3.7</w:t>
            </w:r>
          </w:p>
        </w:tc>
        <w:tc>
          <w:tcPr>
            <w:tcW w:w="375" w:type="pct"/>
            <w:vAlign w:val="center"/>
          </w:tcPr>
          <w:p w14:paraId="39319659">
            <w:pPr>
              <w:jc w:val="center"/>
              <w:rPr>
                <w:rFonts w:ascii="宋体" w:hAnsi="宋体"/>
                <w:color w:val="auto"/>
              </w:rPr>
            </w:pPr>
            <w:r>
              <w:rPr>
                <w:rFonts w:ascii="宋体" w:hAnsi="宋体"/>
                <w:color w:val="auto"/>
              </w:rPr>
              <w:t>4.7</w:t>
            </w:r>
          </w:p>
        </w:tc>
        <w:tc>
          <w:tcPr>
            <w:tcW w:w="375" w:type="pct"/>
            <w:vAlign w:val="center"/>
          </w:tcPr>
          <w:p w14:paraId="41D09218">
            <w:pPr>
              <w:jc w:val="center"/>
              <w:rPr>
                <w:rFonts w:ascii="宋体" w:hAnsi="宋体"/>
                <w:color w:val="auto"/>
              </w:rPr>
            </w:pPr>
            <w:r>
              <w:rPr>
                <w:rFonts w:ascii="宋体" w:hAnsi="宋体"/>
                <w:color w:val="auto"/>
              </w:rPr>
              <w:t>3.3</w:t>
            </w:r>
          </w:p>
        </w:tc>
        <w:tc>
          <w:tcPr>
            <w:tcW w:w="359" w:type="pct"/>
            <w:vAlign w:val="center"/>
          </w:tcPr>
          <w:p w14:paraId="04DE37A2">
            <w:pPr>
              <w:jc w:val="center"/>
              <w:rPr>
                <w:rFonts w:ascii="宋体" w:hAnsi="宋体"/>
                <w:bCs/>
                <w:color w:val="auto"/>
              </w:rPr>
            </w:pPr>
            <w:r>
              <w:rPr>
                <w:rFonts w:ascii="宋体" w:hAnsi="宋体"/>
                <w:bCs/>
                <w:color w:val="auto"/>
              </w:rPr>
              <w:t>3.9</w:t>
            </w:r>
          </w:p>
        </w:tc>
      </w:tr>
      <w:tr w14:paraId="1C91D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294E10A3">
            <w:pPr>
              <w:jc w:val="center"/>
              <w:rPr>
                <w:rFonts w:ascii="宋体" w:hAnsi="宋体"/>
                <w:color w:val="auto"/>
              </w:rPr>
            </w:pPr>
          </w:p>
        </w:tc>
        <w:tc>
          <w:tcPr>
            <w:tcW w:w="454" w:type="pct"/>
            <w:vAlign w:val="center"/>
          </w:tcPr>
          <w:p w14:paraId="75225A8A">
            <w:pPr>
              <w:jc w:val="center"/>
              <w:rPr>
                <w:rFonts w:ascii="宋体" w:hAnsi="宋体"/>
                <w:color w:val="auto"/>
              </w:rPr>
            </w:pPr>
            <w:r>
              <w:rPr>
                <w:rFonts w:ascii="宋体" w:hAnsi="宋体"/>
                <w:color w:val="auto"/>
              </w:rPr>
              <w:t>排放速率/（kg/h）</w:t>
            </w:r>
          </w:p>
        </w:tc>
        <w:tc>
          <w:tcPr>
            <w:tcW w:w="318" w:type="pct"/>
            <w:vAlign w:val="center"/>
          </w:tcPr>
          <w:p w14:paraId="5963EF12">
            <w:pPr>
              <w:jc w:val="center"/>
              <w:rPr>
                <w:rFonts w:ascii="宋体" w:hAnsi="宋体"/>
                <w:color w:val="auto"/>
              </w:rPr>
            </w:pPr>
            <w:r>
              <w:rPr>
                <w:rFonts w:ascii="宋体" w:hAnsi="宋体"/>
                <w:color w:val="auto"/>
              </w:rPr>
              <w:t>8.2×10</w:t>
            </w:r>
            <w:r>
              <w:rPr>
                <w:rFonts w:ascii="宋体" w:hAnsi="宋体"/>
                <w:color w:val="auto"/>
                <w:vertAlign w:val="superscript"/>
              </w:rPr>
              <w:t>-4</w:t>
            </w:r>
          </w:p>
        </w:tc>
        <w:tc>
          <w:tcPr>
            <w:tcW w:w="374" w:type="pct"/>
            <w:vAlign w:val="center"/>
          </w:tcPr>
          <w:p w14:paraId="0F33865F">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74" w:type="pct"/>
            <w:vAlign w:val="center"/>
          </w:tcPr>
          <w:p w14:paraId="034C6B91">
            <w:pPr>
              <w:jc w:val="center"/>
              <w:rPr>
                <w:rFonts w:ascii="宋体" w:hAnsi="宋体"/>
                <w:color w:val="auto"/>
              </w:rPr>
            </w:pPr>
            <w:r>
              <w:rPr>
                <w:rFonts w:ascii="宋体" w:hAnsi="宋体"/>
                <w:color w:val="auto"/>
              </w:rPr>
              <w:t>7.6×10</w:t>
            </w:r>
            <w:r>
              <w:rPr>
                <w:rFonts w:ascii="宋体" w:hAnsi="宋体"/>
                <w:color w:val="auto"/>
                <w:vertAlign w:val="superscript"/>
              </w:rPr>
              <w:t>-4</w:t>
            </w:r>
          </w:p>
        </w:tc>
        <w:tc>
          <w:tcPr>
            <w:tcW w:w="360" w:type="pct"/>
            <w:gridSpan w:val="2"/>
            <w:vAlign w:val="center"/>
          </w:tcPr>
          <w:p w14:paraId="54EE6F87">
            <w:pPr>
              <w:jc w:val="center"/>
              <w:rPr>
                <w:rFonts w:ascii="宋体" w:hAnsi="宋体"/>
                <w:color w:val="auto"/>
              </w:rPr>
            </w:pPr>
            <w:r>
              <w:rPr>
                <w:rFonts w:ascii="宋体" w:hAnsi="宋体"/>
                <w:color w:val="auto"/>
              </w:rPr>
              <w:t>9.3×10</w:t>
            </w:r>
            <w:r>
              <w:rPr>
                <w:rFonts w:ascii="宋体" w:hAnsi="宋体"/>
                <w:color w:val="auto"/>
                <w:vertAlign w:val="superscript"/>
              </w:rPr>
              <w:t>-4</w:t>
            </w:r>
          </w:p>
        </w:tc>
        <w:tc>
          <w:tcPr>
            <w:tcW w:w="374" w:type="pct"/>
            <w:vAlign w:val="center"/>
          </w:tcPr>
          <w:p w14:paraId="6315271B">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74" w:type="pct"/>
            <w:vAlign w:val="center"/>
          </w:tcPr>
          <w:p w14:paraId="658455B1">
            <w:pPr>
              <w:jc w:val="center"/>
              <w:rPr>
                <w:rFonts w:ascii="宋体" w:hAnsi="宋体"/>
                <w:color w:val="auto"/>
              </w:rPr>
            </w:pPr>
            <w:r>
              <w:rPr>
                <w:rFonts w:ascii="宋体" w:hAnsi="宋体"/>
                <w:color w:val="auto"/>
              </w:rPr>
              <w:t>1.3×10</w:t>
            </w:r>
            <w:r>
              <w:rPr>
                <w:rFonts w:ascii="宋体" w:hAnsi="宋体"/>
                <w:color w:val="auto"/>
                <w:vertAlign w:val="superscript"/>
              </w:rPr>
              <w:t>-3</w:t>
            </w:r>
          </w:p>
        </w:tc>
        <w:tc>
          <w:tcPr>
            <w:tcW w:w="375" w:type="pct"/>
            <w:vAlign w:val="center"/>
          </w:tcPr>
          <w:p w14:paraId="4CD0002C">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62" w:type="pct"/>
            <w:vAlign w:val="center"/>
          </w:tcPr>
          <w:p w14:paraId="01019BFF">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75" w:type="pct"/>
            <w:vAlign w:val="center"/>
          </w:tcPr>
          <w:p w14:paraId="1CCA3900">
            <w:pPr>
              <w:jc w:val="center"/>
              <w:rPr>
                <w:rFonts w:ascii="宋体" w:hAnsi="宋体"/>
                <w:color w:val="auto"/>
              </w:rPr>
            </w:pPr>
            <w:r>
              <w:rPr>
                <w:rFonts w:ascii="宋体" w:hAnsi="宋体"/>
                <w:color w:val="auto"/>
              </w:rPr>
              <w:t>9.9×10</w:t>
            </w:r>
            <w:r>
              <w:rPr>
                <w:rFonts w:ascii="宋体" w:hAnsi="宋体"/>
                <w:color w:val="auto"/>
                <w:vertAlign w:val="superscript"/>
              </w:rPr>
              <w:t>-4</w:t>
            </w:r>
          </w:p>
        </w:tc>
        <w:tc>
          <w:tcPr>
            <w:tcW w:w="375" w:type="pct"/>
            <w:vAlign w:val="center"/>
          </w:tcPr>
          <w:p w14:paraId="60CD182A">
            <w:pPr>
              <w:jc w:val="center"/>
              <w:rPr>
                <w:rFonts w:ascii="宋体" w:hAnsi="宋体"/>
                <w:color w:val="auto"/>
              </w:rPr>
            </w:pPr>
            <w:r>
              <w:rPr>
                <w:rFonts w:ascii="宋体" w:hAnsi="宋体"/>
                <w:color w:val="auto"/>
              </w:rPr>
              <w:t>1.3×10</w:t>
            </w:r>
            <w:r>
              <w:rPr>
                <w:rFonts w:ascii="宋体" w:hAnsi="宋体"/>
                <w:color w:val="auto"/>
                <w:vertAlign w:val="superscript"/>
              </w:rPr>
              <w:t>-3</w:t>
            </w:r>
          </w:p>
        </w:tc>
        <w:tc>
          <w:tcPr>
            <w:tcW w:w="375" w:type="pct"/>
            <w:vAlign w:val="center"/>
          </w:tcPr>
          <w:p w14:paraId="50064E77">
            <w:pPr>
              <w:jc w:val="center"/>
              <w:rPr>
                <w:rFonts w:ascii="宋体" w:hAnsi="宋体"/>
                <w:color w:val="auto"/>
              </w:rPr>
            </w:pPr>
            <w:r>
              <w:rPr>
                <w:rFonts w:ascii="宋体" w:hAnsi="宋体"/>
                <w:color w:val="auto"/>
              </w:rPr>
              <w:t>9.1×10</w:t>
            </w:r>
            <w:r>
              <w:rPr>
                <w:rFonts w:ascii="宋体" w:hAnsi="宋体"/>
                <w:color w:val="auto"/>
                <w:vertAlign w:val="superscript"/>
              </w:rPr>
              <w:t>-4</w:t>
            </w:r>
          </w:p>
        </w:tc>
        <w:tc>
          <w:tcPr>
            <w:tcW w:w="359" w:type="pct"/>
            <w:vAlign w:val="center"/>
          </w:tcPr>
          <w:p w14:paraId="3AF14F46">
            <w:pPr>
              <w:jc w:val="center"/>
              <w:rPr>
                <w:rFonts w:ascii="宋体" w:hAnsi="宋体"/>
                <w:color w:val="auto"/>
              </w:rPr>
            </w:pPr>
            <w:r>
              <w:rPr>
                <w:rFonts w:ascii="宋体" w:hAnsi="宋体"/>
                <w:color w:val="auto"/>
              </w:rPr>
              <w:t>1.1×10</w:t>
            </w:r>
            <w:r>
              <w:rPr>
                <w:rFonts w:ascii="宋体" w:hAnsi="宋体"/>
                <w:color w:val="auto"/>
                <w:vertAlign w:val="superscript"/>
              </w:rPr>
              <w:t>-3</w:t>
            </w:r>
          </w:p>
        </w:tc>
      </w:tr>
      <w:tr w14:paraId="55A40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restart"/>
            <w:vAlign w:val="center"/>
          </w:tcPr>
          <w:p w14:paraId="61562707">
            <w:pPr>
              <w:jc w:val="center"/>
              <w:rPr>
                <w:rFonts w:ascii="宋体" w:hAnsi="宋体"/>
                <w:color w:val="auto"/>
              </w:rPr>
            </w:pPr>
            <w:r>
              <w:rPr>
                <w:rFonts w:ascii="宋体" w:hAnsi="宋体"/>
                <w:color w:val="auto"/>
              </w:rPr>
              <w:t>二氧化硫</w:t>
            </w:r>
          </w:p>
        </w:tc>
        <w:tc>
          <w:tcPr>
            <w:tcW w:w="454" w:type="pct"/>
            <w:vAlign w:val="center"/>
          </w:tcPr>
          <w:p w14:paraId="7A445AAF">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18" w:type="pct"/>
            <w:vAlign w:val="center"/>
          </w:tcPr>
          <w:p w14:paraId="0BE53D67">
            <w:pPr>
              <w:jc w:val="center"/>
              <w:rPr>
                <w:rFonts w:ascii="宋体" w:hAnsi="宋体"/>
                <w:color w:val="auto"/>
              </w:rPr>
            </w:pPr>
            <w:r>
              <w:rPr>
                <w:rFonts w:ascii="宋体" w:hAnsi="宋体"/>
                <w:color w:val="auto"/>
              </w:rPr>
              <w:t>3L</w:t>
            </w:r>
          </w:p>
        </w:tc>
        <w:tc>
          <w:tcPr>
            <w:tcW w:w="374" w:type="pct"/>
            <w:vAlign w:val="center"/>
          </w:tcPr>
          <w:p w14:paraId="451FDE15">
            <w:pPr>
              <w:jc w:val="center"/>
              <w:rPr>
                <w:rFonts w:ascii="宋体" w:hAnsi="宋体"/>
                <w:color w:val="auto"/>
              </w:rPr>
            </w:pPr>
            <w:r>
              <w:rPr>
                <w:rFonts w:ascii="宋体" w:hAnsi="宋体"/>
                <w:color w:val="auto"/>
              </w:rPr>
              <w:t>3L</w:t>
            </w:r>
          </w:p>
        </w:tc>
        <w:tc>
          <w:tcPr>
            <w:tcW w:w="374" w:type="pct"/>
            <w:vAlign w:val="center"/>
          </w:tcPr>
          <w:p w14:paraId="63251754">
            <w:pPr>
              <w:jc w:val="center"/>
              <w:rPr>
                <w:rFonts w:ascii="宋体" w:hAnsi="宋体"/>
                <w:color w:val="auto"/>
              </w:rPr>
            </w:pPr>
            <w:r>
              <w:rPr>
                <w:rFonts w:ascii="宋体" w:hAnsi="宋体"/>
                <w:color w:val="auto"/>
              </w:rPr>
              <w:t>3L</w:t>
            </w:r>
          </w:p>
        </w:tc>
        <w:tc>
          <w:tcPr>
            <w:tcW w:w="360" w:type="pct"/>
            <w:gridSpan w:val="2"/>
            <w:vAlign w:val="center"/>
          </w:tcPr>
          <w:p w14:paraId="76E2D6CB">
            <w:pPr>
              <w:jc w:val="center"/>
              <w:rPr>
                <w:rFonts w:ascii="宋体" w:hAnsi="宋体"/>
                <w:color w:val="auto"/>
              </w:rPr>
            </w:pPr>
            <w:r>
              <w:rPr>
                <w:rFonts w:ascii="宋体" w:hAnsi="宋体"/>
                <w:color w:val="auto"/>
              </w:rPr>
              <w:t>3L</w:t>
            </w:r>
          </w:p>
        </w:tc>
        <w:tc>
          <w:tcPr>
            <w:tcW w:w="374" w:type="pct"/>
            <w:vAlign w:val="center"/>
          </w:tcPr>
          <w:p w14:paraId="29A8B5AC">
            <w:pPr>
              <w:jc w:val="center"/>
              <w:rPr>
                <w:rFonts w:ascii="宋体" w:hAnsi="宋体"/>
                <w:color w:val="auto"/>
              </w:rPr>
            </w:pPr>
            <w:r>
              <w:rPr>
                <w:rFonts w:ascii="宋体" w:hAnsi="宋体"/>
                <w:color w:val="auto"/>
              </w:rPr>
              <w:t>3L</w:t>
            </w:r>
          </w:p>
        </w:tc>
        <w:tc>
          <w:tcPr>
            <w:tcW w:w="374" w:type="pct"/>
            <w:vAlign w:val="center"/>
          </w:tcPr>
          <w:p w14:paraId="62871D49">
            <w:pPr>
              <w:jc w:val="center"/>
              <w:rPr>
                <w:rFonts w:ascii="宋体" w:hAnsi="宋体"/>
                <w:color w:val="auto"/>
              </w:rPr>
            </w:pPr>
            <w:r>
              <w:rPr>
                <w:rFonts w:ascii="宋体" w:hAnsi="宋体"/>
                <w:color w:val="auto"/>
              </w:rPr>
              <w:t>3L</w:t>
            </w:r>
          </w:p>
        </w:tc>
        <w:tc>
          <w:tcPr>
            <w:tcW w:w="375" w:type="pct"/>
            <w:vAlign w:val="center"/>
          </w:tcPr>
          <w:p w14:paraId="5358BA85">
            <w:pPr>
              <w:jc w:val="center"/>
              <w:rPr>
                <w:rFonts w:ascii="宋体" w:hAnsi="宋体"/>
                <w:color w:val="auto"/>
              </w:rPr>
            </w:pPr>
            <w:r>
              <w:rPr>
                <w:rFonts w:ascii="宋体" w:hAnsi="宋体"/>
                <w:color w:val="auto"/>
              </w:rPr>
              <w:t>3L</w:t>
            </w:r>
          </w:p>
        </w:tc>
        <w:tc>
          <w:tcPr>
            <w:tcW w:w="362" w:type="pct"/>
            <w:vAlign w:val="center"/>
          </w:tcPr>
          <w:p w14:paraId="02057BDD">
            <w:pPr>
              <w:jc w:val="center"/>
              <w:rPr>
                <w:rFonts w:ascii="宋体" w:hAnsi="宋体"/>
                <w:color w:val="auto"/>
              </w:rPr>
            </w:pPr>
            <w:r>
              <w:rPr>
                <w:rFonts w:ascii="宋体" w:hAnsi="宋体"/>
                <w:color w:val="auto"/>
              </w:rPr>
              <w:t>3L</w:t>
            </w:r>
          </w:p>
        </w:tc>
        <w:tc>
          <w:tcPr>
            <w:tcW w:w="375" w:type="pct"/>
            <w:vAlign w:val="center"/>
          </w:tcPr>
          <w:p w14:paraId="74CD99D1">
            <w:pPr>
              <w:jc w:val="center"/>
              <w:rPr>
                <w:rFonts w:ascii="宋体" w:hAnsi="宋体"/>
                <w:color w:val="auto"/>
              </w:rPr>
            </w:pPr>
            <w:r>
              <w:rPr>
                <w:rFonts w:ascii="宋体" w:hAnsi="宋体"/>
                <w:color w:val="auto"/>
              </w:rPr>
              <w:t>3L</w:t>
            </w:r>
          </w:p>
        </w:tc>
        <w:tc>
          <w:tcPr>
            <w:tcW w:w="375" w:type="pct"/>
            <w:vAlign w:val="center"/>
          </w:tcPr>
          <w:p w14:paraId="5E2C9D3A">
            <w:pPr>
              <w:jc w:val="center"/>
              <w:rPr>
                <w:rFonts w:ascii="宋体" w:hAnsi="宋体"/>
                <w:color w:val="auto"/>
              </w:rPr>
            </w:pPr>
            <w:r>
              <w:rPr>
                <w:rFonts w:ascii="宋体" w:hAnsi="宋体"/>
                <w:color w:val="auto"/>
              </w:rPr>
              <w:t>3L</w:t>
            </w:r>
          </w:p>
        </w:tc>
        <w:tc>
          <w:tcPr>
            <w:tcW w:w="375" w:type="pct"/>
            <w:vAlign w:val="center"/>
          </w:tcPr>
          <w:p w14:paraId="22E595EB">
            <w:pPr>
              <w:jc w:val="center"/>
              <w:rPr>
                <w:rFonts w:ascii="宋体" w:hAnsi="宋体"/>
                <w:color w:val="auto"/>
              </w:rPr>
            </w:pPr>
            <w:r>
              <w:rPr>
                <w:rFonts w:ascii="宋体" w:hAnsi="宋体"/>
                <w:color w:val="auto"/>
              </w:rPr>
              <w:t>3L</w:t>
            </w:r>
          </w:p>
        </w:tc>
        <w:tc>
          <w:tcPr>
            <w:tcW w:w="359" w:type="pct"/>
            <w:vAlign w:val="center"/>
          </w:tcPr>
          <w:p w14:paraId="1F57C1FE">
            <w:pPr>
              <w:jc w:val="center"/>
              <w:rPr>
                <w:rFonts w:ascii="宋体" w:hAnsi="宋体"/>
                <w:color w:val="auto"/>
              </w:rPr>
            </w:pPr>
            <w:r>
              <w:rPr>
                <w:rFonts w:ascii="宋体" w:hAnsi="宋体"/>
                <w:color w:val="auto"/>
              </w:rPr>
              <w:t>3L</w:t>
            </w:r>
          </w:p>
        </w:tc>
      </w:tr>
      <w:tr w14:paraId="7785E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44707E66">
            <w:pPr>
              <w:jc w:val="center"/>
              <w:rPr>
                <w:rFonts w:ascii="宋体" w:hAnsi="宋体"/>
                <w:color w:val="auto"/>
              </w:rPr>
            </w:pPr>
          </w:p>
        </w:tc>
        <w:tc>
          <w:tcPr>
            <w:tcW w:w="454" w:type="pct"/>
            <w:vAlign w:val="center"/>
          </w:tcPr>
          <w:p w14:paraId="7FE3E161">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18" w:type="pct"/>
            <w:vAlign w:val="center"/>
          </w:tcPr>
          <w:p w14:paraId="77FF5B9C">
            <w:pPr>
              <w:jc w:val="center"/>
              <w:rPr>
                <w:rFonts w:ascii="宋体" w:hAnsi="宋体"/>
                <w:color w:val="auto"/>
              </w:rPr>
            </w:pPr>
            <w:r>
              <w:rPr>
                <w:rFonts w:ascii="宋体" w:hAnsi="宋体"/>
                <w:color w:val="auto"/>
              </w:rPr>
              <w:t>3L</w:t>
            </w:r>
          </w:p>
        </w:tc>
        <w:tc>
          <w:tcPr>
            <w:tcW w:w="374" w:type="pct"/>
            <w:vAlign w:val="center"/>
          </w:tcPr>
          <w:p w14:paraId="02C219AE">
            <w:pPr>
              <w:jc w:val="center"/>
              <w:rPr>
                <w:rFonts w:ascii="宋体" w:hAnsi="宋体"/>
                <w:color w:val="auto"/>
              </w:rPr>
            </w:pPr>
            <w:r>
              <w:rPr>
                <w:rFonts w:ascii="宋体" w:hAnsi="宋体"/>
                <w:color w:val="auto"/>
              </w:rPr>
              <w:t>3L</w:t>
            </w:r>
          </w:p>
        </w:tc>
        <w:tc>
          <w:tcPr>
            <w:tcW w:w="374" w:type="pct"/>
            <w:vAlign w:val="center"/>
          </w:tcPr>
          <w:p w14:paraId="4E8A2BF3">
            <w:pPr>
              <w:jc w:val="center"/>
              <w:rPr>
                <w:rFonts w:ascii="宋体" w:hAnsi="宋体"/>
                <w:color w:val="auto"/>
              </w:rPr>
            </w:pPr>
            <w:r>
              <w:rPr>
                <w:rFonts w:ascii="宋体" w:hAnsi="宋体"/>
                <w:color w:val="auto"/>
              </w:rPr>
              <w:t>3L</w:t>
            </w:r>
          </w:p>
        </w:tc>
        <w:tc>
          <w:tcPr>
            <w:tcW w:w="360" w:type="pct"/>
            <w:gridSpan w:val="2"/>
            <w:vAlign w:val="center"/>
          </w:tcPr>
          <w:p w14:paraId="12B61398">
            <w:pPr>
              <w:jc w:val="center"/>
              <w:rPr>
                <w:rFonts w:ascii="宋体" w:hAnsi="宋体"/>
                <w:color w:val="auto"/>
              </w:rPr>
            </w:pPr>
            <w:r>
              <w:rPr>
                <w:rFonts w:ascii="宋体" w:hAnsi="宋体"/>
                <w:color w:val="auto"/>
              </w:rPr>
              <w:t>3L</w:t>
            </w:r>
          </w:p>
        </w:tc>
        <w:tc>
          <w:tcPr>
            <w:tcW w:w="374" w:type="pct"/>
            <w:vAlign w:val="center"/>
          </w:tcPr>
          <w:p w14:paraId="065EE6B0">
            <w:pPr>
              <w:jc w:val="center"/>
              <w:rPr>
                <w:rFonts w:ascii="宋体" w:hAnsi="宋体"/>
                <w:color w:val="auto"/>
              </w:rPr>
            </w:pPr>
            <w:r>
              <w:rPr>
                <w:rFonts w:ascii="宋体" w:hAnsi="宋体"/>
                <w:color w:val="auto"/>
              </w:rPr>
              <w:t>3L</w:t>
            </w:r>
          </w:p>
        </w:tc>
        <w:tc>
          <w:tcPr>
            <w:tcW w:w="374" w:type="pct"/>
            <w:vAlign w:val="center"/>
          </w:tcPr>
          <w:p w14:paraId="29BA7F36">
            <w:pPr>
              <w:jc w:val="center"/>
              <w:rPr>
                <w:rFonts w:ascii="宋体" w:hAnsi="宋体"/>
                <w:color w:val="auto"/>
              </w:rPr>
            </w:pPr>
            <w:r>
              <w:rPr>
                <w:rFonts w:ascii="宋体" w:hAnsi="宋体"/>
                <w:color w:val="auto"/>
              </w:rPr>
              <w:t>3L</w:t>
            </w:r>
          </w:p>
        </w:tc>
        <w:tc>
          <w:tcPr>
            <w:tcW w:w="375" w:type="pct"/>
            <w:vAlign w:val="center"/>
          </w:tcPr>
          <w:p w14:paraId="1603B582">
            <w:pPr>
              <w:jc w:val="center"/>
              <w:rPr>
                <w:rFonts w:ascii="宋体" w:hAnsi="宋体"/>
                <w:color w:val="auto"/>
              </w:rPr>
            </w:pPr>
            <w:r>
              <w:rPr>
                <w:rFonts w:ascii="宋体" w:hAnsi="宋体"/>
                <w:color w:val="auto"/>
              </w:rPr>
              <w:t>3L</w:t>
            </w:r>
          </w:p>
        </w:tc>
        <w:tc>
          <w:tcPr>
            <w:tcW w:w="362" w:type="pct"/>
            <w:vAlign w:val="center"/>
          </w:tcPr>
          <w:p w14:paraId="141E9F13">
            <w:pPr>
              <w:jc w:val="center"/>
              <w:rPr>
                <w:rFonts w:ascii="宋体" w:hAnsi="宋体"/>
                <w:color w:val="auto"/>
              </w:rPr>
            </w:pPr>
            <w:r>
              <w:rPr>
                <w:rFonts w:ascii="宋体" w:hAnsi="宋体"/>
                <w:color w:val="auto"/>
              </w:rPr>
              <w:t>3L</w:t>
            </w:r>
          </w:p>
        </w:tc>
        <w:tc>
          <w:tcPr>
            <w:tcW w:w="375" w:type="pct"/>
            <w:vAlign w:val="center"/>
          </w:tcPr>
          <w:p w14:paraId="32AC1B2D">
            <w:pPr>
              <w:jc w:val="center"/>
              <w:rPr>
                <w:rFonts w:ascii="宋体" w:hAnsi="宋体"/>
                <w:color w:val="auto"/>
              </w:rPr>
            </w:pPr>
            <w:r>
              <w:rPr>
                <w:rFonts w:ascii="宋体" w:hAnsi="宋体"/>
                <w:color w:val="auto"/>
              </w:rPr>
              <w:t>3L</w:t>
            </w:r>
          </w:p>
        </w:tc>
        <w:tc>
          <w:tcPr>
            <w:tcW w:w="375" w:type="pct"/>
            <w:vAlign w:val="center"/>
          </w:tcPr>
          <w:p w14:paraId="4B39EDA2">
            <w:pPr>
              <w:jc w:val="center"/>
              <w:rPr>
                <w:rFonts w:ascii="宋体" w:hAnsi="宋体"/>
                <w:color w:val="auto"/>
              </w:rPr>
            </w:pPr>
            <w:r>
              <w:rPr>
                <w:rFonts w:ascii="宋体" w:hAnsi="宋体"/>
                <w:color w:val="auto"/>
              </w:rPr>
              <w:t>3L</w:t>
            </w:r>
          </w:p>
        </w:tc>
        <w:tc>
          <w:tcPr>
            <w:tcW w:w="375" w:type="pct"/>
            <w:vAlign w:val="center"/>
          </w:tcPr>
          <w:p w14:paraId="269F8262">
            <w:pPr>
              <w:jc w:val="center"/>
              <w:rPr>
                <w:rFonts w:ascii="宋体" w:hAnsi="宋体"/>
                <w:color w:val="auto"/>
              </w:rPr>
            </w:pPr>
            <w:r>
              <w:rPr>
                <w:rFonts w:ascii="宋体" w:hAnsi="宋体"/>
                <w:color w:val="auto"/>
              </w:rPr>
              <w:t>3L</w:t>
            </w:r>
          </w:p>
        </w:tc>
        <w:tc>
          <w:tcPr>
            <w:tcW w:w="359" w:type="pct"/>
            <w:vAlign w:val="center"/>
          </w:tcPr>
          <w:p w14:paraId="315C9D5C">
            <w:pPr>
              <w:jc w:val="center"/>
              <w:rPr>
                <w:rFonts w:ascii="宋体" w:hAnsi="宋体"/>
                <w:color w:val="auto"/>
              </w:rPr>
            </w:pPr>
            <w:r>
              <w:rPr>
                <w:rFonts w:ascii="宋体" w:hAnsi="宋体"/>
                <w:color w:val="auto"/>
              </w:rPr>
              <w:t>3L</w:t>
            </w:r>
          </w:p>
        </w:tc>
      </w:tr>
      <w:tr w14:paraId="7E383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1BD1C43A">
            <w:pPr>
              <w:jc w:val="center"/>
              <w:rPr>
                <w:rFonts w:ascii="宋体" w:hAnsi="宋体"/>
                <w:color w:val="auto"/>
              </w:rPr>
            </w:pPr>
          </w:p>
        </w:tc>
        <w:tc>
          <w:tcPr>
            <w:tcW w:w="454" w:type="pct"/>
            <w:vAlign w:val="center"/>
          </w:tcPr>
          <w:p w14:paraId="78BD7C06">
            <w:pPr>
              <w:jc w:val="center"/>
              <w:rPr>
                <w:rFonts w:ascii="宋体" w:hAnsi="宋体"/>
                <w:color w:val="auto"/>
              </w:rPr>
            </w:pPr>
            <w:r>
              <w:rPr>
                <w:rFonts w:ascii="宋体" w:hAnsi="宋体"/>
                <w:color w:val="auto"/>
              </w:rPr>
              <w:t>排放速率/（kg/h）</w:t>
            </w:r>
          </w:p>
        </w:tc>
        <w:tc>
          <w:tcPr>
            <w:tcW w:w="318" w:type="pct"/>
            <w:vAlign w:val="center"/>
          </w:tcPr>
          <w:p w14:paraId="44D1982E">
            <w:pPr>
              <w:jc w:val="center"/>
              <w:rPr>
                <w:rFonts w:ascii="宋体" w:hAnsi="宋体"/>
                <w:color w:val="auto"/>
              </w:rPr>
            </w:pPr>
            <w:r>
              <w:rPr>
                <w:rFonts w:ascii="宋体" w:hAnsi="宋体"/>
                <w:color w:val="auto"/>
              </w:rPr>
              <w:t>/</w:t>
            </w:r>
          </w:p>
        </w:tc>
        <w:tc>
          <w:tcPr>
            <w:tcW w:w="374" w:type="pct"/>
            <w:vAlign w:val="center"/>
          </w:tcPr>
          <w:p w14:paraId="720E7C5A">
            <w:pPr>
              <w:jc w:val="center"/>
              <w:rPr>
                <w:rFonts w:ascii="宋体" w:hAnsi="宋体"/>
                <w:color w:val="auto"/>
              </w:rPr>
            </w:pPr>
            <w:r>
              <w:rPr>
                <w:rFonts w:ascii="宋体" w:hAnsi="宋体"/>
                <w:color w:val="auto"/>
              </w:rPr>
              <w:t>/</w:t>
            </w:r>
          </w:p>
        </w:tc>
        <w:tc>
          <w:tcPr>
            <w:tcW w:w="374" w:type="pct"/>
            <w:vAlign w:val="center"/>
          </w:tcPr>
          <w:p w14:paraId="3443E122">
            <w:pPr>
              <w:jc w:val="center"/>
              <w:rPr>
                <w:rFonts w:ascii="宋体" w:hAnsi="宋体"/>
                <w:color w:val="auto"/>
              </w:rPr>
            </w:pPr>
            <w:r>
              <w:rPr>
                <w:rFonts w:ascii="宋体" w:hAnsi="宋体"/>
                <w:color w:val="auto"/>
              </w:rPr>
              <w:t>/</w:t>
            </w:r>
          </w:p>
        </w:tc>
        <w:tc>
          <w:tcPr>
            <w:tcW w:w="360" w:type="pct"/>
            <w:gridSpan w:val="2"/>
            <w:vAlign w:val="center"/>
          </w:tcPr>
          <w:p w14:paraId="1DDE0B41">
            <w:pPr>
              <w:jc w:val="center"/>
              <w:rPr>
                <w:rFonts w:ascii="宋体" w:hAnsi="宋体"/>
                <w:color w:val="auto"/>
              </w:rPr>
            </w:pPr>
            <w:r>
              <w:rPr>
                <w:rFonts w:ascii="宋体" w:hAnsi="宋体"/>
                <w:color w:val="auto"/>
              </w:rPr>
              <w:t>/</w:t>
            </w:r>
          </w:p>
        </w:tc>
        <w:tc>
          <w:tcPr>
            <w:tcW w:w="374" w:type="pct"/>
            <w:vAlign w:val="center"/>
          </w:tcPr>
          <w:p w14:paraId="60412A17">
            <w:pPr>
              <w:jc w:val="center"/>
              <w:rPr>
                <w:rFonts w:ascii="宋体" w:hAnsi="宋体"/>
                <w:color w:val="auto"/>
              </w:rPr>
            </w:pPr>
            <w:r>
              <w:rPr>
                <w:rFonts w:ascii="宋体" w:hAnsi="宋体"/>
                <w:color w:val="auto"/>
              </w:rPr>
              <w:t>/</w:t>
            </w:r>
          </w:p>
        </w:tc>
        <w:tc>
          <w:tcPr>
            <w:tcW w:w="374" w:type="pct"/>
            <w:vAlign w:val="center"/>
          </w:tcPr>
          <w:p w14:paraId="57381DB6">
            <w:pPr>
              <w:jc w:val="center"/>
              <w:rPr>
                <w:rFonts w:ascii="宋体" w:hAnsi="宋体"/>
                <w:color w:val="auto"/>
              </w:rPr>
            </w:pPr>
            <w:r>
              <w:rPr>
                <w:rFonts w:ascii="宋体" w:hAnsi="宋体"/>
                <w:color w:val="auto"/>
              </w:rPr>
              <w:t>/</w:t>
            </w:r>
          </w:p>
        </w:tc>
        <w:tc>
          <w:tcPr>
            <w:tcW w:w="375" w:type="pct"/>
            <w:vAlign w:val="center"/>
          </w:tcPr>
          <w:p w14:paraId="29236787">
            <w:pPr>
              <w:jc w:val="center"/>
              <w:rPr>
                <w:rFonts w:ascii="宋体" w:hAnsi="宋体"/>
                <w:color w:val="auto"/>
              </w:rPr>
            </w:pPr>
            <w:r>
              <w:rPr>
                <w:rFonts w:ascii="宋体" w:hAnsi="宋体"/>
                <w:color w:val="auto"/>
              </w:rPr>
              <w:t>/</w:t>
            </w:r>
          </w:p>
        </w:tc>
        <w:tc>
          <w:tcPr>
            <w:tcW w:w="362" w:type="pct"/>
            <w:vAlign w:val="center"/>
          </w:tcPr>
          <w:p w14:paraId="7B0142E5">
            <w:pPr>
              <w:jc w:val="center"/>
              <w:rPr>
                <w:rFonts w:ascii="宋体" w:hAnsi="宋体"/>
                <w:color w:val="auto"/>
              </w:rPr>
            </w:pPr>
            <w:r>
              <w:rPr>
                <w:rFonts w:ascii="宋体" w:hAnsi="宋体"/>
                <w:color w:val="auto"/>
              </w:rPr>
              <w:t>/</w:t>
            </w:r>
          </w:p>
        </w:tc>
        <w:tc>
          <w:tcPr>
            <w:tcW w:w="375" w:type="pct"/>
            <w:vAlign w:val="center"/>
          </w:tcPr>
          <w:p w14:paraId="607DE2F4">
            <w:pPr>
              <w:jc w:val="center"/>
              <w:rPr>
                <w:rFonts w:ascii="宋体" w:hAnsi="宋体"/>
                <w:color w:val="auto"/>
              </w:rPr>
            </w:pPr>
            <w:r>
              <w:rPr>
                <w:rFonts w:ascii="宋体" w:hAnsi="宋体"/>
                <w:color w:val="auto"/>
              </w:rPr>
              <w:t>/</w:t>
            </w:r>
          </w:p>
        </w:tc>
        <w:tc>
          <w:tcPr>
            <w:tcW w:w="375" w:type="pct"/>
            <w:vAlign w:val="center"/>
          </w:tcPr>
          <w:p w14:paraId="2265A850">
            <w:pPr>
              <w:jc w:val="center"/>
              <w:rPr>
                <w:rFonts w:ascii="宋体" w:hAnsi="宋体"/>
                <w:color w:val="auto"/>
              </w:rPr>
            </w:pPr>
            <w:r>
              <w:rPr>
                <w:rFonts w:ascii="宋体" w:hAnsi="宋体"/>
                <w:color w:val="auto"/>
              </w:rPr>
              <w:t>/</w:t>
            </w:r>
          </w:p>
        </w:tc>
        <w:tc>
          <w:tcPr>
            <w:tcW w:w="375" w:type="pct"/>
            <w:vAlign w:val="center"/>
          </w:tcPr>
          <w:p w14:paraId="3722BD60">
            <w:pPr>
              <w:jc w:val="center"/>
              <w:rPr>
                <w:rFonts w:ascii="宋体" w:hAnsi="宋体"/>
                <w:color w:val="auto"/>
              </w:rPr>
            </w:pPr>
            <w:r>
              <w:rPr>
                <w:rFonts w:ascii="宋体" w:hAnsi="宋体"/>
                <w:color w:val="auto"/>
              </w:rPr>
              <w:t>/</w:t>
            </w:r>
          </w:p>
        </w:tc>
        <w:tc>
          <w:tcPr>
            <w:tcW w:w="359" w:type="pct"/>
            <w:vAlign w:val="center"/>
          </w:tcPr>
          <w:p w14:paraId="333E8467">
            <w:pPr>
              <w:jc w:val="center"/>
              <w:rPr>
                <w:rFonts w:ascii="宋体" w:hAnsi="宋体"/>
                <w:color w:val="auto"/>
              </w:rPr>
            </w:pPr>
            <w:r>
              <w:rPr>
                <w:rFonts w:ascii="宋体" w:hAnsi="宋体"/>
                <w:color w:val="auto"/>
              </w:rPr>
              <w:t>/</w:t>
            </w:r>
          </w:p>
        </w:tc>
      </w:tr>
      <w:tr w14:paraId="729F0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Align w:val="center"/>
          </w:tcPr>
          <w:p w14:paraId="1A0FBE23">
            <w:pPr>
              <w:jc w:val="center"/>
              <w:rPr>
                <w:rFonts w:ascii="宋体" w:hAnsi="宋体"/>
                <w:color w:val="auto"/>
              </w:rPr>
            </w:pPr>
            <w:r>
              <w:rPr>
                <w:rFonts w:ascii="宋体" w:hAnsi="宋体"/>
                <w:color w:val="auto"/>
              </w:rPr>
              <w:t>一氧化碳</w:t>
            </w:r>
          </w:p>
        </w:tc>
        <w:tc>
          <w:tcPr>
            <w:tcW w:w="454" w:type="pct"/>
            <w:vAlign w:val="center"/>
          </w:tcPr>
          <w:p w14:paraId="74553277">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18" w:type="pct"/>
            <w:vAlign w:val="center"/>
          </w:tcPr>
          <w:p w14:paraId="070F4AA8">
            <w:pPr>
              <w:jc w:val="center"/>
              <w:rPr>
                <w:rFonts w:ascii="宋体" w:hAnsi="宋体"/>
                <w:color w:val="auto"/>
              </w:rPr>
            </w:pPr>
            <w:r>
              <w:rPr>
                <w:rFonts w:ascii="宋体" w:hAnsi="宋体"/>
                <w:color w:val="auto"/>
              </w:rPr>
              <w:t>3L</w:t>
            </w:r>
          </w:p>
        </w:tc>
        <w:tc>
          <w:tcPr>
            <w:tcW w:w="374" w:type="pct"/>
            <w:vAlign w:val="center"/>
          </w:tcPr>
          <w:p w14:paraId="7253D544">
            <w:pPr>
              <w:jc w:val="center"/>
              <w:rPr>
                <w:rFonts w:ascii="宋体" w:hAnsi="宋体"/>
                <w:color w:val="auto"/>
              </w:rPr>
            </w:pPr>
            <w:r>
              <w:rPr>
                <w:rFonts w:ascii="宋体" w:hAnsi="宋体"/>
                <w:color w:val="auto"/>
              </w:rPr>
              <w:t>3L</w:t>
            </w:r>
          </w:p>
        </w:tc>
        <w:tc>
          <w:tcPr>
            <w:tcW w:w="374" w:type="pct"/>
            <w:vAlign w:val="center"/>
          </w:tcPr>
          <w:p w14:paraId="7A109FD1">
            <w:pPr>
              <w:jc w:val="center"/>
              <w:rPr>
                <w:rFonts w:ascii="宋体" w:hAnsi="宋体"/>
                <w:color w:val="auto"/>
              </w:rPr>
            </w:pPr>
            <w:r>
              <w:rPr>
                <w:rFonts w:ascii="宋体" w:hAnsi="宋体"/>
                <w:color w:val="auto"/>
              </w:rPr>
              <w:t>3L</w:t>
            </w:r>
          </w:p>
        </w:tc>
        <w:tc>
          <w:tcPr>
            <w:tcW w:w="360" w:type="pct"/>
            <w:gridSpan w:val="2"/>
            <w:vAlign w:val="center"/>
          </w:tcPr>
          <w:p w14:paraId="4F6A817D">
            <w:pPr>
              <w:jc w:val="center"/>
              <w:rPr>
                <w:rFonts w:ascii="宋体" w:hAnsi="宋体"/>
                <w:color w:val="auto"/>
              </w:rPr>
            </w:pPr>
            <w:r>
              <w:rPr>
                <w:rFonts w:ascii="宋体" w:hAnsi="宋体"/>
                <w:color w:val="auto"/>
              </w:rPr>
              <w:t>3L</w:t>
            </w:r>
          </w:p>
        </w:tc>
        <w:tc>
          <w:tcPr>
            <w:tcW w:w="374" w:type="pct"/>
            <w:vAlign w:val="center"/>
          </w:tcPr>
          <w:p w14:paraId="237209A2">
            <w:pPr>
              <w:jc w:val="center"/>
              <w:rPr>
                <w:rFonts w:ascii="宋体" w:hAnsi="宋体"/>
                <w:color w:val="auto"/>
              </w:rPr>
            </w:pPr>
            <w:r>
              <w:rPr>
                <w:rFonts w:ascii="宋体" w:hAnsi="宋体"/>
                <w:color w:val="auto"/>
              </w:rPr>
              <w:t>3L</w:t>
            </w:r>
          </w:p>
        </w:tc>
        <w:tc>
          <w:tcPr>
            <w:tcW w:w="374" w:type="pct"/>
            <w:vAlign w:val="center"/>
          </w:tcPr>
          <w:p w14:paraId="1469A938">
            <w:pPr>
              <w:jc w:val="center"/>
              <w:rPr>
                <w:rFonts w:ascii="宋体" w:hAnsi="宋体"/>
                <w:color w:val="auto"/>
              </w:rPr>
            </w:pPr>
            <w:r>
              <w:rPr>
                <w:rFonts w:ascii="宋体" w:hAnsi="宋体"/>
                <w:color w:val="auto"/>
              </w:rPr>
              <w:t>3L</w:t>
            </w:r>
          </w:p>
        </w:tc>
        <w:tc>
          <w:tcPr>
            <w:tcW w:w="375" w:type="pct"/>
            <w:vAlign w:val="center"/>
          </w:tcPr>
          <w:p w14:paraId="256C9BCC">
            <w:pPr>
              <w:jc w:val="center"/>
              <w:rPr>
                <w:rFonts w:ascii="宋体" w:hAnsi="宋体"/>
                <w:color w:val="auto"/>
              </w:rPr>
            </w:pPr>
            <w:r>
              <w:rPr>
                <w:rFonts w:ascii="宋体" w:hAnsi="宋体"/>
                <w:color w:val="auto"/>
              </w:rPr>
              <w:t>3L</w:t>
            </w:r>
          </w:p>
        </w:tc>
        <w:tc>
          <w:tcPr>
            <w:tcW w:w="362" w:type="pct"/>
            <w:vAlign w:val="center"/>
          </w:tcPr>
          <w:p w14:paraId="296370B3">
            <w:pPr>
              <w:jc w:val="center"/>
              <w:rPr>
                <w:rFonts w:ascii="宋体" w:hAnsi="宋体"/>
                <w:color w:val="auto"/>
              </w:rPr>
            </w:pPr>
            <w:r>
              <w:rPr>
                <w:rFonts w:ascii="宋体" w:hAnsi="宋体"/>
                <w:color w:val="auto"/>
              </w:rPr>
              <w:t>3L</w:t>
            </w:r>
          </w:p>
        </w:tc>
        <w:tc>
          <w:tcPr>
            <w:tcW w:w="375" w:type="pct"/>
            <w:vAlign w:val="center"/>
          </w:tcPr>
          <w:p w14:paraId="720E3437">
            <w:pPr>
              <w:jc w:val="center"/>
              <w:rPr>
                <w:rFonts w:ascii="宋体" w:hAnsi="宋体"/>
                <w:color w:val="auto"/>
              </w:rPr>
            </w:pPr>
            <w:r>
              <w:rPr>
                <w:rFonts w:ascii="宋体" w:hAnsi="宋体"/>
                <w:color w:val="auto"/>
              </w:rPr>
              <w:t>3L</w:t>
            </w:r>
          </w:p>
        </w:tc>
        <w:tc>
          <w:tcPr>
            <w:tcW w:w="375" w:type="pct"/>
            <w:vAlign w:val="center"/>
          </w:tcPr>
          <w:p w14:paraId="21C69294">
            <w:pPr>
              <w:jc w:val="center"/>
              <w:rPr>
                <w:rFonts w:ascii="宋体" w:hAnsi="宋体"/>
                <w:color w:val="auto"/>
              </w:rPr>
            </w:pPr>
            <w:r>
              <w:rPr>
                <w:rFonts w:ascii="宋体" w:hAnsi="宋体"/>
                <w:color w:val="auto"/>
              </w:rPr>
              <w:t>3L</w:t>
            </w:r>
          </w:p>
        </w:tc>
        <w:tc>
          <w:tcPr>
            <w:tcW w:w="375" w:type="pct"/>
            <w:vAlign w:val="center"/>
          </w:tcPr>
          <w:p w14:paraId="1700AF71">
            <w:pPr>
              <w:jc w:val="center"/>
              <w:rPr>
                <w:rFonts w:ascii="宋体" w:hAnsi="宋体"/>
                <w:color w:val="auto"/>
              </w:rPr>
            </w:pPr>
            <w:r>
              <w:rPr>
                <w:rFonts w:ascii="宋体" w:hAnsi="宋体"/>
                <w:color w:val="auto"/>
              </w:rPr>
              <w:t>3L</w:t>
            </w:r>
          </w:p>
        </w:tc>
        <w:tc>
          <w:tcPr>
            <w:tcW w:w="359" w:type="pct"/>
            <w:vAlign w:val="center"/>
          </w:tcPr>
          <w:p w14:paraId="15024B06">
            <w:pPr>
              <w:jc w:val="center"/>
              <w:rPr>
                <w:rFonts w:ascii="宋体" w:hAnsi="宋体"/>
                <w:color w:val="auto"/>
              </w:rPr>
            </w:pPr>
            <w:r>
              <w:rPr>
                <w:rFonts w:ascii="宋体" w:hAnsi="宋体"/>
                <w:color w:val="auto"/>
              </w:rPr>
              <w:t>3L</w:t>
            </w:r>
          </w:p>
        </w:tc>
      </w:tr>
      <w:tr w14:paraId="171D6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restart"/>
            <w:vAlign w:val="center"/>
          </w:tcPr>
          <w:p w14:paraId="1A0A00EB">
            <w:pPr>
              <w:jc w:val="center"/>
              <w:rPr>
                <w:rFonts w:ascii="宋体" w:hAnsi="宋体"/>
                <w:color w:val="auto"/>
              </w:rPr>
            </w:pPr>
            <w:r>
              <w:rPr>
                <w:rFonts w:ascii="宋体" w:hAnsi="宋体"/>
                <w:color w:val="auto"/>
              </w:rPr>
              <w:t>氮氧化物</w:t>
            </w:r>
          </w:p>
        </w:tc>
        <w:tc>
          <w:tcPr>
            <w:tcW w:w="454" w:type="pct"/>
            <w:vAlign w:val="center"/>
          </w:tcPr>
          <w:p w14:paraId="200199CA">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18" w:type="pct"/>
            <w:vAlign w:val="center"/>
          </w:tcPr>
          <w:p w14:paraId="775DEE86">
            <w:pPr>
              <w:jc w:val="center"/>
              <w:rPr>
                <w:rFonts w:ascii="宋体" w:hAnsi="宋体"/>
                <w:color w:val="auto"/>
              </w:rPr>
            </w:pPr>
            <w:r>
              <w:rPr>
                <w:rFonts w:ascii="宋体" w:hAnsi="宋体"/>
                <w:color w:val="auto"/>
              </w:rPr>
              <w:t>43</w:t>
            </w:r>
          </w:p>
        </w:tc>
        <w:tc>
          <w:tcPr>
            <w:tcW w:w="374" w:type="pct"/>
            <w:vAlign w:val="center"/>
          </w:tcPr>
          <w:p w14:paraId="5D74E495">
            <w:pPr>
              <w:jc w:val="center"/>
              <w:rPr>
                <w:rFonts w:ascii="宋体" w:hAnsi="宋体"/>
                <w:color w:val="auto"/>
              </w:rPr>
            </w:pPr>
            <w:r>
              <w:rPr>
                <w:rFonts w:ascii="宋体" w:hAnsi="宋体"/>
                <w:color w:val="auto"/>
              </w:rPr>
              <w:t>43</w:t>
            </w:r>
          </w:p>
        </w:tc>
        <w:tc>
          <w:tcPr>
            <w:tcW w:w="374" w:type="pct"/>
            <w:vAlign w:val="center"/>
          </w:tcPr>
          <w:p w14:paraId="1DFD36FE">
            <w:pPr>
              <w:jc w:val="center"/>
              <w:rPr>
                <w:rFonts w:ascii="宋体" w:hAnsi="宋体"/>
                <w:color w:val="auto"/>
              </w:rPr>
            </w:pPr>
            <w:r>
              <w:rPr>
                <w:rFonts w:ascii="宋体" w:hAnsi="宋体"/>
                <w:color w:val="auto"/>
              </w:rPr>
              <w:t>49</w:t>
            </w:r>
          </w:p>
        </w:tc>
        <w:tc>
          <w:tcPr>
            <w:tcW w:w="360" w:type="pct"/>
            <w:gridSpan w:val="2"/>
            <w:vAlign w:val="center"/>
          </w:tcPr>
          <w:p w14:paraId="0AB1E681">
            <w:pPr>
              <w:jc w:val="center"/>
              <w:rPr>
                <w:rFonts w:ascii="宋体" w:hAnsi="宋体"/>
                <w:color w:val="auto"/>
              </w:rPr>
            </w:pPr>
            <w:r>
              <w:rPr>
                <w:rFonts w:ascii="宋体" w:hAnsi="宋体"/>
                <w:color w:val="auto"/>
              </w:rPr>
              <w:t>45</w:t>
            </w:r>
          </w:p>
        </w:tc>
        <w:tc>
          <w:tcPr>
            <w:tcW w:w="374" w:type="pct"/>
            <w:vAlign w:val="center"/>
          </w:tcPr>
          <w:p w14:paraId="5C2F9CAA">
            <w:pPr>
              <w:jc w:val="center"/>
              <w:rPr>
                <w:rFonts w:ascii="宋体" w:hAnsi="宋体"/>
                <w:color w:val="auto"/>
              </w:rPr>
            </w:pPr>
            <w:r>
              <w:rPr>
                <w:rFonts w:ascii="宋体" w:hAnsi="宋体"/>
                <w:color w:val="auto"/>
              </w:rPr>
              <w:t>44</w:t>
            </w:r>
          </w:p>
        </w:tc>
        <w:tc>
          <w:tcPr>
            <w:tcW w:w="374" w:type="pct"/>
            <w:vAlign w:val="center"/>
          </w:tcPr>
          <w:p w14:paraId="0FD58E6C">
            <w:pPr>
              <w:jc w:val="center"/>
              <w:rPr>
                <w:rFonts w:ascii="宋体" w:hAnsi="宋体"/>
                <w:color w:val="auto"/>
              </w:rPr>
            </w:pPr>
            <w:r>
              <w:rPr>
                <w:rFonts w:ascii="宋体" w:hAnsi="宋体"/>
                <w:color w:val="auto"/>
              </w:rPr>
              <w:t>41</w:t>
            </w:r>
          </w:p>
        </w:tc>
        <w:tc>
          <w:tcPr>
            <w:tcW w:w="375" w:type="pct"/>
            <w:vAlign w:val="center"/>
          </w:tcPr>
          <w:p w14:paraId="753F0EAE">
            <w:pPr>
              <w:jc w:val="center"/>
              <w:rPr>
                <w:rFonts w:ascii="宋体" w:hAnsi="宋体"/>
                <w:color w:val="auto"/>
              </w:rPr>
            </w:pPr>
            <w:r>
              <w:rPr>
                <w:rFonts w:ascii="宋体" w:hAnsi="宋体"/>
                <w:color w:val="auto"/>
              </w:rPr>
              <w:t>38</w:t>
            </w:r>
          </w:p>
        </w:tc>
        <w:tc>
          <w:tcPr>
            <w:tcW w:w="362" w:type="pct"/>
            <w:vAlign w:val="center"/>
          </w:tcPr>
          <w:p w14:paraId="7E0BDBDD">
            <w:pPr>
              <w:jc w:val="center"/>
              <w:rPr>
                <w:rFonts w:ascii="宋体" w:hAnsi="宋体"/>
                <w:color w:val="auto"/>
              </w:rPr>
            </w:pPr>
            <w:r>
              <w:rPr>
                <w:rFonts w:ascii="宋体" w:hAnsi="宋体"/>
                <w:color w:val="auto"/>
              </w:rPr>
              <w:t>41</w:t>
            </w:r>
          </w:p>
        </w:tc>
        <w:tc>
          <w:tcPr>
            <w:tcW w:w="375" w:type="pct"/>
            <w:vAlign w:val="center"/>
          </w:tcPr>
          <w:p w14:paraId="0201F946">
            <w:pPr>
              <w:jc w:val="center"/>
              <w:rPr>
                <w:rFonts w:ascii="宋体" w:hAnsi="宋体"/>
                <w:color w:val="auto"/>
              </w:rPr>
            </w:pPr>
            <w:r>
              <w:rPr>
                <w:rFonts w:ascii="宋体" w:hAnsi="宋体"/>
                <w:color w:val="auto"/>
              </w:rPr>
              <w:t>38</w:t>
            </w:r>
          </w:p>
        </w:tc>
        <w:tc>
          <w:tcPr>
            <w:tcW w:w="375" w:type="pct"/>
            <w:vAlign w:val="center"/>
          </w:tcPr>
          <w:p w14:paraId="3121E9D9">
            <w:pPr>
              <w:jc w:val="center"/>
              <w:rPr>
                <w:rFonts w:ascii="宋体" w:hAnsi="宋体"/>
                <w:color w:val="auto"/>
              </w:rPr>
            </w:pPr>
            <w:r>
              <w:rPr>
                <w:rFonts w:ascii="宋体" w:hAnsi="宋体"/>
                <w:color w:val="auto"/>
              </w:rPr>
              <w:t>41</w:t>
            </w:r>
          </w:p>
        </w:tc>
        <w:tc>
          <w:tcPr>
            <w:tcW w:w="375" w:type="pct"/>
            <w:vAlign w:val="center"/>
          </w:tcPr>
          <w:p w14:paraId="7B38B5E1">
            <w:pPr>
              <w:jc w:val="center"/>
              <w:rPr>
                <w:rFonts w:ascii="宋体" w:hAnsi="宋体"/>
                <w:color w:val="auto"/>
              </w:rPr>
            </w:pPr>
            <w:r>
              <w:rPr>
                <w:rFonts w:ascii="宋体" w:hAnsi="宋体"/>
                <w:color w:val="auto"/>
              </w:rPr>
              <w:t>41</w:t>
            </w:r>
          </w:p>
        </w:tc>
        <w:tc>
          <w:tcPr>
            <w:tcW w:w="359" w:type="pct"/>
            <w:vAlign w:val="center"/>
          </w:tcPr>
          <w:p w14:paraId="3B471D48">
            <w:pPr>
              <w:jc w:val="center"/>
              <w:rPr>
                <w:rFonts w:ascii="宋体" w:hAnsi="宋体"/>
                <w:color w:val="auto"/>
              </w:rPr>
            </w:pPr>
            <w:r>
              <w:rPr>
                <w:rFonts w:ascii="宋体" w:hAnsi="宋体"/>
                <w:color w:val="auto"/>
              </w:rPr>
              <w:t>40</w:t>
            </w:r>
          </w:p>
        </w:tc>
      </w:tr>
      <w:tr w14:paraId="6BD6B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39EE33F6">
            <w:pPr>
              <w:jc w:val="center"/>
              <w:rPr>
                <w:rFonts w:ascii="宋体" w:hAnsi="宋体"/>
                <w:color w:val="auto"/>
              </w:rPr>
            </w:pPr>
          </w:p>
        </w:tc>
        <w:tc>
          <w:tcPr>
            <w:tcW w:w="454" w:type="pct"/>
            <w:vAlign w:val="center"/>
          </w:tcPr>
          <w:p w14:paraId="422B3C17">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18" w:type="pct"/>
            <w:vAlign w:val="center"/>
          </w:tcPr>
          <w:p w14:paraId="7700E0AA">
            <w:pPr>
              <w:jc w:val="center"/>
              <w:rPr>
                <w:rFonts w:ascii="宋体" w:hAnsi="宋体"/>
                <w:color w:val="auto"/>
              </w:rPr>
            </w:pPr>
            <w:r>
              <w:rPr>
                <w:rFonts w:ascii="宋体" w:hAnsi="宋体"/>
                <w:color w:val="auto"/>
              </w:rPr>
              <w:t>46</w:t>
            </w:r>
          </w:p>
        </w:tc>
        <w:tc>
          <w:tcPr>
            <w:tcW w:w="374" w:type="pct"/>
            <w:vAlign w:val="center"/>
          </w:tcPr>
          <w:p w14:paraId="21E92724">
            <w:pPr>
              <w:jc w:val="center"/>
              <w:rPr>
                <w:rFonts w:ascii="宋体" w:hAnsi="宋体"/>
                <w:color w:val="auto"/>
              </w:rPr>
            </w:pPr>
            <w:r>
              <w:rPr>
                <w:rFonts w:ascii="宋体" w:hAnsi="宋体"/>
                <w:color w:val="auto"/>
              </w:rPr>
              <w:t>46</w:t>
            </w:r>
          </w:p>
        </w:tc>
        <w:tc>
          <w:tcPr>
            <w:tcW w:w="374" w:type="pct"/>
            <w:vAlign w:val="center"/>
          </w:tcPr>
          <w:p w14:paraId="7E89B8A2">
            <w:pPr>
              <w:jc w:val="center"/>
              <w:rPr>
                <w:rFonts w:ascii="宋体" w:hAnsi="宋体"/>
                <w:color w:val="auto"/>
              </w:rPr>
            </w:pPr>
            <w:r>
              <w:rPr>
                <w:rFonts w:ascii="宋体" w:hAnsi="宋体"/>
                <w:color w:val="auto"/>
              </w:rPr>
              <w:t>51</w:t>
            </w:r>
          </w:p>
        </w:tc>
        <w:tc>
          <w:tcPr>
            <w:tcW w:w="360" w:type="pct"/>
            <w:gridSpan w:val="2"/>
            <w:vAlign w:val="center"/>
          </w:tcPr>
          <w:p w14:paraId="05F673F3">
            <w:pPr>
              <w:jc w:val="center"/>
              <w:rPr>
                <w:rFonts w:ascii="宋体" w:hAnsi="宋体"/>
                <w:color w:val="auto"/>
              </w:rPr>
            </w:pPr>
            <w:r>
              <w:rPr>
                <w:rFonts w:ascii="宋体" w:hAnsi="宋体"/>
                <w:color w:val="auto"/>
              </w:rPr>
              <w:t>48</w:t>
            </w:r>
          </w:p>
        </w:tc>
        <w:tc>
          <w:tcPr>
            <w:tcW w:w="374" w:type="pct"/>
            <w:vAlign w:val="center"/>
          </w:tcPr>
          <w:p w14:paraId="7F84A9FE">
            <w:pPr>
              <w:jc w:val="center"/>
              <w:rPr>
                <w:rFonts w:ascii="宋体" w:hAnsi="宋体"/>
                <w:color w:val="auto"/>
              </w:rPr>
            </w:pPr>
            <w:r>
              <w:rPr>
                <w:rFonts w:ascii="宋体" w:hAnsi="宋体"/>
                <w:color w:val="auto"/>
              </w:rPr>
              <w:t>46</w:t>
            </w:r>
          </w:p>
        </w:tc>
        <w:tc>
          <w:tcPr>
            <w:tcW w:w="374" w:type="pct"/>
            <w:vAlign w:val="center"/>
          </w:tcPr>
          <w:p w14:paraId="34CA3707">
            <w:pPr>
              <w:jc w:val="center"/>
              <w:rPr>
                <w:rFonts w:ascii="宋体" w:hAnsi="宋体"/>
                <w:color w:val="auto"/>
              </w:rPr>
            </w:pPr>
            <w:r>
              <w:rPr>
                <w:rFonts w:ascii="宋体" w:hAnsi="宋体"/>
                <w:color w:val="auto"/>
              </w:rPr>
              <w:t>44</w:t>
            </w:r>
          </w:p>
        </w:tc>
        <w:tc>
          <w:tcPr>
            <w:tcW w:w="375" w:type="pct"/>
            <w:vAlign w:val="center"/>
          </w:tcPr>
          <w:p w14:paraId="6E7D76CA">
            <w:pPr>
              <w:jc w:val="center"/>
              <w:rPr>
                <w:rFonts w:ascii="宋体" w:hAnsi="宋体"/>
                <w:color w:val="auto"/>
              </w:rPr>
            </w:pPr>
            <w:r>
              <w:rPr>
                <w:rFonts w:ascii="宋体" w:hAnsi="宋体"/>
                <w:color w:val="auto"/>
              </w:rPr>
              <w:t>41</w:t>
            </w:r>
          </w:p>
        </w:tc>
        <w:tc>
          <w:tcPr>
            <w:tcW w:w="362" w:type="pct"/>
            <w:vAlign w:val="center"/>
          </w:tcPr>
          <w:p w14:paraId="58C69AFC">
            <w:pPr>
              <w:jc w:val="center"/>
              <w:rPr>
                <w:rFonts w:ascii="宋体" w:hAnsi="宋体"/>
                <w:color w:val="auto"/>
              </w:rPr>
            </w:pPr>
            <w:r>
              <w:rPr>
                <w:rFonts w:ascii="宋体" w:hAnsi="宋体"/>
                <w:color w:val="auto"/>
              </w:rPr>
              <w:t>44</w:t>
            </w:r>
          </w:p>
        </w:tc>
        <w:tc>
          <w:tcPr>
            <w:tcW w:w="375" w:type="pct"/>
            <w:vAlign w:val="center"/>
          </w:tcPr>
          <w:p w14:paraId="0C9D6ABA">
            <w:pPr>
              <w:jc w:val="center"/>
              <w:rPr>
                <w:rFonts w:ascii="宋体" w:hAnsi="宋体"/>
                <w:color w:val="auto"/>
              </w:rPr>
            </w:pPr>
            <w:r>
              <w:rPr>
                <w:rFonts w:ascii="宋体" w:hAnsi="宋体"/>
                <w:color w:val="auto"/>
              </w:rPr>
              <w:t>41</w:t>
            </w:r>
          </w:p>
        </w:tc>
        <w:tc>
          <w:tcPr>
            <w:tcW w:w="375" w:type="pct"/>
            <w:vAlign w:val="center"/>
          </w:tcPr>
          <w:p w14:paraId="55F5E015">
            <w:pPr>
              <w:jc w:val="center"/>
              <w:rPr>
                <w:rFonts w:ascii="宋体" w:hAnsi="宋体"/>
                <w:color w:val="auto"/>
              </w:rPr>
            </w:pPr>
            <w:r>
              <w:rPr>
                <w:rFonts w:ascii="宋体" w:hAnsi="宋体"/>
                <w:color w:val="auto"/>
              </w:rPr>
              <w:t>44</w:t>
            </w:r>
          </w:p>
        </w:tc>
        <w:tc>
          <w:tcPr>
            <w:tcW w:w="375" w:type="pct"/>
            <w:vAlign w:val="center"/>
          </w:tcPr>
          <w:p w14:paraId="00B10CC0">
            <w:pPr>
              <w:jc w:val="center"/>
              <w:rPr>
                <w:rFonts w:ascii="宋体" w:hAnsi="宋体"/>
                <w:color w:val="auto"/>
              </w:rPr>
            </w:pPr>
            <w:r>
              <w:rPr>
                <w:rFonts w:ascii="宋体" w:hAnsi="宋体"/>
                <w:color w:val="auto"/>
              </w:rPr>
              <w:t>44</w:t>
            </w:r>
          </w:p>
        </w:tc>
        <w:tc>
          <w:tcPr>
            <w:tcW w:w="359" w:type="pct"/>
            <w:vAlign w:val="center"/>
          </w:tcPr>
          <w:p w14:paraId="7A87E662">
            <w:pPr>
              <w:jc w:val="center"/>
              <w:rPr>
                <w:rFonts w:ascii="宋体" w:hAnsi="宋体"/>
                <w:color w:val="auto"/>
              </w:rPr>
            </w:pPr>
            <w:r>
              <w:rPr>
                <w:rFonts w:ascii="宋体" w:hAnsi="宋体"/>
                <w:color w:val="auto"/>
              </w:rPr>
              <w:t>43</w:t>
            </w:r>
          </w:p>
        </w:tc>
      </w:tr>
      <w:tr w14:paraId="35408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03D39483">
            <w:pPr>
              <w:jc w:val="center"/>
              <w:rPr>
                <w:rFonts w:ascii="宋体" w:hAnsi="宋体"/>
                <w:color w:val="auto"/>
              </w:rPr>
            </w:pPr>
          </w:p>
        </w:tc>
        <w:tc>
          <w:tcPr>
            <w:tcW w:w="454" w:type="pct"/>
            <w:vAlign w:val="center"/>
          </w:tcPr>
          <w:p w14:paraId="380D78A9">
            <w:pPr>
              <w:jc w:val="center"/>
              <w:rPr>
                <w:rFonts w:ascii="宋体" w:hAnsi="宋体"/>
                <w:color w:val="auto"/>
              </w:rPr>
            </w:pPr>
            <w:r>
              <w:rPr>
                <w:rFonts w:ascii="宋体" w:hAnsi="宋体"/>
                <w:color w:val="auto"/>
              </w:rPr>
              <w:t>排放速率/（kg/h）</w:t>
            </w:r>
          </w:p>
        </w:tc>
        <w:tc>
          <w:tcPr>
            <w:tcW w:w="318" w:type="pct"/>
            <w:vAlign w:val="center"/>
          </w:tcPr>
          <w:p w14:paraId="2ADB8A09">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4" w:type="pct"/>
            <w:vAlign w:val="center"/>
          </w:tcPr>
          <w:p w14:paraId="5D0D4AAC">
            <w:pPr>
              <w:jc w:val="center"/>
              <w:rPr>
                <w:rFonts w:ascii="宋体" w:hAnsi="宋体"/>
                <w:color w:val="auto"/>
              </w:rPr>
            </w:pPr>
            <w:r>
              <w:rPr>
                <w:rFonts w:ascii="宋体" w:hAnsi="宋体"/>
                <w:color w:val="auto"/>
              </w:rPr>
              <w:t>1.3×10</w:t>
            </w:r>
            <w:r>
              <w:rPr>
                <w:rFonts w:ascii="宋体" w:hAnsi="宋体"/>
                <w:color w:val="auto"/>
                <w:vertAlign w:val="superscript"/>
              </w:rPr>
              <w:t>-2</w:t>
            </w:r>
          </w:p>
        </w:tc>
        <w:tc>
          <w:tcPr>
            <w:tcW w:w="374" w:type="pct"/>
            <w:vAlign w:val="center"/>
          </w:tcPr>
          <w:p w14:paraId="207575BF">
            <w:pPr>
              <w:jc w:val="center"/>
              <w:rPr>
                <w:rFonts w:ascii="宋体" w:hAnsi="宋体"/>
                <w:color w:val="auto"/>
              </w:rPr>
            </w:pPr>
            <w:r>
              <w:rPr>
                <w:rFonts w:ascii="宋体" w:hAnsi="宋体"/>
                <w:color w:val="auto"/>
              </w:rPr>
              <w:t>1.5×10</w:t>
            </w:r>
            <w:r>
              <w:rPr>
                <w:rFonts w:ascii="宋体" w:hAnsi="宋体"/>
                <w:color w:val="auto"/>
                <w:vertAlign w:val="superscript"/>
              </w:rPr>
              <w:t>-2</w:t>
            </w:r>
          </w:p>
        </w:tc>
        <w:tc>
          <w:tcPr>
            <w:tcW w:w="360" w:type="pct"/>
            <w:gridSpan w:val="2"/>
            <w:vAlign w:val="center"/>
          </w:tcPr>
          <w:p w14:paraId="6D906434">
            <w:pPr>
              <w:jc w:val="center"/>
              <w:rPr>
                <w:rFonts w:ascii="宋体" w:hAnsi="宋体"/>
                <w:color w:val="auto"/>
              </w:rPr>
            </w:pPr>
            <w:r>
              <w:rPr>
                <w:rFonts w:ascii="宋体" w:hAnsi="宋体"/>
                <w:color w:val="auto"/>
              </w:rPr>
              <w:t>1.3×10</w:t>
            </w:r>
            <w:r>
              <w:rPr>
                <w:rFonts w:ascii="宋体" w:hAnsi="宋体"/>
                <w:color w:val="auto"/>
                <w:vertAlign w:val="superscript"/>
              </w:rPr>
              <w:t>-2</w:t>
            </w:r>
          </w:p>
        </w:tc>
        <w:tc>
          <w:tcPr>
            <w:tcW w:w="374" w:type="pct"/>
            <w:vAlign w:val="center"/>
          </w:tcPr>
          <w:p w14:paraId="51482C4A">
            <w:pPr>
              <w:jc w:val="center"/>
              <w:rPr>
                <w:rFonts w:ascii="宋体" w:hAnsi="宋体"/>
                <w:color w:val="auto"/>
              </w:rPr>
            </w:pPr>
            <w:r>
              <w:rPr>
                <w:rFonts w:ascii="宋体" w:hAnsi="宋体"/>
                <w:color w:val="auto"/>
              </w:rPr>
              <w:t>1.4×10</w:t>
            </w:r>
            <w:r>
              <w:rPr>
                <w:rFonts w:ascii="宋体" w:hAnsi="宋体"/>
                <w:color w:val="auto"/>
                <w:vertAlign w:val="superscript"/>
              </w:rPr>
              <w:t>-2</w:t>
            </w:r>
          </w:p>
        </w:tc>
        <w:tc>
          <w:tcPr>
            <w:tcW w:w="374" w:type="pct"/>
            <w:vAlign w:val="center"/>
          </w:tcPr>
          <w:p w14:paraId="768E1F01">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5" w:type="pct"/>
            <w:vAlign w:val="center"/>
          </w:tcPr>
          <w:p w14:paraId="03A3DF90">
            <w:pPr>
              <w:jc w:val="center"/>
              <w:rPr>
                <w:rFonts w:ascii="宋体" w:hAnsi="宋体"/>
                <w:color w:val="auto"/>
              </w:rPr>
            </w:pPr>
            <w:r>
              <w:rPr>
                <w:rFonts w:ascii="宋体" w:hAnsi="宋体"/>
                <w:color w:val="auto"/>
              </w:rPr>
              <w:t>1.1×10</w:t>
            </w:r>
            <w:r>
              <w:rPr>
                <w:rFonts w:ascii="宋体" w:hAnsi="宋体"/>
                <w:color w:val="auto"/>
                <w:vertAlign w:val="superscript"/>
              </w:rPr>
              <w:t>-2</w:t>
            </w:r>
          </w:p>
        </w:tc>
        <w:tc>
          <w:tcPr>
            <w:tcW w:w="362" w:type="pct"/>
            <w:vAlign w:val="center"/>
          </w:tcPr>
          <w:p w14:paraId="458A56E0">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5" w:type="pct"/>
            <w:vAlign w:val="center"/>
          </w:tcPr>
          <w:p w14:paraId="2695CC02">
            <w:pPr>
              <w:jc w:val="center"/>
              <w:rPr>
                <w:rFonts w:ascii="宋体" w:hAnsi="宋体"/>
                <w:color w:val="auto"/>
              </w:rPr>
            </w:pPr>
            <w:r>
              <w:rPr>
                <w:rFonts w:ascii="宋体" w:hAnsi="宋体"/>
                <w:color w:val="auto"/>
              </w:rPr>
              <w:t>1.1×10</w:t>
            </w:r>
            <w:r>
              <w:rPr>
                <w:rFonts w:ascii="宋体" w:hAnsi="宋体"/>
                <w:color w:val="auto"/>
                <w:vertAlign w:val="superscript"/>
              </w:rPr>
              <w:t>-2</w:t>
            </w:r>
          </w:p>
        </w:tc>
        <w:tc>
          <w:tcPr>
            <w:tcW w:w="375" w:type="pct"/>
            <w:vAlign w:val="center"/>
          </w:tcPr>
          <w:p w14:paraId="41281DD6">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5" w:type="pct"/>
            <w:vAlign w:val="center"/>
          </w:tcPr>
          <w:p w14:paraId="1F936AE2">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59" w:type="pct"/>
            <w:vAlign w:val="center"/>
          </w:tcPr>
          <w:p w14:paraId="7E23C93F">
            <w:pPr>
              <w:jc w:val="center"/>
              <w:rPr>
                <w:rFonts w:ascii="宋体" w:hAnsi="宋体"/>
                <w:color w:val="auto"/>
              </w:rPr>
            </w:pPr>
            <w:r>
              <w:rPr>
                <w:rFonts w:ascii="宋体" w:hAnsi="宋体"/>
                <w:color w:val="auto"/>
              </w:rPr>
              <w:t>1.2×10</w:t>
            </w:r>
            <w:r>
              <w:rPr>
                <w:rFonts w:ascii="宋体" w:hAnsi="宋体"/>
                <w:color w:val="auto"/>
                <w:vertAlign w:val="superscript"/>
              </w:rPr>
              <w:t>-2</w:t>
            </w:r>
          </w:p>
        </w:tc>
      </w:tr>
      <w:tr w14:paraId="19EEE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6" w:type="pct"/>
            <w:gridSpan w:val="2"/>
            <w:vAlign w:val="center"/>
          </w:tcPr>
          <w:p w14:paraId="1A8ADC0A">
            <w:pPr>
              <w:jc w:val="center"/>
              <w:rPr>
                <w:rFonts w:ascii="宋体" w:hAnsi="宋体"/>
                <w:color w:val="auto"/>
              </w:rPr>
            </w:pPr>
            <w:r>
              <w:rPr>
                <w:rFonts w:ascii="宋体" w:hAnsi="宋体"/>
                <w:color w:val="auto"/>
              </w:rPr>
              <w:t>烟气黑度/（级）</w:t>
            </w:r>
          </w:p>
        </w:tc>
        <w:tc>
          <w:tcPr>
            <w:tcW w:w="1388" w:type="pct"/>
            <w:gridSpan w:val="4"/>
            <w:vAlign w:val="center"/>
          </w:tcPr>
          <w:p w14:paraId="4C8A48B8">
            <w:pPr>
              <w:jc w:val="center"/>
              <w:rPr>
                <w:rFonts w:ascii="宋体" w:hAnsi="宋体"/>
                <w:color w:val="auto"/>
              </w:rPr>
            </w:pPr>
            <w:r>
              <w:rPr>
                <w:rFonts w:ascii="宋体" w:hAnsi="宋体"/>
                <w:color w:val="auto"/>
              </w:rPr>
              <w:t>＜1</w:t>
            </w:r>
          </w:p>
        </w:tc>
        <w:tc>
          <w:tcPr>
            <w:tcW w:w="1522" w:type="pct"/>
            <w:gridSpan w:val="5"/>
            <w:vAlign w:val="center"/>
          </w:tcPr>
          <w:p w14:paraId="20313C49">
            <w:pPr>
              <w:jc w:val="center"/>
              <w:rPr>
                <w:rFonts w:ascii="宋体" w:hAnsi="宋体"/>
                <w:color w:val="auto"/>
              </w:rPr>
            </w:pPr>
            <w:r>
              <w:rPr>
                <w:rFonts w:ascii="宋体" w:hAnsi="宋体"/>
                <w:color w:val="auto"/>
              </w:rPr>
              <w:t>＜1</w:t>
            </w:r>
          </w:p>
        </w:tc>
        <w:tc>
          <w:tcPr>
            <w:tcW w:w="1484" w:type="pct"/>
            <w:gridSpan w:val="4"/>
            <w:vAlign w:val="center"/>
          </w:tcPr>
          <w:p w14:paraId="6450A667">
            <w:pPr>
              <w:jc w:val="center"/>
              <w:rPr>
                <w:rFonts w:ascii="宋体" w:hAnsi="宋体"/>
                <w:color w:val="auto"/>
              </w:rPr>
            </w:pPr>
            <w:r>
              <w:rPr>
                <w:rFonts w:ascii="宋体" w:hAnsi="宋体"/>
                <w:color w:val="auto"/>
              </w:rPr>
              <w:t>＜1</w:t>
            </w:r>
          </w:p>
        </w:tc>
      </w:tr>
      <w:tr w14:paraId="488E6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Align w:val="center"/>
          </w:tcPr>
          <w:p w14:paraId="76E1D5FD">
            <w:pPr>
              <w:jc w:val="center"/>
              <w:rPr>
                <w:rFonts w:ascii="宋体" w:hAnsi="宋体"/>
                <w:color w:val="auto"/>
              </w:rPr>
            </w:pPr>
            <w:r>
              <w:rPr>
                <w:rFonts w:ascii="宋体" w:hAnsi="宋体"/>
                <w:color w:val="auto"/>
              </w:rPr>
              <w:t>备注</w:t>
            </w:r>
          </w:p>
        </w:tc>
        <w:tc>
          <w:tcPr>
            <w:tcW w:w="4848" w:type="pct"/>
            <w:gridSpan w:val="14"/>
            <w:vAlign w:val="center"/>
          </w:tcPr>
          <w:p w14:paraId="4D339876">
            <w:pPr>
              <w:numPr>
                <w:ilvl w:val="0"/>
                <w:numId w:val="27"/>
              </w:numPr>
              <w:jc w:val="center"/>
              <w:rPr>
                <w:rFonts w:ascii="宋体" w:hAnsi="宋体"/>
                <w:color w:val="auto"/>
              </w:rPr>
            </w:pPr>
            <w:r>
              <w:rPr>
                <w:rFonts w:ascii="宋体" w:hAnsi="宋体"/>
                <w:color w:val="auto"/>
              </w:rPr>
              <w:t>基准氧含量：3.5%</w:t>
            </w:r>
          </w:p>
          <w:p w14:paraId="1FDEB234">
            <w:pPr>
              <w:jc w:val="center"/>
              <w:rPr>
                <w:rFonts w:ascii="宋体" w:hAnsi="宋体"/>
                <w:color w:val="auto"/>
              </w:rPr>
            </w:pPr>
            <w:r>
              <w:rPr>
                <w:rFonts w:ascii="宋体" w:hAnsi="宋体"/>
                <w:color w:val="auto"/>
              </w:rPr>
              <w:t>2、HJ 57-2017固定污染源废气 二氧化硫的测定 定电位电解法检测二氧化硫，一氧化碳干扰显著，测定样品时须同时测定一氧化碳浓度，一氧化碳浓度超过50μmol/mol（62.5mg/m</w:t>
            </w:r>
            <w:r>
              <w:rPr>
                <w:rFonts w:ascii="宋体" w:hAnsi="宋体"/>
                <w:color w:val="auto"/>
                <w:vertAlign w:val="superscript"/>
              </w:rPr>
              <w:t>3</w:t>
            </w:r>
            <w:r>
              <w:rPr>
                <w:rFonts w:ascii="宋体" w:hAnsi="宋体"/>
                <w:color w:val="auto"/>
              </w:rPr>
              <w:t>）时，定电位电解法不适用。</w:t>
            </w:r>
          </w:p>
          <w:p w14:paraId="202DFE7B">
            <w:pPr>
              <w:jc w:val="center"/>
              <w:rPr>
                <w:rFonts w:ascii="宋体" w:hAnsi="宋体"/>
                <w:color w:val="auto"/>
              </w:rPr>
            </w:pPr>
            <w:r>
              <w:rPr>
                <w:rFonts w:ascii="宋体" w:hAnsi="宋体"/>
                <w:color w:val="auto"/>
              </w:rPr>
              <w:t>3、检测结果低于分析方法检出限时，结果报告为使用方法检出限值，并加标志位“L”。</w:t>
            </w:r>
          </w:p>
          <w:p w14:paraId="5D146E76">
            <w:pPr>
              <w:jc w:val="center"/>
              <w:rPr>
                <w:rFonts w:ascii="宋体" w:hAnsi="宋体"/>
                <w:color w:val="auto"/>
              </w:rPr>
            </w:pPr>
            <w:r>
              <w:rPr>
                <w:rFonts w:ascii="宋体" w:hAnsi="宋体"/>
                <w:color w:val="auto"/>
              </w:rPr>
              <w:t>4、如果实测浓度用检出限（L）或＜检出限表示，则折算浓度按照折算后结果表示。</w:t>
            </w:r>
          </w:p>
        </w:tc>
      </w:tr>
    </w:tbl>
    <w:p w14:paraId="6293274D">
      <w:pPr>
        <w:rPr>
          <w:color w:val="auto"/>
        </w:rPr>
      </w:pPr>
    </w:p>
    <w:p w14:paraId="146127F7">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11</w:t>
      </w:r>
      <w:r>
        <w:rPr>
          <w:color w:val="auto"/>
        </w:rPr>
        <w:fldChar w:fldCharType="end"/>
      </w:r>
      <w:r>
        <w:rPr>
          <w:rFonts w:hint="eastAsia"/>
          <w:color w:val="auto"/>
        </w:rPr>
        <w:t xml:space="preserve">  11#井场加热炉排气筒监测数据（1）</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1092"/>
        <w:gridCol w:w="1040"/>
        <w:gridCol w:w="1040"/>
        <w:gridCol w:w="1040"/>
        <w:gridCol w:w="1031"/>
        <w:gridCol w:w="9"/>
        <w:gridCol w:w="1040"/>
        <w:gridCol w:w="1040"/>
        <w:gridCol w:w="1040"/>
        <w:gridCol w:w="1040"/>
        <w:gridCol w:w="1040"/>
        <w:gridCol w:w="1040"/>
        <w:gridCol w:w="1040"/>
        <w:gridCol w:w="1040"/>
      </w:tblGrid>
      <w:tr w14:paraId="4F611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7717FFBF">
            <w:pPr>
              <w:jc w:val="center"/>
              <w:rPr>
                <w:rFonts w:ascii="宋体" w:hAnsi="宋体"/>
                <w:color w:val="auto"/>
              </w:rPr>
            </w:pPr>
            <w:r>
              <w:rPr>
                <w:rFonts w:ascii="宋体" w:hAnsi="宋体"/>
                <w:color w:val="auto"/>
              </w:rPr>
              <w:t>排气筒名称</w:t>
            </w:r>
          </w:p>
        </w:tc>
        <w:tc>
          <w:tcPr>
            <w:tcW w:w="4320" w:type="pct"/>
            <w:gridSpan w:val="13"/>
            <w:vAlign w:val="center"/>
          </w:tcPr>
          <w:p w14:paraId="4C1B2A91">
            <w:pPr>
              <w:jc w:val="center"/>
              <w:rPr>
                <w:rFonts w:ascii="宋体" w:hAnsi="宋体"/>
                <w:color w:val="auto"/>
              </w:rPr>
            </w:pPr>
            <w:r>
              <w:rPr>
                <w:rFonts w:ascii="宋体" w:hAnsi="宋体"/>
                <w:color w:val="auto"/>
              </w:rPr>
              <w:t>11#井场加热炉</w:t>
            </w:r>
          </w:p>
        </w:tc>
      </w:tr>
      <w:tr w14:paraId="14444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15046D7A">
            <w:pPr>
              <w:jc w:val="center"/>
              <w:rPr>
                <w:rFonts w:ascii="宋体" w:hAnsi="宋体"/>
                <w:color w:val="auto"/>
              </w:rPr>
            </w:pPr>
            <w:r>
              <w:rPr>
                <w:rFonts w:ascii="宋体" w:hAnsi="宋体"/>
                <w:color w:val="auto"/>
              </w:rPr>
              <w:t>采样日期</w:t>
            </w:r>
          </w:p>
        </w:tc>
        <w:tc>
          <w:tcPr>
            <w:tcW w:w="4320" w:type="pct"/>
            <w:gridSpan w:val="13"/>
            <w:vAlign w:val="center"/>
          </w:tcPr>
          <w:p w14:paraId="6E71F3A2">
            <w:pPr>
              <w:jc w:val="center"/>
              <w:rPr>
                <w:rFonts w:ascii="宋体" w:hAnsi="宋体"/>
                <w:color w:val="auto"/>
              </w:rPr>
            </w:pPr>
            <w:r>
              <w:rPr>
                <w:rFonts w:ascii="宋体" w:hAnsi="宋体"/>
                <w:color w:val="auto"/>
              </w:rPr>
              <w:t>2026.03.16</w:t>
            </w:r>
          </w:p>
        </w:tc>
      </w:tr>
      <w:tr w14:paraId="1E8E9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1314760B">
            <w:pPr>
              <w:jc w:val="center"/>
              <w:rPr>
                <w:rFonts w:ascii="宋体" w:hAnsi="宋体"/>
                <w:color w:val="auto"/>
              </w:rPr>
            </w:pPr>
            <w:r>
              <w:rPr>
                <w:rFonts w:ascii="宋体" w:hAnsi="宋体"/>
                <w:color w:val="auto"/>
              </w:rPr>
              <w:t>分析日期</w:t>
            </w:r>
          </w:p>
        </w:tc>
        <w:tc>
          <w:tcPr>
            <w:tcW w:w="4320" w:type="pct"/>
            <w:gridSpan w:val="13"/>
            <w:vAlign w:val="center"/>
          </w:tcPr>
          <w:p w14:paraId="792E35A3">
            <w:pPr>
              <w:jc w:val="center"/>
              <w:rPr>
                <w:rFonts w:ascii="宋体" w:hAnsi="宋体"/>
                <w:color w:val="auto"/>
              </w:rPr>
            </w:pPr>
            <w:r>
              <w:rPr>
                <w:rFonts w:ascii="宋体" w:hAnsi="宋体"/>
                <w:color w:val="auto"/>
              </w:rPr>
              <w:t>2026.03.16-03.23</w:t>
            </w:r>
          </w:p>
        </w:tc>
      </w:tr>
      <w:tr w14:paraId="74053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5A681322">
            <w:pPr>
              <w:jc w:val="center"/>
              <w:rPr>
                <w:rFonts w:ascii="宋体" w:hAnsi="宋体"/>
                <w:color w:val="auto"/>
              </w:rPr>
            </w:pPr>
            <w:r>
              <w:rPr>
                <w:rFonts w:ascii="宋体" w:hAnsi="宋体"/>
                <w:color w:val="auto"/>
              </w:rPr>
              <w:t>排气筒高度/（m）</w:t>
            </w:r>
          </w:p>
        </w:tc>
        <w:tc>
          <w:tcPr>
            <w:tcW w:w="4320" w:type="pct"/>
            <w:gridSpan w:val="13"/>
            <w:vAlign w:val="center"/>
          </w:tcPr>
          <w:p w14:paraId="561790CF">
            <w:pPr>
              <w:jc w:val="center"/>
              <w:rPr>
                <w:rFonts w:ascii="宋体" w:hAnsi="宋体"/>
                <w:color w:val="auto"/>
              </w:rPr>
            </w:pPr>
            <w:r>
              <w:rPr>
                <w:rFonts w:ascii="宋体" w:hAnsi="宋体"/>
                <w:color w:val="auto"/>
              </w:rPr>
              <w:t>9.4</w:t>
            </w:r>
          </w:p>
        </w:tc>
      </w:tr>
      <w:tr w14:paraId="61815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26D00BF2">
            <w:pPr>
              <w:jc w:val="center"/>
              <w:rPr>
                <w:rFonts w:ascii="宋体" w:hAnsi="宋体"/>
                <w:color w:val="auto"/>
              </w:rPr>
            </w:pPr>
            <w:r>
              <w:rPr>
                <w:rFonts w:ascii="宋体" w:hAnsi="宋体"/>
                <w:color w:val="auto"/>
              </w:rPr>
              <w:t>测点截面积/（m</w:t>
            </w:r>
            <w:r>
              <w:rPr>
                <w:rFonts w:ascii="宋体" w:hAnsi="宋体"/>
                <w:color w:val="auto"/>
                <w:vertAlign w:val="superscript"/>
              </w:rPr>
              <w:t>2</w:t>
            </w:r>
            <w:r>
              <w:rPr>
                <w:rFonts w:ascii="宋体" w:hAnsi="宋体"/>
                <w:color w:val="auto"/>
              </w:rPr>
              <w:t>）</w:t>
            </w:r>
          </w:p>
        </w:tc>
        <w:tc>
          <w:tcPr>
            <w:tcW w:w="4320" w:type="pct"/>
            <w:gridSpan w:val="13"/>
            <w:vAlign w:val="center"/>
          </w:tcPr>
          <w:p w14:paraId="5BCBA864">
            <w:pPr>
              <w:jc w:val="center"/>
              <w:rPr>
                <w:rFonts w:ascii="宋体" w:hAnsi="宋体"/>
                <w:color w:val="auto"/>
              </w:rPr>
            </w:pPr>
            <w:r>
              <w:rPr>
                <w:rFonts w:ascii="宋体" w:hAnsi="宋体"/>
                <w:color w:val="auto"/>
              </w:rPr>
              <w:t>0.018</w:t>
            </w:r>
          </w:p>
        </w:tc>
      </w:tr>
      <w:tr w14:paraId="0E628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0B25463F">
            <w:pPr>
              <w:jc w:val="center"/>
              <w:rPr>
                <w:rFonts w:ascii="宋体" w:hAnsi="宋体"/>
                <w:color w:val="auto"/>
              </w:rPr>
            </w:pPr>
            <w:r>
              <w:rPr>
                <w:rFonts w:ascii="宋体" w:hAnsi="宋体"/>
                <w:color w:val="auto"/>
              </w:rPr>
              <w:t>采样频次</w:t>
            </w:r>
          </w:p>
        </w:tc>
        <w:tc>
          <w:tcPr>
            <w:tcW w:w="360" w:type="pct"/>
            <w:vAlign w:val="center"/>
          </w:tcPr>
          <w:p w14:paraId="129D2C1B">
            <w:pPr>
              <w:jc w:val="center"/>
              <w:rPr>
                <w:rFonts w:ascii="宋体" w:hAnsi="宋体"/>
                <w:color w:val="auto"/>
              </w:rPr>
            </w:pPr>
            <w:r>
              <w:rPr>
                <w:rFonts w:ascii="宋体" w:hAnsi="宋体"/>
                <w:color w:val="auto"/>
              </w:rPr>
              <w:t>1</w:t>
            </w:r>
          </w:p>
        </w:tc>
        <w:tc>
          <w:tcPr>
            <w:tcW w:w="360" w:type="pct"/>
            <w:vAlign w:val="center"/>
          </w:tcPr>
          <w:p w14:paraId="297BE21E">
            <w:pPr>
              <w:jc w:val="center"/>
              <w:rPr>
                <w:rFonts w:ascii="宋体" w:hAnsi="宋体"/>
                <w:color w:val="auto"/>
              </w:rPr>
            </w:pPr>
            <w:r>
              <w:rPr>
                <w:rFonts w:ascii="宋体" w:hAnsi="宋体"/>
                <w:color w:val="auto"/>
              </w:rPr>
              <w:t>2</w:t>
            </w:r>
          </w:p>
        </w:tc>
        <w:tc>
          <w:tcPr>
            <w:tcW w:w="360" w:type="pct"/>
            <w:vAlign w:val="center"/>
          </w:tcPr>
          <w:p w14:paraId="3CCC3256">
            <w:pPr>
              <w:jc w:val="center"/>
              <w:rPr>
                <w:rFonts w:ascii="宋体" w:hAnsi="宋体"/>
                <w:color w:val="auto"/>
              </w:rPr>
            </w:pPr>
            <w:r>
              <w:rPr>
                <w:rFonts w:ascii="宋体" w:hAnsi="宋体"/>
                <w:color w:val="auto"/>
              </w:rPr>
              <w:t>3</w:t>
            </w:r>
          </w:p>
        </w:tc>
        <w:tc>
          <w:tcPr>
            <w:tcW w:w="360" w:type="pct"/>
            <w:gridSpan w:val="2"/>
            <w:vAlign w:val="center"/>
          </w:tcPr>
          <w:p w14:paraId="26E833DC">
            <w:pPr>
              <w:jc w:val="center"/>
              <w:rPr>
                <w:rFonts w:ascii="宋体" w:hAnsi="宋体"/>
                <w:color w:val="auto"/>
              </w:rPr>
            </w:pPr>
            <w:r>
              <w:rPr>
                <w:rFonts w:ascii="宋体" w:hAnsi="宋体"/>
                <w:color w:val="auto"/>
              </w:rPr>
              <w:t>平均值</w:t>
            </w:r>
          </w:p>
        </w:tc>
        <w:tc>
          <w:tcPr>
            <w:tcW w:w="360" w:type="pct"/>
            <w:vAlign w:val="center"/>
          </w:tcPr>
          <w:p w14:paraId="50F085FE">
            <w:pPr>
              <w:jc w:val="center"/>
              <w:rPr>
                <w:rFonts w:ascii="宋体" w:hAnsi="宋体"/>
                <w:color w:val="auto"/>
              </w:rPr>
            </w:pPr>
            <w:r>
              <w:rPr>
                <w:rFonts w:ascii="宋体" w:hAnsi="宋体"/>
                <w:color w:val="auto"/>
              </w:rPr>
              <w:t>4</w:t>
            </w:r>
          </w:p>
        </w:tc>
        <w:tc>
          <w:tcPr>
            <w:tcW w:w="360" w:type="pct"/>
            <w:vAlign w:val="center"/>
          </w:tcPr>
          <w:p w14:paraId="1E5A25C7">
            <w:pPr>
              <w:jc w:val="center"/>
              <w:rPr>
                <w:rFonts w:ascii="宋体" w:hAnsi="宋体"/>
                <w:color w:val="auto"/>
              </w:rPr>
            </w:pPr>
            <w:r>
              <w:rPr>
                <w:rFonts w:ascii="宋体" w:hAnsi="宋体"/>
                <w:color w:val="auto"/>
              </w:rPr>
              <w:t>5</w:t>
            </w:r>
          </w:p>
        </w:tc>
        <w:tc>
          <w:tcPr>
            <w:tcW w:w="360" w:type="pct"/>
            <w:vAlign w:val="center"/>
          </w:tcPr>
          <w:p w14:paraId="71AB84B7">
            <w:pPr>
              <w:jc w:val="center"/>
              <w:rPr>
                <w:rFonts w:ascii="宋体" w:hAnsi="宋体"/>
                <w:color w:val="auto"/>
              </w:rPr>
            </w:pPr>
            <w:r>
              <w:rPr>
                <w:rFonts w:ascii="宋体" w:hAnsi="宋体"/>
                <w:color w:val="auto"/>
              </w:rPr>
              <w:t>6</w:t>
            </w:r>
          </w:p>
        </w:tc>
        <w:tc>
          <w:tcPr>
            <w:tcW w:w="360" w:type="pct"/>
            <w:vAlign w:val="center"/>
          </w:tcPr>
          <w:p w14:paraId="6026A551">
            <w:pPr>
              <w:jc w:val="center"/>
              <w:rPr>
                <w:rFonts w:ascii="宋体" w:hAnsi="宋体"/>
                <w:color w:val="auto"/>
              </w:rPr>
            </w:pPr>
            <w:r>
              <w:rPr>
                <w:rFonts w:ascii="宋体" w:hAnsi="宋体"/>
                <w:color w:val="auto"/>
              </w:rPr>
              <w:t>平均值</w:t>
            </w:r>
          </w:p>
        </w:tc>
        <w:tc>
          <w:tcPr>
            <w:tcW w:w="360" w:type="pct"/>
            <w:vAlign w:val="center"/>
          </w:tcPr>
          <w:p w14:paraId="36390049">
            <w:pPr>
              <w:jc w:val="center"/>
              <w:rPr>
                <w:rFonts w:ascii="宋体" w:hAnsi="宋体"/>
                <w:color w:val="auto"/>
              </w:rPr>
            </w:pPr>
            <w:r>
              <w:rPr>
                <w:rFonts w:ascii="宋体" w:hAnsi="宋体"/>
                <w:color w:val="auto"/>
              </w:rPr>
              <w:t>7</w:t>
            </w:r>
          </w:p>
        </w:tc>
        <w:tc>
          <w:tcPr>
            <w:tcW w:w="360" w:type="pct"/>
            <w:vAlign w:val="center"/>
          </w:tcPr>
          <w:p w14:paraId="73715A47">
            <w:pPr>
              <w:jc w:val="center"/>
              <w:rPr>
                <w:rFonts w:ascii="宋体" w:hAnsi="宋体"/>
                <w:color w:val="auto"/>
              </w:rPr>
            </w:pPr>
            <w:r>
              <w:rPr>
                <w:rFonts w:ascii="宋体" w:hAnsi="宋体"/>
                <w:color w:val="auto"/>
              </w:rPr>
              <w:t>8</w:t>
            </w:r>
          </w:p>
        </w:tc>
        <w:tc>
          <w:tcPr>
            <w:tcW w:w="360" w:type="pct"/>
            <w:vAlign w:val="center"/>
          </w:tcPr>
          <w:p w14:paraId="27B869E9">
            <w:pPr>
              <w:jc w:val="center"/>
              <w:rPr>
                <w:rFonts w:ascii="宋体" w:hAnsi="宋体"/>
                <w:color w:val="auto"/>
              </w:rPr>
            </w:pPr>
            <w:r>
              <w:rPr>
                <w:rFonts w:ascii="宋体" w:hAnsi="宋体"/>
                <w:color w:val="auto"/>
              </w:rPr>
              <w:t>9</w:t>
            </w:r>
          </w:p>
        </w:tc>
        <w:tc>
          <w:tcPr>
            <w:tcW w:w="360" w:type="pct"/>
            <w:vAlign w:val="center"/>
          </w:tcPr>
          <w:p w14:paraId="0054426A">
            <w:pPr>
              <w:jc w:val="center"/>
              <w:rPr>
                <w:rFonts w:ascii="宋体" w:hAnsi="宋体"/>
                <w:color w:val="auto"/>
              </w:rPr>
            </w:pPr>
            <w:r>
              <w:rPr>
                <w:rFonts w:ascii="宋体" w:hAnsi="宋体"/>
                <w:color w:val="auto"/>
              </w:rPr>
              <w:t>平均值</w:t>
            </w:r>
          </w:p>
        </w:tc>
      </w:tr>
      <w:tr w14:paraId="0242C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09CDB3E6">
            <w:pPr>
              <w:jc w:val="center"/>
              <w:rPr>
                <w:rFonts w:ascii="宋体" w:hAnsi="宋体"/>
                <w:color w:val="auto"/>
              </w:rPr>
            </w:pPr>
            <w:r>
              <w:rPr>
                <w:rFonts w:ascii="宋体" w:hAnsi="宋体"/>
                <w:color w:val="auto"/>
              </w:rPr>
              <w:t>温度/(</w:t>
            </w:r>
            <w:r>
              <w:rPr>
                <w:rFonts w:hint="eastAsia" w:ascii="宋体" w:hAnsi="宋体"/>
                <w:color w:val="auto"/>
              </w:rPr>
              <w:t>℃</w:t>
            </w:r>
            <w:r>
              <w:rPr>
                <w:rFonts w:ascii="宋体" w:hAnsi="宋体"/>
                <w:color w:val="auto"/>
              </w:rPr>
              <w:t>)</w:t>
            </w:r>
          </w:p>
        </w:tc>
        <w:tc>
          <w:tcPr>
            <w:tcW w:w="360" w:type="pct"/>
            <w:vAlign w:val="center"/>
          </w:tcPr>
          <w:p w14:paraId="627579E2">
            <w:pPr>
              <w:jc w:val="center"/>
              <w:rPr>
                <w:rFonts w:ascii="宋体" w:hAnsi="宋体"/>
                <w:color w:val="auto"/>
              </w:rPr>
            </w:pPr>
            <w:r>
              <w:rPr>
                <w:rFonts w:ascii="宋体" w:hAnsi="宋体"/>
                <w:color w:val="auto"/>
              </w:rPr>
              <w:t>42</w:t>
            </w:r>
          </w:p>
        </w:tc>
        <w:tc>
          <w:tcPr>
            <w:tcW w:w="360" w:type="pct"/>
            <w:vAlign w:val="center"/>
          </w:tcPr>
          <w:p w14:paraId="4BC607B8">
            <w:pPr>
              <w:jc w:val="center"/>
              <w:rPr>
                <w:rFonts w:ascii="宋体" w:hAnsi="宋体"/>
                <w:color w:val="auto"/>
              </w:rPr>
            </w:pPr>
            <w:r>
              <w:rPr>
                <w:rFonts w:ascii="宋体" w:hAnsi="宋体"/>
                <w:color w:val="auto"/>
              </w:rPr>
              <w:t>42</w:t>
            </w:r>
          </w:p>
        </w:tc>
        <w:tc>
          <w:tcPr>
            <w:tcW w:w="360" w:type="pct"/>
            <w:vAlign w:val="center"/>
          </w:tcPr>
          <w:p w14:paraId="64434C7A">
            <w:pPr>
              <w:jc w:val="center"/>
              <w:rPr>
                <w:rFonts w:ascii="宋体" w:hAnsi="宋体"/>
                <w:color w:val="auto"/>
              </w:rPr>
            </w:pPr>
            <w:r>
              <w:rPr>
                <w:rFonts w:ascii="宋体" w:hAnsi="宋体"/>
                <w:color w:val="auto"/>
              </w:rPr>
              <w:t>45</w:t>
            </w:r>
          </w:p>
        </w:tc>
        <w:tc>
          <w:tcPr>
            <w:tcW w:w="360" w:type="pct"/>
            <w:gridSpan w:val="2"/>
            <w:vAlign w:val="center"/>
          </w:tcPr>
          <w:p w14:paraId="43C70853">
            <w:pPr>
              <w:jc w:val="center"/>
              <w:rPr>
                <w:rFonts w:ascii="宋体" w:hAnsi="宋体"/>
                <w:color w:val="auto"/>
              </w:rPr>
            </w:pPr>
            <w:r>
              <w:rPr>
                <w:rFonts w:ascii="宋体" w:hAnsi="宋体"/>
                <w:color w:val="auto"/>
              </w:rPr>
              <w:t>/</w:t>
            </w:r>
          </w:p>
        </w:tc>
        <w:tc>
          <w:tcPr>
            <w:tcW w:w="360" w:type="pct"/>
            <w:vAlign w:val="center"/>
          </w:tcPr>
          <w:p w14:paraId="64CA548C">
            <w:pPr>
              <w:jc w:val="center"/>
              <w:rPr>
                <w:rFonts w:ascii="宋体" w:hAnsi="宋体"/>
                <w:color w:val="auto"/>
              </w:rPr>
            </w:pPr>
            <w:r>
              <w:rPr>
                <w:rFonts w:ascii="宋体" w:hAnsi="宋体"/>
                <w:color w:val="auto"/>
              </w:rPr>
              <w:t>43</w:t>
            </w:r>
          </w:p>
        </w:tc>
        <w:tc>
          <w:tcPr>
            <w:tcW w:w="360" w:type="pct"/>
            <w:vAlign w:val="center"/>
          </w:tcPr>
          <w:p w14:paraId="2B35AABD">
            <w:pPr>
              <w:jc w:val="center"/>
              <w:rPr>
                <w:rFonts w:ascii="宋体" w:hAnsi="宋体"/>
                <w:color w:val="auto"/>
              </w:rPr>
            </w:pPr>
            <w:r>
              <w:rPr>
                <w:rFonts w:ascii="宋体" w:hAnsi="宋体"/>
                <w:color w:val="auto"/>
              </w:rPr>
              <w:t>47</w:t>
            </w:r>
          </w:p>
        </w:tc>
        <w:tc>
          <w:tcPr>
            <w:tcW w:w="360" w:type="pct"/>
            <w:vAlign w:val="center"/>
          </w:tcPr>
          <w:p w14:paraId="3A0607F6">
            <w:pPr>
              <w:jc w:val="center"/>
              <w:rPr>
                <w:rFonts w:ascii="宋体" w:hAnsi="宋体"/>
                <w:color w:val="auto"/>
              </w:rPr>
            </w:pPr>
            <w:r>
              <w:rPr>
                <w:rFonts w:ascii="宋体" w:hAnsi="宋体"/>
                <w:color w:val="auto"/>
              </w:rPr>
              <w:t>45</w:t>
            </w:r>
          </w:p>
        </w:tc>
        <w:tc>
          <w:tcPr>
            <w:tcW w:w="360" w:type="pct"/>
            <w:vAlign w:val="center"/>
          </w:tcPr>
          <w:p w14:paraId="189437C5">
            <w:pPr>
              <w:jc w:val="center"/>
              <w:rPr>
                <w:rFonts w:ascii="宋体" w:hAnsi="宋体"/>
                <w:color w:val="auto"/>
              </w:rPr>
            </w:pPr>
            <w:r>
              <w:rPr>
                <w:rFonts w:ascii="宋体" w:hAnsi="宋体"/>
                <w:color w:val="auto"/>
              </w:rPr>
              <w:t>/</w:t>
            </w:r>
          </w:p>
        </w:tc>
        <w:tc>
          <w:tcPr>
            <w:tcW w:w="360" w:type="pct"/>
            <w:vAlign w:val="center"/>
          </w:tcPr>
          <w:p w14:paraId="4E9BB6B2">
            <w:pPr>
              <w:jc w:val="center"/>
              <w:rPr>
                <w:rFonts w:ascii="宋体" w:hAnsi="宋体"/>
                <w:color w:val="auto"/>
              </w:rPr>
            </w:pPr>
            <w:r>
              <w:rPr>
                <w:rFonts w:ascii="宋体" w:hAnsi="宋体"/>
                <w:color w:val="auto"/>
              </w:rPr>
              <w:t>43</w:t>
            </w:r>
          </w:p>
        </w:tc>
        <w:tc>
          <w:tcPr>
            <w:tcW w:w="360" w:type="pct"/>
            <w:vAlign w:val="center"/>
          </w:tcPr>
          <w:p w14:paraId="5BFC945D">
            <w:pPr>
              <w:jc w:val="center"/>
              <w:rPr>
                <w:rFonts w:ascii="宋体" w:hAnsi="宋体"/>
                <w:color w:val="auto"/>
              </w:rPr>
            </w:pPr>
            <w:r>
              <w:rPr>
                <w:rFonts w:ascii="宋体" w:hAnsi="宋体"/>
                <w:color w:val="auto"/>
              </w:rPr>
              <w:t>45</w:t>
            </w:r>
          </w:p>
        </w:tc>
        <w:tc>
          <w:tcPr>
            <w:tcW w:w="360" w:type="pct"/>
            <w:vAlign w:val="center"/>
          </w:tcPr>
          <w:p w14:paraId="63D9E383">
            <w:pPr>
              <w:jc w:val="center"/>
              <w:rPr>
                <w:rFonts w:ascii="宋体" w:hAnsi="宋体"/>
                <w:color w:val="auto"/>
              </w:rPr>
            </w:pPr>
            <w:r>
              <w:rPr>
                <w:rFonts w:ascii="宋体" w:hAnsi="宋体"/>
                <w:color w:val="auto"/>
              </w:rPr>
              <w:t>45</w:t>
            </w:r>
          </w:p>
        </w:tc>
        <w:tc>
          <w:tcPr>
            <w:tcW w:w="360" w:type="pct"/>
            <w:vAlign w:val="center"/>
          </w:tcPr>
          <w:p w14:paraId="7087D42E">
            <w:pPr>
              <w:jc w:val="center"/>
              <w:rPr>
                <w:rFonts w:ascii="宋体" w:hAnsi="宋体"/>
                <w:color w:val="auto"/>
              </w:rPr>
            </w:pPr>
            <w:r>
              <w:rPr>
                <w:rFonts w:ascii="宋体" w:hAnsi="宋体"/>
                <w:color w:val="auto"/>
              </w:rPr>
              <w:t>/</w:t>
            </w:r>
          </w:p>
        </w:tc>
      </w:tr>
      <w:tr w14:paraId="40F3C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38309D83">
            <w:pPr>
              <w:jc w:val="center"/>
              <w:rPr>
                <w:rFonts w:ascii="宋体" w:hAnsi="宋体"/>
                <w:color w:val="auto"/>
              </w:rPr>
            </w:pPr>
            <w:r>
              <w:rPr>
                <w:rFonts w:ascii="宋体" w:hAnsi="宋体"/>
                <w:color w:val="auto"/>
              </w:rPr>
              <w:t>湿度/(%)</w:t>
            </w:r>
          </w:p>
        </w:tc>
        <w:tc>
          <w:tcPr>
            <w:tcW w:w="360" w:type="pct"/>
            <w:vAlign w:val="center"/>
          </w:tcPr>
          <w:p w14:paraId="1007E300">
            <w:pPr>
              <w:jc w:val="center"/>
              <w:rPr>
                <w:rFonts w:ascii="宋体" w:hAnsi="宋体"/>
                <w:color w:val="auto"/>
              </w:rPr>
            </w:pPr>
            <w:r>
              <w:rPr>
                <w:rFonts w:ascii="宋体" w:hAnsi="宋体"/>
                <w:color w:val="auto"/>
              </w:rPr>
              <w:t>8.5</w:t>
            </w:r>
          </w:p>
        </w:tc>
        <w:tc>
          <w:tcPr>
            <w:tcW w:w="360" w:type="pct"/>
            <w:vAlign w:val="center"/>
          </w:tcPr>
          <w:p w14:paraId="11C37FB5">
            <w:pPr>
              <w:jc w:val="center"/>
              <w:rPr>
                <w:rFonts w:ascii="宋体" w:hAnsi="宋体"/>
                <w:color w:val="auto"/>
              </w:rPr>
            </w:pPr>
            <w:r>
              <w:rPr>
                <w:rFonts w:ascii="宋体" w:hAnsi="宋体"/>
                <w:color w:val="auto"/>
              </w:rPr>
              <w:t>8.5</w:t>
            </w:r>
          </w:p>
        </w:tc>
        <w:tc>
          <w:tcPr>
            <w:tcW w:w="360" w:type="pct"/>
            <w:vAlign w:val="center"/>
          </w:tcPr>
          <w:p w14:paraId="0F280742">
            <w:pPr>
              <w:jc w:val="center"/>
              <w:rPr>
                <w:rFonts w:ascii="宋体" w:hAnsi="宋体"/>
                <w:color w:val="auto"/>
              </w:rPr>
            </w:pPr>
            <w:r>
              <w:rPr>
                <w:rFonts w:ascii="宋体" w:hAnsi="宋体"/>
                <w:color w:val="auto"/>
              </w:rPr>
              <w:t>8.7</w:t>
            </w:r>
          </w:p>
        </w:tc>
        <w:tc>
          <w:tcPr>
            <w:tcW w:w="360" w:type="pct"/>
            <w:gridSpan w:val="2"/>
            <w:vAlign w:val="center"/>
          </w:tcPr>
          <w:p w14:paraId="2482CD7E">
            <w:pPr>
              <w:jc w:val="center"/>
              <w:rPr>
                <w:rFonts w:ascii="宋体" w:hAnsi="宋体"/>
                <w:color w:val="auto"/>
              </w:rPr>
            </w:pPr>
            <w:r>
              <w:rPr>
                <w:rFonts w:ascii="宋体" w:hAnsi="宋体"/>
                <w:color w:val="auto"/>
              </w:rPr>
              <w:t>/</w:t>
            </w:r>
          </w:p>
        </w:tc>
        <w:tc>
          <w:tcPr>
            <w:tcW w:w="360" w:type="pct"/>
            <w:vAlign w:val="center"/>
          </w:tcPr>
          <w:p w14:paraId="5542CE1C">
            <w:pPr>
              <w:jc w:val="center"/>
              <w:rPr>
                <w:rFonts w:ascii="宋体" w:hAnsi="宋体"/>
                <w:color w:val="auto"/>
              </w:rPr>
            </w:pPr>
            <w:r>
              <w:rPr>
                <w:rFonts w:ascii="宋体" w:hAnsi="宋体"/>
                <w:color w:val="auto"/>
              </w:rPr>
              <w:t>8.7</w:t>
            </w:r>
          </w:p>
        </w:tc>
        <w:tc>
          <w:tcPr>
            <w:tcW w:w="360" w:type="pct"/>
            <w:vAlign w:val="center"/>
          </w:tcPr>
          <w:p w14:paraId="26D08E8E">
            <w:pPr>
              <w:jc w:val="center"/>
              <w:rPr>
                <w:rFonts w:ascii="宋体" w:hAnsi="宋体"/>
                <w:color w:val="auto"/>
              </w:rPr>
            </w:pPr>
            <w:r>
              <w:rPr>
                <w:rFonts w:ascii="宋体" w:hAnsi="宋体"/>
                <w:color w:val="auto"/>
              </w:rPr>
              <w:t>8.6</w:t>
            </w:r>
          </w:p>
        </w:tc>
        <w:tc>
          <w:tcPr>
            <w:tcW w:w="360" w:type="pct"/>
            <w:vAlign w:val="center"/>
          </w:tcPr>
          <w:p w14:paraId="4347849C">
            <w:pPr>
              <w:jc w:val="center"/>
              <w:rPr>
                <w:rFonts w:ascii="宋体" w:hAnsi="宋体"/>
                <w:color w:val="auto"/>
              </w:rPr>
            </w:pPr>
            <w:r>
              <w:rPr>
                <w:rFonts w:ascii="宋体" w:hAnsi="宋体"/>
                <w:color w:val="auto"/>
              </w:rPr>
              <w:t>8.6</w:t>
            </w:r>
          </w:p>
        </w:tc>
        <w:tc>
          <w:tcPr>
            <w:tcW w:w="360" w:type="pct"/>
            <w:vAlign w:val="center"/>
          </w:tcPr>
          <w:p w14:paraId="5976EAFA">
            <w:pPr>
              <w:jc w:val="center"/>
              <w:rPr>
                <w:rFonts w:ascii="宋体" w:hAnsi="宋体"/>
                <w:color w:val="auto"/>
              </w:rPr>
            </w:pPr>
            <w:r>
              <w:rPr>
                <w:rFonts w:ascii="宋体" w:hAnsi="宋体"/>
                <w:color w:val="auto"/>
              </w:rPr>
              <w:t>/</w:t>
            </w:r>
          </w:p>
        </w:tc>
        <w:tc>
          <w:tcPr>
            <w:tcW w:w="360" w:type="pct"/>
            <w:vAlign w:val="center"/>
          </w:tcPr>
          <w:p w14:paraId="54DD6B6D">
            <w:pPr>
              <w:jc w:val="center"/>
              <w:rPr>
                <w:rFonts w:ascii="宋体" w:hAnsi="宋体"/>
                <w:color w:val="auto"/>
              </w:rPr>
            </w:pPr>
            <w:r>
              <w:rPr>
                <w:rFonts w:ascii="宋体" w:hAnsi="宋体"/>
                <w:color w:val="auto"/>
              </w:rPr>
              <w:t>8.3</w:t>
            </w:r>
          </w:p>
        </w:tc>
        <w:tc>
          <w:tcPr>
            <w:tcW w:w="360" w:type="pct"/>
            <w:vAlign w:val="center"/>
          </w:tcPr>
          <w:p w14:paraId="469B5901">
            <w:pPr>
              <w:jc w:val="center"/>
              <w:rPr>
                <w:rFonts w:ascii="宋体" w:hAnsi="宋体"/>
                <w:color w:val="auto"/>
              </w:rPr>
            </w:pPr>
            <w:r>
              <w:rPr>
                <w:rFonts w:ascii="宋体" w:hAnsi="宋体"/>
                <w:color w:val="auto"/>
              </w:rPr>
              <w:t>8.3</w:t>
            </w:r>
          </w:p>
        </w:tc>
        <w:tc>
          <w:tcPr>
            <w:tcW w:w="360" w:type="pct"/>
            <w:vAlign w:val="center"/>
          </w:tcPr>
          <w:p w14:paraId="3596FFD4">
            <w:pPr>
              <w:jc w:val="center"/>
              <w:rPr>
                <w:rFonts w:ascii="宋体" w:hAnsi="宋体"/>
                <w:color w:val="auto"/>
              </w:rPr>
            </w:pPr>
            <w:r>
              <w:rPr>
                <w:rFonts w:ascii="宋体" w:hAnsi="宋体"/>
                <w:color w:val="auto"/>
              </w:rPr>
              <w:t>8.2</w:t>
            </w:r>
          </w:p>
        </w:tc>
        <w:tc>
          <w:tcPr>
            <w:tcW w:w="360" w:type="pct"/>
            <w:vAlign w:val="center"/>
          </w:tcPr>
          <w:p w14:paraId="27999FD7">
            <w:pPr>
              <w:jc w:val="center"/>
              <w:rPr>
                <w:rFonts w:ascii="宋体" w:hAnsi="宋体"/>
                <w:color w:val="auto"/>
              </w:rPr>
            </w:pPr>
            <w:r>
              <w:rPr>
                <w:rFonts w:ascii="宋体" w:hAnsi="宋体"/>
                <w:color w:val="auto"/>
              </w:rPr>
              <w:t>/</w:t>
            </w:r>
          </w:p>
        </w:tc>
      </w:tr>
      <w:tr w14:paraId="7D230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4098C070">
            <w:pPr>
              <w:jc w:val="center"/>
              <w:rPr>
                <w:rFonts w:ascii="宋体" w:hAnsi="宋体"/>
                <w:color w:val="auto"/>
              </w:rPr>
            </w:pPr>
            <w:r>
              <w:rPr>
                <w:rFonts w:ascii="宋体" w:hAnsi="宋体"/>
                <w:color w:val="auto"/>
              </w:rPr>
              <w:t>流速/(m/s)</w:t>
            </w:r>
          </w:p>
        </w:tc>
        <w:tc>
          <w:tcPr>
            <w:tcW w:w="360" w:type="pct"/>
            <w:vAlign w:val="center"/>
          </w:tcPr>
          <w:p w14:paraId="03178BDC">
            <w:pPr>
              <w:jc w:val="center"/>
              <w:rPr>
                <w:rFonts w:ascii="宋体" w:hAnsi="宋体"/>
                <w:color w:val="auto"/>
              </w:rPr>
            </w:pPr>
            <w:r>
              <w:rPr>
                <w:rFonts w:ascii="宋体" w:hAnsi="宋体"/>
                <w:color w:val="auto"/>
              </w:rPr>
              <w:t>5.4</w:t>
            </w:r>
          </w:p>
        </w:tc>
        <w:tc>
          <w:tcPr>
            <w:tcW w:w="360" w:type="pct"/>
            <w:vAlign w:val="center"/>
          </w:tcPr>
          <w:p w14:paraId="56B2F9E9">
            <w:pPr>
              <w:jc w:val="center"/>
              <w:rPr>
                <w:rFonts w:ascii="宋体" w:hAnsi="宋体"/>
                <w:color w:val="auto"/>
              </w:rPr>
            </w:pPr>
            <w:r>
              <w:rPr>
                <w:rFonts w:ascii="宋体" w:hAnsi="宋体"/>
                <w:color w:val="auto"/>
              </w:rPr>
              <w:t>6.0</w:t>
            </w:r>
          </w:p>
        </w:tc>
        <w:tc>
          <w:tcPr>
            <w:tcW w:w="360" w:type="pct"/>
            <w:vAlign w:val="center"/>
          </w:tcPr>
          <w:p w14:paraId="59F4258B">
            <w:pPr>
              <w:jc w:val="center"/>
              <w:rPr>
                <w:rFonts w:ascii="宋体" w:hAnsi="宋体"/>
                <w:color w:val="auto"/>
              </w:rPr>
            </w:pPr>
            <w:r>
              <w:rPr>
                <w:rFonts w:ascii="宋体" w:hAnsi="宋体"/>
                <w:color w:val="auto"/>
              </w:rPr>
              <w:t>6.1</w:t>
            </w:r>
          </w:p>
        </w:tc>
        <w:tc>
          <w:tcPr>
            <w:tcW w:w="360" w:type="pct"/>
            <w:gridSpan w:val="2"/>
            <w:vAlign w:val="center"/>
          </w:tcPr>
          <w:p w14:paraId="36C656FA">
            <w:pPr>
              <w:jc w:val="center"/>
              <w:rPr>
                <w:rFonts w:ascii="宋体" w:hAnsi="宋体"/>
                <w:color w:val="auto"/>
              </w:rPr>
            </w:pPr>
            <w:r>
              <w:rPr>
                <w:rFonts w:ascii="宋体" w:hAnsi="宋体"/>
                <w:color w:val="auto"/>
              </w:rPr>
              <w:t>/</w:t>
            </w:r>
          </w:p>
        </w:tc>
        <w:tc>
          <w:tcPr>
            <w:tcW w:w="360" w:type="pct"/>
            <w:vAlign w:val="center"/>
          </w:tcPr>
          <w:p w14:paraId="52BD8EC2">
            <w:pPr>
              <w:jc w:val="center"/>
              <w:rPr>
                <w:rFonts w:ascii="宋体" w:hAnsi="宋体"/>
                <w:color w:val="auto"/>
              </w:rPr>
            </w:pPr>
            <w:r>
              <w:rPr>
                <w:rFonts w:ascii="宋体" w:hAnsi="宋体"/>
                <w:color w:val="auto"/>
              </w:rPr>
              <w:t>6.4</w:t>
            </w:r>
          </w:p>
        </w:tc>
        <w:tc>
          <w:tcPr>
            <w:tcW w:w="360" w:type="pct"/>
            <w:vAlign w:val="center"/>
          </w:tcPr>
          <w:p w14:paraId="09D3F94E">
            <w:pPr>
              <w:jc w:val="center"/>
              <w:rPr>
                <w:rFonts w:ascii="宋体" w:hAnsi="宋体"/>
                <w:color w:val="auto"/>
              </w:rPr>
            </w:pPr>
            <w:r>
              <w:rPr>
                <w:rFonts w:ascii="宋体" w:hAnsi="宋体"/>
                <w:color w:val="auto"/>
              </w:rPr>
              <w:t>6.4</w:t>
            </w:r>
          </w:p>
        </w:tc>
        <w:tc>
          <w:tcPr>
            <w:tcW w:w="360" w:type="pct"/>
            <w:vAlign w:val="center"/>
          </w:tcPr>
          <w:p w14:paraId="452663AE">
            <w:pPr>
              <w:jc w:val="center"/>
              <w:rPr>
                <w:rFonts w:ascii="宋体" w:hAnsi="宋体"/>
                <w:color w:val="auto"/>
              </w:rPr>
            </w:pPr>
            <w:r>
              <w:rPr>
                <w:rFonts w:ascii="宋体" w:hAnsi="宋体"/>
                <w:color w:val="auto"/>
              </w:rPr>
              <w:t>6.3</w:t>
            </w:r>
          </w:p>
        </w:tc>
        <w:tc>
          <w:tcPr>
            <w:tcW w:w="360" w:type="pct"/>
            <w:vAlign w:val="center"/>
          </w:tcPr>
          <w:p w14:paraId="1BA1E48B">
            <w:pPr>
              <w:jc w:val="center"/>
              <w:rPr>
                <w:rFonts w:ascii="宋体" w:hAnsi="宋体"/>
                <w:color w:val="auto"/>
              </w:rPr>
            </w:pPr>
            <w:r>
              <w:rPr>
                <w:rFonts w:ascii="宋体" w:hAnsi="宋体"/>
                <w:color w:val="auto"/>
              </w:rPr>
              <w:t>/</w:t>
            </w:r>
          </w:p>
        </w:tc>
        <w:tc>
          <w:tcPr>
            <w:tcW w:w="360" w:type="pct"/>
            <w:vAlign w:val="center"/>
          </w:tcPr>
          <w:p w14:paraId="79653C4D">
            <w:pPr>
              <w:jc w:val="center"/>
              <w:rPr>
                <w:rFonts w:ascii="宋体" w:hAnsi="宋体"/>
                <w:color w:val="auto"/>
              </w:rPr>
            </w:pPr>
            <w:r>
              <w:rPr>
                <w:rFonts w:ascii="宋体" w:hAnsi="宋体"/>
                <w:color w:val="auto"/>
              </w:rPr>
              <w:t>6.1</w:t>
            </w:r>
          </w:p>
        </w:tc>
        <w:tc>
          <w:tcPr>
            <w:tcW w:w="360" w:type="pct"/>
            <w:vAlign w:val="center"/>
          </w:tcPr>
          <w:p w14:paraId="4F1D3E5C">
            <w:pPr>
              <w:jc w:val="center"/>
              <w:rPr>
                <w:rFonts w:ascii="宋体" w:hAnsi="宋体"/>
                <w:color w:val="auto"/>
              </w:rPr>
            </w:pPr>
            <w:r>
              <w:rPr>
                <w:rFonts w:ascii="宋体" w:hAnsi="宋体"/>
                <w:color w:val="auto"/>
              </w:rPr>
              <w:t>6.3</w:t>
            </w:r>
          </w:p>
        </w:tc>
        <w:tc>
          <w:tcPr>
            <w:tcW w:w="360" w:type="pct"/>
            <w:vAlign w:val="center"/>
          </w:tcPr>
          <w:p w14:paraId="2B4EFB70">
            <w:pPr>
              <w:jc w:val="center"/>
              <w:rPr>
                <w:rFonts w:ascii="宋体" w:hAnsi="宋体"/>
                <w:color w:val="auto"/>
              </w:rPr>
            </w:pPr>
            <w:r>
              <w:rPr>
                <w:rFonts w:ascii="宋体" w:hAnsi="宋体"/>
                <w:color w:val="auto"/>
              </w:rPr>
              <w:t>6.3</w:t>
            </w:r>
          </w:p>
        </w:tc>
        <w:tc>
          <w:tcPr>
            <w:tcW w:w="360" w:type="pct"/>
            <w:vAlign w:val="center"/>
          </w:tcPr>
          <w:p w14:paraId="3224F0A5">
            <w:pPr>
              <w:jc w:val="center"/>
              <w:rPr>
                <w:rFonts w:ascii="宋体" w:hAnsi="宋体"/>
                <w:color w:val="auto"/>
              </w:rPr>
            </w:pPr>
            <w:r>
              <w:rPr>
                <w:rFonts w:ascii="宋体" w:hAnsi="宋体"/>
                <w:color w:val="auto"/>
              </w:rPr>
              <w:t>/</w:t>
            </w:r>
          </w:p>
        </w:tc>
      </w:tr>
      <w:tr w14:paraId="798FD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77C0014E">
            <w:pPr>
              <w:jc w:val="center"/>
              <w:rPr>
                <w:rFonts w:ascii="宋体" w:hAnsi="宋体"/>
                <w:color w:val="auto"/>
              </w:rPr>
            </w:pPr>
            <w:r>
              <w:rPr>
                <w:rFonts w:ascii="宋体" w:hAnsi="宋体"/>
                <w:color w:val="auto"/>
              </w:rPr>
              <w:t>含氧量/(%)</w:t>
            </w:r>
          </w:p>
        </w:tc>
        <w:tc>
          <w:tcPr>
            <w:tcW w:w="360" w:type="pct"/>
            <w:vAlign w:val="center"/>
          </w:tcPr>
          <w:p w14:paraId="509F65BF">
            <w:pPr>
              <w:jc w:val="center"/>
              <w:rPr>
                <w:rFonts w:ascii="宋体" w:hAnsi="宋体"/>
                <w:color w:val="auto"/>
              </w:rPr>
            </w:pPr>
            <w:r>
              <w:rPr>
                <w:rFonts w:ascii="宋体" w:hAnsi="宋体"/>
                <w:color w:val="auto"/>
              </w:rPr>
              <w:t>5.7</w:t>
            </w:r>
          </w:p>
        </w:tc>
        <w:tc>
          <w:tcPr>
            <w:tcW w:w="360" w:type="pct"/>
            <w:vAlign w:val="center"/>
          </w:tcPr>
          <w:p w14:paraId="388355F1">
            <w:pPr>
              <w:jc w:val="center"/>
              <w:rPr>
                <w:rFonts w:ascii="宋体" w:hAnsi="宋体"/>
                <w:color w:val="auto"/>
              </w:rPr>
            </w:pPr>
            <w:r>
              <w:rPr>
                <w:rFonts w:ascii="宋体" w:hAnsi="宋体"/>
                <w:color w:val="auto"/>
              </w:rPr>
              <w:t>5.1</w:t>
            </w:r>
          </w:p>
        </w:tc>
        <w:tc>
          <w:tcPr>
            <w:tcW w:w="360" w:type="pct"/>
            <w:vAlign w:val="center"/>
          </w:tcPr>
          <w:p w14:paraId="1411A6FD">
            <w:pPr>
              <w:jc w:val="center"/>
              <w:rPr>
                <w:rFonts w:ascii="宋体" w:hAnsi="宋体"/>
                <w:color w:val="auto"/>
              </w:rPr>
            </w:pPr>
            <w:r>
              <w:rPr>
                <w:rFonts w:ascii="宋体" w:hAnsi="宋体"/>
                <w:color w:val="auto"/>
              </w:rPr>
              <w:t>4.4</w:t>
            </w:r>
          </w:p>
        </w:tc>
        <w:tc>
          <w:tcPr>
            <w:tcW w:w="360" w:type="pct"/>
            <w:gridSpan w:val="2"/>
            <w:vAlign w:val="center"/>
          </w:tcPr>
          <w:p w14:paraId="01005FD7">
            <w:pPr>
              <w:jc w:val="center"/>
              <w:rPr>
                <w:rFonts w:ascii="宋体" w:hAnsi="宋体"/>
                <w:color w:val="auto"/>
              </w:rPr>
            </w:pPr>
            <w:r>
              <w:rPr>
                <w:rFonts w:ascii="宋体" w:hAnsi="宋体"/>
                <w:color w:val="auto"/>
              </w:rPr>
              <w:t>/</w:t>
            </w:r>
          </w:p>
        </w:tc>
        <w:tc>
          <w:tcPr>
            <w:tcW w:w="360" w:type="pct"/>
            <w:vAlign w:val="center"/>
          </w:tcPr>
          <w:p w14:paraId="37D5FB6B">
            <w:pPr>
              <w:jc w:val="center"/>
              <w:rPr>
                <w:rFonts w:ascii="宋体" w:hAnsi="宋体"/>
                <w:color w:val="auto"/>
              </w:rPr>
            </w:pPr>
            <w:r>
              <w:rPr>
                <w:rFonts w:ascii="宋体" w:hAnsi="宋体"/>
                <w:color w:val="auto"/>
              </w:rPr>
              <w:t>4.9</w:t>
            </w:r>
          </w:p>
        </w:tc>
        <w:tc>
          <w:tcPr>
            <w:tcW w:w="360" w:type="pct"/>
            <w:vAlign w:val="center"/>
          </w:tcPr>
          <w:p w14:paraId="3AEF58FD">
            <w:pPr>
              <w:jc w:val="center"/>
              <w:rPr>
                <w:rFonts w:ascii="宋体" w:hAnsi="宋体"/>
                <w:color w:val="auto"/>
              </w:rPr>
            </w:pPr>
            <w:r>
              <w:rPr>
                <w:rFonts w:ascii="宋体" w:hAnsi="宋体"/>
                <w:color w:val="auto"/>
              </w:rPr>
              <w:t>4.4</w:t>
            </w:r>
          </w:p>
        </w:tc>
        <w:tc>
          <w:tcPr>
            <w:tcW w:w="360" w:type="pct"/>
            <w:vAlign w:val="center"/>
          </w:tcPr>
          <w:p w14:paraId="7EFE9896">
            <w:pPr>
              <w:jc w:val="center"/>
              <w:rPr>
                <w:rFonts w:ascii="宋体" w:hAnsi="宋体"/>
                <w:color w:val="auto"/>
              </w:rPr>
            </w:pPr>
            <w:r>
              <w:rPr>
                <w:rFonts w:ascii="宋体" w:hAnsi="宋体"/>
                <w:color w:val="auto"/>
              </w:rPr>
              <w:t>5.2</w:t>
            </w:r>
          </w:p>
        </w:tc>
        <w:tc>
          <w:tcPr>
            <w:tcW w:w="360" w:type="pct"/>
            <w:vAlign w:val="center"/>
          </w:tcPr>
          <w:p w14:paraId="773F32F6">
            <w:pPr>
              <w:jc w:val="center"/>
              <w:rPr>
                <w:rFonts w:ascii="宋体" w:hAnsi="宋体"/>
                <w:color w:val="auto"/>
              </w:rPr>
            </w:pPr>
            <w:r>
              <w:rPr>
                <w:rFonts w:ascii="宋体" w:hAnsi="宋体"/>
                <w:color w:val="auto"/>
              </w:rPr>
              <w:t>/</w:t>
            </w:r>
          </w:p>
        </w:tc>
        <w:tc>
          <w:tcPr>
            <w:tcW w:w="360" w:type="pct"/>
            <w:vAlign w:val="center"/>
          </w:tcPr>
          <w:p w14:paraId="49B62E30">
            <w:pPr>
              <w:jc w:val="center"/>
              <w:rPr>
                <w:rFonts w:ascii="宋体" w:hAnsi="宋体"/>
                <w:color w:val="auto"/>
              </w:rPr>
            </w:pPr>
            <w:r>
              <w:rPr>
                <w:rFonts w:ascii="宋体" w:hAnsi="宋体"/>
                <w:color w:val="auto"/>
              </w:rPr>
              <w:t>5.2</w:t>
            </w:r>
          </w:p>
        </w:tc>
        <w:tc>
          <w:tcPr>
            <w:tcW w:w="360" w:type="pct"/>
            <w:vAlign w:val="center"/>
          </w:tcPr>
          <w:p w14:paraId="1F1A20D0">
            <w:pPr>
              <w:jc w:val="center"/>
              <w:rPr>
                <w:rFonts w:ascii="宋体" w:hAnsi="宋体"/>
                <w:color w:val="auto"/>
              </w:rPr>
            </w:pPr>
            <w:r>
              <w:rPr>
                <w:rFonts w:ascii="宋体" w:hAnsi="宋体"/>
                <w:color w:val="auto"/>
              </w:rPr>
              <w:t>4.8</w:t>
            </w:r>
          </w:p>
        </w:tc>
        <w:tc>
          <w:tcPr>
            <w:tcW w:w="360" w:type="pct"/>
            <w:vAlign w:val="center"/>
          </w:tcPr>
          <w:p w14:paraId="6C177660">
            <w:pPr>
              <w:jc w:val="center"/>
              <w:rPr>
                <w:rFonts w:ascii="宋体" w:hAnsi="宋体"/>
                <w:color w:val="auto"/>
              </w:rPr>
            </w:pPr>
            <w:r>
              <w:rPr>
                <w:rFonts w:ascii="宋体" w:hAnsi="宋体"/>
                <w:color w:val="auto"/>
              </w:rPr>
              <w:t>4.5</w:t>
            </w:r>
          </w:p>
        </w:tc>
        <w:tc>
          <w:tcPr>
            <w:tcW w:w="360" w:type="pct"/>
            <w:vAlign w:val="center"/>
          </w:tcPr>
          <w:p w14:paraId="1470ACDD">
            <w:pPr>
              <w:jc w:val="center"/>
              <w:rPr>
                <w:rFonts w:ascii="宋体" w:hAnsi="宋体"/>
                <w:color w:val="auto"/>
              </w:rPr>
            </w:pPr>
            <w:r>
              <w:rPr>
                <w:rFonts w:ascii="宋体" w:hAnsi="宋体"/>
                <w:color w:val="auto"/>
              </w:rPr>
              <w:t>/</w:t>
            </w:r>
          </w:p>
        </w:tc>
      </w:tr>
      <w:tr w14:paraId="680E3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4EE6F55F">
            <w:pPr>
              <w:jc w:val="center"/>
              <w:rPr>
                <w:rFonts w:ascii="宋体" w:hAnsi="宋体"/>
                <w:color w:val="auto"/>
              </w:rPr>
            </w:pPr>
            <w:r>
              <w:rPr>
                <w:rFonts w:ascii="宋体" w:hAnsi="宋体"/>
                <w:color w:val="auto"/>
              </w:rPr>
              <w:t>标干废气量/（Nm</w:t>
            </w:r>
            <w:r>
              <w:rPr>
                <w:rFonts w:ascii="宋体" w:hAnsi="宋体"/>
                <w:color w:val="auto"/>
                <w:vertAlign w:val="superscript"/>
              </w:rPr>
              <w:t>3</w:t>
            </w:r>
            <w:r>
              <w:rPr>
                <w:rFonts w:ascii="宋体" w:hAnsi="宋体"/>
                <w:color w:val="auto"/>
              </w:rPr>
              <w:t>/h）</w:t>
            </w:r>
          </w:p>
        </w:tc>
        <w:tc>
          <w:tcPr>
            <w:tcW w:w="360" w:type="pct"/>
            <w:vAlign w:val="center"/>
          </w:tcPr>
          <w:p w14:paraId="13BFD05C">
            <w:pPr>
              <w:jc w:val="center"/>
              <w:rPr>
                <w:rFonts w:ascii="宋体" w:hAnsi="宋体"/>
                <w:color w:val="auto"/>
              </w:rPr>
            </w:pPr>
            <w:r>
              <w:rPr>
                <w:rFonts w:ascii="宋体" w:hAnsi="宋体"/>
                <w:color w:val="auto"/>
              </w:rPr>
              <w:t>275</w:t>
            </w:r>
          </w:p>
        </w:tc>
        <w:tc>
          <w:tcPr>
            <w:tcW w:w="360" w:type="pct"/>
            <w:vAlign w:val="center"/>
          </w:tcPr>
          <w:p w14:paraId="7C91E1D8">
            <w:pPr>
              <w:jc w:val="center"/>
              <w:rPr>
                <w:rFonts w:ascii="宋体" w:hAnsi="宋体"/>
                <w:color w:val="auto"/>
              </w:rPr>
            </w:pPr>
            <w:r>
              <w:rPr>
                <w:rFonts w:ascii="宋体" w:hAnsi="宋体"/>
                <w:color w:val="auto"/>
              </w:rPr>
              <w:t>305</w:t>
            </w:r>
          </w:p>
        </w:tc>
        <w:tc>
          <w:tcPr>
            <w:tcW w:w="360" w:type="pct"/>
            <w:vAlign w:val="center"/>
          </w:tcPr>
          <w:p w14:paraId="44660FCB">
            <w:pPr>
              <w:jc w:val="center"/>
              <w:rPr>
                <w:rFonts w:ascii="宋体" w:hAnsi="宋体"/>
                <w:color w:val="auto"/>
              </w:rPr>
            </w:pPr>
            <w:r>
              <w:rPr>
                <w:rFonts w:ascii="宋体" w:hAnsi="宋体"/>
                <w:color w:val="auto"/>
              </w:rPr>
              <w:t>307</w:t>
            </w:r>
          </w:p>
        </w:tc>
        <w:tc>
          <w:tcPr>
            <w:tcW w:w="360" w:type="pct"/>
            <w:gridSpan w:val="2"/>
            <w:vAlign w:val="center"/>
          </w:tcPr>
          <w:p w14:paraId="515EB6E1">
            <w:pPr>
              <w:jc w:val="center"/>
              <w:rPr>
                <w:rFonts w:ascii="宋体" w:hAnsi="宋体"/>
                <w:color w:val="auto"/>
              </w:rPr>
            </w:pPr>
            <w:r>
              <w:rPr>
                <w:rFonts w:ascii="宋体" w:hAnsi="宋体"/>
                <w:color w:val="auto"/>
              </w:rPr>
              <w:t>/</w:t>
            </w:r>
          </w:p>
        </w:tc>
        <w:tc>
          <w:tcPr>
            <w:tcW w:w="360" w:type="pct"/>
            <w:vAlign w:val="center"/>
          </w:tcPr>
          <w:p w14:paraId="433D5FAA">
            <w:pPr>
              <w:jc w:val="center"/>
              <w:rPr>
                <w:rFonts w:ascii="宋体" w:hAnsi="宋体"/>
                <w:color w:val="auto"/>
              </w:rPr>
            </w:pPr>
            <w:r>
              <w:rPr>
                <w:rFonts w:ascii="宋体" w:hAnsi="宋体"/>
                <w:color w:val="auto"/>
              </w:rPr>
              <w:t>324</w:t>
            </w:r>
          </w:p>
        </w:tc>
        <w:tc>
          <w:tcPr>
            <w:tcW w:w="360" w:type="pct"/>
            <w:vAlign w:val="center"/>
          </w:tcPr>
          <w:p w14:paraId="3B67CAC2">
            <w:pPr>
              <w:jc w:val="center"/>
              <w:rPr>
                <w:rFonts w:ascii="宋体" w:hAnsi="宋体"/>
                <w:color w:val="auto"/>
              </w:rPr>
            </w:pPr>
            <w:r>
              <w:rPr>
                <w:rFonts w:ascii="宋体" w:hAnsi="宋体"/>
                <w:color w:val="auto"/>
              </w:rPr>
              <w:t>321</w:t>
            </w:r>
          </w:p>
        </w:tc>
        <w:tc>
          <w:tcPr>
            <w:tcW w:w="360" w:type="pct"/>
            <w:vAlign w:val="center"/>
          </w:tcPr>
          <w:p w14:paraId="0529B796">
            <w:pPr>
              <w:jc w:val="center"/>
              <w:rPr>
                <w:rFonts w:ascii="宋体" w:hAnsi="宋体"/>
                <w:color w:val="auto"/>
              </w:rPr>
            </w:pPr>
            <w:r>
              <w:rPr>
                <w:rFonts w:ascii="宋体" w:hAnsi="宋体"/>
                <w:color w:val="auto"/>
              </w:rPr>
              <w:t>317</w:t>
            </w:r>
          </w:p>
        </w:tc>
        <w:tc>
          <w:tcPr>
            <w:tcW w:w="360" w:type="pct"/>
            <w:vAlign w:val="center"/>
          </w:tcPr>
          <w:p w14:paraId="1A66885B">
            <w:pPr>
              <w:jc w:val="center"/>
              <w:rPr>
                <w:rFonts w:ascii="宋体" w:hAnsi="宋体"/>
                <w:color w:val="auto"/>
              </w:rPr>
            </w:pPr>
            <w:r>
              <w:rPr>
                <w:rFonts w:ascii="宋体" w:hAnsi="宋体"/>
                <w:color w:val="auto"/>
              </w:rPr>
              <w:t>/</w:t>
            </w:r>
          </w:p>
        </w:tc>
        <w:tc>
          <w:tcPr>
            <w:tcW w:w="360" w:type="pct"/>
            <w:vAlign w:val="center"/>
          </w:tcPr>
          <w:p w14:paraId="749F3174">
            <w:pPr>
              <w:jc w:val="center"/>
              <w:rPr>
                <w:rFonts w:ascii="宋体" w:hAnsi="宋体"/>
                <w:color w:val="auto"/>
              </w:rPr>
            </w:pPr>
            <w:r>
              <w:rPr>
                <w:rFonts w:ascii="宋体" w:hAnsi="宋体"/>
                <w:color w:val="auto"/>
              </w:rPr>
              <w:t>311</w:t>
            </w:r>
          </w:p>
        </w:tc>
        <w:tc>
          <w:tcPr>
            <w:tcW w:w="360" w:type="pct"/>
            <w:vAlign w:val="center"/>
          </w:tcPr>
          <w:p w14:paraId="7EEBCEB2">
            <w:pPr>
              <w:jc w:val="center"/>
              <w:rPr>
                <w:rFonts w:ascii="宋体" w:hAnsi="宋体"/>
                <w:color w:val="auto"/>
              </w:rPr>
            </w:pPr>
            <w:r>
              <w:rPr>
                <w:rFonts w:ascii="宋体" w:hAnsi="宋体"/>
                <w:color w:val="auto"/>
              </w:rPr>
              <w:t>318</w:t>
            </w:r>
          </w:p>
        </w:tc>
        <w:tc>
          <w:tcPr>
            <w:tcW w:w="360" w:type="pct"/>
            <w:vAlign w:val="center"/>
          </w:tcPr>
          <w:p w14:paraId="30A78C5C">
            <w:pPr>
              <w:jc w:val="center"/>
              <w:rPr>
                <w:rFonts w:ascii="宋体" w:hAnsi="宋体"/>
                <w:color w:val="auto"/>
              </w:rPr>
            </w:pPr>
            <w:r>
              <w:rPr>
                <w:rFonts w:ascii="宋体" w:hAnsi="宋体"/>
                <w:color w:val="auto"/>
              </w:rPr>
              <w:t>318</w:t>
            </w:r>
          </w:p>
        </w:tc>
        <w:tc>
          <w:tcPr>
            <w:tcW w:w="360" w:type="pct"/>
            <w:vAlign w:val="center"/>
          </w:tcPr>
          <w:p w14:paraId="1332B4EC">
            <w:pPr>
              <w:jc w:val="center"/>
              <w:rPr>
                <w:rFonts w:ascii="宋体" w:hAnsi="宋体"/>
                <w:color w:val="auto"/>
              </w:rPr>
            </w:pPr>
            <w:r>
              <w:rPr>
                <w:rFonts w:ascii="宋体" w:hAnsi="宋体"/>
                <w:color w:val="auto"/>
              </w:rPr>
              <w:t>/</w:t>
            </w:r>
          </w:p>
        </w:tc>
      </w:tr>
      <w:tr w14:paraId="5CF1D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restart"/>
            <w:vAlign w:val="center"/>
          </w:tcPr>
          <w:p w14:paraId="79629F59">
            <w:pPr>
              <w:jc w:val="center"/>
              <w:rPr>
                <w:rFonts w:ascii="宋体" w:hAnsi="宋体"/>
                <w:color w:val="auto"/>
              </w:rPr>
            </w:pPr>
            <w:r>
              <w:rPr>
                <w:rFonts w:ascii="宋体" w:hAnsi="宋体"/>
                <w:color w:val="auto"/>
              </w:rPr>
              <w:t>颗粒物</w:t>
            </w:r>
          </w:p>
        </w:tc>
        <w:tc>
          <w:tcPr>
            <w:tcW w:w="461" w:type="pct"/>
            <w:vAlign w:val="center"/>
          </w:tcPr>
          <w:p w14:paraId="06A72A48">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60" w:type="pct"/>
            <w:vAlign w:val="center"/>
          </w:tcPr>
          <w:p w14:paraId="353D226F">
            <w:pPr>
              <w:jc w:val="center"/>
              <w:rPr>
                <w:rFonts w:ascii="宋体" w:hAnsi="宋体"/>
                <w:color w:val="auto"/>
              </w:rPr>
            </w:pPr>
            <w:r>
              <w:rPr>
                <w:rFonts w:ascii="宋体" w:hAnsi="宋体"/>
                <w:color w:val="auto"/>
              </w:rPr>
              <w:t>3.6</w:t>
            </w:r>
          </w:p>
        </w:tc>
        <w:tc>
          <w:tcPr>
            <w:tcW w:w="360" w:type="pct"/>
            <w:vAlign w:val="center"/>
          </w:tcPr>
          <w:p w14:paraId="441818C3">
            <w:pPr>
              <w:jc w:val="center"/>
              <w:rPr>
                <w:rFonts w:ascii="宋体" w:hAnsi="宋体"/>
                <w:color w:val="auto"/>
              </w:rPr>
            </w:pPr>
            <w:r>
              <w:rPr>
                <w:rFonts w:ascii="宋体" w:hAnsi="宋体"/>
                <w:color w:val="auto"/>
              </w:rPr>
              <w:t>3.1</w:t>
            </w:r>
          </w:p>
        </w:tc>
        <w:tc>
          <w:tcPr>
            <w:tcW w:w="360" w:type="pct"/>
            <w:vAlign w:val="center"/>
          </w:tcPr>
          <w:p w14:paraId="2751219D">
            <w:pPr>
              <w:jc w:val="center"/>
              <w:rPr>
                <w:rFonts w:ascii="宋体" w:hAnsi="宋体"/>
                <w:color w:val="auto"/>
              </w:rPr>
            </w:pPr>
            <w:r>
              <w:rPr>
                <w:rFonts w:ascii="宋体" w:hAnsi="宋体"/>
                <w:color w:val="auto"/>
              </w:rPr>
              <w:t>4.5</w:t>
            </w:r>
          </w:p>
        </w:tc>
        <w:tc>
          <w:tcPr>
            <w:tcW w:w="360" w:type="pct"/>
            <w:gridSpan w:val="2"/>
            <w:vAlign w:val="center"/>
          </w:tcPr>
          <w:p w14:paraId="1C6F3618">
            <w:pPr>
              <w:jc w:val="center"/>
              <w:rPr>
                <w:rFonts w:ascii="宋体" w:hAnsi="宋体"/>
                <w:bCs/>
                <w:color w:val="auto"/>
              </w:rPr>
            </w:pPr>
            <w:r>
              <w:rPr>
                <w:rFonts w:ascii="宋体" w:hAnsi="宋体"/>
                <w:bCs/>
                <w:color w:val="auto"/>
              </w:rPr>
              <w:t>3.7</w:t>
            </w:r>
          </w:p>
        </w:tc>
        <w:tc>
          <w:tcPr>
            <w:tcW w:w="360" w:type="pct"/>
            <w:vAlign w:val="center"/>
          </w:tcPr>
          <w:p w14:paraId="5EC53BCE">
            <w:pPr>
              <w:jc w:val="center"/>
              <w:rPr>
                <w:rFonts w:ascii="宋体" w:hAnsi="宋体"/>
                <w:color w:val="auto"/>
              </w:rPr>
            </w:pPr>
            <w:r>
              <w:rPr>
                <w:rFonts w:ascii="宋体" w:hAnsi="宋体"/>
                <w:color w:val="auto"/>
              </w:rPr>
              <w:t>3.6</w:t>
            </w:r>
          </w:p>
        </w:tc>
        <w:tc>
          <w:tcPr>
            <w:tcW w:w="360" w:type="pct"/>
            <w:vAlign w:val="center"/>
          </w:tcPr>
          <w:p w14:paraId="3ABDF512">
            <w:pPr>
              <w:jc w:val="center"/>
              <w:rPr>
                <w:rFonts w:ascii="宋体" w:hAnsi="宋体"/>
                <w:color w:val="auto"/>
              </w:rPr>
            </w:pPr>
            <w:r>
              <w:rPr>
                <w:rFonts w:ascii="宋体" w:hAnsi="宋体"/>
                <w:color w:val="auto"/>
              </w:rPr>
              <w:t>3.0</w:t>
            </w:r>
          </w:p>
        </w:tc>
        <w:tc>
          <w:tcPr>
            <w:tcW w:w="360" w:type="pct"/>
            <w:vAlign w:val="center"/>
          </w:tcPr>
          <w:p w14:paraId="5EC0BC61">
            <w:pPr>
              <w:jc w:val="center"/>
              <w:rPr>
                <w:rFonts w:ascii="宋体" w:hAnsi="宋体"/>
                <w:color w:val="auto"/>
              </w:rPr>
            </w:pPr>
            <w:r>
              <w:rPr>
                <w:rFonts w:ascii="宋体" w:hAnsi="宋体"/>
                <w:color w:val="auto"/>
              </w:rPr>
              <w:t>3.0</w:t>
            </w:r>
          </w:p>
        </w:tc>
        <w:tc>
          <w:tcPr>
            <w:tcW w:w="360" w:type="pct"/>
            <w:vAlign w:val="center"/>
          </w:tcPr>
          <w:p w14:paraId="6F79EAAA">
            <w:pPr>
              <w:jc w:val="center"/>
              <w:rPr>
                <w:rFonts w:ascii="宋体" w:hAnsi="宋体"/>
                <w:bCs/>
                <w:color w:val="auto"/>
              </w:rPr>
            </w:pPr>
            <w:r>
              <w:rPr>
                <w:rFonts w:ascii="宋体" w:hAnsi="宋体"/>
                <w:bCs/>
                <w:color w:val="auto"/>
              </w:rPr>
              <w:t>3.2</w:t>
            </w:r>
          </w:p>
        </w:tc>
        <w:tc>
          <w:tcPr>
            <w:tcW w:w="360" w:type="pct"/>
            <w:vAlign w:val="center"/>
          </w:tcPr>
          <w:p w14:paraId="573B150C">
            <w:pPr>
              <w:jc w:val="center"/>
              <w:rPr>
                <w:rFonts w:ascii="宋体" w:hAnsi="宋体"/>
                <w:color w:val="auto"/>
              </w:rPr>
            </w:pPr>
            <w:r>
              <w:rPr>
                <w:rFonts w:ascii="宋体" w:hAnsi="宋体"/>
                <w:color w:val="auto"/>
              </w:rPr>
              <w:t>3.4</w:t>
            </w:r>
          </w:p>
        </w:tc>
        <w:tc>
          <w:tcPr>
            <w:tcW w:w="360" w:type="pct"/>
            <w:vAlign w:val="center"/>
          </w:tcPr>
          <w:p w14:paraId="6C24B940">
            <w:pPr>
              <w:jc w:val="center"/>
              <w:rPr>
                <w:rFonts w:ascii="宋体" w:hAnsi="宋体"/>
                <w:color w:val="auto"/>
              </w:rPr>
            </w:pPr>
            <w:r>
              <w:rPr>
                <w:rFonts w:ascii="宋体" w:hAnsi="宋体"/>
                <w:color w:val="auto"/>
              </w:rPr>
              <w:t>2.3</w:t>
            </w:r>
          </w:p>
        </w:tc>
        <w:tc>
          <w:tcPr>
            <w:tcW w:w="360" w:type="pct"/>
            <w:vAlign w:val="center"/>
          </w:tcPr>
          <w:p w14:paraId="7D422FA5">
            <w:pPr>
              <w:jc w:val="center"/>
              <w:rPr>
                <w:rFonts w:ascii="宋体" w:hAnsi="宋体"/>
                <w:color w:val="auto"/>
              </w:rPr>
            </w:pPr>
            <w:r>
              <w:rPr>
                <w:rFonts w:ascii="宋体" w:hAnsi="宋体"/>
                <w:color w:val="auto"/>
              </w:rPr>
              <w:t>2.9</w:t>
            </w:r>
          </w:p>
        </w:tc>
        <w:tc>
          <w:tcPr>
            <w:tcW w:w="360" w:type="pct"/>
            <w:vAlign w:val="center"/>
          </w:tcPr>
          <w:p w14:paraId="09ECE792">
            <w:pPr>
              <w:jc w:val="center"/>
              <w:rPr>
                <w:rFonts w:ascii="宋体" w:hAnsi="宋体"/>
                <w:bCs/>
                <w:color w:val="auto"/>
              </w:rPr>
            </w:pPr>
            <w:r>
              <w:rPr>
                <w:rFonts w:ascii="宋体" w:hAnsi="宋体"/>
                <w:bCs/>
                <w:color w:val="auto"/>
              </w:rPr>
              <w:t>2.9</w:t>
            </w:r>
          </w:p>
        </w:tc>
      </w:tr>
      <w:tr w14:paraId="2DEE6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757DB1A6">
            <w:pPr>
              <w:jc w:val="center"/>
              <w:rPr>
                <w:rFonts w:ascii="宋体" w:hAnsi="宋体"/>
                <w:color w:val="auto"/>
              </w:rPr>
            </w:pPr>
          </w:p>
        </w:tc>
        <w:tc>
          <w:tcPr>
            <w:tcW w:w="461" w:type="pct"/>
            <w:vAlign w:val="center"/>
          </w:tcPr>
          <w:p w14:paraId="6DCE9735">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60" w:type="pct"/>
            <w:vAlign w:val="center"/>
          </w:tcPr>
          <w:p w14:paraId="19588896">
            <w:pPr>
              <w:jc w:val="center"/>
              <w:rPr>
                <w:rFonts w:ascii="宋体" w:hAnsi="宋体"/>
                <w:color w:val="auto"/>
              </w:rPr>
            </w:pPr>
            <w:r>
              <w:rPr>
                <w:rFonts w:ascii="宋体" w:hAnsi="宋体"/>
                <w:color w:val="auto"/>
              </w:rPr>
              <w:t>4.1</w:t>
            </w:r>
          </w:p>
        </w:tc>
        <w:tc>
          <w:tcPr>
            <w:tcW w:w="360" w:type="pct"/>
            <w:vAlign w:val="center"/>
          </w:tcPr>
          <w:p w14:paraId="7B2099CA">
            <w:pPr>
              <w:jc w:val="center"/>
              <w:rPr>
                <w:rFonts w:ascii="宋体" w:hAnsi="宋体"/>
                <w:color w:val="auto"/>
              </w:rPr>
            </w:pPr>
            <w:r>
              <w:rPr>
                <w:rFonts w:ascii="宋体" w:hAnsi="宋体"/>
                <w:color w:val="auto"/>
              </w:rPr>
              <w:t>3.4</w:t>
            </w:r>
          </w:p>
        </w:tc>
        <w:tc>
          <w:tcPr>
            <w:tcW w:w="360" w:type="pct"/>
            <w:vAlign w:val="center"/>
          </w:tcPr>
          <w:p w14:paraId="735BD19D">
            <w:pPr>
              <w:jc w:val="center"/>
              <w:rPr>
                <w:rFonts w:ascii="宋体" w:hAnsi="宋体"/>
                <w:color w:val="auto"/>
              </w:rPr>
            </w:pPr>
            <w:r>
              <w:rPr>
                <w:rFonts w:ascii="宋体" w:hAnsi="宋体"/>
                <w:color w:val="auto"/>
              </w:rPr>
              <w:t>4.7</w:t>
            </w:r>
          </w:p>
        </w:tc>
        <w:tc>
          <w:tcPr>
            <w:tcW w:w="360" w:type="pct"/>
            <w:gridSpan w:val="2"/>
            <w:vAlign w:val="center"/>
          </w:tcPr>
          <w:p w14:paraId="074E33BC">
            <w:pPr>
              <w:jc w:val="center"/>
              <w:rPr>
                <w:rFonts w:ascii="宋体" w:hAnsi="宋体"/>
                <w:bCs/>
                <w:color w:val="auto"/>
              </w:rPr>
            </w:pPr>
            <w:r>
              <w:rPr>
                <w:rFonts w:ascii="宋体" w:hAnsi="宋体"/>
                <w:bCs/>
                <w:color w:val="auto"/>
              </w:rPr>
              <w:t>4.1</w:t>
            </w:r>
          </w:p>
        </w:tc>
        <w:tc>
          <w:tcPr>
            <w:tcW w:w="360" w:type="pct"/>
            <w:vAlign w:val="center"/>
          </w:tcPr>
          <w:p w14:paraId="05913D13">
            <w:pPr>
              <w:jc w:val="center"/>
              <w:rPr>
                <w:rFonts w:ascii="宋体" w:hAnsi="宋体"/>
                <w:color w:val="auto"/>
              </w:rPr>
            </w:pPr>
            <w:r>
              <w:rPr>
                <w:rFonts w:ascii="宋体" w:hAnsi="宋体"/>
                <w:color w:val="auto"/>
              </w:rPr>
              <w:t>3.9</w:t>
            </w:r>
          </w:p>
        </w:tc>
        <w:tc>
          <w:tcPr>
            <w:tcW w:w="360" w:type="pct"/>
            <w:vAlign w:val="center"/>
          </w:tcPr>
          <w:p w14:paraId="28FF6FA1">
            <w:pPr>
              <w:jc w:val="center"/>
              <w:rPr>
                <w:rFonts w:ascii="宋体" w:hAnsi="宋体"/>
                <w:color w:val="auto"/>
              </w:rPr>
            </w:pPr>
            <w:r>
              <w:rPr>
                <w:rFonts w:ascii="宋体" w:hAnsi="宋体"/>
                <w:color w:val="auto"/>
              </w:rPr>
              <w:t>3.2</w:t>
            </w:r>
          </w:p>
        </w:tc>
        <w:tc>
          <w:tcPr>
            <w:tcW w:w="360" w:type="pct"/>
            <w:vAlign w:val="center"/>
          </w:tcPr>
          <w:p w14:paraId="787787A4">
            <w:pPr>
              <w:jc w:val="center"/>
              <w:rPr>
                <w:rFonts w:ascii="宋体" w:hAnsi="宋体"/>
                <w:color w:val="auto"/>
              </w:rPr>
            </w:pPr>
            <w:r>
              <w:rPr>
                <w:rFonts w:ascii="宋体" w:hAnsi="宋体"/>
                <w:color w:val="auto"/>
              </w:rPr>
              <w:t>3.3</w:t>
            </w:r>
          </w:p>
        </w:tc>
        <w:tc>
          <w:tcPr>
            <w:tcW w:w="360" w:type="pct"/>
            <w:vAlign w:val="center"/>
          </w:tcPr>
          <w:p w14:paraId="00955416">
            <w:pPr>
              <w:jc w:val="center"/>
              <w:rPr>
                <w:rFonts w:ascii="宋体" w:hAnsi="宋体"/>
                <w:bCs/>
                <w:color w:val="auto"/>
              </w:rPr>
            </w:pPr>
            <w:r>
              <w:rPr>
                <w:rFonts w:ascii="宋体" w:hAnsi="宋体"/>
                <w:bCs/>
                <w:color w:val="auto"/>
              </w:rPr>
              <w:t>3.5</w:t>
            </w:r>
          </w:p>
        </w:tc>
        <w:tc>
          <w:tcPr>
            <w:tcW w:w="360" w:type="pct"/>
            <w:vAlign w:val="center"/>
          </w:tcPr>
          <w:p w14:paraId="27702F1C">
            <w:pPr>
              <w:jc w:val="center"/>
              <w:rPr>
                <w:rFonts w:ascii="宋体" w:hAnsi="宋体"/>
                <w:color w:val="auto"/>
              </w:rPr>
            </w:pPr>
            <w:r>
              <w:rPr>
                <w:rFonts w:ascii="宋体" w:hAnsi="宋体"/>
                <w:color w:val="auto"/>
              </w:rPr>
              <w:t>3.8</w:t>
            </w:r>
          </w:p>
        </w:tc>
        <w:tc>
          <w:tcPr>
            <w:tcW w:w="360" w:type="pct"/>
            <w:vAlign w:val="center"/>
          </w:tcPr>
          <w:p w14:paraId="4C78220A">
            <w:pPr>
              <w:jc w:val="center"/>
              <w:rPr>
                <w:rFonts w:ascii="宋体" w:hAnsi="宋体"/>
                <w:color w:val="auto"/>
              </w:rPr>
            </w:pPr>
            <w:r>
              <w:rPr>
                <w:rFonts w:ascii="宋体" w:hAnsi="宋体"/>
                <w:color w:val="auto"/>
              </w:rPr>
              <w:t>2.5</w:t>
            </w:r>
          </w:p>
        </w:tc>
        <w:tc>
          <w:tcPr>
            <w:tcW w:w="360" w:type="pct"/>
            <w:vAlign w:val="center"/>
          </w:tcPr>
          <w:p w14:paraId="66632DE7">
            <w:pPr>
              <w:jc w:val="center"/>
              <w:rPr>
                <w:rFonts w:ascii="宋体" w:hAnsi="宋体"/>
                <w:color w:val="auto"/>
              </w:rPr>
            </w:pPr>
            <w:r>
              <w:rPr>
                <w:rFonts w:ascii="宋体" w:hAnsi="宋体"/>
                <w:color w:val="auto"/>
              </w:rPr>
              <w:t>3.1</w:t>
            </w:r>
          </w:p>
        </w:tc>
        <w:tc>
          <w:tcPr>
            <w:tcW w:w="360" w:type="pct"/>
            <w:vAlign w:val="center"/>
          </w:tcPr>
          <w:p w14:paraId="044FE1B5">
            <w:pPr>
              <w:jc w:val="center"/>
              <w:rPr>
                <w:rFonts w:ascii="宋体" w:hAnsi="宋体"/>
                <w:bCs/>
                <w:color w:val="auto"/>
              </w:rPr>
            </w:pPr>
            <w:r>
              <w:rPr>
                <w:rFonts w:ascii="宋体" w:hAnsi="宋体"/>
                <w:bCs/>
                <w:color w:val="auto"/>
              </w:rPr>
              <w:t>3.1</w:t>
            </w:r>
          </w:p>
        </w:tc>
      </w:tr>
      <w:tr w14:paraId="66F4D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24CBBFDF">
            <w:pPr>
              <w:jc w:val="center"/>
              <w:rPr>
                <w:rFonts w:ascii="宋体" w:hAnsi="宋体"/>
                <w:color w:val="auto"/>
              </w:rPr>
            </w:pPr>
          </w:p>
        </w:tc>
        <w:tc>
          <w:tcPr>
            <w:tcW w:w="461" w:type="pct"/>
            <w:vAlign w:val="center"/>
          </w:tcPr>
          <w:p w14:paraId="23A89E81">
            <w:pPr>
              <w:jc w:val="center"/>
              <w:rPr>
                <w:rFonts w:ascii="宋体" w:hAnsi="宋体"/>
                <w:color w:val="auto"/>
              </w:rPr>
            </w:pPr>
            <w:r>
              <w:rPr>
                <w:rFonts w:ascii="宋体" w:hAnsi="宋体"/>
                <w:color w:val="auto"/>
              </w:rPr>
              <w:t>排放速率/（kg/h）</w:t>
            </w:r>
          </w:p>
        </w:tc>
        <w:tc>
          <w:tcPr>
            <w:tcW w:w="360" w:type="pct"/>
            <w:vAlign w:val="center"/>
          </w:tcPr>
          <w:p w14:paraId="3EE02B26">
            <w:pPr>
              <w:jc w:val="center"/>
              <w:rPr>
                <w:rFonts w:ascii="宋体" w:hAnsi="宋体"/>
                <w:color w:val="auto"/>
              </w:rPr>
            </w:pPr>
            <w:r>
              <w:rPr>
                <w:rFonts w:ascii="宋体" w:hAnsi="宋体"/>
                <w:color w:val="auto"/>
              </w:rPr>
              <w:t>9.9×10</w:t>
            </w:r>
            <w:r>
              <w:rPr>
                <w:rFonts w:ascii="宋体" w:hAnsi="宋体"/>
                <w:color w:val="auto"/>
                <w:vertAlign w:val="superscript"/>
              </w:rPr>
              <w:t>-4</w:t>
            </w:r>
          </w:p>
        </w:tc>
        <w:tc>
          <w:tcPr>
            <w:tcW w:w="360" w:type="pct"/>
            <w:vAlign w:val="center"/>
          </w:tcPr>
          <w:p w14:paraId="6CA4D380">
            <w:pPr>
              <w:jc w:val="center"/>
              <w:rPr>
                <w:rFonts w:ascii="宋体" w:hAnsi="宋体"/>
                <w:color w:val="auto"/>
              </w:rPr>
            </w:pPr>
            <w:r>
              <w:rPr>
                <w:rFonts w:ascii="宋体" w:hAnsi="宋体"/>
                <w:color w:val="auto"/>
              </w:rPr>
              <w:t>9.5×10</w:t>
            </w:r>
            <w:r>
              <w:rPr>
                <w:rFonts w:ascii="宋体" w:hAnsi="宋体"/>
                <w:color w:val="auto"/>
                <w:vertAlign w:val="superscript"/>
              </w:rPr>
              <w:t>-4</w:t>
            </w:r>
          </w:p>
        </w:tc>
        <w:tc>
          <w:tcPr>
            <w:tcW w:w="360" w:type="pct"/>
            <w:vAlign w:val="center"/>
          </w:tcPr>
          <w:p w14:paraId="0EF458F3">
            <w:pPr>
              <w:jc w:val="center"/>
              <w:rPr>
                <w:rFonts w:ascii="宋体" w:hAnsi="宋体"/>
                <w:color w:val="auto"/>
              </w:rPr>
            </w:pPr>
            <w:r>
              <w:rPr>
                <w:rFonts w:ascii="宋体" w:hAnsi="宋体"/>
                <w:color w:val="auto"/>
              </w:rPr>
              <w:t>1.4×10</w:t>
            </w:r>
            <w:r>
              <w:rPr>
                <w:rFonts w:ascii="宋体" w:hAnsi="宋体"/>
                <w:color w:val="auto"/>
                <w:vertAlign w:val="superscript"/>
              </w:rPr>
              <w:t>-3</w:t>
            </w:r>
          </w:p>
        </w:tc>
        <w:tc>
          <w:tcPr>
            <w:tcW w:w="360" w:type="pct"/>
            <w:gridSpan w:val="2"/>
            <w:vAlign w:val="center"/>
          </w:tcPr>
          <w:p w14:paraId="2F25D787">
            <w:pPr>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60" w:type="pct"/>
            <w:vAlign w:val="center"/>
          </w:tcPr>
          <w:p w14:paraId="351163E7">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60" w:type="pct"/>
            <w:vAlign w:val="center"/>
          </w:tcPr>
          <w:p w14:paraId="27940BD2">
            <w:pPr>
              <w:jc w:val="center"/>
              <w:rPr>
                <w:rFonts w:ascii="宋体" w:hAnsi="宋体"/>
                <w:color w:val="auto"/>
              </w:rPr>
            </w:pPr>
            <w:r>
              <w:rPr>
                <w:rFonts w:ascii="宋体" w:hAnsi="宋体"/>
                <w:color w:val="auto"/>
              </w:rPr>
              <w:t>9.6×10</w:t>
            </w:r>
            <w:r>
              <w:rPr>
                <w:rFonts w:ascii="宋体" w:hAnsi="宋体"/>
                <w:color w:val="auto"/>
                <w:vertAlign w:val="superscript"/>
              </w:rPr>
              <w:t>-4</w:t>
            </w:r>
          </w:p>
        </w:tc>
        <w:tc>
          <w:tcPr>
            <w:tcW w:w="360" w:type="pct"/>
            <w:vAlign w:val="center"/>
          </w:tcPr>
          <w:p w14:paraId="7A0FAB97">
            <w:pPr>
              <w:jc w:val="center"/>
              <w:rPr>
                <w:rFonts w:ascii="宋体" w:hAnsi="宋体"/>
                <w:color w:val="auto"/>
              </w:rPr>
            </w:pPr>
            <w:r>
              <w:rPr>
                <w:rFonts w:ascii="宋体" w:hAnsi="宋体"/>
                <w:color w:val="auto"/>
              </w:rPr>
              <w:t>9.5×10</w:t>
            </w:r>
            <w:r>
              <w:rPr>
                <w:rFonts w:ascii="宋体" w:hAnsi="宋体"/>
                <w:color w:val="auto"/>
                <w:vertAlign w:val="superscript"/>
              </w:rPr>
              <w:t>-4</w:t>
            </w:r>
          </w:p>
        </w:tc>
        <w:tc>
          <w:tcPr>
            <w:tcW w:w="360" w:type="pct"/>
            <w:vAlign w:val="center"/>
          </w:tcPr>
          <w:p w14:paraId="0A65C91F">
            <w:pPr>
              <w:jc w:val="center"/>
              <w:rPr>
                <w:rFonts w:ascii="宋体" w:hAnsi="宋体"/>
                <w:color w:val="auto"/>
              </w:rPr>
            </w:pPr>
            <w:r>
              <w:rPr>
                <w:rFonts w:ascii="宋体" w:hAnsi="宋体"/>
                <w:color w:val="auto"/>
              </w:rPr>
              <w:t>1.0×10</w:t>
            </w:r>
            <w:r>
              <w:rPr>
                <w:rFonts w:ascii="宋体" w:hAnsi="宋体"/>
                <w:color w:val="auto"/>
                <w:vertAlign w:val="superscript"/>
              </w:rPr>
              <w:t>-3</w:t>
            </w:r>
          </w:p>
        </w:tc>
        <w:tc>
          <w:tcPr>
            <w:tcW w:w="360" w:type="pct"/>
            <w:vAlign w:val="center"/>
          </w:tcPr>
          <w:p w14:paraId="3F507528">
            <w:pPr>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60" w:type="pct"/>
            <w:vAlign w:val="center"/>
          </w:tcPr>
          <w:p w14:paraId="5A6DC09A">
            <w:pPr>
              <w:jc w:val="center"/>
              <w:rPr>
                <w:rFonts w:ascii="宋体" w:hAnsi="宋体"/>
                <w:color w:val="auto"/>
              </w:rPr>
            </w:pPr>
            <w:r>
              <w:rPr>
                <w:rFonts w:ascii="宋体" w:hAnsi="宋体"/>
                <w:color w:val="auto"/>
              </w:rPr>
              <w:t>7.3×10</w:t>
            </w:r>
            <w:r>
              <w:rPr>
                <w:rFonts w:ascii="宋体" w:hAnsi="宋体"/>
                <w:color w:val="auto"/>
                <w:vertAlign w:val="superscript"/>
              </w:rPr>
              <w:t>-4</w:t>
            </w:r>
          </w:p>
        </w:tc>
        <w:tc>
          <w:tcPr>
            <w:tcW w:w="360" w:type="pct"/>
            <w:vAlign w:val="center"/>
          </w:tcPr>
          <w:p w14:paraId="0D1F4D53">
            <w:pPr>
              <w:jc w:val="center"/>
              <w:rPr>
                <w:rFonts w:ascii="宋体" w:hAnsi="宋体"/>
                <w:color w:val="auto"/>
              </w:rPr>
            </w:pPr>
            <w:r>
              <w:rPr>
                <w:rFonts w:ascii="宋体" w:hAnsi="宋体"/>
                <w:color w:val="auto"/>
              </w:rPr>
              <w:t>9.2×10</w:t>
            </w:r>
            <w:r>
              <w:rPr>
                <w:rFonts w:ascii="宋体" w:hAnsi="宋体"/>
                <w:color w:val="auto"/>
                <w:vertAlign w:val="superscript"/>
              </w:rPr>
              <w:t>-4</w:t>
            </w:r>
          </w:p>
        </w:tc>
        <w:tc>
          <w:tcPr>
            <w:tcW w:w="360" w:type="pct"/>
            <w:vAlign w:val="center"/>
          </w:tcPr>
          <w:p w14:paraId="77304C9D">
            <w:pPr>
              <w:jc w:val="center"/>
              <w:rPr>
                <w:rFonts w:ascii="宋体" w:hAnsi="宋体"/>
                <w:color w:val="auto"/>
              </w:rPr>
            </w:pPr>
            <w:r>
              <w:rPr>
                <w:rFonts w:ascii="宋体" w:hAnsi="宋体"/>
                <w:color w:val="auto"/>
              </w:rPr>
              <w:t>9.2×10</w:t>
            </w:r>
            <w:r>
              <w:rPr>
                <w:rFonts w:ascii="宋体" w:hAnsi="宋体"/>
                <w:color w:val="auto"/>
                <w:vertAlign w:val="superscript"/>
              </w:rPr>
              <w:t>-4</w:t>
            </w:r>
          </w:p>
        </w:tc>
      </w:tr>
      <w:tr w14:paraId="333B9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restart"/>
            <w:vAlign w:val="center"/>
          </w:tcPr>
          <w:p w14:paraId="1CEB3FC0">
            <w:pPr>
              <w:jc w:val="center"/>
              <w:rPr>
                <w:rFonts w:ascii="宋体" w:hAnsi="宋体"/>
                <w:color w:val="auto"/>
              </w:rPr>
            </w:pPr>
            <w:r>
              <w:rPr>
                <w:rFonts w:ascii="宋体" w:hAnsi="宋体"/>
                <w:color w:val="auto"/>
              </w:rPr>
              <w:t>二氧化硫</w:t>
            </w:r>
          </w:p>
        </w:tc>
        <w:tc>
          <w:tcPr>
            <w:tcW w:w="461" w:type="pct"/>
            <w:vAlign w:val="center"/>
          </w:tcPr>
          <w:p w14:paraId="67252A49">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60" w:type="pct"/>
            <w:vAlign w:val="center"/>
          </w:tcPr>
          <w:p w14:paraId="207DCF55">
            <w:pPr>
              <w:jc w:val="center"/>
              <w:rPr>
                <w:rFonts w:ascii="宋体" w:hAnsi="宋体"/>
                <w:color w:val="auto"/>
              </w:rPr>
            </w:pPr>
            <w:r>
              <w:rPr>
                <w:rFonts w:ascii="宋体" w:hAnsi="宋体"/>
                <w:color w:val="auto"/>
              </w:rPr>
              <w:t>3L</w:t>
            </w:r>
          </w:p>
        </w:tc>
        <w:tc>
          <w:tcPr>
            <w:tcW w:w="360" w:type="pct"/>
            <w:vAlign w:val="center"/>
          </w:tcPr>
          <w:p w14:paraId="17F51A28">
            <w:pPr>
              <w:jc w:val="center"/>
              <w:rPr>
                <w:rFonts w:ascii="宋体" w:hAnsi="宋体"/>
                <w:color w:val="auto"/>
              </w:rPr>
            </w:pPr>
            <w:r>
              <w:rPr>
                <w:rFonts w:ascii="宋体" w:hAnsi="宋体"/>
                <w:color w:val="auto"/>
              </w:rPr>
              <w:t>3L</w:t>
            </w:r>
          </w:p>
        </w:tc>
        <w:tc>
          <w:tcPr>
            <w:tcW w:w="360" w:type="pct"/>
            <w:vAlign w:val="center"/>
          </w:tcPr>
          <w:p w14:paraId="7C7F82F8">
            <w:pPr>
              <w:jc w:val="center"/>
              <w:rPr>
                <w:rFonts w:ascii="宋体" w:hAnsi="宋体"/>
                <w:color w:val="auto"/>
              </w:rPr>
            </w:pPr>
            <w:r>
              <w:rPr>
                <w:rFonts w:ascii="宋体" w:hAnsi="宋体"/>
                <w:color w:val="auto"/>
              </w:rPr>
              <w:t>3L</w:t>
            </w:r>
          </w:p>
        </w:tc>
        <w:tc>
          <w:tcPr>
            <w:tcW w:w="360" w:type="pct"/>
            <w:gridSpan w:val="2"/>
            <w:vAlign w:val="center"/>
          </w:tcPr>
          <w:p w14:paraId="456DB27B">
            <w:pPr>
              <w:jc w:val="center"/>
              <w:rPr>
                <w:rFonts w:ascii="宋体" w:hAnsi="宋体"/>
                <w:color w:val="auto"/>
              </w:rPr>
            </w:pPr>
            <w:r>
              <w:rPr>
                <w:rFonts w:ascii="宋体" w:hAnsi="宋体"/>
                <w:color w:val="auto"/>
              </w:rPr>
              <w:t>3L</w:t>
            </w:r>
          </w:p>
        </w:tc>
        <w:tc>
          <w:tcPr>
            <w:tcW w:w="360" w:type="pct"/>
            <w:vAlign w:val="center"/>
          </w:tcPr>
          <w:p w14:paraId="6B8E5F2C">
            <w:pPr>
              <w:jc w:val="center"/>
              <w:rPr>
                <w:rFonts w:ascii="宋体" w:hAnsi="宋体"/>
                <w:color w:val="auto"/>
              </w:rPr>
            </w:pPr>
            <w:r>
              <w:rPr>
                <w:rFonts w:ascii="宋体" w:hAnsi="宋体"/>
                <w:color w:val="auto"/>
              </w:rPr>
              <w:t>3L</w:t>
            </w:r>
          </w:p>
        </w:tc>
        <w:tc>
          <w:tcPr>
            <w:tcW w:w="360" w:type="pct"/>
            <w:vAlign w:val="center"/>
          </w:tcPr>
          <w:p w14:paraId="7F668A6B">
            <w:pPr>
              <w:jc w:val="center"/>
              <w:rPr>
                <w:rFonts w:ascii="宋体" w:hAnsi="宋体"/>
                <w:color w:val="auto"/>
              </w:rPr>
            </w:pPr>
            <w:r>
              <w:rPr>
                <w:rFonts w:ascii="宋体" w:hAnsi="宋体"/>
                <w:color w:val="auto"/>
              </w:rPr>
              <w:t>3L</w:t>
            </w:r>
          </w:p>
        </w:tc>
        <w:tc>
          <w:tcPr>
            <w:tcW w:w="360" w:type="pct"/>
            <w:vAlign w:val="center"/>
          </w:tcPr>
          <w:p w14:paraId="60A47508">
            <w:pPr>
              <w:jc w:val="center"/>
              <w:rPr>
                <w:rFonts w:ascii="宋体" w:hAnsi="宋体"/>
                <w:color w:val="auto"/>
              </w:rPr>
            </w:pPr>
            <w:r>
              <w:rPr>
                <w:rFonts w:ascii="宋体" w:hAnsi="宋体"/>
                <w:color w:val="auto"/>
              </w:rPr>
              <w:t>3L</w:t>
            </w:r>
          </w:p>
        </w:tc>
        <w:tc>
          <w:tcPr>
            <w:tcW w:w="360" w:type="pct"/>
            <w:vAlign w:val="center"/>
          </w:tcPr>
          <w:p w14:paraId="2E202A84">
            <w:pPr>
              <w:jc w:val="center"/>
              <w:rPr>
                <w:rFonts w:ascii="宋体" w:hAnsi="宋体"/>
                <w:color w:val="auto"/>
              </w:rPr>
            </w:pPr>
            <w:r>
              <w:rPr>
                <w:rFonts w:ascii="宋体" w:hAnsi="宋体"/>
                <w:color w:val="auto"/>
              </w:rPr>
              <w:t>3L</w:t>
            </w:r>
          </w:p>
        </w:tc>
        <w:tc>
          <w:tcPr>
            <w:tcW w:w="360" w:type="pct"/>
            <w:vAlign w:val="center"/>
          </w:tcPr>
          <w:p w14:paraId="6D8F8CFB">
            <w:pPr>
              <w:jc w:val="center"/>
              <w:rPr>
                <w:rFonts w:ascii="宋体" w:hAnsi="宋体"/>
                <w:color w:val="auto"/>
              </w:rPr>
            </w:pPr>
            <w:r>
              <w:rPr>
                <w:rFonts w:ascii="宋体" w:hAnsi="宋体"/>
                <w:color w:val="auto"/>
              </w:rPr>
              <w:t>3L</w:t>
            </w:r>
          </w:p>
        </w:tc>
        <w:tc>
          <w:tcPr>
            <w:tcW w:w="360" w:type="pct"/>
            <w:vAlign w:val="center"/>
          </w:tcPr>
          <w:p w14:paraId="3B80842A">
            <w:pPr>
              <w:jc w:val="center"/>
              <w:rPr>
                <w:rFonts w:ascii="宋体" w:hAnsi="宋体"/>
                <w:color w:val="auto"/>
              </w:rPr>
            </w:pPr>
            <w:r>
              <w:rPr>
                <w:rFonts w:ascii="宋体" w:hAnsi="宋体"/>
                <w:color w:val="auto"/>
              </w:rPr>
              <w:t>3L</w:t>
            </w:r>
          </w:p>
        </w:tc>
        <w:tc>
          <w:tcPr>
            <w:tcW w:w="360" w:type="pct"/>
            <w:vAlign w:val="center"/>
          </w:tcPr>
          <w:p w14:paraId="6949893F">
            <w:pPr>
              <w:jc w:val="center"/>
              <w:rPr>
                <w:rFonts w:ascii="宋体" w:hAnsi="宋体"/>
                <w:color w:val="auto"/>
              </w:rPr>
            </w:pPr>
            <w:r>
              <w:rPr>
                <w:rFonts w:ascii="宋体" w:hAnsi="宋体"/>
                <w:color w:val="auto"/>
              </w:rPr>
              <w:t>3L</w:t>
            </w:r>
          </w:p>
        </w:tc>
        <w:tc>
          <w:tcPr>
            <w:tcW w:w="360" w:type="pct"/>
            <w:vAlign w:val="center"/>
          </w:tcPr>
          <w:p w14:paraId="6B079A26">
            <w:pPr>
              <w:jc w:val="center"/>
              <w:rPr>
                <w:rFonts w:ascii="宋体" w:hAnsi="宋体"/>
                <w:color w:val="auto"/>
              </w:rPr>
            </w:pPr>
            <w:r>
              <w:rPr>
                <w:rFonts w:ascii="宋体" w:hAnsi="宋体"/>
                <w:color w:val="auto"/>
              </w:rPr>
              <w:t>3L</w:t>
            </w:r>
          </w:p>
        </w:tc>
      </w:tr>
      <w:tr w14:paraId="01C69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4592130C">
            <w:pPr>
              <w:jc w:val="center"/>
              <w:rPr>
                <w:rFonts w:ascii="宋体" w:hAnsi="宋体"/>
                <w:color w:val="auto"/>
              </w:rPr>
            </w:pPr>
          </w:p>
        </w:tc>
        <w:tc>
          <w:tcPr>
            <w:tcW w:w="461" w:type="pct"/>
            <w:vAlign w:val="center"/>
          </w:tcPr>
          <w:p w14:paraId="346F6882">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60" w:type="pct"/>
            <w:vAlign w:val="center"/>
          </w:tcPr>
          <w:p w14:paraId="69EDF495">
            <w:pPr>
              <w:jc w:val="center"/>
              <w:rPr>
                <w:rFonts w:ascii="宋体" w:hAnsi="宋体"/>
                <w:color w:val="auto"/>
              </w:rPr>
            </w:pPr>
            <w:r>
              <w:rPr>
                <w:rFonts w:ascii="宋体" w:hAnsi="宋体"/>
                <w:color w:val="auto"/>
              </w:rPr>
              <w:t>3L</w:t>
            </w:r>
          </w:p>
        </w:tc>
        <w:tc>
          <w:tcPr>
            <w:tcW w:w="360" w:type="pct"/>
            <w:vAlign w:val="center"/>
          </w:tcPr>
          <w:p w14:paraId="4AEC9D9F">
            <w:pPr>
              <w:jc w:val="center"/>
              <w:rPr>
                <w:rFonts w:ascii="宋体" w:hAnsi="宋体"/>
                <w:color w:val="auto"/>
              </w:rPr>
            </w:pPr>
            <w:r>
              <w:rPr>
                <w:rFonts w:ascii="宋体" w:hAnsi="宋体"/>
                <w:color w:val="auto"/>
              </w:rPr>
              <w:t>3L</w:t>
            </w:r>
          </w:p>
        </w:tc>
        <w:tc>
          <w:tcPr>
            <w:tcW w:w="360" w:type="pct"/>
            <w:vAlign w:val="center"/>
          </w:tcPr>
          <w:p w14:paraId="4459B380">
            <w:pPr>
              <w:jc w:val="center"/>
              <w:rPr>
                <w:rFonts w:ascii="宋体" w:hAnsi="宋体"/>
                <w:color w:val="auto"/>
              </w:rPr>
            </w:pPr>
            <w:r>
              <w:rPr>
                <w:rFonts w:ascii="宋体" w:hAnsi="宋体"/>
                <w:color w:val="auto"/>
              </w:rPr>
              <w:t>3L</w:t>
            </w:r>
          </w:p>
        </w:tc>
        <w:tc>
          <w:tcPr>
            <w:tcW w:w="360" w:type="pct"/>
            <w:gridSpan w:val="2"/>
            <w:vAlign w:val="center"/>
          </w:tcPr>
          <w:p w14:paraId="5763AEFB">
            <w:pPr>
              <w:jc w:val="center"/>
              <w:rPr>
                <w:rFonts w:ascii="宋体" w:hAnsi="宋体"/>
                <w:color w:val="auto"/>
              </w:rPr>
            </w:pPr>
            <w:r>
              <w:rPr>
                <w:rFonts w:ascii="宋体" w:hAnsi="宋体"/>
                <w:color w:val="auto"/>
              </w:rPr>
              <w:t>3L</w:t>
            </w:r>
          </w:p>
        </w:tc>
        <w:tc>
          <w:tcPr>
            <w:tcW w:w="360" w:type="pct"/>
            <w:vAlign w:val="center"/>
          </w:tcPr>
          <w:p w14:paraId="55964D35">
            <w:pPr>
              <w:jc w:val="center"/>
              <w:rPr>
                <w:rFonts w:ascii="宋体" w:hAnsi="宋体"/>
                <w:color w:val="auto"/>
              </w:rPr>
            </w:pPr>
            <w:r>
              <w:rPr>
                <w:rFonts w:ascii="宋体" w:hAnsi="宋体"/>
                <w:color w:val="auto"/>
              </w:rPr>
              <w:t>3L</w:t>
            </w:r>
          </w:p>
        </w:tc>
        <w:tc>
          <w:tcPr>
            <w:tcW w:w="360" w:type="pct"/>
            <w:vAlign w:val="center"/>
          </w:tcPr>
          <w:p w14:paraId="127FBD75">
            <w:pPr>
              <w:jc w:val="center"/>
              <w:rPr>
                <w:rFonts w:ascii="宋体" w:hAnsi="宋体"/>
                <w:color w:val="auto"/>
              </w:rPr>
            </w:pPr>
            <w:r>
              <w:rPr>
                <w:rFonts w:ascii="宋体" w:hAnsi="宋体"/>
                <w:color w:val="auto"/>
              </w:rPr>
              <w:t>3L</w:t>
            </w:r>
          </w:p>
        </w:tc>
        <w:tc>
          <w:tcPr>
            <w:tcW w:w="360" w:type="pct"/>
            <w:vAlign w:val="center"/>
          </w:tcPr>
          <w:p w14:paraId="6D137D82">
            <w:pPr>
              <w:jc w:val="center"/>
              <w:rPr>
                <w:rFonts w:ascii="宋体" w:hAnsi="宋体"/>
                <w:color w:val="auto"/>
              </w:rPr>
            </w:pPr>
            <w:r>
              <w:rPr>
                <w:rFonts w:ascii="宋体" w:hAnsi="宋体"/>
                <w:color w:val="auto"/>
              </w:rPr>
              <w:t>3L</w:t>
            </w:r>
          </w:p>
        </w:tc>
        <w:tc>
          <w:tcPr>
            <w:tcW w:w="360" w:type="pct"/>
            <w:vAlign w:val="center"/>
          </w:tcPr>
          <w:p w14:paraId="03D16E32">
            <w:pPr>
              <w:jc w:val="center"/>
              <w:rPr>
                <w:rFonts w:ascii="宋体" w:hAnsi="宋体"/>
                <w:color w:val="auto"/>
              </w:rPr>
            </w:pPr>
            <w:r>
              <w:rPr>
                <w:rFonts w:ascii="宋体" w:hAnsi="宋体"/>
                <w:color w:val="auto"/>
              </w:rPr>
              <w:t>3L</w:t>
            </w:r>
          </w:p>
        </w:tc>
        <w:tc>
          <w:tcPr>
            <w:tcW w:w="360" w:type="pct"/>
            <w:vAlign w:val="center"/>
          </w:tcPr>
          <w:p w14:paraId="2DB535EA">
            <w:pPr>
              <w:jc w:val="center"/>
              <w:rPr>
                <w:rFonts w:ascii="宋体" w:hAnsi="宋体"/>
                <w:color w:val="auto"/>
              </w:rPr>
            </w:pPr>
            <w:r>
              <w:rPr>
                <w:rFonts w:ascii="宋体" w:hAnsi="宋体"/>
                <w:color w:val="auto"/>
              </w:rPr>
              <w:t>3L</w:t>
            </w:r>
          </w:p>
        </w:tc>
        <w:tc>
          <w:tcPr>
            <w:tcW w:w="360" w:type="pct"/>
            <w:vAlign w:val="center"/>
          </w:tcPr>
          <w:p w14:paraId="7B82A202">
            <w:pPr>
              <w:jc w:val="center"/>
              <w:rPr>
                <w:rFonts w:ascii="宋体" w:hAnsi="宋体"/>
                <w:color w:val="auto"/>
              </w:rPr>
            </w:pPr>
            <w:r>
              <w:rPr>
                <w:rFonts w:ascii="宋体" w:hAnsi="宋体"/>
                <w:color w:val="auto"/>
              </w:rPr>
              <w:t>3L</w:t>
            </w:r>
          </w:p>
        </w:tc>
        <w:tc>
          <w:tcPr>
            <w:tcW w:w="360" w:type="pct"/>
            <w:vAlign w:val="center"/>
          </w:tcPr>
          <w:p w14:paraId="726AEE12">
            <w:pPr>
              <w:jc w:val="center"/>
              <w:rPr>
                <w:rFonts w:ascii="宋体" w:hAnsi="宋体"/>
                <w:color w:val="auto"/>
              </w:rPr>
            </w:pPr>
            <w:r>
              <w:rPr>
                <w:rFonts w:ascii="宋体" w:hAnsi="宋体"/>
                <w:color w:val="auto"/>
              </w:rPr>
              <w:t>3L</w:t>
            </w:r>
          </w:p>
        </w:tc>
        <w:tc>
          <w:tcPr>
            <w:tcW w:w="360" w:type="pct"/>
            <w:vAlign w:val="center"/>
          </w:tcPr>
          <w:p w14:paraId="2B4E6F24">
            <w:pPr>
              <w:jc w:val="center"/>
              <w:rPr>
                <w:rFonts w:ascii="宋体" w:hAnsi="宋体"/>
                <w:color w:val="auto"/>
              </w:rPr>
            </w:pPr>
            <w:r>
              <w:rPr>
                <w:rFonts w:ascii="宋体" w:hAnsi="宋体"/>
                <w:color w:val="auto"/>
              </w:rPr>
              <w:t>3L</w:t>
            </w:r>
          </w:p>
        </w:tc>
      </w:tr>
      <w:tr w14:paraId="2F1E4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371B5B8A">
            <w:pPr>
              <w:jc w:val="center"/>
              <w:rPr>
                <w:rFonts w:ascii="宋体" w:hAnsi="宋体"/>
                <w:color w:val="auto"/>
              </w:rPr>
            </w:pPr>
          </w:p>
        </w:tc>
        <w:tc>
          <w:tcPr>
            <w:tcW w:w="461" w:type="pct"/>
            <w:vAlign w:val="center"/>
          </w:tcPr>
          <w:p w14:paraId="0A7521F2">
            <w:pPr>
              <w:jc w:val="center"/>
              <w:rPr>
                <w:rFonts w:ascii="宋体" w:hAnsi="宋体"/>
                <w:color w:val="auto"/>
              </w:rPr>
            </w:pPr>
            <w:r>
              <w:rPr>
                <w:rFonts w:ascii="宋体" w:hAnsi="宋体"/>
                <w:color w:val="auto"/>
              </w:rPr>
              <w:t>排放速率/（kg/h）</w:t>
            </w:r>
          </w:p>
        </w:tc>
        <w:tc>
          <w:tcPr>
            <w:tcW w:w="360" w:type="pct"/>
            <w:vAlign w:val="center"/>
          </w:tcPr>
          <w:p w14:paraId="74011840">
            <w:pPr>
              <w:jc w:val="center"/>
              <w:rPr>
                <w:rFonts w:ascii="宋体" w:hAnsi="宋体"/>
                <w:color w:val="auto"/>
              </w:rPr>
            </w:pPr>
            <w:r>
              <w:rPr>
                <w:rFonts w:ascii="宋体" w:hAnsi="宋体"/>
                <w:color w:val="auto"/>
              </w:rPr>
              <w:t>/</w:t>
            </w:r>
          </w:p>
        </w:tc>
        <w:tc>
          <w:tcPr>
            <w:tcW w:w="360" w:type="pct"/>
            <w:vAlign w:val="center"/>
          </w:tcPr>
          <w:p w14:paraId="1AC42B3C">
            <w:pPr>
              <w:jc w:val="center"/>
              <w:rPr>
                <w:rFonts w:ascii="宋体" w:hAnsi="宋体"/>
                <w:color w:val="auto"/>
              </w:rPr>
            </w:pPr>
            <w:r>
              <w:rPr>
                <w:rFonts w:ascii="宋体" w:hAnsi="宋体"/>
                <w:color w:val="auto"/>
              </w:rPr>
              <w:t>/</w:t>
            </w:r>
          </w:p>
        </w:tc>
        <w:tc>
          <w:tcPr>
            <w:tcW w:w="360" w:type="pct"/>
            <w:vAlign w:val="center"/>
          </w:tcPr>
          <w:p w14:paraId="6CDE805B">
            <w:pPr>
              <w:jc w:val="center"/>
              <w:rPr>
                <w:rFonts w:ascii="宋体" w:hAnsi="宋体"/>
                <w:color w:val="auto"/>
              </w:rPr>
            </w:pPr>
            <w:r>
              <w:rPr>
                <w:rFonts w:ascii="宋体" w:hAnsi="宋体"/>
                <w:color w:val="auto"/>
              </w:rPr>
              <w:t>/</w:t>
            </w:r>
          </w:p>
        </w:tc>
        <w:tc>
          <w:tcPr>
            <w:tcW w:w="360" w:type="pct"/>
            <w:gridSpan w:val="2"/>
            <w:vAlign w:val="center"/>
          </w:tcPr>
          <w:p w14:paraId="0AF006A1">
            <w:pPr>
              <w:jc w:val="center"/>
              <w:rPr>
                <w:rFonts w:ascii="宋体" w:hAnsi="宋体"/>
                <w:color w:val="auto"/>
              </w:rPr>
            </w:pPr>
            <w:r>
              <w:rPr>
                <w:rFonts w:ascii="宋体" w:hAnsi="宋体"/>
                <w:color w:val="auto"/>
              </w:rPr>
              <w:t>/</w:t>
            </w:r>
          </w:p>
        </w:tc>
        <w:tc>
          <w:tcPr>
            <w:tcW w:w="360" w:type="pct"/>
            <w:vAlign w:val="center"/>
          </w:tcPr>
          <w:p w14:paraId="6B001172">
            <w:pPr>
              <w:jc w:val="center"/>
              <w:rPr>
                <w:rFonts w:ascii="宋体" w:hAnsi="宋体"/>
                <w:color w:val="auto"/>
              </w:rPr>
            </w:pPr>
            <w:r>
              <w:rPr>
                <w:rFonts w:ascii="宋体" w:hAnsi="宋体"/>
                <w:color w:val="auto"/>
              </w:rPr>
              <w:t>/</w:t>
            </w:r>
          </w:p>
        </w:tc>
        <w:tc>
          <w:tcPr>
            <w:tcW w:w="360" w:type="pct"/>
            <w:vAlign w:val="center"/>
          </w:tcPr>
          <w:p w14:paraId="56902ED7">
            <w:pPr>
              <w:jc w:val="center"/>
              <w:rPr>
                <w:rFonts w:ascii="宋体" w:hAnsi="宋体"/>
                <w:color w:val="auto"/>
              </w:rPr>
            </w:pPr>
            <w:r>
              <w:rPr>
                <w:rFonts w:ascii="宋体" w:hAnsi="宋体"/>
                <w:color w:val="auto"/>
              </w:rPr>
              <w:t>/</w:t>
            </w:r>
          </w:p>
        </w:tc>
        <w:tc>
          <w:tcPr>
            <w:tcW w:w="360" w:type="pct"/>
            <w:vAlign w:val="center"/>
          </w:tcPr>
          <w:p w14:paraId="7DA48223">
            <w:pPr>
              <w:jc w:val="center"/>
              <w:rPr>
                <w:rFonts w:ascii="宋体" w:hAnsi="宋体"/>
                <w:color w:val="auto"/>
              </w:rPr>
            </w:pPr>
            <w:r>
              <w:rPr>
                <w:rFonts w:ascii="宋体" w:hAnsi="宋体"/>
                <w:color w:val="auto"/>
              </w:rPr>
              <w:t>/</w:t>
            </w:r>
          </w:p>
        </w:tc>
        <w:tc>
          <w:tcPr>
            <w:tcW w:w="360" w:type="pct"/>
            <w:vAlign w:val="center"/>
          </w:tcPr>
          <w:p w14:paraId="3C6C754F">
            <w:pPr>
              <w:jc w:val="center"/>
              <w:rPr>
                <w:rFonts w:ascii="宋体" w:hAnsi="宋体"/>
                <w:color w:val="auto"/>
              </w:rPr>
            </w:pPr>
            <w:r>
              <w:rPr>
                <w:rFonts w:ascii="宋体" w:hAnsi="宋体"/>
                <w:color w:val="auto"/>
              </w:rPr>
              <w:t>/</w:t>
            </w:r>
          </w:p>
        </w:tc>
        <w:tc>
          <w:tcPr>
            <w:tcW w:w="360" w:type="pct"/>
            <w:vAlign w:val="center"/>
          </w:tcPr>
          <w:p w14:paraId="6109B3F5">
            <w:pPr>
              <w:jc w:val="center"/>
              <w:rPr>
                <w:rFonts w:ascii="宋体" w:hAnsi="宋体"/>
                <w:color w:val="auto"/>
              </w:rPr>
            </w:pPr>
            <w:r>
              <w:rPr>
                <w:rFonts w:ascii="宋体" w:hAnsi="宋体"/>
                <w:color w:val="auto"/>
              </w:rPr>
              <w:t>/</w:t>
            </w:r>
          </w:p>
        </w:tc>
        <w:tc>
          <w:tcPr>
            <w:tcW w:w="360" w:type="pct"/>
            <w:vAlign w:val="center"/>
          </w:tcPr>
          <w:p w14:paraId="72EE8C6D">
            <w:pPr>
              <w:jc w:val="center"/>
              <w:rPr>
                <w:rFonts w:ascii="宋体" w:hAnsi="宋体"/>
                <w:color w:val="auto"/>
              </w:rPr>
            </w:pPr>
            <w:r>
              <w:rPr>
                <w:rFonts w:ascii="宋体" w:hAnsi="宋体"/>
                <w:color w:val="auto"/>
              </w:rPr>
              <w:t>/</w:t>
            </w:r>
          </w:p>
        </w:tc>
        <w:tc>
          <w:tcPr>
            <w:tcW w:w="360" w:type="pct"/>
            <w:vAlign w:val="center"/>
          </w:tcPr>
          <w:p w14:paraId="025FA768">
            <w:pPr>
              <w:jc w:val="center"/>
              <w:rPr>
                <w:rFonts w:ascii="宋体" w:hAnsi="宋体"/>
                <w:color w:val="auto"/>
              </w:rPr>
            </w:pPr>
            <w:r>
              <w:rPr>
                <w:rFonts w:ascii="宋体" w:hAnsi="宋体"/>
                <w:color w:val="auto"/>
              </w:rPr>
              <w:t>/</w:t>
            </w:r>
          </w:p>
        </w:tc>
        <w:tc>
          <w:tcPr>
            <w:tcW w:w="360" w:type="pct"/>
            <w:vAlign w:val="center"/>
          </w:tcPr>
          <w:p w14:paraId="24A78E94">
            <w:pPr>
              <w:jc w:val="center"/>
              <w:rPr>
                <w:rFonts w:ascii="宋体" w:hAnsi="宋体"/>
                <w:color w:val="auto"/>
              </w:rPr>
            </w:pPr>
            <w:r>
              <w:rPr>
                <w:rFonts w:ascii="宋体" w:hAnsi="宋体"/>
                <w:color w:val="auto"/>
              </w:rPr>
              <w:t>/</w:t>
            </w:r>
          </w:p>
        </w:tc>
      </w:tr>
      <w:tr w14:paraId="464AE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restart"/>
            <w:vAlign w:val="center"/>
          </w:tcPr>
          <w:p w14:paraId="2BF70625">
            <w:pPr>
              <w:jc w:val="center"/>
              <w:rPr>
                <w:rFonts w:ascii="宋体" w:hAnsi="宋体"/>
                <w:color w:val="auto"/>
              </w:rPr>
            </w:pPr>
            <w:r>
              <w:rPr>
                <w:rFonts w:ascii="宋体" w:hAnsi="宋体"/>
                <w:color w:val="auto"/>
              </w:rPr>
              <w:t>氮氧化物</w:t>
            </w:r>
          </w:p>
        </w:tc>
        <w:tc>
          <w:tcPr>
            <w:tcW w:w="461" w:type="pct"/>
            <w:vAlign w:val="center"/>
          </w:tcPr>
          <w:p w14:paraId="2642053E">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60" w:type="pct"/>
            <w:vAlign w:val="center"/>
          </w:tcPr>
          <w:p w14:paraId="342687AC">
            <w:pPr>
              <w:jc w:val="center"/>
              <w:rPr>
                <w:rFonts w:ascii="宋体" w:hAnsi="宋体"/>
                <w:color w:val="auto"/>
              </w:rPr>
            </w:pPr>
            <w:r>
              <w:rPr>
                <w:rFonts w:ascii="宋体" w:hAnsi="宋体"/>
                <w:color w:val="auto"/>
              </w:rPr>
              <w:t>32</w:t>
            </w:r>
          </w:p>
        </w:tc>
        <w:tc>
          <w:tcPr>
            <w:tcW w:w="360" w:type="pct"/>
            <w:vAlign w:val="center"/>
          </w:tcPr>
          <w:p w14:paraId="35E43F08">
            <w:pPr>
              <w:jc w:val="center"/>
              <w:rPr>
                <w:rFonts w:ascii="宋体" w:hAnsi="宋体"/>
                <w:color w:val="auto"/>
              </w:rPr>
            </w:pPr>
            <w:r>
              <w:rPr>
                <w:rFonts w:ascii="宋体" w:hAnsi="宋体"/>
                <w:color w:val="auto"/>
              </w:rPr>
              <w:t>37</w:t>
            </w:r>
          </w:p>
        </w:tc>
        <w:tc>
          <w:tcPr>
            <w:tcW w:w="360" w:type="pct"/>
            <w:vAlign w:val="center"/>
          </w:tcPr>
          <w:p w14:paraId="6971326A">
            <w:pPr>
              <w:jc w:val="center"/>
              <w:rPr>
                <w:rFonts w:ascii="宋体" w:hAnsi="宋体"/>
                <w:color w:val="auto"/>
              </w:rPr>
            </w:pPr>
            <w:r>
              <w:rPr>
                <w:rFonts w:ascii="宋体" w:hAnsi="宋体"/>
                <w:color w:val="auto"/>
              </w:rPr>
              <w:t>37</w:t>
            </w:r>
          </w:p>
        </w:tc>
        <w:tc>
          <w:tcPr>
            <w:tcW w:w="360" w:type="pct"/>
            <w:gridSpan w:val="2"/>
            <w:vAlign w:val="center"/>
          </w:tcPr>
          <w:p w14:paraId="0C8AAFE8">
            <w:pPr>
              <w:jc w:val="center"/>
              <w:rPr>
                <w:rFonts w:ascii="宋体" w:hAnsi="宋体"/>
                <w:color w:val="auto"/>
              </w:rPr>
            </w:pPr>
            <w:r>
              <w:rPr>
                <w:rFonts w:ascii="宋体" w:hAnsi="宋体"/>
                <w:color w:val="auto"/>
              </w:rPr>
              <w:t>35</w:t>
            </w:r>
          </w:p>
        </w:tc>
        <w:tc>
          <w:tcPr>
            <w:tcW w:w="360" w:type="pct"/>
            <w:vAlign w:val="center"/>
          </w:tcPr>
          <w:p w14:paraId="724AEB35">
            <w:pPr>
              <w:jc w:val="center"/>
              <w:rPr>
                <w:rFonts w:ascii="宋体" w:hAnsi="宋体"/>
                <w:color w:val="auto"/>
              </w:rPr>
            </w:pPr>
            <w:r>
              <w:rPr>
                <w:rFonts w:ascii="宋体" w:hAnsi="宋体"/>
                <w:color w:val="auto"/>
              </w:rPr>
              <w:t>38</w:t>
            </w:r>
          </w:p>
        </w:tc>
        <w:tc>
          <w:tcPr>
            <w:tcW w:w="360" w:type="pct"/>
            <w:vAlign w:val="center"/>
          </w:tcPr>
          <w:p w14:paraId="5376C8CC">
            <w:pPr>
              <w:jc w:val="center"/>
              <w:rPr>
                <w:rFonts w:ascii="宋体" w:hAnsi="宋体"/>
                <w:color w:val="auto"/>
              </w:rPr>
            </w:pPr>
            <w:r>
              <w:rPr>
                <w:rFonts w:ascii="宋体" w:hAnsi="宋体"/>
                <w:color w:val="auto"/>
              </w:rPr>
              <w:t>38</w:t>
            </w:r>
          </w:p>
        </w:tc>
        <w:tc>
          <w:tcPr>
            <w:tcW w:w="360" w:type="pct"/>
            <w:vAlign w:val="center"/>
          </w:tcPr>
          <w:p w14:paraId="5AABC55F">
            <w:pPr>
              <w:jc w:val="center"/>
              <w:rPr>
                <w:rFonts w:ascii="宋体" w:hAnsi="宋体"/>
                <w:color w:val="auto"/>
              </w:rPr>
            </w:pPr>
            <w:r>
              <w:rPr>
                <w:rFonts w:ascii="宋体" w:hAnsi="宋体"/>
                <w:color w:val="auto"/>
              </w:rPr>
              <w:t>41</w:t>
            </w:r>
          </w:p>
        </w:tc>
        <w:tc>
          <w:tcPr>
            <w:tcW w:w="360" w:type="pct"/>
            <w:vAlign w:val="center"/>
          </w:tcPr>
          <w:p w14:paraId="1167E1CF">
            <w:pPr>
              <w:jc w:val="center"/>
              <w:rPr>
                <w:rFonts w:ascii="宋体" w:hAnsi="宋体"/>
                <w:color w:val="auto"/>
              </w:rPr>
            </w:pPr>
            <w:r>
              <w:rPr>
                <w:rFonts w:ascii="宋体" w:hAnsi="宋体"/>
                <w:color w:val="auto"/>
              </w:rPr>
              <w:t>39</w:t>
            </w:r>
          </w:p>
        </w:tc>
        <w:tc>
          <w:tcPr>
            <w:tcW w:w="360" w:type="pct"/>
            <w:vAlign w:val="center"/>
          </w:tcPr>
          <w:p w14:paraId="7E272A87">
            <w:pPr>
              <w:jc w:val="center"/>
              <w:rPr>
                <w:rFonts w:ascii="宋体" w:hAnsi="宋体"/>
                <w:color w:val="auto"/>
              </w:rPr>
            </w:pPr>
            <w:r>
              <w:rPr>
                <w:rFonts w:ascii="宋体" w:hAnsi="宋体"/>
                <w:color w:val="auto"/>
              </w:rPr>
              <w:t>41</w:t>
            </w:r>
          </w:p>
        </w:tc>
        <w:tc>
          <w:tcPr>
            <w:tcW w:w="360" w:type="pct"/>
            <w:vAlign w:val="center"/>
          </w:tcPr>
          <w:p w14:paraId="605E2FA6">
            <w:pPr>
              <w:jc w:val="center"/>
              <w:rPr>
                <w:rFonts w:ascii="宋体" w:hAnsi="宋体"/>
                <w:color w:val="auto"/>
              </w:rPr>
            </w:pPr>
            <w:r>
              <w:rPr>
                <w:rFonts w:ascii="宋体" w:hAnsi="宋体"/>
                <w:color w:val="auto"/>
              </w:rPr>
              <w:t>40</w:t>
            </w:r>
          </w:p>
        </w:tc>
        <w:tc>
          <w:tcPr>
            <w:tcW w:w="360" w:type="pct"/>
            <w:vAlign w:val="center"/>
          </w:tcPr>
          <w:p w14:paraId="268C8727">
            <w:pPr>
              <w:jc w:val="center"/>
              <w:rPr>
                <w:rFonts w:ascii="宋体" w:hAnsi="宋体"/>
                <w:color w:val="auto"/>
              </w:rPr>
            </w:pPr>
            <w:r>
              <w:rPr>
                <w:rFonts w:ascii="宋体" w:hAnsi="宋体"/>
                <w:color w:val="auto"/>
              </w:rPr>
              <w:t>38</w:t>
            </w:r>
          </w:p>
        </w:tc>
        <w:tc>
          <w:tcPr>
            <w:tcW w:w="360" w:type="pct"/>
            <w:vAlign w:val="center"/>
          </w:tcPr>
          <w:p w14:paraId="2EA03917">
            <w:pPr>
              <w:jc w:val="center"/>
              <w:rPr>
                <w:rFonts w:ascii="宋体" w:hAnsi="宋体"/>
                <w:color w:val="auto"/>
              </w:rPr>
            </w:pPr>
            <w:r>
              <w:rPr>
                <w:rFonts w:ascii="宋体" w:hAnsi="宋体"/>
                <w:color w:val="auto"/>
              </w:rPr>
              <w:t>40</w:t>
            </w:r>
          </w:p>
        </w:tc>
      </w:tr>
      <w:tr w14:paraId="1CB16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39241D88">
            <w:pPr>
              <w:jc w:val="center"/>
              <w:rPr>
                <w:rFonts w:ascii="宋体" w:hAnsi="宋体"/>
                <w:color w:val="auto"/>
              </w:rPr>
            </w:pPr>
          </w:p>
        </w:tc>
        <w:tc>
          <w:tcPr>
            <w:tcW w:w="461" w:type="pct"/>
            <w:vAlign w:val="center"/>
          </w:tcPr>
          <w:p w14:paraId="6D03E11C">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60" w:type="pct"/>
            <w:vAlign w:val="center"/>
          </w:tcPr>
          <w:p w14:paraId="468F16CB">
            <w:pPr>
              <w:jc w:val="center"/>
              <w:rPr>
                <w:rFonts w:ascii="宋体" w:hAnsi="宋体"/>
                <w:color w:val="auto"/>
              </w:rPr>
            </w:pPr>
            <w:r>
              <w:rPr>
                <w:rFonts w:ascii="宋体" w:hAnsi="宋体"/>
                <w:color w:val="auto"/>
              </w:rPr>
              <w:t>37</w:t>
            </w:r>
          </w:p>
        </w:tc>
        <w:tc>
          <w:tcPr>
            <w:tcW w:w="360" w:type="pct"/>
            <w:vAlign w:val="center"/>
          </w:tcPr>
          <w:p w14:paraId="5F1D3B70">
            <w:pPr>
              <w:jc w:val="center"/>
              <w:rPr>
                <w:rFonts w:ascii="宋体" w:hAnsi="宋体"/>
                <w:color w:val="auto"/>
              </w:rPr>
            </w:pPr>
            <w:r>
              <w:rPr>
                <w:rFonts w:ascii="宋体" w:hAnsi="宋体"/>
                <w:color w:val="auto"/>
              </w:rPr>
              <w:t>41</w:t>
            </w:r>
          </w:p>
        </w:tc>
        <w:tc>
          <w:tcPr>
            <w:tcW w:w="360" w:type="pct"/>
            <w:vAlign w:val="center"/>
          </w:tcPr>
          <w:p w14:paraId="73EFE220">
            <w:pPr>
              <w:jc w:val="center"/>
              <w:rPr>
                <w:rFonts w:ascii="宋体" w:hAnsi="宋体"/>
                <w:color w:val="auto"/>
              </w:rPr>
            </w:pPr>
            <w:r>
              <w:rPr>
                <w:rFonts w:ascii="宋体" w:hAnsi="宋体"/>
                <w:color w:val="auto"/>
              </w:rPr>
              <w:t>39</w:t>
            </w:r>
          </w:p>
        </w:tc>
        <w:tc>
          <w:tcPr>
            <w:tcW w:w="360" w:type="pct"/>
            <w:gridSpan w:val="2"/>
            <w:vAlign w:val="center"/>
          </w:tcPr>
          <w:p w14:paraId="2530DB18">
            <w:pPr>
              <w:jc w:val="center"/>
              <w:rPr>
                <w:rFonts w:ascii="宋体" w:hAnsi="宋体"/>
                <w:color w:val="auto"/>
              </w:rPr>
            </w:pPr>
            <w:r>
              <w:rPr>
                <w:rFonts w:ascii="宋体" w:hAnsi="宋体"/>
                <w:color w:val="auto"/>
              </w:rPr>
              <w:t>39</w:t>
            </w:r>
          </w:p>
        </w:tc>
        <w:tc>
          <w:tcPr>
            <w:tcW w:w="360" w:type="pct"/>
            <w:vAlign w:val="center"/>
          </w:tcPr>
          <w:p w14:paraId="48D61C67">
            <w:pPr>
              <w:jc w:val="center"/>
              <w:rPr>
                <w:rFonts w:ascii="宋体" w:hAnsi="宋体"/>
                <w:color w:val="auto"/>
              </w:rPr>
            </w:pPr>
            <w:r>
              <w:rPr>
                <w:rFonts w:ascii="宋体" w:hAnsi="宋体"/>
                <w:color w:val="auto"/>
              </w:rPr>
              <w:t>41</w:t>
            </w:r>
          </w:p>
        </w:tc>
        <w:tc>
          <w:tcPr>
            <w:tcW w:w="360" w:type="pct"/>
            <w:vAlign w:val="center"/>
          </w:tcPr>
          <w:p w14:paraId="6EDF2B8F">
            <w:pPr>
              <w:jc w:val="center"/>
              <w:rPr>
                <w:rFonts w:ascii="宋体" w:hAnsi="宋体"/>
                <w:color w:val="auto"/>
              </w:rPr>
            </w:pPr>
            <w:r>
              <w:rPr>
                <w:rFonts w:ascii="宋体" w:hAnsi="宋体"/>
                <w:color w:val="auto"/>
              </w:rPr>
              <w:t>40</w:t>
            </w:r>
          </w:p>
        </w:tc>
        <w:tc>
          <w:tcPr>
            <w:tcW w:w="360" w:type="pct"/>
            <w:vAlign w:val="center"/>
          </w:tcPr>
          <w:p w14:paraId="159F2118">
            <w:pPr>
              <w:jc w:val="center"/>
              <w:rPr>
                <w:rFonts w:ascii="宋体" w:hAnsi="宋体"/>
                <w:color w:val="auto"/>
              </w:rPr>
            </w:pPr>
            <w:r>
              <w:rPr>
                <w:rFonts w:ascii="宋体" w:hAnsi="宋体"/>
                <w:color w:val="auto"/>
              </w:rPr>
              <w:t>45</w:t>
            </w:r>
          </w:p>
        </w:tc>
        <w:tc>
          <w:tcPr>
            <w:tcW w:w="360" w:type="pct"/>
            <w:vAlign w:val="center"/>
          </w:tcPr>
          <w:p w14:paraId="24C0CAEB">
            <w:pPr>
              <w:jc w:val="center"/>
              <w:rPr>
                <w:rFonts w:ascii="宋体" w:hAnsi="宋体"/>
                <w:color w:val="auto"/>
              </w:rPr>
            </w:pPr>
            <w:r>
              <w:rPr>
                <w:rFonts w:ascii="宋体" w:hAnsi="宋体"/>
                <w:color w:val="auto"/>
              </w:rPr>
              <w:t>42</w:t>
            </w:r>
          </w:p>
        </w:tc>
        <w:tc>
          <w:tcPr>
            <w:tcW w:w="360" w:type="pct"/>
            <w:vAlign w:val="center"/>
          </w:tcPr>
          <w:p w14:paraId="2B3F8508">
            <w:pPr>
              <w:jc w:val="center"/>
              <w:rPr>
                <w:rFonts w:ascii="宋体" w:hAnsi="宋体"/>
                <w:color w:val="auto"/>
              </w:rPr>
            </w:pPr>
            <w:r>
              <w:rPr>
                <w:rFonts w:ascii="宋体" w:hAnsi="宋体"/>
                <w:color w:val="auto"/>
              </w:rPr>
              <w:t>45</w:t>
            </w:r>
          </w:p>
        </w:tc>
        <w:tc>
          <w:tcPr>
            <w:tcW w:w="360" w:type="pct"/>
            <w:vAlign w:val="center"/>
          </w:tcPr>
          <w:p w14:paraId="66CBB902">
            <w:pPr>
              <w:jc w:val="center"/>
              <w:rPr>
                <w:rFonts w:ascii="宋体" w:hAnsi="宋体"/>
                <w:color w:val="auto"/>
              </w:rPr>
            </w:pPr>
            <w:r>
              <w:rPr>
                <w:rFonts w:ascii="宋体" w:hAnsi="宋体"/>
                <w:color w:val="auto"/>
              </w:rPr>
              <w:t>43</w:t>
            </w:r>
          </w:p>
        </w:tc>
        <w:tc>
          <w:tcPr>
            <w:tcW w:w="360" w:type="pct"/>
            <w:vAlign w:val="center"/>
          </w:tcPr>
          <w:p w14:paraId="28CB9108">
            <w:pPr>
              <w:jc w:val="center"/>
              <w:rPr>
                <w:rFonts w:ascii="宋体" w:hAnsi="宋体"/>
                <w:color w:val="auto"/>
              </w:rPr>
            </w:pPr>
            <w:r>
              <w:rPr>
                <w:rFonts w:ascii="宋体" w:hAnsi="宋体"/>
                <w:color w:val="auto"/>
              </w:rPr>
              <w:t>40</w:t>
            </w:r>
          </w:p>
        </w:tc>
        <w:tc>
          <w:tcPr>
            <w:tcW w:w="360" w:type="pct"/>
            <w:vAlign w:val="center"/>
          </w:tcPr>
          <w:p w14:paraId="6F818C50">
            <w:pPr>
              <w:jc w:val="center"/>
              <w:rPr>
                <w:rFonts w:ascii="宋体" w:hAnsi="宋体"/>
                <w:color w:val="auto"/>
              </w:rPr>
            </w:pPr>
            <w:r>
              <w:rPr>
                <w:rFonts w:ascii="宋体" w:hAnsi="宋体"/>
                <w:color w:val="auto"/>
              </w:rPr>
              <w:t>43</w:t>
            </w:r>
          </w:p>
        </w:tc>
      </w:tr>
      <w:tr w14:paraId="5211C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Merge w:val="continue"/>
            <w:vAlign w:val="center"/>
          </w:tcPr>
          <w:p w14:paraId="2F3989EE">
            <w:pPr>
              <w:jc w:val="center"/>
              <w:rPr>
                <w:rFonts w:ascii="宋体" w:hAnsi="宋体"/>
                <w:color w:val="auto"/>
              </w:rPr>
            </w:pPr>
          </w:p>
        </w:tc>
        <w:tc>
          <w:tcPr>
            <w:tcW w:w="461" w:type="pct"/>
            <w:vAlign w:val="center"/>
          </w:tcPr>
          <w:p w14:paraId="554908E5">
            <w:pPr>
              <w:jc w:val="center"/>
              <w:rPr>
                <w:rFonts w:ascii="宋体" w:hAnsi="宋体"/>
                <w:color w:val="auto"/>
              </w:rPr>
            </w:pPr>
            <w:r>
              <w:rPr>
                <w:rFonts w:ascii="宋体" w:hAnsi="宋体"/>
                <w:color w:val="auto"/>
              </w:rPr>
              <w:t>排放速率/（kg/h）</w:t>
            </w:r>
          </w:p>
        </w:tc>
        <w:tc>
          <w:tcPr>
            <w:tcW w:w="360" w:type="pct"/>
            <w:vAlign w:val="center"/>
          </w:tcPr>
          <w:p w14:paraId="00C88A91">
            <w:pPr>
              <w:jc w:val="center"/>
              <w:rPr>
                <w:rFonts w:ascii="宋体" w:hAnsi="宋体"/>
                <w:color w:val="auto"/>
              </w:rPr>
            </w:pPr>
            <w:r>
              <w:rPr>
                <w:rFonts w:ascii="宋体" w:hAnsi="宋体"/>
                <w:color w:val="auto"/>
              </w:rPr>
              <w:t>8.8×10</w:t>
            </w:r>
            <w:r>
              <w:rPr>
                <w:rFonts w:ascii="宋体" w:hAnsi="宋体"/>
                <w:color w:val="auto"/>
                <w:vertAlign w:val="superscript"/>
              </w:rPr>
              <w:t>-3</w:t>
            </w:r>
          </w:p>
        </w:tc>
        <w:tc>
          <w:tcPr>
            <w:tcW w:w="360" w:type="pct"/>
            <w:vAlign w:val="center"/>
          </w:tcPr>
          <w:p w14:paraId="4C70ED97">
            <w:pPr>
              <w:jc w:val="center"/>
              <w:rPr>
                <w:rFonts w:ascii="宋体" w:hAnsi="宋体"/>
                <w:color w:val="auto"/>
              </w:rPr>
            </w:pPr>
            <w:r>
              <w:rPr>
                <w:rFonts w:ascii="宋体" w:hAnsi="宋体"/>
                <w:color w:val="auto"/>
              </w:rPr>
              <w:t>1.1×10</w:t>
            </w:r>
            <w:r>
              <w:rPr>
                <w:rFonts w:ascii="宋体" w:hAnsi="宋体"/>
                <w:color w:val="auto"/>
                <w:vertAlign w:val="superscript"/>
              </w:rPr>
              <w:t>-2</w:t>
            </w:r>
          </w:p>
        </w:tc>
        <w:tc>
          <w:tcPr>
            <w:tcW w:w="360" w:type="pct"/>
            <w:vAlign w:val="center"/>
          </w:tcPr>
          <w:p w14:paraId="05C90BFC">
            <w:pPr>
              <w:jc w:val="center"/>
              <w:rPr>
                <w:rFonts w:ascii="宋体" w:hAnsi="宋体"/>
                <w:color w:val="auto"/>
              </w:rPr>
            </w:pPr>
            <w:r>
              <w:rPr>
                <w:rFonts w:ascii="宋体" w:hAnsi="宋体"/>
                <w:color w:val="auto"/>
              </w:rPr>
              <w:t>1.1×10</w:t>
            </w:r>
            <w:r>
              <w:rPr>
                <w:rFonts w:ascii="宋体" w:hAnsi="宋体"/>
                <w:color w:val="auto"/>
                <w:vertAlign w:val="superscript"/>
              </w:rPr>
              <w:t>-2</w:t>
            </w:r>
          </w:p>
        </w:tc>
        <w:tc>
          <w:tcPr>
            <w:tcW w:w="360" w:type="pct"/>
            <w:gridSpan w:val="2"/>
            <w:vAlign w:val="center"/>
          </w:tcPr>
          <w:p w14:paraId="69547744">
            <w:pPr>
              <w:jc w:val="center"/>
              <w:rPr>
                <w:rFonts w:ascii="宋体" w:hAnsi="宋体"/>
                <w:color w:val="auto"/>
              </w:rPr>
            </w:pPr>
            <w:r>
              <w:rPr>
                <w:rFonts w:ascii="宋体" w:hAnsi="宋体"/>
                <w:color w:val="auto"/>
              </w:rPr>
              <w:t>1.0×10</w:t>
            </w:r>
            <w:r>
              <w:rPr>
                <w:rFonts w:ascii="宋体" w:hAnsi="宋体"/>
                <w:color w:val="auto"/>
                <w:vertAlign w:val="superscript"/>
              </w:rPr>
              <w:t>-2</w:t>
            </w:r>
          </w:p>
        </w:tc>
        <w:tc>
          <w:tcPr>
            <w:tcW w:w="360" w:type="pct"/>
            <w:vAlign w:val="center"/>
          </w:tcPr>
          <w:p w14:paraId="37E1D2BD">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60" w:type="pct"/>
            <w:vAlign w:val="center"/>
          </w:tcPr>
          <w:p w14:paraId="7A2F6CAD">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60" w:type="pct"/>
            <w:vAlign w:val="center"/>
          </w:tcPr>
          <w:p w14:paraId="6D7288CB">
            <w:pPr>
              <w:jc w:val="center"/>
              <w:rPr>
                <w:rFonts w:ascii="宋体" w:hAnsi="宋体"/>
                <w:color w:val="auto"/>
              </w:rPr>
            </w:pPr>
            <w:r>
              <w:rPr>
                <w:rFonts w:ascii="宋体" w:hAnsi="宋体"/>
                <w:color w:val="auto"/>
              </w:rPr>
              <w:t>1.3×10</w:t>
            </w:r>
            <w:r>
              <w:rPr>
                <w:rFonts w:ascii="宋体" w:hAnsi="宋体"/>
                <w:color w:val="auto"/>
                <w:vertAlign w:val="superscript"/>
              </w:rPr>
              <w:t>-2</w:t>
            </w:r>
          </w:p>
        </w:tc>
        <w:tc>
          <w:tcPr>
            <w:tcW w:w="360" w:type="pct"/>
            <w:vAlign w:val="center"/>
          </w:tcPr>
          <w:p w14:paraId="6C4182FE">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60" w:type="pct"/>
            <w:vAlign w:val="center"/>
          </w:tcPr>
          <w:p w14:paraId="556BA316">
            <w:pPr>
              <w:jc w:val="center"/>
              <w:rPr>
                <w:rFonts w:ascii="宋体" w:hAnsi="宋体"/>
                <w:color w:val="auto"/>
              </w:rPr>
            </w:pPr>
            <w:r>
              <w:rPr>
                <w:rFonts w:ascii="宋体" w:hAnsi="宋体"/>
                <w:color w:val="auto"/>
              </w:rPr>
              <w:t>1.3×10</w:t>
            </w:r>
            <w:r>
              <w:rPr>
                <w:rFonts w:ascii="宋体" w:hAnsi="宋体"/>
                <w:color w:val="auto"/>
                <w:vertAlign w:val="superscript"/>
              </w:rPr>
              <w:t>-2</w:t>
            </w:r>
          </w:p>
        </w:tc>
        <w:tc>
          <w:tcPr>
            <w:tcW w:w="360" w:type="pct"/>
            <w:vAlign w:val="center"/>
          </w:tcPr>
          <w:p w14:paraId="5BE72B86">
            <w:pPr>
              <w:jc w:val="center"/>
              <w:rPr>
                <w:rFonts w:ascii="宋体" w:hAnsi="宋体"/>
                <w:color w:val="auto"/>
              </w:rPr>
            </w:pPr>
            <w:r>
              <w:rPr>
                <w:rFonts w:ascii="宋体" w:hAnsi="宋体"/>
                <w:color w:val="auto"/>
              </w:rPr>
              <w:t>1.3×10</w:t>
            </w:r>
            <w:r>
              <w:rPr>
                <w:rFonts w:ascii="宋体" w:hAnsi="宋体"/>
                <w:color w:val="auto"/>
                <w:vertAlign w:val="superscript"/>
              </w:rPr>
              <w:t>-2</w:t>
            </w:r>
          </w:p>
        </w:tc>
        <w:tc>
          <w:tcPr>
            <w:tcW w:w="360" w:type="pct"/>
            <w:vAlign w:val="center"/>
          </w:tcPr>
          <w:p w14:paraId="1C6CCC3B">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60" w:type="pct"/>
            <w:vAlign w:val="center"/>
          </w:tcPr>
          <w:p w14:paraId="1A99BC9A">
            <w:pPr>
              <w:jc w:val="center"/>
              <w:rPr>
                <w:rFonts w:ascii="宋体" w:hAnsi="宋体"/>
                <w:color w:val="auto"/>
              </w:rPr>
            </w:pPr>
            <w:r>
              <w:rPr>
                <w:rFonts w:ascii="宋体" w:hAnsi="宋体"/>
                <w:color w:val="auto"/>
              </w:rPr>
              <w:t>1.3×10</w:t>
            </w:r>
            <w:r>
              <w:rPr>
                <w:rFonts w:ascii="宋体" w:hAnsi="宋体"/>
                <w:color w:val="auto"/>
                <w:vertAlign w:val="superscript"/>
              </w:rPr>
              <w:t>-2</w:t>
            </w:r>
          </w:p>
        </w:tc>
      </w:tr>
      <w:tr w14:paraId="68542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0" w:type="pct"/>
            <w:gridSpan w:val="2"/>
            <w:vAlign w:val="center"/>
          </w:tcPr>
          <w:p w14:paraId="250EC201">
            <w:pPr>
              <w:jc w:val="center"/>
              <w:rPr>
                <w:rFonts w:ascii="宋体" w:hAnsi="宋体"/>
                <w:color w:val="auto"/>
              </w:rPr>
            </w:pPr>
            <w:r>
              <w:rPr>
                <w:rFonts w:ascii="宋体" w:hAnsi="宋体"/>
                <w:color w:val="auto"/>
              </w:rPr>
              <w:t>烟气黑度/（级）</w:t>
            </w:r>
          </w:p>
        </w:tc>
        <w:tc>
          <w:tcPr>
            <w:tcW w:w="1437" w:type="pct"/>
            <w:gridSpan w:val="4"/>
            <w:vAlign w:val="center"/>
          </w:tcPr>
          <w:p w14:paraId="56C18B8E">
            <w:pPr>
              <w:jc w:val="center"/>
              <w:rPr>
                <w:rFonts w:ascii="宋体" w:hAnsi="宋体"/>
                <w:color w:val="auto"/>
              </w:rPr>
            </w:pPr>
            <w:r>
              <w:rPr>
                <w:rFonts w:ascii="宋体" w:hAnsi="宋体"/>
                <w:color w:val="auto"/>
              </w:rPr>
              <w:t>＜1</w:t>
            </w:r>
          </w:p>
        </w:tc>
        <w:tc>
          <w:tcPr>
            <w:tcW w:w="1443" w:type="pct"/>
            <w:gridSpan w:val="5"/>
            <w:vAlign w:val="center"/>
          </w:tcPr>
          <w:p w14:paraId="5172CF4F">
            <w:pPr>
              <w:jc w:val="center"/>
              <w:rPr>
                <w:rFonts w:ascii="宋体" w:hAnsi="宋体"/>
                <w:color w:val="auto"/>
              </w:rPr>
            </w:pPr>
            <w:r>
              <w:rPr>
                <w:rFonts w:ascii="宋体" w:hAnsi="宋体"/>
                <w:color w:val="auto"/>
              </w:rPr>
              <w:t>＜1</w:t>
            </w:r>
          </w:p>
        </w:tc>
        <w:tc>
          <w:tcPr>
            <w:tcW w:w="1440" w:type="pct"/>
            <w:gridSpan w:val="4"/>
            <w:vAlign w:val="center"/>
          </w:tcPr>
          <w:p w14:paraId="219264FA">
            <w:pPr>
              <w:jc w:val="center"/>
              <w:rPr>
                <w:rFonts w:ascii="宋体" w:hAnsi="宋体"/>
                <w:color w:val="auto"/>
              </w:rPr>
            </w:pPr>
            <w:r>
              <w:rPr>
                <w:rFonts w:ascii="宋体" w:hAnsi="宋体"/>
                <w:color w:val="auto"/>
              </w:rPr>
              <w:t>＜1</w:t>
            </w:r>
          </w:p>
        </w:tc>
      </w:tr>
      <w:tr w14:paraId="7607D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 w:type="pct"/>
            <w:vAlign w:val="center"/>
          </w:tcPr>
          <w:p w14:paraId="3F111574">
            <w:pPr>
              <w:jc w:val="center"/>
              <w:rPr>
                <w:rFonts w:ascii="宋体" w:hAnsi="宋体"/>
                <w:color w:val="auto"/>
              </w:rPr>
            </w:pPr>
            <w:r>
              <w:rPr>
                <w:rFonts w:ascii="宋体" w:hAnsi="宋体"/>
                <w:color w:val="auto"/>
              </w:rPr>
              <w:t>备注</w:t>
            </w:r>
          </w:p>
        </w:tc>
        <w:tc>
          <w:tcPr>
            <w:tcW w:w="4780" w:type="pct"/>
            <w:gridSpan w:val="14"/>
            <w:vAlign w:val="center"/>
          </w:tcPr>
          <w:p w14:paraId="67E79475">
            <w:pPr>
              <w:jc w:val="center"/>
              <w:rPr>
                <w:rFonts w:ascii="宋体" w:hAnsi="宋体"/>
                <w:color w:val="auto"/>
              </w:rPr>
            </w:pPr>
            <w:r>
              <w:rPr>
                <w:rFonts w:ascii="宋体" w:hAnsi="宋体"/>
                <w:color w:val="auto"/>
              </w:rPr>
              <w:t>1、基准氧含量：3.5%</w:t>
            </w:r>
          </w:p>
          <w:p w14:paraId="531D54B9">
            <w:pPr>
              <w:jc w:val="center"/>
              <w:rPr>
                <w:rFonts w:ascii="宋体" w:hAnsi="宋体"/>
                <w:color w:val="auto"/>
              </w:rPr>
            </w:pPr>
            <w:r>
              <w:rPr>
                <w:rFonts w:ascii="宋体" w:hAnsi="宋体"/>
                <w:color w:val="auto"/>
              </w:rPr>
              <w:t>2、HJ 57-2017固定污染源废气 二氧化硫的测定 定电位电解法检测二氧化硫，一氧化碳干扰显著，测定样品时须同时测定一氧化碳浓度，一氧化碳浓度超过50μmol/mol（62.5mg/m</w:t>
            </w:r>
            <w:r>
              <w:rPr>
                <w:rFonts w:ascii="宋体" w:hAnsi="宋体"/>
                <w:color w:val="auto"/>
                <w:vertAlign w:val="superscript"/>
              </w:rPr>
              <w:t>3</w:t>
            </w:r>
            <w:r>
              <w:rPr>
                <w:rFonts w:ascii="宋体" w:hAnsi="宋体"/>
                <w:color w:val="auto"/>
              </w:rPr>
              <w:t>）时，定电位电解法不适用。</w:t>
            </w:r>
          </w:p>
          <w:p w14:paraId="67AD8139">
            <w:pPr>
              <w:jc w:val="center"/>
              <w:rPr>
                <w:rFonts w:ascii="宋体" w:hAnsi="宋体"/>
                <w:color w:val="auto"/>
              </w:rPr>
            </w:pPr>
            <w:r>
              <w:rPr>
                <w:rFonts w:ascii="宋体" w:hAnsi="宋体"/>
                <w:color w:val="auto"/>
              </w:rPr>
              <w:t>3、检测结果低于分析方法检出限时，结果报告为使用方法检出限值，并加标志位“L”。</w:t>
            </w:r>
          </w:p>
          <w:p w14:paraId="64A98EE6">
            <w:pPr>
              <w:jc w:val="center"/>
              <w:rPr>
                <w:rFonts w:ascii="宋体" w:hAnsi="宋体"/>
                <w:color w:val="auto"/>
              </w:rPr>
            </w:pPr>
            <w:r>
              <w:rPr>
                <w:rFonts w:ascii="宋体" w:hAnsi="宋体"/>
                <w:color w:val="auto"/>
              </w:rPr>
              <w:t>4、如果实测浓度用检出限（L）或＜检出限表示，则折算浓度按照折算后结果表示。</w:t>
            </w:r>
          </w:p>
        </w:tc>
      </w:tr>
    </w:tbl>
    <w:p w14:paraId="02E72974">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12</w:t>
      </w:r>
      <w:r>
        <w:rPr>
          <w:color w:val="auto"/>
        </w:rPr>
        <w:fldChar w:fldCharType="end"/>
      </w:r>
      <w:r>
        <w:rPr>
          <w:rFonts w:hint="eastAsia"/>
          <w:color w:val="auto"/>
        </w:rPr>
        <w:t xml:space="preserve"> 11#井场加热炉排气筒监测数据（2）</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1092"/>
        <w:gridCol w:w="1040"/>
        <w:gridCol w:w="1040"/>
        <w:gridCol w:w="1040"/>
        <w:gridCol w:w="846"/>
        <w:gridCol w:w="194"/>
        <w:gridCol w:w="1040"/>
        <w:gridCol w:w="1040"/>
        <w:gridCol w:w="1040"/>
        <w:gridCol w:w="1040"/>
        <w:gridCol w:w="1040"/>
        <w:gridCol w:w="1040"/>
        <w:gridCol w:w="1040"/>
        <w:gridCol w:w="1040"/>
      </w:tblGrid>
      <w:tr w14:paraId="316E0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35A401DB">
            <w:pPr>
              <w:jc w:val="center"/>
              <w:rPr>
                <w:rFonts w:ascii="宋体" w:hAnsi="宋体"/>
                <w:color w:val="auto"/>
              </w:rPr>
            </w:pPr>
            <w:r>
              <w:rPr>
                <w:rFonts w:ascii="宋体" w:hAnsi="宋体"/>
                <w:color w:val="auto"/>
              </w:rPr>
              <w:t>排气筒名称</w:t>
            </w:r>
          </w:p>
        </w:tc>
        <w:tc>
          <w:tcPr>
            <w:tcW w:w="4397" w:type="pct"/>
            <w:gridSpan w:val="13"/>
            <w:vAlign w:val="center"/>
          </w:tcPr>
          <w:p w14:paraId="42466962">
            <w:pPr>
              <w:jc w:val="center"/>
              <w:rPr>
                <w:rFonts w:ascii="宋体" w:hAnsi="宋体"/>
                <w:color w:val="auto"/>
              </w:rPr>
            </w:pPr>
            <w:r>
              <w:rPr>
                <w:rFonts w:ascii="宋体" w:hAnsi="宋体"/>
                <w:color w:val="auto"/>
              </w:rPr>
              <w:t>11#井场加热炉</w:t>
            </w:r>
          </w:p>
        </w:tc>
      </w:tr>
      <w:tr w14:paraId="1F371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1528BA5B">
            <w:pPr>
              <w:jc w:val="center"/>
              <w:rPr>
                <w:rFonts w:ascii="宋体" w:hAnsi="宋体"/>
                <w:color w:val="auto"/>
              </w:rPr>
            </w:pPr>
            <w:r>
              <w:rPr>
                <w:rFonts w:ascii="宋体" w:hAnsi="宋体"/>
                <w:color w:val="auto"/>
              </w:rPr>
              <w:t>采样日期</w:t>
            </w:r>
          </w:p>
        </w:tc>
        <w:tc>
          <w:tcPr>
            <w:tcW w:w="4397" w:type="pct"/>
            <w:gridSpan w:val="13"/>
            <w:vAlign w:val="center"/>
          </w:tcPr>
          <w:p w14:paraId="29F71592">
            <w:pPr>
              <w:jc w:val="center"/>
              <w:rPr>
                <w:rFonts w:ascii="宋体" w:hAnsi="宋体"/>
                <w:color w:val="auto"/>
              </w:rPr>
            </w:pPr>
            <w:r>
              <w:rPr>
                <w:rFonts w:ascii="宋体" w:hAnsi="宋体"/>
                <w:color w:val="auto"/>
              </w:rPr>
              <w:t>2026.03.17</w:t>
            </w:r>
          </w:p>
        </w:tc>
      </w:tr>
      <w:tr w14:paraId="00BA6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0B73B5D3">
            <w:pPr>
              <w:jc w:val="center"/>
              <w:rPr>
                <w:rFonts w:ascii="宋体" w:hAnsi="宋体"/>
                <w:color w:val="auto"/>
              </w:rPr>
            </w:pPr>
            <w:r>
              <w:rPr>
                <w:rFonts w:ascii="宋体" w:hAnsi="宋体"/>
                <w:color w:val="auto"/>
              </w:rPr>
              <w:t>分析日期</w:t>
            </w:r>
          </w:p>
        </w:tc>
        <w:tc>
          <w:tcPr>
            <w:tcW w:w="4397" w:type="pct"/>
            <w:gridSpan w:val="13"/>
            <w:vAlign w:val="center"/>
          </w:tcPr>
          <w:p w14:paraId="111892B9">
            <w:pPr>
              <w:jc w:val="center"/>
              <w:rPr>
                <w:rFonts w:ascii="宋体" w:hAnsi="宋体"/>
                <w:color w:val="auto"/>
              </w:rPr>
            </w:pPr>
            <w:r>
              <w:rPr>
                <w:rFonts w:ascii="宋体" w:hAnsi="宋体"/>
                <w:color w:val="auto"/>
              </w:rPr>
              <w:t>2026.03.17-03.23</w:t>
            </w:r>
          </w:p>
        </w:tc>
      </w:tr>
      <w:tr w14:paraId="350C2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695C5903">
            <w:pPr>
              <w:jc w:val="center"/>
              <w:rPr>
                <w:rFonts w:ascii="宋体" w:hAnsi="宋体"/>
                <w:color w:val="auto"/>
              </w:rPr>
            </w:pPr>
            <w:r>
              <w:rPr>
                <w:rFonts w:ascii="宋体" w:hAnsi="宋体"/>
                <w:color w:val="auto"/>
              </w:rPr>
              <w:t>排气筒高度/（m）</w:t>
            </w:r>
          </w:p>
        </w:tc>
        <w:tc>
          <w:tcPr>
            <w:tcW w:w="4397" w:type="pct"/>
            <w:gridSpan w:val="13"/>
            <w:vAlign w:val="center"/>
          </w:tcPr>
          <w:p w14:paraId="1EE2C104">
            <w:pPr>
              <w:jc w:val="center"/>
              <w:rPr>
                <w:rFonts w:ascii="宋体" w:hAnsi="宋体"/>
                <w:color w:val="auto"/>
              </w:rPr>
            </w:pPr>
            <w:r>
              <w:rPr>
                <w:rFonts w:ascii="宋体" w:hAnsi="宋体"/>
                <w:color w:val="auto"/>
              </w:rPr>
              <w:t>9.4</w:t>
            </w:r>
          </w:p>
        </w:tc>
      </w:tr>
      <w:tr w14:paraId="79749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022ACF7A">
            <w:pPr>
              <w:jc w:val="center"/>
              <w:rPr>
                <w:rFonts w:ascii="宋体" w:hAnsi="宋体"/>
                <w:color w:val="auto"/>
              </w:rPr>
            </w:pPr>
            <w:r>
              <w:rPr>
                <w:rFonts w:ascii="宋体" w:hAnsi="宋体"/>
                <w:color w:val="auto"/>
              </w:rPr>
              <w:t>测点截面积/（m</w:t>
            </w:r>
            <w:r>
              <w:rPr>
                <w:rFonts w:ascii="宋体" w:hAnsi="宋体"/>
                <w:color w:val="auto"/>
                <w:vertAlign w:val="superscript"/>
              </w:rPr>
              <w:t>2</w:t>
            </w:r>
            <w:r>
              <w:rPr>
                <w:rFonts w:ascii="宋体" w:hAnsi="宋体"/>
                <w:color w:val="auto"/>
              </w:rPr>
              <w:t>）</w:t>
            </w:r>
          </w:p>
        </w:tc>
        <w:tc>
          <w:tcPr>
            <w:tcW w:w="4397" w:type="pct"/>
            <w:gridSpan w:val="13"/>
            <w:vAlign w:val="center"/>
          </w:tcPr>
          <w:p w14:paraId="0A1B5322">
            <w:pPr>
              <w:jc w:val="center"/>
              <w:rPr>
                <w:rFonts w:ascii="宋体" w:hAnsi="宋体"/>
                <w:color w:val="auto"/>
              </w:rPr>
            </w:pPr>
            <w:r>
              <w:rPr>
                <w:rFonts w:ascii="宋体" w:hAnsi="宋体"/>
                <w:color w:val="auto"/>
              </w:rPr>
              <w:t>0.018</w:t>
            </w:r>
          </w:p>
        </w:tc>
      </w:tr>
      <w:tr w14:paraId="385B6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5C550AE4">
            <w:pPr>
              <w:jc w:val="center"/>
              <w:rPr>
                <w:rFonts w:ascii="宋体" w:hAnsi="宋体"/>
                <w:color w:val="auto"/>
              </w:rPr>
            </w:pPr>
            <w:r>
              <w:rPr>
                <w:rFonts w:ascii="宋体" w:hAnsi="宋体"/>
                <w:color w:val="auto"/>
              </w:rPr>
              <w:t>采样频次</w:t>
            </w:r>
          </w:p>
        </w:tc>
        <w:tc>
          <w:tcPr>
            <w:tcW w:w="320" w:type="pct"/>
            <w:vAlign w:val="center"/>
          </w:tcPr>
          <w:p w14:paraId="3C124272">
            <w:pPr>
              <w:jc w:val="center"/>
              <w:rPr>
                <w:rFonts w:ascii="宋体" w:hAnsi="宋体"/>
                <w:color w:val="auto"/>
              </w:rPr>
            </w:pPr>
            <w:r>
              <w:rPr>
                <w:rFonts w:ascii="宋体" w:hAnsi="宋体"/>
                <w:color w:val="auto"/>
              </w:rPr>
              <w:t>1</w:t>
            </w:r>
          </w:p>
        </w:tc>
        <w:tc>
          <w:tcPr>
            <w:tcW w:w="374" w:type="pct"/>
            <w:vAlign w:val="center"/>
          </w:tcPr>
          <w:p w14:paraId="44300E1F">
            <w:pPr>
              <w:jc w:val="center"/>
              <w:rPr>
                <w:rFonts w:ascii="宋体" w:hAnsi="宋体"/>
                <w:color w:val="auto"/>
              </w:rPr>
            </w:pPr>
            <w:r>
              <w:rPr>
                <w:rFonts w:ascii="宋体" w:hAnsi="宋体"/>
                <w:color w:val="auto"/>
              </w:rPr>
              <w:t>2</w:t>
            </w:r>
          </w:p>
        </w:tc>
        <w:tc>
          <w:tcPr>
            <w:tcW w:w="374" w:type="pct"/>
            <w:vAlign w:val="center"/>
          </w:tcPr>
          <w:p w14:paraId="209BA8DD">
            <w:pPr>
              <w:jc w:val="center"/>
              <w:rPr>
                <w:rFonts w:ascii="宋体" w:hAnsi="宋体"/>
                <w:color w:val="auto"/>
              </w:rPr>
            </w:pPr>
            <w:r>
              <w:rPr>
                <w:rFonts w:ascii="宋体" w:hAnsi="宋体"/>
                <w:color w:val="auto"/>
              </w:rPr>
              <w:t>3</w:t>
            </w:r>
          </w:p>
        </w:tc>
        <w:tc>
          <w:tcPr>
            <w:tcW w:w="360" w:type="pct"/>
            <w:gridSpan w:val="2"/>
            <w:vAlign w:val="center"/>
          </w:tcPr>
          <w:p w14:paraId="1365C5BE">
            <w:pPr>
              <w:jc w:val="center"/>
              <w:rPr>
                <w:rFonts w:ascii="宋体" w:hAnsi="宋体"/>
                <w:color w:val="auto"/>
              </w:rPr>
            </w:pPr>
            <w:r>
              <w:rPr>
                <w:rFonts w:ascii="宋体" w:hAnsi="宋体"/>
                <w:color w:val="auto"/>
              </w:rPr>
              <w:t>平均值</w:t>
            </w:r>
          </w:p>
        </w:tc>
        <w:tc>
          <w:tcPr>
            <w:tcW w:w="374" w:type="pct"/>
            <w:vAlign w:val="center"/>
          </w:tcPr>
          <w:p w14:paraId="5F2DE430">
            <w:pPr>
              <w:jc w:val="center"/>
              <w:rPr>
                <w:rFonts w:ascii="宋体" w:hAnsi="宋体"/>
                <w:color w:val="auto"/>
              </w:rPr>
            </w:pPr>
            <w:r>
              <w:rPr>
                <w:rFonts w:ascii="宋体" w:hAnsi="宋体"/>
                <w:color w:val="auto"/>
              </w:rPr>
              <w:t>4</w:t>
            </w:r>
          </w:p>
        </w:tc>
        <w:tc>
          <w:tcPr>
            <w:tcW w:w="374" w:type="pct"/>
            <w:vAlign w:val="center"/>
          </w:tcPr>
          <w:p w14:paraId="093E8E58">
            <w:pPr>
              <w:jc w:val="center"/>
              <w:rPr>
                <w:rFonts w:ascii="宋体" w:hAnsi="宋体"/>
                <w:color w:val="auto"/>
              </w:rPr>
            </w:pPr>
            <w:r>
              <w:rPr>
                <w:rFonts w:ascii="宋体" w:hAnsi="宋体"/>
                <w:color w:val="auto"/>
              </w:rPr>
              <w:t>5</w:t>
            </w:r>
          </w:p>
        </w:tc>
        <w:tc>
          <w:tcPr>
            <w:tcW w:w="375" w:type="pct"/>
            <w:vAlign w:val="center"/>
          </w:tcPr>
          <w:p w14:paraId="2906B75F">
            <w:pPr>
              <w:jc w:val="center"/>
              <w:rPr>
                <w:rFonts w:ascii="宋体" w:hAnsi="宋体"/>
                <w:color w:val="auto"/>
              </w:rPr>
            </w:pPr>
            <w:r>
              <w:rPr>
                <w:rFonts w:ascii="宋体" w:hAnsi="宋体"/>
                <w:color w:val="auto"/>
              </w:rPr>
              <w:t>6</w:t>
            </w:r>
          </w:p>
        </w:tc>
        <w:tc>
          <w:tcPr>
            <w:tcW w:w="361" w:type="pct"/>
            <w:vAlign w:val="center"/>
          </w:tcPr>
          <w:p w14:paraId="3412D686">
            <w:pPr>
              <w:jc w:val="center"/>
              <w:rPr>
                <w:rFonts w:ascii="宋体" w:hAnsi="宋体"/>
                <w:color w:val="auto"/>
              </w:rPr>
            </w:pPr>
            <w:r>
              <w:rPr>
                <w:rFonts w:ascii="宋体" w:hAnsi="宋体"/>
                <w:color w:val="auto"/>
              </w:rPr>
              <w:t>平均值</w:t>
            </w:r>
          </w:p>
        </w:tc>
        <w:tc>
          <w:tcPr>
            <w:tcW w:w="375" w:type="pct"/>
            <w:vAlign w:val="center"/>
          </w:tcPr>
          <w:p w14:paraId="7FD36D45">
            <w:pPr>
              <w:jc w:val="center"/>
              <w:rPr>
                <w:rFonts w:ascii="宋体" w:hAnsi="宋体"/>
                <w:color w:val="auto"/>
              </w:rPr>
            </w:pPr>
            <w:r>
              <w:rPr>
                <w:rFonts w:ascii="宋体" w:hAnsi="宋体"/>
                <w:color w:val="auto"/>
              </w:rPr>
              <w:t>7</w:t>
            </w:r>
          </w:p>
        </w:tc>
        <w:tc>
          <w:tcPr>
            <w:tcW w:w="375" w:type="pct"/>
            <w:vAlign w:val="center"/>
          </w:tcPr>
          <w:p w14:paraId="2C4ADA32">
            <w:pPr>
              <w:jc w:val="center"/>
              <w:rPr>
                <w:rFonts w:ascii="宋体" w:hAnsi="宋体"/>
                <w:color w:val="auto"/>
              </w:rPr>
            </w:pPr>
            <w:r>
              <w:rPr>
                <w:rFonts w:ascii="宋体" w:hAnsi="宋体"/>
                <w:color w:val="auto"/>
              </w:rPr>
              <w:t>8</w:t>
            </w:r>
          </w:p>
        </w:tc>
        <w:tc>
          <w:tcPr>
            <w:tcW w:w="375" w:type="pct"/>
            <w:vAlign w:val="center"/>
          </w:tcPr>
          <w:p w14:paraId="55715ACE">
            <w:pPr>
              <w:jc w:val="center"/>
              <w:rPr>
                <w:rFonts w:ascii="宋体" w:hAnsi="宋体"/>
                <w:color w:val="auto"/>
              </w:rPr>
            </w:pPr>
            <w:r>
              <w:rPr>
                <w:rFonts w:ascii="宋体" w:hAnsi="宋体"/>
                <w:color w:val="auto"/>
              </w:rPr>
              <w:t>9</w:t>
            </w:r>
          </w:p>
        </w:tc>
        <w:tc>
          <w:tcPr>
            <w:tcW w:w="360" w:type="pct"/>
            <w:vAlign w:val="center"/>
          </w:tcPr>
          <w:p w14:paraId="3C438F69">
            <w:pPr>
              <w:jc w:val="center"/>
              <w:rPr>
                <w:rFonts w:ascii="宋体" w:hAnsi="宋体"/>
                <w:color w:val="auto"/>
              </w:rPr>
            </w:pPr>
            <w:r>
              <w:rPr>
                <w:rFonts w:ascii="宋体" w:hAnsi="宋体"/>
                <w:color w:val="auto"/>
              </w:rPr>
              <w:t>平均值</w:t>
            </w:r>
          </w:p>
        </w:tc>
      </w:tr>
      <w:tr w14:paraId="3725E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435E0EFB">
            <w:pPr>
              <w:jc w:val="center"/>
              <w:rPr>
                <w:rFonts w:ascii="宋体" w:hAnsi="宋体"/>
                <w:color w:val="auto"/>
              </w:rPr>
            </w:pPr>
            <w:r>
              <w:rPr>
                <w:rFonts w:ascii="宋体" w:hAnsi="宋体"/>
                <w:color w:val="auto"/>
              </w:rPr>
              <w:t>温度/(</w:t>
            </w:r>
            <w:r>
              <w:rPr>
                <w:rFonts w:hint="eastAsia" w:ascii="宋体" w:hAnsi="宋体"/>
                <w:color w:val="auto"/>
              </w:rPr>
              <w:t>℃</w:t>
            </w:r>
            <w:r>
              <w:rPr>
                <w:rFonts w:ascii="宋体" w:hAnsi="宋体"/>
                <w:color w:val="auto"/>
              </w:rPr>
              <w:t>)</w:t>
            </w:r>
          </w:p>
        </w:tc>
        <w:tc>
          <w:tcPr>
            <w:tcW w:w="320" w:type="pct"/>
            <w:vAlign w:val="center"/>
          </w:tcPr>
          <w:p w14:paraId="40243279">
            <w:pPr>
              <w:jc w:val="center"/>
              <w:rPr>
                <w:rFonts w:ascii="宋体" w:hAnsi="宋体"/>
                <w:color w:val="auto"/>
              </w:rPr>
            </w:pPr>
            <w:r>
              <w:rPr>
                <w:rFonts w:ascii="宋体" w:hAnsi="宋体"/>
                <w:color w:val="auto"/>
              </w:rPr>
              <w:t>44</w:t>
            </w:r>
          </w:p>
        </w:tc>
        <w:tc>
          <w:tcPr>
            <w:tcW w:w="374" w:type="pct"/>
            <w:vAlign w:val="center"/>
          </w:tcPr>
          <w:p w14:paraId="4072CC80">
            <w:pPr>
              <w:jc w:val="center"/>
              <w:rPr>
                <w:rFonts w:ascii="宋体" w:hAnsi="宋体"/>
                <w:color w:val="auto"/>
              </w:rPr>
            </w:pPr>
            <w:r>
              <w:rPr>
                <w:rFonts w:ascii="宋体" w:hAnsi="宋体"/>
                <w:color w:val="auto"/>
              </w:rPr>
              <w:t>44</w:t>
            </w:r>
          </w:p>
        </w:tc>
        <w:tc>
          <w:tcPr>
            <w:tcW w:w="374" w:type="pct"/>
            <w:vAlign w:val="center"/>
          </w:tcPr>
          <w:p w14:paraId="5B75CE38">
            <w:pPr>
              <w:jc w:val="center"/>
              <w:rPr>
                <w:rFonts w:ascii="宋体" w:hAnsi="宋体"/>
                <w:color w:val="auto"/>
              </w:rPr>
            </w:pPr>
            <w:r>
              <w:rPr>
                <w:rFonts w:ascii="宋体" w:hAnsi="宋体"/>
                <w:color w:val="auto"/>
              </w:rPr>
              <w:t>44</w:t>
            </w:r>
          </w:p>
        </w:tc>
        <w:tc>
          <w:tcPr>
            <w:tcW w:w="360" w:type="pct"/>
            <w:gridSpan w:val="2"/>
            <w:vAlign w:val="center"/>
          </w:tcPr>
          <w:p w14:paraId="477BD2C2">
            <w:pPr>
              <w:jc w:val="center"/>
              <w:rPr>
                <w:rFonts w:ascii="宋体" w:hAnsi="宋体"/>
                <w:color w:val="auto"/>
              </w:rPr>
            </w:pPr>
            <w:r>
              <w:rPr>
                <w:rFonts w:ascii="宋体" w:hAnsi="宋体"/>
                <w:color w:val="auto"/>
              </w:rPr>
              <w:t>/</w:t>
            </w:r>
          </w:p>
        </w:tc>
        <w:tc>
          <w:tcPr>
            <w:tcW w:w="374" w:type="pct"/>
            <w:vAlign w:val="center"/>
          </w:tcPr>
          <w:p w14:paraId="050B7C05">
            <w:pPr>
              <w:jc w:val="center"/>
              <w:rPr>
                <w:rFonts w:ascii="宋体" w:hAnsi="宋体"/>
                <w:color w:val="auto"/>
              </w:rPr>
            </w:pPr>
            <w:r>
              <w:rPr>
                <w:rFonts w:ascii="宋体" w:hAnsi="宋体"/>
                <w:color w:val="auto"/>
              </w:rPr>
              <w:t>44</w:t>
            </w:r>
          </w:p>
        </w:tc>
        <w:tc>
          <w:tcPr>
            <w:tcW w:w="374" w:type="pct"/>
            <w:vAlign w:val="center"/>
          </w:tcPr>
          <w:p w14:paraId="700EA116">
            <w:pPr>
              <w:jc w:val="center"/>
              <w:rPr>
                <w:rFonts w:ascii="宋体" w:hAnsi="宋体"/>
                <w:color w:val="auto"/>
              </w:rPr>
            </w:pPr>
            <w:r>
              <w:rPr>
                <w:rFonts w:ascii="宋体" w:hAnsi="宋体"/>
                <w:color w:val="auto"/>
              </w:rPr>
              <w:t>44</w:t>
            </w:r>
          </w:p>
        </w:tc>
        <w:tc>
          <w:tcPr>
            <w:tcW w:w="375" w:type="pct"/>
            <w:vAlign w:val="center"/>
          </w:tcPr>
          <w:p w14:paraId="740713A6">
            <w:pPr>
              <w:jc w:val="center"/>
              <w:rPr>
                <w:rFonts w:ascii="宋体" w:hAnsi="宋体"/>
                <w:color w:val="auto"/>
              </w:rPr>
            </w:pPr>
            <w:r>
              <w:rPr>
                <w:rFonts w:ascii="宋体" w:hAnsi="宋体"/>
                <w:color w:val="auto"/>
              </w:rPr>
              <w:t>45</w:t>
            </w:r>
          </w:p>
        </w:tc>
        <w:tc>
          <w:tcPr>
            <w:tcW w:w="361" w:type="pct"/>
            <w:vAlign w:val="center"/>
          </w:tcPr>
          <w:p w14:paraId="78DC8F67">
            <w:pPr>
              <w:jc w:val="center"/>
              <w:rPr>
                <w:rFonts w:ascii="宋体" w:hAnsi="宋体"/>
                <w:color w:val="auto"/>
              </w:rPr>
            </w:pPr>
            <w:r>
              <w:rPr>
                <w:rFonts w:ascii="宋体" w:hAnsi="宋体"/>
                <w:color w:val="auto"/>
              </w:rPr>
              <w:t>/</w:t>
            </w:r>
          </w:p>
        </w:tc>
        <w:tc>
          <w:tcPr>
            <w:tcW w:w="375" w:type="pct"/>
            <w:vAlign w:val="center"/>
          </w:tcPr>
          <w:p w14:paraId="069E7D1D">
            <w:pPr>
              <w:jc w:val="center"/>
              <w:rPr>
                <w:rFonts w:ascii="宋体" w:hAnsi="宋体"/>
                <w:color w:val="auto"/>
              </w:rPr>
            </w:pPr>
            <w:r>
              <w:rPr>
                <w:rFonts w:ascii="宋体" w:hAnsi="宋体"/>
                <w:color w:val="auto"/>
              </w:rPr>
              <w:t>44</w:t>
            </w:r>
          </w:p>
        </w:tc>
        <w:tc>
          <w:tcPr>
            <w:tcW w:w="375" w:type="pct"/>
            <w:vAlign w:val="center"/>
          </w:tcPr>
          <w:p w14:paraId="425FC5EF">
            <w:pPr>
              <w:jc w:val="center"/>
              <w:rPr>
                <w:rFonts w:ascii="宋体" w:hAnsi="宋体"/>
                <w:color w:val="auto"/>
              </w:rPr>
            </w:pPr>
            <w:r>
              <w:rPr>
                <w:rFonts w:ascii="宋体" w:hAnsi="宋体"/>
                <w:color w:val="auto"/>
              </w:rPr>
              <w:t>44</w:t>
            </w:r>
          </w:p>
        </w:tc>
        <w:tc>
          <w:tcPr>
            <w:tcW w:w="375" w:type="pct"/>
            <w:vAlign w:val="center"/>
          </w:tcPr>
          <w:p w14:paraId="24622A71">
            <w:pPr>
              <w:jc w:val="center"/>
              <w:rPr>
                <w:rFonts w:ascii="宋体" w:hAnsi="宋体"/>
                <w:color w:val="auto"/>
              </w:rPr>
            </w:pPr>
            <w:r>
              <w:rPr>
                <w:rFonts w:ascii="宋体" w:hAnsi="宋体"/>
                <w:color w:val="auto"/>
              </w:rPr>
              <w:t>43</w:t>
            </w:r>
          </w:p>
        </w:tc>
        <w:tc>
          <w:tcPr>
            <w:tcW w:w="360" w:type="pct"/>
            <w:vAlign w:val="center"/>
          </w:tcPr>
          <w:p w14:paraId="2B6C93B9">
            <w:pPr>
              <w:jc w:val="center"/>
              <w:rPr>
                <w:rFonts w:ascii="宋体" w:hAnsi="宋体"/>
                <w:color w:val="auto"/>
              </w:rPr>
            </w:pPr>
            <w:r>
              <w:rPr>
                <w:rFonts w:ascii="宋体" w:hAnsi="宋体"/>
                <w:color w:val="auto"/>
              </w:rPr>
              <w:t>/</w:t>
            </w:r>
          </w:p>
        </w:tc>
      </w:tr>
      <w:tr w14:paraId="17A0F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26704E40">
            <w:pPr>
              <w:jc w:val="center"/>
              <w:rPr>
                <w:rFonts w:ascii="宋体" w:hAnsi="宋体"/>
                <w:color w:val="auto"/>
              </w:rPr>
            </w:pPr>
            <w:r>
              <w:rPr>
                <w:rFonts w:ascii="宋体" w:hAnsi="宋体"/>
                <w:color w:val="auto"/>
              </w:rPr>
              <w:t>湿度/(%)</w:t>
            </w:r>
          </w:p>
        </w:tc>
        <w:tc>
          <w:tcPr>
            <w:tcW w:w="320" w:type="pct"/>
            <w:vAlign w:val="center"/>
          </w:tcPr>
          <w:p w14:paraId="1CAEC740">
            <w:pPr>
              <w:jc w:val="center"/>
              <w:rPr>
                <w:rFonts w:ascii="宋体" w:hAnsi="宋体"/>
                <w:color w:val="auto"/>
              </w:rPr>
            </w:pPr>
            <w:r>
              <w:rPr>
                <w:rFonts w:ascii="宋体" w:hAnsi="宋体"/>
                <w:color w:val="auto"/>
              </w:rPr>
              <w:t>7.5</w:t>
            </w:r>
          </w:p>
        </w:tc>
        <w:tc>
          <w:tcPr>
            <w:tcW w:w="374" w:type="pct"/>
            <w:vAlign w:val="center"/>
          </w:tcPr>
          <w:p w14:paraId="3F47D1AA">
            <w:pPr>
              <w:jc w:val="center"/>
              <w:rPr>
                <w:rFonts w:ascii="宋体" w:hAnsi="宋体"/>
                <w:color w:val="auto"/>
              </w:rPr>
            </w:pPr>
            <w:r>
              <w:rPr>
                <w:rFonts w:ascii="宋体" w:hAnsi="宋体"/>
                <w:color w:val="auto"/>
              </w:rPr>
              <w:t>7.5</w:t>
            </w:r>
          </w:p>
        </w:tc>
        <w:tc>
          <w:tcPr>
            <w:tcW w:w="374" w:type="pct"/>
            <w:vAlign w:val="center"/>
          </w:tcPr>
          <w:p w14:paraId="1E0BC613">
            <w:pPr>
              <w:jc w:val="center"/>
              <w:rPr>
                <w:rFonts w:ascii="宋体" w:hAnsi="宋体"/>
                <w:color w:val="auto"/>
              </w:rPr>
            </w:pPr>
            <w:r>
              <w:rPr>
                <w:rFonts w:ascii="宋体" w:hAnsi="宋体"/>
                <w:color w:val="auto"/>
              </w:rPr>
              <w:t>7.8</w:t>
            </w:r>
          </w:p>
        </w:tc>
        <w:tc>
          <w:tcPr>
            <w:tcW w:w="360" w:type="pct"/>
            <w:gridSpan w:val="2"/>
            <w:vAlign w:val="center"/>
          </w:tcPr>
          <w:p w14:paraId="5E0C2BB9">
            <w:pPr>
              <w:jc w:val="center"/>
              <w:rPr>
                <w:rFonts w:ascii="宋体" w:hAnsi="宋体"/>
                <w:color w:val="auto"/>
              </w:rPr>
            </w:pPr>
            <w:r>
              <w:rPr>
                <w:rFonts w:ascii="宋体" w:hAnsi="宋体"/>
                <w:color w:val="auto"/>
              </w:rPr>
              <w:t>/</w:t>
            </w:r>
          </w:p>
        </w:tc>
        <w:tc>
          <w:tcPr>
            <w:tcW w:w="374" w:type="pct"/>
            <w:vAlign w:val="center"/>
          </w:tcPr>
          <w:p w14:paraId="32572FBC">
            <w:pPr>
              <w:jc w:val="center"/>
              <w:rPr>
                <w:rFonts w:ascii="宋体" w:hAnsi="宋体"/>
                <w:color w:val="auto"/>
              </w:rPr>
            </w:pPr>
            <w:r>
              <w:rPr>
                <w:rFonts w:ascii="宋体" w:hAnsi="宋体"/>
                <w:color w:val="auto"/>
              </w:rPr>
              <w:t>7.8</w:t>
            </w:r>
          </w:p>
        </w:tc>
        <w:tc>
          <w:tcPr>
            <w:tcW w:w="374" w:type="pct"/>
            <w:vAlign w:val="center"/>
          </w:tcPr>
          <w:p w14:paraId="565250CC">
            <w:pPr>
              <w:jc w:val="center"/>
              <w:rPr>
                <w:rFonts w:ascii="宋体" w:hAnsi="宋体"/>
                <w:color w:val="auto"/>
              </w:rPr>
            </w:pPr>
            <w:r>
              <w:rPr>
                <w:rFonts w:ascii="宋体" w:hAnsi="宋体"/>
                <w:color w:val="auto"/>
              </w:rPr>
              <w:t>7.8</w:t>
            </w:r>
          </w:p>
        </w:tc>
        <w:tc>
          <w:tcPr>
            <w:tcW w:w="375" w:type="pct"/>
            <w:vAlign w:val="center"/>
          </w:tcPr>
          <w:p w14:paraId="008A458C">
            <w:pPr>
              <w:jc w:val="center"/>
              <w:rPr>
                <w:rFonts w:ascii="宋体" w:hAnsi="宋体"/>
                <w:color w:val="auto"/>
              </w:rPr>
            </w:pPr>
            <w:r>
              <w:rPr>
                <w:rFonts w:ascii="宋体" w:hAnsi="宋体"/>
                <w:color w:val="auto"/>
              </w:rPr>
              <w:t>8.0</w:t>
            </w:r>
          </w:p>
        </w:tc>
        <w:tc>
          <w:tcPr>
            <w:tcW w:w="361" w:type="pct"/>
            <w:vAlign w:val="center"/>
          </w:tcPr>
          <w:p w14:paraId="22487631">
            <w:pPr>
              <w:jc w:val="center"/>
              <w:rPr>
                <w:rFonts w:ascii="宋体" w:hAnsi="宋体"/>
                <w:color w:val="auto"/>
              </w:rPr>
            </w:pPr>
            <w:r>
              <w:rPr>
                <w:rFonts w:ascii="宋体" w:hAnsi="宋体"/>
                <w:color w:val="auto"/>
              </w:rPr>
              <w:t>/</w:t>
            </w:r>
          </w:p>
        </w:tc>
        <w:tc>
          <w:tcPr>
            <w:tcW w:w="375" w:type="pct"/>
            <w:vAlign w:val="center"/>
          </w:tcPr>
          <w:p w14:paraId="4A3EA9E6">
            <w:pPr>
              <w:jc w:val="center"/>
              <w:rPr>
                <w:rFonts w:ascii="宋体" w:hAnsi="宋体"/>
                <w:color w:val="auto"/>
              </w:rPr>
            </w:pPr>
            <w:r>
              <w:rPr>
                <w:rFonts w:ascii="宋体" w:hAnsi="宋体"/>
                <w:color w:val="auto"/>
              </w:rPr>
              <w:t>8.1</w:t>
            </w:r>
          </w:p>
        </w:tc>
        <w:tc>
          <w:tcPr>
            <w:tcW w:w="375" w:type="pct"/>
            <w:vAlign w:val="center"/>
          </w:tcPr>
          <w:p w14:paraId="3D1B5D61">
            <w:pPr>
              <w:jc w:val="center"/>
              <w:rPr>
                <w:rFonts w:ascii="宋体" w:hAnsi="宋体"/>
                <w:color w:val="auto"/>
              </w:rPr>
            </w:pPr>
            <w:r>
              <w:rPr>
                <w:rFonts w:ascii="宋体" w:hAnsi="宋体"/>
                <w:color w:val="auto"/>
              </w:rPr>
              <w:t>8.1</w:t>
            </w:r>
          </w:p>
        </w:tc>
        <w:tc>
          <w:tcPr>
            <w:tcW w:w="375" w:type="pct"/>
            <w:vAlign w:val="center"/>
          </w:tcPr>
          <w:p w14:paraId="00F78677">
            <w:pPr>
              <w:jc w:val="center"/>
              <w:rPr>
                <w:rFonts w:ascii="宋体" w:hAnsi="宋体"/>
                <w:color w:val="auto"/>
              </w:rPr>
            </w:pPr>
            <w:r>
              <w:rPr>
                <w:rFonts w:ascii="宋体" w:hAnsi="宋体"/>
                <w:color w:val="auto"/>
              </w:rPr>
              <w:t>8.1</w:t>
            </w:r>
          </w:p>
        </w:tc>
        <w:tc>
          <w:tcPr>
            <w:tcW w:w="360" w:type="pct"/>
            <w:vAlign w:val="center"/>
          </w:tcPr>
          <w:p w14:paraId="191F4C1B">
            <w:pPr>
              <w:jc w:val="center"/>
              <w:rPr>
                <w:rFonts w:ascii="宋体" w:hAnsi="宋体"/>
                <w:color w:val="auto"/>
              </w:rPr>
            </w:pPr>
            <w:r>
              <w:rPr>
                <w:rFonts w:ascii="宋体" w:hAnsi="宋体"/>
                <w:color w:val="auto"/>
              </w:rPr>
              <w:t>/</w:t>
            </w:r>
          </w:p>
        </w:tc>
      </w:tr>
      <w:tr w14:paraId="4EDAC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63C3960C">
            <w:pPr>
              <w:jc w:val="center"/>
              <w:rPr>
                <w:rFonts w:ascii="宋体" w:hAnsi="宋体"/>
                <w:color w:val="auto"/>
              </w:rPr>
            </w:pPr>
            <w:r>
              <w:rPr>
                <w:rFonts w:ascii="宋体" w:hAnsi="宋体"/>
                <w:color w:val="auto"/>
              </w:rPr>
              <w:t>流速/(m/s)</w:t>
            </w:r>
          </w:p>
        </w:tc>
        <w:tc>
          <w:tcPr>
            <w:tcW w:w="320" w:type="pct"/>
            <w:vAlign w:val="center"/>
          </w:tcPr>
          <w:p w14:paraId="3D7E51C0">
            <w:pPr>
              <w:jc w:val="center"/>
              <w:rPr>
                <w:rFonts w:ascii="宋体" w:hAnsi="宋体"/>
                <w:color w:val="auto"/>
              </w:rPr>
            </w:pPr>
            <w:r>
              <w:rPr>
                <w:rFonts w:ascii="宋体" w:hAnsi="宋体"/>
                <w:color w:val="auto"/>
              </w:rPr>
              <w:t>6.2</w:t>
            </w:r>
          </w:p>
        </w:tc>
        <w:tc>
          <w:tcPr>
            <w:tcW w:w="374" w:type="pct"/>
            <w:vAlign w:val="center"/>
          </w:tcPr>
          <w:p w14:paraId="02521D36">
            <w:pPr>
              <w:jc w:val="center"/>
              <w:rPr>
                <w:rFonts w:ascii="宋体" w:hAnsi="宋体"/>
                <w:color w:val="auto"/>
              </w:rPr>
            </w:pPr>
            <w:r>
              <w:rPr>
                <w:rFonts w:ascii="宋体" w:hAnsi="宋体"/>
                <w:color w:val="auto"/>
              </w:rPr>
              <w:t>6.3</w:t>
            </w:r>
          </w:p>
        </w:tc>
        <w:tc>
          <w:tcPr>
            <w:tcW w:w="374" w:type="pct"/>
            <w:vAlign w:val="center"/>
          </w:tcPr>
          <w:p w14:paraId="63BF4DCD">
            <w:pPr>
              <w:jc w:val="center"/>
              <w:rPr>
                <w:rFonts w:ascii="宋体" w:hAnsi="宋体"/>
                <w:color w:val="auto"/>
              </w:rPr>
            </w:pPr>
            <w:r>
              <w:rPr>
                <w:rFonts w:ascii="宋体" w:hAnsi="宋体"/>
                <w:color w:val="auto"/>
              </w:rPr>
              <w:t>6.3</w:t>
            </w:r>
          </w:p>
        </w:tc>
        <w:tc>
          <w:tcPr>
            <w:tcW w:w="360" w:type="pct"/>
            <w:gridSpan w:val="2"/>
            <w:vAlign w:val="center"/>
          </w:tcPr>
          <w:p w14:paraId="10C9797A">
            <w:pPr>
              <w:jc w:val="center"/>
              <w:rPr>
                <w:rFonts w:ascii="宋体" w:hAnsi="宋体"/>
                <w:color w:val="auto"/>
              </w:rPr>
            </w:pPr>
            <w:r>
              <w:rPr>
                <w:rFonts w:ascii="宋体" w:hAnsi="宋体"/>
                <w:color w:val="auto"/>
              </w:rPr>
              <w:t>/</w:t>
            </w:r>
          </w:p>
        </w:tc>
        <w:tc>
          <w:tcPr>
            <w:tcW w:w="374" w:type="pct"/>
            <w:vAlign w:val="center"/>
          </w:tcPr>
          <w:p w14:paraId="76BADB44">
            <w:pPr>
              <w:jc w:val="center"/>
              <w:rPr>
                <w:rFonts w:ascii="宋体" w:hAnsi="宋体"/>
                <w:color w:val="auto"/>
              </w:rPr>
            </w:pPr>
            <w:r>
              <w:rPr>
                <w:rFonts w:ascii="宋体" w:hAnsi="宋体"/>
                <w:color w:val="auto"/>
              </w:rPr>
              <w:t>6.3</w:t>
            </w:r>
          </w:p>
        </w:tc>
        <w:tc>
          <w:tcPr>
            <w:tcW w:w="374" w:type="pct"/>
            <w:vAlign w:val="center"/>
          </w:tcPr>
          <w:p w14:paraId="6647C53E">
            <w:pPr>
              <w:jc w:val="center"/>
              <w:rPr>
                <w:rFonts w:ascii="宋体" w:hAnsi="宋体"/>
                <w:color w:val="auto"/>
              </w:rPr>
            </w:pPr>
            <w:r>
              <w:rPr>
                <w:rFonts w:ascii="宋体" w:hAnsi="宋体"/>
                <w:color w:val="auto"/>
              </w:rPr>
              <w:t>6.3</w:t>
            </w:r>
          </w:p>
        </w:tc>
        <w:tc>
          <w:tcPr>
            <w:tcW w:w="375" w:type="pct"/>
            <w:vAlign w:val="center"/>
          </w:tcPr>
          <w:p w14:paraId="21AFD9C4">
            <w:pPr>
              <w:jc w:val="center"/>
              <w:rPr>
                <w:rFonts w:ascii="宋体" w:hAnsi="宋体"/>
                <w:color w:val="auto"/>
              </w:rPr>
            </w:pPr>
            <w:r>
              <w:rPr>
                <w:rFonts w:ascii="宋体" w:hAnsi="宋体"/>
                <w:color w:val="auto"/>
              </w:rPr>
              <w:t>6.3</w:t>
            </w:r>
          </w:p>
        </w:tc>
        <w:tc>
          <w:tcPr>
            <w:tcW w:w="361" w:type="pct"/>
            <w:vAlign w:val="center"/>
          </w:tcPr>
          <w:p w14:paraId="483FC3C1">
            <w:pPr>
              <w:jc w:val="center"/>
              <w:rPr>
                <w:rFonts w:ascii="宋体" w:hAnsi="宋体"/>
                <w:color w:val="auto"/>
              </w:rPr>
            </w:pPr>
            <w:r>
              <w:rPr>
                <w:rFonts w:ascii="宋体" w:hAnsi="宋体"/>
                <w:color w:val="auto"/>
              </w:rPr>
              <w:t>/</w:t>
            </w:r>
          </w:p>
        </w:tc>
        <w:tc>
          <w:tcPr>
            <w:tcW w:w="375" w:type="pct"/>
            <w:vAlign w:val="center"/>
          </w:tcPr>
          <w:p w14:paraId="63A97E1D">
            <w:pPr>
              <w:jc w:val="center"/>
              <w:rPr>
                <w:rFonts w:ascii="宋体" w:hAnsi="宋体"/>
                <w:color w:val="auto"/>
              </w:rPr>
            </w:pPr>
            <w:r>
              <w:rPr>
                <w:rFonts w:ascii="宋体" w:hAnsi="宋体"/>
                <w:color w:val="auto"/>
              </w:rPr>
              <w:t>6.2</w:t>
            </w:r>
          </w:p>
        </w:tc>
        <w:tc>
          <w:tcPr>
            <w:tcW w:w="375" w:type="pct"/>
            <w:vAlign w:val="center"/>
          </w:tcPr>
          <w:p w14:paraId="2FECA280">
            <w:pPr>
              <w:jc w:val="center"/>
              <w:rPr>
                <w:rFonts w:ascii="宋体" w:hAnsi="宋体"/>
                <w:color w:val="auto"/>
              </w:rPr>
            </w:pPr>
            <w:r>
              <w:rPr>
                <w:rFonts w:ascii="宋体" w:hAnsi="宋体"/>
                <w:color w:val="auto"/>
              </w:rPr>
              <w:t>6.4</w:t>
            </w:r>
          </w:p>
        </w:tc>
        <w:tc>
          <w:tcPr>
            <w:tcW w:w="375" w:type="pct"/>
            <w:vAlign w:val="center"/>
          </w:tcPr>
          <w:p w14:paraId="799E7760">
            <w:pPr>
              <w:jc w:val="center"/>
              <w:rPr>
                <w:rFonts w:ascii="宋体" w:hAnsi="宋体"/>
                <w:color w:val="auto"/>
              </w:rPr>
            </w:pPr>
            <w:r>
              <w:rPr>
                <w:rFonts w:ascii="宋体" w:hAnsi="宋体"/>
                <w:color w:val="auto"/>
              </w:rPr>
              <w:t>6.4</w:t>
            </w:r>
          </w:p>
        </w:tc>
        <w:tc>
          <w:tcPr>
            <w:tcW w:w="360" w:type="pct"/>
            <w:vAlign w:val="center"/>
          </w:tcPr>
          <w:p w14:paraId="4B022066">
            <w:pPr>
              <w:jc w:val="center"/>
              <w:rPr>
                <w:rFonts w:ascii="宋体" w:hAnsi="宋体"/>
                <w:color w:val="auto"/>
              </w:rPr>
            </w:pPr>
            <w:r>
              <w:rPr>
                <w:rFonts w:ascii="宋体" w:hAnsi="宋体"/>
                <w:color w:val="auto"/>
              </w:rPr>
              <w:t>/</w:t>
            </w:r>
          </w:p>
        </w:tc>
      </w:tr>
      <w:tr w14:paraId="44DE1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2AF16E1D">
            <w:pPr>
              <w:jc w:val="center"/>
              <w:rPr>
                <w:rFonts w:ascii="宋体" w:hAnsi="宋体"/>
                <w:color w:val="auto"/>
              </w:rPr>
            </w:pPr>
            <w:r>
              <w:rPr>
                <w:rFonts w:ascii="宋体" w:hAnsi="宋体"/>
                <w:color w:val="auto"/>
              </w:rPr>
              <w:t>含氧量/(%)</w:t>
            </w:r>
          </w:p>
        </w:tc>
        <w:tc>
          <w:tcPr>
            <w:tcW w:w="320" w:type="pct"/>
            <w:vAlign w:val="center"/>
          </w:tcPr>
          <w:p w14:paraId="298EF24D">
            <w:pPr>
              <w:jc w:val="center"/>
              <w:rPr>
                <w:rFonts w:ascii="宋体" w:hAnsi="宋体"/>
                <w:color w:val="auto"/>
              </w:rPr>
            </w:pPr>
            <w:r>
              <w:rPr>
                <w:rFonts w:ascii="宋体" w:hAnsi="宋体"/>
                <w:color w:val="auto"/>
              </w:rPr>
              <w:t>5.4</w:t>
            </w:r>
          </w:p>
        </w:tc>
        <w:tc>
          <w:tcPr>
            <w:tcW w:w="374" w:type="pct"/>
            <w:vAlign w:val="center"/>
          </w:tcPr>
          <w:p w14:paraId="4481C0F3">
            <w:pPr>
              <w:jc w:val="center"/>
              <w:rPr>
                <w:rFonts w:ascii="宋体" w:hAnsi="宋体"/>
                <w:color w:val="auto"/>
              </w:rPr>
            </w:pPr>
            <w:r>
              <w:rPr>
                <w:rFonts w:ascii="宋体" w:hAnsi="宋体"/>
                <w:color w:val="auto"/>
              </w:rPr>
              <w:t>5.4</w:t>
            </w:r>
          </w:p>
        </w:tc>
        <w:tc>
          <w:tcPr>
            <w:tcW w:w="374" w:type="pct"/>
            <w:vAlign w:val="center"/>
          </w:tcPr>
          <w:p w14:paraId="1F9C2844">
            <w:pPr>
              <w:jc w:val="center"/>
              <w:rPr>
                <w:rFonts w:ascii="宋体" w:hAnsi="宋体"/>
                <w:color w:val="auto"/>
              </w:rPr>
            </w:pPr>
            <w:r>
              <w:rPr>
                <w:rFonts w:ascii="宋体" w:hAnsi="宋体"/>
                <w:color w:val="auto"/>
              </w:rPr>
              <w:t>5.4</w:t>
            </w:r>
          </w:p>
        </w:tc>
        <w:tc>
          <w:tcPr>
            <w:tcW w:w="360" w:type="pct"/>
            <w:gridSpan w:val="2"/>
            <w:vAlign w:val="center"/>
          </w:tcPr>
          <w:p w14:paraId="1FA27EBE">
            <w:pPr>
              <w:jc w:val="center"/>
              <w:rPr>
                <w:rFonts w:ascii="宋体" w:hAnsi="宋体"/>
                <w:color w:val="auto"/>
              </w:rPr>
            </w:pPr>
            <w:r>
              <w:rPr>
                <w:rFonts w:ascii="宋体" w:hAnsi="宋体"/>
                <w:color w:val="auto"/>
              </w:rPr>
              <w:t>/</w:t>
            </w:r>
          </w:p>
        </w:tc>
        <w:tc>
          <w:tcPr>
            <w:tcW w:w="374" w:type="pct"/>
            <w:vAlign w:val="center"/>
          </w:tcPr>
          <w:p w14:paraId="7143815E">
            <w:pPr>
              <w:jc w:val="center"/>
              <w:rPr>
                <w:rFonts w:ascii="宋体" w:hAnsi="宋体"/>
                <w:color w:val="auto"/>
              </w:rPr>
            </w:pPr>
            <w:r>
              <w:rPr>
                <w:rFonts w:ascii="宋体" w:hAnsi="宋体"/>
                <w:color w:val="auto"/>
              </w:rPr>
              <w:t>5.5</w:t>
            </w:r>
          </w:p>
        </w:tc>
        <w:tc>
          <w:tcPr>
            <w:tcW w:w="374" w:type="pct"/>
            <w:vAlign w:val="center"/>
          </w:tcPr>
          <w:p w14:paraId="17BA1F3C">
            <w:pPr>
              <w:jc w:val="center"/>
              <w:rPr>
                <w:rFonts w:ascii="宋体" w:hAnsi="宋体"/>
                <w:color w:val="auto"/>
              </w:rPr>
            </w:pPr>
            <w:r>
              <w:rPr>
                <w:rFonts w:ascii="宋体" w:hAnsi="宋体"/>
                <w:color w:val="auto"/>
              </w:rPr>
              <w:t>5.5</w:t>
            </w:r>
          </w:p>
        </w:tc>
        <w:tc>
          <w:tcPr>
            <w:tcW w:w="375" w:type="pct"/>
            <w:vAlign w:val="center"/>
          </w:tcPr>
          <w:p w14:paraId="11A580A3">
            <w:pPr>
              <w:jc w:val="center"/>
              <w:rPr>
                <w:rFonts w:ascii="宋体" w:hAnsi="宋体"/>
                <w:color w:val="auto"/>
              </w:rPr>
            </w:pPr>
            <w:r>
              <w:rPr>
                <w:rFonts w:ascii="宋体" w:hAnsi="宋体"/>
                <w:color w:val="auto"/>
              </w:rPr>
              <w:t>5.6</w:t>
            </w:r>
          </w:p>
        </w:tc>
        <w:tc>
          <w:tcPr>
            <w:tcW w:w="361" w:type="pct"/>
            <w:vAlign w:val="center"/>
          </w:tcPr>
          <w:p w14:paraId="237EA439">
            <w:pPr>
              <w:jc w:val="center"/>
              <w:rPr>
                <w:rFonts w:ascii="宋体" w:hAnsi="宋体"/>
                <w:color w:val="auto"/>
              </w:rPr>
            </w:pPr>
            <w:r>
              <w:rPr>
                <w:rFonts w:ascii="宋体" w:hAnsi="宋体"/>
                <w:color w:val="auto"/>
              </w:rPr>
              <w:t>/</w:t>
            </w:r>
          </w:p>
        </w:tc>
        <w:tc>
          <w:tcPr>
            <w:tcW w:w="375" w:type="pct"/>
            <w:vAlign w:val="center"/>
          </w:tcPr>
          <w:p w14:paraId="63DA0C4C">
            <w:pPr>
              <w:jc w:val="center"/>
              <w:rPr>
                <w:rFonts w:ascii="宋体" w:hAnsi="宋体"/>
                <w:color w:val="auto"/>
              </w:rPr>
            </w:pPr>
            <w:r>
              <w:rPr>
                <w:rFonts w:ascii="宋体" w:hAnsi="宋体"/>
                <w:color w:val="auto"/>
              </w:rPr>
              <w:t>5.5</w:t>
            </w:r>
          </w:p>
        </w:tc>
        <w:tc>
          <w:tcPr>
            <w:tcW w:w="375" w:type="pct"/>
            <w:vAlign w:val="center"/>
          </w:tcPr>
          <w:p w14:paraId="0EB2FBE8">
            <w:pPr>
              <w:jc w:val="center"/>
              <w:rPr>
                <w:rFonts w:ascii="宋体" w:hAnsi="宋体"/>
                <w:color w:val="auto"/>
              </w:rPr>
            </w:pPr>
            <w:r>
              <w:rPr>
                <w:rFonts w:ascii="宋体" w:hAnsi="宋体"/>
                <w:color w:val="auto"/>
              </w:rPr>
              <w:t>5.5</w:t>
            </w:r>
          </w:p>
        </w:tc>
        <w:tc>
          <w:tcPr>
            <w:tcW w:w="375" w:type="pct"/>
            <w:vAlign w:val="center"/>
          </w:tcPr>
          <w:p w14:paraId="174A4C46">
            <w:pPr>
              <w:jc w:val="center"/>
              <w:rPr>
                <w:rFonts w:ascii="宋体" w:hAnsi="宋体"/>
                <w:color w:val="auto"/>
              </w:rPr>
            </w:pPr>
            <w:r>
              <w:rPr>
                <w:rFonts w:ascii="宋体" w:hAnsi="宋体"/>
                <w:color w:val="auto"/>
              </w:rPr>
              <w:t>5.5</w:t>
            </w:r>
          </w:p>
        </w:tc>
        <w:tc>
          <w:tcPr>
            <w:tcW w:w="360" w:type="pct"/>
            <w:vAlign w:val="center"/>
          </w:tcPr>
          <w:p w14:paraId="2C83DDAC">
            <w:pPr>
              <w:jc w:val="center"/>
              <w:rPr>
                <w:rFonts w:ascii="宋体" w:hAnsi="宋体"/>
                <w:color w:val="auto"/>
              </w:rPr>
            </w:pPr>
            <w:r>
              <w:rPr>
                <w:rFonts w:ascii="宋体" w:hAnsi="宋体"/>
                <w:color w:val="auto"/>
              </w:rPr>
              <w:t>/</w:t>
            </w:r>
          </w:p>
        </w:tc>
      </w:tr>
      <w:tr w14:paraId="3C17A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48A04ED5">
            <w:pPr>
              <w:jc w:val="center"/>
              <w:rPr>
                <w:rFonts w:ascii="宋体" w:hAnsi="宋体"/>
                <w:color w:val="auto"/>
              </w:rPr>
            </w:pPr>
            <w:r>
              <w:rPr>
                <w:rFonts w:ascii="宋体" w:hAnsi="宋体"/>
                <w:color w:val="auto"/>
              </w:rPr>
              <w:t>标干废气量/（Nm</w:t>
            </w:r>
            <w:r>
              <w:rPr>
                <w:rFonts w:ascii="宋体" w:hAnsi="宋体"/>
                <w:color w:val="auto"/>
                <w:vertAlign w:val="superscript"/>
              </w:rPr>
              <w:t>3</w:t>
            </w:r>
            <w:r>
              <w:rPr>
                <w:rFonts w:ascii="宋体" w:hAnsi="宋体"/>
                <w:color w:val="auto"/>
              </w:rPr>
              <w:t>/h）</w:t>
            </w:r>
          </w:p>
        </w:tc>
        <w:tc>
          <w:tcPr>
            <w:tcW w:w="320" w:type="pct"/>
            <w:vAlign w:val="center"/>
          </w:tcPr>
          <w:p w14:paraId="2B88D6C8">
            <w:pPr>
              <w:jc w:val="center"/>
              <w:rPr>
                <w:rFonts w:ascii="宋体" w:hAnsi="宋体"/>
                <w:color w:val="auto"/>
              </w:rPr>
            </w:pPr>
            <w:r>
              <w:rPr>
                <w:rFonts w:ascii="宋体" w:hAnsi="宋体"/>
                <w:color w:val="auto"/>
              </w:rPr>
              <w:t>317</w:t>
            </w:r>
          </w:p>
        </w:tc>
        <w:tc>
          <w:tcPr>
            <w:tcW w:w="374" w:type="pct"/>
            <w:vAlign w:val="center"/>
          </w:tcPr>
          <w:p w14:paraId="3865842F">
            <w:pPr>
              <w:jc w:val="center"/>
              <w:rPr>
                <w:rFonts w:ascii="宋体" w:hAnsi="宋体"/>
                <w:color w:val="auto"/>
              </w:rPr>
            </w:pPr>
            <w:r>
              <w:rPr>
                <w:rFonts w:ascii="宋体" w:hAnsi="宋体"/>
                <w:color w:val="auto"/>
              </w:rPr>
              <w:t>323</w:t>
            </w:r>
          </w:p>
        </w:tc>
        <w:tc>
          <w:tcPr>
            <w:tcW w:w="374" w:type="pct"/>
            <w:vAlign w:val="center"/>
          </w:tcPr>
          <w:p w14:paraId="6DB2DC49">
            <w:pPr>
              <w:jc w:val="center"/>
              <w:rPr>
                <w:rFonts w:ascii="宋体" w:hAnsi="宋体"/>
                <w:color w:val="auto"/>
              </w:rPr>
            </w:pPr>
            <w:r>
              <w:rPr>
                <w:rFonts w:ascii="宋体" w:hAnsi="宋体"/>
                <w:color w:val="auto"/>
              </w:rPr>
              <w:t>318</w:t>
            </w:r>
          </w:p>
        </w:tc>
        <w:tc>
          <w:tcPr>
            <w:tcW w:w="360" w:type="pct"/>
            <w:gridSpan w:val="2"/>
            <w:vAlign w:val="center"/>
          </w:tcPr>
          <w:p w14:paraId="50714E73">
            <w:pPr>
              <w:jc w:val="center"/>
              <w:rPr>
                <w:rFonts w:ascii="宋体" w:hAnsi="宋体"/>
                <w:color w:val="auto"/>
              </w:rPr>
            </w:pPr>
            <w:r>
              <w:rPr>
                <w:rFonts w:ascii="宋体" w:hAnsi="宋体"/>
                <w:color w:val="auto"/>
              </w:rPr>
              <w:t>/</w:t>
            </w:r>
          </w:p>
        </w:tc>
        <w:tc>
          <w:tcPr>
            <w:tcW w:w="374" w:type="pct"/>
            <w:vAlign w:val="center"/>
          </w:tcPr>
          <w:p w14:paraId="13C46269">
            <w:pPr>
              <w:jc w:val="center"/>
              <w:rPr>
                <w:rFonts w:ascii="宋体" w:hAnsi="宋体"/>
                <w:color w:val="auto"/>
              </w:rPr>
            </w:pPr>
            <w:r>
              <w:rPr>
                <w:rFonts w:ascii="宋体" w:hAnsi="宋体"/>
                <w:color w:val="auto"/>
              </w:rPr>
              <w:t>321</w:t>
            </w:r>
          </w:p>
        </w:tc>
        <w:tc>
          <w:tcPr>
            <w:tcW w:w="374" w:type="pct"/>
            <w:vAlign w:val="center"/>
          </w:tcPr>
          <w:p w14:paraId="5327B935">
            <w:pPr>
              <w:jc w:val="center"/>
              <w:rPr>
                <w:rFonts w:ascii="宋体" w:hAnsi="宋体"/>
                <w:color w:val="auto"/>
              </w:rPr>
            </w:pPr>
            <w:r>
              <w:rPr>
                <w:rFonts w:ascii="宋体" w:hAnsi="宋体"/>
                <w:color w:val="auto"/>
              </w:rPr>
              <w:t>321</w:t>
            </w:r>
          </w:p>
        </w:tc>
        <w:tc>
          <w:tcPr>
            <w:tcW w:w="375" w:type="pct"/>
            <w:vAlign w:val="center"/>
          </w:tcPr>
          <w:p w14:paraId="62F5CC88">
            <w:pPr>
              <w:jc w:val="center"/>
              <w:rPr>
                <w:rFonts w:ascii="宋体" w:hAnsi="宋体"/>
                <w:color w:val="auto"/>
              </w:rPr>
            </w:pPr>
            <w:r>
              <w:rPr>
                <w:rFonts w:ascii="宋体" w:hAnsi="宋体"/>
                <w:color w:val="auto"/>
              </w:rPr>
              <w:t>318</w:t>
            </w:r>
          </w:p>
        </w:tc>
        <w:tc>
          <w:tcPr>
            <w:tcW w:w="361" w:type="pct"/>
            <w:vAlign w:val="center"/>
          </w:tcPr>
          <w:p w14:paraId="57272E09">
            <w:pPr>
              <w:jc w:val="center"/>
              <w:rPr>
                <w:rFonts w:ascii="宋体" w:hAnsi="宋体"/>
                <w:color w:val="auto"/>
              </w:rPr>
            </w:pPr>
            <w:r>
              <w:rPr>
                <w:rFonts w:ascii="宋体" w:hAnsi="宋体"/>
                <w:color w:val="auto"/>
              </w:rPr>
              <w:t>/</w:t>
            </w:r>
          </w:p>
        </w:tc>
        <w:tc>
          <w:tcPr>
            <w:tcW w:w="375" w:type="pct"/>
            <w:vAlign w:val="center"/>
          </w:tcPr>
          <w:p w14:paraId="73FE758D">
            <w:pPr>
              <w:jc w:val="center"/>
              <w:rPr>
                <w:rFonts w:ascii="宋体" w:hAnsi="宋体"/>
                <w:color w:val="auto"/>
              </w:rPr>
            </w:pPr>
            <w:r>
              <w:rPr>
                <w:rFonts w:ascii="宋体" w:hAnsi="宋体"/>
                <w:color w:val="auto"/>
              </w:rPr>
              <w:t>315</w:t>
            </w:r>
          </w:p>
        </w:tc>
        <w:tc>
          <w:tcPr>
            <w:tcW w:w="375" w:type="pct"/>
            <w:vAlign w:val="center"/>
          </w:tcPr>
          <w:p w14:paraId="6F94342D">
            <w:pPr>
              <w:jc w:val="center"/>
              <w:rPr>
                <w:rFonts w:ascii="宋体" w:hAnsi="宋体"/>
                <w:color w:val="auto"/>
              </w:rPr>
            </w:pPr>
            <w:r>
              <w:rPr>
                <w:rFonts w:ascii="宋体" w:hAnsi="宋体"/>
                <w:color w:val="auto"/>
              </w:rPr>
              <w:t>326</w:t>
            </w:r>
          </w:p>
        </w:tc>
        <w:tc>
          <w:tcPr>
            <w:tcW w:w="375" w:type="pct"/>
            <w:vAlign w:val="center"/>
          </w:tcPr>
          <w:p w14:paraId="72E43BED">
            <w:pPr>
              <w:jc w:val="center"/>
              <w:rPr>
                <w:rFonts w:ascii="宋体" w:hAnsi="宋体"/>
                <w:color w:val="auto"/>
              </w:rPr>
            </w:pPr>
            <w:r>
              <w:rPr>
                <w:rFonts w:ascii="宋体" w:hAnsi="宋体"/>
                <w:color w:val="auto"/>
              </w:rPr>
              <w:t>327</w:t>
            </w:r>
          </w:p>
        </w:tc>
        <w:tc>
          <w:tcPr>
            <w:tcW w:w="360" w:type="pct"/>
            <w:vAlign w:val="center"/>
          </w:tcPr>
          <w:p w14:paraId="7247CA0F">
            <w:pPr>
              <w:jc w:val="center"/>
              <w:rPr>
                <w:rFonts w:ascii="宋体" w:hAnsi="宋体"/>
                <w:color w:val="auto"/>
              </w:rPr>
            </w:pPr>
            <w:r>
              <w:rPr>
                <w:rFonts w:ascii="宋体" w:hAnsi="宋体"/>
                <w:color w:val="auto"/>
              </w:rPr>
              <w:t>/</w:t>
            </w:r>
          </w:p>
        </w:tc>
      </w:tr>
      <w:tr w14:paraId="272A8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restart"/>
            <w:vAlign w:val="center"/>
          </w:tcPr>
          <w:p w14:paraId="0C4B550A">
            <w:pPr>
              <w:jc w:val="center"/>
              <w:rPr>
                <w:rFonts w:ascii="宋体" w:hAnsi="宋体"/>
                <w:color w:val="auto"/>
              </w:rPr>
            </w:pPr>
            <w:r>
              <w:rPr>
                <w:rFonts w:ascii="宋体" w:hAnsi="宋体"/>
                <w:color w:val="auto"/>
              </w:rPr>
              <w:t>颗粒物</w:t>
            </w:r>
          </w:p>
        </w:tc>
        <w:tc>
          <w:tcPr>
            <w:tcW w:w="451" w:type="pct"/>
            <w:vAlign w:val="center"/>
          </w:tcPr>
          <w:p w14:paraId="7A46AA45">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20" w:type="pct"/>
            <w:vAlign w:val="center"/>
          </w:tcPr>
          <w:p w14:paraId="698B8750">
            <w:pPr>
              <w:jc w:val="center"/>
              <w:rPr>
                <w:rFonts w:ascii="宋体" w:hAnsi="宋体"/>
                <w:color w:val="auto"/>
              </w:rPr>
            </w:pPr>
            <w:r>
              <w:rPr>
                <w:rFonts w:ascii="宋体" w:hAnsi="宋体"/>
                <w:color w:val="auto"/>
              </w:rPr>
              <w:t>3.8</w:t>
            </w:r>
          </w:p>
        </w:tc>
        <w:tc>
          <w:tcPr>
            <w:tcW w:w="374" w:type="pct"/>
            <w:vAlign w:val="center"/>
          </w:tcPr>
          <w:p w14:paraId="60442209">
            <w:pPr>
              <w:jc w:val="center"/>
              <w:rPr>
                <w:rFonts w:ascii="宋体" w:hAnsi="宋体"/>
                <w:color w:val="auto"/>
              </w:rPr>
            </w:pPr>
            <w:r>
              <w:rPr>
                <w:rFonts w:ascii="宋体" w:hAnsi="宋体"/>
                <w:color w:val="auto"/>
              </w:rPr>
              <w:t>2.3</w:t>
            </w:r>
          </w:p>
        </w:tc>
        <w:tc>
          <w:tcPr>
            <w:tcW w:w="374" w:type="pct"/>
            <w:vAlign w:val="center"/>
          </w:tcPr>
          <w:p w14:paraId="55974D18">
            <w:pPr>
              <w:jc w:val="center"/>
              <w:rPr>
                <w:rFonts w:ascii="宋体" w:hAnsi="宋体"/>
                <w:color w:val="auto"/>
              </w:rPr>
            </w:pPr>
            <w:r>
              <w:rPr>
                <w:rFonts w:ascii="宋体" w:hAnsi="宋体"/>
                <w:color w:val="auto"/>
              </w:rPr>
              <w:t>3.7</w:t>
            </w:r>
          </w:p>
        </w:tc>
        <w:tc>
          <w:tcPr>
            <w:tcW w:w="360" w:type="pct"/>
            <w:gridSpan w:val="2"/>
            <w:vAlign w:val="center"/>
          </w:tcPr>
          <w:p w14:paraId="5C068773">
            <w:pPr>
              <w:jc w:val="center"/>
              <w:rPr>
                <w:rFonts w:ascii="宋体" w:hAnsi="宋体"/>
                <w:bCs/>
                <w:color w:val="auto"/>
              </w:rPr>
            </w:pPr>
            <w:r>
              <w:rPr>
                <w:rFonts w:ascii="宋体" w:hAnsi="宋体"/>
                <w:bCs/>
                <w:color w:val="auto"/>
              </w:rPr>
              <w:t>3.3</w:t>
            </w:r>
          </w:p>
        </w:tc>
        <w:tc>
          <w:tcPr>
            <w:tcW w:w="374" w:type="pct"/>
            <w:vAlign w:val="center"/>
          </w:tcPr>
          <w:p w14:paraId="2D071EE7">
            <w:pPr>
              <w:jc w:val="center"/>
              <w:rPr>
                <w:rFonts w:ascii="宋体" w:hAnsi="宋体"/>
                <w:color w:val="auto"/>
              </w:rPr>
            </w:pPr>
            <w:r>
              <w:rPr>
                <w:rFonts w:ascii="宋体" w:hAnsi="宋体"/>
                <w:color w:val="auto"/>
              </w:rPr>
              <w:t>2.8</w:t>
            </w:r>
          </w:p>
        </w:tc>
        <w:tc>
          <w:tcPr>
            <w:tcW w:w="374" w:type="pct"/>
            <w:vAlign w:val="center"/>
          </w:tcPr>
          <w:p w14:paraId="30993322">
            <w:pPr>
              <w:jc w:val="center"/>
              <w:rPr>
                <w:rFonts w:ascii="宋体" w:hAnsi="宋体"/>
                <w:color w:val="auto"/>
              </w:rPr>
            </w:pPr>
            <w:r>
              <w:rPr>
                <w:rFonts w:ascii="宋体" w:hAnsi="宋体"/>
                <w:color w:val="auto"/>
              </w:rPr>
              <w:t>3.9</w:t>
            </w:r>
          </w:p>
        </w:tc>
        <w:tc>
          <w:tcPr>
            <w:tcW w:w="375" w:type="pct"/>
            <w:vAlign w:val="center"/>
          </w:tcPr>
          <w:p w14:paraId="79E2FF6D">
            <w:pPr>
              <w:jc w:val="center"/>
              <w:rPr>
                <w:rFonts w:ascii="宋体" w:hAnsi="宋体"/>
                <w:color w:val="auto"/>
              </w:rPr>
            </w:pPr>
            <w:r>
              <w:rPr>
                <w:rFonts w:ascii="宋体" w:hAnsi="宋体"/>
                <w:color w:val="auto"/>
              </w:rPr>
              <w:t>2.6</w:t>
            </w:r>
          </w:p>
        </w:tc>
        <w:tc>
          <w:tcPr>
            <w:tcW w:w="361" w:type="pct"/>
            <w:vAlign w:val="center"/>
          </w:tcPr>
          <w:p w14:paraId="15D369DD">
            <w:pPr>
              <w:jc w:val="center"/>
              <w:rPr>
                <w:rFonts w:ascii="宋体" w:hAnsi="宋体"/>
                <w:bCs/>
                <w:color w:val="auto"/>
              </w:rPr>
            </w:pPr>
            <w:r>
              <w:rPr>
                <w:rFonts w:ascii="宋体" w:hAnsi="宋体"/>
                <w:bCs/>
                <w:color w:val="auto"/>
              </w:rPr>
              <w:t>3.1</w:t>
            </w:r>
          </w:p>
        </w:tc>
        <w:tc>
          <w:tcPr>
            <w:tcW w:w="375" w:type="pct"/>
            <w:vAlign w:val="center"/>
          </w:tcPr>
          <w:p w14:paraId="79105664">
            <w:pPr>
              <w:jc w:val="center"/>
              <w:rPr>
                <w:rFonts w:ascii="宋体" w:hAnsi="宋体"/>
                <w:color w:val="auto"/>
              </w:rPr>
            </w:pPr>
            <w:r>
              <w:rPr>
                <w:rFonts w:ascii="宋体" w:hAnsi="宋体"/>
                <w:color w:val="auto"/>
              </w:rPr>
              <w:t>3.6</w:t>
            </w:r>
          </w:p>
        </w:tc>
        <w:tc>
          <w:tcPr>
            <w:tcW w:w="375" w:type="pct"/>
            <w:vAlign w:val="center"/>
          </w:tcPr>
          <w:p w14:paraId="1ADC746C">
            <w:pPr>
              <w:jc w:val="center"/>
              <w:rPr>
                <w:rFonts w:ascii="宋体" w:hAnsi="宋体"/>
                <w:color w:val="auto"/>
              </w:rPr>
            </w:pPr>
            <w:r>
              <w:rPr>
                <w:rFonts w:ascii="宋体" w:hAnsi="宋体"/>
                <w:color w:val="auto"/>
              </w:rPr>
              <w:t>3.7</w:t>
            </w:r>
          </w:p>
        </w:tc>
        <w:tc>
          <w:tcPr>
            <w:tcW w:w="375" w:type="pct"/>
            <w:vAlign w:val="center"/>
          </w:tcPr>
          <w:p w14:paraId="30866B07">
            <w:pPr>
              <w:jc w:val="center"/>
              <w:rPr>
                <w:rFonts w:ascii="宋体" w:hAnsi="宋体"/>
                <w:color w:val="auto"/>
              </w:rPr>
            </w:pPr>
            <w:r>
              <w:rPr>
                <w:rFonts w:ascii="宋体" w:hAnsi="宋体"/>
                <w:color w:val="auto"/>
              </w:rPr>
              <w:t>3.4</w:t>
            </w:r>
          </w:p>
        </w:tc>
        <w:tc>
          <w:tcPr>
            <w:tcW w:w="360" w:type="pct"/>
            <w:vAlign w:val="center"/>
          </w:tcPr>
          <w:p w14:paraId="21ADCC7D">
            <w:pPr>
              <w:jc w:val="center"/>
              <w:rPr>
                <w:rFonts w:ascii="宋体" w:hAnsi="宋体"/>
                <w:bCs/>
                <w:color w:val="auto"/>
              </w:rPr>
            </w:pPr>
            <w:r>
              <w:rPr>
                <w:rFonts w:ascii="宋体" w:hAnsi="宋体"/>
                <w:bCs/>
                <w:color w:val="auto"/>
              </w:rPr>
              <w:t>3.6</w:t>
            </w:r>
          </w:p>
        </w:tc>
      </w:tr>
      <w:tr w14:paraId="66333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58FC2AEA">
            <w:pPr>
              <w:jc w:val="center"/>
              <w:rPr>
                <w:rFonts w:ascii="宋体" w:hAnsi="宋体"/>
                <w:color w:val="auto"/>
              </w:rPr>
            </w:pPr>
          </w:p>
        </w:tc>
        <w:tc>
          <w:tcPr>
            <w:tcW w:w="451" w:type="pct"/>
            <w:vAlign w:val="center"/>
          </w:tcPr>
          <w:p w14:paraId="38784B43">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20" w:type="pct"/>
            <w:vAlign w:val="center"/>
          </w:tcPr>
          <w:p w14:paraId="70112288">
            <w:pPr>
              <w:jc w:val="center"/>
              <w:rPr>
                <w:rFonts w:ascii="宋体" w:hAnsi="宋体"/>
                <w:color w:val="auto"/>
              </w:rPr>
            </w:pPr>
            <w:r>
              <w:rPr>
                <w:rFonts w:ascii="宋体" w:hAnsi="宋体"/>
                <w:color w:val="auto"/>
              </w:rPr>
              <w:t>4.3</w:t>
            </w:r>
          </w:p>
        </w:tc>
        <w:tc>
          <w:tcPr>
            <w:tcW w:w="374" w:type="pct"/>
            <w:vAlign w:val="center"/>
          </w:tcPr>
          <w:p w14:paraId="61FD21FE">
            <w:pPr>
              <w:jc w:val="center"/>
              <w:rPr>
                <w:rFonts w:ascii="宋体" w:hAnsi="宋体"/>
                <w:color w:val="auto"/>
              </w:rPr>
            </w:pPr>
            <w:r>
              <w:rPr>
                <w:rFonts w:ascii="宋体" w:hAnsi="宋体"/>
                <w:color w:val="auto"/>
              </w:rPr>
              <w:t>2.6</w:t>
            </w:r>
          </w:p>
        </w:tc>
        <w:tc>
          <w:tcPr>
            <w:tcW w:w="374" w:type="pct"/>
            <w:vAlign w:val="center"/>
          </w:tcPr>
          <w:p w14:paraId="4B8C728C">
            <w:pPr>
              <w:jc w:val="center"/>
              <w:rPr>
                <w:rFonts w:ascii="宋体" w:hAnsi="宋体"/>
                <w:color w:val="auto"/>
              </w:rPr>
            </w:pPr>
            <w:r>
              <w:rPr>
                <w:rFonts w:ascii="宋体" w:hAnsi="宋体"/>
                <w:color w:val="auto"/>
              </w:rPr>
              <w:t>4.2</w:t>
            </w:r>
          </w:p>
        </w:tc>
        <w:tc>
          <w:tcPr>
            <w:tcW w:w="360" w:type="pct"/>
            <w:gridSpan w:val="2"/>
            <w:vAlign w:val="center"/>
          </w:tcPr>
          <w:p w14:paraId="6EA9D330">
            <w:pPr>
              <w:jc w:val="center"/>
              <w:rPr>
                <w:rFonts w:ascii="宋体" w:hAnsi="宋体"/>
                <w:bCs/>
                <w:color w:val="auto"/>
              </w:rPr>
            </w:pPr>
            <w:r>
              <w:rPr>
                <w:rFonts w:ascii="宋体" w:hAnsi="宋体"/>
                <w:bCs/>
                <w:color w:val="auto"/>
              </w:rPr>
              <w:t>3.7</w:t>
            </w:r>
          </w:p>
        </w:tc>
        <w:tc>
          <w:tcPr>
            <w:tcW w:w="374" w:type="pct"/>
            <w:vAlign w:val="center"/>
          </w:tcPr>
          <w:p w14:paraId="04990FC5">
            <w:pPr>
              <w:jc w:val="center"/>
              <w:rPr>
                <w:rFonts w:ascii="宋体" w:hAnsi="宋体"/>
                <w:color w:val="auto"/>
              </w:rPr>
            </w:pPr>
            <w:r>
              <w:rPr>
                <w:rFonts w:ascii="宋体" w:hAnsi="宋体"/>
                <w:color w:val="auto"/>
              </w:rPr>
              <w:t>3.2</w:t>
            </w:r>
          </w:p>
        </w:tc>
        <w:tc>
          <w:tcPr>
            <w:tcW w:w="374" w:type="pct"/>
            <w:vAlign w:val="center"/>
          </w:tcPr>
          <w:p w14:paraId="0990FA77">
            <w:pPr>
              <w:jc w:val="center"/>
              <w:rPr>
                <w:rFonts w:ascii="宋体" w:hAnsi="宋体"/>
                <w:color w:val="auto"/>
              </w:rPr>
            </w:pPr>
            <w:r>
              <w:rPr>
                <w:rFonts w:ascii="宋体" w:hAnsi="宋体"/>
                <w:color w:val="auto"/>
              </w:rPr>
              <w:t>4.4</w:t>
            </w:r>
          </w:p>
        </w:tc>
        <w:tc>
          <w:tcPr>
            <w:tcW w:w="375" w:type="pct"/>
            <w:vAlign w:val="center"/>
          </w:tcPr>
          <w:p w14:paraId="098CDFCE">
            <w:pPr>
              <w:jc w:val="center"/>
              <w:rPr>
                <w:rFonts w:ascii="宋体" w:hAnsi="宋体"/>
                <w:color w:val="auto"/>
              </w:rPr>
            </w:pPr>
            <w:r>
              <w:rPr>
                <w:rFonts w:ascii="宋体" w:hAnsi="宋体"/>
                <w:color w:val="auto"/>
              </w:rPr>
              <w:t>3.0</w:t>
            </w:r>
          </w:p>
        </w:tc>
        <w:tc>
          <w:tcPr>
            <w:tcW w:w="361" w:type="pct"/>
            <w:vAlign w:val="center"/>
          </w:tcPr>
          <w:p w14:paraId="22421E92">
            <w:pPr>
              <w:jc w:val="center"/>
              <w:rPr>
                <w:rFonts w:ascii="宋体" w:hAnsi="宋体"/>
                <w:bCs/>
                <w:color w:val="auto"/>
              </w:rPr>
            </w:pPr>
            <w:r>
              <w:rPr>
                <w:rFonts w:ascii="宋体" w:hAnsi="宋体"/>
                <w:bCs/>
                <w:color w:val="auto"/>
              </w:rPr>
              <w:t>3.5</w:t>
            </w:r>
          </w:p>
        </w:tc>
        <w:tc>
          <w:tcPr>
            <w:tcW w:w="375" w:type="pct"/>
            <w:vAlign w:val="center"/>
          </w:tcPr>
          <w:p w14:paraId="3913DA10">
            <w:pPr>
              <w:jc w:val="center"/>
              <w:rPr>
                <w:rFonts w:ascii="宋体" w:hAnsi="宋体"/>
                <w:color w:val="auto"/>
              </w:rPr>
            </w:pPr>
            <w:r>
              <w:rPr>
                <w:rFonts w:ascii="宋体" w:hAnsi="宋体"/>
                <w:color w:val="auto"/>
              </w:rPr>
              <w:t>4.1</w:t>
            </w:r>
          </w:p>
        </w:tc>
        <w:tc>
          <w:tcPr>
            <w:tcW w:w="375" w:type="pct"/>
            <w:vAlign w:val="center"/>
          </w:tcPr>
          <w:p w14:paraId="79D1A4DA">
            <w:pPr>
              <w:jc w:val="center"/>
              <w:rPr>
                <w:rFonts w:ascii="宋体" w:hAnsi="宋体"/>
                <w:color w:val="auto"/>
              </w:rPr>
            </w:pPr>
            <w:r>
              <w:rPr>
                <w:rFonts w:ascii="宋体" w:hAnsi="宋体"/>
                <w:color w:val="auto"/>
              </w:rPr>
              <w:t>4.2</w:t>
            </w:r>
          </w:p>
        </w:tc>
        <w:tc>
          <w:tcPr>
            <w:tcW w:w="375" w:type="pct"/>
            <w:vAlign w:val="center"/>
          </w:tcPr>
          <w:p w14:paraId="7EDE4109">
            <w:pPr>
              <w:jc w:val="center"/>
              <w:rPr>
                <w:rFonts w:ascii="宋体" w:hAnsi="宋体"/>
                <w:color w:val="auto"/>
              </w:rPr>
            </w:pPr>
            <w:r>
              <w:rPr>
                <w:rFonts w:ascii="宋体" w:hAnsi="宋体"/>
                <w:color w:val="auto"/>
              </w:rPr>
              <w:t>3.8</w:t>
            </w:r>
          </w:p>
        </w:tc>
        <w:tc>
          <w:tcPr>
            <w:tcW w:w="360" w:type="pct"/>
            <w:vAlign w:val="center"/>
          </w:tcPr>
          <w:p w14:paraId="1DC3FDD0">
            <w:pPr>
              <w:jc w:val="center"/>
              <w:rPr>
                <w:rFonts w:ascii="宋体" w:hAnsi="宋体"/>
                <w:bCs/>
                <w:color w:val="auto"/>
              </w:rPr>
            </w:pPr>
            <w:r>
              <w:rPr>
                <w:rFonts w:ascii="宋体" w:hAnsi="宋体"/>
                <w:bCs/>
                <w:color w:val="auto"/>
              </w:rPr>
              <w:t>4.0</w:t>
            </w:r>
          </w:p>
        </w:tc>
      </w:tr>
      <w:tr w14:paraId="51EEB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7AB02A59">
            <w:pPr>
              <w:jc w:val="center"/>
              <w:rPr>
                <w:rFonts w:ascii="宋体" w:hAnsi="宋体"/>
                <w:color w:val="auto"/>
              </w:rPr>
            </w:pPr>
          </w:p>
        </w:tc>
        <w:tc>
          <w:tcPr>
            <w:tcW w:w="451" w:type="pct"/>
            <w:vAlign w:val="center"/>
          </w:tcPr>
          <w:p w14:paraId="46DE8D95">
            <w:pPr>
              <w:jc w:val="center"/>
              <w:rPr>
                <w:rFonts w:ascii="宋体" w:hAnsi="宋体"/>
                <w:color w:val="auto"/>
              </w:rPr>
            </w:pPr>
            <w:r>
              <w:rPr>
                <w:rFonts w:ascii="宋体" w:hAnsi="宋体"/>
                <w:color w:val="auto"/>
              </w:rPr>
              <w:t>排放速率/（kg/h）</w:t>
            </w:r>
          </w:p>
        </w:tc>
        <w:tc>
          <w:tcPr>
            <w:tcW w:w="320" w:type="pct"/>
            <w:vAlign w:val="center"/>
          </w:tcPr>
          <w:p w14:paraId="27A01027">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74" w:type="pct"/>
            <w:vAlign w:val="center"/>
          </w:tcPr>
          <w:p w14:paraId="77AD04B8">
            <w:pPr>
              <w:jc w:val="center"/>
              <w:rPr>
                <w:rFonts w:ascii="宋体" w:hAnsi="宋体"/>
                <w:color w:val="auto"/>
              </w:rPr>
            </w:pPr>
            <w:r>
              <w:rPr>
                <w:rFonts w:ascii="宋体" w:hAnsi="宋体"/>
                <w:color w:val="auto"/>
              </w:rPr>
              <w:t>7.4×10</w:t>
            </w:r>
            <w:r>
              <w:rPr>
                <w:rFonts w:ascii="宋体" w:hAnsi="宋体"/>
                <w:color w:val="auto"/>
                <w:vertAlign w:val="superscript"/>
              </w:rPr>
              <w:t>-4</w:t>
            </w:r>
          </w:p>
        </w:tc>
        <w:tc>
          <w:tcPr>
            <w:tcW w:w="374" w:type="pct"/>
            <w:vAlign w:val="center"/>
          </w:tcPr>
          <w:p w14:paraId="26CE0406">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60" w:type="pct"/>
            <w:gridSpan w:val="2"/>
            <w:vAlign w:val="center"/>
          </w:tcPr>
          <w:p w14:paraId="0D034E97">
            <w:pPr>
              <w:jc w:val="center"/>
              <w:rPr>
                <w:rFonts w:ascii="宋体" w:hAnsi="宋体"/>
                <w:color w:val="auto"/>
              </w:rPr>
            </w:pPr>
            <w:r>
              <w:rPr>
                <w:rFonts w:ascii="宋体" w:hAnsi="宋体"/>
                <w:color w:val="auto"/>
              </w:rPr>
              <w:t>1.0×10</w:t>
            </w:r>
            <w:r>
              <w:rPr>
                <w:rFonts w:ascii="宋体" w:hAnsi="宋体"/>
                <w:color w:val="auto"/>
                <w:vertAlign w:val="superscript"/>
              </w:rPr>
              <w:t>-3</w:t>
            </w:r>
          </w:p>
        </w:tc>
        <w:tc>
          <w:tcPr>
            <w:tcW w:w="374" w:type="pct"/>
            <w:vAlign w:val="center"/>
          </w:tcPr>
          <w:p w14:paraId="776C9E78">
            <w:pPr>
              <w:jc w:val="center"/>
              <w:rPr>
                <w:rFonts w:ascii="宋体" w:hAnsi="宋体"/>
                <w:color w:val="auto"/>
              </w:rPr>
            </w:pPr>
            <w:r>
              <w:rPr>
                <w:rFonts w:ascii="宋体" w:hAnsi="宋体"/>
                <w:color w:val="auto"/>
              </w:rPr>
              <w:t>9.0×10</w:t>
            </w:r>
            <w:r>
              <w:rPr>
                <w:rFonts w:ascii="宋体" w:hAnsi="宋体"/>
                <w:color w:val="auto"/>
                <w:vertAlign w:val="superscript"/>
              </w:rPr>
              <w:t>-4</w:t>
            </w:r>
          </w:p>
        </w:tc>
        <w:tc>
          <w:tcPr>
            <w:tcW w:w="374" w:type="pct"/>
            <w:vAlign w:val="center"/>
          </w:tcPr>
          <w:p w14:paraId="751D91FF">
            <w:pPr>
              <w:jc w:val="center"/>
              <w:rPr>
                <w:rFonts w:ascii="宋体" w:hAnsi="宋体"/>
                <w:color w:val="auto"/>
              </w:rPr>
            </w:pPr>
            <w:r>
              <w:rPr>
                <w:rFonts w:ascii="宋体" w:hAnsi="宋体"/>
                <w:color w:val="auto"/>
              </w:rPr>
              <w:t>1.3×10</w:t>
            </w:r>
            <w:r>
              <w:rPr>
                <w:rFonts w:ascii="宋体" w:hAnsi="宋体"/>
                <w:color w:val="auto"/>
                <w:vertAlign w:val="superscript"/>
              </w:rPr>
              <w:t>-3</w:t>
            </w:r>
          </w:p>
        </w:tc>
        <w:tc>
          <w:tcPr>
            <w:tcW w:w="375" w:type="pct"/>
            <w:vAlign w:val="center"/>
          </w:tcPr>
          <w:p w14:paraId="0426EE17">
            <w:pPr>
              <w:jc w:val="center"/>
              <w:rPr>
                <w:rFonts w:ascii="宋体" w:hAnsi="宋体"/>
                <w:color w:val="auto"/>
              </w:rPr>
            </w:pPr>
            <w:r>
              <w:rPr>
                <w:rFonts w:ascii="宋体" w:hAnsi="宋体"/>
                <w:color w:val="auto"/>
              </w:rPr>
              <w:t>8.3×10</w:t>
            </w:r>
            <w:r>
              <w:rPr>
                <w:rFonts w:ascii="宋体" w:hAnsi="宋体"/>
                <w:color w:val="auto"/>
                <w:vertAlign w:val="superscript"/>
              </w:rPr>
              <w:t>-4</w:t>
            </w:r>
          </w:p>
        </w:tc>
        <w:tc>
          <w:tcPr>
            <w:tcW w:w="361" w:type="pct"/>
            <w:vAlign w:val="center"/>
          </w:tcPr>
          <w:p w14:paraId="32DDB54A">
            <w:pPr>
              <w:jc w:val="center"/>
              <w:rPr>
                <w:rFonts w:ascii="宋体" w:hAnsi="宋体"/>
                <w:color w:val="auto"/>
              </w:rPr>
            </w:pPr>
            <w:r>
              <w:rPr>
                <w:rFonts w:ascii="宋体" w:hAnsi="宋体"/>
                <w:color w:val="auto"/>
              </w:rPr>
              <w:t>1.0×10</w:t>
            </w:r>
            <w:r>
              <w:rPr>
                <w:rFonts w:ascii="宋体" w:hAnsi="宋体"/>
                <w:color w:val="auto"/>
                <w:vertAlign w:val="superscript"/>
              </w:rPr>
              <w:t>-3</w:t>
            </w:r>
          </w:p>
        </w:tc>
        <w:tc>
          <w:tcPr>
            <w:tcW w:w="375" w:type="pct"/>
            <w:vAlign w:val="center"/>
          </w:tcPr>
          <w:p w14:paraId="54C5CA74">
            <w:pPr>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75" w:type="pct"/>
            <w:vAlign w:val="center"/>
          </w:tcPr>
          <w:p w14:paraId="7B16B879">
            <w:pPr>
              <w:jc w:val="center"/>
              <w:rPr>
                <w:rFonts w:ascii="宋体" w:hAnsi="宋体"/>
                <w:color w:val="auto"/>
              </w:rPr>
            </w:pPr>
            <w:r>
              <w:rPr>
                <w:rFonts w:ascii="宋体" w:hAnsi="宋体"/>
                <w:color w:val="auto"/>
              </w:rPr>
              <w:t>1.2×10</w:t>
            </w:r>
            <w:r>
              <w:rPr>
                <w:rFonts w:ascii="宋体" w:hAnsi="宋体"/>
                <w:color w:val="auto"/>
                <w:vertAlign w:val="superscript"/>
              </w:rPr>
              <w:t>-3</w:t>
            </w:r>
          </w:p>
        </w:tc>
        <w:tc>
          <w:tcPr>
            <w:tcW w:w="375" w:type="pct"/>
            <w:vAlign w:val="center"/>
          </w:tcPr>
          <w:p w14:paraId="07A1E7CE">
            <w:pPr>
              <w:jc w:val="center"/>
              <w:rPr>
                <w:rFonts w:ascii="宋体" w:hAnsi="宋体"/>
                <w:color w:val="auto"/>
              </w:rPr>
            </w:pPr>
            <w:r>
              <w:rPr>
                <w:rFonts w:ascii="宋体" w:hAnsi="宋体"/>
                <w:color w:val="auto"/>
              </w:rPr>
              <w:t>1.1×10</w:t>
            </w:r>
            <w:r>
              <w:rPr>
                <w:rFonts w:ascii="宋体" w:hAnsi="宋体"/>
                <w:color w:val="auto"/>
                <w:vertAlign w:val="superscript"/>
              </w:rPr>
              <w:t>-3</w:t>
            </w:r>
          </w:p>
        </w:tc>
        <w:tc>
          <w:tcPr>
            <w:tcW w:w="360" w:type="pct"/>
            <w:vAlign w:val="center"/>
          </w:tcPr>
          <w:p w14:paraId="1E31E0D0">
            <w:pPr>
              <w:jc w:val="center"/>
              <w:rPr>
                <w:rFonts w:ascii="宋体" w:hAnsi="宋体"/>
                <w:color w:val="auto"/>
              </w:rPr>
            </w:pPr>
            <w:r>
              <w:rPr>
                <w:rFonts w:ascii="宋体" w:hAnsi="宋体"/>
                <w:color w:val="auto"/>
              </w:rPr>
              <w:t>1.1×10</w:t>
            </w:r>
            <w:r>
              <w:rPr>
                <w:rFonts w:ascii="宋体" w:hAnsi="宋体"/>
                <w:color w:val="auto"/>
                <w:vertAlign w:val="superscript"/>
              </w:rPr>
              <w:t>-3</w:t>
            </w:r>
          </w:p>
        </w:tc>
      </w:tr>
      <w:tr w14:paraId="474B6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restart"/>
            <w:vAlign w:val="center"/>
          </w:tcPr>
          <w:p w14:paraId="005EDC37">
            <w:pPr>
              <w:jc w:val="center"/>
              <w:rPr>
                <w:rFonts w:ascii="宋体" w:hAnsi="宋体"/>
                <w:color w:val="auto"/>
              </w:rPr>
            </w:pPr>
            <w:r>
              <w:rPr>
                <w:rFonts w:ascii="宋体" w:hAnsi="宋体"/>
                <w:color w:val="auto"/>
              </w:rPr>
              <w:t>二氧化硫</w:t>
            </w:r>
          </w:p>
        </w:tc>
        <w:tc>
          <w:tcPr>
            <w:tcW w:w="451" w:type="pct"/>
            <w:vAlign w:val="center"/>
          </w:tcPr>
          <w:p w14:paraId="293169D3">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20" w:type="pct"/>
            <w:vAlign w:val="center"/>
          </w:tcPr>
          <w:p w14:paraId="783B1897">
            <w:pPr>
              <w:jc w:val="center"/>
              <w:rPr>
                <w:rFonts w:ascii="宋体" w:hAnsi="宋体"/>
                <w:color w:val="auto"/>
              </w:rPr>
            </w:pPr>
            <w:r>
              <w:rPr>
                <w:rFonts w:ascii="宋体" w:hAnsi="宋体"/>
                <w:color w:val="auto"/>
              </w:rPr>
              <w:t>3L</w:t>
            </w:r>
          </w:p>
        </w:tc>
        <w:tc>
          <w:tcPr>
            <w:tcW w:w="374" w:type="pct"/>
            <w:vAlign w:val="center"/>
          </w:tcPr>
          <w:p w14:paraId="71ABA7CD">
            <w:pPr>
              <w:jc w:val="center"/>
              <w:rPr>
                <w:rFonts w:ascii="宋体" w:hAnsi="宋体"/>
                <w:color w:val="auto"/>
              </w:rPr>
            </w:pPr>
            <w:r>
              <w:rPr>
                <w:rFonts w:ascii="宋体" w:hAnsi="宋体"/>
                <w:color w:val="auto"/>
              </w:rPr>
              <w:t>3L</w:t>
            </w:r>
          </w:p>
        </w:tc>
        <w:tc>
          <w:tcPr>
            <w:tcW w:w="374" w:type="pct"/>
            <w:vAlign w:val="center"/>
          </w:tcPr>
          <w:p w14:paraId="4D28B697">
            <w:pPr>
              <w:jc w:val="center"/>
              <w:rPr>
                <w:rFonts w:ascii="宋体" w:hAnsi="宋体"/>
                <w:color w:val="auto"/>
              </w:rPr>
            </w:pPr>
            <w:r>
              <w:rPr>
                <w:rFonts w:ascii="宋体" w:hAnsi="宋体"/>
                <w:color w:val="auto"/>
              </w:rPr>
              <w:t>3L</w:t>
            </w:r>
          </w:p>
        </w:tc>
        <w:tc>
          <w:tcPr>
            <w:tcW w:w="360" w:type="pct"/>
            <w:gridSpan w:val="2"/>
            <w:vAlign w:val="center"/>
          </w:tcPr>
          <w:p w14:paraId="25B8D12F">
            <w:pPr>
              <w:jc w:val="center"/>
              <w:rPr>
                <w:rFonts w:ascii="宋体" w:hAnsi="宋体"/>
                <w:color w:val="auto"/>
              </w:rPr>
            </w:pPr>
            <w:r>
              <w:rPr>
                <w:rFonts w:ascii="宋体" w:hAnsi="宋体"/>
                <w:color w:val="auto"/>
              </w:rPr>
              <w:t>3L</w:t>
            </w:r>
          </w:p>
        </w:tc>
        <w:tc>
          <w:tcPr>
            <w:tcW w:w="374" w:type="pct"/>
            <w:vAlign w:val="center"/>
          </w:tcPr>
          <w:p w14:paraId="0B9F47DC">
            <w:pPr>
              <w:jc w:val="center"/>
              <w:rPr>
                <w:rFonts w:ascii="宋体" w:hAnsi="宋体"/>
                <w:color w:val="auto"/>
              </w:rPr>
            </w:pPr>
            <w:r>
              <w:rPr>
                <w:rFonts w:ascii="宋体" w:hAnsi="宋体"/>
                <w:color w:val="auto"/>
              </w:rPr>
              <w:t>3L</w:t>
            </w:r>
          </w:p>
        </w:tc>
        <w:tc>
          <w:tcPr>
            <w:tcW w:w="374" w:type="pct"/>
            <w:vAlign w:val="center"/>
          </w:tcPr>
          <w:p w14:paraId="407A6B47">
            <w:pPr>
              <w:jc w:val="center"/>
              <w:rPr>
                <w:rFonts w:ascii="宋体" w:hAnsi="宋体"/>
                <w:color w:val="auto"/>
              </w:rPr>
            </w:pPr>
            <w:r>
              <w:rPr>
                <w:rFonts w:ascii="宋体" w:hAnsi="宋体"/>
                <w:color w:val="auto"/>
              </w:rPr>
              <w:t>3L</w:t>
            </w:r>
          </w:p>
        </w:tc>
        <w:tc>
          <w:tcPr>
            <w:tcW w:w="375" w:type="pct"/>
            <w:vAlign w:val="center"/>
          </w:tcPr>
          <w:p w14:paraId="233F4BED">
            <w:pPr>
              <w:jc w:val="center"/>
              <w:rPr>
                <w:rFonts w:ascii="宋体" w:hAnsi="宋体"/>
                <w:color w:val="auto"/>
              </w:rPr>
            </w:pPr>
            <w:r>
              <w:rPr>
                <w:rFonts w:ascii="宋体" w:hAnsi="宋体"/>
                <w:color w:val="auto"/>
              </w:rPr>
              <w:t>3L</w:t>
            </w:r>
          </w:p>
        </w:tc>
        <w:tc>
          <w:tcPr>
            <w:tcW w:w="361" w:type="pct"/>
            <w:vAlign w:val="center"/>
          </w:tcPr>
          <w:p w14:paraId="0CE3AE85">
            <w:pPr>
              <w:jc w:val="center"/>
              <w:rPr>
                <w:rFonts w:ascii="宋体" w:hAnsi="宋体"/>
                <w:color w:val="auto"/>
              </w:rPr>
            </w:pPr>
            <w:r>
              <w:rPr>
                <w:rFonts w:ascii="宋体" w:hAnsi="宋体"/>
                <w:color w:val="auto"/>
              </w:rPr>
              <w:t>3L</w:t>
            </w:r>
          </w:p>
        </w:tc>
        <w:tc>
          <w:tcPr>
            <w:tcW w:w="375" w:type="pct"/>
            <w:vAlign w:val="center"/>
          </w:tcPr>
          <w:p w14:paraId="29604232">
            <w:pPr>
              <w:jc w:val="center"/>
              <w:rPr>
                <w:rFonts w:ascii="宋体" w:hAnsi="宋体"/>
                <w:color w:val="auto"/>
              </w:rPr>
            </w:pPr>
            <w:r>
              <w:rPr>
                <w:rFonts w:ascii="宋体" w:hAnsi="宋体"/>
                <w:color w:val="auto"/>
              </w:rPr>
              <w:t>3L</w:t>
            </w:r>
          </w:p>
        </w:tc>
        <w:tc>
          <w:tcPr>
            <w:tcW w:w="375" w:type="pct"/>
            <w:vAlign w:val="center"/>
          </w:tcPr>
          <w:p w14:paraId="0EA54D52">
            <w:pPr>
              <w:jc w:val="center"/>
              <w:rPr>
                <w:rFonts w:ascii="宋体" w:hAnsi="宋体"/>
                <w:color w:val="auto"/>
              </w:rPr>
            </w:pPr>
            <w:r>
              <w:rPr>
                <w:rFonts w:ascii="宋体" w:hAnsi="宋体"/>
                <w:color w:val="auto"/>
              </w:rPr>
              <w:t>3L</w:t>
            </w:r>
          </w:p>
        </w:tc>
        <w:tc>
          <w:tcPr>
            <w:tcW w:w="375" w:type="pct"/>
            <w:vAlign w:val="center"/>
          </w:tcPr>
          <w:p w14:paraId="0F2669C6">
            <w:pPr>
              <w:jc w:val="center"/>
              <w:rPr>
                <w:rFonts w:ascii="宋体" w:hAnsi="宋体"/>
                <w:color w:val="auto"/>
              </w:rPr>
            </w:pPr>
            <w:r>
              <w:rPr>
                <w:rFonts w:ascii="宋体" w:hAnsi="宋体"/>
                <w:color w:val="auto"/>
              </w:rPr>
              <w:t>3L</w:t>
            </w:r>
          </w:p>
        </w:tc>
        <w:tc>
          <w:tcPr>
            <w:tcW w:w="360" w:type="pct"/>
            <w:vAlign w:val="center"/>
          </w:tcPr>
          <w:p w14:paraId="4D5B03A5">
            <w:pPr>
              <w:jc w:val="center"/>
              <w:rPr>
                <w:rFonts w:ascii="宋体" w:hAnsi="宋体"/>
                <w:color w:val="auto"/>
              </w:rPr>
            </w:pPr>
            <w:r>
              <w:rPr>
                <w:rFonts w:ascii="宋体" w:hAnsi="宋体"/>
                <w:color w:val="auto"/>
              </w:rPr>
              <w:t>3L</w:t>
            </w:r>
          </w:p>
        </w:tc>
      </w:tr>
      <w:tr w14:paraId="4ED16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571468D1">
            <w:pPr>
              <w:jc w:val="center"/>
              <w:rPr>
                <w:rFonts w:ascii="宋体" w:hAnsi="宋体"/>
                <w:color w:val="auto"/>
              </w:rPr>
            </w:pPr>
          </w:p>
        </w:tc>
        <w:tc>
          <w:tcPr>
            <w:tcW w:w="451" w:type="pct"/>
            <w:vAlign w:val="center"/>
          </w:tcPr>
          <w:p w14:paraId="304CF95F">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20" w:type="pct"/>
            <w:vAlign w:val="center"/>
          </w:tcPr>
          <w:p w14:paraId="634D40FC">
            <w:pPr>
              <w:jc w:val="center"/>
              <w:rPr>
                <w:rFonts w:ascii="宋体" w:hAnsi="宋体"/>
                <w:color w:val="auto"/>
              </w:rPr>
            </w:pPr>
            <w:r>
              <w:rPr>
                <w:rFonts w:ascii="宋体" w:hAnsi="宋体"/>
                <w:color w:val="auto"/>
              </w:rPr>
              <w:t>3L</w:t>
            </w:r>
          </w:p>
        </w:tc>
        <w:tc>
          <w:tcPr>
            <w:tcW w:w="374" w:type="pct"/>
            <w:vAlign w:val="center"/>
          </w:tcPr>
          <w:p w14:paraId="7E2424C1">
            <w:pPr>
              <w:jc w:val="center"/>
              <w:rPr>
                <w:rFonts w:ascii="宋体" w:hAnsi="宋体"/>
                <w:color w:val="auto"/>
              </w:rPr>
            </w:pPr>
            <w:r>
              <w:rPr>
                <w:rFonts w:ascii="宋体" w:hAnsi="宋体"/>
                <w:color w:val="auto"/>
              </w:rPr>
              <w:t>3L</w:t>
            </w:r>
          </w:p>
        </w:tc>
        <w:tc>
          <w:tcPr>
            <w:tcW w:w="374" w:type="pct"/>
            <w:vAlign w:val="center"/>
          </w:tcPr>
          <w:p w14:paraId="53F72417">
            <w:pPr>
              <w:jc w:val="center"/>
              <w:rPr>
                <w:rFonts w:ascii="宋体" w:hAnsi="宋体"/>
                <w:color w:val="auto"/>
              </w:rPr>
            </w:pPr>
            <w:r>
              <w:rPr>
                <w:rFonts w:ascii="宋体" w:hAnsi="宋体"/>
                <w:color w:val="auto"/>
              </w:rPr>
              <w:t>3L</w:t>
            </w:r>
          </w:p>
        </w:tc>
        <w:tc>
          <w:tcPr>
            <w:tcW w:w="360" w:type="pct"/>
            <w:gridSpan w:val="2"/>
            <w:vAlign w:val="center"/>
          </w:tcPr>
          <w:p w14:paraId="3FB93E79">
            <w:pPr>
              <w:jc w:val="center"/>
              <w:rPr>
                <w:rFonts w:ascii="宋体" w:hAnsi="宋体"/>
                <w:color w:val="auto"/>
              </w:rPr>
            </w:pPr>
            <w:r>
              <w:rPr>
                <w:rFonts w:ascii="宋体" w:hAnsi="宋体"/>
                <w:color w:val="auto"/>
              </w:rPr>
              <w:t>3L</w:t>
            </w:r>
          </w:p>
        </w:tc>
        <w:tc>
          <w:tcPr>
            <w:tcW w:w="374" w:type="pct"/>
            <w:vAlign w:val="center"/>
          </w:tcPr>
          <w:p w14:paraId="78EE8E59">
            <w:pPr>
              <w:jc w:val="center"/>
              <w:rPr>
                <w:rFonts w:ascii="宋体" w:hAnsi="宋体"/>
                <w:color w:val="auto"/>
              </w:rPr>
            </w:pPr>
            <w:r>
              <w:rPr>
                <w:rFonts w:ascii="宋体" w:hAnsi="宋体"/>
                <w:color w:val="auto"/>
              </w:rPr>
              <w:t>3L</w:t>
            </w:r>
          </w:p>
        </w:tc>
        <w:tc>
          <w:tcPr>
            <w:tcW w:w="374" w:type="pct"/>
            <w:vAlign w:val="center"/>
          </w:tcPr>
          <w:p w14:paraId="370C6F5D">
            <w:pPr>
              <w:jc w:val="center"/>
              <w:rPr>
                <w:rFonts w:ascii="宋体" w:hAnsi="宋体"/>
                <w:color w:val="auto"/>
              </w:rPr>
            </w:pPr>
            <w:r>
              <w:rPr>
                <w:rFonts w:ascii="宋体" w:hAnsi="宋体"/>
                <w:color w:val="auto"/>
              </w:rPr>
              <w:t>3L</w:t>
            </w:r>
          </w:p>
        </w:tc>
        <w:tc>
          <w:tcPr>
            <w:tcW w:w="375" w:type="pct"/>
            <w:vAlign w:val="center"/>
          </w:tcPr>
          <w:p w14:paraId="7EF1FFEE">
            <w:pPr>
              <w:jc w:val="center"/>
              <w:rPr>
                <w:rFonts w:ascii="宋体" w:hAnsi="宋体"/>
                <w:color w:val="auto"/>
              </w:rPr>
            </w:pPr>
            <w:r>
              <w:rPr>
                <w:rFonts w:ascii="宋体" w:hAnsi="宋体"/>
                <w:color w:val="auto"/>
              </w:rPr>
              <w:t>3L</w:t>
            </w:r>
          </w:p>
        </w:tc>
        <w:tc>
          <w:tcPr>
            <w:tcW w:w="361" w:type="pct"/>
            <w:vAlign w:val="center"/>
          </w:tcPr>
          <w:p w14:paraId="533AAB33">
            <w:pPr>
              <w:jc w:val="center"/>
              <w:rPr>
                <w:rFonts w:ascii="宋体" w:hAnsi="宋体"/>
                <w:color w:val="auto"/>
              </w:rPr>
            </w:pPr>
            <w:r>
              <w:rPr>
                <w:rFonts w:ascii="宋体" w:hAnsi="宋体"/>
                <w:color w:val="auto"/>
              </w:rPr>
              <w:t>3L</w:t>
            </w:r>
          </w:p>
        </w:tc>
        <w:tc>
          <w:tcPr>
            <w:tcW w:w="375" w:type="pct"/>
            <w:vAlign w:val="center"/>
          </w:tcPr>
          <w:p w14:paraId="28507FE2">
            <w:pPr>
              <w:jc w:val="center"/>
              <w:rPr>
                <w:rFonts w:ascii="宋体" w:hAnsi="宋体"/>
                <w:color w:val="auto"/>
              </w:rPr>
            </w:pPr>
            <w:r>
              <w:rPr>
                <w:rFonts w:ascii="宋体" w:hAnsi="宋体"/>
                <w:color w:val="auto"/>
              </w:rPr>
              <w:t>3L</w:t>
            </w:r>
          </w:p>
        </w:tc>
        <w:tc>
          <w:tcPr>
            <w:tcW w:w="375" w:type="pct"/>
            <w:vAlign w:val="center"/>
          </w:tcPr>
          <w:p w14:paraId="59B9794B">
            <w:pPr>
              <w:jc w:val="center"/>
              <w:rPr>
                <w:rFonts w:ascii="宋体" w:hAnsi="宋体"/>
                <w:color w:val="auto"/>
              </w:rPr>
            </w:pPr>
            <w:r>
              <w:rPr>
                <w:rFonts w:ascii="宋体" w:hAnsi="宋体"/>
                <w:color w:val="auto"/>
              </w:rPr>
              <w:t>3L</w:t>
            </w:r>
          </w:p>
        </w:tc>
        <w:tc>
          <w:tcPr>
            <w:tcW w:w="375" w:type="pct"/>
            <w:vAlign w:val="center"/>
          </w:tcPr>
          <w:p w14:paraId="33098DF8">
            <w:pPr>
              <w:jc w:val="center"/>
              <w:rPr>
                <w:rFonts w:ascii="宋体" w:hAnsi="宋体"/>
                <w:color w:val="auto"/>
              </w:rPr>
            </w:pPr>
            <w:r>
              <w:rPr>
                <w:rFonts w:ascii="宋体" w:hAnsi="宋体"/>
                <w:color w:val="auto"/>
              </w:rPr>
              <w:t>3L</w:t>
            </w:r>
          </w:p>
        </w:tc>
        <w:tc>
          <w:tcPr>
            <w:tcW w:w="360" w:type="pct"/>
            <w:vAlign w:val="center"/>
          </w:tcPr>
          <w:p w14:paraId="16488800">
            <w:pPr>
              <w:jc w:val="center"/>
              <w:rPr>
                <w:rFonts w:ascii="宋体" w:hAnsi="宋体"/>
                <w:color w:val="auto"/>
              </w:rPr>
            </w:pPr>
            <w:r>
              <w:rPr>
                <w:rFonts w:ascii="宋体" w:hAnsi="宋体"/>
                <w:color w:val="auto"/>
              </w:rPr>
              <w:t>3L</w:t>
            </w:r>
          </w:p>
        </w:tc>
      </w:tr>
      <w:tr w14:paraId="3B628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1421F396">
            <w:pPr>
              <w:jc w:val="center"/>
              <w:rPr>
                <w:rFonts w:ascii="宋体" w:hAnsi="宋体"/>
                <w:color w:val="auto"/>
              </w:rPr>
            </w:pPr>
          </w:p>
        </w:tc>
        <w:tc>
          <w:tcPr>
            <w:tcW w:w="451" w:type="pct"/>
            <w:vAlign w:val="center"/>
          </w:tcPr>
          <w:p w14:paraId="6EDDFA5C">
            <w:pPr>
              <w:jc w:val="center"/>
              <w:rPr>
                <w:rFonts w:ascii="宋体" w:hAnsi="宋体"/>
                <w:color w:val="auto"/>
              </w:rPr>
            </w:pPr>
            <w:r>
              <w:rPr>
                <w:rFonts w:ascii="宋体" w:hAnsi="宋体"/>
                <w:color w:val="auto"/>
              </w:rPr>
              <w:t>排放速率/（kg/h）</w:t>
            </w:r>
          </w:p>
        </w:tc>
        <w:tc>
          <w:tcPr>
            <w:tcW w:w="320" w:type="pct"/>
            <w:vAlign w:val="center"/>
          </w:tcPr>
          <w:p w14:paraId="2672FFF4">
            <w:pPr>
              <w:jc w:val="center"/>
              <w:rPr>
                <w:rFonts w:ascii="宋体" w:hAnsi="宋体"/>
                <w:color w:val="auto"/>
              </w:rPr>
            </w:pPr>
            <w:r>
              <w:rPr>
                <w:rFonts w:ascii="宋体" w:hAnsi="宋体"/>
                <w:color w:val="auto"/>
              </w:rPr>
              <w:t>/</w:t>
            </w:r>
          </w:p>
        </w:tc>
        <w:tc>
          <w:tcPr>
            <w:tcW w:w="374" w:type="pct"/>
            <w:vAlign w:val="center"/>
          </w:tcPr>
          <w:p w14:paraId="5567B0FF">
            <w:pPr>
              <w:jc w:val="center"/>
              <w:rPr>
                <w:rFonts w:ascii="宋体" w:hAnsi="宋体"/>
                <w:color w:val="auto"/>
              </w:rPr>
            </w:pPr>
            <w:r>
              <w:rPr>
                <w:rFonts w:ascii="宋体" w:hAnsi="宋体"/>
                <w:color w:val="auto"/>
              </w:rPr>
              <w:t>/</w:t>
            </w:r>
          </w:p>
        </w:tc>
        <w:tc>
          <w:tcPr>
            <w:tcW w:w="374" w:type="pct"/>
            <w:vAlign w:val="center"/>
          </w:tcPr>
          <w:p w14:paraId="0C01C856">
            <w:pPr>
              <w:jc w:val="center"/>
              <w:rPr>
                <w:rFonts w:ascii="宋体" w:hAnsi="宋体"/>
                <w:color w:val="auto"/>
              </w:rPr>
            </w:pPr>
            <w:r>
              <w:rPr>
                <w:rFonts w:ascii="宋体" w:hAnsi="宋体"/>
                <w:color w:val="auto"/>
              </w:rPr>
              <w:t>/</w:t>
            </w:r>
          </w:p>
        </w:tc>
        <w:tc>
          <w:tcPr>
            <w:tcW w:w="360" w:type="pct"/>
            <w:gridSpan w:val="2"/>
            <w:vAlign w:val="center"/>
          </w:tcPr>
          <w:p w14:paraId="12E9CBAE">
            <w:pPr>
              <w:jc w:val="center"/>
              <w:rPr>
                <w:rFonts w:ascii="宋体" w:hAnsi="宋体"/>
                <w:color w:val="auto"/>
              </w:rPr>
            </w:pPr>
            <w:r>
              <w:rPr>
                <w:rFonts w:ascii="宋体" w:hAnsi="宋体"/>
                <w:color w:val="auto"/>
              </w:rPr>
              <w:t>/</w:t>
            </w:r>
          </w:p>
        </w:tc>
        <w:tc>
          <w:tcPr>
            <w:tcW w:w="374" w:type="pct"/>
            <w:vAlign w:val="center"/>
          </w:tcPr>
          <w:p w14:paraId="3EBF466D">
            <w:pPr>
              <w:jc w:val="center"/>
              <w:rPr>
                <w:rFonts w:ascii="宋体" w:hAnsi="宋体"/>
                <w:color w:val="auto"/>
              </w:rPr>
            </w:pPr>
            <w:r>
              <w:rPr>
                <w:rFonts w:ascii="宋体" w:hAnsi="宋体"/>
                <w:color w:val="auto"/>
              </w:rPr>
              <w:t>/</w:t>
            </w:r>
          </w:p>
        </w:tc>
        <w:tc>
          <w:tcPr>
            <w:tcW w:w="374" w:type="pct"/>
            <w:vAlign w:val="center"/>
          </w:tcPr>
          <w:p w14:paraId="1F2A0D03">
            <w:pPr>
              <w:jc w:val="center"/>
              <w:rPr>
                <w:rFonts w:ascii="宋体" w:hAnsi="宋体"/>
                <w:color w:val="auto"/>
              </w:rPr>
            </w:pPr>
            <w:r>
              <w:rPr>
                <w:rFonts w:ascii="宋体" w:hAnsi="宋体"/>
                <w:color w:val="auto"/>
              </w:rPr>
              <w:t>/</w:t>
            </w:r>
          </w:p>
        </w:tc>
        <w:tc>
          <w:tcPr>
            <w:tcW w:w="375" w:type="pct"/>
            <w:vAlign w:val="center"/>
          </w:tcPr>
          <w:p w14:paraId="240BAAD2">
            <w:pPr>
              <w:jc w:val="center"/>
              <w:rPr>
                <w:rFonts w:ascii="宋体" w:hAnsi="宋体"/>
                <w:color w:val="auto"/>
              </w:rPr>
            </w:pPr>
            <w:r>
              <w:rPr>
                <w:rFonts w:ascii="宋体" w:hAnsi="宋体"/>
                <w:color w:val="auto"/>
              </w:rPr>
              <w:t>/</w:t>
            </w:r>
          </w:p>
        </w:tc>
        <w:tc>
          <w:tcPr>
            <w:tcW w:w="361" w:type="pct"/>
            <w:vAlign w:val="center"/>
          </w:tcPr>
          <w:p w14:paraId="782D5077">
            <w:pPr>
              <w:jc w:val="center"/>
              <w:rPr>
                <w:rFonts w:ascii="宋体" w:hAnsi="宋体"/>
                <w:color w:val="auto"/>
              </w:rPr>
            </w:pPr>
            <w:r>
              <w:rPr>
                <w:rFonts w:ascii="宋体" w:hAnsi="宋体"/>
                <w:color w:val="auto"/>
              </w:rPr>
              <w:t>/</w:t>
            </w:r>
          </w:p>
        </w:tc>
        <w:tc>
          <w:tcPr>
            <w:tcW w:w="375" w:type="pct"/>
            <w:vAlign w:val="center"/>
          </w:tcPr>
          <w:p w14:paraId="2A8988BC">
            <w:pPr>
              <w:jc w:val="center"/>
              <w:rPr>
                <w:rFonts w:ascii="宋体" w:hAnsi="宋体"/>
                <w:color w:val="auto"/>
              </w:rPr>
            </w:pPr>
            <w:r>
              <w:rPr>
                <w:rFonts w:ascii="宋体" w:hAnsi="宋体"/>
                <w:color w:val="auto"/>
              </w:rPr>
              <w:t>/</w:t>
            </w:r>
          </w:p>
        </w:tc>
        <w:tc>
          <w:tcPr>
            <w:tcW w:w="375" w:type="pct"/>
            <w:vAlign w:val="center"/>
          </w:tcPr>
          <w:p w14:paraId="531385B9">
            <w:pPr>
              <w:jc w:val="center"/>
              <w:rPr>
                <w:rFonts w:ascii="宋体" w:hAnsi="宋体"/>
                <w:color w:val="auto"/>
              </w:rPr>
            </w:pPr>
            <w:r>
              <w:rPr>
                <w:rFonts w:ascii="宋体" w:hAnsi="宋体"/>
                <w:color w:val="auto"/>
              </w:rPr>
              <w:t>/</w:t>
            </w:r>
          </w:p>
        </w:tc>
        <w:tc>
          <w:tcPr>
            <w:tcW w:w="375" w:type="pct"/>
            <w:vAlign w:val="center"/>
          </w:tcPr>
          <w:p w14:paraId="3457E495">
            <w:pPr>
              <w:jc w:val="center"/>
              <w:rPr>
                <w:rFonts w:ascii="宋体" w:hAnsi="宋体"/>
                <w:color w:val="auto"/>
              </w:rPr>
            </w:pPr>
            <w:r>
              <w:rPr>
                <w:rFonts w:ascii="宋体" w:hAnsi="宋体"/>
                <w:color w:val="auto"/>
              </w:rPr>
              <w:t>/</w:t>
            </w:r>
          </w:p>
        </w:tc>
        <w:tc>
          <w:tcPr>
            <w:tcW w:w="360" w:type="pct"/>
            <w:vAlign w:val="center"/>
          </w:tcPr>
          <w:p w14:paraId="7A51A6D3">
            <w:pPr>
              <w:jc w:val="center"/>
              <w:rPr>
                <w:rFonts w:ascii="宋体" w:hAnsi="宋体"/>
                <w:color w:val="auto"/>
              </w:rPr>
            </w:pPr>
            <w:r>
              <w:rPr>
                <w:rFonts w:ascii="宋体" w:hAnsi="宋体"/>
                <w:color w:val="auto"/>
              </w:rPr>
              <w:t>/</w:t>
            </w:r>
          </w:p>
        </w:tc>
      </w:tr>
      <w:tr w14:paraId="3B3D6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Align w:val="center"/>
          </w:tcPr>
          <w:p w14:paraId="7369C927">
            <w:pPr>
              <w:jc w:val="center"/>
              <w:rPr>
                <w:rFonts w:ascii="宋体" w:hAnsi="宋体"/>
                <w:color w:val="auto"/>
              </w:rPr>
            </w:pPr>
            <w:r>
              <w:rPr>
                <w:rFonts w:ascii="宋体" w:hAnsi="宋体"/>
                <w:color w:val="auto"/>
              </w:rPr>
              <w:t>一氧化碳</w:t>
            </w:r>
          </w:p>
        </w:tc>
        <w:tc>
          <w:tcPr>
            <w:tcW w:w="451" w:type="pct"/>
            <w:vAlign w:val="center"/>
          </w:tcPr>
          <w:p w14:paraId="778BE3F5">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20" w:type="pct"/>
            <w:vAlign w:val="center"/>
          </w:tcPr>
          <w:p w14:paraId="64854E8D">
            <w:pPr>
              <w:jc w:val="center"/>
              <w:rPr>
                <w:rFonts w:ascii="宋体" w:hAnsi="宋体"/>
                <w:color w:val="auto"/>
              </w:rPr>
            </w:pPr>
            <w:r>
              <w:rPr>
                <w:rFonts w:ascii="宋体" w:hAnsi="宋体"/>
                <w:color w:val="auto"/>
              </w:rPr>
              <w:t>7</w:t>
            </w:r>
          </w:p>
        </w:tc>
        <w:tc>
          <w:tcPr>
            <w:tcW w:w="374" w:type="pct"/>
            <w:vAlign w:val="center"/>
          </w:tcPr>
          <w:p w14:paraId="55F0F75D">
            <w:pPr>
              <w:jc w:val="center"/>
              <w:rPr>
                <w:rFonts w:ascii="宋体" w:hAnsi="宋体"/>
                <w:color w:val="auto"/>
              </w:rPr>
            </w:pPr>
            <w:r>
              <w:rPr>
                <w:rFonts w:ascii="宋体" w:hAnsi="宋体"/>
                <w:color w:val="auto"/>
              </w:rPr>
              <w:t>8</w:t>
            </w:r>
          </w:p>
        </w:tc>
        <w:tc>
          <w:tcPr>
            <w:tcW w:w="374" w:type="pct"/>
            <w:vAlign w:val="center"/>
          </w:tcPr>
          <w:p w14:paraId="19F5C8DA">
            <w:pPr>
              <w:jc w:val="center"/>
              <w:rPr>
                <w:rFonts w:ascii="宋体" w:hAnsi="宋体"/>
                <w:color w:val="auto"/>
              </w:rPr>
            </w:pPr>
            <w:r>
              <w:rPr>
                <w:rFonts w:ascii="宋体" w:hAnsi="宋体"/>
                <w:color w:val="auto"/>
              </w:rPr>
              <w:t>5</w:t>
            </w:r>
          </w:p>
        </w:tc>
        <w:tc>
          <w:tcPr>
            <w:tcW w:w="360" w:type="pct"/>
            <w:gridSpan w:val="2"/>
            <w:vAlign w:val="center"/>
          </w:tcPr>
          <w:p w14:paraId="426972F8">
            <w:pPr>
              <w:jc w:val="center"/>
              <w:rPr>
                <w:rFonts w:ascii="宋体" w:hAnsi="宋体"/>
                <w:color w:val="auto"/>
              </w:rPr>
            </w:pPr>
            <w:r>
              <w:rPr>
                <w:rFonts w:ascii="宋体" w:hAnsi="宋体"/>
                <w:color w:val="auto"/>
              </w:rPr>
              <w:t>7</w:t>
            </w:r>
          </w:p>
        </w:tc>
        <w:tc>
          <w:tcPr>
            <w:tcW w:w="374" w:type="pct"/>
            <w:vAlign w:val="center"/>
          </w:tcPr>
          <w:p w14:paraId="129D04AC">
            <w:pPr>
              <w:jc w:val="center"/>
              <w:rPr>
                <w:rFonts w:ascii="宋体" w:hAnsi="宋体"/>
                <w:color w:val="auto"/>
              </w:rPr>
            </w:pPr>
            <w:r>
              <w:rPr>
                <w:rFonts w:ascii="宋体" w:hAnsi="宋体"/>
                <w:color w:val="auto"/>
              </w:rPr>
              <w:t>6</w:t>
            </w:r>
          </w:p>
        </w:tc>
        <w:tc>
          <w:tcPr>
            <w:tcW w:w="374" w:type="pct"/>
            <w:vAlign w:val="center"/>
          </w:tcPr>
          <w:p w14:paraId="4A526095">
            <w:pPr>
              <w:jc w:val="center"/>
              <w:rPr>
                <w:rFonts w:ascii="宋体" w:hAnsi="宋体"/>
                <w:color w:val="auto"/>
              </w:rPr>
            </w:pPr>
            <w:r>
              <w:rPr>
                <w:rFonts w:ascii="宋体" w:hAnsi="宋体"/>
                <w:color w:val="auto"/>
              </w:rPr>
              <w:t>5</w:t>
            </w:r>
          </w:p>
        </w:tc>
        <w:tc>
          <w:tcPr>
            <w:tcW w:w="375" w:type="pct"/>
            <w:vAlign w:val="center"/>
          </w:tcPr>
          <w:p w14:paraId="5CEAA3D6">
            <w:pPr>
              <w:jc w:val="center"/>
              <w:rPr>
                <w:rFonts w:ascii="宋体" w:hAnsi="宋体"/>
                <w:color w:val="auto"/>
              </w:rPr>
            </w:pPr>
            <w:r>
              <w:rPr>
                <w:rFonts w:ascii="宋体" w:hAnsi="宋体"/>
                <w:color w:val="auto"/>
              </w:rPr>
              <w:t>5</w:t>
            </w:r>
          </w:p>
        </w:tc>
        <w:tc>
          <w:tcPr>
            <w:tcW w:w="361" w:type="pct"/>
            <w:vAlign w:val="center"/>
          </w:tcPr>
          <w:p w14:paraId="65846D25">
            <w:pPr>
              <w:jc w:val="center"/>
              <w:rPr>
                <w:rFonts w:ascii="宋体" w:hAnsi="宋体"/>
                <w:color w:val="auto"/>
              </w:rPr>
            </w:pPr>
            <w:r>
              <w:rPr>
                <w:rFonts w:ascii="宋体" w:hAnsi="宋体"/>
                <w:color w:val="auto"/>
              </w:rPr>
              <w:t>5</w:t>
            </w:r>
          </w:p>
        </w:tc>
        <w:tc>
          <w:tcPr>
            <w:tcW w:w="375" w:type="pct"/>
            <w:vAlign w:val="center"/>
          </w:tcPr>
          <w:p w14:paraId="3BC4AD96">
            <w:pPr>
              <w:jc w:val="center"/>
              <w:rPr>
                <w:rFonts w:ascii="宋体" w:hAnsi="宋体"/>
                <w:color w:val="auto"/>
              </w:rPr>
            </w:pPr>
            <w:r>
              <w:rPr>
                <w:rFonts w:ascii="宋体" w:hAnsi="宋体"/>
                <w:color w:val="auto"/>
              </w:rPr>
              <w:t>5</w:t>
            </w:r>
          </w:p>
        </w:tc>
        <w:tc>
          <w:tcPr>
            <w:tcW w:w="375" w:type="pct"/>
            <w:vAlign w:val="center"/>
          </w:tcPr>
          <w:p w14:paraId="72B23356">
            <w:pPr>
              <w:jc w:val="center"/>
              <w:rPr>
                <w:rFonts w:ascii="宋体" w:hAnsi="宋体"/>
                <w:color w:val="auto"/>
              </w:rPr>
            </w:pPr>
            <w:r>
              <w:rPr>
                <w:rFonts w:ascii="宋体" w:hAnsi="宋体"/>
                <w:color w:val="auto"/>
              </w:rPr>
              <w:t>10</w:t>
            </w:r>
          </w:p>
        </w:tc>
        <w:tc>
          <w:tcPr>
            <w:tcW w:w="375" w:type="pct"/>
            <w:vAlign w:val="center"/>
          </w:tcPr>
          <w:p w14:paraId="4540EE97">
            <w:pPr>
              <w:jc w:val="center"/>
              <w:rPr>
                <w:rFonts w:ascii="宋体" w:hAnsi="宋体"/>
                <w:color w:val="auto"/>
              </w:rPr>
            </w:pPr>
            <w:r>
              <w:rPr>
                <w:rFonts w:ascii="宋体" w:hAnsi="宋体"/>
                <w:color w:val="auto"/>
              </w:rPr>
              <w:t>13</w:t>
            </w:r>
          </w:p>
        </w:tc>
        <w:tc>
          <w:tcPr>
            <w:tcW w:w="360" w:type="pct"/>
            <w:vAlign w:val="center"/>
          </w:tcPr>
          <w:p w14:paraId="04B514F9">
            <w:pPr>
              <w:jc w:val="center"/>
              <w:rPr>
                <w:rFonts w:ascii="宋体" w:hAnsi="宋体"/>
                <w:color w:val="auto"/>
              </w:rPr>
            </w:pPr>
            <w:r>
              <w:rPr>
                <w:rFonts w:ascii="宋体" w:hAnsi="宋体"/>
                <w:color w:val="auto"/>
              </w:rPr>
              <w:t>9</w:t>
            </w:r>
          </w:p>
        </w:tc>
      </w:tr>
      <w:tr w14:paraId="5D6C8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restart"/>
            <w:vAlign w:val="center"/>
          </w:tcPr>
          <w:p w14:paraId="39C67620">
            <w:pPr>
              <w:jc w:val="center"/>
              <w:rPr>
                <w:rFonts w:ascii="宋体" w:hAnsi="宋体"/>
                <w:color w:val="auto"/>
              </w:rPr>
            </w:pPr>
            <w:r>
              <w:rPr>
                <w:rFonts w:ascii="宋体" w:hAnsi="宋体"/>
                <w:color w:val="auto"/>
              </w:rPr>
              <w:t>氮氧化物</w:t>
            </w:r>
          </w:p>
        </w:tc>
        <w:tc>
          <w:tcPr>
            <w:tcW w:w="451" w:type="pct"/>
            <w:vAlign w:val="center"/>
          </w:tcPr>
          <w:p w14:paraId="709F5B05">
            <w:pPr>
              <w:jc w:val="center"/>
              <w:rPr>
                <w:rFonts w:ascii="宋体" w:hAnsi="宋体"/>
                <w:color w:val="auto"/>
              </w:rPr>
            </w:pPr>
            <w:r>
              <w:rPr>
                <w:rFonts w:ascii="宋体" w:hAnsi="宋体"/>
                <w:color w:val="auto"/>
              </w:rPr>
              <w:t>实测浓度/（mg/m</w:t>
            </w:r>
            <w:r>
              <w:rPr>
                <w:rFonts w:ascii="宋体" w:hAnsi="宋体"/>
                <w:color w:val="auto"/>
                <w:vertAlign w:val="superscript"/>
              </w:rPr>
              <w:t>3</w:t>
            </w:r>
            <w:r>
              <w:rPr>
                <w:rFonts w:ascii="宋体" w:hAnsi="宋体"/>
                <w:color w:val="auto"/>
              </w:rPr>
              <w:t>）</w:t>
            </w:r>
          </w:p>
        </w:tc>
        <w:tc>
          <w:tcPr>
            <w:tcW w:w="320" w:type="pct"/>
            <w:vAlign w:val="center"/>
          </w:tcPr>
          <w:p w14:paraId="27BB04D5">
            <w:pPr>
              <w:jc w:val="center"/>
              <w:rPr>
                <w:rFonts w:ascii="宋体" w:hAnsi="宋体"/>
                <w:color w:val="auto"/>
              </w:rPr>
            </w:pPr>
            <w:r>
              <w:rPr>
                <w:rFonts w:ascii="宋体" w:hAnsi="宋体"/>
                <w:color w:val="auto"/>
              </w:rPr>
              <w:t>41</w:t>
            </w:r>
          </w:p>
        </w:tc>
        <w:tc>
          <w:tcPr>
            <w:tcW w:w="374" w:type="pct"/>
            <w:vAlign w:val="center"/>
          </w:tcPr>
          <w:p w14:paraId="2AE5595B">
            <w:pPr>
              <w:jc w:val="center"/>
              <w:rPr>
                <w:rFonts w:ascii="宋体" w:hAnsi="宋体"/>
                <w:color w:val="auto"/>
              </w:rPr>
            </w:pPr>
            <w:r>
              <w:rPr>
                <w:rFonts w:ascii="宋体" w:hAnsi="宋体"/>
                <w:color w:val="auto"/>
              </w:rPr>
              <w:t>40</w:t>
            </w:r>
          </w:p>
        </w:tc>
        <w:tc>
          <w:tcPr>
            <w:tcW w:w="374" w:type="pct"/>
            <w:vAlign w:val="center"/>
          </w:tcPr>
          <w:p w14:paraId="3CF698CC">
            <w:pPr>
              <w:jc w:val="center"/>
              <w:rPr>
                <w:rFonts w:ascii="宋体" w:hAnsi="宋体"/>
                <w:color w:val="auto"/>
              </w:rPr>
            </w:pPr>
            <w:r>
              <w:rPr>
                <w:rFonts w:ascii="宋体" w:hAnsi="宋体"/>
                <w:color w:val="auto"/>
              </w:rPr>
              <w:t>38</w:t>
            </w:r>
          </w:p>
        </w:tc>
        <w:tc>
          <w:tcPr>
            <w:tcW w:w="360" w:type="pct"/>
            <w:gridSpan w:val="2"/>
            <w:vAlign w:val="center"/>
          </w:tcPr>
          <w:p w14:paraId="79C3FDAC">
            <w:pPr>
              <w:jc w:val="center"/>
              <w:rPr>
                <w:rFonts w:ascii="宋体" w:hAnsi="宋体"/>
                <w:color w:val="auto"/>
              </w:rPr>
            </w:pPr>
            <w:r>
              <w:rPr>
                <w:rFonts w:ascii="宋体" w:hAnsi="宋体"/>
                <w:color w:val="auto"/>
              </w:rPr>
              <w:t>40</w:t>
            </w:r>
          </w:p>
        </w:tc>
        <w:tc>
          <w:tcPr>
            <w:tcW w:w="374" w:type="pct"/>
            <w:vAlign w:val="center"/>
          </w:tcPr>
          <w:p w14:paraId="6DB37BF5">
            <w:pPr>
              <w:jc w:val="center"/>
              <w:rPr>
                <w:rFonts w:ascii="宋体" w:hAnsi="宋体"/>
                <w:color w:val="auto"/>
              </w:rPr>
            </w:pPr>
            <w:r>
              <w:rPr>
                <w:rFonts w:ascii="宋体" w:hAnsi="宋体"/>
                <w:color w:val="auto"/>
              </w:rPr>
              <w:t>38</w:t>
            </w:r>
          </w:p>
        </w:tc>
        <w:tc>
          <w:tcPr>
            <w:tcW w:w="374" w:type="pct"/>
            <w:vAlign w:val="center"/>
          </w:tcPr>
          <w:p w14:paraId="30C0C0B7">
            <w:pPr>
              <w:jc w:val="center"/>
              <w:rPr>
                <w:rFonts w:ascii="宋体" w:hAnsi="宋体"/>
                <w:color w:val="auto"/>
              </w:rPr>
            </w:pPr>
            <w:r>
              <w:rPr>
                <w:rFonts w:ascii="宋体" w:hAnsi="宋体"/>
                <w:color w:val="auto"/>
              </w:rPr>
              <w:t>38</w:t>
            </w:r>
          </w:p>
        </w:tc>
        <w:tc>
          <w:tcPr>
            <w:tcW w:w="375" w:type="pct"/>
            <w:vAlign w:val="center"/>
          </w:tcPr>
          <w:p w14:paraId="326B1104">
            <w:pPr>
              <w:jc w:val="center"/>
              <w:rPr>
                <w:rFonts w:ascii="宋体" w:hAnsi="宋体"/>
                <w:color w:val="auto"/>
              </w:rPr>
            </w:pPr>
            <w:r>
              <w:rPr>
                <w:rFonts w:ascii="宋体" w:hAnsi="宋体"/>
                <w:color w:val="auto"/>
              </w:rPr>
              <w:t>38</w:t>
            </w:r>
          </w:p>
        </w:tc>
        <w:tc>
          <w:tcPr>
            <w:tcW w:w="361" w:type="pct"/>
            <w:vAlign w:val="center"/>
          </w:tcPr>
          <w:p w14:paraId="25DBED11">
            <w:pPr>
              <w:jc w:val="center"/>
              <w:rPr>
                <w:rFonts w:ascii="宋体" w:hAnsi="宋体"/>
                <w:color w:val="auto"/>
              </w:rPr>
            </w:pPr>
            <w:r>
              <w:rPr>
                <w:rFonts w:ascii="宋体" w:hAnsi="宋体"/>
                <w:color w:val="auto"/>
              </w:rPr>
              <w:t>38</w:t>
            </w:r>
          </w:p>
        </w:tc>
        <w:tc>
          <w:tcPr>
            <w:tcW w:w="375" w:type="pct"/>
            <w:vAlign w:val="center"/>
          </w:tcPr>
          <w:p w14:paraId="18F2BD9B">
            <w:pPr>
              <w:jc w:val="center"/>
              <w:rPr>
                <w:rFonts w:ascii="宋体" w:hAnsi="宋体"/>
                <w:color w:val="auto"/>
              </w:rPr>
            </w:pPr>
            <w:r>
              <w:rPr>
                <w:rFonts w:ascii="宋体" w:hAnsi="宋体"/>
                <w:color w:val="auto"/>
              </w:rPr>
              <w:t>38</w:t>
            </w:r>
          </w:p>
        </w:tc>
        <w:tc>
          <w:tcPr>
            <w:tcW w:w="375" w:type="pct"/>
            <w:vAlign w:val="center"/>
          </w:tcPr>
          <w:p w14:paraId="4CFE34D6">
            <w:pPr>
              <w:jc w:val="center"/>
              <w:rPr>
                <w:rFonts w:ascii="宋体" w:hAnsi="宋体"/>
                <w:color w:val="auto"/>
              </w:rPr>
            </w:pPr>
            <w:r>
              <w:rPr>
                <w:rFonts w:ascii="宋体" w:hAnsi="宋体"/>
                <w:color w:val="auto"/>
              </w:rPr>
              <w:t>38</w:t>
            </w:r>
          </w:p>
        </w:tc>
        <w:tc>
          <w:tcPr>
            <w:tcW w:w="375" w:type="pct"/>
            <w:vAlign w:val="center"/>
          </w:tcPr>
          <w:p w14:paraId="3198E9B6">
            <w:pPr>
              <w:jc w:val="center"/>
              <w:rPr>
                <w:rFonts w:ascii="宋体" w:hAnsi="宋体"/>
                <w:color w:val="auto"/>
              </w:rPr>
            </w:pPr>
            <w:r>
              <w:rPr>
                <w:rFonts w:ascii="宋体" w:hAnsi="宋体"/>
                <w:color w:val="auto"/>
              </w:rPr>
              <w:t>38</w:t>
            </w:r>
          </w:p>
        </w:tc>
        <w:tc>
          <w:tcPr>
            <w:tcW w:w="360" w:type="pct"/>
            <w:vAlign w:val="center"/>
          </w:tcPr>
          <w:p w14:paraId="56751854">
            <w:pPr>
              <w:jc w:val="center"/>
              <w:rPr>
                <w:rFonts w:ascii="宋体" w:hAnsi="宋体"/>
                <w:color w:val="auto"/>
              </w:rPr>
            </w:pPr>
            <w:r>
              <w:rPr>
                <w:rFonts w:ascii="宋体" w:hAnsi="宋体"/>
                <w:color w:val="auto"/>
              </w:rPr>
              <w:t>38</w:t>
            </w:r>
          </w:p>
        </w:tc>
      </w:tr>
      <w:tr w14:paraId="393C6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54F20778">
            <w:pPr>
              <w:jc w:val="center"/>
              <w:rPr>
                <w:rFonts w:ascii="宋体" w:hAnsi="宋体"/>
                <w:color w:val="auto"/>
              </w:rPr>
            </w:pPr>
          </w:p>
        </w:tc>
        <w:tc>
          <w:tcPr>
            <w:tcW w:w="451" w:type="pct"/>
            <w:vAlign w:val="center"/>
          </w:tcPr>
          <w:p w14:paraId="4E902364">
            <w:pPr>
              <w:jc w:val="center"/>
              <w:rPr>
                <w:rFonts w:ascii="宋体" w:hAnsi="宋体"/>
                <w:color w:val="auto"/>
              </w:rPr>
            </w:pPr>
            <w:r>
              <w:rPr>
                <w:rFonts w:ascii="宋体" w:hAnsi="宋体"/>
                <w:color w:val="auto"/>
              </w:rPr>
              <w:t>折算浓度/（mg/m</w:t>
            </w:r>
            <w:r>
              <w:rPr>
                <w:rFonts w:ascii="宋体" w:hAnsi="宋体"/>
                <w:color w:val="auto"/>
                <w:vertAlign w:val="superscript"/>
              </w:rPr>
              <w:t>3</w:t>
            </w:r>
            <w:r>
              <w:rPr>
                <w:rFonts w:ascii="宋体" w:hAnsi="宋体"/>
                <w:color w:val="auto"/>
              </w:rPr>
              <w:t>）</w:t>
            </w:r>
          </w:p>
        </w:tc>
        <w:tc>
          <w:tcPr>
            <w:tcW w:w="320" w:type="pct"/>
            <w:vAlign w:val="center"/>
          </w:tcPr>
          <w:p w14:paraId="5A39C151">
            <w:pPr>
              <w:jc w:val="center"/>
              <w:rPr>
                <w:rFonts w:ascii="宋体" w:hAnsi="宋体"/>
                <w:color w:val="auto"/>
              </w:rPr>
            </w:pPr>
            <w:r>
              <w:rPr>
                <w:rFonts w:ascii="宋体" w:hAnsi="宋体"/>
                <w:color w:val="auto"/>
              </w:rPr>
              <w:t>46</w:t>
            </w:r>
          </w:p>
        </w:tc>
        <w:tc>
          <w:tcPr>
            <w:tcW w:w="374" w:type="pct"/>
            <w:vAlign w:val="center"/>
          </w:tcPr>
          <w:p w14:paraId="59971A68">
            <w:pPr>
              <w:jc w:val="center"/>
              <w:rPr>
                <w:rFonts w:ascii="宋体" w:hAnsi="宋体"/>
                <w:color w:val="auto"/>
              </w:rPr>
            </w:pPr>
            <w:r>
              <w:rPr>
                <w:rFonts w:ascii="宋体" w:hAnsi="宋体"/>
                <w:color w:val="auto"/>
              </w:rPr>
              <w:t>45</w:t>
            </w:r>
          </w:p>
        </w:tc>
        <w:tc>
          <w:tcPr>
            <w:tcW w:w="374" w:type="pct"/>
            <w:vAlign w:val="center"/>
          </w:tcPr>
          <w:p w14:paraId="18D48735">
            <w:pPr>
              <w:jc w:val="center"/>
              <w:rPr>
                <w:rFonts w:ascii="宋体" w:hAnsi="宋体"/>
                <w:color w:val="auto"/>
              </w:rPr>
            </w:pPr>
            <w:r>
              <w:rPr>
                <w:rFonts w:ascii="宋体" w:hAnsi="宋体"/>
                <w:color w:val="auto"/>
              </w:rPr>
              <w:t>43</w:t>
            </w:r>
          </w:p>
        </w:tc>
        <w:tc>
          <w:tcPr>
            <w:tcW w:w="360" w:type="pct"/>
            <w:gridSpan w:val="2"/>
            <w:vAlign w:val="center"/>
          </w:tcPr>
          <w:p w14:paraId="4C503102">
            <w:pPr>
              <w:jc w:val="center"/>
              <w:rPr>
                <w:rFonts w:ascii="宋体" w:hAnsi="宋体"/>
                <w:color w:val="auto"/>
              </w:rPr>
            </w:pPr>
            <w:r>
              <w:rPr>
                <w:rFonts w:ascii="宋体" w:hAnsi="宋体"/>
                <w:color w:val="auto"/>
              </w:rPr>
              <w:t>45</w:t>
            </w:r>
          </w:p>
        </w:tc>
        <w:tc>
          <w:tcPr>
            <w:tcW w:w="374" w:type="pct"/>
            <w:vAlign w:val="center"/>
          </w:tcPr>
          <w:p w14:paraId="0FC78705">
            <w:pPr>
              <w:jc w:val="center"/>
              <w:rPr>
                <w:rFonts w:ascii="宋体" w:hAnsi="宋体"/>
                <w:color w:val="auto"/>
              </w:rPr>
            </w:pPr>
            <w:r>
              <w:rPr>
                <w:rFonts w:ascii="宋体" w:hAnsi="宋体"/>
                <w:color w:val="auto"/>
              </w:rPr>
              <w:t>43</w:t>
            </w:r>
          </w:p>
        </w:tc>
        <w:tc>
          <w:tcPr>
            <w:tcW w:w="374" w:type="pct"/>
            <w:vAlign w:val="center"/>
          </w:tcPr>
          <w:p w14:paraId="66EF64C9">
            <w:pPr>
              <w:jc w:val="center"/>
              <w:rPr>
                <w:rFonts w:ascii="宋体" w:hAnsi="宋体"/>
                <w:color w:val="auto"/>
              </w:rPr>
            </w:pPr>
            <w:r>
              <w:rPr>
                <w:rFonts w:ascii="宋体" w:hAnsi="宋体"/>
                <w:color w:val="auto"/>
              </w:rPr>
              <w:t>43</w:t>
            </w:r>
          </w:p>
        </w:tc>
        <w:tc>
          <w:tcPr>
            <w:tcW w:w="375" w:type="pct"/>
            <w:vAlign w:val="center"/>
          </w:tcPr>
          <w:p w14:paraId="4D7E880E">
            <w:pPr>
              <w:jc w:val="center"/>
              <w:rPr>
                <w:rFonts w:ascii="宋体" w:hAnsi="宋体"/>
                <w:color w:val="auto"/>
              </w:rPr>
            </w:pPr>
            <w:r>
              <w:rPr>
                <w:rFonts w:ascii="宋体" w:hAnsi="宋体"/>
                <w:color w:val="auto"/>
              </w:rPr>
              <w:t>43</w:t>
            </w:r>
          </w:p>
        </w:tc>
        <w:tc>
          <w:tcPr>
            <w:tcW w:w="361" w:type="pct"/>
            <w:vAlign w:val="center"/>
          </w:tcPr>
          <w:p w14:paraId="2D6BDB3F">
            <w:pPr>
              <w:jc w:val="center"/>
              <w:rPr>
                <w:rFonts w:ascii="宋体" w:hAnsi="宋体"/>
                <w:color w:val="auto"/>
              </w:rPr>
            </w:pPr>
            <w:r>
              <w:rPr>
                <w:rFonts w:ascii="宋体" w:hAnsi="宋体"/>
                <w:color w:val="auto"/>
              </w:rPr>
              <w:t>43</w:t>
            </w:r>
          </w:p>
        </w:tc>
        <w:tc>
          <w:tcPr>
            <w:tcW w:w="375" w:type="pct"/>
            <w:vAlign w:val="center"/>
          </w:tcPr>
          <w:p w14:paraId="2E6D44E9">
            <w:pPr>
              <w:jc w:val="center"/>
              <w:rPr>
                <w:rFonts w:ascii="宋体" w:hAnsi="宋体"/>
                <w:color w:val="auto"/>
              </w:rPr>
            </w:pPr>
            <w:r>
              <w:rPr>
                <w:rFonts w:ascii="宋体" w:hAnsi="宋体"/>
                <w:color w:val="auto"/>
              </w:rPr>
              <w:t>43</w:t>
            </w:r>
          </w:p>
        </w:tc>
        <w:tc>
          <w:tcPr>
            <w:tcW w:w="375" w:type="pct"/>
            <w:vAlign w:val="center"/>
          </w:tcPr>
          <w:p w14:paraId="109BFDBC">
            <w:pPr>
              <w:jc w:val="center"/>
              <w:rPr>
                <w:rFonts w:ascii="宋体" w:hAnsi="宋体"/>
                <w:color w:val="auto"/>
              </w:rPr>
            </w:pPr>
            <w:r>
              <w:rPr>
                <w:rFonts w:ascii="宋体" w:hAnsi="宋体"/>
                <w:color w:val="auto"/>
              </w:rPr>
              <w:t>43</w:t>
            </w:r>
          </w:p>
        </w:tc>
        <w:tc>
          <w:tcPr>
            <w:tcW w:w="375" w:type="pct"/>
            <w:vAlign w:val="center"/>
          </w:tcPr>
          <w:p w14:paraId="60B3CA5E">
            <w:pPr>
              <w:jc w:val="center"/>
              <w:rPr>
                <w:rFonts w:ascii="宋体" w:hAnsi="宋体"/>
                <w:color w:val="auto"/>
              </w:rPr>
            </w:pPr>
            <w:r>
              <w:rPr>
                <w:rFonts w:ascii="宋体" w:hAnsi="宋体"/>
                <w:color w:val="auto"/>
              </w:rPr>
              <w:t>43</w:t>
            </w:r>
          </w:p>
        </w:tc>
        <w:tc>
          <w:tcPr>
            <w:tcW w:w="360" w:type="pct"/>
            <w:vAlign w:val="center"/>
          </w:tcPr>
          <w:p w14:paraId="64C9954D">
            <w:pPr>
              <w:jc w:val="center"/>
              <w:rPr>
                <w:rFonts w:ascii="宋体" w:hAnsi="宋体"/>
                <w:color w:val="auto"/>
              </w:rPr>
            </w:pPr>
            <w:r>
              <w:rPr>
                <w:rFonts w:ascii="宋体" w:hAnsi="宋体"/>
                <w:color w:val="auto"/>
              </w:rPr>
              <w:t>43</w:t>
            </w:r>
          </w:p>
        </w:tc>
      </w:tr>
      <w:tr w14:paraId="30435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Merge w:val="continue"/>
            <w:vAlign w:val="center"/>
          </w:tcPr>
          <w:p w14:paraId="28D5DD28">
            <w:pPr>
              <w:jc w:val="center"/>
              <w:rPr>
                <w:rFonts w:ascii="宋体" w:hAnsi="宋体"/>
                <w:color w:val="auto"/>
              </w:rPr>
            </w:pPr>
          </w:p>
        </w:tc>
        <w:tc>
          <w:tcPr>
            <w:tcW w:w="451" w:type="pct"/>
            <w:vAlign w:val="center"/>
          </w:tcPr>
          <w:p w14:paraId="4964161A">
            <w:pPr>
              <w:jc w:val="center"/>
              <w:rPr>
                <w:rFonts w:ascii="宋体" w:hAnsi="宋体"/>
                <w:color w:val="auto"/>
              </w:rPr>
            </w:pPr>
            <w:r>
              <w:rPr>
                <w:rFonts w:ascii="宋体" w:hAnsi="宋体"/>
                <w:color w:val="auto"/>
              </w:rPr>
              <w:t>排放速率/（kg/h）</w:t>
            </w:r>
          </w:p>
        </w:tc>
        <w:tc>
          <w:tcPr>
            <w:tcW w:w="320" w:type="pct"/>
            <w:vAlign w:val="center"/>
          </w:tcPr>
          <w:p w14:paraId="4353EE17">
            <w:pPr>
              <w:jc w:val="center"/>
              <w:rPr>
                <w:rFonts w:ascii="宋体" w:hAnsi="宋体"/>
                <w:color w:val="auto"/>
              </w:rPr>
            </w:pPr>
            <w:r>
              <w:rPr>
                <w:rFonts w:ascii="宋体" w:hAnsi="宋体"/>
                <w:color w:val="auto"/>
              </w:rPr>
              <w:t>1.3×10</w:t>
            </w:r>
            <w:r>
              <w:rPr>
                <w:rFonts w:ascii="宋体" w:hAnsi="宋体"/>
                <w:color w:val="auto"/>
                <w:vertAlign w:val="superscript"/>
              </w:rPr>
              <w:t>-2</w:t>
            </w:r>
          </w:p>
        </w:tc>
        <w:tc>
          <w:tcPr>
            <w:tcW w:w="374" w:type="pct"/>
            <w:vAlign w:val="center"/>
          </w:tcPr>
          <w:p w14:paraId="5DA552B4">
            <w:pPr>
              <w:jc w:val="center"/>
              <w:rPr>
                <w:rFonts w:ascii="宋体" w:hAnsi="宋体"/>
                <w:color w:val="auto"/>
              </w:rPr>
            </w:pPr>
            <w:r>
              <w:rPr>
                <w:rFonts w:ascii="宋体" w:hAnsi="宋体"/>
                <w:color w:val="auto"/>
              </w:rPr>
              <w:t>1.3×10</w:t>
            </w:r>
            <w:r>
              <w:rPr>
                <w:rFonts w:ascii="宋体" w:hAnsi="宋体"/>
                <w:color w:val="auto"/>
                <w:vertAlign w:val="superscript"/>
              </w:rPr>
              <w:t>-2</w:t>
            </w:r>
          </w:p>
        </w:tc>
        <w:tc>
          <w:tcPr>
            <w:tcW w:w="374" w:type="pct"/>
            <w:vAlign w:val="center"/>
          </w:tcPr>
          <w:p w14:paraId="251A0DFD">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60" w:type="pct"/>
            <w:gridSpan w:val="2"/>
            <w:vAlign w:val="center"/>
          </w:tcPr>
          <w:p w14:paraId="7DB58A2C">
            <w:pPr>
              <w:jc w:val="center"/>
              <w:rPr>
                <w:rFonts w:ascii="宋体" w:hAnsi="宋体"/>
                <w:color w:val="auto"/>
              </w:rPr>
            </w:pPr>
            <w:r>
              <w:rPr>
                <w:rFonts w:ascii="宋体" w:hAnsi="宋体"/>
                <w:color w:val="auto"/>
              </w:rPr>
              <w:t>1.3×10</w:t>
            </w:r>
            <w:r>
              <w:rPr>
                <w:rFonts w:ascii="宋体" w:hAnsi="宋体"/>
                <w:color w:val="auto"/>
                <w:vertAlign w:val="superscript"/>
              </w:rPr>
              <w:t>-2</w:t>
            </w:r>
          </w:p>
        </w:tc>
        <w:tc>
          <w:tcPr>
            <w:tcW w:w="374" w:type="pct"/>
            <w:vAlign w:val="center"/>
          </w:tcPr>
          <w:p w14:paraId="76AFE69A">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4" w:type="pct"/>
            <w:vAlign w:val="center"/>
          </w:tcPr>
          <w:p w14:paraId="41BC79E1">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5" w:type="pct"/>
            <w:vAlign w:val="center"/>
          </w:tcPr>
          <w:p w14:paraId="3AD4D6E6">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61" w:type="pct"/>
            <w:vAlign w:val="center"/>
          </w:tcPr>
          <w:p w14:paraId="0D575F4A">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5" w:type="pct"/>
            <w:vAlign w:val="center"/>
          </w:tcPr>
          <w:p w14:paraId="4FC6598D">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5" w:type="pct"/>
            <w:vAlign w:val="center"/>
          </w:tcPr>
          <w:p w14:paraId="08E9B457">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75" w:type="pct"/>
            <w:vAlign w:val="center"/>
          </w:tcPr>
          <w:p w14:paraId="52164B52">
            <w:pPr>
              <w:jc w:val="center"/>
              <w:rPr>
                <w:rFonts w:ascii="宋体" w:hAnsi="宋体"/>
                <w:color w:val="auto"/>
              </w:rPr>
            </w:pPr>
            <w:r>
              <w:rPr>
                <w:rFonts w:ascii="宋体" w:hAnsi="宋体"/>
                <w:color w:val="auto"/>
              </w:rPr>
              <w:t>1.2×10</w:t>
            </w:r>
            <w:r>
              <w:rPr>
                <w:rFonts w:ascii="宋体" w:hAnsi="宋体"/>
                <w:color w:val="auto"/>
                <w:vertAlign w:val="superscript"/>
              </w:rPr>
              <w:t>-2</w:t>
            </w:r>
          </w:p>
        </w:tc>
        <w:tc>
          <w:tcPr>
            <w:tcW w:w="360" w:type="pct"/>
            <w:vAlign w:val="center"/>
          </w:tcPr>
          <w:p w14:paraId="73379B28">
            <w:pPr>
              <w:jc w:val="center"/>
              <w:rPr>
                <w:rFonts w:ascii="宋体" w:hAnsi="宋体"/>
                <w:color w:val="auto"/>
              </w:rPr>
            </w:pPr>
            <w:r>
              <w:rPr>
                <w:rFonts w:ascii="宋体" w:hAnsi="宋体"/>
                <w:color w:val="auto"/>
              </w:rPr>
              <w:t>1.2×10</w:t>
            </w:r>
            <w:r>
              <w:rPr>
                <w:rFonts w:ascii="宋体" w:hAnsi="宋体"/>
                <w:color w:val="auto"/>
                <w:vertAlign w:val="superscript"/>
              </w:rPr>
              <w:t>-2</w:t>
            </w:r>
          </w:p>
        </w:tc>
      </w:tr>
      <w:tr w14:paraId="12DCB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3" w:type="pct"/>
            <w:gridSpan w:val="2"/>
            <w:vAlign w:val="center"/>
          </w:tcPr>
          <w:p w14:paraId="64581110">
            <w:pPr>
              <w:jc w:val="center"/>
              <w:rPr>
                <w:rFonts w:ascii="宋体" w:hAnsi="宋体"/>
                <w:color w:val="auto"/>
              </w:rPr>
            </w:pPr>
            <w:r>
              <w:rPr>
                <w:rFonts w:ascii="宋体" w:hAnsi="宋体"/>
                <w:color w:val="auto"/>
              </w:rPr>
              <w:t>烟气黑度/（级）</w:t>
            </w:r>
          </w:p>
        </w:tc>
        <w:tc>
          <w:tcPr>
            <w:tcW w:w="1361" w:type="pct"/>
            <w:gridSpan w:val="4"/>
            <w:vAlign w:val="center"/>
          </w:tcPr>
          <w:p w14:paraId="1F3C4814">
            <w:pPr>
              <w:jc w:val="center"/>
              <w:rPr>
                <w:rFonts w:ascii="宋体" w:hAnsi="宋体"/>
                <w:color w:val="auto"/>
              </w:rPr>
            </w:pPr>
            <w:r>
              <w:rPr>
                <w:rFonts w:ascii="宋体" w:hAnsi="宋体"/>
                <w:color w:val="auto"/>
              </w:rPr>
              <w:t>＜1</w:t>
            </w:r>
          </w:p>
        </w:tc>
        <w:tc>
          <w:tcPr>
            <w:tcW w:w="1551" w:type="pct"/>
            <w:gridSpan w:val="5"/>
            <w:vAlign w:val="center"/>
          </w:tcPr>
          <w:p w14:paraId="42C5FDAE">
            <w:pPr>
              <w:jc w:val="center"/>
              <w:rPr>
                <w:rFonts w:ascii="宋体" w:hAnsi="宋体"/>
                <w:color w:val="auto"/>
              </w:rPr>
            </w:pPr>
            <w:r>
              <w:rPr>
                <w:rFonts w:ascii="宋体" w:hAnsi="宋体"/>
                <w:color w:val="auto"/>
              </w:rPr>
              <w:t>＜1</w:t>
            </w:r>
          </w:p>
        </w:tc>
        <w:tc>
          <w:tcPr>
            <w:tcW w:w="1485" w:type="pct"/>
            <w:gridSpan w:val="4"/>
            <w:vAlign w:val="center"/>
          </w:tcPr>
          <w:p w14:paraId="27D6B79F">
            <w:pPr>
              <w:jc w:val="center"/>
              <w:rPr>
                <w:rFonts w:ascii="宋体" w:hAnsi="宋体"/>
                <w:color w:val="auto"/>
              </w:rPr>
            </w:pPr>
            <w:r>
              <w:rPr>
                <w:rFonts w:ascii="宋体" w:hAnsi="宋体"/>
                <w:color w:val="auto"/>
              </w:rPr>
              <w:t>＜1</w:t>
            </w:r>
          </w:p>
        </w:tc>
      </w:tr>
      <w:tr w14:paraId="5354E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 w:type="pct"/>
            <w:vAlign w:val="center"/>
          </w:tcPr>
          <w:p w14:paraId="3594FA89">
            <w:pPr>
              <w:jc w:val="center"/>
              <w:rPr>
                <w:rFonts w:ascii="宋体" w:hAnsi="宋体"/>
                <w:color w:val="auto"/>
              </w:rPr>
            </w:pPr>
            <w:r>
              <w:rPr>
                <w:rFonts w:ascii="宋体" w:hAnsi="宋体"/>
                <w:color w:val="auto"/>
              </w:rPr>
              <w:t>备注</w:t>
            </w:r>
          </w:p>
        </w:tc>
        <w:tc>
          <w:tcPr>
            <w:tcW w:w="4848" w:type="pct"/>
            <w:gridSpan w:val="14"/>
            <w:vAlign w:val="center"/>
          </w:tcPr>
          <w:p w14:paraId="05ABC8E5">
            <w:pPr>
              <w:numPr>
                <w:ilvl w:val="0"/>
                <w:numId w:val="28"/>
              </w:numPr>
              <w:jc w:val="center"/>
              <w:rPr>
                <w:rFonts w:ascii="宋体" w:hAnsi="宋体"/>
                <w:color w:val="auto"/>
              </w:rPr>
            </w:pPr>
            <w:r>
              <w:rPr>
                <w:rFonts w:ascii="宋体" w:hAnsi="宋体"/>
                <w:color w:val="auto"/>
              </w:rPr>
              <w:t>基准氧含量：3.5%</w:t>
            </w:r>
          </w:p>
          <w:p w14:paraId="6DF469D4">
            <w:pPr>
              <w:jc w:val="center"/>
              <w:rPr>
                <w:rFonts w:ascii="宋体" w:hAnsi="宋体"/>
                <w:color w:val="auto"/>
              </w:rPr>
            </w:pPr>
            <w:r>
              <w:rPr>
                <w:rFonts w:ascii="宋体" w:hAnsi="宋体"/>
                <w:color w:val="auto"/>
              </w:rPr>
              <w:t>2、HJ 57-2017固定污染源废气 二氧化硫的测定 定电位电解法检测二氧化硫，一氧化碳干扰显著，测定样品时须同时测定一氧化碳浓度，一氧化碳浓度超过50μmol/mol（62.5mg/m</w:t>
            </w:r>
            <w:r>
              <w:rPr>
                <w:rFonts w:ascii="宋体" w:hAnsi="宋体"/>
                <w:color w:val="auto"/>
                <w:vertAlign w:val="superscript"/>
              </w:rPr>
              <w:t>3</w:t>
            </w:r>
            <w:r>
              <w:rPr>
                <w:rFonts w:ascii="宋体" w:hAnsi="宋体"/>
                <w:color w:val="auto"/>
              </w:rPr>
              <w:t>）时，定电位电解法不适用。</w:t>
            </w:r>
          </w:p>
          <w:p w14:paraId="44C12D36">
            <w:pPr>
              <w:jc w:val="center"/>
              <w:rPr>
                <w:rFonts w:ascii="宋体" w:hAnsi="宋体"/>
                <w:color w:val="auto"/>
              </w:rPr>
            </w:pPr>
            <w:r>
              <w:rPr>
                <w:rFonts w:ascii="宋体" w:hAnsi="宋体"/>
                <w:color w:val="auto"/>
              </w:rPr>
              <w:t>3、检测结果低于分析方法检出限时，结果报告为使用方法检出限值，并加标志位“L”。</w:t>
            </w:r>
          </w:p>
          <w:p w14:paraId="45900C23">
            <w:pPr>
              <w:jc w:val="center"/>
              <w:rPr>
                <w:rFonts w:ascii="宋体" w:hAnsi="宋体"/>
                <w:color w:val="auto"/>
              </w:rPr>
            </w:pPr>
            <w:r>
              <w:rPr>
                <w:rFonts w:ascii="宋体" w:hAnsi="宋体"/>
                <w:color w:val="auto"/>
              </w:rPr>
              <w:t>4、如果实测浓度用检出限（L）或＜检出限表示，则折算浓度按照折算后结果表示。</w:t>
            </w:r>
          </w:p>
        </w:tc>
      </w:tr>
    </w:tbl>
    <w:p w14:paraId="161B9A53">
      <w:pPr>
        <w:rPr>
          <w:color w:val="auto"/>
        </w:rPr>
        <w:sectPr>
          <w:pgSz w:w="16839" w:h="11907" w:orient="landscape"/>
          <w:pgMar w:top="1588" w:right="1418" w:bottom="1588" w:left="1418" w:header="1134" w:footer="850" w:gutter="0"/>
          <w:cols w:space="720" w:num="1"/>
          <w:docGrid w:linePitch="312" w:charSpace="0"/>
        </w:sectPr>
      </w:pPr>
    </w:p>
    <w:p w14:paraId="7B1CB146">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13</w:t>
      </w:r>
      <w:r>
        <w:rPr>
          <w:color w:val="auto"/>
        </w:rPr>
        <w:fldChar w:fldCharType="end"/>
      </w:r>
      <w:r>
        <w:rPr>
          <w:color w:val="auto"/>
        </w:rPr>
        <w:t xml:space="preserve">    </w:t>
      </w:r>
      <w:r>
        <w:rPr>
          <w:rFonts w:hint="eastAsia"/>
          <w:color w:val="auto"/>
        </w:rPr>
        <w:t>高青联合站3</w:t>
      </w:r>
      <w:r>
        <w:rPr>
          <w:color w:val="auto"/>
        </w:rPr>
        <w:t>#</w:t>
      </w:r>
      <w:r>
        <w:rPr>
          <w:rFonts w:hint="eastAsia"/>
          <w:color w:val="auto"/>
        </w:rPr>
        <w:t>加热炉排气筒监测数据</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830"/>
        <w:gridCol w:w="1830"/>
        <w:gridCol w:w="658"/>
        <w:gridCol w:w="1360"/>
        <w:gridCol w:w="926"/>
        <w:gridCol w:w="1091"/>
        <w:gridCol w:w="1184"/>
        <w:gridCol w:w="834"/>
        <w:gridCol w:w="1506"/>
        <w:gridCol w:w="512"/>
        <w:gridCol w:w="1836"/>
      </w:tblGrid>
      <w:tr w14:paraId="194B4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6" w:type="pct"/>
            <w:gridSpan w:val="2"/>
            <w:shd w:val="clear" w:color="auto" w:fill="auto"/>
            <w:vAlign w:val="center"/>
          </w:tcPr>
          <w:p w14:paraId="086DDE61">
            <w:pPr>
              <w:widowControl/>
              <w:adjustRightInd w:val="0"/>
              <w:snapToGrid w:val="0"/>
              <w:jc w:val="center"/>
              <w:rPr>
                <w:rFonts w:ascii="宋体" w:hAnsi="宋体"/>
                <w:color w:val="auto"/>
              </w:rPr>
            </w:pPr>
            <w:r>
              <w:rPr>
                <w:rFonts w:hint="eastAsia" w:ascii="宋体" w:hAnsi="宋体"/>
                <w:color w:val="auto"/>
              </w:rPr>
              <w:t>采样时间</w:t>
            </w:r>
          </w:p>
        </w:tc>
        <w:tc>
          <w:tcPr>
            <w:tcW w:w="2096" w:type="pct"/>
            <w:gridSpan w:val="5"/>
            <w:shd w:val="clear" w:color="auto" w:fill="auto"/>
            <w:vAlign w:val="center"/>
          </w:tcPr>
          <w:p w14:paraId="4C24E318">
            <w:pPr>
              <w:jc w:val="center"/>
              <w:rPr>
                <w:rFonts w:ascii="宋体" w:hAnsi="宋体"/>
                <w:color w:val="auto"/>
              </w:rPr>
            </w:pPr>
            <w:r>
              <w:rPr>
                <w:rFonts w:hint="eastAsia" w:ascii="宋体" w:hAnsi="宋体"/>
                <w:color w:val="auto"/>
              </w:rPr>
              <w:t>2026年4月11日</w:t>
            </w:r>
          </w:p>
        </w:tc>
        <w:tc>
          <w:tcPr>
            <w:tcW w:w="2098" w:type="pct"/>
            <w:gridSpan w:val="5"/>
            <w:shd w:val="clear" w:color="auto" w:fill="auto"/>
            <w:vAlign w:val="center"/>
          </w:tcPr>
          <w:p w14:paraId="54F190B5">
            <w:pPr>
              <w:jc w:val="center"/>
              <w:rPr>
                <w:rFonts w:ascii="宋体" w:hAnsi="宋体"/>
                <w:color w:val="auto"/>
              </w:rPr>
            </w:pPr>
            <w:r>
              <w:rPr>
                <w:rFonts w:hint="eastAsia" w:ascii="宋体" w:hAnsi="宋体"/>
                <w:color w:val="auto"/>
              </w:rPr>
              <w:t>2026年4月12日</w:t>
            </w:r>
          </w:p>
        </w:tc>
      </w:tr>
      <w:tr w14:paraId="5B3FC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6" w:type="pct"/>
            <w:gridSpan w:val="2"/>
            <w:shd w:val="clear" w:color="auto" w:fill="auto"/>
            <w:vAlign w:val="center"/>
          </w:tcPr>
          <w:p w14:paraId="07A782AA">
            <w:pPr>
              <w:widowControl/>
              <w:adjustRightInd w:val="0"/>
              <w:snapToGrid w:val="0"/>
              <w:jc w:val="center"/>
              <w:rPr>
                <w:rFonts w:ascii="宋体" w:hAnsi="宋体"/>
                <w:color w:val="auto"/>
              </w:rPr>
            </w:pPr>
            <w:r>
              <w:rPr>
                <w:rFonts w:ascii="宋体" w:hAnsi="宋体"/>
                <w:color w:val="auto"/>
              </w:rPr>
              <w:t>排气筒名称</w:t>
            </w:r>
          </w:p>
        </w:tc>
        <w:tc>
          <w:tcPr>
            <w:tcW w:w="4194" w:type="pct"/>
            <w:gridSpan w:val="10"/>
            <w:shd w:val="clear" w:color="auto" w:fill="auto"/>
            <w:vAlign w:val="center"/>
          </w:tcPr>
          <w:p w14:paraId="3E44F583">
            <w:pPr>
              <w:widowControl/>
              <w:jc w:val="center"/>
              <w:rPr>
                <w:rFonts w:ascii="宋体" w:hAnsi="宋体"/>
                <w:color w:val="auto"/>
              </w:rPr>
            </w:pPr>
            <w:r>
              <w:rPr>
                <w:rFonts w:hint="eastAsia" w:ascii="宋体" w:hAnsi="宋体"/>
                <w:color w:val="auto"/>
              </w:rPr>
              <w:t>高青联合站3#加热炉</w:t>
            </w:r>
          </w:p>
        </w:tc>
      </w:tr>
      <w:tr w14:paraId="72D06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6" w:type="pct"/>
            <w:gridSpan w:val="2"/>
            <w:shd w:val="clear" w:color="auto" w:fill="auto"/>
            <w:vAlign w:val="center"/>
          </w:tcPr>
          <w:p w14:paraId="7A4C403A">
            <w:pPr>
              <w:widowControl/>
              <w:adjustRightInd w:val="0"/>
              <w:snapToGrid w:val="0"/>
              <w:jc w:val="center"/>
              <w:rPr>
                <w:rFonts w:ascii="宋体" w:hAnsi="宋体"/>
                <w:color w:val="auto"/>
              </w:rPr>
            </w:pPr>
            <w:r>
              <w:rPr>
                <w:rFonts w:ascii="宋体" w:hAnsi="宋体"/>
                <w:color w:val="auto"/>
              </w:rPr>
              <w:t>燃料</w:t>
            </w:r>
          </w:p>
        </w:tc>
        <w:tc>
          <w:tcPr>
            <w:tcW w:w="889" w:type="pct"/>
            <w:gridSpan w:val="2"/>
            <w:shd w:val="clear" w:color="auto" w:fill="auto"/>
            <w:vAlign w:val="center"/>
          </w:tcPr>
          <w:p w14:paraId="3FFD7C3C">
            <w:pPr>
              <w:widowControl/>
              <w:adjustRightInd w:val="0"/>
              <w:snapToGrid w:val="0"/>
              <w:jc w:val="center"/>
              <w:rPr>
                <w:rFonts w:ascii="宋体" w:hAnsi="宋体"/>
                <w:color w:val="auto"/>
              </w:rPr>
            </w:pPr>
            <w:r>
              <w:rPr>
                <w:rFonts w:hint="eastAsia" w:ascii="宋体" w:hAnsi="宋体"/>
                <w:color w:val="auto"/>
              </w:rPr>
              <w:t>天然气</w:t>
            </w:r>
          </w:p>
        </w:tc>
        <w:tc>
          <w:tcPr>
            <w:tcW w:w="817" w:type="pct"/>
            <w:gridSpan w:val="2"/>
            <w:shd w:val="clear" w:color="auto" w:fill="auto"/>
            <w:vAlign w:val="center"/>
          </w:tcPr>
          <w:p w14:paraId="55593E4E">
            <w:pPr>
              <w:widowControl/>
              <w:adjustRightInd w:val="0"/>
              <w:snapToGrid w:val="0"/>
              <w:jc w:val="center"/>
              <w:rPr>
                <w:rFonts w:ascii="宋体" w:hAnsi="宋体"/>
                <w:color w:val="auto"/>
              </w:rPr>
            </w:pPr>
            <w:r>
              <w:rPr>
                <w:rFonts w:ascii="宋体" w:hAnsi="宋体"/>
                <w:color w:val="auto"/>
              </w:rPr>
              <w:t>烟道截</w:t>
            </w:r>
            <w:r>
              <w:rPr>
                <w:rFonts w:hint="eastAsia" w:ascii="宋体" w:hAnsi="宋体"/>
                <w:color w:val="auto"/>
              </w:rPr>
              <w:t>面积</w:t>
            </w:r>
            <w:r>
              <w:rPr>
                <w:rFonts w:ascii="宋体" w:hAnsi="宋体"/>
                <w:color w:val="auto"/>
              </w:rPr>
              <w:t>（m</w:t>
            </w:r>
            <w:r>
              <w:rPr>
                <w:rFonts w:ascii="宋体" w:hAnsi="宋体"/>
                <w:color w:val="auto"/>
                <w:vertAlign w:val="superscript"/>
              </w:rPr>
              <w:t>2</w:t>
            </w:r>
            <w:r>
              <w:rPr>
                <w:rFonts w:ascii="宋体" w:hAnsi="宋体"/>
                <w:color w:val="auto"/>
              </w:rPr>
              <w:t>）</w:t>
            </w:r>
          </w:p>
        </w:tc>
        <w:tc>
          <w:tcPr>
            <w:tcW w:w="813" w:type="pct"/>
            <w:gridSpan w:val="2"/>
            <w:shd w:val="clear" w:color="auto" w:fill="auto"/>
            <w:vAlign w:val="center"/>
          </w:tcPr>
          <w:p w14:paraId="62E1203A">
            <w:pPr>
              <w:widowControl/>
              <w:adjustRightInd w:val="0"/>
              <w:snapToGrid w:val="0"/>
              <w:jc w:val="center"/>
              <w:rPr>
                <w:rFonts w:ascii="宋体" w:hAnsi="宋体"/>
                <w:color w:val="auto"/>
              </w:rPr>
            </w:pPr>
            <w:r>
              <w:rPr>
                <w:rFonts w:hint="eastAsia" w:ascii="宋体" w:hAnsi="宋体"/>
                <w:color w:val="auto"/>
              </w:rPr>
              <w:t>0.1452</w:t>
            </w:r>
          </w:p>
        </w:tc>
        <w:tc>
          <w:tcPr>
            <w:tcW w:w="836" w:type="pct"/>
            <w:gridSpan w:val="2"/>
            <w:shd w:val="clear" w:color="auto" w:fill="auto"/>
            <w:vAlign w:val="center"/>
          </w:tcPr>
          <w:p w14:paraId="6F8880D8">
            <w:pPr>
              <w:widowControl/>
              <w:adjustRightInd w:val="0"/>
              <w:snapToGrid w:val="0"/>
              <w:jc w:val="center"/>
              <w:rPr>
                <w:rFonts w:ascii="宋体" w:hAnsi="宋体"/>
                <w:color w:val="auto"/>
              </w:rPr>
            </w:pPr>
            <w:r>
              <w:rPr>
                <w:rFonts w:ascii="宋体" w:hAnsi="宋体"/>
                <w:color w:val="auto"/>
              </w:rPr>
              <w:t>排气筒高度（m）</w:t>
            </w:r>
          </w:p>
        </w:tc>
        <w:tc>
          <w:tcPr>
            <w:tcW w:w="839" w:type="pct"/>
            <w:gridSpan w:val="2"/>
            <w:shd w:val="clear" w:color="auto" w:fill="auto"/>
            <w:vAlign w:val="center"/>
          </w:tcPr>
          <w:p w14:paraId="78A62874">
            <w:pPr>
              <w:widowControl/>
              <w:adjustRightInd w:val="0"/>
              <w:snapToGrid w:val="0"/>
              <w:jc w:val="center"/>
              <w:rPr>
                <w:rFonts w:ascii="宋体" w:hAnsi="宋体"/>
                <w:color w:val="auto"/>
              </w:rPr>
            </w:pPr>
            <w:r>
              <w:rPr>
                <w:rFonts w:hint="eastAsia" w:ascii="宋体" w:hAnsi="宋体"/>
                <w:color w:val="auto"/>
              </w:rPr>
              <w:t>15</w:t>
            </w:r>
          </w:p>
        </w:tc>
      </w:tr>
      <w:tr w14:paraId="30101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6" w:type="pct"/>
            <w:gridSpan w:val="2"/>
            <w:shd w:val="clear" w:color="auto" w:fill="auto"/>
            <w:vAlign w:val="center"/>
          </w:tcPr>
          <w:p w14:paraId="5CF2C7DD">
            <w:pPr>
              <w:widowControl/>
              <w:adjustRightInd w:val="0"/>
              <w:snapToGrid w:val="0"/>
              <w:jc w:val="center"/>
              <w:rPr>
                <w:rFonts w:ascii="宋体" w:hAnsi="宋体"/>
                <w:color w:val="auto"/>
              </w:rPr>
            </w:pPr>
            <w:r>
              <w:rPr>
                <w:rFonts w:ascii="宋体" w:hAnsi="宋体"/>
                <w:color w:val="auto"/>
              </w:rPr>
              <w:t>检测频次</w:t>
            </w:r>
          </w:p>
        </w:tc>
        <w:tc>
          <w:tcPr>
            <w:tcW w:w="654" w:type="pct"/>
            <w:shd w:val="clear" w:color="auto" w:fill="auto"/>
            <w:vAlign w:val="center"/>
          </w:tcPr>
          <w:p w14:paraId="0859395F">
            <w:pPr>
              <w:adjustRightInd w:val="0"/>
              <w:snapToGrid w:val="0"/>
              <w:jc w:val="center"/>
              <w:rPr>
                <w:rFonts w:ascii="宋体" w:hAnsi="宋体"/>
                <w:color w:val="auto"/>
              </w:rPr>
            </w:pPr>
            <w:r>
              <w:rPr>
                <w:rFonts w:ascii="宋体" w:hAnsi="宋体"/>
                <w:color w:val="auto"/>
              </w:rPr>
              <w:t>第1次</w:t>
            </w:r>
          </w:p>
        </w:tc>
        <w:tc>
          <w:tcPr>
            <w:tcW w:w="721" w:type="pct"/>
            <w:gridSpan w:val="2"/>
            <w:shd w:val="clear" w:color="auto" w:fill="auto"/>
            <w:vAlign w:val="center"/>
          </w:tcPr>
          <w:p w14:paraId="7B61DFD5">
            <w:pPr>
              <w:adjustRightInd w:val="0"/>
              <w:snapToGrid w:val="0"/>
              <w:jc w:val="center"/>
              <w:rPr>
                <w:rFonts w:ascii="宋体" w:hAnsi="宋体"/>
                <w:color w:val="auto"/>
              </w:rPr>
            </w:pPr>
            <w:r>
              <w:rPr>
                <w:rFonts w:hint="eastAsia" w:ascii="宋体" w:hAnsi="宋体"/>
                <w:color w:val="auto"/>
              </w:rPr>
              <w:t>第2次</w:t>
            </w:r>
          </w:p>
        </w:tc>
        <w:tc>
          <w:tcPr>
            <w:tcW w:w="721" w:type="pct"/>
            <w:gridSpan w:val="2"/>
            <w:shd w:val="clear" w:color="auto" w:fill="auto"/>
            <w:vAlign w:val="center"/>
          </w:tcPr>
          <w:p w14:paraId="402ED9A2">
            <w:pPr>
              <w:adjustRightInd w:val="0"/>
              <w:snapToGrid w:val="0"/>
              <w:jc w:val="center"/>
              <w:rPr>
                <w:rFonts w:ascii="宋体" w:hAnsi="宋体"/>
                <w:color w:val="auto"/>
              </w:rPr>
            </w:pPr>
            <w:r>
              <w:rPr>
                <w:rFonts w:hint="eastAsia" w:ascii="宋体" w:hAnsi="宋体"/>
                <w:color w:val="auto"/>
              </w:rPr>
              <w:t>第3次</w:t>
            </w:r>
          </w:p>
        </w:tc>
        <w:tc>
          <w:tcPr>
            <w:tcW w:w="721" w:type="pct"/>
            <w:gridSpan w:val="2"/>
            <w:shd w:val="clear" w:color="auto" w:fill="auto"/>
            <w:vAlign w:val="center"/>
          </w:tcPr>
          <w:p w14:paraId="407D2597">
            <w:pPr>
              <w:adjustRightInd w:val="0"/>
              <w:snapToGrid w:val="0"/>
              <w:jc w:val="center"/>
              <w:rPr>
                <w:rFonts w:ascii="宋体" w:hAnsi="宋体"/>
                <w:color w:val="auto"/>
              </w:rPr>
            </w:pPr>
            <w:r>
              <w:rPr>
                <w:rFonts w:ascii="宋体" w:hAnsi="宋体"/>
                <w:color w:val="auto"/>
              </w:rPr>
              <w:t>第1次</w:t>
            </w:r>
          </w:p>
        </w:tc>
        <w:tc>
          <w:tcPr>
            <w:tcW w:w="721" w:type="pct"/>
            <w:gridSpan w:val="2"/>
            <w:shd w:val="clear" w:color="auto" w:fill="auto"/>
            <w:vAlign w:val="center"/>
          </w:tcPr>
          <w:p w14:paraId="206F60E6">
            <w:pPr>
              <w:adjustRightInd w:val="0"/>
              <w:snapToGrid w:val="0"/>
              <w:jc w:val="center"/>
              <w:rPr>
                <w:rFonts w:ascii="宋体" w:hAnsi="宋体"/>
                <w:color w:val="auto"/>
              </w:rPr>
            </w:pPr>
            <w:r>
              <w:rPr>
                <w:rFonts w:hint="eastAsia" w:ascii="宋体" w:hAnsi="宋体"/>
                <w:color w:val="auto"/>
              </w:rPr>
              <w:t>第2次</w:t>
            </w:r>
          </w:p>
        </w:tc>
        <w:tc>
          <w:tcPr>
            <w:tcW w:w="656" w:type="pct"/>
            <w:shd w:val="clear" w:color="auto" w:fill="auto"/>
            <w:vAlign w:val="center"/>
          </w:tcPr>
          <w:p w14:paraId="3894CECF">
            <w:pPr>
              <w:adjustRightInd w:val="0"/>
              <w:snapToGrid w:val="0"/>
              <w:jc w:val="center"/>
              <w:rPr>
                <w:rFonts w:ascii="宋体" w:hAnsi="宋体"/>
                <w:color w:val="auto"/>
              </w:rPr>
            </w:pPr>
            <w:r>
              <w:rPr>
                <w:rFonts w:hint="eastAsia" w:ascii="宋体" w:hAnsi="宋体"/>
                <w:color w:val="auto"/>
              </w:rPr>
              <w:t>第3次</w:t>
            </w:r>
          </w:p>
        </w:tc>
      </w:tr>
      <w:tr w14:paraId="0D007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6" w:type="pct"/>
            <w:gridSpan w:val="2"/>
            <w:shd w:val="clear" w:color="auto" w:fill="auto"/>
            <w:vAlign w:val="center"/>
          </w:tcPr>
          <w:p w14:paraId="1F929FD3">
            <w:pPr>
              <w:widowControl/>
              <w:adjustRightInd w:val="0"/>
              <w:snapToGrid w:val="0"/>
              <w:jc w:val="center"/>
              <w:rPr>
                <w:rFonts w:ascii="宋体" w:hAnsi="宋体"/>
                <w:color w:val="auto"/>
              </w:rPr>
            </w:pPr>
            <w:r>
              <w:rPr>
                <w:rFonts w:hint="eastAsia" w:ascii="宋体" w:hAnsi="宋体"/>
                <w:color w:val="auto"/>
              </w:rPr>
              <w:t>烟气温度</w:t>
            </w:r>
            <w:r>
              <w:rPr>
                <w:rFonts w:ascii="宋体" w:hAnsi="宋体"/>
                <w:color w:val="auto"/>
              </w:rPr>
              <w:t>（</w:t>
            </w:r>
            <w:r>
              <w:rPr>
                <w:rFonts w:hint="eastAsia" w:ascii="宋体" w:hAnsi="宋体" w:cs="微软雅黑"/>
                <w:color w:val="auto"/>
              </w:rPr>
              <w:t>℃</w:t>
            </w:r>
            <w:r>
              <w:rPr>
                <w:rFonts w:ascii="宋体" w:hAnsi="宋体"/>
                <w:color w:val="auto"/>
              </w:rPr>
              <w:t>）</w:t>
            </w:r>
          </w:p>
        </w:tc>
        <w:tc>
          <w:tcPr>
            <w:tcW w:w="654" w:type="pct"/>
            <w:shd w:val="clear" w:color="auto" w:fill="auto"/>
            <w:vAlign w:val="center"/>
          </w:tcPr>
          <w:p w14:paraId="3DA9C553">
            <w:pPr>
              <w:widowControl/>
              <w:adjustRightInd w:val="0"/>
              <w:snapToGrid w:val="0"/>
              <w:jc w:val="center"/>
              <w:rPr>
                <w:rFonts w:ascii="宋体" w:hAnsi="宋体"/>
                <w:color w:val="auto"/>
              </w:rPr>
            </w:pPr>
            <w:r>
              <w:rPr>
                <w:rFonts w:hint="eastAsia" w:ascii="宋体" w:hAnsi="宋体"/>
                <w:color w:val="auto"/>
              </w:rPr>
              <w:t>112.3</w:t>
            </w:r>
          </w:p>
        </w:tc>
        <w:tc>
          <w:tcPr>
            <w:tcW w:w="721" w:type="pct"/>
            <w:gridSpan w:val="2"/>
            <w:shd w:val="clear" w:color="auto" w:fill="auto"/>
            <w:vAlign w:val="center"/>
          </w:tcPr>
          <w:p w14:paraId="68041F77">
            <w:pPr>
              <w:widowControl/>
              <w:adjustRightInd w:val="0"/>
              <w:snapToGrid w:val="0"/>
              <w:jc w:val="center"/>
              <w:rPr>
                <w:rFonts w:ascii="宋体" w:hAnsi="宋体"/>
                <w:color w:val="auto"/>
              </w:rPr>
            </w:pPr>
            <w:r>
              <w:rPr>
                <w:rFonts w:hint="eastAsia" w:ascii="宋体" w:hAnsi="宋体"/>
                <w:color w:val="auto"/>
              </w:rPr>
              <w:t>114.6</w:t>
            </w:r>
          </w:p>
        </w:tc>
        <w:tc>
          <w:tcPr>
            <w:tcW w:w="721" w:type="pct"/>
            <w:gridSpan w:val="2"/>
            <w:shd w:val="clear" w:color="auto" w:fill="auto"/>
            <w:vAlign w:val="center"/>
          </w:tcPr>
          <w:p w14:paraId="73E2BF90">
            <w:pPr>
              <w:widowControl/>
              <w:adjustRightInd w:val="0"/>
              <w:snapToGrid w:val="0"/>
              <w:jc w:val="center"/>
              <w:rPr>
                <w:rFonts w:ascii="宋体" w:hAnsi="宋体"/>
                <w:color w:val="auto"/>
              </w:rPr>
            </w:pPr>
            <w:r>
              <w:rPr>
                <w:rFonts w:hint="eastAsia" w:ascii="宋体" w:hAnsi="宋体"/>
                <w:color w:val="auto"/>
              </w:rPr>
              <w:t>114.7</w:t>
            </w:r>
          </w:p>
        </w:tc>
        <w:tc>
          <w:tcPr>
            <w:tcW w:w="721" w:type="pct"/>
            <w:gridSpan w:val="2"/>
            <w:shd w:val="clear" w:color="auto" w:fill="auto"/>
            <w:vAlign w:val="center"/>
          </w:tcPr>
          <w:p w14:paraId="28A23E3F">
            <w:pPr>
              <w:widowControl/>
              <w:jc w:val="center"/>
              <w:rPr>
                <w:rFonts w:ascii="宋体" w:hAnsi="宋体"/>
                <w:color w:val="auto"/>
              </w:rPr>
            </w:pPr>
            <w:r>
              <w:rPr>
                <w:rFonts w:hint="eastAsia" w:ascii="宋体" w:hAnsi="宋体"/>
                <w:color w:val="auto"/>
              </w:rPr>
              <w:t>94.0</w:t>
            </w:r>
          </w:p>
        </w:tc>
        <w:tc>
          <w:tcPr>
            <w:tcW w:w="721" w:type="pct"/>
            <w:gridSpan w:val="2"/>
            <w:shd w:val="clear" w:color="auto" w:fill="auto"/>
            <w:vAlign w:val="center"/>
          </w:tcPr>
          <w:p w14:paraId="0CE885CB">
            <w:pPr>
              <w:widowControl/>
              <w:jc w:val="center"/>
              <w:rPr>
                <w:rFonts w:ascii="宋体" w:hAnsi="宋体"/>
                <w:color w:val="auto"/>
              </w:rPr>
            </w:pPr>
            <w:r>
              <w:rPr>
                <w:rFonts w:hint="eastAsia" w:ascii="宋体" w:hAnsi="宋体"/>
                <w:color w:val="auto"/>
              </w:rPr>
              <w:t>93.2</w:t>
            </w:r>
          </w:p>
        </w:tc>
        <w:tc>
          <w:tcPr>
            <w:tcW w:w="656" w:type="pct"/>
            <w:shd w:val="clear" w:color="auto" w:fill="auto"/>
            <w:vAlign w:val="center"/>
          </w:tcPr>
          <w:p w14:paraId="76682B4B">
            <w:pPr>
              <w:widowControl/>
              <w:jc w:val="center"/>
              <w:rPr>
                <w:rFonts w:ascii="宋体" w:hAnsi="宋体"/>
                <w:color w:val="auto"/>
              </w:rPr>
            </w:pPr>
            <w:r>
              <w:rPr>
                <w:rFonts w:hint="eastAsia" w:ascii="宋体" w:hAnsi="宋体"/>
                <w:color w:val="auto"/>
              </w:rPr>
              <w:t>91.9</w:t>
            </w:r>
          </w:p>
        </w:tc>
      </w:tr>
      <w:tr w14:paraId="0C566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6" w:type="pct"/>
            <w:gridSpan w:val="2"/>
            <w:shd w:val="clear" w:color="auto" w:fill="auto"/>
            <w:vAlign w:val="center"/>
          </w:tcPr>
          <w:p w14:paraId="542F232D">
            <w:pPr>
              <w:widowControl/>
              <w:adjustRightInd w:val="0"/>
              <w:snapToGrid w:val="0"/>
              <w:jc w:val="center"/>
              <w:rPr>
                <w:rFonts w:ascii="宋体" w:hAnsi="宋体"/>
                <w:color w:val="auto"/>
              </w:rPr>
            </w:pPr>
            <w:r>
              <w:rPr>
                <w:rFonts w:ascii="宋体" w:hAnsi="宋体"/>
                <w:color w:val="auto"/>
              </w:rPr>
              <w:t>标干流量（m</w:t>
            </w:r>
            <w:r>
              <w:rPr>
                <w:rFonts w:ascii="宋体" w:hAnsi="宋体"/>
                <w:color w:val="auto"/>
                <w:vertAlign w:val="superscript"/>
              </w:rPr>
              <w:t>3</w:t>
            </w:r>
            <w:r>
              <w:rPr>
                <w:rFonts w:ascii="宋体" w:hAnsi="宋体"/>
                <w:color w:val="auto"/>
              </w:rPr>
              <w:t>/h）</w:t>
            </w:r>
          </w:p>
        </w:tc>
        <w:tc>
          <w:tcPr>
            <w:tcW w:w="654" w:type="pct"/>
            <w:shd w:val="clear" w:color="auto" w:fill="auto"/>
            <w:vAlign w:val="center"/>
          </w:tcPr>
          <w:p w14:paraId="7283EA0F">
            <w:pPr>
              <w:widowControl/>
              <w:adjustRightInd w:val="0"/>
              <w:snapToGrid w:val="0"/>
              <w:jc w:val="center"/>
              <w:rPr>
                <w:rFonts w:ascii="宋体" w:hAnsi="宋体"/>
                <w:color w:val="auto"/>
              </w:rPr>
            </w:pPr>
            <w:r>
              <w:rPr>
                <w:rFonts w:hint="eastAsia" w:ascii="宋体" w:hAnsi="宋体"/>
                <w:color w:val="auto"/>
              </w:rPr>
              <w:t>596</w:t>
            </w:r>
          </w:p>
        </w:tc>
        <w:tc>
          <w:tcPr>
            <w:tcW w:w="721" w:type="pct"/>
            <w:gridSpan w:val="2"/>
            <w:shd w:val="clear" w:color="auto" w:fill="auto"/>
            <w:vAlign w:val="center"/>
          </w:tcPr>
          <w:p w14:paraId="446245ED">
            <w:pPr>
              <w:widowControl/>
              <w:adjustRightInd w:val="0"/>
              <w:snapToGrid w:val="0"/>
              <w:jc w:val="center"/>
              <w:rPr>
                <w:rFonts w:ascii="宋体" w:hAnsi="宋体"/>
                <w:color w:val="auto"/>
              </w:rPr>
            </w:pPr>
            <w:r>
              <w:rPr>
                <w:rFonts w:hint="eastAsia" w:ascii="宋体" w:hAnsi="宋体"/>
                <w:color w:val="auto"/>
              </w:rPr>
              <w:t>523</w:t>
            </w:r>
          </w:p>
        </w:tc>
        <w:tc>
          <w:tcPr>
            <w:tcW w:w="721" w:type="pct"/>
            <w:gridSpan w:val="2"/>
            <w:shd w:val="clear" w:color="auto" w:fill="auto"/>
            <w:vAlign w:val="center"/>
          </w:tcPr>
          <w:p w14:paraId="558471DE">
            <w:pPr>
              <w:widowControl/>
              <w:adjustRightInd w:val="0"/>
              <w:snapToGrid w:val="0"/>
              <w:jc w:val="center"/>
              <w:rPr>
                <w:rFonts w:ascii="宋体" w:hAnsi="宋体"/>
                <w:color w:val="auto"/>
              </w:rPr>
            </w:pPr>
            <w:r>
              <w:rPr>
                <w:rFonts w:hint="eastAsia" w:ascii="宋体" w:hAnsi="宋体"/>
                <w:color w:val="auto"/>
              </w:rPr>
              <w:t>540</w:t>
            </w:r>
          </w:p>
        </w:tc>
        <w:tc>
          <w:tcPr>
            <w:tcW w:w="721" w:type="pct"/>
            <w:gridSpan w:val="2"/>
            <w:shd w:val="clear" w:color="auto" w:fill="auto"/>
            <w:vAlign w:val="center"/>
          </w:tcPr>
          <w:p w14:paraId="2A683037">
            <w:pPr>
              <w:widowControl/>
              <w:jc w:val="center"/>
              <w:rPr>
                <w:rFonts w:ascii="宋体" w:hAnsi="宋体"/>
                <w:color w:val="auto"/>
              </w:rPr>
            </w:pPr>
            <w:r>
              <w:rPr>
                <w:rFonts w:hint="eastAsia" w:ascii="宋体" w:hAnsi="宋体"/>
                <w:color w:val="auto"/>
              </w:rPr>
              <w:t>516</w:t>
            </w:r>
          </w:p>
        </w:tc>
        <w:tc>
          <w:tcPr>
            <w:tcW w:w="721" w:type="pct"/>
            <w:gridSpan w:val="2"/>
            <w:shd w:val="clear" w:color="auto" w:fill="auto"/>
            <w:vAlign w:val="center"/>
          </w:tcPr>
          <w:p w14:paraId="5624020A">
            <w:pPr>
              <w:widowControl/>
              <w:jc w:val="center"/>
              <w:rPr>
                <w:rFonts w:ascii="宋体" w:hAnsi="宋体"/>
                <w:color w:val="auto"/>
              </w:rPr>
            </w:pPr>
            <w:r>
              <w:rPr>
                <w:rFonts w:hint="eastAsia" w:ascii="宋体" w:hAnsi="宋体"/>
                <w:color w:val="auto"/>
              </w:rPr>
              <w:t>528</w:t>
            </w:r>
          </w:p>
        </w:tc>
        <w:tc>
          <w:tcPr>
            <w:tcW w:w="656" w:type="pct"/>
            <w:shd w:val="clear" w:color="auto" w:fill="auto"/>
            <w:vAlign w:val="center"/>
          </w:tcPr>
          <w:p w14:paraId="42D962FE">
            <w:pPr>
              <w:widowControl/>
              <w:jc w:val="center"/>
              <w:rPr>
                <w:rFonts w:ascii="宋体" w:hAnsi="宋体"/>
                <w:color w:val="auto"/>
              </w:rPr>
            </w:pPr>
            <w:r>
              <w:rPr>
                <w:rFonts w:hint="eastAsia" w:ascii="宋体" w:hAnsi="宋体"/>
                <w:color w:val="auto"/>
              </w:rPr>
              <w:t>530</w:t>
            </w:r>
          </w:p>
        </w:tc>
      </w:tr>
      <w:tr w14:paraId="6A37A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6" w:type="pct"/>
            <w:gridSpan w:val="2"/>
            <w:shd w:val="clear" w:color="auto" w:fill="auto"/>
            <w:vAlign w:val="center"/>
          </w:tcPr>
          <w:p w14:paraId="1B74811B">
            <w:pPr>
              <w:widowControl/>
              <w:adjustRightInd w:val="0"/>
              <w:snapToGrid w:val="0"/>
              <w:jc w:val="center"/>
              <w:rPr>
                <w:rFonts w:ascii="宋体" w:hAnsi="宋体"/>
                <w:color w:val="auto"/>
              </w:rPr>
            </w:pPr>
            <w:r>
              <w:rPr>
                <w:rFonts w:hint="eastAsia" w:ascii="宋体" w:hAnsi="宋体"/>
                <w:color w:val="auto"/>
              </w:rPr>
              <w:t>烟气含氧量均值（%）</w:t>
            </w:r>
          </w:p>
        </w:tc>
        <w:tc>
          <w:tcPr>
            <w:tcW w:w="654" w:type="pct"/>
            <w:shd w:val="clear" w:color="auto" w:fill="auto"/>
            <w:vAlign w:val="center"/>
          </w:tcPr>
          <w:p w14:paraId="65340232">
            <w:pPr>
              <w:widowControl/>
              <w:adjustRightInd w:val="0"/>
              <w:snapToGrid w:val="0"/>
              <w:jc w:val="center"/>
              <w:rPr>
                <w:rFonts w:ascii="宋体" w:hAnsi="宋体"/>
                <w:color w:val="auto"/>
              </w:rPr>
            </w:pPr>
            <w:r>
              <w:rPr>
                <w:rFonts w:hint="eastAsia" w:ascii="宋体" w:hAnsi="宋体"/>
                <w:color w:val="auto"/>
              </w:rPr>
              <w:t>10.1</w:t>
            </w:r>
          </w:p>
        </w:tc>
        <w:tc>
          <w:tcPr>
            <w:tcW w:w="721" w:type="pct"/>
            <w:gridSpan w:val="2"/>
            <w:shd w:val="clear" w:color="auto" w:fill="auto"/>
            <w:vAlign w:val="center"/>
          </w:tcPr>
          <w:p w14:paraId="15044606">
            <w:pPr>
              <w:widowControl/>
              <w:adjustRightInd w:val="0"/>
              <w:snapToGrid w:val="0"/>
              <w:jc w:val="center"/>
              <w:rPr>
                <w:rFonts w:ascii="宋体" w:hAnsi="宋体"/>
                <w:color w:val="auto"/>
              </w:rPr>
            </w:pPr>
            <w:r>
              <w:rPr>
                <w:rFonts w:hint="eastAsia" w:ascii="宋体" w:hAnsi="宋体"/>
                <w:color w:val="auto"/>
              </w:rPr>
              <w:t>10.1</w:t>
            </w:r>
          </w:p>
        </w:tc>
        <w:tc>
          <w:tcPr>
            <w:tcW w:w="721" w:type="pct"/>
            <w:gridSpan w:val="2"/>
            <w:shd w:val="clear" w:color="auto" w:fill="auto"/>
            <w:vAlign w:val="center"/>
          </w:tcPr>
          <w:p w14:paraId="119E7F8C">
            <w:pPr>
              <w:widowControl/>
              <w:adjustRightInd w:val="0"/>
              <w:snapToGrid w:val="0"/>
              <w:jc w:val="center"/>
              <w:rPr>
                <w:rFonts w:ascii="宋体" w:hAnsi="宋体"/>
                <w:color w:val="auto"/>
              </w:rPr>
            </w:pPr>
            <w:r>
              <w:rPr>
                <w:rFonts w:hint="eastAsia" w:ascii="宋体" w:hAnsi="宋体"/>
                <w:color w:val="auto"/>
              </w:rPr>
              <w:t>10.2</w:t>
            </w:r>
          </w:p>
        </w:tc>
        <w:tc>
          <w:tcPr>
            <w:tcW w:w="721" w:type="pct"/>
            <w:gridSpan w:val="2"/>
            <w:shd w:val="clear" w:color="auto" w:fill="auto"/>
            <w:vAlign w:val="center"/>
          </w:tcPr>
          <w:p w14:paraId="24F22527">
            <w:pPr>
              <w:widowControl/>
              <w:jc w:val="center"/>
              <w:rPr>
                <w:rFonts w:ascii="宋体" w:hAnsi="宋体"/>
                <w:color w:val="auto"/>
              </w:rPr>
            </w:pPr>
            <w:r>
              <w:rPr>
                <w:rFonts w:hint="eastAsia" w:ascii="宋体" w:hAnsi="宋体"/>
                <w:color w:val="auto"/>
              </w:rPr>
              <w:t>10.1</w:t>
            </w:r>
          </w:p>
        </w:tc>
        <w:tc>
          <w:tcPr>
            <w:tcW w:w="721" w:type="pct"/>
            <w:gridSpan w:val="2"/>
            <w:shd w:val="clear" w:color="auto" w:fill="auto"/>
            <w:vAlign w:val="center"/>
          </w:tcPr>
          <w:p w14:paraId="671A76E1">
            <w:pPr>
              <w:widowControl/>
              <w:jc w:val="center"/>
              <w:rPr>
                <w:rFonts w:ascii="宋体" w:hAnsi="宋体"/>
                <w:color w:val="auto"/>
              </w:rPr>
            </w:pPr>
            <w:r>
              <w:rPr>
                <w:rFonts w:hint="eastAsia" w:ascii="宋体" w:hAnsi="宋体"/>
                <w:color w:val="auto"/>
              </w:rPr>
              <w:t>10.1</w:t>
            </w:r>
          </w:p>
        </w:tc>
        <w:tc>
          <w:tcPr>
            <w:tcW w:w="656" w:type="pct"/>
            <w:shd w:val="clear" w:color="auto" w:fill="auto"/>
            <w:vAlign w:val="center"/>
          </w:tcPr>
          <w:p w14:paraId="41D8A60B">
            <w:pPr>
              <w:widowControl/>
              <w:jc w:val="center"/>
              <w:rPr>
                <w:rFonts w:ascii="宋体" w:hAnsi="宋体"/>
                <w:color w:val="auto"/>
              </w:rPr>
            </w:pPr>
            <w:r>
              <w:rPr>
                <w:rFonts w:hint="eastAsia" w:ascii="宋体" w:hAnsi="宋体"/>
                <w:color w:val="auto"/>
              </w:rPr>
              <w:t>10.1</w:t>
            </w:r>
          </w:p>
        </w:tc>
      </w:tr>
      <w:tr w14:paraId="196F1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restart"/>
            <w:shd w:val="clear" w:color="auto" w:fill="auto"/>
            <w:vAlign w:val="center"/>
          </w:tcPr>
          <w:p w14:paraId="3A47EE83">
            <w:pPr>
              <w:widowControl/>
              <w:jc w:val="center"/>
              <w:rPr>
                <w:rFonts w:ascii="宋体" w:hAnsi="宋体"/>
                <w:color w:val="auto"/>
              </w:rPr>
            </w:pPr>
            <w:r>
              <w:rPr>
                <w:rFonts w:ascii="宋体" w:hAnsi="宋体"/>
                <w:color w:val="auto"/>
              </w:rPr>
              <w:t>颗粒物</w:t>
            </w:r>
          </w:p>
        </w:tc>
        <w:tc>
          <w:tcPr>
            <w:tcW w:w="654" w:type="pct"/>
            <w:shd w:val="clear" w:color="auto" w:fill="auto"/>
            <w:vAlign w:val="center"/>
          </w:tcPr>
          <w:p w14:paraId="13C1C655">
            <w:pPr>
              <w:widowControl/>
              <w:adjustRightInd w:val="0"/>
              <w:snapToGrid w:val="0"/>
              <w:jc w:val="center"/>
              <w:rPr>
                <w:rFonts w:ascii="宋体" w:hAnsi="宋体"/>
                <w:color w:val="auto"/>
              </w:rPr>
            </w:pPr>
            <w:r>
              <w:rPr>
                <w:rFonts w:ascii="宋体" w:hAnsi="宋体"/>
                <w:color w:val="auto"/>
              </w:rPr>
              <w:t>实测排放浓度（mg/m</w:t>
            </w:r>
            <w:r>
              <w:rPr>
                <w:rFonts w:ascii="宋体" w:hAnsi="宋体"/>
                <w:color w:val="auto"/>
                <w:vertAlign w:val="superscript"/>
              </w:rPr>
              <w:t>3</w:t>
            </w:r>
            <w:r>
              <w:rPr>
                <w:rFonts w:ascii="宋体" w:hAnsi="宋体"/>
                <w:color w:val="auto"/>
              </w:rPr>
              <w:t>）</w:t>
            </w:r>
          </w:p>
        </w:tc>
        <w:tc>
          <w:tcPr>
            <w:tcW w:w="654" w:type="pct"/>
            <w:shd w:val="clear" w:color="auto" w:fill="auto"/>
            <w:vAlign w:val="center"/>
          </w:tcPr>
          <w:p w14:paraId="65B6C1B4">
            <w:pPr>
              <w:widowControl/>
              <w:adjustRightInd w:val="0"/>
              <w:snapToGrid w:val="0"/>
              <w:jc w:val="center"/>
              <w:rPr>
                <w:rFonts w:ascii="宋体" w:hAnsi="宋体"/>
                <w:color w:val="auto"/>
              </w:rPr>
            </w:pPr>
            <w:r>
              <w:rPr>
                <w:rFonts w:hint="eastAsia" w:ascii="宋体" w:hAnsi="宋体"/>
                <w:color w:val="auto"/>
              </w:rPr>
              <w:t>1.4</w:t>
            </w:r>
          </w:p>
        </w:tc>
        <w:tc>
          <w:tcPr>
            <w:tcW w:w="721" w:type="pct"/>
            <w:gridSpan w:val="2"/>
            <w:shd w:val="clear" w:color="auto" w:fill="auto"/>
            <w:vAlign w:val="center"/>
          </w:tcPr>
          <w:p w14:paraId="0398C428">
            <w:pPr>
              <w:widowControl/>
              <w:adjustRightInd w:val="0"/>
              <w:snapToGrid w:val="0"/>
              <w:jc w:val="center"/>
              <w:rPr>
                <w:rFonts w:ascii="宋体" w:hAnsi="宋体"/>
                <w:color w:val="auto"/>
              </w:rPr>
            </w:pPr>
            <w:r>
              <w:rPr>
                <w:rFonts w:hint="eastAsia" w:ascii="宋体" w:hAnsi="宋体"/>
                <w:color w:val="auto"/>
              </w:rPr>
              <w:t>1.3</w:t>
            </w:r>
          </w:p>
        </w:tc>
        <w:tc>
          <w:tcPr>
            <w:tcW w:w="721" w:type="pct"/>
            <w:gridSpan w:val="2"/>
            <w:shd w:val="clear" w:color="auto" w:fill="auto"/>
            <w:vAlign w:val="center"/>
          </w:tcPr>
          <w:p w14:paraId="58454CC8">
            <w:pPr>
              <w:widowControl/>
              <w:jc w:val="center"/>
              <w:rPr>
                <w:rFonts w:ascii="宋体" w:hAnsi="宋体"/>
                <w:color w:val="auto"/>
              </w:rPr>
            </w:pPr>
            <w:r>
              <w:rPr>
                <w:rFonts w:hint="eastAsia" w:ascii="宋体" w:hAnsi="宋体"/>
                <w:color w:val="auto"/>
              </w:rPr>
              <w:t>1.4</w:t>
            </w:r>
          </w:p>
        </w:tc>
        <w:tc>
          <w:tcPr>
            <w:tcW w:w="721" w:type="pct"/>
            <w:gridSpan w:val="2"/>
            <w:shd w:val="clear" w:color="auto" w:fill="auto"/>
            <w:vAlign w:val="center"/>
          </w:tcPr>
          <w:p w14:paraId="5712333A">
            <w:pPr>
              <w:widowControl/>
              <w:adjustRightInd w:val="0"/>
              <w:snapToGrid w:val="0"/>
              <w:jc w:val="center"/>
              <w:rPr>
                <w:rFonts w:ascii="宋体" w:hAnsi="宋体"/>
                <w:color w:val="auto"/>
              </w:rPr>
            </w:pPr>
            <w:r>
              <w:rPr>
                <w:rFonts w:hint="eastAsia" w:ascii="宋体" w:hAnsi="宋体"/>
                <w:color w:val="auto"/>
              </w:rPr>
              <w:t>1.4</w:t>
            </w:r>
          </w:p>
        </w:tc>
        <w:tc>
          <w:tcPr>
            <w:tcW w:w="721" w:type="pct"/>
            <w:gridSpan w:val="2"/>
            <w:shd w:val="clear" w:color="auto" w:fill="auto"/>
            <w:vAlign w:val="center"/>
          </w:tcPr>
          <w:p w14:paraId="49921371">
            <w:pPr>
              <w:widowControl/>
              <w:adjustRightInd w:val="0"/>
              <w:snapToGrid w:val="0"/>
              <w:jc w:val="center"/>
              <w:rPr>
                <w:rFonts w:ascii="宋体" w:hAnsi="宋体"/>
                <w:color w:val="auto"/>
              </w:rPr>
            </w:pPr>
            <w:r>
              <w:rPr>
                <w:rFonts w:hint="eastAsia" w:ascii="宋体" w:hAnsi="宋体"/>
                <w:color w:val="auto"/>
              </w:rPr>
              <w:t>1.4</w:t>
            </w:r>
          </w:p>
        </w:tc>
        <w:tc>
          <w:tcPr>
            <w:tcW w:w="656" w:type="pct"/>
            <w:shd w:val="clear" w:color="auto" w:fill="auto"/>
            <w:vAlign w:val="center"/>
          </w:tcPr>
          <w:p w14:paraId="7DB25603">
            <w:pPr>
              <w:widowControl/>
              <w:adjustRightInd w:val="0"/>
              <w:snapToGrid w:val="0"/>
              <w:jc w:val="center"/>
              <w:rPr>
                <w:rFonts w:ascii="宋体" w:hAnsi="宋体"/>
                <w:color w:val="auto"/>
              </w:rPr>
            </w:pPr>
            <w:r>
              <w:rPr>
                <w:rFonts w:hint="eastAsia" w:ascii="宋体" w:hAnsi="宋体"/>
                <w:color w:val="auto"/>
              </w:rPr>
              <w:t>1.3</w:t>
            </w:r>
          </w:p>
        </w:tc>
      </w:tr>
      <w:tr w14:paraId="257A9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shd w:val="clear" w:color="auto" w:fill="auto"/>
            <w:vAlign w:val="center"/>
          </w:tcPr>
          <w:p w14:paraId="284A49B5">
            <w:pPr>
              <w:widowControl/>
              <w:jc w:val="center"/>
              <w:rPr>
                <w:rFonts w:ascii="宋体" w:hAnsi="宋体"/>
                <w:color w:val="auto"/>
              </w:rPr>
            </w:pPr>
          </w:p>
        </w:tc>
        <w:tc>
          <w:tcPr>
            <w:tcW w:w="654" w:type="pct"/>
            <w:shd w:val="clear" w:color="auto" w:fill="auto"/>
            <w:vAlign w:val="center"/>
          </w:tcPr>
          <w:p w14:paraId="0CB0F4B8">
            <w:pPr>
              <w:widowControl/>
              <w:adjustRightInd w:val="0"/>
              <w:snapToGrid w:val="0"/>
              <w:jc w:val="center"/>
              <w:rPr>
                <w:rFonts w:ascii="宋体" w:hAnsi="宋体"/>
                <w:color w:val="auto"/>
              </w:rPr>
            </w:pPr>
            <w:r>
              <w:rPr>
                <w:rFonts w:ascii="宋体" w:hAnsi="宋体"/>
                <w:color w:val="auto"/>
              </w:rPr>
              <w:t>折算排放浓度（mg/m</w:t>
            </w:r>
            <w:r>
              <w:rPr>
                <w:rFonts w:ascii="宋体" w:hAnsi="宋体"/>
                <w:color w:val="auto"/>
                <w:vertAlign w:val="superscript"/>
              </w:rPr>
              <w:t>3</w:t>
            </w:r>
            <w:r>
              <w:rPr>
                <w:rFonts w:ascii="宋体" w:hAnsi="宋体"/>
                <w:color w:val="auto"/>
              </w:rPr>
              <w:t>）</w:t>
            </w:r>
          </w:p>
        </w:tc>
        <w:tc>
          <w:tcPr>
            <w:tcW w:w="654" w:type="pct"/>
            <w:shd w:val="clear" w:color="auto" w:fill="auto"/>
            <w:vAlign w:val="center"/>
          </w:tcPr>
          <w:p w14:paraId="3C8979A6">
            <w:pPr>
              <w:widowControl/>
              <w:adjustRightInd w:val="0"/>
              <w:snapToGrid w:val="0"/>
              <w:jc w:val="center"/>
              <w:rPr>
                <w:rFonts w:ascii="宋体" w:hAnsi="宋体"/>
                <w:color w:val="auto"/>
              </w:rPr>
            </w:pPr>
            <w:r>
              <w:rPr>
                <w:rFonts w:hint="eastAsia" w:ascii="宋体" w:hAnsi="宋体"/>
                <w:color w:val="auto"/>
              </w:rPr>
              <w:t>2.2</w:t>
            </w:r>
          </w:p>
        </w:tc>
        <w:tc>
          <w:tcPr>
            <w:tcW w:w="721" w:type="pct"/>
            <w:gridSpan w:val="2"/>
            <w:shd w:val="clear" w:color="auto" w:fill="auto"/>
            <w:vAlign w:val="center"/>
          </w:tcPr>
          <w:p w14:paraId="3EE0326C">
            <w:pPr>
              <w:adjustRightInd w:val="0"/>
              <w:snapToGrid w:val="0"/>
              <w:jc w:val="center"/>
              <w:rPr>
                <w:rFonts w:ascii="宋体" w:hAnsi="宋体"/>
                <w:color w:val="auto"/>
              </w:rPr>
            </w:pPr>
            <w:r>
              <w:rPr>
                <w:rFonts w:hint="eastAsia" w:ascii="宋体" w:hAnsi="宋体"/>
                <w:color w:val="auto"/>
              </w:rPr>
              <w:t>2.1</w:t>
            </w:r>
          </w:p>
        </w:tc>
        <w:tc>
          <w:tcPr>
            <w:tcW w:w="721" w:type="pct"/>
            <w:gridSpan w:val="2"/>
            <w:shd w:val="clear" w:color="auto" w:fill="auto"/>
            <w:vAlign w:val="center"/>
          </w:tcPr>
          <w:p w14:paraId="00F74315">
            <w:pPr>
              <w:adjustRightInd w:val="0"/>
              <w:snapToGrid w:val="0"/>
              <w:jc w:val="center"/>
              <w:rPr>
                <w:rFonts w:ascii="宋体" w:hAnsi="宋体"/>
                <w:color w:val="auto"/>
              </w:rPr>
            </w:pPr>
            <w:r>
              <w:rPr>
                <w:rFonts w:hint="eastAsia" w:ascii="宋体" w:hAnsi="宋体"/>
                <w:color w:val="auto"/>
              </w:rPr>
              <w:t>2.3</w:t>
            </w:r>
          </w:p>
        </w:tc>
        <w:tc>
          <w:tcPr>
            <w:tcW w:w="721" w:type="pct"/>
            <w:gridSpan w:val="2"/>
            <w:shd w:val="clear" w:color="auto" w:fill="auto"/>
            <w:vAlign w:val="center"/>
          </w:tcPr>
          <w:p w14:paraId="461B26ED">
            <w:pPr>
              <w:adjustRightInd w:val="0"/>
              <w:snapToGrid w:val="0"/>
              <w:jc w:val="center"/>
              <w:rPr>
                <w:rFonts w:ascii="宋体" w:hAnsi="宋体"/>
                <w:color w:val="auto"/>
              </w:rPr>
            </w:pPr>
            <w:r>
              <w:rPr>
                <w:rFonts w:hint="eastAsia" w:ascii="宋体" w:hAnsi="宋体"/>
                <w:color w:val="auto"/>
              </w:rPr>
              <w:t>2.2</w:t>
            </w:r>
          </w:p>
        </w:tc>
        <w:tc>
          <w:tcPr>
            <w:tcW w:w="721" w:type="pct"/>
            <w:gridSpan w:val="2"/>
            <w:shd w:val="clear" w:color="auto" w:fill="auto"/>
            <w:vAlign w:val="center"/>
          </w:tcPr>
          <w:p w14:paraId="6BBBC4F6">
            <w:pPr>
              <w:adjustRightInd w:val="0"/>
              <w:snapToGrid w:val="0"/>
              <w:jc w:val="center"/>
              <w:rPr>
                <w:rFonts w:ascii="宋体" w:hAnsi="宋体"/>
                <w:color w:val="auto"/>
              </w:rPr>
            </w:pPr>
            <w:r>
              <w:rPr>
                <w:rFonts w:hint="eastAsia" w:ascii="宋体" w:hAnsi="宋体"/>
                <w:color w:val="auto"/>
              </w:rPr>
              <w:t>2.2</w:t>
            </w:r>
          </w:p>
        </w:tc>
        <w:tc>
          <w:tcPr>
            <w:tcW w:w="656" w:type="pct"/>
            <w:shd w:val="clear" w:color="auto" w:fill="auto"/>
            <w:vAlign w:val="center"/>
          </w:tcPr>
          <w:p w14:paraId="61C82CB5">
            <w:pPr>
              <w:adjustRightInd w:val="0"/>
              <w:snapToGrid w:val="0"/>
              <w:jc w:val="center"/>
              <w:rPr>
                <w:rFonts w:ascii="宋体" w:hAnsi="宋体"/>
                <w:color w:val="auto"/>
              </w:rPr>
            </w:pPr>
            <w:r>
              <w:rPr>
                <w:rFonts w:hint="eastAsia" w:ascii="宋体" w:hAnsi="宋体"/>
                <w:color w:val="auto"/>
              </w:rPr>
              <w:t>2.1</w:t>
            </w:r>
          </w:p>
        </w:tc>
      </w:tr>
      <w:tr w14:paraId="2F5BD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shd w:val="clear" w:color="auto" w:fill="auto"/>
            <w:vAlign w:val="center"/>
          </w:tcPr>
          <w:p w14:paraId="51A5B1B0">
            <w:pPr>
              <w:widowControl/>
              <w:jc w:val="center"/>
              <w:rPr>
                <w:rFonts w:ascii="宋体" w:hAnsi="宋体"/>
                <w:color w:val="auto"/>
              </w:rPr>
            </w:pPr>
          </w:p>
        </w:tc>
        <w:tc>
          <w:tcPr>
            <w:tcW w:w="654" w:type="pct"/>
            <w:shd w:val="clear" w:color="auto" w:fill="auto"/>
            <w:vAlign w:val="center"/>
          </w:tcPr>
          <w:p w14:paraId="3EBC285B">
            <w:pPr>
              <w:widowControl/>
              <w:adjustRightInd w:val="0"/>
              <w:snapToGrid w:val="0"/>
              <w:jc w:val="center"/>
              <w:rPr>
                <w:rFonts w:ascii="宋体" w:hAnsi="宋体"/>
                <w:color w:val="auto"/>
              </w:rPr>
            </w:pPr>
            <w:r>
              <w:rPr>
                <w:rFonts w:hint="eastAsia" w:ascii="宋体" w:hAnsi="宋体"/>
                <w:color w:val="auto"/>
              </w:rPr>
              <w:t>排放速率</w:t>
            </w:r>
            <w:r>
              <w:rPr>
                <w:rFonts w:ascii="宋体" w:hAnsi="宋体"/>
                <w:color w:val="auto"/>
              </w:rPr>
              <w:t>（</w:t>
            </w:r>
            <w:r>
              <w:rPr>
                <w:rFonts w:hint="eastAsia" w:ascii="宋体" w:hAnsi="宋体"/>
                <w:color w:val="auto"/>
              </w:rPr>
              <w:t>kg</w:t>
            </w:r>
            <w:r>
              <w:rPr>
                <w:rFonts w:ascii="宋体" w:hAnsi="宋体"/>
                <w:color w:val="auto"/>
              </w:rPr>
              <w:t>/h）</w:t>
            </w:r>
          </w:p>
        </w:tc>
        <w:tc>
          <w:tcPr>
            <w:tcW w:w="654" w:type="pct"/>
            <w:shd w:val="clear" w:color="auto" w:fill="auto"/>
            <w:vAlign w:val="center"/>
          </w:tcPr>
          <w:p w14:paraId="2D577A94">
            <w:pPr>
              <w:adjustRightInd w:val="0"/>
              <w:snapToGrid w:val="0"/>
              <w:jc w:val="center"/>
              <w:rPr>
                <w:rFonts w:ascii="宋体" w:hAnsi="宋体"/>
                <w:color w:val="auto"/>
              </w:rPr>
            </w:pPr>
            <w:r>
              <w:rPr>
                <w:rFonts w:hint="eastAsia" w:ascii="宋体" w:hAnsi="宋体"/>
                <w:color w:val="auto"/>
              </w:rPr>
              <w:t>8.34×10</w:t>
            </w:r>
            <w:r>
              <w:rPr>
                <w:rFonts w:hint="eastAsia" w:ascii="宋体" w:hAnsi="宋体"/>
                <w:color w:val="auto"/>
                <w:vertAlign w:val="superscript"/>
              </w:rPr>
              <w:t>-4</w:t>
            </w:r>
          </w:p>
        </w:tc>
        <w:tc>
          <w:tcPr>
            <w:tcW w:w="721" w:type="pct"/>
            <w:gridSpan w:val="2"/>
            <w:shd w:val="clear" w:color="auto" w:fill="auto"/>
            <w:vAlign w:val="center"/>
          </w:tcPr>
          <w:p w14:paraId="5E5EE300">
            <w:pPr>
              <w:jc w:val="center"/>
              <w:rPr>
                <w:rFonts w:ascii="宋体" w:hAnsi="宋体"/>
                <w:color w:val="auto"/>
              </w:rPr>
            </w:pPr>
            <w:r>
              <w:rPr>
                <w:rFonts w:hint="eastAsia" w:ascii="宋体" w:hAnsi="宋体"/>
                <w:color w:val="auto"/>
              </w:rPr>
              <w:t>6.80×10</w:t>
            </w:r>
            <w:r>
              <w:rPr>
                <w:rFonts w:hint="eastAsia" w:ascii="宋体" w:hAnsi="宋体"/>
                <w:color w:val="auto"/>
                <w:vertAlign w:val="superscript"/>
              </w:rPr>
              <w:t>-4</w:t>
            </w:r>
          </w:p>
        </w:tc>
        <w:tc>
          <w:tcPr>
            <w:tcW w:w="721" w:type="pct"/>
            <w:gridSpan w:val="2"/>
            <w:shd w:val="clear" w:color="auto" w:fill="auto"/>
            <w:vAlign w:val="center"/>
          </w:tcPr>
          <w:p w14:paraId="4FF17301">
            <w:pPr>
              <w:jc w:val="center"/>
              <w:rPr>
                <w:rFonts w:ascii="宋体" w:hAnsi="宋体"/>
                <w:color w:val="auto"/>
              </w:rPr>
            </w:pPr>
            <w:r>
              <w:rPr>
                <w:rFonts w:hint="eastAsia" w:ascii="宋体" w:hAnsi="宋体"/>
                <w:color w:val="auto"/>
              </w:rPr>
              <w:t>7.56×10</w:t>
            </w:r>
            <w:r>
              <w:rPr>
                <w:rFonts w:hint="eastAsia" w:ascii="宋体" w:hAnsi="宋体"/>
                <w:color w:val="auto"/>
                <w:vertAlign w:val="superscript"/>
              </w:rPr>
              <w:t>-4</w:t>
            </w:r>
          </w:p>
        </w:tc>
        <w:tc>
          <w:tcPr>
            <w:tcW w:w="721" w:type="pct"/>
            <w:gridSpan w:val="2"/>
            <w:shd w:val="clear" w:color="auto" w:fill="auto"/>
            <w:vAlign w:val="center"/>
          </w:tcPr>
          <w:p w14:paraId="3603AFAF">
            <w:pPr>
              <w:jc w:val="center"/>
              <w:rPr>
                <w:rFonts w:ascii="宋体" w:hAnsi="宋体"/>
                <w:color w:val="auto"/>
              </w:rPr>
            </w:pPr>
            <w:r>
              <w:rPr>
                <w:rFonts w:hint="eastAsia" w:ascii="宋体" w:hAnsi="宋体"/>
                <w:color w:val="auto"/>
              </w:rPr>
              <w:t>7.22×10</w:t>
            </w:r>
            <w:r>
              <w:rPr>
                <w:rFonts w:hint="eastAsia" w:ascii="宋体" w:hAnsi="宋体"/>
                <w:color w:val="auto"/>
                <w:vertAlign w:val="superscript"/>
              </w:rPr>
              <w:t>-4</w:t>
            </w:r>
          </w:p>
        </w:tc>
        <w:tc>
          <w:tcPr>
            <w:tcW w:w="721" w:type="pct"/>
            <w:gridSpan w:val="2"/>
            <w:shd w:val="clear" w:color="auto" w:fill="auto"/>
            <w:vAlign w:val="center"/>
          </w:tcPr>
          <w:p w14:paraId="02D8E4F9">
            <w:pPr>
              <w:jc w:val="center"/>
              <w:rPr>
                <w:rFonts w:ascii="宋体" w:hAnsi="宋体"/>
                <w:color w:val="auto"/>
              </w:rPr>
            </w:pPr>
            <w:r>
              <w:rPr>
                <w:rFonts w:hint="eastAsia" w:ascii="宋体" w:hAnsi="宋体"/>
                <w:color w:val="auto"/>
              </w:rPr>
              <w:t>7.39×10</w:t>
            </w:r>
            <w:r>
              <w:rPr>
                <w:rFonts w:hint="eastAsia" w:ascii="宋体" w:hAnsi="宋体"/>
                <w:color w:val="auto"/>
                <w:vertAlign w:val="superscript"/>
              </w:rPr>
              <w:t>-4</w:t>
            </w:r>
          </w:p>
        </w:tc>
        <w:tc>
          <w:tcPr>
            <w:tcW w:w="656" w:type="pct"/>
            <w:shd w:val="clear" w:color="auto" w:fill="auto"/>
            <w:vAlign w:val="center"/>
          </w:tcPr>
          <w:p w14:paraId="430EB9B8">
            <w:pPr>
              <w:jc w:val="center"/>
              <w:rPr>
                <w:rFonts w:ascii="宋体" w:hAnsi="宋体"/>
                <w:color w:val="auto"/>
              </w:rPr>
            </w:pPr>
            <w:r>
              <w:rPr>
                <w:rFonts w:hint="eastAsia" w:ascii="宋体" w:hAnsi="宋体"/>
                <w:color w:val="auto"/>
              </w:rPr>
              <w:t>6.89×10</w:t>
            </w:r>
            <w:r>
              <w:rPr>
                <w:rFonts w:hint="eastAsia" w:ascii="宋体" w:hAnsi="宋体"/>
                <w:color w:val="auto"/>
                <w:vertAlign w:val="superscript"/>
              </w:rPr>
              <w:t>-4</w:t>
            </w:r>
          </w:p>
        </w:tc>
      </w:tr>
      <w:tr w14:paraId="071C6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restart"/>
            <w:shd w:val="clear" w:color="auto" w:fill="auto"/>
            <w:vAlign w:val="center"/>
          </w:tcPr>
          <w:p w14:paraId="45434719">
            <w:pPr>
              <w:widowControl/>
              <w:jc w:val="center"/>
              <w:rPr>
                <w:rFonts w:ascii="宋体" w:hAnsi="宋体"/>
                <w:color w:val="auto"/>
              </w:rPr>
            </w:pPr>
            <w:r>
              <w:rPr>
                <w:rFonts w:hint="eastAsia" w:ascii="宋体" w:hAnsi="宋体"/>
                <w:color w:val="auto"/>
              </w:rPr>
              <w:t>二氧化硫</w:t>
            </w:r>
          </w:p>
        </w:tc>
        <w:tc>
          <w:tcPr>
            <w:tcW w:w="654" w:type="pct"/>
            <w:shd w:val="clear" w:color="auto" w:fill="auto"/>
            <w:vAlign w:val="center"/>
          </w:tcPr>
          <w:p w14:paraId="2D9F1C6F">
            <w:pPr>
              <w:widowControl/>
              <w:adjustRightInd w:val="0"/>
              <w:snapToGrid w:val="0"/>
              <w:jc w:val="center"/>
              <w:rPr>
                <w:rFonts w:ascii="宋体" w:hAnsi="宋体"/>
                <w:color w:val="auto"/>
              </w:rPr>
            </w:pPr>
            <w:r>
              <w:rPr>
                <w:rFonts w:ascii="宋体" w:hAnsi="宋体"/>
                <w:color w:val="auto"/>
              </w:rPr>
              <w:t>实测排放浓度（mg/m</w:t>
            </w:r>
            <w:r>
              <w:rPr>
                <w:rFonts w:ascii="宋体" w:hAnsi="宋体"/>
                <w:color w:val="auto"/>
                <w:vertAlign w:val="superscript"/>
              </w:rPr>
              <w:t>3</w:t>
            </w:r>
            <w:r>
              <w:rPr>
                <w:rFonts w:ascii="宋体" w:hAnsi="宋体"/>
                <w:color w:val="auto"/>
              </w:rPr>
              <w:t>）</w:t>
            </w:r>
          </w:p>
        </w:tc>
        <w:tc>
          <w:tcPr>
            <w:tcW w:w="654" w:type="pct"/>
            <w:shd w:val="clear" w:color="auto" w:fill="auto"/>
            <w:vAlign w:val="center"/>
          </w:tcPr>
          <w:p w14:paraId="5B48DA6D">
            <w:pPr>
              <w:adjustRightInd w:val="0"/>
              <w:snapToGrid w:val="0"/>
              <w:jc w:val="center"/>
              <w:rPr>
                <w:rFonts w:ascii="宋体" w:hAnsi="宋体"/>
                <w:color w:val="auto"/>
              </w:rPr>
            </w:pPr>
            <w:r>
              <w:rPr>
                <w:rFonts w:hint="eastAsia" w:ascii="宋体" w:hAnsi="宋体"/>
                <w:color w:val="auto"/>
              </w:rPr>
              <w:t>N</w:t>
            </w:r>
            <w:r>
              <w:rPr>
                <w:rFonts w:ascii="宋体" w:hAnsi="宋体"/>
                <w:color w:val="auto"/>
              </w:rPr>
              <w:t>D</w:t>
            </w:r>
          </w:p>
        </w:tc>
        <w:tc>
          <w:tcPr>
            <w:tcW w:w="721" w:type="pct"/>
            <w:gridSpan w:val="2"/>
            <w:shd w:val="clear" w:color="auto" w:fill="auto"/>
            <w:vAlign w:val="center"/>
          </w:tcPr>
          <w:p w14:paraId="3E93279E">
            <w:pPr>
              <w:jc w:val="center"/>
              <w:rPr>
                <w:rFonts w:ascii="宋体" w:hAnsi="宋体"/>
                <w:color w:val="auto"/>
              </w:rPr>
            </w:pPr>
            <w:r>
              <w:rPr>
                <w:rFonts w:hint="eastAsia" w:ascii="宋体" w:hAnsi="宋体"/>
                <w:color w:val="auto"/>
              </w:rPr>
              <w:t>N</w:t>
            </w:r>
            <w:r>
              <w:rPr>
                <w:rFonts w:ascii="宋体" w:hAnsi="宋体"/>
                <w:color w:val="auto"/>
              </w:rPr>
              <w:t>D</w:t>
            </w:r>
          </w:p>
        </w:tc>
        <w:tc>
          <w:tcPr>
            <w:tcW w:w="721" w:type="pct"/>
            <w:gridSpan w:val="2"/>
            <w:shd w:val="clear" w:color="auto" w:fill="auto"/>
            <w:vAlign w:val="center"/>
          </w:tcPr>
          <w:p w14:paraId="0DD130C9">
            <w:pPr>
              <w:jc w:val="center"/>
              <w:rPr>
                <w:rFonts w:ascii="宋体" w:hAnsi="宋体"/>
                <w:color w:val="auto"/>
              </w:rPr>
            </w:pPr>
            <w:r>
              <w:rPr>
                <w:rFonts w:hint="eastAsia" w:ascii="宋体" w:hAnsi="宋体"/>
                <w:color w:val="auto"/>
              </w:rPr>
              <w:t>N</w:t>
            </w:r>
            <w:r>
              <w:rPr>
                <w:rFonts w:ascii="宋体" w:hAnsi="宋体"/>
                <w:color w:val="auto"/>
              </w:rPr>
              <w:t>D</w:t>
            </w:r>
          </w:p>
        </w:tc>
        <w:tc>
          <w:tcPr>
            <w:tcW w:w="721" w:type="pct"/>
            <w:gridSpan w:val="2"/>
            <w:shd w:val="clear" w:color="auto" w:fill="auto"/>
            <w:vAlign w:val="center"/>
          </w:tcPr>
          <w:p w14:paraId="33DB0AAF">
            <w:pPr>
              <w:jc w:val="center"/>
              <w:rPr>
                <w:rFonts w:ascii="宋体" w:hAnsi="宋体"/>
                <w:color w:val="auto"/>
              </w:rPr>
            </w:pPr>
            <w:r>
              <w:rPr>
                <w:rFonts w:hint="eastAsia" w:ascii="宋体" w:hAnsi="宋体"/>
                <w:color w:val="auto"/>
              </w:rPr>
              <w:t>N</w:t>
            </w:r>
            <w:r>
              <w:rPr>
                <w:rFonts w:ascii="宋体" w:hAnsi="宋体"/>
                <w:color w:val="auto"/>
              </w:rPr>
              <w:t>D</w:t>
            </w:r>
          </w:p>
        </w:tc>
        <w:tc>
          <w:tcPr>
            <w:tcW w:w="721" w:type="pct"/>
            <w:gridSpan w:val="2"/>
            <w:shd w:val="clear" w:color="auto" w:fill="auto"/>
            <w:vAlign w:val="center"/>
          </w:tcPr>
          <w:p w14:paraId="29EC41D6">
            <w:pPr>
              <w:jc w:val="center"/>
              <w:rPr>
                <w:rFonts w:ascii="宋体" w:hAnsi="宋体"/>
                <w:color w:val="auto"/>
              </w:rPr>
            </w:pPr>
            <w:r>
              <w:rPr>
                <w:rFonts w:hint="eastAsia" w:ascii="宋体" w:hAnsi="宋体"/>
                <w:color w:val="auto"/>
              </w:rPr>
              <w:t>N</w:t>
            </w:r>
            <w:r>
              <w:rPr>
                <w:rFonts w:ascii="宋体" w:hAnsi="宋体"/>
                <w:color w:val="auto"/>
              </w:rPr>
              <w:t>D</w:t>
            </w:r>
          </w:p>
        </w:tc>
        <w:tc>
          <w:tcPr>
            <w:tcW w:w="656" w:type="pct"/>
            <w:shd w:val="clear" w:color="auto" w:fill="auto"/>
            <w:vAlign w:val="center"/>
          </w:tcPr>
          <w:p w14:paraId="44C92B14">
            <w:pPr>
              <w:jc w:val="center"/>
              <w:rPr>
                <w:rFonts w:ascii="宋体" w:hAnsi="宋体"/>
                <w:color w:val="auto"/>
              </w:rPr>
            </w:pPr>
            <w:r>
              <w:rPr>
                <w:rFonts w:hint="eastAsia" w:ascii="宋体" w:hAnsi="宋体"/>
                <w:color w:val="auto"/>
              </w:rPr>
              <w:t>N</w:t>
            </w:r>
            <w:r>
              <w:rPr>
                <w:rFonts w:ascii="宋体" w:hAnsi="宋体"/>
                <w:color w:val="auto"/>
              </w:rPr>
              <w:t>D</w:t>
            </w:r>
          </w:p>
        </w:tc>
      </w:tr>
      <w:tr w14:paraId="04D1B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shd w:val="clear" w:color="auto" w:fill="auto"/>
            <w:vAlign w:val="center"/>
          </w:tcPr>
          <w:p w14:paraId="108E9452">
            <w:pPr>
              <w:widowControl/>
              <w:jc w:val="center"/>
              <w:rPr>
                <w:rFonts w:ascii="宋体" w:hAnsi="宋体"/>
                <w:color w:val="auto"/>
              </w:rPr>
            </w:pPr>
          </w:p>
        </w:tc>
        <w:tc>
          <w:tcPr>
            <w:tcW w:w="654" w:type="pct"/>
            <w:shd w:val="clear" w:color="auto" w:fill="auto"/>
            <w:vAlign w:val="center"/>
          </w:tcPr>
          <w:p w14:paraId="568BA3B8">
            <w:pPr>
              <w:widowControl/>
              <w:adjustRightInd w:val="0"/>
              <w:snapToGrid w:val="0"/>
              <w:jc w:val="center"/>
              <w:rPr>
                <w:rFonts w:ascii="宋体" w:hAnsi="宋体"/>
                <w:color w:val="auto"/>
              </w:rPr>
            </w:pPr>
            <w:r>
              <w:rPr>
                <w:rFonts w:ascii="宋体" w:hAnsi="宋体"/>
                <w:color w:val="auto"/>
              </w:rPr>
              <w:t>折算排放浓度（mg/m</w:t>
            </w:r>
            <w:r>
              <w:rPr>
                <w:rFonts w:ascii="宋体" w:hAnsi="宋体"/>
                <w:color w:val="auto"/>
                <w:vertAlign w:val="superscript"/>
              </w:rPr>
              <w:t>3</w:t>
            </w:r>
            <w:r>
              <w:rPr>
                <w:rFonts w:ascii="宋体" w:hAnsi="宋体"/>
                <w:color w:val="auto"/>
              </w:rPr>
              <w:t>）</w:t>
            </w:r>
          </w:p>
        </w:tc>
        <w:tc>
          <w:tcPr>
            <w:tcW w:w="654" w:type="pct"/>
            <w:shd w:val="clear" w:color="auto" w:fill="auto"/>
            <w:vAlign w:val="center"/>
          </w:tcPr>
          <w:p w14:paraId="39F5E66D">
            <w:pPr>
              <w:adjustRightInd w:val="0"/>
              <w:snapToGrid w:val="0"/>
              <w:jc w:val="center"/>
              <w:rPr>
                <w:rFonts w:ascii="宋体" w:hAnsi="宋体"/>
                <w:color w:val="auto"/>
              </w:rPr>
            </w:pPr>
            <w:r>
              <w:rPr>
                <w:rFonts w:hint="eastAsia" w:ascii="宋体" w:hAnsi="宋体"/>
                <w:color w:val="auto"/>
              </w:rPr>
              <w:t>ND</w:t>
            </w:r>
          </w:p>
        </w:tc>
        <w:tc>
          <w:tcPr>
            <w:tcW w:w="721" w:type="pct"/>
            <w:gridSpan w:val="2"/>
            <w:shd w:val="clear" w:color="auto" w:fill="auto"/>
            <w:vAlign w:val="center"/>
          </w:tcPr>
          <w:p w14:paraId="761B60AF">
            <w:pPr>
              <w:jc w:val="center"/>
              <w:rPr>
                <w:rFonts w:ascii="宋体" w:hAnsi="宋体"/>
                <w:color w:val="auto"/>
              </w:rPr>
            </w:pPr>
            <w:r>
              <w:rPr>
                <w:rFonts w:hint="eastAsia" w:ascii="宋体" w:hAnsi="宋体"/>
                <w:color w:val="auto"/>
              </w:rPr>
              <w:t>N</w:t>
            </w:r>
            <w:r>
              <w:rPr>
                <w:rFonts w:ascii="宋体" w:hAnsi="宋体"/>
                <w:color w:val="auto"/>
              </w:rPr>
              <w:t>D</w:t>
            </w:r>
          </w:p>
        </w:tc>
        <w:tc>
          <w:tcPr>
            <w:tcW w:w="721" w:type="pct"/>
            <w:gridSpan w:val="2"/>
            <w:shd w:val="clear" w:color="auto" w:fill="auto"/>
            <w:vAlign w:val="center"/>
          </w:tcPr>
          <w:p w14:paraId="6BD122F5">
            <w:pPr>
              <w:jc w:val="center"/>
              <w:rPr>
                <w:rFonts w:ascii="宋体" w:hAnsi="宋体"/>
                <w:color w:val="auto"/>
              </w:rPr>
            </w:pPr>
            <w:r>
              <w:rPr>
                <w:rFonts w:hint="eastAsia" w:ascii="宋体" w:hAnsi="宋体"/>
                <w:color w:val="auto"/>
              </w:rPr>
              <w:t>N</w:t>
            </w:r>
            <w:r>
              <w:rPr>
                <w:rFonts w:ascii="宋体" w:hAnsi="宋体"/>
                <w:color w:val="auto"/>
              </w:rPr>
              <w:t>D</w:t>
            </w:r>
          </w:p>
        </w:tc>
        <w:tc>
          <w:tcPr>
            <w:tcW w:w="721" w:type="pct"/>
            <w:gridSpan w:val="2"/>
            <w:shd w:val="clear" w:color="auto" w:fill="auto"/>
            <w:vAlign w:val="center"/>
          </w:tcPr>
          <w:p w14:paraId="70DEE9F1">
            <w:pPr>
              <w:jc w:val="center"/>
              <w:rPr>
                <w:rFonts w:ascii="宋体" w:hAnsi="宋体"/>
                <w:color w:val="auto"/>
              </w:rPr>
            </w:pPr>
            <w:r>
              <w:rPr>
                <w:rFonts w:hint="eastAsia" w:ascii="宋体" w:hAnsi="宋体"/>
                <w:color w:val="auto"/>
              </w:rPr>
              <w:t>N</w:t>
            </w:r>
            <w:r>
              <w:rPr>
                <w:rFonts w:ascii="宋体" w:hAnsi="宋体"/>
                <w:color w:val="auto"/>
              </w:rPr>
              <w:t>D</w:t>
            </w:r>
          </w:p>
        </w:tc>
        <w:tc>
          <w:tcPr>
            <w:tcW w:w="721" w:type="pct"/>
            <w:gridSpan w:val="2"/>
            <w:shd w:val="clear" w:color="auto" w:fill="auto"/>
            <w:vAlign w:val="center"/>
          </w:tcPr>
          <w:p w14:paraId="335EB68A">
            <w:pPr>
              <w:jc w:val="center"/>
              <w:rPr>
                <w:rFonts w:ascii="宋体" w:hAnsi="宋体"/>
                <w:color w:val="auto"/>
              </w:rPr>
            </w:pPr>
            <w:r>
              <w:rPr>
                <w:rFonts w:hint="eastAsia" w:ascii="宋体" w:hAnsi="宋体"/>
                <w:color w:val="auto"/>
              </w:rPr>
              <w:t>N</w:t>
            </w:r>
            <w:r>
              <w:rPr>
                <w:rFonts w:ascii="宋体" w:hAnsi="宋体"/>
                <w:color w:val="auto"/>
              </w:rPr>
              <w:t>D</w:t>
            </w:r>
          </w:p>
        </w:tc>
        <w:tc>
          <w:tcPr>
            <w:tcW w:w="656" w:type="pct"/>
            <w:shd w:val="clear" w:color="auto" w:fill="auto"/>
            <w:vAlign w:val="center"/>
          </w:tcPr>
          <w:p w14:paraId="09E899A9">
            <w:pPr>
              <w:jc w:val="center"/>
              <w:rPr>
                <w:rFonts w:ascii="宋体" w:hAnsi="宋体"/>
                <w:color w:val="auto"/>
              </w:rPr>
            </w:pPr>
            <w:r>
              <w:rPr>
                <w:rFonts w:hint="eastAsia" w:ascii="宋体" w:hAnsi="宋体"/>
                <w:color w:val="auto"/>
              </w:rPr>
              <w:t>N</w:t>
            </w:r>
            <w:r>
              <w:rPr>
                <w:rFonts w:ascii="宋体" w:hAnsi="宋体"/>
                <w:color w:val="auto"/>
              </w:rPr>
              <w:t>D</w:t>
            </w:r>
          </w:p>
        </w:tc>
      </w:tr>
      <w:tr w14:paraId="00279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shd w:val="clear" w:color="auto" w:fill="auto"/>
            <w:vAlign w:val="center"/>
          </w:tcPr>
          <w:p w14:paraId="7426BDBF">
            <w:pPr>
              <w:widowControl/>
              <w:jc w:val="center"/>
              <w:rPr>
                <w:rFonts w:ascii="宋体" w:hAnsi="宋体"/>
                <w:color w:val="auto"/>
              </w:rPr>
            </w:pPr>
          </w:p>
        </w:tc>
        <w:tc>
          <w:tcPr>
            <w:tcW w:w="654" w:type="pct"/>
            <w:shd w:val="clear" w:color="auto" w:fill="auto"/>
            <w:vAlign w:val="center"/>
          </w:tcPr>
          <w:p w14:paraId="70901E87">
            <w:pPr>
              <w:widowControl/>
              <w:adjustRightInd w:val="0"/>
              <w:snapToGrid w:val="0"/>
              <w:jc w:val="center"/>
              <w:rPr>
                <w:rFonts w:ascii="宋体" w:hAnsi="宋体"/>
                <w:color w:val="auto"/>
              </w:rPr>
            </w:pPr>
            <w:r>
              <w:rPr>
                <w:rFonts w:hint="eastAsia" w:ascii="宋体" w:hAnsi="宋体"/>
                <w:color w:val="auto"/>
              </w:rPr>
              <w:t>排放速率</w:t>
            </w:r>
            <w:r>
              <w:rPr>
                <w:rFonts w:ascii="宋体" w:hAnsi="宋体"/>
                <w:color w:val="auto"/>
              </w:rPr>
              <w:t>（</w:t>
            </w:r>
            <w:r>
              <w:rPr>
                <w:rFonts w:hint="eastAsia" w:ascii="宋体" w:hAnsi="宋体"/>
                <w:color w:val="auto"/>
              </w:rPr>
              <w:t>kg</w:t>
            </w:r>
            <w:r>
              <w:rPr>
                <w:rFonts w:ascii="宋体" w:hAnsi="宋体"/>
                <w:color w:val="auto"/>
              </w:rPr>
              <w:t>/h）</w:t>
            </w:r>
          </w:p>
        </w:tc>
        <w:tc>
          <w:tcPr>
            <w:tcW w:w="654" w:type="pct"/>
            <w:shd w:val="clear" w:color="auto" w:fill="auto"/>
            <w:vAlign w:val="center"/>
          </w:tcPr>
          <w:p w14:paraId="77192B27">
            <w:pPr>
              <w:jc w:val="center"/>
              <w:rPr>
                <w:rFonts w:ascii="宋体" w:hAnsi="宋体"/>
                <w:color w:val="auto"/>
              </w:rPr>
            </w:pPr>
            <w:r>
              <w:rPr>
                <w:rFonts w:ascii="宋体" w:hAnsi="宋体"/>
                <w:color w:val="auto"/>
              </w:rPr>
              <w:t>8.94×10</w:t>
            </w:r>
            <w:r>
              <w:rPr>
                <w:rFonts w:ascii="宋体" w:hAnsi="宋体"/>
                <w:color w:val="auto"/>
                <w:vertAlign w:val="superscript"/>
              </w:rPr>
              <w:t>-4</w:t>
            </w:r>
          </w:p>
        </w:tc>
        <w:tc>
          <w:tcPr>
            <w:tcW w:w="721" w:type="pct"/>
            <w:gridSpan w:val="2"/>
            <w:shd w:val="clear" w:color="auto" w:fill="auto"/>
            <w:vAlign w:val="center"/>
          </w:tcPr>
          <w:p w14:paraId="22DEECAD">
            <w:pPr>
              <w:jc w:val="center"/>
              <w:rPr>
                <w:rFonts w:ascii="宋体" w:hAnsi="宋体"/>
                <w:color w:val="auto"/>
              </w:rPr>
            </w:pPr>
            <w:r>
              <w:rPr>
                <w:rFonts w:ascii="宋体" w:hAnsi="宋体"/>
                <w:color w:val="auto"/>
              </w:rPr>
              <w:t>7.84×10</w:t>
            </w:r>
            <w:r>
              <w:rPr>
                <w:rFonts w:ascii="宋体" w:hAnsi="宋体"/>
                <w:color w:val="auto"/>
                <w:vertAlign w:val="superscript"/>
              </w:rPr>
              <w:t>-4</w:t>
            </w:r>
          </w:p>
        </w:tc>
        <w:tc>
          <w:tcPr>
            <w:tcW w:w="721" w:type="pct"/>
            <w:gridSpan w:val="2"/>
            <w:shd w:val="clear" w:color="auto" w:fill="auto"/>
            <w:vAlign w:val="center"/>
          </w:tcPr>
          <w:p w14:paraId="13AB00E6">
            <w:pPr>
              <w:jc w:val="center"/>
              <w:rPr>
                <w:rFonts w:ascii="宋体" w:hAnsi="宋体"/>
                <w:color w:val="auto"/>
              </w:rPr>
            </w:pPr>
            <w:r>
              <w:rPr>
                <w:rFonts w:ascii="宋体" w:hAnsi="宋体"/>
                <w:color w:val="auto"/>
              </w:rPr>
              <w:t>8.10×10</w:t>
            </w:r>
            <w:r>
              <w:rPr>
                <w:rFonts w:ascii="宋体" w:hAnsi="宋体"/>
                <w:color w:val="auto"/>
                <w:vertAlign w:val="superscript"/>
              </w:rPr>
              <w:t>-4</w:t>
            </w:r>
          </w:p>
        </w:tc>
        <w:tc>
          <w:tcPr>
            <w:tcW w:w="721" w:type="pct"/>
            <w:gridSpan w:val="2"/>
            <w:shd w:val="clear" w:color="auto" w:fill="auto"/>
            <w:vAlign w:val="center"/>
          </w:tcPr>
          <w:p w14:paraId="3461DAF6">
            <w:pPr>
              <w:jc w:val="center"/>
              <w:rPr>
                <w:rFonts w:ascii="宋体" w:hAnsi="宋体"/>
                <w:color w:val="auto"/>
              </w:rPr>
            </w:pPr>
            <w:r>
              <w:rPr>
                <w:rFonts w:ascii="宋体" w:hAnsi="宋体"/>
                <w:color w:val="auto"/>
              </w:rPr>
              <w:t>7.74×10</w:t>
            </w:r>
            <w:r>
              <w:rPr>
                <w:rFonts w:ascii="宋体" w:hAnsi="宋体"/>
                <w:color w:val="auto"/>
                <w:vertAlign w:val="superscript"/>
              </w:rPr>
              <w:t>-4</w:t>
            </w:r>
          </w:p>
        </w:tc>
        <w:tc>
          <w:tcPr>
            <w:tcW w:w="721" w:type="pct"/>
            <w:gridSpan w:val="2"/>
            <w:shd w:val="clear" w:color="auto" w:fill="auto"/>
            <w:vAlign w:val="center"/>
          </w:tcPr>
          <w:p w14:paraId="7979E102">
            <w:pPr>
              <w:jc w:val="center"/>
              <w:rPr>
                <w:rFonts w:ascii="宋体" w:hAnsi="宋体"/>
                <w:color w:val="auto"/>
              </w:rPr>
            </w:pPr>
            <w:r>
              <w:rPr>
                <w:rFonts w:ascii="宋体" w:hAnsi="宋体"/>
                <w:color w:val="auto"/>
              </w:rPr>
              <w:t>7.92×10</w:t>
            </w:r>
            <w:r>
              <w:rPr>
                <w:rFonts w:ascii="宋体" w:hAnsi="宋体"/>
                <w:color w:val="auto"/>
                <w:vertAlign w:val="superscript"/>
              </w:rPr>
              <w:t>-4</w:t>
            </w:r>
          </w:p>
        </w:tc>
        <w:tc>
          <w:tcPr>
            <w:tcW w:w="656" w:type="pct"/>
            <w:shd w:val="clear" w:color="auto" w:fill="auto"/>
            <w:vAlign w:val="center"/>
          </w:tcPr>
          <w:p w14:paraId="06E6A71E">
            <w:pPr>
              <w:jc w:val="center"/>
              <w:rPr>
                <w:rFonts w:ascii="宋体" w:hAnsi="宋体"/>
                <w:color w:val="auto"/>
              </w:rPr>
            </w:pPr>
            <w:r>
              <w:rPr>
                <w:rFonts w:ascii="宋体" w:hAnsi="宋体"/>
                <w:color w:val="auto"/>
              </w:rPr>
              <w:t>7.95×10</w:t>
            </w:r>
            <w:r>
              <w:rPr>
                <w:rFonts w:ascii="宋体" w:hAnsi="宋体"/>
                <w:color w:val="auto"/>
                <w:vertAlign w:val="superscript"/>
              </w:rPr>
              <w:t>-4</w:t>
            </w:r>
          </w:p>
        </w:tc>
      </w:tr>
      <w:tr w14:paraId="1CAC9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restart"/>
            <w:shd w:val="clear" w:color="auto" w:fill="auto"/>
            <w:vAlign w:val="center"/>
          </w:tcPr>
          <w:p w14:paraId="643F1242">
            <w:pPr>
              <w:widowControl/>
              <w:jc w:val="center"/>
              <w:rPr>
                <w:rFonts w:ascii="宋体" w:hAnsi="宋体"/>
                <w:color w:val="auto"/>
              </w:rPr>
            </w:pPr>
            <w:r>
              <w:rPr>
                <w:rFonts w:hint="eastAsia" w:ascii="宋体" w:hAnsi="宋体"/>
                <w:color w:val="auto"/>
              </w:rPr>
              <w:t>氮氧化物</w:t>
            </w:r>
          </w:p>
        </w:tc>
        <w:tc>
          <w:tcPr>
            <w:tcW w:w="654" w:type="pct"/>
            <w:shd w:val="clear" w:color="auto" w:fill="auto"/>
            <w:vAlign w:val="center"/>
          </w:tcPr>
          <w:p w14:paraId="0203CDD7">
            <w:pPr>
              <w:widowControl/>
              <w:adjustRightInd w:val="0"/>
              <w:snapToGrid w:val="0"/>
              <w:jc w:val="center"/>
              <w:rPr>
                <w:rFonts w:ascii="宋体" w:hAnsi="宋体"/>
                <w:color w:val="auto"/>
              </w:rPr>
            </w:pPr>
            <w:r>
              <w:rPr>
                <w:rFonts w:ascii="宋体" w:hAnsi="宋体"/>
                <w:color w:val="auto"/>
              </w:rPr>
              <w:t>实测排放浓度（mg/m</w:t>
            </w:r>
            <w:r>
              <w:rPr>
                <w:rFonts w:ascii="宋体" w:hAnsi="宋体"/>
                <w:color w:val="auto"/>
                <w:vertAlign w:val="superscript"/>
              </w:rPr>
              <w:t>3</w:t>
            </w:r>
            <w:r>
              <w:rPr>
                <w:rFonts w:ascii="宋体" w:hAnsi="宋体"/>
                <w:color w:val="auto"/>
              </w:rPr>
              <w:t>）</w:t>
            </w:r>
          </w:p>
        </w:tc>
        <w:tc>
          <w:tcPr>
            <w:tcW w:w="654" w:type="pct"/>
            <w:shd w:val="clear" w:color="auto" w:fill="auto"/>
            <w:vAlign w:val="center"/>
          </w:tcPr>
          <w:p w14:paraId="454355ED">
            <w:pPr>
              <w:jc w:val="center"/>
              <w:rPr>
                <w:rFonts w:ascii="宋体" w:hAnsi="宋体"/>
                <w:color w:val="auto"/>
              </w:rPr>
            </w:pPr>
            <w:r>
              <w:rPr>
                <w:rFonts w:ascii="宋体" w:hAnsi="宋体"/>
                <w:color w:val="auto"/>
              </w:rPr>
              <w:t>22</w:t>
            </w:r>
          </w:p>
        </w:tc>
        <w:tc>
          <w:tcPr>
            <w:tcW w:w="721" w:type="pct"/>
            <w:gridSpan w:val="2"/>
            <w:shd w:val="clear" w:color="auto" w:fill="auto"/>
            <w:vAlign w:val="center"/>
          </w:tcPr>
          <w:p w14:paraId="09B6FFCF">
            <w:pPr>
              <w:jc w:val="center"/>
              <w:rPr>
                <w:rFonts w:ascii="宋体" w:hAnsi="宋体"/>
                <w:color w:val="auto"/>
              </w:rPr>
            </w:pPr>
            <w:r>
              <w:rPr>
                <w:rFonts w:ascii="宋体" w:hAnsi="宋体"/>
                <w:color w:val="auto"/>
              </w:rPr>
              <w:t>22</w:t>
            </w:r>
          </w:p>
        </w:tc>
        <w:tc>
          <w:tcPr>
            <w:tcW w:w="721" w:type="pct"/>
            <w:gridSpan w:val="2"/>
            <w:shd w:val="clear" w:color="auto" w:fill="auto"/>
            <w:vAlign w:val="center"/>
          </w:tcPr>
          <w:p w14:paraId="413BE757">
            <w:pPr>
              <w:jc w:val="center"/>
              <w:rPr>
                <w:rFonts w:ascii="宋体" w:hAnsi="宋体"/>
                <w:color w:val="auto"/>
              </w:rPr>
            </w:pPr>
            <w:r>
              <w:rPr>
                <w:rFonts w:ascii="宋体" w:hAnsi="宋体"/>
                <w:color w:val="auto"/>
              </w:rPr>
              <w:t>22</w:t>
            </w:r>
          </w:p>
        </w:tc>
        <w:tc>
          <w:tcPr>
            <w:tcW w:w="721" w:type="pct"/>
            <w:gridSpan w:val="2"/>
            <w:shd w:val="clear" w:color="auto" w:fill="auto"/>
            <w:vAlign w:val="center"/>
          </w:tcPr>
          <w:p w14:paraId="4DAE633A">
            <w:pPr>
              <w:jc w:val="center"/>
              <w:rPr>
                <w:rFonts w:ascii="宋体" w:hAnsi="宋体"/>
                <w:color w:val="auto"/>
              </w:rPr>
            </w:pPr>
            <w:r>
              <w:rPr>
                <w:rFonts w:ascii="宋体" w:hAnsi="宋体"/>
                <w:color w:val="auto"/>
              </w:rPr>
              <w:t>21</w:t>
            </w:r>
          </w:p>
        </w:tc>
        <w:tc>
          <w:tcPr>
            <w:tcW w:w="721" w:type="pct"/>
            <w:gridSpan w:val="2"/>
            <w:shd w:val="clear" w:color="auto" w:fill="auto"/>
            <w:vAlign w:val="center"/>
          </w:tcPr>
          <w:p w14:paraId="4385C89B">
            <w:pPr>
              <w:jc w:val="center"/>
              <w:rPr>
                <w:rFonts w:ascii="宋体" w:hAnsi="宋体"/>
                <w:color w:val="auto"/>
              </w:rPr>
            </w:pPr>
            <w:r>
              <w:rPr>
                <w:rFonts w:ascii="宋体" w:hAnsi="宋体"/>
                <w:color w:val="auto"/>
              </w:rPr>
              <w:t>20</w:t>
            </w:r>
          </w:p>
        </w:tc>
        <w:tc>
          <w:tcPr>
            <w:tcW w:w="656" w:type="pct"/>
            <w:shd w:val="clear" w:color="auto" w:fill="auto"/>
            <w:vAlign w:val="center"/>
          </w:tcPr>
          <w:p w14:paraId="032F5754">
            <w:pPr>
              <w:jc w:val="center"/>
              <w:rPr>
                <w:rFonts w:ascii="宋体" w:hAnsi="宋体"/>
                <w:color w:val="auto"/>
              </w:rPr>
            </w:pPr>
            <w:r>
              <w:rPr>
                <w:rFonts w:ascii="宋体" w:hAnsi="宋体"/>
                <w:color w:val="auto"/>
              </w:rPr>
              <w:t>20</w:t>
            </w:r>
          </w:p>
        </w:tc>
      </w:tr>
      <w:tr w14:paraId="6A2FF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shd w:val="clear" w:color="auto" w:fill="auto"/>
            <w:vAlign w:val="center"/>
          </w:tcPr>
          <w:p w14:paraId="1CBE2AF3">
            <w:pPr>
              <w:widowControl/>
              <w:jc w:val="center"/>
              <w:rPr>
                <w:rFonts w:ascii="宋体" w:hAnsi="宋体"/>
                <w:color w:val="auto"/>
              </w:rPr>
            </w:pPr>
          </w:p>
        </w:tc>
        <w:tc>
          <w:tcPr>
            <w:tcW w:w="654" w:type="pct"/>
            <w:shd w:val="clear" w:color="auto" w:fill="auto"/>
            <w:vAlign w:val="center"/>
          </w:tcPr>
          <w:p w14:paraId="36945B47">
            <w:pPr>
              <w:widowControl/>
              <w:adjustRightInd w:val="0"/>
              <w:snapToGrid w:val="0"/>
              <w:jc w:val="center"/>
              <w:rPr>
                <w:rFonts w:ascii="宋体" w:hAnsi="宋体"/>
                <w:color w:val="auto"/>
              </w:rPr>
            </w:pPr>
            <w:r>
              <w:rPr>
                <w:rFonts w:ascii="宋体" w:hAnsi="宋体"/>
                <w:color w:val="auto"/>
              </w:rPr>
              <w:t>折算排放浓度（mg/m</w:t>
            </w:r>
            <w:r>
              <w:rPr>
                <w:rFonts w:ascii="宋体" w:hAnsi="宋体"/>
                <w:color w:val="auto"/>
                <w:vertAlign w:val="superscript"/>
              </w:rPr>
              <w:t>3</w:t>
            </w:r>
            <w:r>
              <w:rPr>
                <w:rFonts w:ascii="宋体" w:hAnsi="宋体"/>
                <w:color w:val="auto"/>
              </w:rPr>
              <w:t>）</w:t>
            </w:r>
          </w:p>
        </w:tc>
        <w:tc>
          <w:tcPr>
            <w:tcW w:w="654" w:type="pct"/>
            <w:shd w:val="clear" w:color="auto" w:fill="auto"/>
            <w:vAlign w:val="center"/>
          </w:tcPr>
          <w:p w14:paraId="35954890">
            <w:pPr>
              <w:jc w:val="center"/>
              <w:rPr>
                <w:rFonts w:ascii="宋体" w:hAnsi="宋体"/>
                <w:color w:val="auto"/>
              </w:rPr>
            </w:pPr>
            <w:r>
              <w:rPr>
                <w:rFonts w:ascii="宋体" w:hAnsi="宋体"/>
                <w:color w:val="auto"/>
              </w:rPr>
              <w:t>35</w:t>
            </w:r>
          </w:p>
        </w:tc>
        <w:tc>
          <w:tcPr>
            <w:tcW w:w="721" w:type="pct"/>
            <w:gridSpan w:val="2"/>
            <w:shd w:val="clear" w:color="auto" w:fill="auto"/>
            <w:vAlign w:val="center"/>
          </w:tcPr>
          <w:p w14:paraId="493782F4">
            <w:pPr>
              <w:jc w:val="center"/>
              <w:rPr>
                <w:rFonts w:ascii="宋体" w:hAnsi="宋体"/>
                <w:color w:val="auto"/>
              </w:rPr>
            </w:pPr>
            <w:r>
              <w:rPr>
                <w:rFonts w:ascii="宋体" w:hAnsi="宋体"/>
                <w:color w:val="auto"/>
              </w:rPr>
              <w:t>36</w:t>
            </w:r>
          </w:p>
        </w:tc>
        <w:tc>
          <w:tcPr>
            <w:tcW w:w="721" w:type="pct"/>
            <w:gridSpan w:val="2"/>
            <w:shd w:val="clear" w:color="auto" w:fill="auto"/>
            <w:vAlign w:val="center"/>
          </w:tcPr>
          <w:p w14:paraId="29921448">
            <w:pPr>
              <w:jc w:val="center"/>
              <w:rPr>
                <w:rFonts w:ascii="宋体" w:hAnsi="宋体"/>
                <w:color w:val="auto"/>
              </w:rPr>
            </w:pPr>
            <w:r>
              <w:rPr>
                <w:rFonts w:ascii="宋体" w:hAnsi="宋体"/>
                <w:color w:val="auto"/>
              </w:rPr>
              <w:t>36</w:t>
            </w:r>
          </w:p>
        </w:tc>
        <w:tc>
          <w:tcPr>
            <w:tcW w:w="721" w:type="pct"/>
            <w:gridSpan w:val="2"/>
            <w:shd w:val="clear" w:color="auto" w:fill="auto"/>
            <w:vAlign w:val="center"/>
          </w:tcPr>
          <w:p w14:paraId="712D24A4">
            <w:pPr>
              <w:jc w:val="center"/>
              <w:rPr>
                <w:rFonts w:ascii="宋体" w:hAnsi="宋体"/>
                <w:color w:val="auto"/>
              </w:rPr>
            </w:pPr>
            <w:r>
              <w:rPr>
                <w:rFonts w:ascii="宋体" w:hAnsi="宋体"/>
                <w:color w:val="auto"/>
              </w:rPr>
              <w:t>33</w:t>
            </w:r>
          </w:p>
        </w:tc>
        <w:tc>
          <w:tcPr>
            <w:tcW w:w="721" w:type="pct"/>
            <w:gridSpan w:val="2"/>
            <w:shd w:val="clear" w:color="auto" w:fill="auto"/>
            <w:vAlign w:val="center"/>
          </w:tcPr>
          <w:p w14:paraId="5722DA9B">
            <w:pPr>
              <w:jc w:val="center"/>
              <w:rPr>
                <w:rFonts w:ascii="宋体" w:hAnsi="宋体"/>
                <w:color w:val="auto"/>
              </w:rPr>
            </w:pPr>
            <w:r>
              <w:rPr>
                <w:rFonts w:ascii="宋体" w:hAnsi="宋体"/>
                <w:color w:val="auto"/>
              </w:rPr>
              <w:t>33</w:t>
            </w:r>
          </w:p>
        </w:tc>
        <w:tc>
          <w:tcPr>
            <w:tcW w:w="656" w:type="pct"/>
            <w:shd w:val="clear" w:color="auto" w:fill="auto"/>
            <w:vAlign w:val="center"/>
          </w:tcPr>
          <w:p w14:paraId="5DF33F6C">
            <w:pPr>
              <w:jc w:val="center"/>
              <w:rPr>
                <w:rFonts w:ascii="宋体" w:hAnsi="宋体"/>
                <w:color w:val="auto"/>
              </w:rPr>
            </w:pPr>
            <w:r>
              <w:rPr>
                <w:rFonts w:ascii="宋体" w:hAnsi="宋体"/>
                <w:color w:val="auto"/>
              </w:rPr>
              <w:t>33</w:t>
            </w:r>
          </w:p>
        </w:tc>
      </w:tr>
      <w:tr w14:paraId="50CD5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shd w:val="clear" w:color="auto" w:fill="auto"/>
            <w:vAlign w:val="center"/>
          </w:tcPr>
          <w:p w14:paraId="7D3B2566">
            <w:pPr>
              <w:widowControl/>
              <w:jc w:val="center"/>
              <w:rPr>
                <w:rFonts w:ascii="宋体" w:hAnsi="宋体"/>
                <w:color w:val="auto"/>
              </w:rPr>
            </w:pPr>
          </w:p>
        </w:tc>
        <w:tc>
          <w:tcPr>
            <w:tcW w:w="654" w:type="pct"/>
            <w:shd w:val="clear" w:color="auto" w:fill="auto"/>
            <w:vAlign w:val="center"/>
          </w:tcPr>
          <w:p w14:paraId="12881BA1">
            <w:pPr>
              <w:widowControl/>
              <w:adjustRightInd w:val="0"/>
              <w:snapToGrid w:val="0"/>
              <w:jc w:val="center"/>
              <w:rPr>
                <w:rFonts w:ascii="宋体" w:hAnsi="宋体"/>
                <w:color w:val="auto"/>
              </w:rPr>
            </w:pPr>
            <w:r>
              <w:rPr>
                <w:rFonts w:hint="eastAsia" w:ascii="宋体" w:hAnsi="宋体"/>
                <w:color w:val="auto"/>
              </w:rPr>
              <w:t>排放速率</w:t>
            </w:r>
            <w:r>
              <w:rPr>
                <w:rFonts w:ascii="宋体" w:hAnsi="宋体"/>
                <w:color w:val="auto"/>
              </w:rPr>
              <w:t>（</w:t>
            </w:r>
            <w:r>
              <w:rPr>
                <w:rFonts w:hint="eastAsia" w:ascii="宋体" w:hAnsi="宋体"/>
                <w:color w:val="auto"/>
              </w:rPr>
              <w:t>kg</w:t>
            </w:r>
            <w:r>
              <w:rPr>
                <w:rFonts w:ascii="宋体" w:hAnsi="宋体"/>
                <w:color w:val="auto"/>
              </w:rPr>
              <w:t>/h）</w:t>
            </w:r>
          </w:p>
        </w:tc>
        <w:tc>
          <w:tcPr>
            <w:tcW w:w="654" w:type="pct"/>
            <w:shd w:val="clear" w:color="auto" w:fill="auto"/>
            <w:vAlign w:val="center"/>
          </w:tcPr>
          <w:p w14:paraId="1653B9E4">
            <w:pPr>
              <w:jc w:val="center"/>
              <w:rPr>
                <w:rFonts w:ascii="宋体" w:hAnsi="宋体"/>
                <w:color w:val="auto"/>
              </w:rPr>
            </w:pPr>
            <w:r>
              <w:rPr>
                <w:rFonts w:hint="eastAsia" w:ascii="宋体" w:hAnsi="宋体"/>
                <w:color w:val="auto"/>
              </w:rPr>
              <w:t>0</w:t>
            </w:r>
            <w:r>
              <w:rPr>
                <w:rFonts w:ascii="宋体" w:hAnsi="宋体"/>
                <w:color w:val="auto"/>
              </w:rPr>
              <w:t>.0131</w:t>
            </w:r>
          </w:p>
        </w:tc>
        <w:tc>
          <w:tcPr>
            <w:tcW w:w="721" w:type="pct"/>
            <w:gridSpan w:val="2"/>
            <w:shd w:val="clear" w:color="auto" w:fill="auto"/>
            <w:vAlign w:val="center"/>
          </w:tcPr>
          <w:p w14:paraId="5F0F8529">
            <w:pPr>
              <w:jc w:val="center"/>
              <w:rPr>
                <w:rFonts w:ascii="宋体" w:hAnsi="宋体"/>
                <w:color w:val="auto"/>
              </w:rPr>
            </w:pPr>
            <w:r>
              <w:rPr>
                <w:rFonts w:hint="eastAsia" w:ascii="宋体" w:hAnsi="宋体"/>
                <w:color w:val="auto"/>
              </w:rPr>
              <w:t>0</w:t>
            </w:r>
            <w:r>
              <w:rPr>
                <w:rFonts w:ascii="宋体" w:hAnsi="宋体"/>
                <w:color w:val="auto"/>
              </w:rPr>
              <w:t>.0115</w:t>
            </w:r>
          </w:p>
        </w:tc>
        <w:tc>
          <w:tcPr>
            <w:tcW w:w="721" w:type="pct"/>
            <w:gridSpan w:val="2"/>
            <w:shd w:val="clear" w:color="auto" w:fill="auto"/>
            <w:vAlign w:val="center"/>
          </w:tcPr>
          <w:p w14:paraId="267EAEE9">
            <w:pPr>
              <w:jc w:val="center"/>
              <w:rPr>
                <w:rFonts w:ascii="宋体" w:hAnsi="宋体"/>
                <w:color w:val="auto"/>
              </w:rPr>
            </w:pPr>
            <w:r>
              <w:rPr>
                <w:rFonts w:hint="eastAsia" w:ascii="宋体" w:hAnsi="宋体"/>
                <w:color w:val="auto"/>
              </w:rPr>
              <w:t>0</w:t>
            </w:r>
            <w:r>
              <w:rPr>
                <w:rFonts w:ascii="宋体" w:hAnsi="宋体"/>
                <w:color w:val="auto"/>
              </w:rPr>
              <w:t>.0119</w:t>
            </w:r>
          </w:p>
        </w:tc>
        <w:tc>
          <w:tcPr>
            <w:tcW w:w="721" w:type="pct"/>
            <w:gridSpan w:val="2"/>
            <w:shd w:val="clear" w:color="auto" w:fill="auto"/>
            <w:vAlign w:val="center"/>
          </w:tcPr>
          <w:p w14:paraId="456446F0">
            <w:pPr>
              <w:jc w:val="center"/>
              <w:rPr>
                <w:rFonts w:ascii="宋体" w:hAnsi="宋体"/>
                <w:color w:val="auto"/>
              </w:rPr>
            </w:pPr>
            <w:r>
              <w:rPr>
                <w:rFonts w:hint="eastAsia" w:ascii="宋体" w:hAnsi="宋体"/>
                <w:color w:val="auto"/>
              </w:rPr>
              <w:t>0</w:t>
            </w:r>
            <w:r>
              <w:rPr>
                <w:rFonts w:ascii="宋体" w:hAnsi="宋体"/>
                <w:color w:val="auto"/>
              </w:rPr>
              <w:t>.0106</w:t>
            </w:r>
          </w:p>
        </w:tc>
        <w:tc>
          <w:tcPr>
            <w:tcW w:w="721" w:type="pct"/>
            <w:gridSpan w:val="2"/>
            <w:shd w:val="clear" w:color="auto" w:fill="auto"/>
            <w:vAlign w:val="center"/>
          </w:tcPr>
          <w:p w14:paraId="43C675DF">
            <w:pPr>
              <w:jc w:val="center"/>
              <w:rPr>
                <w:rFonts w:ascii="宋体" w:hAnsi="宋体"/>
                <w:color w:val="auto"/>
              </w:rPr>
            </w:pPr>
            <w:r>
              <w:rPr>
                <w:rFonts w:hint="eastAsia" w:ascii="宋体" w:hAnsi="宋体"/>
                <w:color w:val="auto"/>
              </w:rPr>
              <w:t>0</w:t>
            </w:r>
            <w:r>
              <w:rPr>
                <w:rFonts w:ascii="宋体" w:hAnsi="宋体"/>
                <w:color w:val="auto"/>
              </w:rPr>
              <w:t>.0108</w:t>
            </w:r>
          </w:p>
        </w:tc>
        <w:tc>
          <w:tcPr>
            <w:tcW w:w="656" w:type="pct"/>
            <w:shd w:val="clear" w:color="auto" w:fill="auto"/>
            <w:vAlign w:val="center"/>
          </w:tcPr>
          <w:p w14:paraId="5C8662EC">
            <w:pPr>
              <w:jc w:val="center"/>
              <w:rPr>
                <w:rFonts w:ascii="宋体" w:hAnsi="宋体"/>
                <w:color w:val="auto"/>
              </w:rPr>
            </w:pPr>
            <w:r>
              <w:rPr>
                <w:rFonts w:hint="eastAsia" w:ascii="宋体" w:hAnsi="宋体"/>
                <w:color w:val="auto"/>
              </w:rPr>
              <w:t>0</w:t>
            </w:r>
            <w:r>
              <w:rPr>
                <w:rFonts w:ascii="宋体" w:hAnsi="宋体"/>
                <w:color w:val="auto"/>
              </w:rPr>
              <w:t>.0108</w:t>
            </w:r>
          </w:p>
        </w:tc>
      </w:tr>
      <w:tr w14:paraId="6C683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6" w:type="pct"/>
            <w:gridSpan w:val="2"/>
            <w:shd w:val="clear" w:color="auto" w:fill="auto"/>
            <w:vAlign w:val="center"/>
          </w:tcPr>
          <w:p w14:paraId="51766BD9">
            <w:pPr>
              <w:widowControl/>
              <w:adjustRightInd w:val="0"/>
              <w:snapToGrid w:val="0"/>
              <w:jc w:val="center"/>
              <w:rPr>
                <w:rFonts w:ascii="宋体" w:hAnsi="宋体"/>
                <w:color w:val="auto"/>
              </w:rPr>
            </w:pPr>
            <w:r>
              <w:rPr>
                <w:rFonts w:hint="eastAsia" w:ascii="宋体" w:hAnsi="宋体"/>
                <w:color w:val="auto"/>
              </w:rPr>
              <w:t>烟气黑度（林格曼级）</w:t>
            </w:r>
          </w:p>
        </w:tc>
        <w:tc>
          <w:tcPr>
            <w:tcW w:w="654" w:type="pct"/>
            <w:shd w:val="clear" w:color="auto" w:fill="auto"/>
            <w:vAlign w:val="center"/>
          </w:tcPr>
          <w:p w14:paraId="05413804">
            <w:pPr>
              <w:widowControl/>
              <w:adjustRightInd w:val="0"/>
              <w:snapToGrid w:val="0"/>
              <w:jc w:val="center"/>
              <w:rPr>
                <w:rFonts w:ascii="宋体" w:hAnsi="宋体"/>
                <w:color w:val="auto"/>
              </w:rPr>
            </w:pPr>
            <w:r>
              <w:rPr>
                <w:rFonts w:hint="eastAsia" w:ascii="宋体" w:hAnsi="宋体"/>
                <w:color w:val="auto"/>
                <w:szCs w:val="22"/>
              </w:rPr>
              <w:t>＜1</w:t>
            </w:r>
          </w:p>
        </w:tc>
        <w:tc>
          <w:tcPr>
            <w:tcW w:w="721" w:type="pct"/>
            <w:gridSpan w:val="2"/>
            <w:shd w:val="clear" w:color="auto" w:fill="auto"/>
            <w:vAlign w:val="center"/>
          </w:tcPr>
          <w:p w14:paraId="4520A1D7">
            <w:pPr>
              <w:jc w:val="center"/>
              <w:rPr>
                <w:rFonts w:ascii="宋体" w:hAnsi="宋体"/>
                <w:color w:val="auto"/>
                <w:kern w:val="0"/>
                <w:szCs w:val="22"/>
              </w:rPr>
            </w:pPr>
            <w:r>
              <w:rPr>
                <w:rFonts w:hint="eastAsia" w:ascii="宋体" w:hAnsi="宋体"/>
                <w:color w:val="auto"/>
                <w:szCs w:val="22"/>
              </w:rPr>
              <w:t>＜1</w:t>
            </w:r>
          </w:p>
        </w:tc>
        <w:tc>
          <w:tcPr>
            <w:tcW w:w="721" w:type="pct"/>
            <w:gridSpan w:val="2"/>
            <w:shd w:val="clear" w:color="auto" w:fill="auto"/>
            <w:vAlign w:val="center"/>
          </w:tcPr>
          <w:p w14:paraId="64493824">
            <w:pPr>
              <w:widowControl/>
              <w:adjustRightInd w:val="0"/>
              <w:snapToGrid w:val="0"/>
              <w:jc w:val="center"/>
              <w:rPr>
                <w:rFonts w:ascii="宋体" w:hAnsi="宋体"/>
                <w:color w:val="auto"/>
              </w:rPr>
            </w:pPr>
            <w:r>
              <w:rPr>
                <w:rFonts w:hint="eastAsia" w:ascii="宋体" w:hAnsi="宋体"/>
                <w:color w:val="auto"/>
                <w:szCs w:val="22"/>
              </w:rPr>
              <w:t>＜1</w:t>
            </w:r>
          </w:p>
        </w:tc>
        <w:tc>
          <w:tcPr>
            <w:tcW w:w="721" w:type="pct"/>
            <w:gridSpan w:val="2"/>
            <w:shd w:val="clear" w:color="auto" w:fill="auto"/>
            <w:vAlign w:val="center"/>
          </w:tcPr>
          <w:p w14:paraId="332C3FBC">
            <w:pPr>
              <w:jc w:val="center"/>
              <w:rPr>
                <w:rFonts w:ascii="宋体" w:hAnsi="宋体"/>
                <w:color w:val="auto"/>
                <w:kern w:val="0"/>
                <w:szCs w:val="22"/>
              </w:rPr>
            </w:pPr>
            <w:r>
              <w:rPr>
                <w:rFonts w:hint="eastAsia" w:ascii="宋体" w:hAnsi="宋体"/>
                <w:color w:val="auto"/>
                <w:szCs w:val="22"/>
              </w:rPr>
              <w:t>＜1</w:t>
            </w:r>
          </w:p>
        </w:tc>
        <w:tc>
          <w:tcPr>
            <w:tcW w:w="721" w:type="pct"/>
            <w:gridSpan w:val="2"/>
            <w:shd w:val="clear" w:color="auto" w:fill="auto"/>
            <w:vAlign w:val="center"/>
          </w:tcPr>
          <w:p w14:paraId="127C6AA8">
            <w:pPr>
              <w:widowControl/>
              <w:adjustRightInd w:val="0"/>
              <w:snapToGrid w:val="0"/>
              <w:jc w:val="center"/>
              <w:rPr>
                <w:rFonts w:ascii="宋体" w:hAnsi="宋体"/>
                <w:color w:val="auto"/>
              </w:rPr>
            </w:pPr>
            <w:r>
              <w:rPr>
                <w:rFonts w:hint="eastAsia" w:ascii="宋体" w:hAnsi="宋体"/>
                <w:color w:val="auto"/>
                <w:szCs w:val="22"/>
              </w:rPr>
              <w:t>＜1</w:t>
            </w:r>
          </w:p>
        </w:tc>
        <w:tc>
          <w:tcPr>
            <w:tcW w:w="656" w:type="pct"/>
            <w:shd w:val="clear" w:color="auto" w:fill="auto"/>
            <w:vAlign w:val="center"/>
          </w:tcPr>
          <w:p w14:paraId="6B84EDE0">
            <w:pPr>
              <w:jc w:val="center"/>
              <w:rPr>
                <w:rFonts w:ascii="宋体" w:hAnsi="宋体"/>
                <w:color w:val="auto"/>
                <w:kern w:val="0"/>
                <w:szCs w:val="22"/>
              </w:rPr>
            </w:pPr>
            <w:r>
              <w:rPr>
                <w:rFonts w:hint="eastAsia" w:ascii="宋体" w:hAnsi="宋体"/>
                <w:color w:val="auto"/>
                <w:szCs w:val="22"/>
              </w:rPr>
              <w:t>＜1</w:t>
            </w:r>
          </w:p>
        </w:tc>
      </w:tr>
      <w:tr w14:paraId="12007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2"/>
            <w:shd w:val="clear" w:color="auto" w:fill="auto"/>
            <w:vAlign w:val="center"/>
          </w:tcPr>
          <w:p w14:paraId="270271AA">
            <w:pPr>
              <w:widowControl/>
              <w:jc w:val="center"/>
              <w:rPr>
                <w:rFonts w:ascii="宋体" w:hAnsi="宋体"/>
                <w:color w:val="auto"/>
              </w:rPr>
            </w:pPr>
            <w:r>
              <w:rPr>
                <w:rFonts w:hint="eastAsia" w:ascii="宋体" w:hAnsi="宋体"/>
                <w:color w:val="auto"/>
              </w:rPr>
              <w:t>备注：1、</w:t>
            </w:r>
            <w:r>
              <w:rPr>
                <w:rFonts w:ascii="宋体" w:hAnsi="宋体"/>
                <w:color w:val="auto"/>
              </w:rPr>
              <w:t>折算排放浓度=实测排放浓度×（21%-基准氧含量）/（21%-实测氧含量）</w:t>
            </w:r>
            <w:r>
              <w:rPr>
                <w:rFonts w:hint="eastAsia" w:ascii="宋体" w:hAnsi="宋体"/>
                <w:color w:val="auto"/>
              </w:rPr>
              <w:t>，</w:t>
            </w:r>
            <w:r>
              <w:rPr>
                <w:rFonts w:ascii="宋体" w:hAnsi="宋体"/>
                <w:color w:val="auto"/>
              </w:rPr>
              <w:t>其中，基准氧含量取3.5%。</w:t>
            </w:r>
          </w:p>
          <w:p w14:paraId="124B46A3">
            <w:pPr>
              <w:widowControl/>
              <w:jc w:val="center"/>
              <w:rPr>
                <w:rFonts w:ascii="宋体" w:hAnsi="宋体"/>
                <w:color w:val="auto"/>
              </w:rPr>
            </w:pPr>
            <w:r>
              <w:rPr>
                <w:rFonts w:hint="eastAsia" w:ascii="宋体" w:hAnsi="宋体"/>
                <w:color w:val="auto"/>
              </w:rPr>
              <w:t>2、</w:t>
            </w:r>
            <w:r>
              <w:rPr>
                <w:rFonts w:ascii="宋体" w:hAnsi="宋体"/>
                <w:color w:val="auto"/>
              </w:rPr>
              <w:t>颗粒物折算时</w:t>
            </w:r>
            <w:r>
              <w:rPr>
                <w:rFonts w:hint="eastAsia" w:ascii="宋体" w:hAnsi="宋体"/>
                <w:color w:val="auto"/>
              </w:rPr>
              <w:t>的实测氧含量</w:t>
            </w:r>
            <w:r>
              <w:rPr>
                <w:rFonts w:ascii="宋体" w:hAnsi="宋体"/>
                <w:color w:val="auto"/>
              </w:rPr>
              <w:t>按照</w:t>
            </w:r>
            <w:r>
              <w:rPr>
                <w:rFonts w:hint="eastAsia" w:ascii="宋体" w:hAnsi="宋体"/>
                <w:color w:val="auto"/>
              </w:rPr>
              <w:t>烟气1小时</w:t>
            </w:r>
            <w:r>
              <w:rPr>
                <w:rFonts w:ascii="宋体" w:hAnsi="宋体"/>
                <w:color w:val="auto"/>
              </w:rPr>
              <w:t>平均含氧量计算</w:t>
            </w:r>
            <w:r>
              <w:rPr>
                <w:rFonts w:hint="eastAsia" w:ascii="宋体" w:hAnsi="宋体"/>
                <w:color w:val="auto"/>
              </w:rPr>
              <w:t>；</w:t>
            </w:r>
          </w:p>
          <w:p w14:paraId="582D69FE">
            <w:pPr>
              <w:pStyle w:val="19"/>
              <w:jc w:val="center"/>
              <w:rPr>
                <w:rFonts w:ascii="宋体" w:hAnsi="宋体"/>
                <w:color w:val="auto"/>
              </w:rPr>
            </w:pPr>
            <w:r>
              <w:rPr>
                <w:rFonts w:hint="eastAsia" w:ascii="宋体" w:hAnsi="宋体"/>
                <w:color w:val="auto"/>
              </w:rPr>
              <w:t>3、排放速率</w:t>
            </w:r>
            <w:r>
              <w:rPr>
                <w:rFonts w:ascii="宋体" w:hAnsi="宋体"/>
                <w:color w:val="auto"/>
              </w:rPr>
              <w:t>（</w:t>
            </w:r>
            <w:r>
              <w:rPr>
                <w:rFonts w:hint="eastAsia" w:ascii="宋体" w:hAnsi="宋体"/>
                <w:color w:val="auto"/>
              </w:rPr>
              <w:t>k</w:t>
            </w:r>
            <w:r>
              <w:rPr>
                <w:rFonts w:ascii="宋体" w:hAnsi="宋体"/>
                <w:color w:val="auto"/>
              </w:rPr>
              <w:t>g/</w:t>
            </w:r>
            <w:r>
              <w:rPr>
                <w:rFonts w:hint="eastAsia" w:ascii="宋体" w:hAnsi="宋体"/>
                <w:color w:val="auto"/>
              </w:rPr>
              <w:t>h</w:t>
            </w:r>
            <w:r>
              <w:rPr>
                <w:rFonts w:ascii="宋体" w:hAnsi="宋体"/>
                <w:color w:val="auto"/>
              </w:rPr>
              <w:t>）</w:t>
            </w:r>
            <w:r>
              <w:rPr>
                <w:rFonts w:hint="eastAsia" w:ascii="宋体" w:hAnsi="宋体"/>
                <w:color w:val="auto"/>
              </w:rPr>
              <w:t>=实测排放浓度</w:t>
            </w:r>
            <w:r>
              <w:rPr>
                <w:rFonts w:ascii="宋体" w:hAnsi="宋体"/>
                <w:color w:val="auto"/>
              </w:rPr>
              <w:t>（mg/m</w:t>
            </w:r>
            <w:r>
              <w:rPr>
                <w:rFonts w:ascii="宋体" w:hAnsi="宋体"/>
                <w:color w:val="auto"/>
                <w:vertAlign w:val="superscript"/>
              </w:rPr>
              <w:t>3</w:t>
            </w:r>
            <w:r>
              <w:rPr>
                <w:rFonts w:ascii="宋体" w:hAnsi="宋体"/>
                <w:color w:val="auto"/>
              </w:rPr>
              <w:t>）×</w:t>
            </w:r>
            <w:r>
              <w:rPr>
                <w:rFonts w:hint="eastAsia" w:ascii="宋体" w:hAnsi="宋体"/>
                <w:color w:val="auto"/>
              </w:rPr>
              <w:t>标杆流量</w:t>
            </w:r>
            <w:r>
              <w:rPr>
                <w:rFonts w:ascii="宋体" w:hAnsi="宋体"/>
                <w:color w:val="auto"/>
              </w:rPr>
              <w:t>（m</w:t>
            </w:r>
            <w:r>
              <w:rPr>
                <w:rFonts w:ascii="宋体" w:hAnsi="宋体"/>
                <w:color w:val="auto"/>
                <w:vertAlign w:val="superscript"/>
              </w:rPr>
              <w:t>3</w:t>
            </w:r>
            <w:r>
              <w:rPr>
                <w:rFonts w:ascii="宋体" w:hAnsi="宋体"/>
                <w:color w:val="auto"/>
              </w:rPr>
              <w:t>/h）×</w:t>
            </w:r>
            <w:r>
              <w:rPr>
                <w:rFonts w:hint="eastAsia" w:ascii="宋体" w:hAnsi="宋体"/>
                <w:color w:val="auto"/>
              </w:rPr>
              <w:t>10</w:t>
            </w:r>
            <w:r>
              <w:rPr>
                <w:rFonts w:hint="eastAsia" w:ascii="宋体" w:hAnsi="宋体"/>
                <w:color w:val="auto"/>
                <w:vertAlign w:val="superscript"/>
              </w:rPr>
              <w:t>-6</w:t>
            </w:r>
            <w:r>
              <w:rPr>
                <w:rFonts w:hint="eastAsia" w:ascii="宋体" w:hAnsi="宋体"/>
                <w:color w:val="auto"/>
              </w:rPr>
              <w:t>。</w:t>
            </w:r>
          </w:p>
        </w:tc>
      </w:tr>
    </w:tbl>
    <w:p w14:paraId="585FD965">
      <w:pPr>
        <w:rPr>
          <w:color w:val="auto"/>
        </w:rPr>
        <w:sectPr>
          <w:pgSz w:w="16839" w:h="11907" w:orient="landscape"/>
          <w:pgMar w:top="1588" w:right="1418" w:bottom="1588" w:left="1418" w:header="1134" w:footer="850" w:gutter="0"/>
          <w:cols w:space="720" w:num="1"/>
          <w:docGrid w:linePitch="312" w:charSpace="0"/>
        </w:sectPr>
      </w:pPr>
    </w:p>
    <w:p w14:paraId="7FC7BCFD">
      <w:pPr>
        <w:pStyle w:val="4"/>
        <w:ind w:firstLine="480"/>
        <w:rPr>
          <w:color w:val="auto"/>
        </w:rPr>
      </w:pPr>
      <w:r>
        <w:rPr>
          <w:snapToGrid w:val="0"/>
          <w:color w:val="auto"/>
        </w:rPr>
        <w:t>从监测结果可以看出，本期工程</w:t>
      </w:r>
      <w:r>
        <w:rPr>
          <w:rFonts w:hint="eastAsia"/>
          <w:color w:val="auto"/>
        </w:rPr>
        <w:t>水套加热炉废气中的</w:t>
      </w:r>
      <w:r>
        <w:rPr>
          <w:rFonts w:hint="eastAsia"/>
          <w:snapToGrid w:val="0"/>
          <w:color w:val="auto"/>
        </w:rPr>
        <w:t>SO</w:t>
      </w:r>
      <w:r>
        <w:rPr>
          <w:rFonts w:hint="eastAsia"/>
          <w:snapToGrid w:val="0"/>
          <w:color w:val="auto"/>
          <w:vertAlign w:val="subscript"/>
        </w:rPr>
        <w:t>2</w:t>
      </w:r>
      <w:r>
        <w:rPr>
          <w:rFonts w:hint="eastAsia"/>
          <w:snapToGrid w:val="0"/>
          <w:color w:val="auto"/>
        </w:rPr>
        <w:t>、NO</w:t>
      </w:r>
      <w:r>
        <w:rPr>
          <w:rFonts w:hint="eastAsia"/>
          <w:snapToGrid w:val="0"/>
          <w:color w:val="auto"/>
          <w:vertAlign w:val="subscript"/>
        </w:rPr>
        <w:t>X</w:t>
      </w:r>
      <w:r>
        <w:rPr>
          <w:rFonts w:hint="eastAsia"/>
          <w:snapToGrid w:val="0"/>
          <w:color w:val="auto"/>
        </w:rPr>
        <w:t>和颗粒物能够满足</w:t>
      </w:r>
      <w:bookmarkStart w:id="419" w:name="OLE_LINK136"/>
      <w:bookmarkStart w:id="420" w:name="OLE_LINK135"/>
      <w:r>
        <w:rPr>
          <w:rFonts w:hint="eastAsia" w:cs="宋体"/>
          <w:color w:val="auto"/>
          <w:kern w:val="0"/>
        </w:rPr>
        <w:t>《锅炉大气污染物排放标准》（DB37/ 2374-2018）表2重点控制区要求</w:t>
      </w:r>
      <w:r>
        <w:rPr>
          <w:rFonts w:hint="eastAsia"/>
          <w:color w:val="auto"/>
        </w:rPr>
        <w:t>（SO</w:t>
      </w:r>
      <w:r>
        <w:rPr>
          <w:rFonts w:hint="eastAsia"/>
          <w:color w:val="auto"/>
          <w:vertAlign w:val="subscript"/>
        </w:rPr>
        <w:t>2</w:t>
      </w:r>
      <w:r>
        <w:rPr>
          <w:rFonts w:hint="eastAsia"/>
          <w:color w:val="auto"/>
        </w:rPr>
        <w:t>：50mg/m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：100mg/m</w:t>
      </w:r>
      <w:r>
        <w:rPr>
          <w:rFonts w:hint="eastAsia"/>
          <w:color w:val="auto"/>
          <w:vertAlign w:val="superscript"/>
        </w:rPr>
        <w:t>3</w:t>
      </w:r>
      <w:r>
        <w:rPr>
          <w:rFonts w:hint="eastAsia"/>
          <w:color w:val="auto"/>
        </w:rPr>
        <w:t>、</w:t>
      </w:r>
      <w:r>
        <w:rPr>
          <w:rFonts w:hint="eastAsia" w:cs="宋体"/>
          <w:color w:val="auto"/>
          <w:kern w:val="0"/>
        </w:rPr>
        <w:t>颗粒物</w:t>
      </w:r>
      <w:r>
        <w:rPr>
          <w:rFonts w:hint="eastAsia"/>
          <w:color w:val="auto"/>
        </w:rPr>
        <w:t>：10mg/m</w:t>
      </w:r>
      <w:r>
        <w:rPr>
          <w:rFonts w:hint="eastAsia"/>
          <w:color w:val="auto"/>
          <w:vertAlign w:val="superscript"/>
        </w:rPr>
        <w:t>3</w:t>
      </w:r>
      <w:r>
        <w:rPr>
          <w:rFonts w:hint="eastAsia"/>
          <w:color w:val="auto"/>
        </w:rPr>
        <w:t>）</w:t>
      </w:r>
      <w:bookmarkEnd w:id="419"/>
      <w:bookmarkEnd w:id="420"/>
      <w:r>
        <w:rPr>
          <w:rFonts w:hint="eastAsia"/>
          <w:color w:val="auto"/>
        </w:rPr>
        <w:t>。</w:t>
      </w:r>
    </w:p>
    <w:p w14:paraId="2C7A3B78">
      <w:pPr>
        <w:pStyle w:val="6"/>
        <w:rPr>
          <w:color w:val="auto"/>
        </w:rPr>
      </w:pPr>
      <w:r>
        <w:rPr>
          <w:rFonts w:hint="eastAsia"/>
          <w:color w:val="auto"/>
        </w:rPr>
        <w:t>噪声环境</w:t>
      </w:r>
      <w:r>
        <w:rPr>
          <w:color w:val="auto"/>
        </w:rPr>
        <w:t>监测</w:t>
      </w:r>
    </w:p>
    <w:p w14:paraId="02437378">
      <w:pPr>
        <w:pStyle w:val="4"/>
        <w:ind w:firstLine="480"/>
        <w:rPr>
          <w:color w:val="auto"/>
        </w:rPr>
      </w:pPr>
      <w:bookmarkStart w:id="421" w:name="_Ref59462858"/>
      <w:r>
        <w:rPr>
          <w:rFonts w:hint="eastAsia"/>
          <w:color w:val="auto"/>
        </w:rPr>
        <w:t>项目正常运营时，主要噪声源是井场抽油机。验收调查期间，对采油井场的厂界噪声进行了监测。</w:t>
      </w:r>
    </w:p>
    <w:p w14:paraId="2A924512">
      <w:pPr>
        <w:pStyle w:val="4"/>
        <w:ind w:firstLine="480"/>
        <w:rPr>
          <w:color w:val="auto"/>
        </w:rPr>
      </w:pPr>
      <w:r>
        <w:rPr>
          <w:rFonts w:hint="eastAsia"/>
          <w:color w:val="auto"/>
        </w:rPr>
        <w:t>1）监测布点</w:t>
      </w:r>
    </w:p>
    <w:p w14:paraId="22E025A1">
      <w:pPr>
        <w:pStyle w:val="4"/>
        <w:ind w:firstLine="480"/>
        <w:rPr>
          <w:color w:val="auto"/>
        </w:rPr>
      </w:pPr>
      <w:r>
        <w:rPr>
          <w:rFonts w:hint="eastAsia"/>
          <w:color w:val="auto"/>
        </w:rPr>
        <w:t>参考《建设项目竣工环境保护验收技术规范 石油天然气开采》（HJ 612-2011），根据井场所在位置及井场井数情况，本次对</w:t>
      </w:r>
      <w:bookmarkStart w:id="422" w:name="OLE_LINK8"/>
      <w:r>
        <w:rPr>
          <w:b/>
          <w:bCs/>
          <w:color w:val="auto"/>
        </w:rPr>
        <w:t>4#、5#、6#、7#</w:t>
      </w:r>
      <w:r>
        <w:rPr>
          <w:rFonts w:hint="eastAsia"/>
          <w:b/>
          <w:bCs/>
          <w:color w:val="auto"/>
        </w:rPr>
        <w:t>、</w:t>
      </w:r>
      <w:r>
        <w:rPr>
          <w:rFonts w:hint="eastAsia"/>
          <w:b/>
          <w:bCs/>
          <w:color w:val="auto"/>
        </w:rPr>
        <w:t>1</w:t>
      </w:r>
      <w:r>
        <w:rPr>
          <w:b/>
          <w:bCs/>
          <w:color w:val="auto"/>
        </w:rPr>
        <w:t>2#</w:t>
      </w:r>
      <w:r>
        <w:rPr>
          <w:rFonts w:hint="eastAsia"/>
          <w:color w:val="auto"/>
        </w:rPr>
        <w:t>井场</w:t>
      </w:r>
      <w:bookmarkEnd w:id="422"/>
      <w:r>
        <w:rPr>
          <w:rFonts w:hint="eastAsia"/>
          <w:color w:val="auto"/>
        </w:rPr>
        <w:t>的东、南、西、北厂界设置了监测点。</w:t>
      </w:r>
    </w:p>
    <w:p w14:paraId="370058E3">
      <w:pPr>
        <w:pStyle w:val="4"/>
        <w:ind w:firstLine="480"/>
        <w:rPr>
          <w:color w:val="auto"/>
        </w:rPr>
      </w:pPr>
      <w:r>
        <w:rPr>
          <w:rFonts w:hint="eastAsia"/>
          <w:color w:val="auto"/>
        </w:rPr>
        <w:t>2）监测项目</w:t>
      </w:r>
    </w:p>
    <w:p w14:paraId="281E58BF">
      <w:pPr>
        <w:pStyle w:val="4"/>
        <w:ind w:firstLine="480"/>
        <w:rPr>
          <w:color w:val="auto"/>
        </w:rPr>
      </w:pPr>
      <w:r>
        <w:rPr>
          <w:rFonts w:hint="eastAsia"/>
          <w:color w:val="auto"/>
        </w:rPr>
        <w:t>监测项目为等效连续A声级Leq，同时测定风向、风速、气压、气温等气象等要素。</w:t>
      </w:r>
    </w:p>
    <w:p w14:paraId="6E691B0F">
      <w:pPr>
        <w:pStyle w:val="4"/>
        <w:ind w:firstLine="480"/>
        <w:rPr>
          <w:color w:val="auto"/>
        </w:rPr>
      </w:pPr>
      <w:r>
        <w:rPr>
          <w:rFonts w:hint="eastAsia"/>
          <w:color w:val="auto"/>
        </w:rPr>
        <w:t>3）监测时间与频次</w:t>
      </w:r>
    </w:p>
    <w:p w14:paraId="1D9A6A7B">
      <w:pPr>
        <w:pStyle w:val="4"/>
        <w:ind w:firstLine="480"/>
        <w:rPr>
          <w:color w:val="auto"/>
        </w:rPr>
      </w:pPr>
      <w:r>
        <w:rPr>
          <w:rFonts w:hint="eastAsia"/>
          <w:color w:val="auto"/>
        </w:rPr>
        <w:t>我公司（CMA：171512055405）于202</w:t>
      </w:r>
      <w:r>
        <w:rPr>
          <w:color w:val="auto"/>
        </w:rPr>
        <w:t>6</w:t>
      </w:r>
      <w:r>
        <w:rPr>
          <w:rFonts w:hint="eastAsia"/>
          <w:color w:val="auto"/>
        </w:rPr>
        <w:t>年</w:t>
      </w:r>
      <w:r>
        <w:rPr>
          <w:color w:val="auto"/>
        </w:rPr>
        <w:t>3</w:t>
      </w:r>
      <w:r>
        <w:rPr>
          <w:rFonts w:hint="eastAsia"/>
          <w:color w:val="auto"/>
        </w:rPr>
        <w:t>月</w:t>
      </w:r>
      <w:r>
        <w:rPr>
          <w:color w:val="auto"/>
        </w:rPr>
        <w:t>8</w:t>
      </w:r>
      <w:r>
        <w:rPr>
          <w:rFonts w:hint="eastAsia"/>
          <w:color w:val="auto"/>
        </w:rPr>
        <w:t>日～9日</w:t>
      </w:r>
      <w:r>
        <w:rPr>
          <w:rFonts w:hint="eastAsia"/>
          <w:color w:val="auto"/>
          <w:kern w:val="0"/>
        </w:rPr>
        <w:t>对</w:t>
      </w:r>
      <w:r>
        <w:rPr>
          <w:rFonts w:hint="eastAsia"/>
          <w:b/>
          <w:color w:val="auto"/>
          <w:kern w:val="0"/>
        </w:rPr>
        <w:t>6#</w:t>
      </w:r>
      <w:r>
        <w:rPr>
          <w:rFonts w:hint="eastAsia"/>
          <w:color w:val="auto"/>
          <w:kern w:val="0"/>
        </w:rPr>
        <w:t>井场</w:t>
      </w:r>
      <w:bookmarkStart w:id="423" w:name="OLE_LINK10"/>
      <w:r>
        <w:rPr>
          <w:rFonts w:hint="eastAsia"/>
          <w:color w:val="auto"/>
          <w:kern w:val="0"/>
        </w:rPr>
        <w:t>厂界噪声、</w:t>
      </w:r>
      <w:r>
        <w:rPr>
          <w:rFonts w:hint="eastAsia"/>
          <w:color w:val="auto"/>
          <w:kern w:val="0"/>
        </w:rPr>
        <w:t>2</w:t>
      </w:r>
      <w:r>
        <w:rPr>
          <w:color w:val="auto"/>
          <w:kern w:val="0"/>
        </w:rPr>
        <w:t>026</w:t>
      </w:r>
      <w:r>
        <w:rPr>
          <w:rFonts w:hint="eastAsia"/>
          <w:color w:val="auto"/>
          <w:kern w:val="0"/>
        </w:rPr>
        <w:t>年5月1</w:t>
      </w:r>
      <w:r>
        <w:rPr>
          <w:color w:val="auto"/>
          <w:kern w:val="0"/>
        </w:rPr>
        <w:t>1</w:t>
      </w:r>
      <w:r>
        <w:rPr>
          <w:rFonts w:hint="eastAsia"/>
          <w:color w:val="auto"/>
          <w:kern w:val="0"/>
        </w:rPr>
        <w:t>日～</w:t>
      </w:r>
      <w:r>
        <w:rPr>
          <w:color w:val="auto"/>
          <w:kern w:val="0"/>
        </w:rPr>
        <w:t>5</w:t>
      </w:r>
      <w:r>
        <w:rPr>
          <w:rFonts w:hint="eastAsia"/>
          <w:color w:val="auto"/>
          <w:kern w:val="0"/>
        </w:rPr>
        <w:t>月1</w:t>
      </w:r>
      <w:r>
        <w:rPr>
          <w:color w:val="auto"/>
          <w:kern w:val="0"/>
        </w:rPr>
        <w:t>3</w:t>
      </w:r>
      <w:r>
        <w:rPr>
          <w:rFonts w:hint="eastAsia"/>
          <w:color w:val="auto"/>
          <w:kern w:val="0"/>
        </w:rPr>
        <w:t>日对</w:t>
      </w:r>
      <w:r>
        <w:rPr>
          <w:rFonts w:hint="eastAsia"/>
          <w:b/>
          <w:color w:val="auto"/>
          <w:kern w:val="0"/>
        </w:rPr>
        <w:t>1</w:t>
      </w:r>
      <w:r>
        <w:rPr>
          <w:b/>
          <w:color w:val="auto"/>
          <w:kern w:val="0"/>
        </w:rPr>
        <w:t>2#</w:t>
      </w:r>
      <w:r>
        <w:rPr>
          <w:rFonts w:hint="eastAsia"/>
          <w:b/>
          <w:color w:val="auto"/>
          <w:kern w:val="0"/>
        </w:rPr>
        <w:t>井场</w:t>
      </w:r>
      <w:r>
        <w:rPr>
          <w:rFonts w:hint="eastAsia"/>
          <w:color w:val="auto"/>
          <w:kern w:val="0"/>
        </w:rPr>
        <w:t>厂界噪声</w:t>
      </w:r>
      <w:r>
        <w:rPr>
          <w:rFonts w:hint="eastAsia"/>
          <w:color w:val="auto"/>
        </w:rPr>
        <w:t>进行了监测，每天昼夜各监测1次，共监测2天</w:t>
      </w:r>
      <w:bookmarkEnd w:id="423"/>
      <w:r>
        <w:rPr>
          <w:rFonts w:hint="eastAsia"/>
          <w:color w:val="auto"/>
        </w:rPr>
        <w:t>；委托潍坊方正理化检测有限公司于202</w:t>
      </w:r>
      <w:r>
        <w:rPr>
          <w:color w:val="auto"/>
        </w:rPr>
        <w:t>6</w:t>
      </w:r>
      <w:r>
        <w:rPr>
          <w:rFonts w:hint="eastAsia"/>
          <w:color w:val="auto"/>
        </w:rPr>
        <w:t>年</w:t>
      </w:r>
      <w:r>
        <w:rPr>
          <w:color w:val="auto"/>
        </w:rPr>
        <w:t>3</w:t>
      </w:r>
      <w:r>
        <w:rPr>
          <w:rFonts w:hint="eastAsia"/>
          <w:color w:val="auto"/>
        </w:rPr>
        <w:t>月16日～17日对</w:t>
      </w:r>
      <w:r>
        <w:rPr>
          <w:b/>
          <w:bCs/>
          <w:color w:val="auto"/>
        </w:rPr>
        <w:t>4#、5#、7#</w:t>
      </w:r>
      <w:r>
        <w:rPr>
          <w:rFonts w:hint="eastAsia"/>
          <w:color w:val="auto"/>
        </w:rPr>
        <w:t>井场</w:t>
      </w:r>
      <w:r>
        <w:rPr>
          <w:rFonts w:hint="eastAsia"/>
          <w:color w:val="auto"/>
          <w:kern w:val="0"/>
        </w:rPr>
        <w:t>厂界噪声</w:t>
      </w:r>
      <w:r>
        <w:rPr>
          <w:rFonts w:hint="eastAsia"/>
          <w:color w:val="auto"/>
        </w:rPr>
        <w:t>进行了监测，每天昼夜各监测1次，共监测2天。</w:t>
      </w:r>
    </w:p>
    <w:p w14:paraId="02D43BE8">
      <w:pPr>
        <w:pStyle w:val="4"/>
        <w:ind w:firstLine="480"/>
        <w:rPr>
          <w:color w:val="auto"/>
        </w:rPr>
      </w:pPr>
      <w:r>
        <w:rPr>
          <w:rFonts w:hint="eastAsia"/>
          <w:color w:val="auto"/>
        </w:rPr>
        <w:t>4）监测结果</w:t>
      </w:r>
    </w:p>
    <w:p w14:paraId="3F22498D">
      <w:pPr>
        <w:pStyle w:val="4"/>
        <w:ind w:firstLine="480"/>
        <w:rPr>
          <w:color w:val="auto"/>
        </w:rPr>
      </w:pPr>
      <w:r>
        <w:rPr>
          <w:rFonts w:hint="eastAsia"/>
          <w:color w:val="auto"/>
        </w:rPr>
        <w:t>各监测点噪声监测结果见</w:t>
      </w:r>
      <w:r>
        <w:rPr>
          <w:color w:val="auto"/>
        </w:rPr>
        <w:fldChar w:fldCharType="begin"/>
      </w:r>
      <w:r>
        <w:rPr>
          <w:color w:val="auto"/>
        </w:rPr>
        <w:instrText xml:space="preserve"> REF _Ref142981229 \h  \* MERGEFORMAT </w:instrText>
      </w:r>
      <w:r>
        <w:rPr>
          <w:color w:val="auto"/>
        </w:rPr>
        <w:fldChar w:fldCharType="separate"/>
      </w:r>
      <w:r>
        <w:rPr>
          <w:rFonts w:hint="eastAsia"/>
          <w:color w:val="auto"/>
        </w:rPr>
        <w:t xml:space="preserve">表 </w:t>
      </w:r>
      <w:r>
        <w:rPr>
          <w:color w:val="auto"/>
        </w:rPr>
        <w:t>6.4</w:t>
      </w:r>
      <w:r>
        <w:rPr>
          <w:color w:val="auto"/>
        </w:rPr>
        <w:noBreakHyphen/>
      </w:r>
      <w:r>
        <w:rPr>
          <w:color w:val="auto"/>
        </w:rPr>
        <w:t>14</w:t>
      </w:r>
      <w:r>
        <w:rPr>
          <w:color w:val="auto"/>
        </w:rPr>
        <w:fldChar w:fldCharType="end"/>
      </w:r>
      <w:r>
        <w:rPr>
          <w:rFonts w:hint="eastAsia"/>
          <w:color w:val="auto"/>
        </w:rPr>
        <w:t>。</w:t>
      </w:r>
    </w:p>
    <w:p w14:paraId="5BE1D68E">
      <w:pPr>
        <w:pStyle w:val="15"/>
        <w:spacing w:before="120"/>
        <w:rPr>
          <w:rFonts w:hAnsi="宋体"/>
          <w:color w:val="auto"/>
        </w:rPr>
      </w:pPr>
      <w:bookmarkStart w:id="424" w:name="_Ref142981229"/>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14</w:t>
      </w:r>
      <w:r>
        <w:rPr>
          <w:rFonts w:hAnsi="宋体"/>
          <w:color w:val="auto"/>
        </w:rPr>
        <w:fldChar w:fldCharType="end"/>
      </w:r>
      <w:bookmarkEnd w:id="421"/>
      <w:bookmarkEnd w:id="424"/>
      <w:r>
        <w:rPr>
          <w:rFonts w:hint="eastAsia" w:hAnsi="宋体"/>
          <w:color w:val="auto"/>
        </w:rPr>
        <w:t xml:space="preserve">  井场厂界噪声监测结果</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1722"/>
        <w:gridCol w:w="1570"/>
        <w:gridCol w:w="2222"/>
        <w:gridCol w:w="2220"/>
      </w:tblGrid>
      <w:tr w14:paraId="53F4F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vAlign w:val="center"/>
          </w:tcPr>
          <w:p w14:paraId="68754EC0">
            <w:pPr>
              <w:widowControl/>
              <w:jc w:val="center"/>
              <w:rPr>
                <w:rFonts w:ascii="宋体" w:hAnsi="宋体"/>
                <w:color w:val="auto"/>
                <w:kern w:val="0"/>
              </w:rPr>
            </w:pPr>
            <w:r>
              <w:rPr>
                <w:rFonts w:ascii="宋体" w:hAnsi="宋体"/>
                <w:color w:val="auto"/>
                <w:kern w:val="0"/>
              </w:rPr>
              <w:t>检测地点</w:t>
            </w:r>
          </w:p>
        </w:tc>
        <w:tc>
          <w:tcPr>
            <w:tcW w:w="987" w:type="pct"/>
            <w:vMerge w:val="restart"/>
            <w:vAlign w:val="center"/>
          </w:tcPr>
          <w:p w14:paraId="3D76AC5A">
            <w:pPr>
              <w:widowControl/>
              <w:jc w:val="center"/>
              <w:rPr>
                <w:rFonts w:ascii="宋体" w:hAnsi="宋体"/>
                <w:color w:val="auto"/>
                <w:kern w:val="0"/>
              </w:rPr>
            </w:pPr>
            <w:r>
              <w:rPr>
                <w:rFonts w:ascii="宋体" w:hAnsi="宋体"/>
                <w:color w:val="auto"/>
                <w:kern w:val="0"/>
              </w:rPr>
              <w:t>检测日期</w:t>
            </w:r>
          </w:p>
        </w:tc>
        <w:tc>
          <w:tcPr>
            <w:tcW w:w="900" w:type="pct"/>
            <w:vMerge w:val="restart"/>
            <w:vAlign w:val="center"/>
          </w:tcPr>
          <w:p w14:paraId="76006B01">
            <w:pPr>
              <w:widowControl/>
              <w:jc w:val="center"/>
              <w:rPr>
                <w:rFonts w:ascii="宋体" w:hAnsi="宋体"/>
                <w:color w:val="auto"/>
                <w:kern w:val="0"/>
              </w:rPr>
            </w:pPr>
            <w:r>
              <w:rPr>
                <w:rFonts w:ascii="宋体" w:hAnsi="宋体"/>
                <w:color w:val="auto"/>
                <w:kern w:val="0"/>
              </w:rPr>
              <w:t>检测点位</w:t>
            </w:r>
          </w:p>
        </w:tc>
        <w:tc>
          <w:tcPr>
            <w:tcW w:w="1274" w:type="pct"/>
            <w:vAlign w:val="center"/>
          </w:tcPr>
          <w:p w14:paraId="4F99D306">
            <w:pPr>
              <w:widowControl/>
              <w:jc w:val="center"/>
              <w:rPr>
                <w:rFonts w:ascii="宋体" w:hAnsi="宋体"/>
                <w:color w:val="auto"/>
                <w:kern w:val="0"/>
              </w:rPr>
            </w:pPr>
            <w:r>
              <w:rPr>
                <w:rFonts w:ascii="宋体" w:hAnsi="宋体"/>
                <w:color w:val="auto"/>
                <w:kern w:val="0"/>
              </w:rPr>
              <w:t>昼间Leq</w:t>
            </w:r>
          </w:p>
        </w:tc>
        <w:tc>
          <w:tcPr>
            <w:tcW w:w="1273" w:type="pct"/>
            <w:vAlign w:val="center"/>
          </w:tcPr>
          <w:p w14:paraId="6482D9FB">
            <w:pPr>
              <w:widowControl/>
              <w:jc w:val="center"/>
              <w:rPr>
                <w:rFonts w:ascii="宋体" w:hAnsi="宋体"/>
                <w:color w:val="auto"/>
                <w:kern w:val="0"/>
              </w:rPr>
            </w:pPr>
            <w:r>
              <w:rPr>
                <w:rFonts w:ascii="宋体" w:hAnsi="宋体"/>
                <w:color w:val="auto"/>
                <w:kern w:val="0"/>
              </w:rPr>
              <w:t>夜间Leq</w:t>
            </w:r>
          </w:p>
        </w:tc>
      </w:tr>
      <w:tr w14:paraId="5CF91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49BA87B7">
            <w:pPr>
              <w:widowControl/>
              <w:jc w:val="center"/>
              <w:rPr>
                <w:rFonts w:ascii="宋体" w:hAnsi="宋体"/>
                <w:color w:val="auto"/>
                <w:kern w:val="0"/>
              </w:rPr>
            </w:pPr>
          </w:p>
        </w:tc>
        <w:tc>
          <w:tcPr>
            <w:tcW w:w="987" w:type="pct"/>
            <w:vMerge w:val="continue"/>
            <w:vAlign w:val="center"/>
          </w:tcPr>
          <w:p w14:paraId="362E5C30">
            <w:pPr>
              <w:widowControl/>
              <w:jc w:val="center"/>
              <w:rPr>
                <w:rFonts w:ascii="宋体" w:hAnsi="宋体"/>
                <w:color w:val="auto"/>
                <w:kern w:val="0"/>
              </w:rPr>
            </w:pPr>
          </w:p>
        </w:tc>
        <w:tc>
          <w:tcPr>
            <w:tcW w:w="900" w:type="pct"/>
            <w:vMerge w:val="continue"/>
            <w:vAlign w:val="center"/>
          </w:tcPr>
          <w:p w14:paraId="078464E3">
            <w:pPr>
              <w:widowControl/>
              <w:jc w:val="center"/>
              <w:rPr>
                <w:rFonts w:ascii="宋体" w:hAnsi="宋体"/>
                <w:color w:val="auto"/>
                <w:kern w:val="0"/>
              </w:rPr>
            </w:pPr>
          </w:p>
        </w:tc>
        <w:tc>
          <w:tcPr>
            <w:tcW w:w="1274" w:type="pct"/>
            <w:vAlign w:val="center"/>
          </w:tcPr>
          <w:p w14:paraId="5B8AF7BC">
            <w:pPr>
              <w:jc w:val="center"/>
              <w:rPr>
                <w:rFonts w:ascii="宋体" w:hAnsi="宋体"/>
                <w:color w:val="auto"/>
                <w:kern w:val="0"/>
              </w:rPr>
            </w:pPr>
            <w:r>
              <w:rPr>
                <w:rFonts w:ascii="宋体" w:hAnsi="宋体"/>
                <w:color w:val="auto"/>
                <w:kern w:val="0"/>
              </w:rPr>
              <w:t>检测结果（dB（A））</w:t>
            </w:r>
          </w:p>
        </w:tc>
        <w:tc>
          <w:tcPr>
            <w:tcW w:w="1273" w:type="pct"/>
            <w:vAlign w:val="center"/>
          </w:tcPr>
          <w:p w14:paraId="6390C827">
            <w:pPr>
              <w:jc w:val="center"/>
              <w:rPr>
                <w:rFonts w:ascii="宋体" w:hAnsi="宋体"/>
                <w:color w:val="auto"/>
                <w:kern w:val="0"/>
              </w:rPr>
            </w:pPr>
            <w:r>
              <w:rPr>
                <w:rFonts w:ascii="宋体" w:hAnsi="宋体"/>
                <w:color w:val="auto"/>
                <w:kern w:val="0"/>
              </w:rPr>
              <w:t>检测结果（dB（A））</w:t>
            </w:r>
          </w:p>
        </w:tc>
      </w:tr>
      <w:tr w14:paraId="7F38B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vAlign w:val="center"/>
          </w:tcPr>
          <w:p w14:paraId="07B27285">
            <w:pPr>
              <w:widowControl/>
              <w:jc w:val="center"/>
              <w:rPr>
                <w:rFonts w:ascii="宋体" w:hAnsi="宋体"/>
                <w:color w:val="auto"/>
                <w:kern w:val="0"/>
              </w:rPr>
            </w:pPr>
            <w:r>
              <w:rPr>
                <w:rFonts w:hint="eastAsia" w:ascii="宋体" w:hAnsi="宋体"/>
                <w:color w:val="auto"/>
                <w:kern w:val="0"/>
              </w:rPr>
              <w:t>4#井场</w:t>
            </w:r>
          </w:p>
        </w:tc>
        <w:tc>
          <w:tcPr>
            <w:tcW w:w="987" w:type="pct"/>
            <w:vMerge w:val="restart"/>
            <w:vAlign w:val="center"/>
          </w:tcPr>
          <w:p w14:paraId="11B9D10F">
            <w:pPr>
              <w:widowControl/>
              <w:jc w:val="center"/>
              <w:rPr>
                <w:rFonts w:ascii="宋体" w:hAnsi="宋体"/>
                <w:color w:val="auto"/>
                <w:kern w:val="0"/>
              </w:rPr>
            </w:pPr>
            <w:r>
              <w:rPr>
                <w:rFonts w:hint="eastAsia" w:ascii="宋体" w:hAnsi="宋体"/>
                <w:color w:val="auto"/>
              </w:rPr>
              <w:t>2026.3.16</w:t>
            </w:r>
          </w:p>
        </w:tc>
        <w:tc>
          <w:tcPr>
            <w:tcW w:w="900" w:type="pct"/>
            <w:vAlign w:val="center"/>
          </w:tcPr>
          <w:p w14:paraId="3D3E6CDE">
            <w:pPr>
              <w:widowControl/>
              <w:jc w:val="center"/>
              <w:rPr>
                <w:rFonts w:ascii="宋体" w:hAnsi="宋体"/>
                <w:color w:val="auto"/>
                <w:kern w:val="0"/>
              </w:rPr>
            </w:pPr>
            <w:r>
              <w:rPr>
                <w:rFonts w:ascii="宋体" w:hAnsi="宋体"/>
                <w:color w:val="auto"/>
                <w:kern w:val="0"/>
              </w:rPr>
              <w:t>1#</w:t>
            </w:r>
          </w:p>
        </w:tc>
        <w:tc>
          <w:tcPr>
            <w:tcW w:w="1274" w:type="pct"/>
            <w:vAlign w:val="center"/>
          </w:tcPr>
          <w:p w14:paraId="7C4FC0CB">
            <w:pPr>
              <w:widowControl/>
              <w:jc w:val="center"/>
              <w:rPr>
                <w:rFonts w:ascii="宋体" w:hAnsi="宋体"/>
                <w:color w:val="auto"/>
                <w:kern w:val="0"/>
              </w:rPr>
            </w:pPr>
            <w:r>
              <w:rPr>
                <w:rFonts w:hint="eastAsia" w:ascii="宋体" w:hAnsi="宋体"/>
                <w:color w:val="auto"/>
              </w:rPr>
              <w:t>52</w:t>
            </w:r>
          </w:p>
        </w:tc>
        <w:tc>
          <w:tcPr>
            <w:tcW w:w="1273" w:type="pct"/>
            <w:vAlign w:val="center"/>
          </w:tcPr>
          <w:p w14:paraId="685E3DBE">
            <w:pPr>
              <w:widowControl/>
              <w:jc w:val="center"/>
              <w:rPr>
                <w:rFonts w:ascii="宋体" w:hAnsi="宋体"/>
                <w:color w:val="auto"/>
                <w:kern w:val="0"/>
              </w:rPr>
            </w:pPr>
            <w:r>
              <w:rPr>
                <w:rFonts w:hint="eastAsia" w:ascii="宋体" w:hAnsi="宋体"/>
                <w:color w:val="auto"/>
              </w:rPr>
              <w:t>47</w:t>
            </w:r>
          </w:p>
        </w:tc>
      </w:tr>
      <w:tr w14:paraId="79C75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25544FD4">
            <w:pPr>
              <w:widowControl/>
              <w:jc w:val="center"/>
              <w:rPr>
                <w:rFonts w:ascii="宋体" w:hAnsi="宋体"/>
                <w:color w:val="auto"/>
                <w:kern w:val="0"/>
              </w:rPr>
            </w:pPr>
          </w:p>
        </w:tc>
        <w:tc>
          <w:tcPr>
            <w:tcW w:w="987" w:type="pct"/>
            <w:vMerge w:val="continue"/>
            <w:vAlign w:val="center"/>
          </w:tcPr>
          <w:p w14:paraId="2295FEBA">
            <w:pPr>
              <w:widowControl/>
              <w:jc w:val="center"/>
              <w:rPr>
                <w:rFonts w:ascii="宋体" w:hAnsi="宋体"/>
                <w:color w:val="auto"/>
                <w:kern w:val="0"/>
              </w:rPr>
            </w:pPr>
          </w:p>
        </w:tc>
        <w:tc>
          <w:tcPr>
            <w:tcW w:w="900" w:type="pct"/>
            <w:vAlign w:val="center"/>
          </w:tcPr>
          <w:p w14:paraId="60DFF52D">
            <w:pPr>
              <w:jc w:val="center"/>
              <w:rPr>
                <w:rFonts w:ascii="宋体" w:hAnsi="宋体"/>
                <w:color w:val="auto"/>
                <w:kern w:val="0"/>
              </w:rPr>
            </w:pPr>
            <w:r>
              <w:rPr>
                <w:rFonts w:ascii="宋体" w:hAnsi="宋体"/>
                <w:color w:val="auto"/>
                <w:kern w:val="0"/>
              </w:rPr>
              <w:t xml:space="preserve">2# </w:t>
            </w:r>
          </w:p>
        </w:tc>
        <w:tc>
          <w:tcPr>
            <w:tcW w:w="1274" w:type="pct"/>
            <w:vAlign w:val="center"/>
          </w:tcPr>
          <w:p w14:paraId="105AC9A2">
            <w:pPr>
              <w:jc w:val="center"/>
              <w:rPr>
                <w:rFonts w:ascii="宋体" w:hAnsi="宋体"/>
                <w:color w:val="auto"/>
                <w:kern w:val="0"/>
              </w:rPr>
            </w:pPr>
            <w:r>
              <w:rPr>
                <w:rFonts w:hint="eastAsia" w:ascii="宋体" w:hAnsi="宋体"/>
                <w:color w:val="auto"/>
              </w:rPr>
              <w:t>55</w:t>
            </w:r>
          </w:p>
        </w:tc>
        <w:tc>
          <w:tcPr>
            <w:tcW w:w="1273" w:type="pct"/>
            <w:vAlign w:val="center"/>
          </w:tcPr>
          <w:p w14:paraId="5C8B617F">
            <w:pPr>
              <w:jc w:val="center"/>
              <w:rPr>
                <w:rFonts w:ascii="宋体" w:hAnsi="宋体"/>
                <w:color w:val="auto"/>
                <w:kern w:val="0"/>
              </w:rPr>
            </w:pPr>
            <w:r>
              <w:rPr>
                <w:rFonts w:hint="eastAsia" w:ascii="宋体" w:hAnsi="宋体"/>
                <w:color w:val="auto"/>
              </w:rPr>
              <w:t>48</w:t>
            </w:r>
          </w:p>
        </w:tc>
      </w:tr>
      <w:tr w14:paraId="69DD0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50F232CE">
            <w:pPr>
              <w:widowControl/>
              <w:jc w:val="center"/>
              <w:rPr>
                <w:rFonts w:ascii="宋体" w:hAnsi="宋体"/>
                <w:color w:val="auto"/>
                <w:kern w:val="0"/>
              </w:rPr>
            </w:pPr>
          </w:p>
        </w:tc>
        <w:tc>
          <w:tcPr>
            <w:tcW w:w="987" w:type="pct"/>
            <w:vMerge w:val="continue"/>
            <w:vAlign w:val="center"/>
          </w:tcPr>
          <w:p w14:paraId="51E69305">
            <w:pPr>
              <w:widowControl/>
              <w:jc w:val="center"/>
              <w:rPr>
                <w:rFonts w:ascii="宋体" w:hAnsi="宋体"/>
                <w:color w:val="auto"/>
                <w:kern w:val="0"/>
              </w:rPr>
            </w:pPr>
          </w:p>
        </w:tc>
        <w:tc>
          <w:tcPr>
            <w:tcW w:w="900" w:type="pct"/>
            <w:vAlign w:val="center"/>
          </w:tcPr>
          <w:p w14:paraId="1FA5567F">
            <w:pPr>
              <w:jc w:val="center"/>
              <w:rPr>
                <w:rFonts w:ascii="宋体" w:hAnsi="宋体"/>
                <w:color w:val="auto"/>
                <w:kern w:val="0"/>
              </w:rPr>
            </w:pPr>
            <w:r>
              <w:rPr>
                <w:rFonts w:ascii="宋体" w:hAnsi="宋体"/>
                <w:color w:val="auto"/>
                <w:kern w:val="0"/>
              </w:rPr>
              <w:t xml:space="preserve">3# </w:t>
            </w:r>
          </w:p>
        </w:tc>
        <w:tc>
          <w:tcPr>
            <w:tcW w:w="1274" w:type="pct"/>
            <w:vAlign w:val="center"/>
          </w:tcPr>
          <w:p w14:paraId="038AA26F">
            <w:pPr>
              <w:jc w:val="center"/>
              <w:rPr>
                <w:rFonts w:ascii="宋体" w:hAnsi="宋体"/>
                <w:color w:val="auto"/>
                <w:kern w:val="0"/>
              </w:rPr>
            </w:pPr>
            <w:r>
              <w:rPr>
                <w:rFonts w:hint="eastAsia" w:ascii="宋体" w:hAnsi="宋体"/>
                <w:color w:val="auto"/>
              </w:rPr>
              <w:t>55</w:t>
            </w:r>
          </w:p>
        </w:tc>
        <w:tc>
          <w:tcPr>
            <w:tcW w:w="1273" w:type="pct"/>
            <w:vAlign w:val="center"/>
          </w:tcPr>
          <w:p w14:paraId="10A5843D">
            <w:pPr>
              <w:jc w:val="center"/>
              <w:rPr>
                <w:rFonts w:ascii="宋体" w:hAnsi="宋体"/>
                <w:color w:val="auto"/>
                <w:kern w:val="0"/>
              </w:rPr>
            </w:pPr>
            <w:r>
              <w:rPr>
                <w:rFonts w:hint="eastAsia" w:ascii="宋体" w:hAnsi="宋体"/>
                <w:color w:val="auto"/>
              </w:rPr>
              <w:t>48</w:t>
            </w:r>
          </w:p>
        </w:tc>
      </w:tr>
      <w:tr w14:paraId="2E67E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10CFC66C">
            <w:pPr>
              <w:widowControl/>
              <w:jc w:val="center"/>
              <w:rPr>
                <w:rFonts w:ascii="宋体" w:hAnsi="宋体"/>
                <w:color w:val="auto"/>
                <w:kern w:val="0"/>
              </w:rPr>
            </w:pPr>
          </w:p>
        </w:tc>
        <w:tc>
          <w:tcPr>
            <w:tcW w:w="987" w:type="pct"/>
            <w:vMerge w:val="continue"/>
            <w:vAlign w:val="center"/>
          </w:tcPr>
          <w:p w14:paraId="12E298B1">
            <w:pPr>
              <w:widowControl/>
              <w:jc w:val="center"/>
              <w:rPr>
                <w:rFonts w:ascii="宋体" w:hAnsi="宋体"/>
                <w:color w:val="auto"/>
                <w:kern w:val="0"/>
              </w:rPr>
            </w:pPr>
          </w:p>
        </w:tc>
        <w:tc>
          <w:tcPr>
            <w:tcW w:w="900" w:type="pct"/>
            <w:vAlign w:val="center"/>
          </w:tcPr>
          <w:p w14:paraId="6FB8BD76">
            <w:pPr>
              <w:jc w:val="center"/>
              <w:rPr>
                <w:rFonts w:ascii="宋体" w:hAnsi="宋体"/>
                <w:color w:val="auto"/>
                <w:kern w:val="0"/>
              </w:rPr>
            </w:pPr>
            <w:r>
              <w:rPr>
                <w:rFonts w:ascii="宋体" w:hAnsi="宋体"/>
                <w:color w:val="auto"/>
                <w:kern w:val="0"/>
              </w:rPr>
              <w:t>4#</w:t>
            </w:r>
          </w:p>
        </w:tc>
        <w:tc>
          <w:tcPr>
            <w:tcW w:w="1274" w:type="pct"/>
            <w:vAlign w:val="center"/>
          </w:tcPr>
          <w:p w14:paraId="0C3ABB6D">
            <w:pPr>
              <w:jc w:val="center"/>
              <w:rPr>
                <w:rFonts w:ascii="宋体" w:hAnsi="宋体"/>
                <w:color w:val="auto"/>
                <w:kern w:val="0"/>
              </w:rPr>
            </w:pPr>
            <w:r>
              <w:rPr>
                <w:rFonts w:hint="eastAsia" w:ascii="宋体" w:hAnsi="宋体"/>
                <w:color w:val="auto"/>
              </w:rPr>
              <w:t>53</w:t>
            </w:r>
          </w:p>
        </w:tc>
        <w:tc>
          <w:tcPr>
            <w:tcW w:w="1273" w:type="pct"/>
            <w:vAlign w:val="center"/>
          </w:tcPr>
          <w:p w14:paraId="41D5B9FF">
            <w:pPr>
              <w:jc w:val="center"/>
              <w:rPr>
                <w:rFonts w:ascii="宋体" w:hAnsi="宋体"/>
                <w:color w:val="auto"/>
                <w:kern w:val="0"/>
              </w:rPr>
            </w:pPr>
            <w:r>
              <w:rPr>
                <w:rFonts w:hint="eastAsia" w:ascii="宋体" w:hAnsi="宋体"/>
                <w:color w:val="auto"/>
              </w:rPr>
              <w:t>47</w:t>
            </w:r>
          </w:p>
        </w:tc>
      </w:tr>
      <w:tr w14:paraId="4CFC1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64AF7CE7">
            <w:pPr>
              <w:widowControl/>
              <w:jc w:val="center"/>
              <w:rPr>
                <w:rFonts w:ascii="宋体" w:hAnsi="宋体"/>
                <w:color w:val="auto"/>
                <w:kern w:val="0"/>
              </w:rPr>
            </w:pPr>
          </w:p>
        </w:tc>
        <w:tc>
          <w:tcPr>
            <w:tcW w:w="987" w:type="pct"/>
            <w:vMerge w:val="restart"/>
            <w:vAlign w:val="center"/>
          </w:tcPr>
          <w:p w14:paraId="3F66046A">
            <w:pPr>
              <w:widowControl/>
              <w:jc w:val="center"/>
              <w:rPr>
                <w:rFonts w:ascii="宋体" w:hAnsi="宋体"/>
                <w:color w:val="auto"/>
                <w:kern w:val="0"/>
              </w:rPr>
            </w:pPr>
            <w:r>
              <w:rPr>
                <w:rFonts w:hint="eastAsia" w:ascii="宋体" w:hAnsi="宋体"/>
                <w:color w:val="auto"/>
              </w:rPr>
              <w:t>2026.3.17</w:t>
            </w:r>
          </w:p>
        </w:tc>
        <w:tc>
          <w:tcPr>
            <w:tcW w:w="900" w:type="pct"/>
            <w:vAlign w:val="center"/>
          </w:tcPr>
          <w:p w14:paraId="401BC03F">
            <w:pPr>
              <w:jc w:val="center"/>
              <w:rPr>
                <w:rFonts w:ascii="宋体" w:hAnsi="宋体"/>
                <w:color w:val="auto"/>
                <w:kern w:val="0"/>
              </w:rPr>
            </w:pPr>
            <w:r>
              <w:rPr>
                <w:rFonts w:ascii="宋体" w:hAnsi="宋体"/>
                <w:color w:val="auto"/>
                <w:kern w:val="0"/>
              </w:rPr>
              <w:t>1#</w:t>
            </w:r>
          </w:p>
        </w:tc>
        <w:tc>
          <w:tcPr>
            <w:tcW w:w="1274" w:type="pct"/>
            <w:vAlign w:val="center"/>
          </w:tcPr>
          <w:p w14:paraId="29390B38">
            <w:pPr>
              <w:jc w:val="center"/>
              <w:rPr>
                <w:rFonts w:ascii="宋体" w:hAnsi="宋体"/>
                <w:color w:val="auto"/>
                <w:kern w:val="0"/>
              </w:rPr>
            </w:pPr>
            <w:r>
              <w:rPr>
                <w:rFonts w:hint="eastAsia" w:ascii="宋体" w:hAnsi="宋体"/>
                <w:color w:val="auto"/>
              </w:rPr>
              <w:t>53</w:t>
            </w:r>
          </w:p>
        </w:tc>
        <w:tc>
          <w:tcPr>
            <w:tcW w:w="1273" w:type="pct"/>
            <w:vAlign w:val="center"/>
          </w:tcPr>
          <w:p w14:paraId="6C87A950">
            <w:pPr>
              <w:jc w:val="center"/>
              <w:rPr>
                <w:rFonts w:ascii="宋体" w:hAnsi="宋体"/>
                <w:color w:val="auto"/>
                <w:kern w:val="0"/>
              </w:rPr>
            </w:pPr>
            <w:r>
              <w:rPr>
                <w:rFonts w:hint="eastAsia" w:ascii="宋体" w:hAnsi="宋体"/>
                <w:color w:val="auto"/>
              </w:rPr>
              <w:t>46</w:t>
            </w:r>
          </w:p>
        </w:tc>
      </w:tr>
      <w:tr w14:paraId="2B4AF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7613D39F">
            <w:pPr>
              <w:widowControl/>
              <w:jc w:val="center"/>
              <w:rPr>
                <w:rFonts w:ascii="宋体" w:hAnsi="宋体"/>
                <w:color w:val="auto"/>
                <w:kern w:val="0"/>
              </w:rPr>
            </w:pPr>
          </w:p>
        </w:tc>
        <w:tc>
          <w:tcPr>
            <w:tcW w:w="987" w:type="pct"/>
            <w:vMerge w:val="continue"/>
            <w:vAlign w:val="center"/>
          </w:tcPr>
          <w:p w14:paraId="3F7E97D1">
            <w:pPr>
              <w:widowControl/>
              <w:jc w:val="center"/>
              <w:rPr>
                <w:rFonts w:ascii="宋体" w:hAnsi="宋体"/>
                <w:color w:val="auto"/>
                <w:kern w:val="0"/>
              </w:rPr>
            </w:pPr>
          </w:p>
        </w:tc>
        <w:tc>
          <w:tcPr>
            <w:tcW w:w="900" w:type="pct"/>
            <w:vAlign w:val="center"/>
          </w:tcPr>
          <w:p w14:paraId="3E37FE72">
            <w:pPr>
              <w:jc w:val="center"/>
              <w:rPr>
                <w:rFonts w:ascii="宋体" w:hAnsi="宋体"/>
                <w:color w:val="auto"/>
                <w:kern w:val="0"/>
              </w:rPr>
            </w:pPr>
            <w:r>
              <w:rPr>
                <w:rFonts w:ascii="宋体" w:hAnsi="宋体"/>
                <w:color w:val="auto"/>
                <w:kern w:val="0"/>
              </w:rPr>
              <w:t xml:space="preserve">2# </w:t>
            </w:r>
          </w:p>
        </w:tc>
        <w:tc>
          <w:tcPr>
            <w:tcW w:w="1274" w:type="pct"/>
            <w:vAlign w:val="center"/>
          </w:tcPr>
          <w:p w14:paraId="4617CF48">
            <w:pPr>
              <w:jc w:val="center"/>
              <w:rPr>
                <w:rFonts w:ascii="宋体" w:hAnsi="宋体"/>
                <w:color w:val="auto"/>
                <w:kern w:val="0"/>
              </w:rPr>
            </w:pPr>
            <w:r>
              <w:rPr>
                <w:rFonts w:hint="eastAsia" w:ascii="宋体" w:hAnsi="宋体"/>
                <w:color w:val="auto"/>
              </w:rPr>
              <w:t>53</w:t>
            </w:r>
          </w:p>
        </w:tc>
        <w:tc>
          <w:tcPr>
            <w:tcW w:w="1273" w:type="pct"/>
            <w:vAlign w:val="center"/>
          </w:tcPr>
          <w:p w14:paraId="65CF6146">
            <w:pPr>
              <w:jc w:val="center"/>
              <w:rPr>
                <w:rFonts w:ascii="宋体" w:hAnsi="宋体"/>
                <w:color w:val="auto"/>
                <w:kern w:val="0"/>
              </w:rPr>
            </w:pPr>
            <w:r>
              <w:rPr>
                <w:rFonts w:hint="eastAsia" w:ascii="宋体" w:hAnsi="宋体"/>
                <w:color w:val="auto"/>
              </w:rPr>
              <w:t>48</w:t>
            </w:r>
          </w:p>
        </w:tc>
      </w:tr>
      <w:tr w14:paraId="50666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5D5A14B3">
            <w:pPr>
              <w:widowControl/>
              <w:jc w:val="center"/>
              <w:rPr>
                <w:rFonts w:ascii="宋体" w:hAnsi="宋体"/>
                <w:color w:val="auto"/>
                <w:kern w:val="0"/>
              </w:rPr>
            </w:pPr>
          </w:p>
        </w:tc>
        <w:tc>
          <w:tcPr>
            <w:tcW w:w="987" w:type="pct"/>
            <w:vMerge w:val="continue"/>
            <w:vAlign w:val="center"/>
          </w:tcPr>
          <w:p w14:paraId="6A462C8D">
            <w:pPr>
              <w:widowControl/>
              <w:jc w:val="center"/>
              <w:rPr>
                <w:rFonts w:ascii="宋体" w:hAnsi="宋体"/>
                <w:color w:val="auto"/>
                <w:kern w:val="0"/>
              </w:rPr>
            </w:pPr>
          </w:p>
        </w:tc>
        <w:tc>
          <w:tcPr>
            <w:tcW w:w="900" w:type="pct"/>
            <w:vAlign w:val="center"/>
          </w:tcPr>
          <w:p w14:paraId="47B9FDEE">
            <w:pPr>
              <w:jc w:val="center"/>
              <w:rPr>
                <w:rFonts w:ascii="宋体" w:hAnsi="宋体"/>
                <w:color w:val="auto"/>
                <w:kern w:val="0"/>
              </w:rPr>
            </w:pPr>
            <w:r>
              <w:rPr>
                <w:rFonts w:ascii="宋体" w:hAnsi="宋体"/>
                <w:color w:val="auto"/>
                <w:kern w:val="0"/>
              </w:rPr>
              <w:t xml:space="preserve">3# </w:t>
            </w:r>
          </w:p>
        </w:tc>
        <w:tc>
          <w:tcPr>
            <w:tcW w:w="1274" w:type="pct"/>
            <w:vAlign w:val="center"/>
          </w:tcPr>
          <w:p w14:paraId="58C0C297">
            <w:pPr>
              <w:jc w:val="center"/>
              <w:rPr>
                <w:rFonts w:ascii="宋体" w:hAnsi="宋体"/>
                <w:color w:val="auto"/>
                <w:kern w:val="0"/>
              </w:rPr>
            </w:pPr>
            <w:r>
              <w:rPr>
                <w:rFonts w:hint="eastAsia" w:ascii="宋体" w:hAnsi="宋体"/>
                <w:color w:val="auto"/>
              </w:rPr>
              <w:t>52</w:t>
            </w:r>
          </w:p>
        </w:tc>
        <w:tc>
          <w:tcPr>
            <w:tcW w:w="1273" w:type="pct"/>
            <w:vAlign w:val="center"/>
          </w:tcPr>
          <w:p w14:paraId="023D29DA">
            <w:pPr>
              <w:jc w:val="center"/>
              <w:rPr>
                <w:rFonts w:ascii="宋体" w:hAnsi="宋体"/>
                <w:color w:val="auto"/>
                <w:kern w:val="0"/>
              </w:rPr>
            </w:pPr>
            <w:r>
              <w:rPr>
                <w:rFonts w:hint="eastAsia" w:ascii="宋体" w:hAnsi="宋体"/>
                <w:color w:val="auto"/>
              </w:rPr>
              <w:t>47</w:t>
            </w:r>
          </w:p>
        </w:tc>
      </w:tr>
      <w:tr w14:paraId="4A342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7CC452DD">
            <w:pPr>
              <w:widowControl/>
              <w:jc w:val="center"/>
              <w:rPr>
                <w:rFonts w:ascii="宋体" w:hAnsi="宋体"/>
                <w:color w:val="auto"/>
                <w:kern w:val="0"/>
              </w:rPr>
            </w:pPr>
          </w:p>
        </w:tc>
        <w:tc>
          <w:tcPr>
            <w:tcW w:w="987" w:type="pct"/>
            <w:vMerge w:val="continue"/>
            <w:vAlign w:val="center"/>
          </w:tcPr>
          <w:p w14:paraId="3F3A9A99">
            <w:pPr>
              <w:widowControl/>
              <w:jc w:val="center"/>
              <w:rPr>
                <w:rFonts w:ascii="宋体" w:hAnsi="宋体"/>
                <w:color w:val="auto"/>
                <w:kern w:val="0"/>
              </w:rPr>
            </w:pPr>
          </w:p>
        </w:tc>
        <w:tc>
          <w:tcPr>
            <w:tcW w:w="900" w:type="pct"/>
            <w:vAlign w:val="center"/>
          </w:tcPr>
          <w:p w14:paraId="1D5D0FC6">
            <w:pPr>
              <w:jc w:val="center"/>
              <w:rPr>
                <w:rFonts w:ascii="宋体" w:hAnsi="宋体"/>
                <w:color w:val="auto"/>
                <w:kern w:val="0"/>
              </w:rPr>
            </w:pPr>
            <w:r>
              <w:rPr>
                <w:rFonts w:ascii="宋体" w:hAnsi="宋体"/>
                <w:color w:val="auto"/>
                <w:kern w:val="0"/>
              </w:rPr>
              <w:t>4#</w:t>
            </w:r>
          </w:p>
        </w:tc>
        <w:tc>
          <w:tcPr>
            <w:tcW w:w="1274" w:type="pct"/>
            <w:vAlign w:val="center"/>
          </w:tcPr>
          <w:p w14:paraId="553C5433">
            <w:pPr>
              <w:jc w:val="center"/>
              <w:rPr>
                <w:rFonts w:ascii="宋体" w:hAnsi="宋体"/>
                <w:color w:val="auto"/>
                <w:kern w:val="0"/>
              </w:rPr>
            </w:pPr>
            <w:r>
              <w:rPr>
                <w:rFonts w:hint="eastAsia" w:ascii="宋体" w:hAnsi="宋体"/>
                <w:color w:val="auto"/>
              </w:rPr>
              <w:t>51</w:t>
            </w:r>
          </w:p>
        </w:tc>
        <w:tc>
          <w:tcPr>
            <w:tcW w:w="1273" w:type="pct"/>
            <w:vAlign w:val="center"/>
          </w:tcPr>
          <w:p w14:paraId="406DD9BC">
            <w:pPr>
              <w:jc w:val="center"/>
              <w:rPr>
                <w:rFonts w:ascii="宋体" w:hAnsi="宋体"/>
                <w:color w:val="auto"/>
                <w:kern w:val="0"/>
              </w:rPr>
            </w:pPr>
            <w:r>
              <w:rPr>
                <w:rFonts w:hint="eastAsia" w:ascii="宋体" w:hAnsi="宋体"/>
                <w:color w:val="auto"/>
              </w:rPr>
              <w:t>45</w:t>
            </w:r>
          </w:p>
        </w:tc>
      </w:tr>
      <w:tr w14:paraId="66920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vAlign w:val="center"/>
          </w:tcPr>
          <w:p w14:paraId="5D438394">
            <w:pPr>
              <w:widowControl/>
              <w:jc w:val="center"/>
              <w:rPr>
                <w:rFonts w:ascii="宋体" w:hAnsi="宋体"/>
                <w:color w:val="auto"/>
                <w:kern w:val="0"/>
              </w:rPr>
            </w:pPr>
            <w:r>
              <w:rPr>
                <w:rFonts w:hint="eastAsia" w:ascii="宋体" w:hAnsi="宋体"/>
                <w:color w:val="auto"/>
                <w:kern w:val="0"/>
              </w:rPr>
              <w:t>5#井场</w:t>
            </w:r>
          </w:p>
        </w:tc>
        <w:tc>
          <w:tcPr>
            <w:tcW w:w="987" w:type="pct"/>
            <w:vMerge w:val="restart"/>
            <w:vAlign w:val="center"/>
          </w:tcPr>
          <w:p w14:paraId="16DB3D92">
            <w:pPr>
              <w:widowControl/>
              <w:jc w:val="center"/>
              <w:rPr>
                <w:rFonts w:ascii="宋体" w:hAnsi="宋体"/>
                <w:color w:val="auto"/>
                <w:kern w:val="0"/>
              </w:rPr>
            </w:pPr>
            <w:r>
              <w:rPr>
                <w:rFonts w:hint="eastAsia" w:ascii="宋体" w:hAnsi="宋体"/>
                <w:color w:val="auto"/>
              </w:rPr>
              <w:t>2026.3.17</w:t>
            </w:r>
          </w:p>
        </w:tc>
        <w:tc>
          <w:tcPr>
            <w:tcW w:w="900" w:type="pct"/>
            <w:vAlign w:val="center"/>
          </w:tcPr>
          <w:p w14:paraId="29691437">
            <w:pPr>
              <w:jc w:val="center"/>
              <w:rPr>
                <w:rFonts w:ascii="宋体" w:hAnsi="宋体"/>
                <w:color w:val="auto"/>
                <w:kern w:val="0"/>
              </w:rPr>
            </w:pPr>
            <w:r>
              <w:rPr>
                <w:rFonts w:ascii="宋体" w:hAnsi="宋体"/>
                <w:color w:val="auto"/>
                <w:kern w:val="0"/>
              </w:rPr>
              <w:t>1#</w:t>
            </w:r>
          </w:p>
        </w:tc>
        <w:tc>
          <w:tcPr>
            <w:tcW w:w="1274" w:type="pct"/>
            <w:vAlign w:val="center"/>
          </w:tcPr>
          <w:p w14:paraId="379DEDB9">
            <w:pPr>
              <w:jc w:val="center"/>
              <w:rPr>
                <w:rFonts w:ascii="宋体" w:hAnsi="宋体"/>
                <w:color w:val="auto"/>
              </w:rPr>
            </w:pPr>
            <w:r>
              <w:rPr>
                <w:rFonts w:hint="eastAsia" w:ascii="宋体" w:hAnsi="宋体"/>
                <w:color w:val="auto"/>
              </w:rPr>
              <w:t>56</w:t>
            </w:r>
          </w:p>
        </w:tc>
        <w:tc>
          <w:tcPr>
            <w:tcW w:w="1273" w:type="pct"/>
            <w:vAlign w:val="center"/>
          </w:tcPr>
          <w:p w14:paraId="386ED1ED">
            <w:pPr>
              <w:jc w:val="center"/>
              <w:rPr>
                <w:rFonts w:ascii="宋体" w:hAnsi="宋体"/>
                <w:color w:val="auto"/>
              </w:rPr>
            </w:pPr>
            <w:r>
              <w:rPr>
                <w:rFonts w:hint="eastAsia" w:ascii="宋体" w:hAnsi="宋体"/>
                <w:color w:val="auto"/>
              </w:rPr>
              <w:t>44</w:t>
            </w:r>
          </w:p>
        </w:tc>
      </w:tr>
      <w:tr w14:paraId="79BB3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2A67D7B0">
            <w:pPr>
              <w:widowControl/>
              <w:jc w:val="center"/>
              <w:rPr>
                <w:rFonts w:ascii="宋体" w:hAnsi="宋体"/>
                <w:color w:val="auto"/>
                <w:kern w:val="0"/>
              </w:rPr>
            </w:pPr>
          </w:p>
        </w:tc>
        <w:tc>
          <w:tcPr>
            <w:tcW w:w="987" w:type="pct"/>
            <w:vMerge w:val="continue"/>
            <w:vAlign w:val="center"/>
          </w:tcPr>
          <w:p w14:paraId="485CE376">
            <w:pPr>
              <w:widowControl/>
              <w:jc w:val="center"/>
              <w:rPr>
                <w:rFonts w:ascii="宋体" w:hAnsi="宋体"/>
                <w:color w:val="auto"/>
                <w:kern w:val="0"/>
              </w:rPr>
            </w:pPr>
          </w:p>
        </w:tc>
        <w:tc>
          <w:tcPr>
            <w:tcW w:w="900" w:type="pct"/>
            <w:vAlign w:val="center"/>
          </w:tcPr>
          <w:p w14:paraId="614D7A86">
            <w:pPr>
              <w:jc w:val="center"/>
              <w:rPr>
                <w:rFonts w:ascii="宋体" w:hAnsi="宋体"/>
                <w:color w:val="auto"/>
                <w:kern w:val="0"/>
              </w:rPr>
            </w:pPr>
            <w:r>
              <w:rPr>
                <w:rFonts w:ascii="宋体" w:hAnsi="宋体"/>
                <w:color w:val="auto"/>
                <w:kern w:val="0"/>
              </w:rPr>
              <w:t xml:space="preserve">2# </w:t>
            </w:r>
          </w:p>
        </w:tc>
        <w:tc>
          <w:tcPr>
            <w:tcW w:w="1274" w:type="pct"/>
            <w:vAlign w:val="center"/>
          </w:tcPr>
          <w:p w14:paraId="48D67854">
            <w:pPr>
              <w:jc w:val="center"/>
              <w:rPr>
                <w:rFonts w:ascii="宋体" w:hAnsi="宋体"/>
                <w:color w:val="auto"/>
              </w:rPr>
            </w:pPr>
            <w:r>
              <w:rPr>
                <w:rFonts w:hint="eastAsia" w:ascii="宋体" w:hAnsi="宋体"/>
                <w:color w:val="auto"/>
              </w:rPr>
              <w:t>47</w:t>
            </w:r>
          </w:p>
        </w:tc>
        <w:tc>
          <w:tcPr>
            <w:tcW w:w="1273" w:type="pct"/>
            <w:vAlign w:val="center"/>
          </w:tcPr>
          <w:p w14:paraId="2244A6A7">
            <w:pPr>
              <w:jc w:val="center"/>
              <w:rPr>
                <w:rFonts w:ascii="宋体" w:hAnsi="宋体"/>
                <w:color w:val="auto"/>
              </w:rPr>
            </w:pPr>
            <w:r>
              <w:rPr>
                <w:rFonts w:hint="eastAsia" w:ascii="宋体" w:hAnsi="宋体"/>
                <w:color w:val="auto"/>
              </w:rPr>
              <w:t>45</w:t>
            </w:r>
          </w:p>
        </w:tc>
      </w:tr>
      <w:tr w14:paraId="68D98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4206038C">
            <w:pPr>
              <w:widowControl/>
              <w:jc w:val="center"/>
              <w:rPr>
                <w:rFonts w:ascii="宋体" w:hAnsi="宋体"/>
                <w:color w:val="auto"/>
                <w:kern w:val="0"/>
              </w:rPr>
            </w:pPr>
          </w:p>
        </w:tc>
        <w:tc>
          <w:tcPr>
            <w:tcW w:w="987" w:type="pct"/>
            <w:vMerge w:val="continue"/>
            <w:vAlign w:val="center"/>
          </w:tcPr>
          <w:p w14:paraId="4B92E0B9">
            <w:pPr>
              <w:widowControl/>
              <w:jc w:val="center"/>
              <w:rPr>
                <w:rFonts w:ascii="宋体" w:hAnsi="宋体"/>
                <w:color w:val="auto"/>
                <w:kern w:val="0"/>
              </w:rPr>
            </w:pPr>
          </w:p>
        </w:tc>
        <w:tc>
          <w:tcPr>
            <w:tcW w:w="900" w:type="pct"/>
            <w:vAlign w:val="center"/>
          </w:tcPr>
          <w:p w14:paraId="66C3BC71">
            <w:pPr>
              <w:jc w:val="center"/>
              <w:rPr>
                <w:rFonts w:ascii="宋体" w:hAnsi="宋体"/>
                <w:color w:val="auto"/>
                <w:kern w:val="0"/>
              </w:rPr>
            </w:pPr>
            <w:r>
              <w:rPr>
                <w:rFonts w:ascii="宋体" w:hAnsi="宋体"/>
                <w:color w:val="auto"/>
                <w:kern w:val="0"/>
              </w:rPr>
              <w:t xml:space="preserve">3# </w:t>
            </w:r>
          </w:p>
        </w:tc>
        <w:tc>
          <w:tcPr>
            <w:tcW w:w="1274" w:type="pct"/>
            <w:vAlign w:val="center"/>
          </w:tcPr>
          <w:p w14:paraId="02852E38">
            <w:pPr>
              <w:jc w:val="center"/>
              <w:rPr>
                <w:rFonts w:ascii="宋体" w:hAnsi="宋体"/>
                <w:color w:val="auto"/>
              </w:rPr>
            </w:pPr>
            <w:r>
              <w:rPr>
                <w:rFonts w:hint="eastAsia" w:ascii="宋体" w:hAnsi="宋体"/>
                <w:color w:val="auto"/>
              </w:rPr>
              <w:t>54</w:t>
            </w:r>
          </w:p>
        </w:tc>
        <w:tc>
          <w:tcPr>
            <w:tcW w:w="1273" w:type="pct"/>
            <w:vAlign w:val="center"/>
          </w:tcPr>
          <w:p w14:paraId="08349054">
            <w:pPr>
              <w:jc w:val="center"/>
              <w:rPr>
                <w:rFonts w:ascii="宋体" w:hAnsi="宋体"/>
                <w:color w:val="auto"/>
              </w:rPr>
            </w:pPr>
            <w:r>
              <w:rPr>
                <w:rFonts w:hint="eastAsia" w:ascii="宋体" w:hAnsi="宋体"/>
                <w:color w:val="auto"/>
              </w:rPr>
              <w:t>46</w:t>
            </w:r>
          </w:p>
        </w:tc>
      </w:tr>
      <w:tr w14:paraId="3075F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1C056AD3">
            <w:pPr>
              <w:widowControl/>
              <w:jc w:val="center"/>
              <w:rPr>
                <w:rFonts w:ascii="宋体" w:hAnsi="宋体"/>
                <w:color w:val="auto"/>
                <w:kern w:val="0"/>
              </w:rPr>
            </w:pPr>
          </w:p>
        </w:tc>
        <w:tc>
          <w:tcPr>
            <w:tcW w:w="987" w:type="pct"/>
            <w:vMerge w:val="continue"/>
            <w:vAlign w:val="center"/>
          </w:tcPr>
          <w:p w14:paraId="53A03DB3">
            <w:pPr>
              <w:widowControl/>
              <w:jc w:val="center"/>
              <w:rPr>
                <w:rFonts w:ascii="宋体" w:hAnsi="宋体"/>
                <w:color w:val="auto"/>
                <w:kern w:val="0"/>
              </w:rPr>
            </w:pPr>
          </w:p>
        </w:tc>
        <w:tc>
          <w:tcPr>
            <w:tcW w:w="900" w:type="pct"/>
            <w:vAlign w:val="center"/>
          </w:tcPr>
          <w:p w14:paraId="04BB2F54">
            <w:pPr>
              <w:jc w:val="center"/>
              <w:rPr>
                <w:rFonts w:ascii="宋体" w:hAnsi="宋体"/>
                <w:color w:val="auto"/>
                <w:kern w:val="0"/>
              </w:rPr>
            </w:pPr>
            <w:r>
              <w:rPr>
                <w:rFonts w:ascii="宋体" w:hAnsi="宋体"/>
                <w:color w:val="auto"/>
                <w:kern w:val="0"/>
              </w:rPr>
              <w:t>4#</w:t>
            </w:r>
          </w:p>
        </w:tc>
        <w:tc>
          <w:tcPr>
            <w:tcW w:w="1274" w:type="pct"/>
            <w:vAlign w:val="center"/>
          </w:tcPr>
          <w:p w14:paraId="2D2FCB31">
            <w:pPr>
              <w:jc w:val="center"/>
              <w:rPr>
                <w:rFonts w:ascii="宋体" w:hAnsi="宋体"/>
                <w:color w:val="auto"/>
              </w:rPr>
            </w:pPr>
            <w:r>
              <w:rPr>
                <w:rFonts w:hint="eastAsia" w:ascii="宋体" w:hAnsi="宋体"/>
                <w:color w:val="auto"/>
              </w:rPr>
              <w:t>52</w:t>
            </w:r>
          </w:p>
        </w:tc>
        <w:tc>
          <w:tcPr>
            <w:tcW w:w="1273" w:type="pct"/>
            <w:vAlign w:val="center"/>
          </w:tcPr>
          <w:p w14:paraId="46E54C84">
            <w:pPr>
              <w:jc w:val="center"/>
              <w:rPr>
                <w:rFonts w:ascii="宋体" w:hAnsi="宋体"/>
                <w:color w:val="auto"/>
              </w:rPr>
            </w:pPr>
            <w:r>
              <w:rPr>
                <w:rFonts w:hint="eastAsia" w:ascii="宋体" w:hAnsi="宋体"/>
                <w:color w:val="auto"/>
              </w:rPr>
              <w:t>42</w:t>
            </w:r>
          </w:p>
        </w:tc>
      </w:tr>
      <w:tr w14:paraId="5CD31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614048ED">
            <w:pPr>
              <w:widowControl/>
              <w:jc w:val="center"/>
              <w:rPr>
                <w:rFonts w:ascii="宋体" w:hAnsi="宋体"/>
                <w:color w:val="auto"/>
                <w:kern w:val="0"/>
              </w:rPr>
            </w:pPr>
          </w:p>
        </w:tc>
        <w:tc>
          <w:tcPr>
            <w:tcW w:w="987" w:type="pct"/>
            <w:vMerge w:val="restart"/>
            <w:vAlign w:val="center"/>
          </w:tcPr>
          <w:p w14:paraId="3E181788">
            <w:pPr>
              <w:widowControl/>
              <w:jc w:val="center"/>
              <w:rPr>
                <w:rFonts w:ascii="宋体" w:hAnsi="宋体"/>
                <w:color w:val="auto"/>
                <w:kern w:val="0"/>
              </w:rPr>
            </w:pPr>
            <w:r>
              <w:rPr>
                <w:rFonts w:hint="eastAsia" w:ascii="宋体" w:hAnsi="宋体"/>
                <w:color w:val="auto"/>
              </w:rPr>
              <w:t>2026.3.18</w:t>
            </w:r>
          </w:p>
        </w:tc>
        <w:tc>
          <w:tcPr>
            <w:tcW w:w="900" w:type="pct"/>
            <w:vAlign w:val="center"/>
          </w:tcPr>
          <w:p w14:paraId="3DB6099B">
            <w:pPr>
              <w:jc w:val="center"/>
              <w:rPr>
                <w:rFonts w:ascii="宋体" w:hAnsi="宋体"/>
                <w:color w:val="auto"/>
                <w:kern w:val="0"/>
              </w:rPr>
            </w:pPr>
            <w:r>
              <w:rPr>
                <w:rFonts w:ascii="宋体" w:hAnsi="宋体"/>
                <w:color w:val="auto"/>
                <w:kern w:val="0"/>
              </w:rPr>
              <w:t>1#</w:t>
            </w:r>
          </w:p>
        </w:tc>
        <w:tc>
          <w:tcPr>
            <w:tcW w:w="1274" w:type="pct"/>
            <w:vAlign w:val="center"/>
          </w:tcPr>
          <w:p w14:paraId="1E724715">
            <w:pPr>
              <w:jc w:val="center"/>
              <w:rPr>
                <w:rFonts w:ascii="宋体" w:hAnsi="宋体"/>
                <w:color w:val="auto"/>
              </w:rPr>
            </w:pPr>
            <w:r>
              <w:rPr>
                <w:rFonts w:hint="eastAsia" w:ascii="宋体" w:hAnsi="宋体"/>
                <w:color w:val="auto"/>
              </w:rPr>
              <w:t>56</w:t>
            </w:r>
          </w:p>
        </w:tc>
        <w:tc>
          <w:tcPr>
            <w:tcW w:w="1273" w:type="pct"/>
            <w:vAlign w:val="center"/>
          </w:tcPr>
          <w:p w14:paraId="77F2C35A">
            <w:pPr>
              <w:jc w:val="center"/>
              <w:rPr>
                <w:rFonts w:ascii="宋体" w:hAnsi="宋体"/>
                <w:color w:val="auto"/>
              </w:rPr>
            </w:pPr>
            <w:r>
              <w:rPr>
                <w:rFonts w:hint="eastAsia" w:ascii="宋体" w:hAnsi="宋体"/>
                <w:color w:val="auto"/>
              </w:rPr>
              <w:t>41</w:t>
            </w:r>
          </w:p>
        </w:tc>
      </w:tr>
      <w:tr w14:paraId="47826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2684A071">
            <w:pPr>
              <w:widowControl/>
              <w:jc w:val="center"/>
              <w:rPr>
                <w:rFonts w:ascii="宋体" w:hAnsi="宋体"/>
                <w:color w:val="auto"/>
                <w:kern w:val="0"/>
              </w:rPr>
            </w:pPr>
          </w:p>
        </w:tc>
        <w:tc>
          <w:tcPr>
            <w:tcW w:w="987" w:type="pct"/>
            <w:vMerge w:val="continue"/>
            <w:vAlign w:val="center"/>
          </w:tcPr>
          <w:p w14:paraId="334963A6">
            <w:pPr>
              <w:widowControl/>
              <w:jc w:val="center"/>
              <w:rPr>
                <w:rFonts w:ascii="宋体" w:hAnsi="宋体"/>
                <w:color w:val="auto"/>
                <w:kern w:val="0"/>
              </w:rPr>
            </w:pPr>
          </w:p>
        </w:tc>
        <w:tc>
          <w:tcPr>
            <w:tcW w:w="900" w:type="pct"/>
            <w:vAlign w:val="center"/>
          </w:tcPr>
          <w:p w14:paraId="7EACEFC5">
            <w:pPr>
              <w:jc w:val="center"/>
              <w:rPr>
                <w:rFonts w:ascii="宋体" w:hAnsi="宋体"/>
                <w:color w:val="auto"/>
                <w:kern w:val="0"/>
              </w:rPr>
            </w:pPr>
            <w:r>
              <w:rPr>
                <w:rFonts w:ascii="宋体" w:hAnsi="宋体"/>
                <w:color w:val="auto"/>
                <w:kern w:val="0"/>
              </w:rPr>
              <w:t xml:space="preserve">2# </w:t>
            </w:r>
          </w:p>
        </w:tc>
        <w:tc>
          <w:tcPr>
            <w:tcW w:w="1274" w:type="pct"/>
            <w:vAlign w:val="center"/>
          </w:tcPr>
          <w:p w14:paraId="035D2019">
            <w:pPr>
              <w:jc w:val="center"/>
              <w:rPr>
                <w:rFonts w:ascii="宋体" w:hAnsi="宋体"/>
                <w:color w:val="auto"/>
              </w:rPr>
            </w:pPr>
            <w:r>
              <w:rPr>
                <w:rFonts w:hint="eastAsia" w:ascii="宋体" w:hAnsi="宋体"/>
                <w:color w:val="auto"/>
              </w:rPr>
              <w:t>52</w:t>
            </w:r>
          </w:p>
        </w:tc>
        <w:tc>
          <w:tcPr>
            <w:tcW w:w="1273" w:type="pct"/>
            <w:vAlign w:val="center"/>
          </w:tcPr>
          <w:p w14:paraId="49051DD0">
            <w:pPr>
              <w:jc w:val="center"/>
              <w:rPr>
                <w:rFonts w:ascii="宋体" w:hAnsi="宋体"/>
                <w:color w:val="auto"/>
              </w:rPr>
            </w:pPr>
            <w:r>
              <w:rPr>
                <w:rFonts w:hint="eastAsia" w:ascii="宋体" w:hAnsi="宋体"/>
                <w:color w:val="auto"/>
              </w:rPr>
              <w:t>42</w:t>
            </w:r>
          </w:p>
        </w:tc>
      </w:tr>
      <w:tr w14:paraId="5CF92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70B2088D">
            <w:pPr>
              <w:widowControl/>
              <w:jc w:val="center"/>
              <w:rPr>
                <w:rFonts w:ascii="宋体" w:hAnsi="宋体"/>
                <w:color w:val="auto"/>
                <w:kern w:val="0"/>
              </w:rPr>
            </w:pPr>
          </w:p>
        </w:tc>
        <w:tc>
          <w:tcPr>
            <w:tcW w:w="987" w:type="pct"/>
            <w:vMerge w:val="continue"/>
            <w:vAlign w:val="center"/>
          </w:tcPr>
          <w:p w14:paraId="52F0C849">
            <w:pPr>
              <w:widowControl/>
              <w:jc w:val="center"/>
              <w:rPr>
                <w:rFonts w:ascii="宋体" w:hAnsi="宋体"/>
                <w:color w:val="auto"/>
                <w:kern w:val="0"/>
              </w:rPr>
            </w:pPr>
          </w:p>
        </w:tc>
        <w:tc>
          <w:tcPr>
            <w:tcW w:w="900" w:type="pct"/>
            <w:vAlign w:val="center"/>
          </w:tcPr>
          <w:p w14:paraId="028E4D03">
            <w:pPr>
              <w:jc w:val="center"/>
              <w:rPr>
                <w:rFonts w:ascii="宋体" w:hAnsi="宋体"/>
                <w:color w:val="auto"/>
                <w:kern w:val="0"/>
              </w:rPr>
            </w:pPr>
            <w:r>
              <w:rPr>
                <w:rFonts w:ascii="宋体" w:hAnsi="宋体"/>
                <w:color w:val="auto"/>
                <w:kern w:val="0"/>
              </w:rPr>
              <w:t xml:space="preserve">3# </w:t>
            </w:r>
          </w:p>
        </w:tc>
        <w:tc>
          <w:tcPr>
            <w:tcW w:w="1274" w:type="pct"/>
            <w:vAlign w:val="center"/>
          </w:tcPr>
          <w:p w14:paraId="19B9BD62">
            <w:pPr>
              <w:jc w:val="center"/>
              <w:rPr>
                <w:rFonts w:ascii="宋体" w:hAnsi="宋体"/>
                <w:color w:val="auto"/>
              </w:rPr>
            </w:pPr>
            <w:r>
              <w:rPr>
                <w:rFonts w:hint="eastAsia" w:ascii="宋体" w:hAnsi="宋体"/>
                <w:color w:val="auto"/>
              </w:rPr>
              <w:t>58</w:t>
            </w:r>
          </w:p>
        </w:tc>
        <w:tc>
          <w:tcPr>
            <w:tcW w:w="1273" w:type="pct"/>
            <w:vAlign w:val="center"/>
          </w:tcPr>
          <w:p w14:paraId="4A9DE511">
            <w:pPr>
              <w:jc w:val="center"/>
              <w:rPr>
                <w:rFonts w:ascii="宋体" w:hAnsi="宋体"/>
                <w:color w:val="auto"/>
              </w:rPr>
            </w:pPr>
            <w:r>
              <w:rPr>
                <w:rFonts w:hint="eastAsia" w:ascii="宋体" w:hAnsi="宋体"/>
                <w:color w:val="auto"/>
              </w:rPr>
              <w:t>41</w:t>
            </w:r>
          </w:p>
        </w:tc>
      </w:tr>
      <w:tr w14:paraId="63170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30F8E68B">
            <w:pPr>
              <w:widowControl/>
              <w:jc w:val="center"/>
              <w:rPr>
                <w:rFonts w:ascii="宋体" w:hAnsi="宋体"/>
                <w:color w:val="auto"/>
                <w:kern w:val="0"/>
              </w:rPr>
            </w:pPr>
          </w:p>
        </w:tc>
        <w:tc>
          <w:tcPr>
            <w:tcW w:w="987" w:type="pct"/>
            <w:vMerge w:val="continue"/>
            <w:vAlign w:val="center"/>
          </w:tcPr>
          <w:p w14:paraId="72E0B266">
            <w:pPr>
              <w:widowControl/>
              <w:jc w:val="center"/>
              <w:rPr>
                <w:rFonts w:ascii="宋体" w:hAnsi="宋体"/>
                <w:color w:val="auto"/>
                <w:kern w:val="0"/>
              </w:rPr>
            </w:pPr>
          </w:p>
        </w:tc>
        <w:tc>
          <w:tcPr>
            <w:tcW w:w="900" w:type="pct"/>
            <w:vAlign w:val="center"/>
          </w:tcPr>
          <w:p w14:paraId="676E45D3">
            <w:pPr>
              <w:jc w:val="center"/>
              <w:rPr>
                <w:rFonts w:ascii="宋体" w:hAnsi="宋体"/>
                <w:color w:val="auto"/>
                <w:kern w:val="0"/>
              </w:rPr>
            </w:pPr>
            <w:r>
              <w:rPr>
                <w:rFonts w:ascii="宋体" w:hAnsi="宋体"/>
                <w:color w:val="auto"/>
                <w:kern w:val="0"/>
              </w:rPr>
              <w:t>4#</w:t>
            </w:r>
          </w:p>
        </w:tc>
        <w:tc>
          <w:tcPr>
            <w:tcW w:w="1274" w:type="pct"/>
            <w:vAlign w:val="center"/>
          </w:tcPr>
          <w:p w14:paraId="1B6FA577">
            <w:pPr>
              <w:jc w:val="center"/>
              <w:rPr>
                <w:rFonts w:ascii="宋体" w:hAnsi="宋体"/>
                <w:color w:val="auto"/>
              </w:rPr>
            </w:pPr>
            <w:r>
              <w:rPr>
                <w:rFonts w:hint="eastAsia" w:ascii="宋体" w:hAnsi="宋体"/>
                <w:color w:val="auto"/>
              </w:rPr>
              <w:t>53</w:t>
            </w:r>
          </w:p>
        </w:tc>
        <w:tc>
          <w:tcPr>
            <w:tcW w:w="1273" w:type="pct"/>
            <w:vAlign w:val="center"/>
          </w:tcPr>
          <w:p w14:paraId="7892669B">
            <w:pPr>
              <w:jc w:val="center"/>
              <w:rPr>
                <w:rFonts w:ascii="宋体" w:hAnsi="宋体"/>
                <w:color w:val="auto"/>
              </w:rPr>
            </w:pPr>
            <w:r>
              <w:rPr>
                <w:rFonts w:hint="eastAsia" w:ascii="宋体" w:hAnsi="宋体"/>
                <w:color w:val="auto"/>
              </w:rPr>
              <w:t>43</w:t>
            </w:r>
          </w:p>
        </w:tc>
      </w:tr>
      <w:tr w14:paraId="1F8FD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vAlign w:val="center"/>
          </w:tcPr>
          <w:p w14:paraId="612A1EFD">
            <w:pPr>
              <w:widowControl/>
              <w:jc w:val="center"/>
              <w:rPr>
                <w:rFonts w:ascii="宋体" w:hAnsi="宋体"/>
                <w:color w:val="auto"/>
                <w:kern w:val="0"/>
              </w:rPr>
            </w:pPr>
            <w:r>
              <w:rPr>
                <w:rFonts w:hint="eastAsia" w:ascii="宋体" w:hAnsi="宋体"/>
                <w:color w:val="auto"/>
                <w:kern w:val="0"/>
              </w:rPr>
              <w:t>6#井场</w:t>
            </w:r>
          </w:p>
        </w:tc>
        <w:tc>
          <w:tcPr>
            <w:tcW w:w="987" w:type="pct"/>
            <w:vMerge w:val="restart"/>
            <w:vAlign w:val="center"/>
          </w:tcPr>
          <w:p w14:paraId="0B4A14E1">
            <w:pPr>
              <w:widowControl/>
              <w:jc w:val="center"/>
              <w:rPr>
                <w:rFonts w:ascii="宋体" w:hAnsi="宋体"/>
                <w:color w:val="auto"/>
                <w:kern w:val="0"/>
              </w:rPr>
            </w:pPr>
            <w:r>
              <w:rPr>
                <w:rFonts w:hint="eastAsia" w:ascii="宋体" w:hAnsi="宋体"/>
                <w:color w:val="auto"/>
              </w:rPr>
              <w:t>2026.3.8</w:t>
            </w:r>
          </w:p>
        </w:tc>
        <w:tc>
          <w:tcPr>
            <w:tcW w:w="900" w:type="pct"/>
            <w:vAlign w:val="center"/>
          </w:tcPr>
          <w:p w14:paraId="6890B89C">
            <w:pPr>
              <w:widowControl/>
              <w:jc w:val="center"/>
              <w:rPr>
                <w:rFonts w:ascii="宋体" w:hAnsi="宋体"/>
                <w:color w:val="auto"/>
                <w:kern w:val="0"/>
              </w:rPr>
            </w:pPr>
            <w:r>
              <w:rPr>
                <w:rFonts w:ascii="宋体" w:hAnsi="宋体"/>
                <w:color w:val="auto"/>
                <w:kern w:val="0"/>
              </w:rPr>
              <w:t>1#</w:t>
            </w:r>
          </w:p>
        </w:tc>
        <w:tc>
          <w:tcPr>
            <w:tcW w:w="1274" w:type="pct"/>
            <w:vAlign w:val="center"/>
          </w:tcPr>
          <w:p w14:paraId="01ECB96D">
            <w:pPr>
              <w:widowControl/>
              <w:jc w:val="center"/>
              <w:rPr>
                <w:rFonts w:ascii="宋体" w:hAnsi="宋体"/>
                <w:color w:val="auto"/>
                <w:kern w:val="0"/>
              </w:rPr>
            </w:pPr>
            <w:r>
              <w:rPr>
                <w:rFonts w:hint="eastAsia" w:ascii="宋体" w:hAnsi="宋体"/>
                <w:color w:val="auto"/>
              </w:rPr>
              <w:t>51</w:t>
            </w:r>
          </w:p>
        </w:tc>
        <w:tc>
          <w:tcPr>
            <w:tcW w:w="1273" w:type="pct"/>
            <w:vAlign w:val="center"/>
          </w:tcPr>
          <w:p w14:paraId="5E8D423A">
            <w:pPr>
              <w:widowControl/>
              <w:jc w:val="center"/>
              <w:rPr>
                <w:rFonts w:ascii="宋体" w:hAnsi="宋体"/>
                <w:color w:val="auto"/>
                <w:kern w:val="0"/>
              </w:rPr>
            </w:pPr>
            <w:r>
              <w:rPr>
                <w:rFonts w:hint="eastAsia" w:ascii="宋体" w:hAnsi="宋体"/>
                <w:color w:val="auto"/>
              </w:rPr>
              <w:t>47</w:t>
            </w:r>
          </w:p>
        </w:tc>
      </w:tr>
      <w:tr w14:paraId="52DA2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10D63B2A">
            <w:pPr>
              <w:widowControl/>
              <w:jc w:val="center"/>
              <w:rPr>
                <w:rFonts w:ascii="宋体" w:hAnsi="宋体"/>
                <w:color w:val="auto"/>
                <w:kern w:val="0"/>
              </w:rPr>
            </w:pPr>
          </w:p>
        </w:tc>
        <w:tc>
          <w:tcPr>
            <w:tcW w:w="987" w:type="pct"/>
            <w:vMerge w:val="continue"/>
            <w:vAlign w:val="center"/>
          </w:tcPr>
          <w:p w14:paraId="51F68678">
            <w:pPr>
              <w:widowControl/>
              <w:jc w:val="center"/>
              <w:rPr>
                <w:rFonts w:ascii="宋体" w:hAnsi="宋体"/>
                <w:color w:val="auto"/>
                <w:kern w:val="0"/>
              </w:rPr>
            </w:pPr>
          </w:p>
        </w:tc>
        <w:tc>
          <w:tcPr>
            <w:tcW w:w="900" w:type="pct"/>
            <w:vAlign w:val="center"/>
          </w:tcPr>
          <w:p w14:paraId="25873FB0">
            <w:pPr>
              <w:jc w:val="center"/>
              <w:rPr>
                <w:rFonts w:ascii="宋体" w:hAnsi="宋体"/>
                <w:color w:val="auto"/>
                <w:kern w:val="0"/>
              </w:rPr>
            </w:pPr>
            <w:r>
              <w:rPr>
                <w:rFonts w:ascii="宋体" w:hAnsi="宋体"/>
                <w:color w:val="auto"/>
                <w:kern w:val="0"/>
              </w:rPr>
              <w:t xml:space="preserve">2# </w:t>
            </w:r>
          </w:p>
        </w:tc>
        <w:tc>
          <w:tcPr>
            <w:tcW w:w="1274" w:type="pct"/>
            <w:vAlign w:val="center"/>
          </w:tcPr>
          <w:p w14:paraId="5E4486E9">
            <w:pPr>
              <w:jc w:val="center"/>
              <w:rPr>
                <w:rFonts w:ascii="宋体" w:hAnsi="宋体"/>
                <w:color w:val="auto"/>
                <w:kern w:val="0"/>
              </w:rPr>
            </w:pPr>
            <w:r>
              <w:rPr>
                <w:rFonts w:hint="eastAsia" w:ascii="宋体" w:hAnsi="宋体"/>
                <w:color w:val="auto"/>
              </w:rPr>
              <w:t>51</w:t>
            </w:r>
          </w:p>
        </w:tc>
        <w:tc>
          <w:tcPr>
            <w:tcW w:w="1273" w:type="pct"/>
            <w:vAlign w:val="center"/>
          </w:tcPr>
          <w:p w14:paraId="3E21F3D5">
            <w:pPr>
              <w:jc w:val="center"/>
              <w:rPr>
                <w:rFonts w:ascii="宋体" w:hAnsi="宋体"/>
                <w:color w:val="auto"/>
                <w:kern w:val="0"/>
              </w:rPr>
            </w:pPr>
            <w:r>
              <w:rPr>
                <w:rFonts w:hint="eastAsia" w:ascii="宋体" w:hAnsi="宋体"/>
                <w:color w:val="auto"/>
              </w:rPr>
              <w:t>48</w:t>
            </w:r>
          </w:p>
        </w:tc>
      </w:tr>
      <w:tr w14:paraId="6C030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4FC76EBE">
            <w:pPr>
              <w:widowControl/>
              <w:jc w:val="center"/>
              <w:rPr>
                <w:rFonts w:ascii="宋体" w:hAnsi="宋体"/>
                <w:color w:val="auto"/>
                <w:kern w:val="0"/>
              </w:rPr>
            </w:pPr>
          </w:p>
        </w:tc>
        <w:tc>
          <w:tcPr>
            <w:tcW w:w="987" w:type="pct"/>
            <w:vMerge w:val="continue"/>
            <w:vAlign w:val="center"/>
          </w:tcPr>
          <w:p w14:paraId="0CD5A4E0">
            <w:pPr>
              <w:widowControl/>
              <w:jc w:val="center"/>
              <w:rPr>
                <w:rFonts w:ascii="宋体" w:hAnsi="宋体"/>
                <w:color w:val="auto"/>
                <w:kern w:val="0"/>
              </w:rPr>
            </w:pPr>
          </w:p>
        </w:tc>
        <w:tc>
          <w:tcPr>
            <w:tcW w:w="900" w:type="pct"/>
            <w:vAlign w:val="center"/>
          </w:tcPr>
          <w:p w14:paraId="62D53789">
            <w:pPr>
              <w:jc w:val="center"/>
              <w:rPr>
                <w:rFonts w:ascii="宋体" w:hAnsi="宋体"/>
                <w:color w:val="auto"/>
                <w:kern w:val="0"/>
              </w:rPr>
            </w:pPr>
            <w:r>
              <w:rPr>
                <w:rFonts w:ascii="宋体" w:hAnsi="宋体"/>
                <w:color w:val="auto"/>
                <w:kern w:val="0"/>
              </w:rPr>
              <w:t xml:space="preserve">3# </w:t>
            </w:r>
          </w:p>
        </w:tc>
        <w:tc>
          <w:tcPr>
            <w:tcW w:w="1274" w:type="pct"/>
            <w:vAlign w:val="center"/>
          </w:tcPr>
          <w:p w14:paraId="6F57A0D6">
            <w:pPr>
              <w:jc w:val="center"/>
              <w:rPr>
                <w:rFonts w:ascii="宋体" w:hAnsi="宋体"/>
                <w:color w:val="auto"/>
                <w:kern w:val="0"/>
              </w:rPr>
            </w:pPr>
            <w:r>
              <w:rPr>
                <w:rFonts w:hint="eastAsia" w:ascii="宋体" w:hAnsi="宋体"/>
                <w:color w:val="auto"/>
              </w:rPr>
              <w:t>52</w:t>
            </w:r>
          </w:p>
        </w:tc>
        <w:tc>
          <w:tcPr>
            <w:tcW w:w="1273" w:type="pct"/>
            <w:vAlign w:val="center"/>
          </w:tcPr>
          <w:p w14:paraId="05DEAB10">
            <w:pPr>
              <w:jc w:val="center"/>
              <w:rPr>
                <w:rFonts w:ascii="宋体" w:hAnsi="宋体"/>
                <w:color w:val="auto"/>
                <w:kern w:val="0"/>
              </w:rPr>
            </w:pPr>
            <w:r>
              <w:rPr>
                <w:rFonts w:hint="eastAsia" w:ascii="宋体" w:hAnsi="宋体"/>
                <w:color w:val="auto"/>
              </w:rPr>
              <w:t>45</w:t>
            </w:r>
          </w:p>
        </w:tc>
      </w:tr>
      <w:tr w14:paraId="180B6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53423D91">
            <w:pPr>
              <w:widowControl/>
              <w:jc w:val="center"/>
              <w:rPr>
                <w:rFonts w:ascii="宋体" w:hAnsi="宋体"/>
                <w:color w:val="auto"/>
                <w:kern w:val="0"/>
              </w:rPr>
            </w:pPr>
          </w:p>
        </w:tc>
        <w:tc>
          <w:tcPr>
            <w:tcW w:w="987" w:type="pct"/>
            <w:vMerge w:val="continue"/>
            <w:vAlign w:val="center"/>
          </w:tcPr>
          <w:p w14:paraId="1AEA9E57">
            <w:pPr>
              <w:widowControl/>
              <w:jc w:val="center"/>
              <w:rPr>
                <w:rFonts w:ascii="宋体" w:hAnsi="宋体"/>
                <w:color w:val="auto"/>
                <w:kern w:val="0"/>
              </w:rPr>
            </w:pPr>
          </w:p>
        </w:tc>
        <w:tc>
          <w:tcPr>
            <w:tcW w:w="900" w:type="pct"/>
            <w:vAlign w:val="center"/>
          </w:tcPr>
          <w:p w14:paraId="2B242828">
            <w:pPr>
              <w:jc w:val="center"/>
              <w:rPr>
                <w:rFonts w:ascii="宋体" w:hAnsi="宋体"/>
                <w:color w:val="auto"/>
                <w:kern w:val="0"/>
              </w:rPr>
            </w:pPr>
            <w:r>
              <w:rPr>
                <w:rFonts w:ascii="宋体" w:hAnsi="宋体"/>
                <w:color w:val="auto"/>
                <w:kern w:val="0"/>
              </w:rPr>
              <w:t>4#</w:t>
            </w:r>
          </w:p>
        </w:tc>
        <w:tc>
          <w:tcPr>
            <w:tcW w:w="1274" w:type="pct"/>
            <w:vAlign w:val="center"/>
          </w:tcPr>
          <w:p w14:paraId="7C8F8167">
            <w:pPr>
              <w:jc w:val="center"/>
              <w:rPr>
                <w:rFonts w:ascii="宋体" w:hAnsi="宋体"/>
                <w:color w:val="auto"/>
                <w:kern w:val="0"/>
              </w:rPr>
            </w:pPr>
            <w:r>
              <w:rPr>
                <w:rFonts w:hint="eastAsia" w:ascii="宋体" w:hAnsi="宋体"/>
                <w:color w:val="auto"/>
              </w:rPr>
              <w:t>52</w:t>
            </w:r>
          </w:p>
        </w:tc>
        <w:tc>
          <w:tcPr>
            <w:tcW w:w="1273" w:type="pct"/>
            <w:vAlign w:val="center"/>
          </w:tcPr>
          <w:p w14:paraId="79D7FB7C">
            <w:pPr>
              <w:jc w:val="center"/>
              <w:rPr>
                <w:rFonts w:ascii="宋体" w:hAnsi="宋体"/>
                <w:color w:val="auto"/>
                <w:kern w:val="0"/>
              </w:rPr>
            </w:pPr>
            <w:r>
              <w:rPr>
                <w:rFonts w:hint="eastAsia" w:ascii="宋体" w:hAnsi="宋体"/>
                <w:color w:val="auto"/>
              </w:rPr>
              <w:t>46</w:t>
            </w:r>
          </w:p>
        </w:tc>
      </w:tr>
      <w:tr w14:paraId="7FAD3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349C2FBA">
            <w:pPr>
              <w:widowControl/>
              <w:jc w:val="center"/>
              <w:rPr>
                <w:rFonts w:ascii="宋体" w:hAnsi="宋体"/>
                <w:color w:val="auto"/>
                <w:kern w:val="0"/>
              </w:rPr>
            </w:pPr>
          </w:p>
        </w:tc>
        <w:tc>
          <w:tcPr>
            <w:tcW w:w="987" w:type="pct"/>
            <w:vMerge w:val="restart"/>
            <w:vAlign w:val="center"/>
          </w:tcPr>
          <w:p w14:paraId="4F9EC643">
            <w:pPr>
              <w:widowControl/>
              <w:jc w:val="center"/>
              <w:rPr>
                <w:rFonts w:ascii="宋体" w:hAnsi="宋体"/>
                <w:color w:val="auto"/>
                <w:kern w:val="0"/>
              </w:rPr>
            </w:pPr>
            <w:r>
              <w:rPr>
                <w:rFonts w:hint="eastAsia" w:ascii="宋体" w:hAnsi="宋体"/>
                <w:color w:val="auto"/>
              </w:rPr>
              <w:t>2026.3.9</w:t>
            </w:r>
          </w:p>
        </w:tc>
        <w:tc>
          <w:tcPr>
            <w:tcW w:w="900" w:type="pct"/>
            <w:vAlign w:val="center"/>
          </w:tcPr>
          <w:p w14:paraId="5E2909D8">
            <w:pPr>
              <w:jc w:val="center"/>
              <w:rPr>
                <w:rFonts w:ascii="宋体" w:hAnsi="宋体"/>
                <w:color w:val="auto"/>
                <w:kern w:val="0"/>
              </w:rPr>
            </w:pPr>
            <w:r>
              <w:rPr>
                <w:rFonts w:ascii="宋体" w:hAnsi="宋体"/>
                <w:color w:val="auto"/>
                <w:kern w:val="0"/>
              </w:rPr>
              <w:t>1#</w:t>
            </w:r>
          </w:p>
        </w:tc>
        <w:tc>
          <w:tcPr>
            <w:tcW w:w="1274" w:type="pct"/>
            <w:vAlign w:val="center"/>
          </w:tcPr>
          <w:p w14:paraId="580989C1">
            <w:pPr>
              <w:jc w:val="center"/>
              <w:rPr>
                <w:rFonts w:ascii="宋体" w:hAnsi="宋体"/>
                <w:color w:val="auto"/>
                <w:kern w:val="0"/>
              </w:rPr>
            </w:pPr>
            <w:r>
              <w:rPr>
                <w:rFonts w:hint="eastAsia" w:ascii="宋体" w:hAnsi="宋体"/>
                <w:color w:val="auto"/>
              </w:rPr>
              <w:t>51</w:t>
            </w:r>
          </w:p>
        </w:tc>
        <w:tc>
          <w:tcPr>
            <w:tcW w:w="1273" w:type="pct"/>
            <w:vAlign w:val="center"/>
          </w:tcPr>
          <w:p w14:paraId="00E5BC72">
            <w:pPr>
              <w:jc w:val="center"/>
              <w:rPr>
                <w:rFonts w:ascii="宋体" w:hAnsi="宋体"/>
                <w:color w:val="auto"/>
                <w:kern w:val="0"/>
              </w:rPr>
            </w:pPr>
            <w:r>
              <w:rPr>
                <w:rFonts w:hint="eastAsia" w:ascii="宋体" w:hAnsi="宋体"/>
                <w:color w:val="auto"/>
              </w:rPr>
              <w:t>47</w:t>
            </w:r>
          </w:p>
        </w:tc>
      </w:tr>
      <w:tr w14:paraId="67EB9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43DF9C67">
            <w:pPr>
              <w:widowControl/>
              <w:jc w:val="center"/>
              <w:rPr>
                <w:rFonts w:ascii="宋体" w:hAnsi="宋体"/>
                <w:color w:val="auto"/>
                <w:kern w:val="0"/>
              </w:rPr>
            </w:pPr>
          </w:p>
        </w:tc>
        <w:tc>
          <w:tcPr>
            <w:tcW w:w="987" w:type="pct"/>
            <w:vMerge w:val="continue"/>
            <w:vAlign w:val="center"/>
          </w:tcPr>
          <w:p w14:paraId="65C9224A">
            <w:pPr>
              <w:widowControl/>
              <w:jc w:val="center"/>
              <w:rPr>
                <w:rFonts w:ascii="宋体" w:hAnsi="宋体"/>
                <w:color w:val="auto"/>
                <w:kern w:val="0"/>
              </w:rPr>
            </w:pPr>
          </w:p>
        </w:tc>
        <w:tc>
          <w:tcPr>
            <w:tcW w:w="900" w:type="pct"/>
            <w:vAlign w:val="center"/>
          </w:tcPr>
          <w:p w14:paraId="3D8C6600">
            <w:pPr>
              <w:jc w:val="center"/>
              <w:rPr>
                <w:rFonts w:ascii="宋体" w:hAnsi="宋体"/>
                <w:color w:val="auto"/>
                <w:kern w:val="0"/>
              </w:rPr>
            </w:pPr>
            <w:r>
              <w:rPr>
                <w:rFonts w:ascii="宋体" w:hAnsi="宋体"/>
                <w:color w:val="auto"/>
                <w:kern w:val="0"/>
              </w:rPr>
              <w:t xml:space="preserve">2# </w:t>
            </w:r>
          </w:p>
        </w:tc>
        <w:tc>
          <w:tcPr>
            <w:tcW w:w="1274" w:type="pct"/>
            <w:vAlign w:val="center"/>
          </w:tcPr>
          <w:p w14:paraId="23EEA3C3">
            <w:pPr>
              <w:jc w:val="center"/>
              <w:rPr>
                <w:rFonts w:ascii="宋体" w:hAnsi="宋体"/>
                <w:color w:val="auto"/>
                <w:kern w:val="0"/>
              </w:rPr>
            </w:pPr>
            <w:r>
              <w:rPr>
                <w:rFonts w:hint="eastAsia" w:ascii="宋体" w:hAnsi="宋体"/>
                <w:color w:val="auto"/>
              </w:rPr>
              <w:t>52</w:t>
            </w:r>
          </w:p>
        </w:tc>
        <w:tc>
          <w:tcPr>
            <w:tcW w:w="1273" w:type="pct"/>
            <w:vAlign w:val="center"/>
          </w:tcPr>
          <w:p w14:paraId="45857540">
            <w:pPr>
              <w:jc w:val="center"/>
              <w:rPr>
                <w:rFonts w:ascii="宋体" w:hAnsi="宋体"/>
                <w:color w:val="auto"/>
                <w:kern w:val="0"/>
              </w:rPr>
            </w:pPr>
            <w:r>
              <w:rPr>
                <w:rFonts w:hint="eastAsia" w:ascii="宋体" w:hAnsi="宋体"/>
                <w:color w:val="auto"/>
              </w:rPr>
              <w:t>46</w:t>
            </w:r>
          </w:p>
        </w:tc>
      </w:tr>
      <w:tr w14:paraId="5ABC8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7C08D1C0">
            <w:pPr>
              <w:widowControl/>
              <w:jc w:val="center"/>
              <w:rPr>
                <w:rFonts w:ascii="宋体" w:hAnsi="宋体"/>
                <w:color w:val="auto"/>
                <w:kern w:val="0"/>
              </w:rPr>
            </w:pPr>
          </w:p>
        </w:tc>
        <w:tc>
          <w:tcPr>
            <w:tcW w:w="987" w:type="pct"/>
            <w:vMerge w:val="continue"/>
            <w:vAlign w:val="center"/>
          </w:tcPr>
          <w:p w14:paraId="6E75D2E6">
            <w:pPr>
              <w:widowControl/>
              <w:jc w:val="center"/>
              <w:rPr>
                <w:rFonts w:ascii="宋体" w:hAnsi="宋体"/>
                <w:color w:val="auto"/>
                <w:kern w:val="0"/>
              </w:rPr>
            </w:pPr>
          </w:p>
        </w:tc>
        <w:tc>
          <w:tcPr>
            <w:tcW w:w="900" w:type="pct"/>
            <w:vAlign w:val="center"/>
          </w:tcPr>
          <w:p w14:paraId="25B1C96C">
            <w:pPr>
              <w:jc w:val="center"/>
              <w:rPr>
                <w:rFonts w:ascii="宋体" w:hAnsi="宋体"/>
                <w:color w:val="auto"/>
                <w:kern w:val="0"/>
              </w:rPr>
            </w:pPr>
            <w:r>
              <w:rPr>
                <w:rFonts w:ascii="宋体" w:hAnsi="宋体"/>
                <w:color w:val="auto"/>
                <w:kern w:val="0"/>
              </w:rPr>
              <w:t xml:space="preserve">3# </w:t>
            </w:r>
          </w:p>
        </w:tc>
        <w:tc>
          <w:tcPr>
            <w:tcW w:w="1274" w:type="pct"/>
            <w:vAlign w:val="center"/>
          </w:tcPr>
          <w:p w14:paraId="74436D06">
            <w:pPr>
              <w:jc w:val="center"/>
              <w:rPr>
                <w:rFonts w:ascii="宋体" w:hAnsi="宋体"/>
                <w:color w:val="auto"/>
                <w:kern w:val="0"/>
              </w:rPr>
            </w:pPr>
            <w:r>
              <w:rPr>
                <w:rFonts w:hint="eastAsia" w:ascii="宋体" w:hAnsi="宋体"/>
                <w:color w:val="auto"/>
              </w:rPr>
              <w:t>50</w:t>
            </w:r>
          </w:p>
        </w:tc>
        <w:tc>
          <w:tcPr>
            <w:tcW w:w="1273" w:type="pct"/>
            <w:vAlign w:val="center"/>
          </w:tcPr>
          <w:p w14:paraId="49755708">
            <w:pPr>
              <w:jc w:val="center"/>
              <w:rPr>
                <w:rFonts w:ascii="宋体" w:hAnsi="宋体"/>
                <w:color w:val="auto"/>
                <w:kern w:val="0"/>
              </w:rPr>
            </w:pPr>
            <w:r>
              <w:rPr>
                <w:rFonts w:hint="eastAsia" w:ascii="宋体" w:hAnsi="宋体"/>
                <w:color w:val="auto"/>
              </w:rPr>
              <w:t>46</w:t>
            </w:r>
          </w:p>
        </w:tc>
      </w:tr>
      <w:tr w14:paraId="159C7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56106857">
            <w:pPr>
              <w:widowControl/>
              <w:jc w:val="center"/>
              <w:rPr>
                <w:rFonts w:ascii="宋体" w:hAnsi="宋体"/>
                <w:color w:val="auto"/>
                <w:kern w:val="0"/>
              </w:rPr>
            </w:pPr>
          </w:p>
        </w:tc>
        <w:tc>
          <w:tcPr>
            <w:tcW w:w="987" w:type="pct"/>
            <w:vMerge w:val="continue"/>
            <w:vAlign w:val="center"/>
          </w:tcPr>
          <w:p w14:paraId="5B4302FA">
            <w:pPr>
              <w:widowControl/>
              <w:jc w:val="center"/>
              <w:rPr>
                <w:rFonts w:ascii="宋体" w:hAnsi="宋体"/>
                <w:color w:val="auto"/>
                <w:kern w:val="0"/>
              </w:rPr>
            </w:pPr>
          </w:p>
        </w:tc>
        <w:tc>
          <w:tcPr>
            <w:tcW w:w="900" w:type="pct"/>
            <w:vAlign w:val="center"/>
          </w:tcPr>
          <w:p w14:paraId="10EB9ACE">
            <w:pPr>
              <w:jc w:val="center"/>
              <w:rPr>
                <w:rFonts w:ascii="宋体" w:hAnsi="宋体"/>
                <w:color w:val="auto"/>
                <w:kern w:val="0"/>
              </w:rPr>
            </w:pPr>
            <w:r>
              <w:rPr>
                <w:rFonts w:ascii="宋体" w:hAnsi="宋体"/>
                <w:color w:val="auto"/>
                <w:kern w:val="0"/>
              </w:rPr>
              <w:t>4#</w:t>
            </w:r>
          </w:p>
        </w:tc>
        <w:tc>
          <w:tcPr>
            <w:tcW w:w="1274" w:type="pct"/>
            <w:vAlign w:val="center"/>
          </w:tcPr>
          <w:p w14:paraId="7485202A">
            <w:pPr>
              <w:jc w:val="center"/>
              <w:rPr>
                <w:rFonts w:ascii="宋体" w:hAnsi="宋体"/>
                <w:color w:val="auto"/>
                <w:kern w:val="0"/>
              </w:rPr>
            </w:pPr>
            <w:r>
              <w:rPr>
                <w:rFonts w:hint="eastAsia" w:ascii="宋体" w:hAnsi="宋体"/>
                <w:color w:val="auto"/>
              </w:rPr>
              <w:t>50</w:t>
            </w:r>
          </w:p>
        </w:tc>
        <w:tc>
          <w:tcPr>
            <w:tcW w:w="1273" w:type="pct"/>
            <w:vAlign w:val="center"/>
          </w:tcPr>
          <w:p w14:paraId="7A218062">
            <w:pPr>
              <w:jc w:val="center"/>
              <w:rPr>
                <w:rFonts w:ascii="宋体" w:hAnsi="宋体"/>
                <w:color w:val="auto"/>
                <w:kern w:val="0"/>
              </w:rPr>
            </w:pPr>
            <w:r>
              <w:rPr>
                <w:rFonts w:hint="eastAsia" w:ascii="宋体" w:hAnsi="宋体"/>
                <w:color w:val="auto"/>
              </w:rPr>
              <w:t>47</w:t>
            </w:r>
          </w:p>
        </w:tc>
      </w:tr>
      <w:tr w14:paraId="7D2DE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vAlign w:val="center"/>
          </w:tcPr>
          <w:p w14:paraId="4939AF53">
            <w:pPr>
              <w:widowControl/>
              <w:jc w:val="center"/>
              <w:rPr>
                <w:rFonts w:ascii="宋体" w:hAnsi="宋体"/>
                <w:color w:val="auto"/>
                <w:kern w:val="0"/>
              </w:rPr>
            </w:pPr>
            <w:bookmarkStart w:id="425" w:name="OLE_LINK119"/>
            <w:r>
              <w:rPr>
                <w:rFonts w:hint="eastAsia" w:ascii="宋体" w:hAnsi="宋体"/>
                <w:color w:val="auto"/>
                <w:kern w:val="0"/>
              </w:rPr>
              <w:t>7#井场</w:t>
            </w:r>
          </w:p>
        </w:tc>
        <w:tc>
          <w:tcPr>
            <w:tcW w:w="987" w:type="pct"/>
            <w:vMerge w:val="restart"/>
            <w:vAlign w:val="center"/>
          </w:tcPr>
          <w:p w14:paraId="69D58824">
            <w:pPr>
              <w:widowControl/>
              <w:jc w:val="center"/>
              <w:rPr>
                <w:rFonts w:ascii="宋体" w:hAnsi="宋体"/>
                <w:color w:val="auto"/>
                <w:kern w:val="0"/>
              </w:rPr>
            </w:pPr>
            <w:r>
              <w:rPr>
                <w:rFonts w:hint="eastAsia" w:ascii="宋体" w:hAnsi="宋体"/>
                <w:color w:val="auto"/>
              </w:rPr>
              <w:t>2026.3.16</w:t>
            </w:r>
          </w:p>
        </w:tc>
        <w:tc>
          <w:tcPr>
            <w:tcW w:w="900" w:type="pct"/>
            <w:vAlign w:val="center"/>
          </w:tcPr>
          <w:p w14:paraId="7D03495A">
            <w:pPr>
              <w:widowControl/>
              <w:jc w:val="center"/>
              <w:rPr>
                <w:rFonts w:ascii="宋体" w:hAnsi="宋体"/>
                <w:color w:val="auto"/>
                <w:kern w:val="0"/>
              </w:rPr>
            </w:pPr>
            <w:r>
              <w:rPr>
                <w:rFonts w:ascii="宋体" w:hAnsi="宋体"/>
                <w:color w:val="auto"/>
                <w:kern w:val="0"/>
              </w:rPr>
              <w:t>1#</w:t>
            </w:r>
          </w:p>
        </w:tc>
        <w:tc>
          <w:tcPr>
            <w:tcW w:w="1274" w:type="pct"/>
            <w:vAlign w:val="center"/>
          </w:tcPr>
          <w:p w14:paraId="04EB7BB3">
            <w:pPr>
              <w:widowControl/>
              <w:jc w:val="center"/>
              <w:rPr>
                <w:rFonts w:ascii="宋体" w:hAnsi="宋体"/>
                <w:color w:val="auto"/>
                <w:kern w:val="0"/>
              </w:rPr>
            </w:pPr>
            <w:r>
              <w:rPr>
                <w:rFonts w:hint="eastAsia" w:ascii="宋体" w:hAnsi="宋体"/>
                <w:color w:val="auto"/>
              </w:rPr>
              <w:t>51</w:t>
            </w:r>
          </w:p>
        </w:tc>
        <w:tc>
          <w:tcPr>
            <w:tcW w:w="1273" w:type="pct"/>
            <w:vAlign w:val="center"/>
          </w:tcPr>
          <w:p w14:paraId="67C1B016">
            <w:pPr>
              <w:widowControl/>
              <w:jc w:val="center"/>
              <w:rPr>
                <w:rFonts w:ascii="宋体" w:hAnsi="宋体"/>
                <w:color w:val="auto"/>
                <w:kern w:val="0"/>
              </w:rPr>
            </w:pPr>
            <w:r>
              <w:rPr>
                <w:rFonts w:hint="eastAsia" w:ascii="宋体" w:hAnsi="宋体"/>
                <w:color w:val="auto"/>
              </w:rPr>
              <w:t>42</w:t>
            </w:r>
          </w:p>
        </w:tc>
      </w:tr>
      <w:tr w14:paraId="62B9C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4E23A08D">
            <w:pPr>
              <w:widowControl/>
              <w:jc w:val="center"/>
              <w:rPr>
                <w:rFonts w:ascii="宋体" w:hAnsi="宋体"/>
                <w:color w:val="auto"/>
                <w:kern w:val="0"/>
              </w:rPr>
            </w:pPr>
          </w:p>
        </w:tc>
        <w:tc>
          <w:tcPr>
            <w:tcW w:w="987" w:type="pct"/>
            <w:vMerge w:val="continue"/>
            <w:vAlign w:val="center"/>
          </w:tcPr>
          <w:p w14:paraId="3921C9F2">
            <w:pPr>
              <w:widowControl/>
              <w:jc w:val="center"/>
              <w:rPr>
                <w:rFonts w:ascii="宋体" w:hAnsi="宋体"/>
                <w:color w:val="auto"/>
                <w:kern w:val="0"/>
              </w:rPr>
            </w:pPr>
          </w:p>
        </w:tc>
        <w:tc>
          <w:tcPr>
            <w:tcW w:w="900" w:type="pct"/>
            <w:vAlign w:val="center"/>
          </w:tcPr>
          <w:p w14:paraId="6738AA72">
            <w:pPr>
              <w:jc w:val="center"/>
              <w:rPr>
                <w:rFonts w:ascii="宋体" w:hAnsi="宋体"/>
                <w:color w:val="auto"/>
                <w:kern w:val="0"/>
              </w:rPr>
            </w:pPr>
            <w:r>
              <w:rPr>
                <w:rFonts w:ascii="宋体" w:hAnsi="宋体"/>
                <w:color w:val="auto"/>
                <w:kern w:val="0"/>
              </w:rPr>
              <w:t xml:space="preserve">2# </w:t>
            </w:r>
          </w:p>
        </w:tc>
        <w:tc>
          <w:tcPr>
            <w:tcW w:w="1274" w:type="pct"/>
            <w:vAlign w:val="center"/>
          </w:tcPr>
          <w:p w14:paraId="6540BAFD">
            <w:pPr>
              <w:jc w:val="center"/>
              <w:rPr>
                <w:rFonts w:ascii="宋体" w:hAnsi="宋体"/>
                <w:color w:val="auto"/>
                <w:kern w:val="0"/>
              </w:rPr>
            </w:pPr>
            <w:r>
              <w:rPr>
                <w:rFonts w:hint="eastAsia" w:ascii="宋体" w:hAnsi="宋体"/>
                <w:color w:val="auto"/>
              </w:rPr>
              <w:t>55</w:t>
            </w:r>
          </w:p>
        </w:tc>
        <w:tc>
          <w:tcPr>
            <w:tcW w:w="1273" w:type="pct"/>
            <w:vAlign w:val="center"/>
          </w:tcPr>
          <w:p w14:paraId="4CC82B92">
            <w:pPr>
              <w:jc w:val="center"/>
              <w:rPr>
                <w:rFonts w:ascii="宋体" w:hAnsi="宋体"/>
                <w:color w:val="auto"/>
                <w:kern w:val="0"/>
              </w:rPr>
            </w:pPr>
            <w:r>
              <w:rPr>
                <w:rFonts w:hint="eastAsia" w:ascii="宋体" w:hAnsi="宋体"/>
                <w:color w:val="auto"/>
              </w:rPr>
              <w:t>46</w:t>
            </w:r>
          </w:p>
        </w:tc>
      </w:tr>
      <w:tr w14:paraId="3F01B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76E795D1">
            <w:pPr>
              <w:widowControl/>
              <w:jc w:val="center"/>
              <w:rPr>
                <w:rFonts w:ascii="宋体" w:hAnsi="宋体"/>
                <w:color w:val="auto"/>
                <w:kern w:val="0"/>
              </w:rPr>
            </w:pPr>
          </w:p>
        </w:tc>
        <w:tc>
          <w:tcPr>
            <w:tcW w:w="987" w:type="pct"/>
            <w:vMerge w:val="continue"/>
            <w:vAlign w:val="center"/>
          </w:tcPr>
          <w:p w14:paraId="2D40B0D2">
            <w:pPr>
              <w:widowControl/>
              <w:jc w:val="center"/>
              <w:rPr>
                <w:rFonts w:ascii="宋体" w:hAnsi="宋体"/>
                <w:color w:val="auto"/>
                <w:kern w:val="0"/>
              </w:rPr>
            </w:pPr>
          </w:p>
        </w:tc>
        <w:tc>
          <w:tcPr>
            <w:tcW w:w="900" w:type="pct"/>
            <w:vAlign w:val="center"/>
          </w:tcPr>
          <w:p w14:paraId="2FE0B8D1">
            <w:pPr>
              <w:jc w:val="center"/>
              <w:rPr>
                <w:rFonts w:ascii="宋体" w:hAnsi="宋体"/>
                <w:color w:val="auto"/>
                <w:kern w:val="0"/>
              </w:rPr>
            </w:pPr>
            <w:r>
              <w:rPr>
                <w:rFonts w:ascii="宋体" w:hAnsi="宋体"/>
                <w:color w:val="auto"/>
                <w:kern w:val="0"/>
              </w:rPr>
              <w:t xml:space="preserve">3# </w:t>
            </w:r>
          </w:p>
        </w:tc>
        <w:tc>
          <w:tcPr>
            <w:tcW w:w="1274" w:type="pct"/>
            <w:vAlign w:val="center"/>
          </w:tcPr>
          <w:p w14:paraId="527E9D54">
            <w:pPr>
              <w:jc w:val="center"/>
              <w:rPr>
                <w:rFonts w:ascii="宋体" w:hAnsi="宋体"/>
                <w:color w:val="auto"/>
                <w:kern w:val="0"/>
              </w:rPr>
            </w:pPr>
            <w:r>
              <w:rPr>
                <w:rFonts w:hint="eastAsia" w:ascii="宋体" w:hAnsi="宋体"/>
                <w:color w:val="auto"/>
              </w:rPr>
              <w:t>52</w:t>
            </w:r>
          </w:p>
        </w:tc>
        <w:tc>
          <w:tcPr>
            <w:tcW w:w="1273" w:type="pct"/>
            <w:vAlign w:val="center"/>
          </w:tcPr>
          <w:p w14:paraId="41B9F220">
            <w:pPr>
              <w:jc w:val="center"/>
              <w:rPr>
                <w:rFonts w:ascii="宋体" w:hAnsi="宋体"/>
                <w:color w:val="auto"/>
                <w:kern w:val="0"/>
              </w:rPr>
            </w:pPr>
            <w:r>
              <w:rPr>
                <w:rFonts w:hint="eastAsia" w:ascii="宋体" w:hAnsi="宋体"/>
                <w:color w:val="auto"/>
              </w:rPr>
              <w:t>47</w:t>
            </w:r>
          </w:p>
        </w:tc>
      </w:tr>
      <w:tr w14:paraId="50622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2F61B090">
            <w:pPr>
              <w:widowControl/>
              <w:jc w:val="center"/>
              <w:rPr>
                <w:rFonts w:ascii="宋体" w:hAnsi="宋体"/>
                <w:color w:val="auto"/>
                <w:kern w:val="0"/>
              </w:rPr>
            </w:pPr>
          </w:p>
        </w:tc>
        <w:tc>
          <w:tcPr>
            <w:tcW w:w="987" w:type="pct"/>
            <w:vMerge w:val="continue"/>
            <w:vAlign w:val="center"/>
          </w:tcPr>
          <w:p w14:paraId="091CD356">
            <w:pPr>
              <w:widowControl/>
              <w:jc w:val="center"/>
              <w:rPr>
                <w:rFonts w:ascii="宋体" w:hAnsi="宋体"/>
                <w:color w:val="auto"/>
                <w:kern w:val="0"/>
              </w:rPr>
            </w:pPr>
          </w:p>
        </w:tc>
        <w:tc>
          <w:tcPr>
            <w:tcW w:w="900" w:type="pct"/>
            <w:vAlign w:val="center"/>
          </w:tcPr>
          <w:p w14:paraId="46F6A8FC">
            <w:pPr>
              <w:jc w:val="center"/>
              <w:rPr>
                <w:rFonts w:ascii="宋体" w:hAnsi="宋体"/>
                <w:color w:val="auto"/>
                <w:kern w:val="0"/>
              </w:rPr>
            </w:pPr>
            <w:r>
              <w:rPr>
                <w:rFonts w:ascii="宋体" w:hAnsi="宋体"/>
                <w:color w:val="auto"/>
                <w:kern w:val="0"/>
              </w:rPr>
              <w:t>4#</w:t>
            </w:r>
          </w:p>
        </w:tc>
        <w:tc>
          <w:tcPr>
            <w:tcW w:w="1274" w:type="pct"/>
            <w:vAlign w:val="center"/>
          </w:tcPr>
          <w:p w14:paraId="3681D55E">
            <w:pPr>
              <w:jc w:val="center"/>
              <w:rPr>
                <w:rFonts w:ascii="宋体" w:hAnsi="宋体"/>
                <w:color w:val="auto"/>
                <w:kern w:val="0"/>
              </w:rPr>
            </w:pPr>
            <w:r>
              <w:rPr>
                <w:rFonts w:hint="eastAsia" w:ascii="宋体" w:hAnsi="宋体"/>
                <w:color w:val="auto"/>
              </w:rPr>
              <w:t>53</w:t>
            </w:r>
          </w:p>
        </w:tc>
        <w:tc>
          <w:tcPr>
            <w:tcW w:w="1273" w:type="pct"/>
            <w:vAlign w:val="center"/>
          </w:tcPr>
          <w:p w14:paraId="1D7778E3">
            <w:pPr>
              <w:jc w:val="center"/>
              <w:rPr>
                <w:rFonts w:ascii="宋体" w:hAnsi="宋体"/>
                <w:color w:val="auto"/>
                <w:kern w:val="0"/>
              </w:rPr>
            </w:pPr>
            <w:r>
              <w:rPr>
                <w:rFonts w:hint="eastAsia" w:ascii="宋体" w:hAnsi="宋体"/>
                <w:color w:val="auto"/>
              </w:rPr>
              <w:t>48</w:t>
            </w:r>
          </w:p>
        </w:tc>
      </w:tr>
      <w:tr w14:paraId="19EB9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5FEB0D3E">
            <w:pPr>
              <w:widowControl/>
              <w:jc w:val="center"/>
              <w:rPr>
                <w:rFonts w:ascii="宋体" w:hAnsi="宋体"/>
                <w:color w:val="auto"/>
                <w:kern w:val="0"/>
              </w:rPr>
            </w:pPr>
          </w:p>
        </w:tc>
        <w:tc>
          <w:tcPr>
            <w:tcW w:w="987" w:type="pct"/>
            <w:vMerge w:val="restart"/>
            <w:vAlign w:val="center"/>
          </w:tcPr>
          <w:p w14:paraId="145E8480">
            <w:pPr>
              <w:widowControl/>
              <w:jc w:val="center"/>
              <w:rPr>
                <w:rFonts w:ascii="宋体" w:hAnsi="宋体"/>
                <w:color w:val="auto"/>
                <w:kern w:val="0"/>
              </w:rPr>
            </w:pPr>
            <w:r>
              <w:rPr>
                <w:rFonts w:hint="eastAsia" w:ascii="宋体" w:hAnsi="宋体"/>
                <w:color w:val="auto"/>
              </w:rPr>
              <w:t>2026.3.9</w:t>
            </w:r>
          </w:p>
        </w:tc>
        <w:tc>
          <w:tcPr>
            <w:tcW w:w="900" w:type="pct"/>
            <w:vAlign w:val="center"/>
          </w:tcPr>
          <w:p w14:paraId="40BF1D43">
            <w:pPr>
              <w:jc w:val="center"/>
              <w:rPr>
                <w:rFonts w:ascii="宋体" w:hAnsi="宋体"/>
                <w:color w:val="auto"/>
                <w:kern w:val="0"/>
              </w:rPr>
            </w:pPr>
            <w:r>
              <w:rPr>
                <w:rFonts w:ascii="宋体" w:hAnsi="宋体"/>
                <w:color w:val="auto"/>
                <w:kern w:val="0"/>
              </w:rPr>
              <w:t>1#</w:t>
            </w:r>
          </w:p>
        </w:tc>
        <w:tc>
          <w:tcPr>
            <w:tcW w:w="1274" w:type="pct"/>
            <w:vAlign w:val="center"/>
          </w:tcPr>
          <w:p w14:paraId="14E9C3C9">
            <w:pPr>
              <w:jc w:val="center"/>
              <w:rPr>
                <w:rFonts w:ascii="宋体" w:hAnsi="宋体"/>
                <w:color w:val="auto"/>
                <w:kern w:val="0"/>
              </w:rPr>
            </w:pPr>
            <w:r>
              <w:rPr>
                <w:rFonts w:hint="eastAsia" w:ascii="宋体" w:hAnsi="宋体"/>
                <w:color w:val="auto"/>
              </w:rPr>
              <w:t>53</w:t>
            </w:r>
          </w:p>
        </w:tc>
        <w:tc>
          <w:tcPr>
            <w:tcW w:w="1273" w:type="pct"/>
            <w:vAlign w:val="center"/>
          </w:tcPr>
          <w:p w14:paraId="48ACEB03">
            <w:pPr>
              <w:jc w:val="center"/>
              <w:rPr>
                <w:rFonts w:ascii="宋体" w:hAnsi="宋体"/>
                <w:color w:val="auto"/>
                <w:kern w:val="0"/>
              </w:rPr>
            </w:pPr>
            <w:r>
              <w:rPr>
                <w:rFonts w:hint="eastAsia" w:ascii="宋体" w:hAnsi="宋体"/>
                <w:color w:val="auto"/>
              </w:rPr>
              <w:t>43</w:t>
            </w:r>
          </w:p>
        </w:tc>
      </w:tr>
      <w:tr w14:paraId="088F7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34BFB95F">
            <w:pPr>
              <w:widowControl/>
              <w:jc w:val="center"/>
              <w:rPr>
                <w:rFonts w:ascii="宋体" w:hAnsi="宋体"/>
                <w:color w:val="auto"/>
                <w:kern w:val="0"/>
              </w:rPr>
            </w:pPr>
          </w:p>
        </w:tc>
        <w:tc>
          <w:tcPr>
            <w:tcW w:w="987" w:type="pct"/>
            <w:vMerge w:val="continue"/>
            <w:vAlign w:val="center"/>
          </w:tcPr>
          <w:p w14:paraId="1C517BAF">
            <w:pPr>
              <w:widowControl/>
              <w:jc w:val="center"/>
              <w:rPr>
                <w:rFonts w:ascii="宋体" w:hAnsi="宋体"/>
                <w:color w:val="auto"/>
                <w:kern w:val="0"/>
              </w:rPr>
            </w:pPr>
          </w:p>
        </w:tc>
        <w:tc>
          <w:tcPr>
            <w:tcW w:w="900" w:type="pct"/>
            <w:vAlign w:val="center"/>
          </w:tcPr>
          <w:p w14:paraId="084AFF0B">
            <w:pPr>
              <w:jc w:val="center"/>
              <w:rPr>
                <w:rFonts w:ascii="宋体" w:hAnsi="宋体"/>
                <w:color w:val="auto"/>
                <w:kern w:val="0"/>
              </w:rPr>
            </w:pPr>
            <w:r>
              <w:rPr>
                <w:rFonts w:ascii="宋体" w:hAnsi="宋体"/>
                <w:color w:val="auto"/>
                <w:kern w:val="0"/>
              </w:rPr>
              <w:t xml:space="preserve">2# </w:t>
            </w:r>
          </w:p>
        </w:tc>
        <w:tc>
          <w:tcPr>
            <w:tcW w:w="1274" w:type="pct"/>
            <w:vAlign w:val="center"/>
          </w:tcPr>
          <w:p w14:paraId="4C5BFB2C">
            <w:pPr>
              <w:jc w:val="center"/>
              <w:rPr>
                <w:rFonts w:ascii="宋体" w:hAnsi="宋体"/>
                <w:color w:val="auto"/>
                <w:kern w:val="0"/>
              </w:rPr>
            </w:pPr>
            <w:r>
              <w:rPr>
                <w:rFonts w:hint="eastAsia" w:ascii="宋体" w:hAnsi="宋体"/>
                <w:color w:val="auto"/>
              </w:rPr>
              <w:t>56</w:t>
            </w:r>
          </w:p>
        </w:tc>
        <w:tc>
          <w:tcPr>
            <w:tcW w:w="1273" w:type="pct"/>
            <w:vAlign w:val="center"/>
          </w:tcPr>
          <w:p w14:paraId="6056B36F">
            <w:pPr>
              <w:jc w:val="center"/>
              <w:rPr>
                <w:rFonts w:ascii="宋体" w:hAnsi="宋体"/>
                <w:color w:val="auto"/>
                <w:kern w:val="0"/>
              </w:rPr>
            </w:pPr>
            <w:r>
              <w:rPr>
                <w:rFonts w:hint="eastAsia" w:ascii="宋体" w:hAnsi="宋体"/>
                <w:color w:val="auto"/>
              </w:rPr>
              <w:t>48</w:t>
            </w:r>
          </w:p>
        </w:tc>
      </w:tr>
      <w:tr w14:paraId="7E8D3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7CF0F697">
            <w:pPr>
              <w:widowControl/>
              <w:jc w:val="center"/>
              <w:rPr>
                <w:rFonts w:ascii="宋体" w:hAnsi="宋体"/>
                <w:color w:val="auto"/>
                <w:kern w:val="0"/>
              </w:rPr>
            </w:pPr>
          </w:p>
        </w:tc>
        <w:tc>
          <w:tcPr>
            <w:tcW w:w="987" w:type="pct"/>
            <w:vMerge w:val="continue"/>
            <w:vAlign w:val="center"/>
          </w:tcPr>
          <w:p w14:paraId="7A101DD8">
            <w:pPr>
              <w:widowControl/>
              <w:jc w:val="center"/>
              <w:rPr>
                <w:rFonts w:ascii="宋体" w:hAnsi="宋体"/>
                <w:color w:val="auto"/>
                <w:kern w:val="0"/>
              </w:rPr>
            </w:pPr>
          </w:p>
        </w:tc>
        <w:tc>
          <w:tcPr>
            <w:tcW w:w="900" w:type="pct"/>
            <w:vAlign w:val="center"/>
          </w:tcPr>
          <w:p w14:paraId="289F7EAE">
            <w:pPr>
              <w:jc w:val="center"/>
              <w:rPr>
                <w:rFonts w:ascii="宋体" w:hAnsi="宋体"/>
                <w:color w:val="auto"/>
                <w:kern w:val="0"/>
              </w:rPr>
            </w:pPr>
            <w:r>
              <w:rPr>
                <w:rFonts w:ascii="宋体" w:hAnsi="宋体"/>
                <w:color w:val="auto"/>
                <w:kern w:val="0"/>
              </w:rPr>
              <w:t xml:space="preserve">3# </w:t>
            </w:r>
          </w:p>
        </w:tc>
        <w:tc>
          <w:tcPr>
            <w:tcW w:w="1274" w:type="pct"/>
            <w:vAlign w:val="center"/>
          </w:tcPr>
          <w:p w14:paraId="088E43C7">
            <w:pPr>
              <w:jc w:val="center"/>
              <w:rPr>
                <w:rFonts w:ascii="宋体" w:hAnsi="宋体"/>
                <w:color w:val="auto"/>
                <w:kern w:val="0"/>
              </w:rPr>
            </w:pPr>
            <w:r>
              <w:rPr>
                <w:rFonts w:hint="eastAsia" w:ascii="宋体" w:hAnsi="宋体"/>
                <w:color w:val="auto"/>
              </w:rPr>
              <w:t>56</w:t>
            </w:r>
          </w:p>
        </w:tc>
        <w:tc>
          <w:tcPr>
            <w:tcW w:w="1273" w:type="pct"/>
            <w:vAlign w:val="center"/>
          </w:tcPr>
          <w:p w14:paraId="16512BD8">
            <w:pPr>
              <w:jc w:val="center"/>
              <w:rPr>
                <w:rFonts w:ascii="宋体" w:hAnsi="宋体"/>
                <w:color w:val="auto"/>
                <w:kern w:val="0"/>
              </w:rPr>
            </w:pPr>
            <w:r>
              <w:rPr>
                <w:rFonts w:hint="eastAsia" w:ascii="宋体" w:hAnsi="宋体"/>
                <w:color w:val="auto"/>
              </w:rPr>
              <w:t>43</w:t>
            </w:r>
          </w:p>
        </w:tc>
      </w:tr>
      <w:tr w14:paraId="3436C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63AC295F">
            <w:pPr>
              <w:widowControl/>
              <w:jc w:val="center"/>
              <w:rPr>
                <w:rFonts w:ascii="宋体" w:hAnsi="宋体"/>
                <w:color w:val="auto"/>
                <w:kern w:val="0"/>
              </w:rPr>
            </w:pPr>
          </w:p>
        </w:tc>
        <w:tc>
          <w:tcPr>
            <w:tcW w:w="987" w:type="pct"/>
            <w:vMerge w:val="continue"/>
            <w:vAlign w:val="center"/>
          </w:tcPr>
          <w:p w14:paraId="1FD23A68">
            <w:pPr>
              <w:widowControl/>
              <w:jc w:val="center"/>
              <w:rPr>
                <w:rFonts w:ascii="宋体" w:hAnsi="宋体"/>
                <w:color w:val="auto"/>
                <w:kern w:val="0"/>
              </w:rPr>
            </w:pPr>
          </w:p>
        </w:tc>
        <w:tc>
          <w:tcPr>
            <w:tcW w:w="900" w:type="pct"/>
            <w:vAlign w:val="center"/>
          </w:tcPr>
          <w:p w14:paraId="11DE6EC8">
            <w:pPr>
              <w:jc w:val="center"/>
              <w:rPr>
                <w:rFonts w:ascii="宋体" w:hAnsi="宋体"/>
                <w:color w:val="auto"/>
                <w:kern w:val="0"/>
              </w:rPr>
            </w:pPr>
            <w:r>
              <w:rPr>
                <w:rFonts w:ascii="宋体" w:hAnsi="宋体"/>
                <w:color w:val="auto"/>
                <w:kern w:val="0"/>
              </w:rPr>
              <w:t>4#</w:t>
            </w:r>
          </w:p>
        </w:tc>
        <w:tc>
          <w:tcPr>
            <w:tcW w:w="1274" w:type="pct"/>
            <w:vAlign w:val="center"/>
          </w:tcPr>
          <w:p w14:paraId="1F94AD28">
            <w:pPr>
              <w:jc w:val="center"/>
              <w:rPr>
                <w:rFonts w:ascii="宋体" w:hAnsi="宋体"/>
                <w:color w:val="auto"/>
                <w:kern w:val="0"/>
              </w:rPr>
            </w:pPr>
            <w:r>
              <w:rPr>
                <w:rFonts w:hint="eastAsia" w:ascii="宋体" w:hAnsi="宋体"/>
                <w:color w:val="auto"/>
              </w:rPr>
              <w:t>53</w:t>
            </w:r>
          </w:p>
        </w:tc>
        <w:tc>
          <w:tcPr>
            <w:tcW w:w="1273" w:type="pct"/>
            <w:vAlign w:val="center"/>
          </w:tcPr>
          <w:p w14:paraId="42AD435B">
            <w:pPr>
              <w:jc w:val="center"/>
              <w:rPr>
                <w:rFonts w:ascii="宋体" w:hAnsi="宋体"/>
                <w:color w:val="auto"/>
                <w:kern w:val="0"/>
              </w:rPr>
            </w:pPr>
            <w:r>
              <w:rPr>
                <w:rFonts w:hint="eastAsia" w:ascii="宋体" w:hAnsi="宋体"/>
                <w:color w:val="auto"/>
              </w:rPr>
              <w:t>46</w:t>
            </w:r>
          </w:p>
        </w:tc>
      </w:tr>
      <w:tr w14:paraId="34ADB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vAlign w:val="center"/>
          </w:tcPr>
          <w:p w14:paraId="4B000182">
            <w:pPr>
              <w:widowControl/>
              <w:jc w:val="center"/>
              <w:rPr>
                <w:rFonts w:ascii="宋体" w:hAnsi="宋体"/>
                <w:color w:val="auto"/>
                <w:kern w:val="0"/>
              </w:rPr>
            </w:pPr>
            <w:r>
              <w:rPr>
                <w:rFonts w:hint="eastAsia" w:ascii="宋体" w:hAnsi="宋体"/>
                <w:color w:val="auto"/>
                <w:kern w:val="0"/>
              </w:rPr>
              <w:t>1</w:t>
            </w:r>
            <w:r>
              <w:rPr>
                <w:rFonts w:ascii="宋体" w:hAnsi="宋体"/>
                <w:color w:val="auto"/>
                <w:kern w:val="0"/>
              </w:rPr>
              <w:t>2#</w:t>
            </w:r>
          </w:p>
        </w:tc>
        <w:tc>
          <w:tcPr>
            <w:tcW w:w="987" w:type="pct"/>
            <w:vMerge w:val="restart"/>
            <w:vAlign w:val="center"/>
          </w:tcPr>
          <w:p w14:paraId="7667203D">
            <w:pPr>
              <w:widowControl/>
              <w:jc w:val="center"/>
              <w:rPr>
                <w:rFonts w:ascii="宋体" w:hAnsi="宋体"/>
                <w:color w:val="auto"/>
                <w:kern w:val="0"/>
              </w:rPr>
            </w:pPr>
            <w:r>
              <w:rPr>
                <w:rFonts w:hint="eastAsia" w:ascii="宋体" w:hAnsi="宋体"/>
                <w:color w:val="auto"/>
                <w:kern w:val="0"/>
              </w:rPr>
              <w:t>2</w:t>
            </w:r>
            <w:r>
              <w:rPr>
                <w:rFonts w:ascii="宋体" w:hAnsi="宋体"/>
                <w:color w:val="auto"/>
                <w:kern w:val="0"/>
              </w:rPr>
              <w:t>026.5.11</w:t>
            </w:r>
          </w:p>
        </w:tc>
        <w:tc>
          <w:tcPr>
            <w:tcW w:w="900" w:type="pct"/>
            <w:vAlign w:val="center"/>
          </w:tcPr>
          <w:p w14:paraId="7E3591C6">
            <w:pPr>
              <w:jc w:val="center"/>
              <w:rPr>
                <w:rFonts w:ascii="宋体" w:hAnsi="宋体"/>
                <w:color w:val="auto"/>
                <w:kern w:val="0"/>
              </w:rPr>
            </w:pPr>
            <w:r>
              <w:rPr>
                <w:rFonts w:ascii="宋体" w:hAnsi="宋体"/>
                <w:color w:val="auto"/>
                <w:kern w:val="0"/>
              </w:rPr>
              <w:t>1#</w:t>
            </w:r>
          </w:p>
        </w:tc>
        <w:tc>
          <w:tcPr>
            <w:tcW w:w="1274" w:type="pct"/>
            <w:vAlign w:val="center"/>
          </w:tcPr>
          <w:p w14:paraId="667FE01B">
            <w:pPr>
              <w:jc w:val="center"/>
              <w:rPr>
                <w:rFonts w:ascii="宋体" w:hAnsi="宋体"/>
                <w:color w:val="auto"/>
              </w:rPr>
            </w:pPr>
            <w:r>
              <w:rPr>
                <w:rFonts w:hint="eastAsia" w:ascii="宋体" w:hAnsi="宋体"/>
                <w:color w:val="auto"/>
              </w:rPr>
              <w:t>5</w:t>
            </w:r>
            <w:r>
              <w:rPr>
                <w:rFonts w:ascii="宋体" w:hAnsi="宋体"/>
                <w:color w:val="auto"/>
              </w:rPr>
              <w:t>2</w:t>
            </w:r>
          </w:p>
        </w:tc>
        <w:tc>
          <w:tcPr>
            <w:tcW w:w="1273" w:type="pct"/>
            <w:vAlign w:val="center"/>
          </w:tcPr>
          <w:p w14:paraId="749F8B66">
            <w:pPr>
              <w:jc w:val="center"/>
              <w:rPr>
                <w:rFonts w:ascii="宋体" w:hAnsi="宋体"/>
                <w:color w:val="auto"/>
              </w:rPr>
            </w:pPr>
            <w:r>
              <w:rPr>
                <w:rFonts w:hint="eastAsia" w:ascii="宋体" w:hAnsi="宋体"/>
                <w:color w:val="auto"/>
              </w:rPr>
              <w:t>4</w:t>
            </w:r>
            <w:r>
              <w:rPr>
                <w:rFonts w:ascii="宋体" w:hAnsi="宋体"/>
                <w:color w:val="auto"/>
              </w:rPr>
              <w:t>8</w:t>
            </w:r>
          </w:p>
        </w:tc>
      </w:tr>
      <w:tr w14:paraId="4BC67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5620A671">
            <w:pPr>
              <w:widowControl/>
              <w:jc w:val="center"/>
              <w:rPr>
                <w:rFonts w:ascii="宋体" w:hAnsi="宋体"/>
                <w:color w:val="auto"/>
                <w:kern w:val="0"/>
              </w:rPr>
            </w:pPr>
          </w:p>
        </w:tc>
        <w:tc>
          <w:tcPr>
            <w:tcW w:w="987" w:type="pct"/>
            <w:vMerge w:val="continue"/>
            <w:vAlign w:val="center"/>
          </w:tcPr>
          <w:p w14:paraId="1565AB83">
            <w:pPr>
              <w:widowControl/>
              <w:jc w:val="center"/>
              <w:rPr>
                <w:rFonts w:ascii="宋体" w:hAnsi="宋体"/>
                <w:color w:val="auto"/>
                <w:kern w:val="0"/>
              </w:rPr>
            </w:pPr>
          </w:p>
        </w:tc>
        <w:tc>
          <w:tcPr>
            <w:tcW w:w="900" w:type="pct"/>
            <w:vAlign w:val="center"/>
          </w:tcPr>
          <w:p w14:paraId="58DC89B4">
            <w:pPr>
              <w:jc w:val="center"/>
              <w:rPr>
                <w:rFonts w:ascii="宋体" w:hAnsi="宋体"/>
                <w:color w:val="auto"/>
                <w:kern w:val="0"/>
              </w:rPr>
            </w:pPr>
            <w:r>
              <w:rPr>
                <w:rFonts w:ascii="宋体" w:hAnsi="宋体"/>
                <w:color w:val="auto"/>
                <w:kern w:val="0"/>
              </w:rPr>
              <w:t xml:space="preserve">2# </w:t>
            </w:r>
          </w:p>
        </w:tc>
        <w:tc>
          <w:tcPr>
            <w:tcW w:w="1274" w:type="pct"/>
            <w:vAlign w:val="center"/>
          </w:tcPr>
          <w:p w14:paraId="30626212">
            <w:pPr>
              <w:jc w:val="center"/>
              <w:rPr>
                <w:rFonts w:ascii="宋体" w:hAnsi="宋体"/>
                <w:color w:val="auto"/>
              </w:rPr>
            </w:pPr>
            <w:r>
              <w:rPr>
                <w:rFonts w:hint="eastAsia" w:ascii="宋体" w:hAnsi="宋体"/>
                <w:color w:val="auto"/>
              </w:rPr>
              <w:t>5</w:t>
            </w:r>
            <w:r>
              <w:rPr>
                <w:rFonts w:ascii="宋体" w:hAnsi="宋体"/>
                <w:color w:val="auto"/>
              </w:rPr>
              <w:t>1</w:t>
            </w:r>
          </w:p>
        </w:tc>
        <w:tc>
          <w:tcPr>
            <w:tcW w:w="1273" w:type="pct"/>
            <w:vAlign w:val="center"/>
          </w:tcPr>
          <w:p w14:paraId="681DB19B">
            <w:pPr>
              <w:jc w:val="center"/>
              <w:rPr>
                <w:rFonts w:ascii="宋体" w:hAnsi="宋体"/>
                <w:color w:val="auto"/>
              </w:rPr>
            </w:pPr>
            <w:r>
              <w:rPr>
                <w:rFonts w:hint="eastAsia" w:ascii="宋体" w:hAnsi="宋体"/>
                <w:color w:val="auto"/>
              </w:rPr>
              <w:t>4</w:t>
            </w:r>
            <w:r>
              <w:rPr>
                <w:rFonts w:ascii="宋体" w:hAnsi="宋体"/>
                <w:color w:val="auto"/>
              </w:rPr>
              <w:t>8</w:t>
            </w:r>
          </w:p>
        </w:tc>
      </w:tr>
      <w:tr w14:paraId="55F16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7BA1DC71">
            <w:pPr>
              <w:widowControl/>
              <w:jc w:val="center"/>
              <w:rPr>
                <w:rFonts w:ascii="宋体" w:hAnsi="宋体"/>
                <w:color w:val="auto"/>
                <w:kern w:val="0"/>
              </w:rPr>
            </w:pPr>
          </w:p>
        </w:tc>
        <w:tc>
          <w:tcPr>
            <w:tcW w:w="987" w:type="pct"/>
            <w:vMerge w:val="continue"/>
            <w:vAlign w:val="center"/>
          </w:tcPr>
          <w:p w14:paraId="2AD5B2D3">
            <w:pPr>
              <w:widowControl/>
              <w:jc w:val="center"/>
              <w:rPr>
                <w:rFonts w:ascii="宋体" w:hAnsi="宋体"/>
                <w:color w:val="auto"/>
                <w:kern w:val="0"/>
              </w:rPr>
            </w:pPr>
          </w:p>
        </w:tc>
        <w:tc>
          <w:tcPr>
            <w:tcW w:w="900" w:type="pct"/>
            <w:vAlign w:val="center"/>
          </w:tcPr>
          <w:p w14:paraId="28AE7BA5">
            <w:pPr>
              <w:jc w:val="center"/>
              <w:rPr>
                <w:rFonts w:ascii="宋体" w:hAnsi="宋体"/>
                <w:color w:val="auto"/>
                <w:kern w:val="0"/>
              </w:rPr>
            </w:pPr>
            <w:r>
              <w:rPr>
                <w:rFonts w:ascii="宋体" w:hAnsi="宋体"/>
                <w:color w:val="auto"/>
                <w:kern w:val="0"/>
              </w:rPr>
              <w:t xml:space="preserve">3# </w:t>
            </w:r>
          </w:p>
        </w:tc>
        <w:tc>
          <w:tcPr>
            <w:tcW w:w="1274" w:type="pct"/>
            <w:vAlign w:val="center"/>
          </w:tcPr>
          <w:p w14:paraId="59A5BED3">
            <w:pPr>
              <w:jc w:val="center"/>
              <w:rPr>
                <w:rFonts w:ascii="宋体" w:hAnsi="宋体"/>
                <w:color w:val="auto"/>
              </w:rPr>
            </w:pPr>
            <w:r>
              <w:rPr>
                <w:rFonts w:hint="eastAsia" w:ascii="宋体" w:hAnsi="宋体"/>
                <w:color w:val="auto"/>
              </w:rPr>
              <w:t>5</w:t>
            </w:r>
            <w:r>
              <w:rPr>
                <w:rFonts w:ascii="宋体" w:hAnsi="宋体"/>
                <w:color w:val="auto"/>
              </w:rPr>
              <w:t>1</w:t>
            </w:r>
          </w:p>
        </w:tc>
        <w:tc>
          <w:tcPr>
            <w:tcW w:w="1273" w:type="pct"/>
            <w:vAlign w:val="center"/>
          </w:tcPr>
          <w:p w14:paraId="57A0DD20">
            <w:pPr>
              <w:jc w:val="center"/>
              <w:rPr>
                <w:rFonts w:ascii="宋体" w:hAnsi="宋体"/>
                <w:color w:val="auto"/>
              </w:rPr>
            </w:pPr>
            <w:r>
              <w:rPr>
                <w:rFonts w:hint="eastAsia" w:ascii="宋体" w:hAnsi="宋体"/>
                <w:color w:val="auto"/>
              </w:rPr>
              <w:t>4</w:t>
            </w:r>
            <w:r>
              <w:rPr>
                <w:rFonts w:ascii="宋体" w:hAnsi="宋体"/>
                <w:color w:val="auto"/>
              </w:rPr>
              <w:t>8</w:t>
            </w:r>
          </w:p>
        </w:tc>
      </w:tr>
      <w:tr w14:paraId="6AEB4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52E53D4C">
            <w:pPr>
              <w:widowControl/>
              <w:jc w:val="center"/>
              <w:rPr>
                <w:rFonts w:ascii="宋体" w:hAnsi="宋体"/>
                <w:color w:val="auto"/>
                <w:kern w:val="0"/>
              </w:rPr>
            </w:pPr>
          </w:p>
        </w:tc>
        <w:tc>
          <w:tcPr>
            <w:tcW w:w="987" w:type="pct"/>
            <w:vMerge w:val="continue"/>
            <w:vAlign w:val="center"/>
          </w:tcPr>
          <w:p w14:paraId="440A1A3D">
            <w:pPr>
              <w:widowControl/>
              <w:jc w:val="center"/>
              <w:rPr>
                <w:rFonts w:ascii="宋体" w:hAnsi="宋体"/>
                <w:color w:val="auto"/>
                <w:kern w:val="0"/>
              </w:rPr>
            </w:pPr>
          </w:p>
        </w:tc>
        <w:tc>
          <w:tcPr>
            <w:tcW w:w="900" w:type="pct"/>
            <w:vAlign w:val="center"/>
          </w:tcPr>
          <w:p w14:paraId="6AD8BBF6">
            <w:pPr>
              <w:jc w:val="center"/>
              <w:rPr>
                <w:rFonts w:ascii="宋体" w:hAnsi="宋体"/>
                <w:color w:val="auto"/>
                <w:kern w:val="0"/>
              </w:rPr>
            </w:pPr>
            <w:r>
              <w:rPr>
                <w:rFonts w:ascii="宋体" w:hAnsi="宋体"/>
                <w:color w:val="auto"/>
                <w:kern w:val="0"/>
              </w:rPr>
              <w:t>4#</w:t>
            </w:r>
          </w:p>
        </w:tc>
        <w:tc>
          <w:tcPr>
            <w:tcW w:w="1274" w:type="pct"/>
            <w:vAlign w:val="center"/>
          </w:tcPr>
          <w:p w14:paraId="20261C8D">
            <w:pPr>
              <w:jc w:val="center"/>
              <w:rPr>
                <w:rFonts w:ascii="宋体" w:hAnsi="宋体"/>
                <w:color w:val="auto"/>
              </w:rPr>
            </w:pPr>
            <w:r>
              <w:rPr>
                <w:rFonts w:hint="eastAsia" w:ascii="宋体" w:hAnsi="宋体"/>
                <w:color w:val="auto"/>
              </w:rPr>
              <w:t>5</w:t>
            </w:r>
            <w:r>
              <w:rPr>
                <w:rFonts w:ascii="宋体" w:hAnsi="宋体"/>
                <w:color w:val="auto"/>
              </w:rPr>
              <w:t>1</w:t>
            </w:r>
          </w:p>
        </w:tc>
        <w:tc>
          <w:tcPr>
            <w:tcW w:w="1273" w:type="pct"/>
            <w:vAlign w:val="center"/>
          </w:tcPr>
          <w:p w14:paraId="17C8DAE2">
            <w:pPr>
              <w:jc w:val="center"/>
              <w:rPr>
                <w:rFonts w:ascii="宋体" w:hAnsi="宋体"/>
                <w:color w:val="auto"/>
              </w:rPr>
            </w:pPr>
            <w:r>
              <w:rPr>
                <w:rFonts w:hint="eastAsia" w:ascii="宋体" w:hAnsi="宋体"/>
                <w:color w:val="auto"/>
              </w:rPr>
              <w:t>4</w:t>
            </w:r>
            <w:r>
              <w:rPr>
                <w:rFonts w:ascii="宋体" w:hAnsi="宋体"/>
                <w:color w:val="auto"/>
              </w:rPr>
              <w:t>7</w:t>
            </w:r>
          </w:p>
        </w:tc>
      </w:tr>
      <w:tr w14:paraId="727CA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7A929FC1">
            <w:pPr>
              <w:widowControl/>
              <w:jc w:val="center"/>
              <w:rPr>
                <w:rFonts w:ascii="宋体" w:hAnsi="宋体"/>
                <w:color w:val="auto"/>
                <w:kern w:val="0"/>
              </w:rPr>
            </w:pPr>
          </w:p>
        </w:tc>
        <w:tc>
          <w:tcPr>
            <w:tcW w:w="987" w:type="pct"/>
            <w:vMerge w:val="restart"/>
            <w:vAlign w:val="center"/>
          </w:tcPr>
          <w:p w14:paraId="05AF70CF">
            <w:pPr>
              <w:widowControl/>
              <w:jc w:val="center"/>
              <w:rPr>
                <w:rFonts w:ascii="宋体" w:hAnsi="宋体"/>
                <w:color w:val="auto"/>
                <w:kern w:val="0"/>
              </w:rPr>
            </w:pPr>
            <w:r>
              <w:rPr>
                <w:rFonts w:hint="eastAsia" w:ascii="宋体" w:hAnsi="宋体"/>
                <w:color w:val="auto"/>
                <w:kern w:val="0"/>
              </w:rPr>
              <w:t>2</w:t>
            </w:r>
            <w:r>
              <w:rPr>
                <w:rFonts w:ascii="宋体" w:hAnsi="宋体"/>
                <w:color w:val="auto"/>
                <w:kern w:val="0"/>
              </w:rPr>
              <w:t>026.5.12</w:t>
            </w:r>
          </w:p>
        </w:tc>
        <w:tc>
          <w:tcPr>
            <w:tcW w:w="900" w:type="pct"/>
            <w:vAlign w:val="center"/>
          </w:tcPr>
          <w:p w14:paraId="77378F43">
            <w:pPr>
              <w:jc w:val="center"/>
              <w:rPr>
                <w:rFonts w:ascii="宋体" w:hAnsi="宋体"/>
                <w:color w:val="auto"/>
                <w:kern w:val="0"/>
              </w:rPr>
            </w:pPr>
            <w:r>
              <w:rPr>
                <w:rFonts w:hint="eastAsia" w:ascii="宋体" w:hAnsi="宋体"/>
                <w:color w:val="auto"/>
                <w:kern w:val="0"/>
              </w:rPr>
              <w:t>1#</w:t>
            </w:r>
          </w:p>
        </w:tc>
        <w:tc>
          <w:tcPr>
            <w:tcW w:w="1274" w:type="pct"/>
            <w:vAlign w:val="center"/>
          </w:tcPr>
          <w:p w14:paraId="676DC094">
            <w:pPr>
              <w:jc w:val="center"/>
              <w:rPr>
                <w:rFonts w:ascii="宋体" w:hAnsi="宋体"/>
                <w:color w:val="auto"/>
              </w:rPr>
            </w:pPr>
            <w:r>
              <w:rPr>
                <w:rFonts w:hint="eastAsia" w:ascii="宋体" w:hAnsi="宋体"/>
                <w:color w:val="auto"/>
              </w:rPr>
              <w:t>5</w:t>
            </w:r>
            <w:r>
              <w:rPr>
                <w:rFonts w:ascii="宋体" w:hAnsi="宋体"/>
                <w:color w:val="auto"/>
              </w:rPr>
              <w:t>2</w:t>
            </w:r>
          </w:p>
        </w:tc>
        <w:tc>
          <w:tcPr>
            <w:tcW w:w="1273" w:type="pct"/>
            <w:vAlign w:val="center"/>
          </w:tcPr>
          <w:p w14:paraId="6550C657">
            <w:pPr>
              <w:jc w:val="center"/>
              <w:rPr>
                <w:rFonts w:ascii="宋体" w:hAnsi="宋体"/>
                <w:color w:val="auto"/>
              </w:rPr>
            </w:pPr>
            <w:r>
              <w:rPr>
                <w:rFonts w:hint="eastAsia" w:ascii="宋体" w:hAnsi="宋体"/>
                <w:color w:val="auto"/>
              </w:rPr>
              <w:t>4</w:t>
            </w:r>
            <w:r>
              <w:rPr>
                <w:rFonts w:ascii="宋体" w:hAnsi="宋体"/>
                <w:color w:val="auto"/>
              </w:rPr>
              <w:t>8</w:t>
            </w:r>
          </w:p>
        </w:tc>
      </w:tr>
      <w:tr w14:paraId="7C7F5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62B4BA49">
            <w:pPr>
              <w:widowControl/>
              <w:jc w:val="center"/>
              <w:rPr>
                <w:rFonts w:ascii="宋体" w:hAnsi="宋体"/>
                <w:color w:val="auto"/>
                <w:kern w:val="0"/>
              </w:rPr>
            </w:pPr>
          </w:p>
        </w:tc>
        <w:tc>
          <w:tcPr>
            <w:tcW w:w="987" w:type="pct"/>
            <w:vMerge w:val="continue"/>
            <w:vAlign w:val="center"/>
          </w:tcPr>
          <w:p w14:paraId="1C99239F">
            <w:pPr>
              <w:widowControl/>
              <w:jc w:val="center"/>
              <w:rPr>
                <w:rFonts w:ascii="宋体" w:hAnsi="宋体"/>
                <w:color w:val="auto"/>
                <w:kern w:val="0"/>
              </w:rPr>
            </w:pPr>
          </w:p>
        </w:tc>
        <w:tc>
          <w:tcPr>
            <w:tcW w:w="900" w:type="pct"/>
            <w:vAlign w:val="center"/>
          </w:tcPr>
          <w:p w14:paraId="4EE61724">
            <w:pPr>
              <w:jc w:val="center"/>
              <w:rPr>
                <w:rFonts w:ascii="宋体" w:hAnsi="宋体"/>
                <w:color w:val="auto"/>
                <w:kern w:val="0"/>
              </w:rPr>
            </w:pPr>
            <w:r>
              <w:rPr>
                <w:rFonts w:hint="eastAsia" w:ascii="宋体" w:hAnsi="宋体"/>
                <w:color w:val="auto"/>
                <w:kern w:val="0"/>
              </w:rPr>
              <w:t xml:space="preserve">2# </w:t>
            </w:r>
          </w:p>
        </w:tc>
        <w:tc>
          <w:tcPr>
            <w:tcW w:w="1274" w:type="pct"/>
            <w:vAlign w:val="center"/>
          </w:tcPr>
          <w:p w14:paraId="7631A476">
            <w:pPr>
              <w:jc w:val="center"/>
              <w:rPr>
                <w:rFonts w:ascii="宋体" w:hAnsi="宋体"/>
                <w:color w:val="auto"/>
              </w:rPr>
            </w:pPr>
            <w:r>
              <w:rPr>
                <w:rFonts w:hint="eastAsia" w:ascii="宋体" w:hAnsi="宋体"/>
                <w:color w:val="auto"/>
              </w:rPr>
              <w:t>5</w:t>
            </w:r>
            <w:r>
              <w:rPr>
                <w:rFonts w:ascii="宋体" w:hAnsi="宋体"/>
                <w:color w:val="auto"/>
              </w:rPr>
              <w:t>1</w:t>
            </w:r>
          </w:p>
        </w:tc>
        <w:tc>
          <w:tcPr>
            <w:tcW w:w="1273" w:type="pct"/>
            <w:vAlign w:val="center"/>
          </w:tcPr>
          <w:p w14:paraId="4CC82247">
            <w:pPr>
              <w:jc w:val="center"/>
              <w:rPr>
                <w:rFonts w:ascii="宋体" w:hAnsi="宋体"/>
                <w:color w:val="auto"/>
              </w:rPr>
            </w:pPr>
            <w:r>
              <w:rPr>
                <w:rFonts w:hint="eastAsia" w:ascii="宋体" w:hAnsi="宋体"/>
                <w:color w:val="auto"/>
              </w:rPr>
              <w:t>4</w:t>
            </w:r>
            <w:r>
              <w:rPr>
                <w:rFonts w:ascii="宋体" w:hAnsi="宋体"/>
                <w:color w:val="auto"/>
              </w:rPr>
              <w:t>8</w:t>
            </w:r>
          </w:p>
        </w:tc>
      </w:tr>
      <w:tr w14:paraId="2D77D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706C5F2E">
            <w:pPr>
              <w:widowControl/>
              <w:jc w:val="center"/>
              <w:rPr>
                <w:rFonts w:ascii="宋体" w:hAnsi="宋体"/>
                <w:color w:val="auto"/>
                <w:kern w:val="0"/>
              </w:rPr>
            </w:pPr>
          </w:p>
        </w:tc>
        <w:tc>
          <w:tcPr>
            <w:tcW w:w="987" w:type="pct"/>
            <w:vMerge w:val="continue"/>
            <w:vAlign w:val="center"/>
          </w:tcPr>
          <w:p w14:paraId="587C1325">
            <w:pPr>
              <w:widowControl/>
              <w:jc w:val="center"/>
              <w:rPr>
                <w:rFonts w:ascii="宋体" w:hAnsi="宋体"/>
                <w:color w:val="auto"/>
                <w:kern w:val="0"/>
              </w:rPr>
            </w:pPr>
          </w:p>
        </w:tc>
        <w:tc>
          <w:tcPr>
            <w:tcW w:w="900" w:type="pct"/>
            <w:vAlign w:val="center"/>
          </w:tcPr>
          <w:p w14:paraId="1705BF48">
            <w:pPr>
              <w:jc w:val="center"/>
              <w:rPr>
                <w:rFonts w:ascii="宋体" w:hAnsi="宋体"/>
                <w:color w:val="auto"/>
                <w:kern w:val="0"/>
              </w:rPr>
            </w:pPr>
            <w:r>
              <w:rPr>
                <w:rFonts w:hint="eastAsia" w:ascii="宋体" w:hAnsi="宋体"/>
                <w:color w:val="auto"/>
                <w:kern w:val="0"/>
              </w:rPr>
              <w:t xml:space="preserve">3# </w:t>
            </w:r>
          </w:p>
        </w:tc>
        <w:tc>
          <w:tcPr>
            <w:tcW w:w="1274" w:type="pct"/>
            <w:vAlign w:val="center"/>
          </w:tcPr>
          <w:p w14:paraId="4B81BCB4">
            <w:pPr>
              <w:jc w:val="center"/>
              <w:rPr>
                <w:rFonts w:ascii="宋体" w:hAnsi="宋体"/>
                <w:color w:val="auto"/>
              </w:rPr>
            </w:pPr>
            <w:r>
              <w:rPr>
                <w:rFonts w:hint="eastAsia" w:ascii="宋体" w:hAnsi="宋体"/>
                <w:color w:val="auto"/>
              </w:rPr>
              <w:t>5</w:t>
            </w:r>
            <w:r>
              <w:rPr>
                <w:rFonts w:ascii="宋体" w:hAnsi="宋体"/>
                <w:color w:val="auto"/>
              </w:rPr>
              <w:t>1</w:t>
            </w:r>
          </w:p>
        </w:tc>
        <w:tc>
          <w:tcPr>
            <w:tcW w:w="1273" w:type="pct"/>
            <w:vAlign w:val="center"/>
          </w:tcPr>
          <w:p w14:paraId="46E990F9">
            <w:pPr>
              <w:jc w:val="center"/>
              <w:rPr>
                <w:rFonts w:ascii="宋体" w:hAnsi="宋体"/>
                <w:color w:val="auto"/>
              </w:rPr>
            </w:pPr>
            <w:r>
              <w:rPr>
                <w:rFonts w:hint="eastAsia" w:ascii="宋体" w:hAnsi="宋体"/>
                <w:color w:val="auto"/>
              </w:rPr>
              <w:t>4</w:t>
            </w:r>
            <w:r>
              <w:rPr>
                <w:rFonts w:ascii="宋体" w:hAnsi="宋体"/>
                <w:color w:val="auto"/>
              </w:rPr>
              <w:t>7</w:t>
            </w:r>
          </w:p>
        </w:tc>
      </w:tr>
      <w:tr w14:paraId="6D289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2F9D9065">
            <w:pPr>
              <w:widowControl/>
              <w:jc w:val="center"/>
              <w:rPr>
                <w:rFonts w:ascii="宋体" w:hAnsi="宋体"/>
                <w:color w:val="auto"/>
                <w:kern w:val="0"/>
              </w:rPr>
            </w:pPr>
          </w:p>
        </w:tc>
        <w:tc>
          <w:tcPr>
            <w:tcW w:w="987" w:type="pct"/>
            <w:vMerge w:val="continue"/>
            <w:vAlign w:val="center"/>
          </w:tcPr>
          <w:p w14:paraId="3C528BD3">
            <w:pPr>
              <w:widowControl/>
              <w:jc w:val="center"/>
              <w:rPr>
                <w:rFonts w:ascii="宋体" w:hAnsi="宋体"/>
                <w:color w:val="auto"/>
                <w:kern w:val="0"/>
              </w:rPr>
            </w:pPr>
          </w:p>
        </w:tc>
        <w:tc>
          <w:tcPr>
            <w:tcW w:w="900" w:type="pct"/>
            <w:vAlign w:val="center"/>
          </w:tcPr>
          <w:p w14:paraId="118A202E">
            <w:pPr>
              <w:jc w:val="center"/>
              <w:rPr>
                <w:rFonts w:ascii="宋体" w:hAnsi="宋体"/>
                <w:color w:val="auto"/>
                <w:kern w:val="0"/>
              </w:rPr>
            </w:pPr>
            <w:r>
              <w:rPr>
                <w:rFonts w:hint="eastAsia" w:ascii="宋体" w:hAnsi="宋体"/>
                <w:color w:val="auto"/>
                <w:kern w:val="0"/>
              </w:rPr>
              <w:t>4#</w:t>
            </w:r>
          </w:p>
        </w:tc>
        <w:tc>
          <w:tcPr>
            <w:tcW w:w="1274" w:type="pct"/>
            <w:vAlign w:val="center"/>
          </w:tcPr>
          <w:p w14:paraId="6FF30E45">
            <w:pPr>
              <w:jc w:val="center"/>
              <w:rPr>
                <w:rFonts w:ascii="宋体" w:hAnsi="宋体"/>
                <w:color w:val="auto"/>
              </w:rPr>
            </w:pPr>
            <w:r>
              <w:rPr>
                <w:rFonts w:hint="eastAsia" w:ascii="宋体" w:hAnsi="宋体"/>
                <w:color w:val="auto"/>
              </w:rPr>
              <w:t>5</w:t>
            </w:r>
            <w:r>
              <w:rPr>
                <w:rFonts w:ascii="宋体" w:hAnsi="宋体"/>
                <w:color w:val="auto"/>
              </w:rPr>
              <w:t>0</w:t>
            </w:r>
          </w:p>
        </w:tc>
        <w:tc>
          <w:tcPr>
            <w:tcW w:w="1273" w:type="pct"/>
            <w:vAlign w:val="center"/>
          </w:tcPr>
          <w:p w14:paraId="36E003D3">
            <w:pPr>
              <w:jc w:val="center"/>
              <w:rPr>
                <w:rFonts w:ascii="宋体" w:hAnsi="宋体"/>
                <w:color w:val="auto"/>
              </w:rPr>
            </w:pPr>
            <w:r>
              <w:rPr>
                <w:rFonts w:hint="eastAsia" w:ascii="宋体" w:hAnsi="宋体"/>
                <w:color w:val="auto"/>
              </w:rPr>
              <w:t>4</w:t>
            </w:r>
            <w:r>
              <w:rPr>
                <w:rFonts w:ascii="宋体" w:hAnsi="宋体"/>
                <w:color w:val="auto"/>
              </w:rPr>
              <w:t>7</w:t>
            </w:r>
          </w:p>
        </w:tc>
      </w:tr>
      <w:bookmarkEnd w:id="425"/>
    </w:tbl>
    <w:p w14:paraId="11BAABC6">
      <w:pPr>
        <w:pStyle w:val="122"/>
        <w:spacing w:line="331" w:lineRule="auto"/>
        <w:ind w:firstLine="480"/>
        <w:rPr>
          <w:rFonts w:hAnsi="宋体"/>
          <w:color w:val="auto"/>
        </w:rPr>
      </w:pPr>
    </w:p>
    <w:p w14:paraId="1303C924">
      <w:pPr>
        <w:pStyle w:val="122"/>
        <w:spacing w:line="331" w:lineRule="auto"/>
        <w:ind w:firstLine="480"/>
        <w:rPr>
          <w:rFonts w:hAnsi="宋体"/>
          <w:color w:val="auto"/>
        </w:rPr>
      </w:pPr>
      <w:r>
        <w:rPr>
          <w:rFonts w:hint="eastAsia" w:hAnsi="宋体"/>
          <w:color w:val="auto"/>
        </w:rPr>
        <w:t>根据</w:t>
      </w:r>
      <w:r>
        <w:rPr>
          <w:rFonts w:hAnsi="宋体"/>
          <w:color w:val="auto"/>
        </w:rPr>
        <w:t>监测结果，</w:t>
      </w:r>
      <w:r>
        <w:rPr>
          <w:rFonts w:hint="eastAsia" w:hAnsi="宋体"/>
          <w:color w:val="auto"/>
        </w:rPr>
        <w:t>井场</w:t>
      </w:r>
      <w:r>
        <w:rPr>
          <w:rFonts w:hAnsi="宋体"/>
          <w:color w:val="auto"/>
        </w:rPr>
        <w:t>厂界</w:t>
      </w:r>
      <w:r>
        <w:rPr>
          <w:rFonts w:hint="eastAsia" w:hAnsi="宋体"/>
          <w:color w:val="auto"/>
        </w:rPr>
        <w:t>噪声满足《工业企业厂界环境噪声排放标准》（GB 12348-2008）中的2类区排放限值（昼间60dB（A），夜间50dB（A）），表明油井</w:t>
      </w:r>
      <w:r>
        <w:rPr>
          <w:rFonts w:hAnsi="宋体"/>
          <w:color w:val="auto"/>
        </w:rPr>
        <w:t>的运行</w:t>
      </w:r>
      <w:r>
        <w:rPr>
          <w:rFonts w:hint="eastAsia" w:hAnsi="宋体"/>
          <w:color w:val="auto"/>
        </w:rPr>
        <w:t>对</w:t>
      </w:r>
      <w:r>
        <w:rPr>
          <w:rFonts w:hAnsi="宋体"/>
          <w:color w:val="auto"/>
        </w:rPr>
        <w:t>周边</w:t>
      </w:r>
      <w:r>
        <w:rPr>
          <w:rFonts w:hint="eastAsia" w:hAnsi="宋体"/>
          <w:color w:val="auto"/>
        </w:rPr>
        <w:t>声</w:t>
      </w:r>
      <w:r>
        <w:rPr>
          <w:rFonts w:hAnsi="宋体"/>
          <w:color w:val="auto"/>
        </w:rPr>
        <w:t>环境影响较轻</w:t>
      </w:r>
      <w:r>
        <w:rPr>
          <w:rFonts w:hint="eastAsia" w:hAnsi="宋体"/>
          <w:color w:val="auto"/>
        </w:rPr>
        <w:t>。</w:t>
      </w:r>
    </w:p>
    <w:p w14:paraId="4B1EDCD0">
      <w:pPr>
        <w:pStyle w:val="6"/>
        <w:rPr>
          <w:rFonts w:ascii="宋体" w:hAnsi="宋体" w:eastAsia="宋体"/>
          <w:color w:val="auto"/>
        </w:rPr>
      </w:pPr>
      <w:r>
        <w:rPr>
          <w:rFonts w:hint="eastAsia" w:ascii="宋体" w:hAnsi="宋体" w:eastAsia="宋体"/>
          <w:color w:val="auto"/>
        </w:rPr>
        <w:t>土壤环境监测</w:t>
      </w:r>
    </w:p>
    <w:p w14:paraId="0681AE91">
      <w:pPr>
        <w:pStyle w:val="4"/>
        <w:ind w:firstLine="480"/>
        <w:rPr>
          <w:color w:val="auto"/>
        </w:rPr>
      </w:pPr>
      <w:bookmarkStart w:id="426" w:name="_Ref59462954"/>
      <w:bookmarkStart w:id="427" w:name="_Ref74663674"/>
      <w:r>
        <w:rPr>
          <w:rFonts w:hint="eastAsia" w:cs="宋体"/>
          <w:color w:val="auto"/>
          <w:kern w:val="0"/>
        </w:rPr>
        <w:t>1）</w:t>
      </w:r>
      <w:r>
        <w:rPr>
          <w:rFonts w:hint="eastAsia"/>
          <w:color w:val="auto"/>
        </w:rPr>
        <w:t>监测布点</w:t>
      </w:r>
    </w:p>
    <w:p w14:paraId="6BC9254E">
      <w:pPr>
        <w:pStyle w:val="4"/>
        <w:ind w:firstLine="480"/>
        <w:rPr>
          <w:color w:val="auto"/>
        </w:rPr>
      </w:pPr>
      <w:r>
        <w:rPr>
          <w:rFonts w:hint="eastAsia"/>
          <w:color w:val="auto"/>
        </w:rPr>
        <w:t>参考《建设项目竣工环境保护验收技术规范 石油天然气开采》（HJ 612-2011），本次在5</w:t>
      </w:r>
      <w:r>
        <w:rPr>
          <w:color w:val="auto"/>
        </w:rPr>
        <w:t>#</w:t>
      </w:r>
      <w:r>
        <w:rPr>
          <w:rFonts w:hint="eastAsia"/>
          <w:color w:val="auto"/>
        </w:rPr>
        <w:t>井场内及周边共设置5个监测点位，详见</w:t>
      </w:r>
      <w:r>
        <w:rPr>
          <w:color w:val="auto"/>
        </w:rPr>
        <w:fldChar w:fldCharType="begin"/>
      </w:r>
      <w:r>
        <w:rPr>
          <w:color w:val="auto"/>
        </w:rPr>
        <w:instrText xml:space="preserve"> REF _Ref142982282 \h  \* MERGEFORMAT </w:instrText>
      </w:r>
      <w:r>
        <w:rPr>
          <w:color w:val="auto"/>
        </w:rPr>
        <w:fldChar w:fldCharType="separate"/>
      </w:r>
      <w:r>
        <w:rPr>
          <w:rFonts w:hint="eastAsia"/>
          <w:color w:val="auto"/>
        </w:rPr>
        <w:t xml:space="preserve">表 </w:t>
      </w:r>
      <w:r>
        <w:rPr>
          <w:color w:val="auto"/>
        </w:rPr>
        <w:t>6.4</w:t>
      </w:r>
      <w:r>
        <w:rPr>
          <w:color w:val="auto"/>
        </w:rPr>
        <w:noBreakHyphen/>
      </w:r>
      <w:r>
        <w:rPr>
          <w:color w:val="auto"/>
        </w:rPr>
        <w:t>15</w:t>
      </w:r>
      <w:r>
        <w:rPr>
          <w:color w:val="auto"/>
        </w:rPr>
        <w:fldChar w:fldCharType="end"/>
      </w:r>
      <w:r>
        <w:rPr>
          <w:rFonts w:hint="eastAsia"/>
          <w:color w:val="auto"/>
        </w:rPr>
        <w:t>。</w:t>
      </w:r>
    </w:p>
    <w:p w14:paraId="17A7A34C">
      <w:pPr>
        <w:pStyle w:val="4"/>
        <w:ind w:firstLine="480"/>
        <w:rPr>
          <w:color w:val="auto"/>
        </w:rPr>
      </w:pPr>
      <w:r>
        <w:rPr>
          <w:rFonts w:hint="eastAsia"/>
          <w:color w:val="auto"/>
        </w:rPr>
        <w:t>2）监测项目</w:t>
      </w:r>
    </w:p>
    <w:p w14:paraId="332F7438">
      <w:pPr>
        <w:pStyle w:val="4"/>
        <w:ind w:firstLine="480"/>
        <w:rPr>
          <w:color w:val="auto"/>
          <w:kern w:val="0"/>
        </w:rPr>
      </w:pPr>
      <w:r>
        <w:rPr>
          <w:rFonts w:hint="eastAsia"/>
          <w:color w:val="auto"/>
          <w:kern w:val="0"/>
        </w:rPr>
        <w:t>井场内（建设用地）项目：</w:t>
      </w:r>
      <w:r>
        <w:rPr>
          <w:color w:val="auto"/>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w:t>
      </w:r>
      <w:r>
        <w:rPr>
          <w:rFonts w:hint="eastAsia" w:cs="宋体"/>
          <w:color w:val="auto"/>
        </w:rPr>
        <w:t>C</w:t>
      </w:r>
      <w:r>
        <w:rPr>
          <w:rFonts w:hint="eastAsia" w:cs="宋体"/>
          <w:color w:val="auto"/>
          <w:vertAlign w:val="subscript"/>
        </w:rPr>
        <w:t>10</w:t>
      </w:r>
      <w:r>
        <w:rPr>
          <w:rFonts w:hint="eastAsia" w:cs="宋体"/>
          <w:color w:val="auto"/>
        </w:rPr>
        <w:t>-C</w:t>
      </w:r>
      <w:r>
        <w:rPr>
          <w:rFonts w:hint="eastAsia" w:cs="宋体"/>
          <w:color w:val="auto"/>
          <w:vertAlign w:val="subscript"/>
        </w:rPr>
        <w:t>40</w:t>
      </w:r>
      <w:r>
        <w:rPr>
          <w:color w:val="auto"/>
        </w:rPr>
        <w:t>）共46项</w:t>
      </w:r>
      <w:r>
        <w:rPr>
          <w:rFonts w:hint="eastAsia"/>
          <w:color w:val="auto"/>
          <w:kern w:val="0"/>
        </w:rPr>
        <w:t>；</w:t>
      </w:r>
    </w:p>
    <w:p w14:paraId="37E638D8">
      <w:pPr>
        <w:pStyle w:val="4"/>
        <w:ind w:firstLine="480"/>
        <w:rPr>
          <w:color w:val="auto"/>
          <w:kern w:val="0"/>
        </w:rPr>
      </w:pPr>
      <w:bookmarkStart w:id="428" w:name="OLE_LINK285"/>
      <w:bookmarkStart w:id="429" w:name="OLE_LINK284"/>
      <w:r>
        <w:rPr>
          <w:rFonts w:hint="eastAsia"/>
          <w:color w:val="auto"/>
          <w:kern w:val="0"/>
        </w:rPr>
        <w:t>井场外其他项目：石油烃（C</w:t>
      </w:r>
      <w:r>
        <w:rPr>
          <w:rFonts w:hint="eastAsia"/>
          <w:color w:val="auto"/>
          <w:kern w:val="0"/>
          <w:vertAlign w:val="subscript"/>
        </w:rPr>
        <w:t>10</w:t>
      </w:r>
      <w:r>
        <w:rPr>
          <w:rFonts w:hint="eastAsia"/>
          <w:color w:val="auto"/>
          <w:kern w:val="0"/>
        </w:rPr>
        <w:t>-C</w:t>
      </w:r>
      <w:r>
        <w:rPr>
          <w:rFonts w:hint="eastAsia"/>
          <w:color w:val="auto"/>
          <w:kern w:val="0"/>
          <w:vertAlign w:val="subscript"/>
        </w:rPr>
        <w:t>40</w:t>
      </w:r>
      <w:r>
        <w:rPr>
          <w:rFonts w:hint="eastAsia"/>
          <w:color w:val="auto"/>
          <w:kern w:val="0"/>
        </w:rPr>
        <w:t>）</w:t>
      </w:r>
      <w:bookmarkEnd w:id="428"/>
      <w:bookmarkEnd w:id="429"/>
      <w:r>
        <w:rPr>
          <w:rFonts w:hint="eastAsia"/>
          <w:color w:val="auto"/>
          <w:kern w:val="0"/>
        </w:rPr>
        <w:t>。</w:t>
      </w:r>
    </w:p>
    <w:p w14:paraId="0DEBD9BA">
      <w:pPr>
        <w:pStyle w:val="4"/>
        <w:ind w:firstLine="480"/>
        <w:rPr>
          <w:color w:val="auto"/>
        </w:rPr>
      </w:pPr>
      <w:r>
        <w:rPr>
          <w:rFonts w:hint="eastAsia"/>
          <w:color w:val="auto"/>
        </w:rPr>
        <w:t>3）监测时间与频次</w:t>
      </w:r>
    </w:p>
    <w:p w14:paraId="443C5E00">
      <w:pPr>
        <w:pStyle w:val="4"/>
        <w:ind w:firstLine="480"/>
        <w:rPr>
          <w:color w:val="auto"/>
        </w:rPr>
      </w:pPr>
      <w:r>
        <w:rPr>
          <w:rFonts w:hint="eastAsia"/>
          <w:color w:val="auto"/>
        </w:rPr>
        <w:t>我公司（CMA：171512055405）于202</w:t>
      </w:r>
      <w:r>
        <w:rPr>
          <w:color w:val="auto"/>
        </w:rPr>
        <w:t>6</w:t>
      </w:r>
      <w:r>
        <w:rPr>
          <w:rFonts w:hint="eastAsia"/>
          <w:color w:val="auto"/>
        </w:rPr>
        <w:t>年</w:t>
      </w:r>
      <w:r>
        <w:rPr>
          <w:color w:val="auto"/>
        </w:rPr>
        <w:t>2</w:t>
      </w:r>
      <w:r>
        <w:rPr>
          <w:rFonts w:hint="eastAsia"/>
          <w:color w:val="auto"/>
        </w:rPr>
        <w:t>月</w:t>
      </w:r>
      <w:r>
        <w:rPr>
          <w:color w:val="auto"/>
        </w:rPr>
        <w:t>28</w:t>
      </w:r>
      <w:r>
        <w:rPr>
          <w:rFonts w:hint="eastAsia"/>
          <w:color w:val="auto"/>
        </w:rPr>
        <w:t>日</w:t>
      </w:r>
      <w:r>
        <w:rPr>
          <w:rFonts w:hint="eastAsia"/>
          <w:color w:val="auto"/>
          <w:kern w:val="0"/>
        </w:rPr>
        <w:t>对土壤</w:t>
      </w:r>
      <w:r>
        <w:rPr>
          <w:rFonts w:hint="eastAsia"/>
          <w:color w:val="auto"/>
        </w:rPr>
        <w:t>进行了现场采样。</w:t>
      </w:r>
    </w:p>
    <w:p w14:paraId="1618239F">
      <w:pPr>
        <w:tabs>
          <w:tab w:val="left" w:pos="377"/>
        </w:tabs>
        <w:adjustRightInd w:val="0"/>
        <w:snapToGrid w:val="0"/>
        <w:spacing w:before="120" w:beforeLines="50" w:line="360" w:lineRule="auto"/>
        <w:jc w:val="center"/>
        <w:rPr>
          <w:rFonts w:ascii="宋体" w:hAnsi="宋体"/>
          <w:color w:val="auto"/>
        </w:rPr>
      </w:pPr>
      <w:bookmarkStart w:id="430" w:name="_Ref142982282"/>
      <w:r>
        <w:rPr>
          <w:rFonts w:hint="eastAsia" w:ascii="宋体" w:hAnsi="宋体"/>
          <w:color w:val="auto"/>
        </w:rPr>
        <w:t xml:space="preserve">表 </w:t>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STYLEREF 2 \s</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6.4</w:t>
      </w:r>
      <w:r>
        <w:rPr>
          <w:rFonts w:ascii="宋体" w:hAnsi="宋体"/>
          <w:color w:val="auto"/>
        </w:rPr>
        <w:fldChar w:fldCharType="end"/>
      </w:r>
      <w:r>
        <w:rPr>
          <w:rFonts w:ascii="宋体" w:hAnsi="宋体"/>
          <w:color w:val="auto"/>
        </w:rPr>
        <w:noBreakHyphen/>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SEQ 表 \* ARABIC \s 2</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15</w:t>
      </w:r>
      <w:r>
        <w:rPr>
          <w:rFonts w:ascii="宋体" w:hAnsi="宋体"/>
          <w:color w:val="auto"/>
        </w:rPr>
        <w:fldChar w:fldCharType="end"/>
      </w:r>
      <w:bookmarkEnd w:id="426"/>
      <w:bookmarkEnd w:id="427"/>
      <w:bookmarkEnd w:id="430"/>
      <w:r>
        <w:rPr>
          <w:rFonts w:hint="eastAsia" w:ascii="宋体" w:hAnsi="宋体"/>
          <w:color w:val="auto"/>
        </w:rPr>
        <w:t xml:space="preserve">  土壤监测布点一览表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1294"/>
        <w:gridCol w:w="1617"/>
        <w:gridCol w:w="5370"/>
      </w:tblGrid>
      <w:tr w14:paraId="197BF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vAlign w:val="center"/>
          </w:tcPr>
          <w:p w14:paraId="013B91B0">
            <w:pPr>
              <w:adjustRightInd w:val="0"/>
              <w:snapToGrid w:val="0"/>
              <w:ind w:firstLine="2"/>
              <w:jc w:val="center"/>
              <w:rPr>
                <w:rFonts w:ascii="宋体" w:hAnsi="宋体"/>
                <w:color w:val="auto"/>
              </w:rPr>
            </w:pPr>
            <w:r>
              <w:rPr>
                <w:rFonts w:ascii="宋体" w:hAnsi="宋体"/>
                <w:color w:val="auto"/>
              </w:rPr>
              <w:t>编号</w:t>
            </w:r>
          </w:p>
        </w:tc>
        <w:tc>
          <w:tcPr>
            <w:tcW w:w="742" w:type="pct"/>
            <w:vAlign w:val="center"/>
          </w:tcPr>
          <w:p w14:paraId="14DA701E">
            <w:pPr>
              <w:adjustRightInd w:val="0"/>
              <w:snapToGrid w:val="0"/>
              <w:ind w:firstLine="2"/>
              <w:jc w:val="center"/>
              <w:rPr>
                <w:rFonts w:ascii="宋体" w:hAnsi="宋体"/>
                <w:color w:val="auto"/>
              </w:rPr>
            </w:pPr>
            <w:r>
              <w:rPr>
                <w:rFonts w:ascii="宋体" w:hAnsi="宋体"/>
                <w:color w:val="auto"/>
              </w:rPr>
              <w:t>监测点位置或名称</w:t>
            </w:r>
          </w:p>
        </w:tc>
        <w:tc>
          <w:tcPr>
            <w:tcW w:w="927" w:type="pct"/>
            <w:vAlign w:val="center"/>
          </w:tcPr>
          <w:p w14:paraId="0745FB57">
            <w:pPr>
              <w:adjustRightInd w:val="0"/>
              <w:snapToGrid w:val="0"/>
              <w:ind w:firstLine="2"/>
              <w:jc w:val="center"/>
              <w:rPr>
                <w:rFonts w:ascii="宋体" w:hAnsi="宋体"/>
                <w:color w:val="auto"/>
              </w:rPr>
            </w:pPr>
            <w:r>
              <w:rPr>
                <w:rFonts w:ascii="宋体" w:hAnsi="宋体"/>
                <w:color w:val="auto"/>
              </w:rPr>
              <w:t>采样深度</w:t>
            </w:r>
          </w:p>
        </w:tc>
        <w:tc>
          <w:tcPr>
            <w:tcW w:w="3079" w:type="pct"/>
            <w:vAlign w:val="center"/>
          </w:tcPr>
          <w:p w14:paraId="07C1E94B">
            <w:pPr>
              <w:adjustRightInd w:val="0"/>
              <w:snapToGrid w:val="0"/>
              <w:ind w:firstLine="2"/>
              <w:jc w:val="center"/>
              <w:rPr>
                <w:rFonts w:ascii="宋体" w:hAnsi="宋体"/>
                <w:color w:val="auto"/>
              </w:rPr>
            </w:pPr>
            <w:r>
              <w:rPr>
                <w:rFonts w:ascii="宋体" w:hAnsi="宋体"/>
                <w:color w:val="auto"/>
              </w:rPr>
              <w:t>监测项目</w:t>
            </w:r>
          </w:p>
        </w:tc>
      </w:tr>
      <w:tr w14:paraId="73827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vAlign w:val="center"/>
          </w:tcPr>
          <w:p w14:paraId="4409CB82">
            <w:pPr>
              <w:adjustRightInd w:val="0"/>
              <w:snapToGrid w:val="0"/>
              <w:ind w:firstLine="2"/>
              <w:jc w:val="center"/>
              <w:rPr>
                <w:rFonts w:ascii="宋体" w:hAnsi="宋体"/>
                <w:color w:val="auto"/>
              </w:rPr>
            </w:pPr>
            <w:r>
              <w:rPr>
                <w:rFonts w:ascii="宋体" w:hAnsi="宋体"/>
                <w:color w:val="auto"/>
              </w:rPr>
              <w:t>1#</w:t>
            </w:r>
          </w:p>
        </w:tc>
        <w:tc>
          <w:tcPr>
            <w:tcW w:w="742" w:type="pct"/>
            <w:vAlign w:val="center"/>
          </w:tcPr>
          <w:p w14:paraId="2D3F9E8A">
            <w:pPr>
              <w:adjustRightInd w:val="0"/>
              <w:snapToGrid w:val="0"/>
              <w:ind w:firstLine="2"/>
              <w:jc w:val="center"/>
              <w:rPr>
                <w:rFonts w:ascii="宋体" w:hAnsi="宋体"/>
                <w:color w:val="auto"/>
              </w:rPr>
            </w:pPr>
            <w:r>
              <w:rPr>
                <w:rFonts w:hint="eastAsia" w:ascii="宋体" w:hAnsi="宋体"/>
                <w:color w:val="auto"/>
              </w:rPr>
              <w:t>5#</w:t>
            </w:r>
            <w:r>
              <w:rPr>
                <w:rFonts w:ascii="宋体" w:hAnsi="宋体"/>
                <w:color w:val="auto"/>
              </w:rPr>
              <w:t>井场井口周围</w:t>
            </w:r>
          </w:p>
        </w:tc>
        <w:tc>
          <w:tcPr>
            <w:tcW w:w="927" w:type="pct"/>
            <w:vAlign w:val="center"/>
          </w:tcPr>
          <w:p w14:paraId="20DD5205">
            <w:pPr>
              <w:adjustRightInd w:val="0"/>
              <w:snapToGrid w:val="0"/>
              <w:ind w:firstLine="2"/>
              <w:jc w:val="center"/>
              <w:rPr>
                <w:rFonts w:ascii="宋体" w:hAnsi="宋体"/>
                <w:color w:val="auto"/>
              </w:rPr>
            </w:pPr>
            <w:r>
              <w:rPr>
                <w:rFonts w:hint="eastAsia" w:ascii="宋体" w:hAnsi="宋体"/>
                <w:color w:val="auto"/>
              </w:rPr>
              <w:t>取柱状样，在0m～0.5m、0.5m～1.5m、1.5m～3m处分别取样</w:t>
            </w:r>
          </w:p>
        </w:tc>
        <w:tc>
          <w:tcPr>
            <w:tcW w:w="3079" w:type="pct"/>
            <w:vAlign w:val="center"/>
          </w:tcPr>
          <w:p w14:paraId="41FB1D41">
            <w:pPr>
              <w:adjustRightInd w:val="0"/>
              <w:snapToGrid w:val="0"/>
              <w:ind w:firstLine="2"/>
              <w:jc w:val="center"/>
              <w:rPr>
                <w:rFonts w:ascii="宋体" w:hAnsi="宋体"/>
                <w:color w:val="auto"/>
              </w:rPr>
            </w:pPr>
            <w:r>
              <w:rPr>
                <w:rFonts w:ascii="宋体" w:hAnsi="宋体"/>
                <w:color w:val="auto"/>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w:t>
            </w:r>
            <w:r>
              <w:rPr>
                <w:rFonts w:hint="eastAsia" w:ascii="宋体" w:hAnsi="宋体"/>
                <w:color w:val="auto"/>
              </w:rPr>
              <w:t>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ascii="宋体" w:hAnsi="宋体"/>
                <w:color w:val="auto"/>
              </w:rPr>
              <w:t>）共46项</w:t>
            </w:r>
          </w:p>
        </w:tc>
      </w:tr>
      <w:tr w14:paraId="3C5C3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vAlign w:val="center"/>
          </w:tcPr>
          <w:p w14:paraId="08CEA8F5">
            <w:pPr>
              <w:adjustRightInd w:val="0"/>
              <w:snapToGrid w:val="0"/>
              <w:ind w:firstLine="2"/>
              <w:jc w:val="center"/>
              <w:rPr>
                <w:rFonts w:ascii="宋体" w:hAnsi="宋体"/>
                <w:color w:val="auto"/>
              </w:rPr>
            </w:pPr>
            <w:r>
              <w:rPr>
                <w:rFonts w:ascii="宋体" w:hAnsi="宋体"/>
                <w:color w:val="auto"/>
              </w:rPr>
              <w:t>2#</w:t>
            </w:r>
          </w:p>
        </w:tc>
        <w:tc>
          <w:tcPr>
            <w:tcW w:w="742" w:type="pct"/>
            <w:vAlign w:val="center"/>
          </w:tcPr>
          <w:p w14:paraId="7EF8BCF6">
            <w:pPr>
              <w:adjustRightInd w:val="0"/>
              <w:snapToGrid w:val="0"/>
              <w:ind w:firstLine="2"/>
              <w:jc w:val="center"/>
              <w:rPr>
                <w:rFonts w:ascii="宋体" w:hAnsi="宋体"/>
                <w:color w:val="auto"/>
              </w:rPr>
            </w:pPr>
            <w:r>
              <w:rPr>
                <w:rFonts w:ascii="宋体" w:hAnsi="宋体"/>
                <w:color w:val="auto"/>
              </w:rPr>
              <w:t>井场厂界外10m基本农田处</w:t>
            </w:r>
          </w:p>
        </w:tc>
        <w:tc>
          <w:tcPr>
            <w:tcW w:w="927" w:type="pct"/>
            <w:vAlign w:val="center"/>
          </w:tcPr>
          <w:p w14:paraId="0E5B7AEB">
            <w:pPr>
              <w:adjustRightInd w:val="0"/>
              <w:snapToGrid w:val="0"/>
              <w:ind w:firstLine="2"/>
              <w:jc w:val="center"/>
              <w:rPr>
                <w:rFonts w:ascii="宋体" w:hAnsi="宋体"/>
                <w:color w:val="auto"/>
              </w:rPr>
            </w:pPr>
            <w:r>
              <w:rPr>
                <w:rFonts w:ascii="宋体" w:hAnsi="宋体"/>
                <w:color w:val="auto"/>
              </w:rPr>
              <w:t>0～0.2m，</w:t>
            </w:r>
          </w:p>
          <w:p w14:paraId="126919FD">
            <w:pPr>
              <w:adjustRightInd w:val="0"/>
              <w:snapToGrid w:val="0"/>
              <w:ind w:firstLine="2"/>
              <w:jc w:val="center"/>
              <w:rPr>
                <w:rFonts w:ascii="宋体" w:hAnsi="宋体"/>
                <w:color w:val="auto"/>
              </w:rPr>
            </w:pPr>
            <w:r>
              <w:rPr>
                <w:rFonts w:ascii="宋体" w:hAnsi="宋体"/>
                <w:color w:val="auto"/>
              </w:rPr>
              <w:t>表层样</w:t>
            </w:r>
          </w:p>
        </w:tc>
        <w:tc>
          <w:tcPr>
            <w:tcW w:w="3079" w:type="pct"/>
            <w:vMerge w:val="restart"/>
            <w:vAlign w:val="center"/>
          </w:tcPr>
          <w:p w14:paraId="319F518A">
            <w:pPr>
              <w:adjustRightInd w:val="0"/>
              <w:snapToGrid w:val="0"/>
              <w:ind w:firstLine="2"/>
              <w:jc w:val="center"/>
              <w:rPr>
                <w:rFonts w:ascii="宋体" w:hAnsi="宋体"/>
                <w:color w:val="auto"/>
              </w:rPr>
            </w:pPr>
            <w:r>
              <w:rPr>
                <w:rFonts w:ascii="宋体" w:hAnsi="宋体"/>
                <w:color w:val="auto"/>
              </w:rPr>
              <w:t>石油烃（</w:t>
            </w:r>
            <w:r>
              <w:rPr>
                <w:rFonts w:hint="eastAsia" w:ascii="宋体" w:hAnsi="宋体"/>
                <w:color w:val="auto"/>
              </w:rPr>
              <w:t>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ascii="宋体" w:hAnsi="宋体"/>
                <w:color w:val="auto"/>
              </w:rPr>
              <w:t>）</w:t>
            </w:r>
          </w:p>
        </w:tc>
      </w:tr>
      <w:tr w14:paraId="57792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vAlign w:val="center"/>
          </w:tcPr>
          <w:p w14:paraId="1211FFE3">
            <w:pPr>
              <w:adjustRightInd w:val="0"/>
              <w:snapToGrid w:val="0"/>
              <w:ind w:firstLine="2"/>
              <w:jc w:val="center"/>
              <w:rPr>
                <w:rFonts w:ascii="宋体" w:hAnsi="宋体"/>
                <w:color w:val="auto"/>
              </w:rPr>
            </w:pPr>
            <w:r>
              <w:rPr>
                <w:rFonts w:ascii="宋体" w:hAnsi="宋体"/>
                <w:color w:val="auto"/>
              </w:rPr>
              <w:t>3#</w:t>
            </w:r>
          </w:p>
        </w:tc>
        <w:tc>
          <w:tcPr>
            <w:tcW w:w="742" w:type="pct"/>
            <w:vAlign w:val="center"/>
          </w:tcPr>
          <w:p w14:paraId="5B7E71A9">
            <w:pPr>
              <w:adjustRightInd w:val="0"/>
              <w:snapToGrid w:val="0"/>
              <w:ind w:firstLine="2"/>
              <w:jc w:val="center"/>
              <w:rPr>
                <w:rFonts w:ascii="宋体" w:hAnsi="宋体"/>
                <w:color w:val="auto"/>
              </w:rPr>
            </w:pPr>
            <w:r>
              <w:rPr>
                <w:rFonts w:ascii="宋体" w:hAnsi="宋体"/>
                <w:color w:val="auto"/>
              </w:rPr>
              <w:t>井场厂界外20m基本农田处</w:t>
            </w:r>
          </w:p>
        </w:tc>
        <w:tc>
          <w:tcPr>
            <w:tcW w:w="927" w:type="pct"/>
            <w:vAlign w:val="center"/>
          </w:tcPr>
          <w:p w14:paraId="2B4EA70D">
            <w:pPr>
              <w:adjustRightInd w:val="0"/>
              <w:snapToGrid w:val="0"/>
              <w:ind w:firstLine="2"/>
              <w:jc w:val="center"/>
              <w:rPr>
                <w:rFonts w:ascii="宋体" w:hAnsi="宋体"/>
                <w:color w:val="auto"/>
              </w:rPr>
            </w:pPr>
            <w:r>
              <w:rPr>
                <w:rFonts w:ascii="宋体" w:hAnsi="宋体"/>
                <w:color w:val="auto"/>
              </w:rPr>
              <w:t>0～0.2m，</w:t>
            </w:r>
          </w:p>
          <w:p w14:paraId="2D76DDF7">
            <w:pPr>
              <w:adjustRightInd w:val="0"/>
              <w:snapToGrid w:val="0"/>
              <w:ind w:firstLine="2"/>
              <w:jc w:val="center"/>
              <w:rPr>
                <w:rFonts w:ascii="宋体" w:hAnsi="宋体"/>
                <w:color w:val="auto"/>
              </w:rPr>
            </w:pPr>
            <w:r>
              <w:rPr>
                <w:rFonts w:ascii="宋体" w:hAnsi="宋体"/>
                <w:color w:val="auto"/>
              </w:rPr>
              <w:t>表层样</w:t>
            </w:r>
          </w:p>
        </w:tc>
        <w:tc>
          <w:tcPr>
            <w:tcW w:w="3079" w:type="pct"/>
            <w:vMerge w:val="continue"/>
            <w:vAlign w:val="center"/>
          </w:tcPr>
          <w:p w14:paraId="4A29F071">
            <w:pPr>
              <w:widowControl/>
              <w:jc w:val="center"/>
              <w:rPr>
                <w:rFonts w:ascii="宋体" w:hAnsi="宋体" w:cs="Calibri"/>
                <w:color w:val="auto"/>
              </w:rPr>
            </w:pPr>
          </w:p>
        </w:tc>
      </w:tr>
      <w:tr w14:paraId="126F3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vAlign w:val="center"/>
          </w:tcPr>
          <w:p w14:paraId="42C687F1">
            <w:pPr>
              <w:adjustRightInd w:val="0"/>
              <w:snapToGrid w:val="0"/>
              <w:ind w:firstLine="2"/>
              <w:jc w:val="center"/>
              <w:rPr>
                <w:rFonts w:ascii="宋体" w:hAnsi="宋体"/>
                <w:color w:val="auto"/>
              </w:rPr>
            </w:pPr>
            <w:r>
              <w:rPr>
                <w:rFonts w:ascii="宋体" w:hAnsi="宋体"/>
                <w:color w:val="auto"/>
              </w:rPr>
              <w:t>4#</w:t>
            </w:r>
          </w:p>
        </w:tc>
        <w:tc>
          <w:tcPr>
            <w:tcW w:w="742" w:type="pct"/>
            <w:vAlign w:val="center"/>
          </w:tcPr>
          <w:p w14:paraId="67D27E88">
            <w:pPr>
              <w:adjustRightInd w:val="0"/>
              <w:snapToGrid w:val="0"/>
              <w:ind w:firstLine="2"/>
              <w:jc w:val="center"/>
              <w:rPr>
                <w:rFonts w:ascii="宋体" w:hAnsi="宋体"/>
                <w:color w:val="auto"/>
              </w:rPr>
            </w:pPr>
            <w:r>
              <w:rPr>
                <w:rFonts w:ascii="宋体" w:hAnsi="宋体"/>
                <w:color w:val="auto"/>
              </w:rPr>
              <w:t>井场厂界外30m基本农田处</w:t>
            </w:r>
          </w:p>
        </w:tc>
        <w:tc>
          <w:tcPr>
            <w:tcW w:w="927" w:type="pct"/>
            <w:vAlign w:val="center"/>
          </w:tcPr>
          <w:p w14:paraId="1A0AB6B6">
            <w:pPr>
              <w:adjustRightInd w:val="0"/>
              <w:snapToGrid w:val="0"/>
              <w:ind w:firstLine="2"/>
              <w:jc w:val="center"/>
              <w:rPr>
                <w:rFonts w:ascii="宋体" w:hAnsi="宋体"/>
                <w:color w:val="auto"/>
              </w:rPr>
            </w:pPr>
            <w:r>
              <w:rPr>
                <w:rFonts w:ascii="宋体" w:hAnsi="宋体"/>
                <w:color w:val="auto"/>
              </w:rPr>
              <w:t>0～0.2m，</w:t>
            </w:r>
          </w:p>
          <w:p w14:paraId="70B78DB7">
            <w:pPr>
              <w:adjustRightInd w:val="0"/>
              <w:snapToGrid w:val="0"/>
              <w:ind w:firstLine="2"/>
              <w:jc w:val="center"/>
              <w:rPr>
                <w:rFonts w:ascii="宋体" w:hAnsi="宋体"/>
                <w:color w:val="auto"/>
              </w:rPr>
            </w:pPr>
            <w:r>
              <w:rPr>
                <w:rFonts w:ascii="宋体" w:hAnsi="宋体"/>
                <w:color w:val="auto"/>
              </w:rPr>
              <w:t>表层样</w:t>
            </w:r>
          </w:p>
        </w:tc>
        <w:tc>
          <w:tcPr>
            <w:tcW w:w="3079" w:type="pct"/>
            <w:vMerge w:val="continue"/>
            <w:vAlign w:val="center"/>
          </w:tcPr>
          <w:p w14:paraId="0EF09A98">
            <w:pPr>
              <w:widowControl/>
              <w:jc w:val="center"/>
              <w:rPr>
                <w:rFonts w:ascii="宋体" w:hAnsi="宋体" w:cs="Calibri"/>
                <w:color w:val="auto"/>
              </w:rPr>
            </w:pPr>
          </w:p>
        </w:tc>
      </w:tr>
      <w:tr w14:paraId="1DD66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vAlign w:val="center"/>
          </w:tcPr>
          <w:p w14:paraId="6EBE5D4A">
            <w:pPr>
              <w:adjustRightInd w:val="0"/>
              <w:snapToGrid w:val="0"/>
              <w:ind w:firstLine="2"/>
              <w:jc w:val="center"/>
              <w:rPr>
                <w:rFonts w:ascii="宋体" w:hAnsi="宋体"/>
                <w:color w:val="auto"/>
              </w:rPr>
            </w:pPr>
            <w:r>
              <w:rPr>
                <w:rFonts w:ascii="宋体" w:hAnsi="宋体"/>
                <w:color w:val="auto"/>
              </w:rPr>
              <w:t>5#</w:t>
            </w:r>
          </w:p>
        </w:tc>
        <w:tc>
          <w:tcPr>
            <w:tcW w:w="742" w:type="pct"/>
            <w:vAlign w:val="center"/>
          </w:tcPr>
          <w:p w14:paraId="10E8855D">
            <w:pPr>
              <w:adjustRightInd w:val="0"/>
              <w:snapToGrid w:val="0"/>
              <w:ind w:firstLine="2"/>
              <w:jc w:val="center"/>
              <w:rPr>
                <w:rFonts w:ascii="宋体" w:hAnsi="宋体"/>
                <w:color w:val="auto"/>
              </w:rPr>
            </w:pPr>
            <w:r>
              <w:rPr>
                <w:rFonts w:ascii="宋体" w:hAnsi="宋体"/>
                <w:color w:val="auto"/>
              </w:rPr>
              <w:t>井场厂界外50m基本农田处</w:t>
            </w:r>
          </w:p>
        </w:tc>
        <w:tc>
          <w:tcPr>
            <w:tcW w:w="927" w:type="pct"/>
            <w:vAlign w:val="center"/>
          </w:tcPr>
          <w:p w14:paraId="3C0DAB13">
            <w:pPr>
              <w:adjustRightInd w:val="0"/>
              <w:snapToGrid w:val="0"/>
              <w:ind w:firstLine="2"/>
              <w:jc w:val="center"/>
              <w:rPr>
                <w:rFonts w:ascii="宋体" w:hAnsi="宋体"/>
                <w:color w:val="auto"/>
              </w:rPr>
            </w:pPr>
            <w:r>
              <w:rPr>
                <w:rFonts w:ascii="宋体" w:hAnsi="宋体"/>
                <w:color w:val="auto"/>
              </w:rPr>
              <w:t>0～0.2m，</w:t>
            </w:r>
          </w:p>
          <w:p w14:paraId="0A49D575">
            <w:pPr>
              <w:adjustRightInd w:val="0"/>
              <w:snapToGrid w:val="0"/>
              <w:ind w:firstLine="2"/>
              <w:jc w:val="center"/>
              <w:rPr>
                <w:rFonts w:ascii="宋体" w:hAnsi="宋体"/>
                <w:color w:val="auto"/>
              </w:rPr>
            </w:pPr>
            <w:r>
              <w:rPr>
                <w:rFonts w:ascii="宋体" w:hAnsi="宋体"/>
                <w:color w:val="auto"/>
              </w:rPr>
              <w:t>表层样</w:t>
            </w:r>
          </w:p>
        </w:tc>
        <w:tc>
          <w:tcPr>
            <w:tcW w:w="3079" w:type="pct"/>
            <w:vMerge w:val="continue"/>
            <w:vAlign w:val="center"/>
          </w:tcPr>
          <w:p w14:paraId="5B253655">
            <w:pPr>
              <w:widowControl/>
              <w:jc w:val="center"/>
              <w:rPr>
                <w:rFonts w:ascii="宋体" w:hAnsi="宋体" w:cs="Calibri"/>
                <w:color w:val="auto"/>
              </w:rPr>
            </w:pPr>
          </w:p>
        </w:tc>
      </w:tr>
    </w:tbl>
    <w:p w14:paraId="714992A5">
      <w:pPr>
        <w:pStyle w:val="4"/>
        <w:ind w:firstLine="480"/>
        <w:rPr>
          <w:color w:val="auto"/>
        </w:rPr>
      </w:pPr>
      <w:r>
        <w:rPr>
          <w:rFonts w:hint="eastAsia"/>
          <w:color w:val="auto"/>
        </w:rPr>
        <w:t>3）监测结果</w:t>
      </w:r>
    </w:p>
    <w:p w14:paraId="20E37889">
      <w:pPr>
        <w:pStyle w:val="4"/>
        <w:ind w:firstLine="480"/>
        <w:rPr>
          <w:color w:val="auto"/>
        </w:rPr>
        <w:sectPr>
          <w:pgSz w:w="11907" w:h="16839"/>
          <w:pgMar w:top="1418" w:right="1588" w:bottom="1418" w:left="1588" w:header="1134" w:footer="850" w:gutter="0"/>
          <w:cols w:space="720" w:num="1"/>
          <w:docGrid w:linePitch="312" w:charSpace="0"/>
        </w:sectPr>
      </w:pPr>
      <w:r>
        <w:rPr>
          <w:rFonts w:hint="eastAsia"/>
          <w:color w:val="auto"/>
        </w:rPr>
        <w:t>井场内土壤环境质量监测结果</w:t>
      </w:r>
      <w:r>
        <w:rPr>
          <w:color w:val="auto"/>
        </w:rPr>
        <w:t>见</w:t>
      </w:r>
      <w:r>
        <w:rPr>
          <w:rFonts w:hint="eastAsia"/>
          <w:color w:val="auto"/>
        </w:rPr>
        <w:t>下表。</w:t>
      </w:r>
    </w:p>
    <w:p w14:paraId="30ED18FF">
      <w:pPr>
        <w:pStyle w:val="15"/>
        <w:spacing w:before="120"/>
        <w:rPr>
          <w:rFonts w:hAnsi="宋体"/>
          <w:color w:val="auto"/>
        </w:rPr>
      </w:pPr>
      <w:bookmarkStart w:id="431" w:name="_Ref59463452"/>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16</w:t>
      </w:r>
      <w:r>
        <w:rPr>
          <w:rFonts w:hAnsi="宋体"/>
          <w:color w:val="auto"/>
        </w:rPr>
        <w:fldChar w:fldCharType="end"/>
      </w:r>
      <w:bookmarkEnd w:id="431"/>
      <w:r>
        <w:rPr>
          <w:rFonts w:hAnsi="宋体"/>
          <w:color w:val="auto"/>
        </w:rPr>
        <w:t xml:space="preserve">  </w:t>
      </w:r>
      <w:r>
        <w:rPr>
          <w:rFonts w:hint="eastAsia" w:hAnsi="宋体"/>
          <w:color w:val="auto"/>
        </w:rPr>
        <w:t>土壤</w:t>
      </w:r>
      <w:r>
        <w:rPr>
          <w:rFonts w:hAnsi="宋体"/>
          <w:color w:val="auto"/>
        </w:rPr>
        <w:t>监测结果</w:t>
      </w:r>
      <w:r>
        <w:rPr>
          <w:rFonts w:hint="eastAsia" w:hAnsi="宋体"/>
          <w:color w:val="auto"/>
        </w:rPr>
        <w:t>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8"/>
        <w:gridCol w:w="1332"/>
        <w:gridCol w:w="1718"/>
        <w:gridCol w:w="1710"/>
        <w:gridCol w:w="1710"/>
        <w:gridCol w:w="1710"/>
        <w:gridCol w:w="1791"/>
        <w:gridCol w:w="1788"/>
        <w:gridCol w:w="1786"/>
      </w:tblGrid>
      <w:tr w14:paraId="186C1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636" w:type="pct"/>
            <w:gridSpan w:val="2"/>
            <w:vAlign w:val="center"/>
          </w:tcPr>
          <w:p w14:paraId="22D12660">
            <w:pPr>
              <w:widowControl/>
              <w:jc w:val="center"/>
              <w:rPr>
                <w:rFonts w:ascii="宋体" w:hAnsi="宋体"/>
                <w:color w:val="auto"/>
              </w:rPr>
            </w:pPr>
            <w:r>
              <w:rPr>
                <w:rFonts w:hint="eastAsia" w:ascii="宋体" w:hAnsi="宋体"/>
                <w:color w:val="auto"/>
              </w:rPr>
              <w:t>采样日期</w:t>
            </w:r>
          </w:p>
        </w:tc>
        <w:tc>
          <w:tcPr>
            <w:tcW w:w="4364" w:type="pct"/>
            <w:gridSpan w:val="7"/>
            <w:vAlign w:val="center"/>
          </w:tcPr>
          <w:p w14:paraId="4BA8D357">
            <w:pPr>
              <w:pStyle w:val="185"/>
              <w:rPr>
                <w:color w:val="auto"/>
              </w:rPr>
            </w:pPr>
            <w:r>
              <w:rPr>
                <w:rFonts w:hint="eastAsia"/>
                <w:color w:val="auto"/>
              </w:rPr>
              <w:t>2</w:t>
            </w:r>
            <w:r>
              <w:rPr>
                <w:color w:val="auto"/>
              </w:rPr>
              <w:t>026</w:t>
            </w:r>
            <w:r>
              <w:rPr>
                <w:rFonts w:hint="eastAsia"/>
                <w:color w:val="auto"/>
              </w:rPr>
              <w:t>年</w:t>
            </w:r>
            <w:r>
              <w:rPr>
                <w:color w:val="auto"/>
              </w:rPr>
              <w:t>2</w:t>
            </w:r>
            <w:r>
              <w:rPr>
                <w:rFonts w:hint="eastAsia"/>
                <w:color w:val="auto"/>
              </w:rPr>
              <w:t>月</w:t>
            </w:r>
            <w:r>
              <w:rPr>
                <w:color w:val="auto"/>
              </w:rPr>
              <w:t>28</w:t>
            </w:r>
            <w:r>
              <w:rPr>
                <w:rFonts w:hint="eastAsia"/>
                <w:color w:val="auto"/>
              </w:rPr>
              <w:t>日</w:t>
            </w:r>
          </w:p>
        </w:tc>
      </w:tr>
      <w:tr w14:paraId="36096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636" w:type="pct"/>
            <w:gridSpan w:val="2"/>
            <w:vAlign w:val="center"/>
          </w:tcPr>
          <w:p w14:paraId="0AA16229">
            <w:pPr>
              <w:widowControl/>
              <w:jc w:val="center"/>
              <w:rPr>
                <w:rFonts w:ascii="宋体" w:hAnsi="宋体"/>
                <w:color w:val="auto"/>
              </w:rPr>
            </w:pPr>
            <w:r>
              <w:rPr>
                <w:rFonts w:ascii="宋体" w:hAnsi="宋体"/>
                <w:color w:val="auto"/>
              </w:rPr>
              <w:t>检测点位</w:t>
            </w:r>
          </w:p>
        </w:tc>
        <w:tc>
          <w:tcPr>
            <w:tcW w:w="1836" w:type="pct"/>
            <w:gridSpan w:val="3"/>
            <w:vAlign w:val="center"/>
          </w:tcPr>
          <w:p w14:paraId="0C8789C5">
            <w:pPr>
              <w:ind w:hanging="2"/>
              <w:jc w:val="center"/>
              <w:rPr>
                <w:rFonts w:ascii="宋体" w:hAnsi="宋体"/>
                <w:color w:val="auto"/>
              </w:rPr>
            </w:pPr>
            <w:r>
              <w:rPr>
                <w:rFonts w:hint="eastAsia" w:ascii="宋体" w:hAnsi="宋体"/>
                <w:color w:val="auto"/>
              </w:rPr>
              <w:t>5</w:t>
            </w:r>
            <w:r>
              <w:rPr>
                <w:rFonts w:ascii="宋体" w:hAnsi="宋体"/>
                <w:color w:val="auto"/>
              </w:rPr>
              <w:t>#井场井口周围</w:t>
            </w:r>
          </w:p>
        </w:tc>
        <w:tc>
          <w:tcPr>
            <w:tcW w:w="611" w:type="pct"/>
            <w:vAlign w:val="center"/>
          </w:tcPr>
          <w:p w14:paraId="5DB93606">
            <w:pPr>
              <w:ind w:hanging="2"/>
              <w:jc w:val="center"/>
              <w:rPr>
                <w:rFonts w:ascii="宋体" w:hAnsi="宋体"/>
                <w:color w:val="auto"/>
              </w:rPr>
            </w:pPr>
            <w:r>
              <w:rPr>
                <w:rFonts w:ascii="宋体" w:hAnsi="宋体"/>
                <w:color w:val="auto"/>
              </w:rPr>
              <w:t>S2：</w:t>
            </w:r>
            <w:r>
              <w:rPr>
                <w:rFonts w:hint="eastAsia" w:ascii="宋体" w:hAnsi="宋体"/>
                <w:color w:val="auto"/>
              </w:rPr>
              <w:t>5</w:t>
            </w:r>
            <w:r>
              <w:rPr>
                <w:rFonts w:ascii="宋体" w:hAnsi="宋体"/>
                <w:color w:val="auto"/>
              </w:rPr>
              <w:t>#井场厂界外10m基本农田处</w:t>
            </w:r>
          </w:p>
        </w:tc>
        <w:tc>
          <w:tcPr>
            <w:tcW w:w="640" w:type="pct"/>
            <w:vAlign w:val="center"/>
          </w:tcPr>
          <w:p w14:paraId="39D50CB9">
            <w:pPr>
              <w:ind w:hanging="2"/>
              <w:jc w:val="center"/>
              <w:rPr>
                <w:rFonts w:ascii="宋体" w:hAnsi="宋体"/>
                <w:color w:val="auto"/>
              </w:rPr>
            </w:pPr>
            <w:r>
              <w:rPr>
                <w:rFonts w:ascii="宋体" w:hAnsi="宋体"/>
                <w:color w:val="auto"/>
              </w:rPr>
              <w:t>S3：</w:t>
            </w:r>
            <w:r>
              <w:rPr>
                <w:rFonts w:hint="eastAsia" w:ascii="宋体" w:hAnsi="宋体"/>
                <w:color w:val="auto"/>
              </w:rPr>
              <w:t>5</w:t>
            </w:r>
            <w:r>
              <w:rPr>
                <w:rFonts w:ascii="宋体" w:hAnsi="宋体"/>
                <w:color w:val="auto"/>
              </w:rPr>
              <w:t>#井场厂界外20m基本农田处</w:t>
            </w:r>
          </w:p>
        </w:tc>
        <w:tc>
          <w:tcPr>
            <w:tcW w:w="639" w:type="pct"/>
            <w:vAlign w:val="center"/>
          </w:tcPr>
          <w:p w14:paraId="29FC1953">
            <w:pPr>
              <w:ind w:hanging="2"/>
              <w:jc w:val="center"/>
              <w:rPr>
                <w:rFonts w:ascii="宋体" w:hAnsi="宋体"/>
                <w:color w:val="auto"/>
              </w:rPr>
            </w:pPr>
            <w:r>
              <w:rPr>
                <w:rFonts w:ascii="宋体" w:hAnsi="宋体"/>
                <w:color w:val="auto"/>
              </w:rPr>
              <w:t>S4：</w:t>
            </w:r>
            <w:r>
              <w:rPr>
                <w:rFonts w:hint="eastAsia" w:ascii="宋体" w:hAnsi="宋体"/>
                <w:color w:val="auto"/>
              </w:rPr>
              <w:t>5</w:t>
            </w:r>
            <w:r>
              <w:rPr>
                <w:rFonts w:ascii="宋体" w:hAnsi="宋体"/>
                <w:color w:val="auto"/>
              </w:rPr>
              <w:t>#井场厂界外30m基本农田处</w:t>
            </w:r>
          </w:p>
        </w:tc>
        <w:tc>
          <w:tcPr>
            <w:tcW w:w="638" w:type="pct"/>
            <w:vAlign w:val="center"/>
          </w:tcPr>
          <w:p w14:paraId="4E3B733E">
            <w:pPr>
              <w:ind w:hanging="2"/>
              <w:jc w:val="center"/>
              <w:rPr>
                <w:rFonts w:ascii="宋体" w:hAnsi="宋体"/>
                <w:color w:val="auto"/>
              </w:rPr>
            </w:pPr>
            <w:r>
              <w:rPr>
                <w:rFonts w:ascii="宋体" w:hAnsi="宋体"/>
                <w:color w:val="auto"/>
              </w:rPr>
              <w:t>S5：</w:t>
            </w:r>
            <w:r>
              <w:rPr>
                <w:rFonts w:hint="eastAsia" w:ascii="宋体" w:hAnsi="宋体"/>
                <w:color w:val="auto"/>
              </w:rPr>
              <w:t>5</w:t>
            </w:r>
            <w:r>
              <w:rPr>
                <w:rFonts w:ascii="宋体" w:hAnsi="宋体"/>
                <w:color w:val="auto"/>
              </w:rPr>
              <w:t>#井场厂界外50m基本农田处</w:t>
            </w:r>
          </w:p>
        </w:tc>
      </w:tr>
      <w:tr w14:paraId="6037D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60" w:type="pct"/>
            <w:vAlign w:val="center"/>
          </w:tcPr>
          <w:p w14:paraId="3192E3FA">
            <w:pPr>
              <w:jc w:val="center"/>
              <w:rPr>
                <w:rFonts w:ascii="宋体" w:hAnsi="宋体"/>
                <w:color w:val="auto"/>
              </w:rPr>
            </w:pPr>
            <w:r>
              <w:rPr>
                <w:rFonts w:ascii="宋体" w:hAnsi="宋体"/>
                <w:color w:val="auto"/>
              </w:rPr>
              <w:t>序号</w:t>
            </w:r>
          </w:p>
        </w:tc>
        <w:tc>
          <w:tcPr>
            <w:tcW w:w="476" w:type="pct"/>
            <w:vAlign w:val="center"/>
          </w:tcPr>
          <w:p w14:paraId="34C106A2">
            <w:pPr>
              <w:widowControl/>
              <w:jc w:val="center"/>
              <w:rPr>
                <w:rFonts w:ascii="宋体" w:hAnsi="宋体"/>
                <w:color w:val="auto"/>
              </w:rPr>
            </w:pPr>
            <w:r>
              <w:rPr>
                <w:rFonts w:ascii="宋体" w:hAnsi="宋体"/>
                <w:color w:val="auto"/>
              </w:rPr>
              <w:t>采样深度（m）</w:t>
            </w:r>
          </w:p>
        </w:tc>
        <w:tc>
          <w:tcPr>
            <w:tcW w:w="614" w:type="pct"/>
            <w:vAlign w:val="center"/>
          </w:tcPr>
          <w:p w14:paraId="6BC37526">
            <w:pPr>
              <w:pStyle w:val="185"/>
              <w:rPr>
                <w:color w:val="auto"/>
              </w:rPr>
            </w:pPr>
            <w:r>
              <w:rPr>
                <w:color w:val="auto"/>
              </w:rPr>
              <w:t>0～0.</w:t>
            </w:r>
            <w:r>
              <w:rPr>
                <w:rFonts w:hint="eastAsia"/>
                <w:color w:val="auto"/>
              </w:rPr>
              <w:t>5</w:t>
            </w:r>
          </w:p>
        </w:tc>
        <w:tc>
          <w:tcPr>
            <w:tcW w:w="611" w:type="pct"/>
            <w:vAlign w:val="center"/>
          </w:tcPr>
          <w:p w14:paraId="23C89487">
            <w:pPr>
              <w:pStyle w:val="185"/>
              <w:rPr>
                <w:color w:val="auto"/>
              </w:rPr>
            </w:pPr>
            <w:r>
              <w:rPr>
                <w:rFonts w:hint="eastAsia"/>
                <w:color w:val="auto"/>
              </w:rPr>
              <w:t>0.5</w:t>
            </w:r>
            <w:r>
              <w:rPr>
                <w:color w:val="auto"/>
              </w:rPr>
              <w:t>～</w:t>
            </w:r>
            <w:r>
              <w:rPr>
                <w:rFonts w:hint="eastAsia"/>
                <w:color w:val="auto"/>
              </w:rPr>
              <w:t>1.0</w:t>
            </w:r>
          </w:p>
        </w:tc>
        <w:tc>
          <w:tcPr>
            <w:tcW w:w="611" w:type="pct"/>
            <w:vAlign w:val="center"/>
          </w:tcPr>
          <w:p w14:paraId="151E2BDE">
            <w:pPr>
              <w:pStyle w:val="185"/>
              <w:rPr>
                <w:color w:val="auto"/>
              </w:rPr>
            </w:pPr>
            <w:r>
              <w:rPr>
                <w:rFonts w:hint="eastAsia"/>
                <w:color w:val="auto"/>
              </w:rPr>
              <w:t>1.0</w:t>
            </w:r>
            <w:r>
              <w:rPr>
                <w:color w:val="auto"/>
              </w:rPr>
              <w:t>～</w:t>
            </w:r>
            <w:r>
              <w:rPr>
                <w:rFonts w:hint="eastAsia"/>
                <w:color w:val="auto"/>
              </w:rPr>
              <w:t>1</w:t>
            </w:r>
            <w:r>
              <w:rPr>
                <w:color w:val="auto"/>
              </w:rPr>
              <w:t>.</w:t>
            </w:r>
            <w:r>
              <w:rPr>
                <w:rFonts w:hint="eastAsia"/>
                <w:color w:val="auto"/>
              </w:rPr>
              <w:t>5</w:t>
            </w:r>
          </w:p>
        </w:tc>
        <w:tc>
          <w:tcPr>
            <w:tcW w:w="611" w:type="pct"/>
            <w:vAlign w:val="center"/>
          </w:tcPr>
          <w:p w14:paraId="2F139486">
            <w:pPr>
              <w:pStyle w:val="185"/>
              <w:rPr>
                <w:color w:val="auto"/>
              </w:rPr>
            </w:pPr>
            <w:r>
              <w:rPr>
                <w:color w:val="auto"/>
              </w:rPr>
              <w:t>0～0.2</w:t>
            </w:r>
          </w:p>
        </w:tc>
        <w:tc>
          <w:tcPr>
            <w:tcW w:w="640" w:type="pct"/>
            <w:vAlign w:val="center"/>
          </w:tcPr>
          <w:p w14:paraId="15473E94">
            <w:pPr>
              <w:pStyle w:val="185"/>
              <w:rPr>
                <w:color w:val="auto"/>
              </w:rPr>
            </w:pPr>
            <w:r>
              <w:rPr>
                <w:color w:val="auto"/>
              </w:rPr>
              <w:t>0～0.2</w:t>
            </w:r>
          </w:p>
        </w:tc>
        <w:tc>
          <w:tcPr>
            <w:tcW w:w="639" w:type="pct"/>
            <w:vAlign w:val="center"/>
          </w:tcPr>
          <w:p w14:paraId="2DC40101">
            <w:pPr>
              <w:pStyle w:val="185"/>
              <w:rPr>
                <w:color w:val="auto"/>
              </w:rPr>
            </w:pPr>
            <w:r>
              <w:rPr>
                <w:color w:val="auto"/>
              </w:rPr>
              <w:t>0～0.2</w:t>
            </w:r>
          </w:p>
        </w:tc>
        <w:tc>
          <w:tcPr>
            <w:tcW w:w="638" w:type="pct"/>
            <w:vAlign w:val="center"/>
          </w:tcPr>
          <w:p w14:paraId="03AF7C94">
            <w:pPr>
              <w:pStyle w:val="185"/>
              <w:rPr>
                <w:color w:val="auto"/>
              </w:rPr>
            </w:pPr>
            <w:r>
              <w:rPr>
                <w:color w:val="auto"/>
              </w:rPr>
              <w:t>0～0.2</w:t>
            </w:r>
          </w:p>
        </w:tc>
      </w:tr>
      <w:tr w14:paraId="46117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7E21D35A">
            <w:pPr>
              <w:pStyle w:val="76"/>
              <w:numPr>
                <w:ilvl w:val="0"/>
                <w:numId w:val="29"/>
              </w:numPr>
              <w:rPr>
                <w:rFonts w:hAnsi="宋体"/>
                <w:color w:val="auto"/>
              </w:rPr>
            </w:pPr>
          </w:p>
        </w:tc>
        <w:tc>
          <w:tcPr>
            <w:tcW w:w="476" w:type="pct"/>
            <w:vAlign w:val="center"/>
          </w:tcPr>
          <w:p w14:paraId="249BA6C4">
            <w:pPr>
              <w:jc w:val="center"/>
              <w:rPr>
                <w:rFonts w:ascii="宋体" w:hAnsi="宋体"/>
                <w:color w:val="auto"/>
              </w:rPr>
            </w:pPr>
            <w:r>
              <w:rPr>
                <w:rFonts w:hint="eastAsia" w:ascii="宋体" w:hAnsi="宋体"/>
                <w:color w:val="auto"/>
              </w:rPr>
              <w:t>p</w:t>
            </w:r>
            <w:r>
              <w:rPr>
                <w:rFonts w:ascii="宋体" w:hAnsi="宋体"/>
                <w:color w:val="auto"/>
              </w:rPr>
              <w:t>H</w:t>
            </w:r>
            <w:r>
              <w:rPr>
                <w:rFonts w:hint="eastAsia" w:ascii="宋体" w:hAnsi="宋体"/>
                <w:color w:val="auto"/>
              </w:rPr>
              <w:t>值（无量纲）</w:t>
            </w:r>
          </w:p>
        </w:tc>
        <w:tc>
          <w:tcPr>
            <w:tcW w:w="614" w:type="pct"/>
            <w:shd w:val="clear" w:color="000000" w:fill="FFFFFF"/>
            <w:vAlign w:val="center"/>
          </w:tcPr>
          <w:p w14:paraId="573D6942">
            <w:pPr>
              <w:jc w:val="center"/>
              <w:rPr>
                <w:rFonts w:ascii="宋体" w:hAnsi="宋体"/>
                <w:color w:val="auto"/>
                <w:kern w:val="0"/>
              </w:rPr>
            </w:pPr>
            <w:r>
              <w:rPr>
                <w:rFonts w:hint="eastAsia" w:ascii="宋体" w:hAnsi="宋体"/>
                <w:color w:val="auto"/>
              </w:rPr>
              <w:t>6.85</w:t>
            </w:r>
          </w:p>
        </w:tc>
        <w:tc>
          <w:tcPr>
            <w:tcW w:w="611" w:type="pct"/>
            <w:vAlign w:val="center"/>
          </w:tcPr>
          <w:p w14:paraId="426C378E">
            <w:pPr>
              <w:jc w:val="center"/>
              <w:rPr>
                <w:rFonts w:ascii="宋体" w:hAnsi="宋体"/>
                <w:color w:val="auto"/>
              </w:rPr>
            </w:pPr>
            <w:r>
              <w:rPr>
                <w:rFonts w:hint="eastAsia" w:ascii="宋体" w:hAnsi="宋体"/>
                <w:color w:val="auto"/>
              </w:rPr>
              <w:t>6.89</w:t>
            </w:r>
          </w:p>
        </w:tc>
        <w:tc>
          <w:tcPr>
            <w:tcW w:w="611" w:type="pct"/>
            <w:vAlign w:val="center"/>
          </w:tcPr>
          <w:p w14:paraId="4B3D8B61">
            <w:pPr>
              <w:jc w:val="center"/>
              <w:rPr>
                <w:rFonts w:ascii="宋体" w:hAnsi="宋体"/>
                <w:color w:val="auto"/>
              </w:rPr>
            </w:pPr>
            <w:r>
              <w:rPr>
                <w:rFonts w:hint="eastAsia" w:ascii="宋体" w:hAnsi="宋体"/>
                <w:color w:val="auto"/>
              </w:rPr>
              <w:t>6.81</w:t>
            </w:r>
          </w:p>
        </w:tc>
        <w:tc>
          <w:tcPr>
            <w:tcW w:w="611" w:type="pct"/>
            <w:shd w:val="clear" w:color="000000" w:fill="FFFFFF"/>
            <w:vAlign w:val="center"/>
          </w:tcPr>
          <w:p w14:paraId="4BB68B47">
            <w:pPr>
              <w:jc w:val="center"/>
              <w:rPr>
                <w:rFonts w:ascii="宋体" w:hAnsi="宋体"/>
                <w:color w:val="auto"/>
              </w:rPr>
            </w:pPr>
            <w:r>
              <w:rPr>
                <w:rFonts w:hint="eastAsia" w:ascii="宋体" w:hAnsi="宋体"/>
                <w:color w:val="auto"/>
              </w:rPr>
              <w:t>6.88</w:t>
            </w:r>
          </w:p>
        </w:tc>
        <w:tc>
          <w:tcPr>
            <w:tcW w:w="640" w:type="pct"/>
            <w:shd w:val="clear" w:color="000000" w:fill="FFFFFF"/>
            <w:vAlign w:val="center"/>
          </w:tcPr>
          <w:p w14:paraId="1964B050">
            <w:pPr>
              <w:jc w:val="center"/>
              <w:rPr>
                <w:rFonts w:ascii="宋体" w:hAnsi="宋体"/>
                <w:color w:val="auto"/>
              </w:rPr>
            </w:pPr>
            <w:r>
              <w:rPr>
                <w:rFonts w:hint="eastAsia" w:ascii="宋体" w:hAnsi="宋体"/>
                <w:color w:val="auto"/>
                <w:kern w:val="0"/>
              </w:rPr>
              <w:t>6.85</w:t>
            </w:r>
          </w:p>
        </w:tc>
        <w:tc>
          <w:tcPr>
            <w:tcW w:w="639" w:type="pct"/>
            <w:shd w:val="clear" w:color="000000" w:fill="FFFFFF"/>
            <w:vAlign w:val="center"/>
          </w:tcPr>
          <w:p w14:paraId="37299BE2">
            <w:pPr>
              <w:jc w:val="center"/>
              <w:rPr>
                <w:rFonts w:ascii="宋体" w:hAnsi="宋体"/>
                <w:color w:val="auto"/>
              </w:rPr>
            </w:pPr>
            <w:r>
              <w:rPr>
                <w:rFonts w:hint="eastAsia" w:ascii="宋体" w:hAnsi="宋体"/>
                <w:color w:val="auto"/>
                <w:kern w:val="0"/>
              </w:rPr>
              <w:t>6.85</w:t>
            </w:r>
          </w:p>
        </w:tc>
        <w:tc>
          <w:tcPr>
            <w:tcW w:w="638" w:type="pct"/>
            <w:shd w:val="clear" w:color="000000" w:fill="FFFFFF"/>
            <w:vAlign w:val="center"/>
          </w:tcPr>
          <w:p w14:paraId="69A1BC34">
            <w:pPr>
              <w:jc w:val="center"/>
              <w:rPr>
                <w:rFonts w:ascii="宋体" w:hAnsi="宋体"/>
                <w:color w:val="auto"/>
              </w:rPr>
            </w:pPr>
            <w:r>
              <w:rPr>
                <w:rFonts w:hint="eastAsia" w:ascii="宋体" w:hAnsi="宋体"/>
                <w:color w:val="auto"/>
                <w:kern w:val="0"/>
              </w:rPr>
              <w:t>6.91</w:t>
            </w:r>
          </w:p>
        </w:tc>
      </w:tr>
      <w:tr w14:paraId="7B0F6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66B37AF8">
            <w:pPr>
              <w:pStyle w:val="76"/>
              <w:rPr>
                <w:rFonts w:hAnsi="宋体"/>
                <w:color w:val="auto"/>
              </w:rPr>
            </w:pPr>
          </w:p>
        </w:tc>
        <w:tc>
          <w:tcPr>
            <w:tcW w:w="476" w:type="pct"/>
            <w:vAlign w:val="center"/>
          </w:tcPr>
          <w:p w14:paraId="54D74C1F">
            <w:pPr>
              <w:jc w:val="center"/>
              <w:rPr>
                <w:rFonts w:ascii="宋体" w:hAnsi="宋体"/>
                <w:color w:val="auto"/>
              </w:rPr>
            </w:pPr>
            <w:r>
              <w:rPr>
                <w:rFonts w:hint="eastAsia" w:ascii="宋体" w:hAnsi="宋体"/>
                <w:color w:val="auto"/>
              </w:rPr>
              <w:t>石油烃（C</w:t>
            </w:r>
            <w:r>
              <w:rPr>
                <w:rFonts w:ascii="宋体" w:hAnsi="宋体"/>
                <w:color w:val="auto"/>
                <w:vertAlign w:val="subscript"/>
              </w:rPr>
              <w:t>10</w:t>
            </w:r>
            <w:r>
              <w:rPr>
                <w:rFonts w:ascii="宋体" w:hAnsi="宋体"/>
                <w:color w:val="auto"/>
              </w:rPr>
              <w:t>-C</w:t>
            </w:r>
            <w:r>
              <w:rPr>
                <w:rFonts w:ascii="宋体" w:hAnsi="宋体"/>
                <w:color w:val="auto"/>
                <w:vertAlign w:val="subscript"/>
              </w:rPr>
              <w:t>40</w:t>
            </w:r>
            <w:r>
              <w:rPr>
                <w:rFonts w:hint="eastAsia" w:ascii="宋体" w:hAnsi="宋体"/>
                <w:color w:val="auto"/>
              </w:rPr>
              <w:t>）</w:t>
            </w:r>
            <w:r>
              <w:rPr>
                <w:rFonts w:ascii="宋体" w:hAnsi="宋体"/>
                <w:color w:val="auto"/>
              </w:rPr>
              <w:t>（mg/kg）</w:t>
            </w:r>
          </w:p>
        </w:tc>
        <w:tc>
          <w:tcPr>
            <w:tcW w:w="614" w:type="pct"/>
            <w:vAlign w:val="center"/>
          </w:tcPr>
          <w:p w14:paraId="3BE8D996">
            <w:pPr>
              <w:jc w:val="center"/>
              <w:rPr>
                <w:rFonts w:ascii="宋体" w:hAnsi="宋体"/>
                <w:color w:val="auto"/>
              </w:rPr>
            </w:pPr>
            <w:r>
              <w:rPr>
                <w:rFonts w:ascii="宋体" w:hAnsi="宋体"/>
                <w:color w:val="auto"/>
              </w:rPr>
              <w:t>76</w:t>
            </w:r>
          </w:p>
        </w:tc>
        <w:tc>
          <w:tcPr>
            <w:tcW w:w="611" w:type="pct"/>
            <w:vAlign w:val="center"/>
          </w:tcPr>
          <w:p w14:paraId="6491D446">
            <w:pPr>
              <w:jc w:val="center"/>
              <w:rPr>
                <w:rFonts w:ascii="宋体" w:hAnsi="宋体"/>
                <w:color w:val="auto"/>
              </w:rPr>
            </w:pPr>
            <w:r>
              <w:rPr>
                <w:rFonts w:ascii="宋体" w:hAnsi="宋体"/>
                <w:color w:val="auto"/>
              </w:rPr>
              <w:t>67</w:t>
            </w:r>
          </w:p>
        </w:tc>
        <w:tc>
          <w:tcPr>
            <w:tcW w:w="611" w:type="pct"/>
            <w:vAlign w:val="center"/>
          </w:tcPr>
          <w:p w14:paraId="1DDA0782">
            <w:pPr>
              <w:jc w:val="center"/>
              <w:rPr>
                <w:rFonts w:ascii="宋体" w:hAnsi="宋体"/>
                <w:color w:val="auto"/>
              </w:rPr>
            </w:pPr>
            <w:r>
              <w:rPr>
                <w:rFonts w:ascii="宋体" w:hAnsi="宋体"/>
                <w:color w:val="auto"/>
              </w:rPr>
              <w:t>58</w:t>
            </w:r>
          </w:p>
        </w:tc>
        <w:tc>
          <w:tcPr>
            <w:tcW w:w="611" w:type="pct"/>
            <w:vAlign w:val="center"/>
          </w:tcPr>
          <w:p w14:paraId="3F2FA629">
            <w:pPr>
              <w:jc w:val="center"/>
              <w:rPr>
                <w:rFonts w:ascii="宋体" w:hAnsi="宋体"/>
                <w:color w:val="auto"/>
              </w:rPr>
            </w:pPr>
            <w:r>
              <w:rPr>
                <w:rFonts w:ascii="宋体" w:hAnsi="宋体"/>
                <w:color w:val="auto"/>
              </w:rPr>
              <w:t>54</w:t>
            </w:r>
          </w:p>
        </w:tc>
        <w:tc>
          <w:tcPr>
            <w:tcW w:w="640" w:type="pct"/>
            <w:vAlign w:val="center"/>
          </w:tcPr>
          <w:p w14:paraId="47D16E70">
            <w:pPr>
              <w:jc w:val="center"/>
              <w:rPr>
                <w:rFonts w:ascii="宋体" w:hAnsi="宋体"/>
                <w:color w:val="auto"/>
              </w:rPr>
            </w:pPr>
            <w:r>
              <w:rPr>
                <w:rFonts w:ascii="宋体" w:hAnsi="宋体"/>
                <w:color w:val="auto"/>
                <w:kern w:val="0"/>
              </w:rPr>
              <w:t>56</w:t>
            </w:r>
          </w:p>
        </w:tc>
        <w:tc>
          <w:tcPr>
            <w:tcW w:w="639" w:type="pct"/>
            <w:vAlign w:val="center"/>
          </w:tcPr>
          <w:p w14:paraId="6DA3E6D8">
            <w:pPr>
              <w:jc w:val="center"/>
              <w:rPr>
                <w:rFonts w:ascii="宋体" w:hAnsi="宋体"/>
                <w:color w:val="auto"/>
              </w:rPr>
            </w:pPr>
            <w:r>
              <w:rPr>
                <w:rFonts w:ascii="宋体" w:hAnsi="宋体"/>
                <w:color w:val="auto"/>
                <w:kern w:val="0"/>
              </w:rPr>
              <w:t>41</w:t>
            </w:r>
          </w:p>
        </w:tc>
        <w:tc>
          <w:tcPr>
            <w:tcW w:w="638" w:type="pct"/>
            <w:vAlign w:val="center"/>
          </w:tcPr>
          <w:p w14:paraId="5D01B898">
            <w:pPr>
              <w:jc w:val="center"/>
              <w:rPr>
                <w:rFonts w:ascii="宋体" w:hAnsi="宋体"/>
                <w:color w:val="auto"/>
              </w:rPr>
            </w:pPr>
            <w:r>
              <w:rPr>
                <w:rFonts w:ascii="宋体" w:hAnsi="宋体"/>
                <w:color w:val="auto"/>
                <w:kern w:val="0"/>
              </w:rPr>
              <w:t>16</w:t>
            </w:r>
          </w:p>
        </w:tc>
      </w:tr>
      <w:tr w14:paraId="48D8D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62A5BB74">
            <w:pPr>
              <w:pStyle w:val="76"/>
              <w:rPr>
                <w:rFonts w:hAnsi="宋体"/>
                <w:color w:val="auto"/>
              </w:rPr>
            </w:pPr>
          </w:p>
        </w:tc>
        <w:tc>
          <w:tcPr>
            <w:tcW w:w="476" w:type="pct"/>
            <w:vAlign w:val="center"/>
          </w:tcPr>
          <w:p w14:paraId="12B99437">
            <w:pPr>
              <w:jc w:val="center"/>
              <w:rPr>
                <w:rFonts w:ascii="宋体" w:hAnsi="宋体"/>
                <w:color w:val="auto"/>
              </w:rPr>
            </w:pPr>
            <w:r>
              <w:rPr>
                <w:rFonts w:ascii="宋体" w:hAnsi="宋体"/>
                <w:color w:val="auto"/>
              </w:rPr>
              <w:t>砷（mg/kg）</w:t>
            </w:r>
          </w:p>
        </w:tc>
        <w:tc>
          <w:tcPr>
            <w:tcW w:w="614" w:type="pct"/>
            <w:vAlign w:val="center"/>
          </w:tcPr>
          <w:p w14:paraId="7EEB0581">
            <w:pPr>
              <w:jc w:val="center"/>
              <w:rPr>
                <w:rFonts w:ascii="宋体" w:hAnsi="宋体"/>
                <w:color w:val="auto"/>
              </w:rPr>
            </w:pPr>
            <w:r>
              <w:rPr>
                <w:rFonts w:hint="eastAsia" w:ascii="宋体" w:hAnsi="宋体"/>
                <w:color w:val="auto"/>
              </w:rPr>
              <w:t>11.4</w:t>
            </w:r>
          </w:p>
        </w:tc>
        <w:tc>
          <w:tcPr>
            <w:tcW w:w="611" w:type="pct"/>
            <w:vAlign w:val="center"/>
          </w:tcPr>
          <w:p w14:paraId="0B8BD321">
            <w:pPr>
              <w:jc w:val="center"/>
              <w:rPr>
                <w:rFonts w:ascii="宋体" w:hAnsi="宋体"/>
                <w:color w:val="auto"/>
              </w:rPr>
            </w:pPr>
            <w:r>
              <w:rPr>
                <w:rFonts w:hint="eastAsia" w:ascii="宋体" w:hAnsi="宋体"/>
                <w:color w:val="auto"/>
              </w:rPr>
              <w:t>11.0</w:t>
            </w:r>
          </w:p>
        </w:tc>
        <w:tc>
          <w:tcPr>
            <w:tcW w:w="611" w:type="pct"/>
            <w:vAlign w:val="center"/>
          </w:tcPr>
          <w:p w14:paraId="0E59ADF1">
            <w:pPr>
              <w:jc w:val="center"/>
              <w:rPr>
                <w:rFonts w:ascii="宋体" w:hAnsi="宋体"/>
                <w:color w:val="auto"/>
              </w:rPr>
            </w:pPr>
            <w:r>
              <w:rPr>
                <w:rFonts w:hint="eastAsia" w:ascii="宋体" w:hAnsi="宋体"/>
                <w:color w:val="auto"/>
              </w:rPr>
              <w:t>10.9</w:t>
            </w:r>
          </w:p>
        </w:tc>
        <w:tc>
          <w:tcPr>
            <w:tcW w:w="611" w:type="pct"/>
            <w:vAlign w:val="center"/>
          </w:tcPr>
          <w:p w14:paraId="30D447E5">
            <w:pPr>
              <w:jc w:val="center"/>
              <w:rPr>
                <w:rFonts w:ascii="宋体" w:hAnsi="宋体"/>
                <w:color w:val="auto"/>
              </w:rPr>
            </w:pPr>
            <w:r>
              <w:rPr>
                <w:rFonts w:hint="eastAsia" w:ascii="宋体" w:hAnsi="宋体"/>
                <w:color w:val="auto"/>
              </w:rPr>
              <w:t>/</w:t>
            </w:r>
          </w:p>
        </w:tc>
        <w:tc>
          <w:tcPr>
            <w:tcW w:w="640" w:type="pct"/>
            <w:vAlign w:val="center"/>
          </w:tcPr>
          <w:p w14:paraId="648FF402">
            <w:pPr>
              <w:jc w:val="center"/>
              <w:rPr>
                <w:rFonts w:ascii="宋体" w:hAnsi="宋体"/>
                <w:color w:val="auto"/>
              </w:rPr>
            </w:pPr>
            <w:r>
              <w:rPr>
                <w:rFonts w:hint="eastAsia" w:ascii="宋体" w:hAnsi="宋体"/>
                <w:color w:val="auto"/>
              </w:rPr>
              <w:t>/</w:t>
            </w:r>
          </w:p>
        </w:tc>
        <w:tc>
          <w:tcPr>
            <w:tcW w:w="639" w:type="pct"/>
            <w:vAlign w:val="center"/>
          </w:tcPr>
          <w:p w14:paraId="4593149C">
            <w:pPr>
              <w:jc w:val="center"/>
              <w:rPr>
                <w:rFonts w:ascii="宋体" w:hAnsi="宋体"/>
                <w:color w:val="auto"/>
              </w:rPr>
            </w:pPr>
            <w:r>
              <w:rPr>
                <w:rFonts w:hint="eastAsia" w:ascii="宋体" w:hAnsi="宋体"/>
                <w:color w:val="auto"/>
              </w:rPr>
              <w:t>/</w:t>
            </w:r>
          </w:p>
        </w:tc>
        <w:tc>
          <w:tcPr>
            <w:tcW w:w="638" w:type="pct"/>
            <w:vAlign w:val="center"/>
          </w:tcPr>
          <w:p w14:paraId="245EE0A5">
            <w:pPr>
              <w:jc w:val="center"/>
              <w:rPr>
                <w:rFonts w:ascii="宋体" w:hAnsi="宋体"/>
                <w:color w:val="auto"/>
              </w:rPr>
            </w:pPr>
            <w:r>
              <w:rPr>
                <w:rFonts w:hint="eastAsia" w:ascii="宋体" w:hAnsi="宋体"/>
                <w:color w:val="auto"/>
              </w:rPr>
              <w:t>/</w:t>
            </w:r>
          </w:p>
        </w:tc>
      </w:tr>
      <w:tr w14:paraId="467EC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06AC1A38">
            <w:pPr>
              <w:pStyle w:val="76"/>
              <w:rPr>
                <w:rFonts w:hAnsi="宋体"/>
                <w:color w:val="auto"/>
              </w:rPr>
            </w:pPr>
          </w:p>
        </w:tc>
        <w:tc>
          <w:tcPr>
            <w:tcW w:w="476" w:type="pct"/>
            <w:vAlign w:val="center"/>
          </w:tcPr>
          <w:p w14:paraId="6BD36296">
            <w:pPr>
              <w:jc w:val="center"/>
              <w:rPr>
                <w:rFonts w:ascii="宋体" w:hAnsi="宋体"/>
                <w:color w:val="auto"/>
              </w:rPr>
            </w:pPr>
            <w:r>
              <w:rPr>
                <w:rFonts w:ascii="宋体" w:hAnsi="宋体"/>
                <w:color w:val="auto"/>
              </w:rPr>
              <w:t>汞（mg/kg）</w:t>
            </w:r>
          </w:p>
        </w:tc>
        <w:tc>
          <w:tcPr>
            <w:tcW w:w="614" w:type="pct"/>
            <w:vAlign w:val="center"/>
          </w:tcPr>
          <w:p w14:paraId="3D30E3C2">
            <w:pPr>
              <w:jc w:val="center"/>
              <w:rPr>
                <w:rFonts w:ascii="宋体" w:hAnsi="宋体"/>
                <w:color w:val="auto"/>
              </w:rPr>
            </w:pPr>
            <w:r>
              <w:rPr>
                <w:rFonts w:hint="eastAsia" w:ascii="宋体" w:hAnsi="宋体"/>
                <w:color w:val="auto"/>
              </w:rPr>
              <w:t>0.033</w:t>
            </w:r>
          </w:p>
        </w:tc>
        <w:tc>
          <w:tcPr>
            <w:tcW w:w="611" w:type="pct"/>
            <w:vAlign w:val="center"/>
          </w:tcPr>
          <w:p w14:paraId="47861C8A">
            <w:pPr>
              <w:jc w:val="center"/>
              <w:rPr>
                <w:rFonts w:ascii="宋体" w:hAnsi="宋体"/>
                <w:color w:val="auto"/>
              </w:rPr>
            </w:pPr>
            <w:r>
              <w:rPr>
                <w:rFonts w:hint="eastAsia" w:ascii="宋体" w:hAnsi="宋体"/>
                <w:color w:val="auto"/>
              </w:rPr>
              <w:t>0.030</w:t>
            </w:r>
          </w:p>
        </w:tc>
        <w:tc>
          <w:tcPr>
            <w:tcW w:w="611" w:type="pct"/>
            <w:vAlign w:val="center"/>
          </w:tcPr>
          <w:p w14:paraId="6D49E7C2">
            <w:pPr>
              <w:jc w:val="center"/>
              <w:rPr>
                <w:rFonts w:ascii="宋体" w:hAnsi="宋体"/>
                <w:color w:val="auto"/>
              </w:rPr>
            </w:pPr>
            <w:r>
              <w:rPr>
                <w:rFonts w:hint="eastAsia" w:ascii="宋体" w:hAnsi="宋体"/>
                <w:color w:val="auto"/>
              </w:rPr>
              <w:t>0.034</w:t>
            </w:r>
          </w:p>
        </w:tc>
        <w:tc>
          <w:tcPr>
            <w:tcW w:w="611" w:type="pct"/>
            <w:vAlign w:val="center"/>
          </w:tcPr>
          <w:p w14:paraId="6B9FEB2A">
            <w:pPr>
              <w:jc w:val="center"/>
              <w:rPr>
                <w:rFonts w:ascii="宋体" w:hAnsi="宋体"/>
                <w:color w:val="auto"/>
              </w:rPr>
            </w:pPr>
            <w:r>
              <w:rPr>
                <w:rFonts w:hint="eastAsia" w:ascii="宋体" w:hAnsi="宋体"/>
                <w:color w:val="auto"/>
              </w:rPr>
              <w:t>/</w:t>
            </w:r>
          </w:p>
        </w:tc>
        <w:tc>
          <w:tcPr>
            <w:tcW w:w="640" w:type="pct"/>
            <w:vAlign w:val="center"/>
          </w:tcPr>
          <w:p w14:paraId="72291F78">
            <w:pPr>
              <w:jc w:val="center"/>
              <w:rPr>
                <w:rFonts w:ascii="宋体" w:hAnsi="宋体"/>
                <w:color w:val="auto"/>
              </w:rPr>
            </w:pPr>
            <w:r>
              <w:rPr>
                <w:rFonts w:hint="eastAsia" w:ascii="宋体" w:hAnsi="宋体"/>
                <w:color w:val="auto"/>
              </w:rPr>
              <w:t>/</w:t>
            </w:r>
          </w:p>
        </w:tc>
        <w:tc>
          <w:tcPr>
            <w:tcW w:w="639" w:type="pct"/>
            <w:vAlign w:val="center"/>
          </w:tcPr>
          <w:p w14:paraId="1AA24E58">
            <w:pPr>
              <w:jc w:val="center"/>
              <w:rPr>
                <w:rFonts w:ascii="宋体" w:hAnsi="宋体"/>
                <w:color w:val="auto"/>
              </w:rPr>
            </w:pPr>
            <w:r>
              <w:rPr>
                <w:rFonts w:hint="eastAsia" w:ascii="宋体" w:hAnsi="宋体"/>
                <w:color w:val="auto"/>
              </w:rPr>
              <w:t>/</w:t>
            </w:r>
          </w:p>
        </w:tc>
        <w:tc>
          <w:tcPr>
            <w:tcW w:w="638" w:type="pct"/>
            <w:vAlign w:val="center"/>
          </w:tcPr>
          <w:p w14:paraId="23ACEA41">
            <w:pPr>
              <w:jc w:val="center"/>
              <w:rPr>
                <w:rFonts w:ascii="宋体" w:hAnsi="宋体"/>
                <w:color w:val="auto"/>
              </w:rPr>
            </w:pPr>
            <w:r>
              <w:rPr>
                <w:rFonts w:hint="eastAsia" w:ascii="宋体" w:hAnsi="宋体"/>
                <w:color w:val="auto"/>
              </w:rPr>
              <w:t>/</w:t>
            </w:r>
          </w:p>
        </w:tc>
      </w:tr>
      <w:tr w14:paraId="09660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5FCB1BCA">
            <w:pPr>
              <w:pStyle w:val="76"/>
              <w:rPr>
                <w:rFonts w:hAnsi="宋体"/>
                <w:color w:val="auto"/>
              </w:rPr>
            </w:pPr>
          </w:p>
        </w:tc>
        <w:tc>
          <w:tcPr>
            <w:tcW w:w="476" w:type="pct"/>
            <w:vAlign w:val="center"/>
          </w:tcPr>
          <w:p w14:paraId="208D464C">
            <w:pPr>
              <w:jc w:val="center"/>
              <w:rPr>
                <w:rFonts w:ascii="宋体" w:hAnsi="宋体"/>
                <w:color w:val="auto"/>
              </w:rPr>
            </w:pPr>
            <w:r>
              <w:rPr>
                <w:rFonts w:ascii="宋体" w:hAnsi="宋体"/>
                <w:color w:val="auto"/>
              </w:rPr>
              <w:t>六价铬（mg/kg）</w:t>
            </w:r>
          </w:p>
        </w:tc>
        <w:tc>
          <w:tcPr>
            <w:tcW w:w="614" w:type="pct"/>
            <w:vAlign w:val="center"/>
          </w:tcPr>
          <w:p w14:paraId="4248E3EA">
            <w:pPr>
              <w:jc w:val="center"/>
              <w:rPr>
                <w:rFonts w:ascii="宋体" w:hAnsi="宋体"/>
                <w:color w:val="auto"/>
              </w:rPr>
            </w:pPr>
            <w:r>
              <w:rPr>
                <w:rFonts w:hint="eastAsia" w:ascii="宋体" w:hAnsi="宋体"/>
                <w:color w:val="auto"/>
              </w:rPr>
              <w:t>N</w:t>
            </w:r>
            <w:r>
              <w:rPr>
                <w:rFonts w:ascii="宋体" w:hAnsi="宋体"/>
                <w:color w:val="auto"/>
              </w:rPr>
              <w:t>D</w:t>
            </w:r>
          </w:p>
        </w:tc>
        <w:tc>
          <w:tcPr>
            <w:tcW w:w="611" w:type="pct"/>
            <w:vAlign w:val="center"/>
          </w:tcPr>
          <w:p w14:paraId="58BA6F71">
            <w:pPr>
              <w:jc w:val="center"/>
              <w:rPr>
                <w:rFonts w:ascii="宋体" w:hAnsi="宋体"/>
                <w:color w:val="auto"/>
              </w:rPr>
            </w:pPr>
            <w:r>
              <w:rPr>
                <w:rFonts w:hint="eastAsia" w:ascii="宋体" w:hAnsi="宋体"/>
                <w:color w:val="auto"/>
              </w:rPr>
              <w:t>N</w:t>
            </w:r>
            <w:r>
              <w:rPr>
                <w:rFonts w:ascii="宋体" w:hAnsi="宋体"/>
                <w:color w:val="auto"/>
              </w:rPr>
              <w:t>D</w:t>
            </w:r>
          </w:p>
        </w:tc>
        <w:tc>
          <w:tcPr>
            <w:tcW w:w="611" w:type="pct"/>
            <w:vAlign w:val="center"/>
          </w:tcPr>
          <w:p w14:paraId="304F19CC">
            <w:pPr>
              <w:jc w:val="center"/>
              <w:rPr>
                <w:rFonts w:ascii="宋体" w:hAnsi="宋体"/>
                <w:color w:val="auto"/>
              </w:rPr>
            </w:pPr>
            <w:r>
              <w:rPr>
                <w:rFonts w:hint="eastAsia" w:ascii="宋体" w:hAnsi="宋体"/>
                <w:color w:val="auto"/>
              </w:rPr>
              <w:t>N</w:t>
            </w:r>
            <w:r>
              <w:rPr>
                <w:rFonts w:ascii="宋体" w:hAnsi="宋体"/>
                <w:color w:val="auto"/>
              </w:rPr>
              <w:t>D</w:t>
            </w:r>
          </w:p>
        </w:tc>
        <w:tc>
          <w:tcPr>
            <w:tcW w:w="611" w:type="pct"/>
            <w:vAlign w:val="center"/>
          </w:tcPr>
          <w:p w14:paraId="3B1E2393">
            <w:pPr>
              <w:jc w:val="center"/>
              <w:rPr>
                <w:rFonts w:ascii="宋体" w:hAnsi="宋体"/>
                <w:color w:val="auto"/>
              </w:rPr>
            </w:pPr>
            <w:r>
              <w:rPr>
                <w:rFonts w:hint="eastAsia" w:ascii="宋体" w:hAnsi="宋体"/>
                <w:color w:val="auto"/>
              </w:rPr>
              <w:t>/</w:t>
            </w:r>
          </w:p>
        </w:tc>
        <w:tc>
          <w:tcPr>
            <w:tcW w:w="640" w:type="pct"/>
            <w:vAlign w:val="center"/>
          </w:tcPr>
          <w:p w14:paraId="4AA81987">
            <w:pPr>
              <w:jc w:val="center"/>
              <w:rPr>
                <w:rFonts w:ascii="宋体" w:hAnsi="宋体"/>
                <w:color w:val="auto"/>
              </w:rPr>
            </w:pPr>
            <w:r>
              <w:rPr>
                <w:rFonts w:hint="eastAsia" w:ascii="宋体" w:hAnsi="宋体"/>
                <w:color w:val="auto"/>
              </w:rPr>
              <w:t>/</w:t>
            </w:r>
          </w:p>
        </w:tc>
        <w:tc>
          <w:tcPr>
            <w:tcW w:w="639" w:type="pct"/>
            <w:vAlign w:val="center"/>
          </w:tcPr>
          <w:p w14:paraId="280D7FCD">
            <w:pPr>
              <w:jc w:val="center"/>
              <w:rPr>
                <w:rFonts w:ascii="宋体" w:hAnsi="宋体"/>
                <w:color w:val="auto"/>
              </w:rPr>
            </w:pPr>
            <w:r>
              <w:rPr>
                <w:rFonts w:hint="eastAsia" w:ascii="宋体" w:hAnsi="宋体"/>
                <w:color w:val="auto"/>
              </w:rPr>
              <w:t>/</w:t>
            </w:r>
          </w:p>
        </w:tc>
        <w:tc>
          <w:tcPr>
            <w:tcW w:w="638" w:type="pct"/>
            <w:vAlign w:val="center"/>
          </w:tcPr>
          <w:p w14:paraId="7EA878EA">
            <w:pPr>
              <w:jc w:val="center"/>
              <w:rPr>
                <w:rFonts w:ascii="宋体" w:hAnsi="宋体"/>
                <w:color w:val="auto"/>
              </w:rPr>
            </w:pPr>
            <w:r>
              <w:rPr>
                <w:rFonts w:hint="eastAsia" w:ascii="宋体" w:hAnsi="宋体"/>
                <w:color w:val="auto"/>
              </w:rPr>
              <w:t>/</w:t>
            </w:r>
          </w:p>
        </w:tc>
      </w:tr>
      <w:tr w14:paraId="449C6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09539682">
            <w:pPr>
              <w:pStyle w:val="76"/>
              <w:rPr>
                <w:rFonts w:hAnsi="宋体"/>
                <w:color w:val="auto"/>
              </w:rPr>
            </w:pPr>
          </w:p>
        </w:tc>
        <w:tc>
          <w:tcPr>
            <w:tcW w:w="476" w:type="pct"/>
            <w:vAlign w:val="center"/>
          </w:tcPr>
          <w:p w14:paraId="0683E5A2">
            <w:pPr>
              <w:jc w:val="center"/>
              <w:rPr>
                <w:rFonts w:ascii="宋体" w:hAnsi="宋体"/>
                <w:color w:val="auto"/>
              </w:rPr>
            </w:pPr>
            <w:r>
              <w:rPr>
                <w:rFonts w:hint="eastAsia" w:ascii="宋体" w:hAnsi="宋体"/>
                <w:color w:val="auto"/>
              </w:rPr>
              <w:t>铜</w:t>
            </w:r>
            <w:r>
              <w:rPr>
                <w:rFonts w:ascii="宋体" w:hAnsi="宋体"/>
                <w:color w:val="auto"/>
              </w:rPr>
              <w:t>（mg/kg）</w:t>
            </w:r>
          </w:p>
        </w:tc>
        <w:tc>
          <w:tcPr>
            <w:tcW w:w="614" w:type="pct"/>
            <w:vAlign w:val="center"/>
          </w:tcPr>
          <w:p w14:paraId="5D0A280F">
            <w:pPr>
              <w:jc w:val="center"/>
              <w:rPr>
                <w:rFonts w:ascii="宋体" w:hAnsi="宋体"/>
                <w:color w:val="auto"/>
              </w:rPr>
            </w:pPr>
            <w:r>
              <w:rPr>
                <w:rFonts w:hint="eastAsia" w:ascii="宋体" w:hAnsi="宋体"/>
                <w:color w:val="auto"/>
              </w:rPr>
              <w:t>21</w:t>
            </w:r>
          </w:p>
        </w:tc>
        <w:tc>
          <w:tcPr>
            <w:tcW w:w="611" w:type="pct"/>
            <w:vAlign w:val="center"/>
          </w:tcPr>
          <w:p w14:paraId="2E66AF07">
            <w:pPr>
              <w:jc w:val="center"/>
              <w:rPr>
                <w:rFonts w:ascii="宋体" w:hAnsi="宋体"/>
                <w:color w:val="auto"/>
              </w:rPr>
            </w:pPr>
            <w:r>
              <w:rPr>
                <w:rFonts w:hint="eastAsia" w:ascii="宋体" w:hAnsi="宋体"/>
                <w:color w:val="auto"/>
              </w:rPr>
              <w:t>21</w:t>
            </w:r>
          </w:p>
        </w:tc>
        <w:tc>
          <w:tcPr>
            <w:tcW w:w="611" w:type="pct"/>
            <w:vAlign w:val="center"/>
          </w:tcPr>
          <w:p w14:paraId="1BD83A45">
            <w:pPr>
              <w:jc w:val="center"/>
              <w:rPr>
                <w:rFonts w:ascii="宋体" w:hAnsi="宋体"/>
                <w:color w:val="auto"/>
              </w:rPr>
            </w:pPr>
            <w:r>
              <w:rPr>
                <w:rFonts w:hint="eastAsia" w:ascii="宋体" w:hAnsi="宋体"/>
                <w:color w:val="auto"/>
              </w:rPr>
              <w:t>19</w:t>
            </w:r>
          </w:p>
        </w:tc>
        <w:tc>
          <w:tcPr>
            <w:tcW w:w="611" w:type="pct"/>
            <w:vAlign w:val="center"/>
          </w:tcPr>
          <w:p w14:paraId="14C88901">
            <w:pPr>
              <w:jc w:val="center"/>
              <w:rPr>
                <w:rFonts w:ascii="宋体" w:hAnsi="宋体"/>
                <w:color w:val="auto"/>
              </w:rPr>
            </w:pPr>
            <w:r>
              <w:rPr>
                <w:rFonts w:hint="eastAsia" w:ascii="宋体" w:hAnsi="宋体"/>
                <w:color w:val="auto"/>
              </w:rPr>
              <w:t>/</w:t>
            </w:r>
          </w:p>
        </w:tc>
        <w:tc>
          <w:tcPr>
            <w:tcW w:w="640" w:type="pct"/>
            <w:vAlign w:val="center"/>
          </w:tcPr>
          <w:p w14:paraId="0E0610F3">
            <w:pPr>
              <w:jc w:val="center"/>
              <w:rPr>
                <w:rFonts w:ascii="宋体" w:hAnsi="宋体"/>
                <w:color w:val="auto"/>
              </w:rPr>
            </w:pPr>
            <w:r>
              <w:rPr>
                <w:rFonts w:hint="eastAsia" w:ascii="宋体" w:hAnsi="宋体"/>
                <w:color w:val="auto"/>
              </w:rPr>
              <w:t>/</w:t>
            </w:r>
          </w:p>
        </w:tc>
        <w:tc>
          <w:tcPr>
            <w:tcW w:w="639" w:type="pct"/>
            <w:vAlign w:val="center"/>
          </w:tcPr>
          <w:p w14:paraId="7AD0352F">
            <w:pPr>
              <w:jc w:val="center"/>
              <w:rPr>
                <w:rFonts w:ascii="宋体" w:hAnsi="宋体"/>
                <w:color w:val="auto"/>
              </w:rPr>
            </w:pPr>
            <w:r>
              <w:rPr>
                <w:rFonts w:hint="eastAsia" w:ascii="宋体" w:hAnsi="宋体"/>
                <w:color w:val="auto"/>
              </w:rPr>
              <w:t>/</w:t>
            </w:r>
          </w:p>
        </w:tc>
        <w:tc>
          <w:tcPr>
            <w:tcW w:w="638" w:type="pct"/>
            <w:vAlign w:val="center"/>
          </w:tcPr>
          <w:p w14:paraId="57BB797B">
            <w:pPr>
              <w:jc w:val="center"/>
              <w:rPr>
                <w:rFonts w:ascii="宋体" w:hAnsi="宋体"/>
                <w:color w:val="auto"/>
              </w:rPr>
            </w:pPr>
            <w:r>
              <w:rPr>
                <w:rFonts w:hint="eastAsia" w:ascii="宋体" w:hAnsi="宋体"/>
                <w:color w:val="auto"/>
              </w:rPr>
              <w:t>/</w:t>
            </w:r>
          </w:p>
        </w:tc>
      </w:tr>
      <w:tr w14:paraId="69286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3A7B012A">
            <w:pPr>
              <w:pStyle w:val="76"/>
              <w:rPr>
                <w:rFonts w:hAnsi="宋体"/>
                <w:color w:val="auto"/>
                <w:spacing w:val="-5"/>
              </w:rPr>
            </w:pPr>
          </w:p>
        </w:tc>
        <w:tc>
          <w:tcPr>
            <w:tcW w:w="476" w:type="pct"/>
            <w:vAlign w:val="center"/>
          </w:tcPr>
          <w:p w14:paraId="281A0D76">
            <w:pPr>
              <w:jc w:val="center"/>
              <w:rPr>
                <w:rFonts w:ascii="宋体" w:hAnsi="宋体"/>
                <w:color w:val="auto"/>
              </w:rPr>
            </w:pPr>
            <w:r>
              <w:rPr>
                <w:rFonts w:hint="eastAsia" w:ascii="宋体" w:hAnsi="宋体"/>
                <w:color w:val="auto"/>
              </w:rPr>
              <w:t>铅</w:t>
            </w:r>
            <w:r>
              <w:rPr>
                <w:rFonts w:ascii="宋体" w:hAnsi="宋体"/>
                <w:color w:val="auto"/>
              </w:rPr>
              <w:t>（mg/kg）</w:t>
            </w:r>
          </w:p>
        </w:tc>
        <w:tc>
          <w:tcPr>
            <w:tcW w:w="614" w:type="pct"/>
            <w:vAlign w:val="center"/>
          </w:tcPr>
          <w:p w14:paraId="7F5BEB28">
            <w:pPr>
              <w:widowControl/>
              <w:jc w:val="center"/>
              <w:rPr>
                <w:rFonts w:ascii="宋体" w:hAnsi="宋体"/>
                <w:color w:val="auto"/>
                <w:kern w:val="0"/>
                <w:szCs w:val="22"/>
              </w:rPr>
            </w:pPr>
            <w:r>
              <w:rPr>
                <w:rFonts w:hint="eastAsia" w:ascii="宋体" w:hAnsi="宋体"/>
                <w:color w:val="auto"/>
              </w:rPr>
              <w:t>26.6</w:t>
            </w:r>
          </w:p>
        </w:tc>
        <w:tc>
          <w:tcPr>
            <w:tcW w:w="611" w:type="pct"/>
            <w:vAlign w:val="center"/>
          </w:tcPr>
          <w:p w14:paraId="44CBEEF8">
            <w:pPr>
              <w:jc w:val="center"/>
              <w:rPr>
                <w:rFonts w:ascii="宋体" w:hAnsi="宋体"/>
                <w:color w:val="auto"/>
              </w:rPr>
            </w:pPr>
            <w:r>
              <w:rPr>
                <w:rFonts w:hint="eastAsia" w:ascii="宋体" w:hAnsi="宋体"/>
                <w:color w:val="auto"/>
              </w:rPr>
              <w:t>19.9</w:t>
            </w:r>
          </w:p>
        </w:tc>
        <w:tc>
          <w:tcPr>
            <w:tcW w:w="611" w:type="pct"/>
            <w:vAlign w:val="center"/>
          </w:tcPr>
          <w:p w14:paraId="43F8CD48">
            <w:pPr>
              <w:jc w:val="center"/>
              <w:rPr>
                <w:rFonts w:ascii="宋体" w:hAnsi="宋体"/>
                <w:color w:val="auto"/>
              </w:rPr>
            </w:pPr>
            <w:r>
              <w:rPr>
                <w:rFonts w:hint="eastAsia" w:ascii="宋体" w:hAnsi="宋体"/>
                <w:color w:val="auto"/>
              </w:rPr>
              <w:t>17.4</w:t>
            </w:r>
          </w:p>
        </w:tc>
        <w:tc>
          <w:tcPr>
            <w:tcW w:w="611" w:type="pct"/>
            <w:vAlign w:val="center"/>
          </w:tcPr>
          <w:p w14:paraId="584DC63E">
            <w:pPr>
              <w:jc w:val="center"/>
              <w:rPr>
                <w:rFonts w:ascii="宋体" w:hAnsi="宋体"/>
                <w:color w:val="auto"/>
                <w:szCs w:val="22"/>
              </w:rPr>
            </w:pPr>
            <w:r>
              <w:rPr>
                <w:rFonts w:hint="eastAsia" w:ascii="宋体" w:hAnsi="宋体"/>
                <w:color w:val="auto"/>
              </w:rPr>
              <w:t>/</w:t>
            </w:r>
          </w:p>
        </w:tc>
        <w:tc>
          <w:tcPr>
            <w:tcW w:w="640" w:type="pct"/>
            <w:vAlign w:val="center"/>
          </w:tcPr>
          <w:p w14:paraId="4F7DEF66">
            <w:pPr>
              <w:jc w:val="center"/>
              <w:rPr>
                <w:rFonts w:ascii="宋体" w:hAnsi="宋体"/>
                <w:color w:val="auto"/>
                <w:szCs w:val="22"/>
              </w:rPr>
            </w:pPr>
            <w:r>
              <w:rPr>
                <w:rFonts w:hint="eastAsia" w:ascii="宋体" w:hAnsi="宋体"/>
                <w:color w:val="auto"/>
              </w:rPr>
              <w:t>/</w:t>
            </w:r>
          </w:p>
        </w:tc>
        <w:tc>
          <w:tcPr>
            <w:tcW w:w="639" w:type="pct"/>
            <w:vAlign w:val="center"/>
          </w:tcPr>
          <w:p w14:paraId="11154DFA">
            <w:pPr>
              <w:jc w:val="center"/>
              <w:rPr>
                <w:rFonts w:ascii="宋体" w:hAnsi="宋体"/>
                <w:color w:val="auto"/>
                <w:szCs w:val="22"/>
              </w:rPr>
            </w:pPr>
            <w:r>
              <w:rPr>
                <w:rFonts w:hint="eastAsia" w:ascii="宋体" w:hAnsi="宋体"/>
                <w:color w:val="auto"/>
              </w:rPr>
              <w:t>/</w:t>
            </w:r>
          </w:p>
        </w:tc>
        <w:tc>
          <w:tcPr>
            <w:tcW w:w="638" w:type="pct"/>
            <w:vAlign w:val="center"/>
          </w:tcPr>
          <w:p w14:paraId="2BB57584">
            <w:pPr>
              <w:jc w:val="center"/>
              <w:rPr>
                <w:rFonts w:ascii="宋体" w:hAnsi="宋体"/>
                <w:color w:val="auto"/>
                <w:szCs w:val="22"/>
              </w:rPr>
            </w:pPr>
            <w:r>
              <w:rPr>
                <w:rFonts w:hint="eastAsia" w:ascii="宋体" w:hAnsi="宋体"/>
                <w:color w:val="auto"/>
              </w:rPr>
              <w:t>/</w:t>
            </w:r>
          </w:p>
        </w:tc>
      </w:tr>
      <w:tr w14:paraId="2B390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4B4932C7">
            <w:pPr>
              <w:pStyle w:val="76"/>
              <w:rPr>
                <w:rFonts w:hAnsi="宋体"/>
                <w:color w:val="auto"/>
                <w:spacing w:val="-5"/>
              </w:rPr>
            </w:pPr>
          </w:p>
        </w:tc>
        <w:tc>
          <w:tcPr>
            <w:tcW w:w="476" w:type="pct"/>
            <w:vAlign w:val="center"/>
          </w:tcPr>
          <w:p w14:paraId="77C384FE">
            <w:pPr>
              <w:jc w:val="center"/>
              <w:rPr>
                <w:rFonts w:ascii="宋体" w:hAnsi="宋体"/>
                <w:color w:val="auto"/>
              </w:rPr>
            </w:pPr>
            <w:r>
              <w:rPr>
                <w:rFonts w:hint="eastAsia" w:ascii="宋体" w:hAnsi="宋体"/>
                <w:color w:val="auto"/>
              </w:rPr>
              <w:t>镉</w:t>
            </w:r>
            <w:r>
              <w:rPr>
                <w:rFonts w:ascii="宋体" w:hAnsi="宋体"/>
                <w:color w:val="auto"/>
              </w:rPr>
              <w:t>（mg/kg）</w:t>
            </w:r>
          </w:p>
        </w:tc>
        <w:tc>
          <w:tcPr>
            <w:tcW w:w="614" w:type="pct"/>
            <w:vAlign w:val="center"/>
          </w:tcPr>
          <w:p w14:paraId="5F16552A">
            <w:pPr>
              <w:widowControl/>
              <w:jc w:val="center"/>
              <w:rPr>
                <w:rFonts w:ascii="宋体" w:hAnsi="宋体"/>
                <w:color w:val="auto"/>
                <w:kern w:val="0"/>
                <w:szCs w:val="22"/>
              </w:rPr>
            </w:pPr>
            <w:r>
              <w:rPr>
                <w:rFonts w:hint="eastAsia" w:ascii="宋体" w:hAnsi="宋体"/>
                <w:color w:val="auto"/>
              </w:rPr>
              <w:t>0.06</w:t>
            </w:r>
          </w:p>
        </w:tc>
        <w:tc>
          <w:tcPr>
            <w:tcW w:w="611" w:type="pct"/>
            <w:vAlign w:val="center"/>
          </w:tcPr>
          <w:p w14:paraId="2257CF9D">
            <w:pPr>
              <w:jc w:val="center"/>
              <w:rPr>
                <w:rFonts w:ascii="宋体" w:hAnsi="宋体"/>
                <w:color w:val="auto"/>
              </w:rPr>
            </w:pPr>
            <w:r>
              <w:rPr>
                <w:rFonts w:hint="eastAsia" w:ascii="宋体" w:hAnsi="宋体"/>
                <w:color w:val="auto"/>
              </w:rPr>
              <w:t>0.06</w:t>
            </w:r>
          </w:p>
        </w:tc>
        <w:tc>
          <w:tcPr>
            <w:tcW w:w="611" w:type="pct"/>
            <w:vAlign w:val="center"/>
          </w:tcPr>
          <w:p w14:paraId="09CFED62">
            <w:pPr>
              <w:jc w:val="center"/>
              <w:rPr>
                <w:rFonts w:ascii="宋体" w:hAnsi="宋体"/>
                <w:color w:val="auto"/>
              </w:rPr>
            </w:pPr>
            <w:r>
              <w:rPr>
                <w:rFonts w:hint="eastAsia" w:ascii="宋体" w:hAnsi="宋体"/>
                <w:color w:val="auto"/>
              </w:rPr>
              <w:t>0.05</w:t>
            </w:r>
          </w:p>
        </w:tc>
        <w:tc>
          <w:tcPr>
            <w:tcW w:w="611" w:type="pct"/>
            <w:vAlign w:val="center"/>
          </w:tcPr>
          <w:p w14:paraId="616ED30C">
            <w:pPr>
              <w:jc w:val="center"/>
              <w:rPr>
                <w:rFonts w:ascii="宋体" w:hAnsi="宋体"/>
                <w:color w:val="auto"/>
                <w:szCs w:val="22"/>
              </w:rPr>
            </w:pPr>
            <w:r>
              <w:rPr>
                <w:rFonts w:hint="eastAsia" w:ascii="宋体" w:hAnsi="宋体"/>
                <w:color w:val="auto"/>
              </w:rPr>
              <w:t>/</w:t>
            </w:r>
          </w:p>
        </w:tc>
        <w:tc>
          <w:tcPr>
            <w:tcW w:w="640" w:type="pct"/>
            <w:vAlign w:val="center"/>
          </w:tcPr>
          <w:p w14:paraId="1F97153C">
            <w:pPr>
              <w:jc w:val="center"/>
              <w:rPr>
                <w:rFonts w:ascii="宋体" w:hAnsi="宋体"/>
                <w:color w:val="auto"/>
                <w:szCs w:val="22"/>
              </w:rPr>
            </w:pPr>
            <w:r>
              <w:rPr>
                <w:rFonts w:hint="eastAsia" w:ascii="宋体" w:hAnsi="宋体"/>
                <w:color w:val="auto"/>
              </w:rPr>
              <w:t>/</w:t>
            </w:r>
          </w:p>
        </w:tc>
        <w:tc>
          <w:tcPr>
            <w:tcW w:w="639" w:type="pct"/>
            <w:vAlign w:val="center"/>
          </w:tcPr>
          <w:p w14:paraId="4489B190">
            <w:pPr>
              <w:jc w:val="center"/>
              <w:rPr>
                <w:rFonts w:ascii="宋体" w:hAnsi="宋体"/>
                <w:color w:val="auto"/>
                <w:szCs w:val="22"/>
              </w:rPr>
            </w:pPr>
            <w:r>
              <w:rPr>
                <w:rFonts w:hint="eastAsia" w:ascii="宋体" w:hAnsi="宋体"/>
                <w:color w:val="auto"/>
              </w:rPr>
              <w:t>/</w:t>
            </w:r>
          </w:p>
        </w:tc>
        <w:tc>
          <w:tcPr>
            <w:tcW w:w="638" w:type="pct"/>
            <w:vAlign w:val="center"/>
          </w:tcPr>
          <w:p w14:paraId="6C55B946">
            <w:pPr>
              <w:jc w:val="center"/>
              <w:rPr>
                <w:rFonts w:ascii="宋体" w:hAnsi="宋体"/>
                <w:color w:val="auto"/>
                <w:szCs w:val="22"/>
              </w:rPr>
            </w:pPr>
            <w:r>
              <w:rPr>
                <w:rFonts w:hint="eastAsia" w:ascii="宋体" w:hAnsi="宋体"/>
                <w:color w:val="auto"/>
              </w:rPr>
              <w:t>/</w:t>
            </w:r>
          </w:p>
        </w:tc>
      </w:tr>
      <w:tr w14:paraId="1E071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2E5E7CB2">
            <w:pPr>
              <w:pStyle w:val="76"/>
              <w:rPr>
                <w:rFonts w:hAnsi="宋体"/>
                <w:color w:val="auto"/>
                <w:spacing w:val="-5"/>
              </w:rPr>
            </w:pPr>
          </w:p>
        </w:tc>
        <w:tc>
          <w:tcPr>
            <w:tcW w:w="476" w:type="pct"/>
            <w:vAlign w:val="center"/>
          </w:tcPr>
          <w:p w14:paraId="3AD4D737">
            <w:pPr>
              <w:jc w:val="center"/>
              <w:rPr>
                <w:rFonts w:ascii="宋体" w:hAnsi="宋体"/>
                <w:color w:val="auto"/>
              </w:rPr>
            </w:pPr>
            <w:r>
              <w:rPr>
                <w:rFonts w:hint="eastAsia" w:ascii="宋体" w:hAnsi="宋体"/>
                <w:color w:val="auto"/>
              </w:rPr>
              <w:t>镍</w:t>
            </w:r>
            <w:r>
              <w:rPr>
                <w:rFonts w:ascii="宋体" w:hAnsi="宋体"/>
                <w:color w:val="auto"/>
              </w:rPr>
              <w:t>（mg/kg）</w:t>
            </w:r>
          </w:p>
        </w:tc>
        <w:tc>
          <w:tcPr>
            <w:tcW w:w="614" w:type="pct"/>
            <w:vAlign w:val="center"/>
          </w:tcPr>
          <w:p w14:paraId="6C830BF8">
            <w:pPr>
              <w:jc w:val="center"/>
              <w:rPr>
                <w:rFonts w:ascii="宋体" w:hAnsi="宋体"/>
                <w:color w:val="auto"/>
              </w:rPr>
            </w:pPr>
            <w:r>
              <w:rPr>
                <w:rFonts w:hint="eastAsia" w:ascii="宋体" w:hAnsi="宋体"/>
                <w:color w:val="auto"/>
              </w:rPr>
              <w:t>30</w:t>
            </w:r>
          </w:p>
        </w:tc>
        <w:tc>
          <w:tcPr>
            <w:tcW w:w="611" w:type="pct"/>
            <w:vAlign w:val="center"/>
          </w:tcPr>
          <w:p w14:paraId="49DA6B97">
            <w:pPr>
              <w:jc w:val="center"/>
              <w:rPr>
                <w:rFonts w:ascii="宋体" w:hAnsi="宋体"/>
                <w:color w:val="auto"/>
              </w:rPr>
            </w:pPr>
            <w:r>
              <w:rPr>
                <w:rFonts w:hint="eastAsia" w:ascii="宋体" w:hAnsi="宋体"/>
                <w:color w:val="auto"/>
              </w:rPr>
              <w:t>31</w:t>
            </w:r>
          </w:p>
        </w:tc>
        <w:tc>
          <w:tcPr>
            <w:tcW w:w="611" w:type="pct"/>
            <w:vAlign w:val="center"/>
          </w:tcPr>
          <w:p w14:paraId="44B906D8">
            <w:pPr>
              <w:jc w:val="center"/>
              <w:rPr>
                <w:rFonts w:ascii="宋体" w:hAnsi="宋体"/>
                <w:color w:val="auto"/>
              </w:rPr>
            </w:pPr>
            <w:r>
              <w:rPr>
                <w:rFonts w:hint="eastAsia" w:ascii="宋体" w:hAnsi="宋体"/>
                <w:color w:val="auto"/>
              </w:rPr>
              <w:t>28</w:t>
            </w:r>
          </w:p>
        </w:tc>
        <w:tc>
          <w:tcPr>
            <w:tcW w:w="611" w:type="pct"/>
            <w:vAlign w:val="center"/>
          </w:tcPr>
          <w:p w14:paraId="31FA5D70">
            <w:pPr>
              <w:jc w:val="center"/>
              <w:rPr>
                <w:rFonts w:ascii="宋体" w:hAnsi="宋体"/>
                <w:color w:val="auto"/>
              </w:rPr>
            </w:pPr>
            <w:r>
              <w:rPr>
                <w:rFonts w:hint="eastAsia" w:ascii="宋体" w:hAnsi="宋体"/>
                <w:color w:val="auto"/>
              </w:rPr>
              <w:t>/</w:t>
            </w:r>
          </w:p>
        </w:tc>
        <w:tc>
          <w:tcPr>
            <w:tcW w:w="640" w:type="pct"/>
            <w:vAlign w:val="center"/>
          </w:tcPr>
          <w:p w14:paraId="6C272B80">
            <w:pPr>
              <w:jc w:val="center"/>
              <w:rPr>
                <w:rFonts w:ascii="宋体" w:hAnsi="宋体"/>
                <w:color w:val="auto"/>
              </w:rPr>
            </w:pPr>
            <w:r>
              <w:rPr>
                <w:rFonts w:hint="eastAsia" w:ascii="宋体" w:hAnsi="宋体"/>
                <w:color w:val="auto"/>
              </w:rPr>
              <w:t>/</w:t>
            </w:r>
          </w:p>
        </w:tc>
        <w:tc>
          <w:tcPr>
            <w:tcW w:w="639" w:type="pct"/>
            <w:vAlign w:val="center"/>
          </w:tcPr>
          <w:p w14:paraId="1740EB40">
            <w:pPr>
              <w:jc w:val="center"/>
              <w:rPr>
                <w:rFonts w:ascii="宋体" w:hAnsi="宋体"/>
                <w:color w:val="auto"/>
              </w:rPr>
            </w:pPr>
            <w:r>
              <w:rPr>
                <w:rFonts w:hint="eastAsia" w:ascii="宋体" w:hAnsi="宋体"/>
                <w:color w:val="auto"/>
              </w:rPr>
              <w:t>/</w:t>
            </w:r>
          </w:p>
        </w:tc>
        <w:tc>
          <w:tcPr>
            <w:tcW w:w="638" w:type="pct"/>
            <w:vAlign w:val="center"/>
          </w:tcPr>
          <w:p w14:paraId="7FA74681">
            <w:pPr>
              <w:jc w:val="center"/>
              <w:rPr>
                <w:rFonts w:ascii="宋体" w:hAnsi="宋体"/>
                <w:color w:val="auto"/>
              </w:rPr>
            </w:pPr>
            <w:r>
              <w:rPr>
                <w:rFonts w:hint="eastAsia" w:ascii="宋体" w:hAnsi="宋体"/>
                <w:color w:val="auto"/>
              </w:rPr>
              <w:t>/</w:t>
            </w:r>
          </w:p>
        </w:tc>
      </w:tr>
      <w:tr w14:paraId="6275C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225203F2">
            <w:pPr>
              <w:pStyle w:val="76"/>
              <w:rPr>
                <w:rFonts w:hAnsi="宋体"/>
                <w:color w:val="auto"/>
                <w:spacing w:val="-5"/>
              </w:rPr>
            </w:pPr>
          </w:p>
        </w:tc>
        <w:tc>
          <w:tcPr>
            <w:tcW w:w="476" w:type="pct"/>
            <w:vAlign w:val="center"/>
          </w:tcPr>
          <w:p w14:paraId="71BAA018">
            <w:pPr>
              <w:spacing w:before="100" w:beforeAutospacing="1" w:after="100" w:afterAutospacing="1"/>
              <w:jc w:val="center"/>
              <w:rPr>
                <w:rFonts w:ascii="宋体" w:hAnsi="宋体"/>
                <w:color w:val="auto"/>
                <w:spacing w:val="-5"/>
              </w:rPr>
            </w:pPr>
            <w:r>
              <w:rPr>
                <w:rFonts w:ascii="宋体" w:hAnsi="宋体"/>
                <w:color w:val="auto"/>
                <w:spacing w:val="-5"/>
              </w:rPr>
              <w:t>四氯化碳</w:t>
            </w:r>
            <w:r>
              <w:rPr>
                <w:rFonts w:ascii="宋体" w:hAnsi="宋体"/>
                <w:color w:val="auto"/>
              </w:rPr>
              <w:t>（µg/kg）</w:t>
            </w:r>
          </w:p>
        </w:tc>
        <w:tc>
          <w:tcPr>
            <w:tcW w:w="614" w:type="pct"/>
            <w:vAlign w:val="center"/>
          </w:tcPr>
          <w:p w14:paraId="19FF5423">
            <w:pPr>
              <w:jc w:val="center"/>
              <w:rPr>
                <w:rFonts w:ascii="宋体" w:hAnsi="宋体"/>
                <w:color w:val="auto"/>
              </w:rPr>
            </w:pPr>
            <w:r>
              <w:rPr>
                <w:rFonts w:ascii="宋体" w:hAnsi="宋体"/>
                <w:color w:val="auto"/>
              </w:rPr>
              <w:t>ND</w:t>
            </w:r>
          </w:p>
        </w:tc>
        <w:tc>
          <w:tcPr>
            <w:tcW w:w="611" w:type="pct"/>
            <w:vAlign w:val="center"/>
          </w:tcPr>
          <w:p w14:paraId="44733437">
            <w:pPr>
              <w:jc w:val="center"/>
              <w:rPr>
                <w:rFonts w:ascii="宋体" w:hAnsi="宋体"/>
                <w:color w:val="auto"/>
              </w:rPr>
            </w:pPr>
            <w:r>
              <w:rPr>
                <w:rFonts w:ascii="宋体" w:hAnsi="宋体"/>
                <w:color w:val="auto"/>
              </w:rPr>
              <w:t>ND</w:t>
            </w:r>
          </w:p>
        </w:tc>
        <w:tc>
          <w:tcPr>
            <w:tcW w:w="611" w:type="pct"/>
            <w:vAlign w:val="center"/>
          </w:tcPr>
          <w:p w14:paraId="3EE81EDA">
            <w:pPr>
              <w:jc w:val="center"/>
              <w:rPr>
                <w:rFonts w:ascii="宋体" w:hAnsi="宋体"/>
                <w:color w:val="auto"/>
              </w:rPr>
            </w:pPr>
            <w:r>
              <w:rPr>
                <w:rFonts w:ascii="宋体" w:hAnsi="宋体"/>
                <w:color w:val="auto"/>
              </w:rPr>
              <w:t>ND</w:t>
            </w:r>
          </w:p>
        </w:tc>
        <w:tc>
          <w:tcPr>
            <w:tcW w:w="611" w:type="pct"/>
            <w:vAlign w:val="center"/>
          </w:tcPr>
          <w:p w14:paraId="6A4E4E80">
            <w:pPr>
              <w:jc w:val="center"/>
              <w:rPr>
                <w:rFonts w:ascii="宋体" w:hAnsi="宋体"/>
                <w:color w:val="auto"/>
              </w:rPr>
            </w:pPr>
            <w:r>
              <w:rPr>
                <w:rFonts w:hint="eastAsia" w:ascii="宋体" w:hAnsi="宋体"/>
                <w:color w:val="auto"/>
              </w:rPr>
              <w:t>/</w:t>
            </w:r>
          </w:p>
        </w:tc>
        <w:tc>
          <w:tcPr>
            <w:tcW w:w="640" w:type="pct"/>
            <w:vAlign w:val="center"/>
          </w:tcPr>
          <w:p w14:paraId="55512F5E">
            <w:pPr>
              <w:jc w:val="center"/>
              <w:rPr>
                <w:rFonts w:ascii="宋体" w:hAnsi="宋体"/>
                <w:color w:val="auto"/>
              </w:rPr>
            </w:pPr>
            <w:r>
              <w:rPr>
                <w:rFonts w:hint="eastAsia" w:ascii="宋体" w:hAnsi="宋体"/>
                <w:color w:val="auto"/>
              </w:rPr>
              <w:t>/</w:t>
            </w:r>
          </w:p>
        </w:tc>
        <w:tc>
          <w:tcPr>
            <w:tcW w:w="639" w:type="pct"/>
            <w:vAlign w:val="center"/>
          </w:tcPr>
          <w:p w14:paraId="48AC161B">
            <w:pPr>
              <w:jc w:val="center"/>
              <w:rPr>
                <w:rFonts w:ascii="宋体" w:hAnsi="宋体"/>
                <w:color w:val="auto"/>
              </w:rPr>
            </w:pPr>
            <w:r>
              <w:rPr>
                <w:rFonts w:hint="eastAsia" w:ascii="宋体" w:hAnsi="宋体"/>
                <w:color w:val="auto"/>
              </w:rPr>
              <w:t>/</w:t>
            </w:r>
          </w:p>
        </w:tc>
        <w:tc>
          <w:tcPr>
            <w:tcW w:w="638" w:type="pct"/>
            <w:vAlign w:val="center"/>
          </w:tcPr>
          <w:p w14:paraId="6B10F075">
            <w:pPr>
              <w:jc w:val="center"/>
              <w:rPr>
                <w:rFonts w:ascii="宋体" w:hAnsi="宋体"/>
                <w:color w:val="auto"/>
              </w:rPr>
            </w:pPr>
            <w:r>
              <w:rPr>
                <w:rFonts w:hint="eastAsia" w:ascii="宋体" w:hAnsi="宋体"/>
                <w:color w:val="auto"/>
              </w:rPr>
              <w:t>/</w:t>
            </w:r>
          </w:p>
        </w:tc>
      </w:tr>
      <w:tr w14:paraId="789EF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55773582">
            <w:pPr>
              <w:pStyle w:val="76"/>
              <w:rPr>
                <w:rFonts w:hAnsi="宋体"/>
                <w:color w:val="auto"/>
                <w:spacing w:val="-5"/>
              </w:rPr>
            </w:pPr>
          </w:p>
        </w:tc>
        <w:tc>
          <w:tcPr>
            <w:tcW w:w="476" w:type="pct"/>
            <w:vAlign w:val="center"/>
          </w:tcPr>
          <w:p w14:paraId="1D3A74E1">
            <w:pPr>
              <w:spacing w:before="100" w:beforeAutospacing="1" w:after="100" w:afterAutospacing="1"/>
              <w:jc w:val="center"/>
              <w:rPr>
                <w:rFonts w:ascii="宋体" w:hAnsi="宋体"/>
                <w:color w:val="auto"/>
                <w:spacing w:val="-5"/>
              </w:rPr>
            </w:pPr>
            <w:r>
              <w:rPr>
                <w:rFonts w:ascii="宋体" w:hAnsi="宋体"/>
                <w:color w:val="auto"/>
                <w:spacing w:val="-5"/>
              </w:rPr>
              <w:t>氯仿</w:t>
            </w:r>
            <w:r>
              <w:rPr>
                <w:rFonts w:ascii="宋体" w:hAnsi="宋体"/>
                <w:color w:val="auto"/>
              </w:rPr>
              <w:t>（µg/kg）</w:t>
            </w:r>
          </w:p>
        </w:tc>
        <w:tc>
          <w:tcPr>
            <w:tcW w:w="614" w:type="pct"/>
            <w:vAlign w:val="center"/>
          </w:tcPr>
          <w:p w14:paraId="0BC007D3">
            <w:pPr>
              <w:jc w:val="center"/>
              <w:rPr>
                <w:rFonts w:ascii="宋体" w:hAnsi="宋体"/>
                <w:color w:val="auto"/>
              </w:rPr>
            </w:pPr>
            <w:r>
              <w:rPr>
                <w:rFonts w:ascii="宋体" w:hAnsi="宋体"/>
                <w:color w:val="auto"/>
              </w:rPr>
              <w:t>ND</w:t>
            </w:r>
          </w:p>
        </w:tc>
        <w:tc>
          <w:tcPr>
            <w:tcW w:w="611" w:type="pct"/>
            <w:vAlign w:val="center"/>
          </w:tcPr>
          <w:p w14:paraId="7568C109">
            <w:pPr>
              <w:jc w:val="center"/>
              <w:rPr>
                <w:rFonts w:ascii="宋体" w:hAnsi="宋体"/>
                <w:color w:val="auto"/>
              </w:rPr>
            </w:pPr>
            <w:r>
              <w:rPr>
                <w:rFonts w:ascii="宋体" w:hAnsi="宋体"/>
                <w:color w:val="auto"/>
              </w:rPr>
              <w:t>ND</w:t>
            </w:r>
          </w:p>
        </w:tc>
        <w:tc>
          <w:tcPr>
            <w:tcW w:w="611" w:type="pct"/>
            <w:vAlign w:val="center"/>
          </w:tcPr>
          <w:p w14:paraId="173606CE">
            <w:pPr>
              <w:jc w:val="center"/>
              <w:rPr>
                <w:rFonts w:ascii="宋体" w:hAnsi="宋体"/>
                <w:color w:val="auto"/>
              </w:rPr>
            </w:pPr>
            <w:r>
              <w:rPr>
                <w:rFonts w:ascii="宋体" w:hAnsi="宋体"/>
                <w:color w:val="auto"/>
              </w:rPr>
              <w:t>ND</w:t>
            </w:r>
          </w:p>
        </w:tc>
        <w:tc>
          <w:tcPr>
            <w:tcW w:w="611" w:type="pct"/>
            <w:vAlign w:val="center"/>
          </w:tcPr>
          <w:p w14:paraId="3262873C">
            <w:pPr>
              <w:jc w:val="center"/>
              <w:rPr>
                <w:rFonts w:ascii="宋体" w:hAnsi="宋体"/>
                <w:color w:val="auto"/>
              </w:rPr>
            </w:pPr>
            <w:r>
              <w:rPr>
                <w:rFonts w:hint="eastAsia" w:ascii="宋体" w:hAnsi="宋体"/>
                <w:color w:val="auto"/>
              </w:rPr>
              <w:t>/</w:t>
            </w:r>
          </w:p>
        </w:tc>
        <w:tc>
          <w:tcPr>
            <w:tcW w:w="640" w:type="pct"/>
            <w:vAlign w:val="center"/>
          </w:tcPr>
          <w:p w14:paraId="3E57B019">
            <w:pPr>
              <w:jc w:val="center"/>
              <w:rPr>
                <w:rFonts w:ascii="宋体" w:hAnsi="宋体"/>
                <w:color w:val="auto"/>
              </w:rPr>
            </w:pPr>
            <w:r>
              <w:rPr>
                <w:rFonts w:hint="eastAsia" w:ascii="宋体" w:hAnsi="宋体"/>
                <w:color w:val="auto"/>
              </w:rPr>
              <w:t>/</w:t>
            </w:r>
          </w:p>
        </w:tc>
        <w:tc>
          <w:tcPr>
            <w:tcW w:w="639" w:type="pct"/>
            <w:vAlign w:val="center"/>
          </w:tcPr>
          <w:p w14:paraId="63ECBFA5">
            <w:pPr>
              <w:jc w:val="center"/>
              <w:rPr>
                <w:rFonts w:ascii="宋体" w:hAnsi="宋体"/>
                <w:color w:val="auto"/>
              </w:rPr>
            </w:pPr>
            <w:r>
              <w:rPr>
                <w:rFonts w:hint="eastAsia" w:ascii="宋体" w:hAnsi="宋体"/>
                <w:color w:val="auto"/>
              </w:rPr>
              <w:t>/</w:t>
            </w:r>
          </w:p>
        </w:tc>
        <w:tc>
          <w:tcPr>
            <w:tcW w:w="638" w:type="pct"/>
            <w:vAlign w:val="center"/>
          </w:tcPr>
          <w:p w14:paraId="010EE004">
            <w:pPr>
              <w:jc w:val="center"/>
              <w:rPr>
                <w:rFonts w:ascii="宋体" w:hAnsi="宋体"/>
                <w:color w:val="auto"/>
              </w:rPr>
            </w:pPr>
            <w:r>
              <w:rPr>
                <w:rFonts w:hint="eastAsia" w:ascii="宋体" w:hAnsi="宋体"/>
                <w:color w:val="auto"/>
              </w:rPr>
              <w:t>/</w:t>
            </w:r>
          </w:p>
        </w:tc>
      </w:tr>
      <w:tr w14:paraId="0B9F3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4FA758D2">
            <w:pPr>
              <w:pStyle w:val="76"/>
              <w:rPr>
                <w:rFonts w:hAnsi="宋体"/>
                <w:color w:val="auto"/>
                <w:spacing w:val="-5"/>
              </w:rPr>
            </w:pPr>
          </w:p>
        </w:tc>
        <w:tc>
          <w:tcPr>
            <w:tcW w:w="476" w:type="pct"/>
            <w:vAlign w:val="center"/>
          </w:tcPr>
          <w:p w14:paraId="61999D98">
            <w:pPr>
              <w:spacing w:before="100" w:beforeAutospacing="1" w:after="100" w:afterAutospacing="1"/>
              <w:jc w:val="center"/>
              <w:rPr>
                <w:rFonts w:ascii="宋体" w:hAnsi="宋体"/>
                <w:color w:val="auto"/>
                <w:spacing w:val="-5"/>
              </w:rPr>
            </w:pPr>
            <w:r>
              <w:rPr>
                <w:rFonts w:ascii="宋体" w:hAnsi="宋体"/>
                <w:color w:val="auto"/>
                <w:spacing w:val="-5"/>
              </w:rPr>
              <w:t>氯甲烷</w:t>
            </w:r>
            <w:r>
              <w:rPr>
                <w:rFonts w:ascii="宋体" w:hAnsi="宋体"/>
                <w:color w:val="auto"/>
              </w:rPr>
              <w:t>（µg/kg）</w:t>
            </w:r>
          </w:p>
        </w:tc>
        <w:tc>
          <w:tcPr>
            <w:tcW w:w="614" w:type="pct"/>
            <w:vAlign w:val="center"/>
          </w:tcPr>
          <w:p w14:paraId="326E328B">
            <w:pPr>
              <w:jc w:val="center"/>
              <w:rPr>
                <w:rFonts w:ascii="宋体" w:hAnsi="宋体"/>
                <w:color w:val="auto"/>
              </w:rPr>
            </w:pPr>
            <w:r>
              <w:rPr>
                <w:rFonts w:ascii="宋体" w:hAnsi="宋体"/>
                <w:color w:val="auto"/>
              </w:rPr>
              <w:t>ND</w:t>
            </w:r>
          </w:p>
        </w:tc>
        <w:tc>
          <w:tcPr>
            <w:tcW w:w="611" w:type="pct"/>
            <w:vAlign w:val="center"/>
          </w:tcPr>
          <w:p w14:paraId="581A27D5">
            <w:pPr>
              <w:jc w:val="center"/>
              <w:rPr>
                <w:rFonts w:ascii="宋体" w:hAnsi="宋体"/>
                <w:color w:val="auto"/>
              </w:rPr>
            </w:pPr>
            <w:r>
              <w:rPr>
                <w:rFonts w:ascii="宋体" w:hAnsi="宋体"/>
                <w:color w:val="auto"/>
              </w:rPr>
              <w:t>ND</w:t>
            </w:r>
          </w:p>
        </w:tc>
        <w:tc>
          <w:tcPr>
            <w:tcW w:w="611" w:type="pct"/>
            <w:vAlign w:val="center"/>
          </w:tcPr>
          <w:p w14:paraId="1B2D4E86">
            <w:pPr>
              <w:jc w:val="center"/>
              <w:rPr>
                <w:rFonts w:ascii="宋体" w:hAnsi="宋体"/>
                <w:color w:val="auto"/>
              </w:rPr>
            </w:pPr>
            <w:r>
              <w:rPr>
                <w:rFonts w:ascii="宋体" w:hAnsi="宋体"/>
                <w:color w:val="auto"/>
              </w:rPr>
              <w:t>ND</w:t>
            </w:r>
          </w:p>
        </w:tc>
        <w:tc>
          <w:tcPr>
            <w:tcW w:w="611" w:type="pct"/>
            <w:vAlign w:val="center"/>
          </w:tcPr>
          <w:p w14:paraId="1CF35258">
            <w:pPr>
              <w:jc w:val="center"/>
              <w:rPr>
                <w:rFonts w:ascii="宋体" w:hAnsi="宋体"/>
                <w:color w:val="auto"/>
              </w:rPr>
            </w:pPr>
            <w:r>
              <w:rPr>
                <w:rFonts w:hint="eastAsia" w:ascii="宋体" w:hAnsi="宋体"/>
                <w:color w:val="auto"/>
              </w:rPr>
              <w:t>/</w:t>
            </w:r>
          </w:p>
        </w:tc>
        <w:tc>
          <w:tcPr>
            <w:tcW w:w="640" w:type="pct"/>
            <w:vAlign w:val="center"/>
          </w:tcPr>
          <w:p w14:paraId="39605B9B">
            <w:pPr>
              <w:jc w:val="center"/>
              <w:rPr>
                <w:rFonts w:ascii="宋体" w:hAnsi="宋体"/>
                <w:color w:val="auto"/>
              </w:rPr>
            </w:pPr>
            <w:r>
              <w:rPr>
                <w:rFonts w:hint="eastAsia" w:ascii="宋体" w:hAnsi="宋体"/>
                <w:color w:val="auto"/>
              </w:rPr>
              <w:t>/</w:t>
            </w:r>
          </w:p>
        </w:tc>
        <w:tc>
          <w:tcPr>
            <w:tcW w:w="639" w:type="pct"/>
            <w:vAlign w:val="center"/>
          </w:tcPr>
          <w:p w14:paraId="6F304F7B">
            <w:pPr>
              <w:jc w:val="center"/>
              <w:rPr>
                <w:rFonts w:ascii="宋体" w:hAnsi="宋体"/>
                <w:color w:val="auto"/>
              </w:rPr>
            </w:pPr>
            <w:r>
              <w:rPr>
                <w:rFonts w:hint="eastAsia" w:ascii="宋体" w:hAnsi="宋体"/>
                <w:color w:val="auto"/>
              </w:rPr>
              <w:t>/</w:t>
            </w:r>
          </w:p>
        </w:tc>
        <w:tc>
          <w:tcPr>
            <w:tcW w:w="638" w:type="pct"/>
            <w:vAlign w:val="center"/>
          </w:tcPr>
          <w:p w14:paraId="192E2F61">
            <w:pPr>
              <w:jc w:val="center"/>
              <w:rPr>
                <w:rFonts w:ascii="宋体" w:hAnsi="宋体"/>
                <w:color w:val="auto"/>
              </w:rPr>
            </w:pPr>
            <w:r>
              <w:rPr>
                <w:rFonts w:hint="eastAsia" w:ascii="宋体" w:hAnsi="宋体"/>
                <w:color w:val="auto"/>
              </w:rPr>
              <w:t>/</w:t>
            </w:r>
          </w:p>
        </w:tc>
      </w:tr>
      <w:tr w14:paraId="6935D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37862497">
            <w:pPr>
              <w:pStyle w:val="76"/>
              <w:rPr>
                <w:rFonts w:hAnsi="宋体"/>
                <w:color w:val="auto"/>
                <w:spacing w:val="-5"/>
              </w:rPr>
            </w:pPr>
          </w:p>
        </w:tc>
        <w:tc>
          <w:tcPr>
            <w:tcW w:w="476" w:type="pct"/>
            <w:vAlign w:val="center"/>
          </w:tcPr>
          <w:p w14:paraId="51561EB1">
            <w:pPr>
              <w:spacing w:before="100" w:beforeAutospacing="1" w:after="100" w:afterAutospacing="1"/>
              <w:jc w:val="center"/>
              <w:rPr>
                <w:rFonts w:ascii="宋体" w:hAnsi="宋体"/>
                <w:color w:val="auto"/>
                <w:spacing w:val="-5"/>
              </w:rPr>
            </w:pPr>
            <w:r>
              <w:rPr>
                <w:rFonts w:ascii="宋体" w:hAnsi="宋体"/>
                <w:color w:val="auto"/>
                <w:spacing w:val="-5"/>
              </w:rPr>
              <w:t>1，1-二氯乙烷</w:t>
            </w:r>
            <w:r>
              <w:rPr>
                <w:rFonts w:ascii="宋体" w:hAnsi="宋体"/>
                <w:color w:val="auto"/>
              </w:rPr>
              <w:t>（µg/kg）</w:t>
            </w:r>
          </w:p>
        </w:tc>
        <w:tc>
          <w:tcPr>
            <w:tcW w:w="614" w:type="pct"/>
            <w:vAlign w:val="center"/>
          </w:tcPr>
          <w:p w14:paraId="260D4FF2">
            <w:pPr>
              <w:jc w:val="center"/>
              <w:rPr>
                <w:rFonts w:ascii="宋体" w:hAnsi="宋体"/>
                <w:color w:val="auto"/>
              </w:rPr>
            </w:pPr>
            <w:r>
              <w:rPr>
                <w:rFonts w:ascii="宋体" w:hAnsi="宋体"/>
                <w:color w:val="auto"/>
              </w:rPr>
              <w:t>ND</w:t>
            </w:r>
          </w:p>
        </w:tc>
        <w:tc>
          <w:tcPr>
            <w:tcW w:w="611" w:type="pct"/>
            <w:vAlign w:val="center"/>
          </w:tcPr>
          <w:p w14:paraId="2A63E285">
            <w:pPr>
              <w:jc w:val="center"/>
              <w:rPr>
                <w:rFonts w:ascii="宋体" w:hAnsi="宋体"/>
                <w:color w:val="auto"/>
              </w:rPr>
            </w:pPr>
            <w:r>
              <w:rPr>
                <w:rFonts w:ascii="宋体" w:hAnsi="宋体"/>
                <w:color w:val="auto"/>
              </w:rPr>
              <w:t>ND</w:t>
            </w:r>
          </w:p>
        </w:tc>
        <w:tc>
          <w:tcPr>
            <w:tcW w:w="611" w:type="pct"/>
            <w:vAlign w:val="center"/>
          </w:tcPr>
          <w:p w14:paraId="2B2A9463">
            <w:pPr>
              <w:jc w:val="center"/>
              <w:rPr>
                <w:rFonts w:ascii="宋体" w:hAnsi="宋体"/>
                <w:color w:val="auto"/>
              </w:rPr>
            </w:pPr>
            <w:r>
              <w:rPr>
                <w:rFonts w:ascii="宋体" w:hAnsi="宋体"/>
                <w:color w:val="auto"/>
              </w:rPr>
              <w:t>ND</w:t>
            </w:r>
          </w:p>
        </w:tc>
        <w:tc>
          <w:tcPr>
            <w:tcW w:w="611" w:type="pct"/>
            <w:vAlign w:val="center"/>
          </w:tcPr>
          <w:p w14:paraId="6208F1C0">
            <w:pPr>
              <w:jc w:val="center"/>
              <w:rPr>
                <w:rFonts w:ascii="宋体" w:hAnsi="宋体"/>
                <w:color w:val="auto"/>
              </w:rPr>
            </w:pPr>
            <w:r>
              <w:rPr>
                <w:rFonts w:hint="eastAsia" w:ascii="宋体" w:hAnsi="宋体"/>
                <w:color w:val="auto"/>
              </w:rPr>
              <w:t>/</w:t>
            </w:r>
          </w:p>
        </w:tc>
        <w:tc>
          <w:tcPr>
            <w:tcW w:w="640" w:type="pct"/>
            <w:vAlign w:val="center"/>
          </w:tcPr>
          <w:p w14:paraId="0F80F268">
            <w:pPr>
              <w:jc w:val="center"/>
              <w:rPr>
                <w:rFonts w:ascii="宋体" w:hAnsi="宋体"/>
                <w:color w:val="auto"/>
              </w:rPr>
            </w:pPr>
            <w:r>
              <w:rPr>
                <w:rFonts w:hint="eastAsia" w:ascii="宋体" w:hAnsi="宋体"/>
                <w:color w:val="auto"/>
              </w:rPr>
              <w:t>/</w:t>
            </w:r>
          </w:p>
        </w:tc>
        <w:tc>
          <w:tcPr>
            <w:tcW w:w="639" w:type="pct"/>
            <w:vAlign w:val="center"/>
          </w:tcPr>
          <w:p w14:paraId="5AF82C4E">
            <w:pPr>
              <w:jc w:val="center"/>
              <w:rPr>
                <w:rFonts w:ascii="宋体" w:hAnsi="宋体"/>
                <w:color w:val="auto"/>
              </w:rPr>
            </w:pPr>
            <w:r>
              <w:rPr>
                <w:rFonts w:hint="eastAsia" w:ascii="宋体" w:hAnsi="宋体"/>
                <w:color w:val="auto"/>
              </w:rPr>
              <w:t>/</w:t>
            </w:r>
          </w:p>
        </w:tc>
        <w:tc>
          <w:tcPr>
            <w:tcW w:w="638" w:type="pct"/>
            <w:vAlign w:val="center"/>
          </w:tcPr>
          <w:p w14:paraId="3B7232E4">
            <w:pPr>
              <w:jc w:val="center"/>
              <w:rPr>
                <w:rFonts w:ascii="宋体" w:hAnsi="宋体"/>
                <w:color w:val="auto"/>
              </w:rPr>
            </w:pPr>
            <w:r>
              <w:rPr>
                <w:rFonts w:hint="eastAsia" w:ascii="宋体" w:hAnsi="宋体"/>
                <w:color w:val="auto"/>
              </w:rPr>
              <w:t>/</w:t>
            </w:r>
          </w:p>
        </w:tc>
      </w:tr>
      <w:tr w14:paraId="2A905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3C0D2835">
            <w:pPr>
              <w:pStyle w:val="76"/>
              <w:rPr>
                <w:rFonts w:hAnsi="宋体"/>
                <w:color w:val="auto"/>
                <w:spacing w:val="-5"/>
              </w:rPr>
            </w:pPr>
          </w:p>
        </w:tc>
        <w:tc>
          <w:tcPr>
            <w:tcW w:w="476" w:type="pct"/>
            <w:vAlign w:val="center"/>
          </w:tcPr>
          <w:p w14:paraId="32EBD48F">
            <w:pPr>
              <w:spacing w:before="100" w:beforeAutospacing="1" w:after="100" w:afterAutospacing="1"/>
              <w:jc w:val="center"/>
              <w:rPr>
                <w:rFonts w:ascii="宋体" w:hAnsi="宋体"/>
                <w:color w:val="auto"/>
                <w:spacing w:val="-5"/>
              </w:rPr>
            </w:pPr>
            <w:r>
              <w:rPr>
                <w:rFonts w:ascii="宋体" w:hAnsi="宋体"/>
                <w:color w:val="auto"/>
                <w:spacing w:val="-5"/>
              </w:rPr>
              <w:t>1，2-二氯乙烷</w:t>
            </w:r>
            <w:r>
              <w:rPr>
                <w:rFonts w:ascii="宋体" w:hAnsi="宋体"/>
                <w:color w:val="auto"/>
              </w:rPr>
              <w:t>（µg/kg）</w:t>
            </w:r>
          </w:p>
        </w:tc>
        <w:tc>
          <w:tcPr>
            <w:tcW w:w="614" w:type="pct"/>
            <w:vAlign w:val="center"/>
          </w:tcPr>
          <w:p w14:paraId="31BACB67">
            <w:pPr>
              <w:jc w:val="center"/>
              <w:rPr>
                <w:rFonts w:ascii="宋体" w:hAnsi="宋体"/>
                <w:color w:val="auto"/>
              </w:rPr>
            </w:pPr>
            <w:r>
              <w:rPr>
                <w:rFonts w:ascii="宋体" w:hAnsi="宋体"/>
                <w:color w:val="auto"/>
              </w:rPr>
              <w:t>ND</w:t>
            </w:r>
          </w:p>
        </w:tc>
        <w:tc>
          <w:tcPr>
            <w:tcW w:w="611" w:type="pct"/>
            <w:vAlign w:val="center"/>
          </w:tcPr>
          <w:p w14:paraId="0C2A0F31">
            <w:pPr>
              <w:jc w:val="center"/>
              <w:rPr>
                <w:rFonts w:ascii="宋体" w:hAnsi="宋体"/>
                <w:color w:val="auto"/>
              </w:rPr>
            </w:pPr>
            <w:r>
              <w:rPr>
                <w:rFonts w:ascii="宋体" w:hAnsi="宋体"/>
                <w:color w:val="auto"/>
              </w:rPr>
              <w:t>ND</w:t>
            </w:r>
          </w:p>
        </w:tc>
        <w:tc>
          <w:tcPr>
            <w:tcW w:w="611" w:type="pct"/>
            <w:vAlign w:val="center"/>
          </w:tcPr>
          <w:p w14:paraId="407B5880">
            <w:pPr>
              <w:jc w:val="center"/>
              <w:rPr>
                <w:rFonts w:ascii="宋体" w:hAnsi="宋体"/>
                <w:color w:val="auto"/>
              </w:rPr>
            </w:pPr>
            <w:r>
              <w:rPr>
                <w:rFonts w:ascii="宋体" w:hAnsi="宋体"/>
                <w:color w:val="auto"/>
              </w:rPr>
              <w:t>ND</w:t>
            </w:r>
          </w:p>
        </w:tc>
        <w:tc>
          <w:tcPr>
            <w:tcW w:w="611" w:type="pct"/>
            <w:vAlign w:val="center"/>
          </w:tcPr>
          <w:p w14:paraId="07656D9C">
            <w:pPr>
              <w:jc w:val="center"/>
              <w:rPr>
                <w:rFonts w:ascii="宋体" w:hAnsi="宋体"/>
                <w:color w:val="auto"/>
              </w:rPr>
            </w:pPr>
            <w:r>
              <w:rPr>
                <w:rFonts w:hint="eastAsia" w:ascii="宋体" w:hAnsi="宋体"/>
                <w:color w:val="auto"/>
              </w:rPr>
              <w:t>/</w:t>
            </w:r>
          </w:p>
        </w:tc>
        <w:tc>
          <w:tcPr>
            <w:tcW w:w="640" w:type="pct"/>
            <w:vAlign w:val="center"/>
          </w:tcPr>
          <w:p w14:paraId="1D0AC051">
            <w:pPr>
              <w:jc w:val="center"/>
              <w:rPr>
                <w:rFonts w:ascii="宋体" w:hAnsi="宋体"/>
                <w:color w:val="auto"/>
              </w:rPr>
            </w:pPr>
            <w:r>
              <w:rPr>
                <w:rFonts w:hint="eastAsia" w:ascii="宋体" w:hAnsi="宋体"/>
                <w:color w:val="auto"/>
              </w:rPr>
              <w:t>/</w:t>
            </w:r>
          </w:p>
        </w:tc>
        <w:tc>
          <w:tcPr>
            <w:tcW w:w="639" w:type="pct"/>
            <w:vAlign w:val="center"/>
          </w:tcPr>
          <w:p w14:paraId="6835B0E6">
            <w:pPr>
              <w:jc w:val="center"/>
              <w:rPr>
                <w:rFonts w:ascii="宋体" w:hAnsi="宋体"/>
                <w:color w:val="auto"/>
              </w:rPr>
            </w:pPr>
            <w:r>
              <w:rPr>
                <w:rFonts w:hint="eastAsia" w:ascii="宋体" w:hAnsi="宋体"/>
                <w:color w:val="auto"/>
              </w:rPr>
              <w:t>/</w:t>
            </w:r>
          </w:p>
        </w:tc>
        <w:tc>
          <w:tcPr>
            <w:tcW w:w="638" w:type="pct"/>
            <w:vAlign w:val="center"/>
          </w:tcPr>
          <w:p w14:paraId="49F50349">
            <w:pPr>
              <w:jc w:val="center"/>
              <w:rPr>
                <w:rFonts w:ascii="宋体" w:hAnsi="宋体"/>
                <w:color w:val="auto"/>
              </w:rPr>
            </w:pPr>
            <w:r>
              <w:rPr>
                <w:rFonts w:hint="eastAsia" w:ascii="宋体" w:hAnsi="宋体"/>
                <w:color w:val="auto"/>
              </w:rPr>
              <w:t>/</w:t>
            </w:r>
          </w:p>
        </w:tc>
      </w:tr>
      <w:tr w14:paraId="78CA5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540F2897">
            <w:pPr>
              <w:pStyle w:val="76"/>
              <w:rPr>
                <w:rFonts w:hAnsi="宋体"/>
                <w:color w:val="auto"/>
                <w:spacing w:val="-5"/>
              </w:rPr>
            </w:pPr>
          </w:p>
        </w:tc>
        <w:tc>
          <w:tcPr>
            <w:tcW w:w="476" w:type="pct"/>
            <w:vAlign w:val="center"/>
          </w:tcPr>
          <w:p w14:paraId="595B79EE">
            <w:pPr>
              <w:spacing w:before="100" w:beforeAutospacing="1" w:after="100" w:afterAutospacing="1"/>
              <w:jc w:val="center"/>
              <w:rPr>
                <w:rFonts w:ascii="宋体" w:hAnsi="宋体"/>
                <w:color w:val="auto"/>
                <w:spacing w:val="-5"/>
              </w:rPr>
            </w:pPr>
            <w:r>
              <w:rPr>
                <w:rFonts w:ascii="宋体" w:hAnsi="宋体"/>
                <w:color w:val="auto"/>
                <w:spacing w:val="-5"/>
              </w:rPr>
              <w:t>1，1-二氯乙烯</w:t>
            </w:r>
            <w:r>
              <w:rPr>
                <w:rFonts w:ascii="宋体" w:hAnsi="宋体"/>
                <w:color w:val="auto"/>
              </w:rPr>
              <w:t>（µg/kg）</w:t>
            </w:r>
          </w:p>
        </w:tc>
        <w:tc>
          <w:tcPr>
            <w:tcW w:w="614" w:type="pct"/>
            <w:vAlign w:val="center"/>
          </w:tcPr>
          <w:p w14:paraId="180722F8">
            <w:pPr>
              <w:jc w:val="center"/>
              <w:rPr>
                <w:rFonts w:ascii="宋体" w:hAnsi="宋体"/>
                <w:color w:val="auto"/>
              </w:rPr>
            </w:pPr>
            <w:r>
              <w:rPr>
                <w:rFonts w:ascii="宋体" w:hAnsi="宋体"/>
                <w:color w:val="auto"/>
              </w:rPr>
              <w:t>ND</w:t>
            </w:r>
          </w:p>
        </w:tc>
        <w:tc>
          <w:tcPr>
            <w:tcW w:w="611" w:type="pct"/>
            <w:vAlign w:val="center"/>
          </w:tcPr>
          <w:p w14:paraId="4965CD8B">
            <w:pPr>
              <w:jc w:val="center"/>
              <w:rPr>
                <w:rFonts w:ascii="宋体" w:hAnsi="宋体"/>
                <w:color w:val="auto"/>
              </w:rPr>
            </w:pPr>
            <w:r>
              <w:rPr>
                <w:rFonts w:ascii="宋体" w:hAnsi="宋体"/>
                <w:color w:val="auto"/>
              </w:rPr>
              <w:t>ND</w:t>
            </w:r>
          </w:p>
        </w:tc>
        <w:tc>
          <w:tcPr>
            <w:tcW w:w="611" w:type="pct"/>
            <w:vAlign w:val="center"/>
          </w:tcPr>
          <w:p w14:paraId="2BBD5C96">
            <w:pPr>
              <w:jc w:val="center"/>
              <w:rPr>
                <w:rFonts w:ascii="宋体" w:hAnsi="宋体"/>
                <w:color w:val="auto"/>
              </w:rPr>
            </w:pPr>
            <w:r>
              <w:rPr>
                <w:rFonts w:ascii="宋体" w:hAnsi="宋体"/>
                <w:color w:val="auto"/>
              </w:rPr>
              <w:t>ND</w:t>
            </w:r>
          </w:p>
        </w:tc>
        <w:tc>
          <w:tcPr>
            <w:tcW w:w="611" w:type="pct"/>
            <w:vAlign w:val="center"/>
          </w:tcPr>
          <w:p w14:paraId="0396C4E8">
            <w:pPr>
              <w:jc w:val="center"/>
              <w:rPr>
                <w:rFonts w:ascii="宋体" w:hAnsi="宋体"/>
                <w:color w:val="auto"/>
              </w:rPr>
            </w:pPr>
            <w:r>
              <w:rPr>
                <w:rFonts w:hint="eastAsia" w:ascii="宋体" w:hAnsi="宋体"/>
                <w:color w:val="auto"/>
              </w:rPr>
              <w:t>/</w:t>
            </w:r>
          </w:p>
        </w:tc>
        <w:tc>
          <w:tcPr>
            <w:tcW w:w="640" w:type="pct"/>
            <w:vAlign w:val="center"/>
          </w:tcPr>
          <w:p w14:paraId="03CB725F">
            <w:pPr>
              <w:jc w:val="center"/>
              <w:rPr>
                <w:rFonts w:ascii="宋体" w:hAnsi="宋体"/>
                <w:color w:val="auto"/>
              </w:rPr>
            </w:pPr>
            <w:r>
              <w:rPr>
                <w:rFonts w:hint="eastAsia" w:ascii="宋体" w:hAnsi="宋体"/>
                <w:color w:val="auto"/>
              </w:rPr>
              <w:t>/</w:t>
            </w:r>
          </w:p>
        </w:tc>
        <w:tc>
          <w:tcPr>
            <w:tcW w:w="639" w:type="pct"/>
            <w:vAlign w:val="center"/>
          </w:tcPr>
          <w:p w14:paraId="60FA04B3">
            <w:pPr>
              <w:jc w:val="center"/>
              <w:rPr>
                <w:rFonts w:ascii="宋体" w:hAnsi="宋体"/>
                <w:color w:val="auto"/>
              </w:rPr>
            </w:pPr>
            <w:r>
              <w:rPr>
                <w:rFonts w:hint="eastAsia" w:ascii="宋体" w:hAnsi="宋体"/>
                <w:color w:val="auto"/>
              </w:rPr>
              <w:t>/</w:t>
            </w:r>
          </w:p>
        </w:tc>
        <w:tc>
          <w:tcPr>
            <w:tcW w:w="638" w:type="pct"/>
            <w:vAlign w:val="center"/>
          </w:tcPr>
          <w:p w14:paraId="59105B85">
            <w:pPr>
              <w:jc w:val="center"/>
              <w:rPr>
                <w:rFonts w:ascii="宋体" w:hAnsi="宋体"/>
                <w:color w:val="auto"/>
              </w:rPr>
            </w:pPr>
            <w:r>
              <w:rPr>
                <w:rFonts w:hint="eastAsia" w:ascii="宋体" w:hAnsi="宋体"/>
                <w:color w:val="auto"/>
              </w:rPr>
              <w:t>/</w:t>
            </w:r>
          </w:p>
        </w:tc>
      </w:tr>
      <w:tr w14:paraId="40B86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62D0B2C2">
            <w:pPr>
              <w:pStyle w:val="76"/>
              <w:rPr>
                <w:rFonts w:hAnsi="宋体"/>
                <w:color w:val="auto"/>
                <w:spacing w:val="-5"/>
              </w:rPr>
            </w:pPr>
          </w:p>
        </w:tc>
        <w:tc>
          <w:tcPr>
            <w:tcW w:w="476" w:type="pct"/>
            <w:vAlign w:val="center"/>
          </w:tcPr>
          <w:p w14:paraId="76FB588C">
            <w:pPr>
              <w:spacing w:before="100" w:beforeAutospacing="1" w:after="100" w:afterAutospacing="1"/>
              <w:jc w:val="center"/>
              <w:rPr>
                <w:rFonts w:ascii="宋体" w:hAnsi="宋体"/>
                <w:color w:val="auto"/>
                <w:spacing w:val="-5"/>
              </w:rPr>
            </w:pPr>
            <w:r>
              <w:rPr>
                <w:rFonts w:ascii="宋体" w:hAnsi="宋体"/>
                <w:color w:val="auto"/>
                <w:spacing w:val="-5"/>
              </w:rPr>
              <w:t>顺-1，2-二氯乙烯</w:t>
            </w:r>
            <w:r>
              <w:rPr>
                <w:rFonts w:ascii="宋体" w:hAnsi="宋体"/>
                <w:color w:val="auto"/>
              </w:rPr>
              <w:t>（µg/kg）</w:t>
            </w:r>
          </w:p>
        </w:tc>
        <w:tc>
          <w:tcPr>
            <w:tcW w:w="614" w:type="pct"/>
            <w:vAlign w:val="center"/>
          </w:tcPr>
          <w:p w14:paraId="0A1323BD">
            <w:pPr>
              <w:jc w:val="center"/>
              <w:rPr>
                <w:rFonts w:ascii="宋体" w:hAnsi="宋体"/>
                <w:color w:val="auto"/>
              </w:rPr>
            </w:pPr>
            <w:r>
              <w:rPr>
                <w:rFonts w:ascii="宋体" w:hAnsi="宋体"/>
                <w:color w:val="auto"/>
              </w:rPr>
              <w:t>ND</w:t>
            </w:r>
          </w:p>
        </w:tc>
        <w:tc>
          <w:tcPr>
            <w:tcW w:w="611" w:type="pct"/>
            <w:vAlign w:val="center"/>
          </w:tcPr>
          <w:p w14:paraId="112B9353">
            <w:pPr>
              <w:jc w:val="center"/>
              <w:rPr>
                <w:rFonts w:ascii="宋体" w:hAnsi="宋体"/>
                <w:color w:val="auto"/>
              </w:rPr>
            </w:pPr>
            <w:r>
              <w:rPr>
                <w:rFonts w:ascii="宋体" w:hAnsi="宋体"/>
                <w:color w:val="auto"/>
              </w:rPr>
              <w:t>ND</w:t>
            </w:r>
          </w:p>
        </w:tc>
        <w:tc>
          <w:tcPr>
            <w:tcW w:w="611" w:type="pct"/>
            <w:vAlign w:val="center"/>
          </w:tcPr>
          <w:p w14:paraId="29730613">
            <w:pPr>
              <w:jc w:val="center"/>
              <w:rPr>
                <w:rFonts w:ascii="宋体" w:hAnsi="宋体"/>
                <w:color w:val="auto"/>
              </w:rPr>
            </w:pPr>
            <w:r>
              <w:rPr>
                <w:rFonts w:ascii="宋体" w:hAnsi="宋体"/>
                <w:color w:val="auto"/>
              </w:rPr>
              <w:t>ND</w:t>
            </w:r>
          </w:p>
        </w:tc>
        <w:tc>
          <w:tcPr>
            <w:tcW w:w="611" w:type="pct"/>
            <w:vAlign w:val="center"/>
          </w:tcPr>
          <w:p w14:paraId="2F63272E">
            <w:pPr>
              <w:jc w:val="center"/>
              <w:rPr>
                <w:rFonts w:ascii="宋体" w:hAnsi="宋体"/>
                <w:color w:val="auto"/>
              </w:rPr>
            </w:pPr>
            <w:r>
              <w:rPr>
                <w:rFonts w:hint="eastAsia" w:ascii="宋体" w:hAnsi="宋体"/>
                <w:color w:val="auto"/>
              </w:rPr>
              <w:t>/</w:t>
            </w:r>
          </w:p>
        </w:tc>
        <w:tc>
          <w:tcPr>
            <w:tcW w:w="640" w:type="pct"/>
            <w:vAlign w:val="center"/>
          </w:tcPr>
          <w:p w14:paraId="6C6C1B9E">
            <w:pPr>
              <w:jc w:val="center"/>
              <w:rPr>
                <w:rFonts w:ascii="宋体" w:hAnsi="宋体"/>
                <w:color w:val="auto"/>
              </w:rPr>
            </w:pPr>
            <w:r>
              <w:rPr>
                <w:rFonts w:hint="eastAsia" w:ascii="宋体" w:hAnsi="宋体"/>
                <w:color w:val="auto"/>
              </w:rPr>
              <w:t>/</w:t>
            </w:r>
          </w:p>
        </w:tc>
        <w:tc>
          <w:tcPr>
            <w:tcW w:w="639" w:type="pct"/>
            <w:vAlign w:val="center"/>
          </w:tcPr>
          <w:p w14:paraId="2A101FAA">
            <w:pPr>
              <w:jc w:val="center"/>
              <w:rPr>
                <w:rFonts w:ascii="宋体" w:hAnsi="宋体"/>
                <w:color w:val="auto"/>
              </w:rPr>
            </w:pPr>
            <w:r>
              <w:rPr>
                <w:rFonts w:hint="eastAsia" w:ascii="宋体" w:hAnsi="宋体"/>
                <w:color w:val="auto"/>
              </w:rPr>
              <w:t>/</w:t>
            </w:r>
          </w:p>
        </w:tc>
        <w:tc>
          <w:tcPr>
            <w:tcW w:w="638" w:type="pct"/>
            <w:vAlign w:val="center"/>
          </w:tcPr>
          <w:p w14:paraId="6445300E">
            <w:pPr>
              <w:jc w:val="center"/>
              <w:rPr>
                <w:rFonts w:ascii="宋体" w:hAnsi="宋体"/>
                <w:color w:val="auto"/>
              </w:rPr>
            </w:pPr>
            <w:r>
              <w:rPr>
                <w:rFonts w:hint="eastAsia" w:ascii="宋体" w:hAnsi="宋体"/>
                <w:color w:val="auto"/>
              </w:rPr>
              <w:t>/</w:t>
            </w:r>
          </w:p>
        </w:tc>
      </w:tr>
      <w:tr w14:paraId="715DB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469C1106">
            <w:pPr>
              <w:pStyle w:val="76"/>
              <w:rPr>
                <w:rFonts w:hAnsi="宋体"/>
                <w:color w:val="auto"/>
                <w:spacing w:val="-5"/>
              </w:rPr>
            </w:pPr>
          </w:p>
        </w:tc>
        <w:tc>
          <w:tcPr>
            <w:tcW w:w="476" w:type="pct"/>
            <w:vAlign w:val="center"/>
          </w:tcPr>
          <w:p w14:paraId="14A31E7A">
            <w:pPr>
              <w:spacing w:before="100" w:beforeAutospacing="1" w:after="100" w:afterAutospacing="1"/>
              <w:jc w:val="center"/>
              <w:rPr>
                <w:rFonts w:ascii="宋体" w:hAnsi="宋体"/>
                <w:color w:val="auto"/>
                <w:spacing w:val="-5"/>
              </w:rPr>
            </w:pPr>
            <w:r>
              <w:rPr>
                <w:rFonts w:ascii="宋体" w:hAnsi="宋体"/>
                <w:color w:val="auto"/>
                <w:spacing w:val="-5"/>
              </w:rPr>
              <w:t>反-1，2-二氯乙烯</w:t>
            </w:r>
            <w:r>
              <w:rPr>
                <w:rFonts w:ascii="宋体" w:hAnsi="宋体"/>
                <w:color w:val="auto"/>
              </w:rPr>
              <w:t>（µg/kg）</w:t>
            </w:r>
          </w:p>
        </w:tc>
        <w:tc>
          <w:tcPr>
            <w:tcW w:w="614" w:type="pct"/>
            <w:vAlign w:val="center"/>
          </w:tcPr>
          <w:p w14:paraId="6316A6FA">
            <w:pPr>
              <w:jc w:val="center"/>
              <w:rPr>
                <w:rFonts w:ascii="宋体" w:hAnsi="宋体"/>
                <w:color w:val="auto"/>
              </w:rPr>
            </w:pPr>
            <w:r>
              <w:rPr>
                <w:rFonts w:ascii="宋体" w:hAnsi="宋体"/>
                <w:color w:val="auto"/>
              </w:rPr>
              <w:t>ND</w:t>
            </w:r>
          </w:p>
        </w:tc>
        <w:tc>
          <w:tcPr>
            <w:tcW w:w="611" w:type="pct"/>
            <w:vAlign w:val="center"/>
          </w:tcPr>
          <w:p w14:paraId="1BC837A2">
            <w:pPr>
              <w:jc w:val="center"/>
              <w:rPr>
                <w:rFonts w:ascii="宋体" w:hAnsi="宋体"/>
                <w:color w:val="auto"/>
              </w:rPr>
            </w:pPr>
            <w:r>
              <w:rPr>
                <w:rFonts w:ascii="宋体" w:hAnsi="宋体"/>
                <w:color w:val="auto"/>
              </w:rPr>
              <w:t>ND</w:t>
            </w:r>
          </w:p>
        </w:tc>
        <w:tc>
          <w:tcPr>
            <w:tcW w:w="611" w:type="pct"/>
            <w:vAlign w:val="center"/>
          </w:tcPr>
          <w:p w14:paraId="3861FFD8">
            <w:pPr>
              <w:jc w:val="center"/>
              <w:rPr>
                <w:rFonts w:ascii="宋体" w:hAnsi="宋体"/>
                <w:color w:val="auto"/>
              </w:rPr>
            </w:pPr>
            <w:r>
              <w:rPr>
                <w:rFonts w:ascii="宋体" w:hAnsi="宋体"/>
                <w:color w:val="auto"/>
              </w:rPr>
              <w:t>ND</w:t>
            </w:r>
          </w:p>
        </w:tc>
        <w:tc>
          <w:tcPr>
            <w:tcW w:w="611" w:type="pct"/>
            <w:vAlign w:val="center"/>
          </w:tcPr>
          <w:p w14:paraId="6C843385">
            <w:pPr>
              <w:jc w:val="center"/>
              <w:rPr>
                <w:rFonts w:ascii="宋体" w:hAnsi="宋体"/>
                <w:color w:val="auto"/>
              </w:rPr>
            </w:pPr>
            <w:r>
              <w:rPr>
                <w:rFonts w:hint="eastAsia" w:ascii="宋体" w:hAnsi="宋体"/>
                <w:color w:val="auto"/>
              </w:rPr>
              <w:t>/</w:t>
            </w:r>
          </w:p>
        </w:tc>
        <w:tc>
          <w:tcPr>
            <w:tcW w:w="640" w:type="pct"/>
            <w:vAlign w:val="center"/>
          </w:tcPr>
          <w:p w14:paraId="572F6E2B">
            <w:pPr>
              <w:jc w:val="center"/>
              <w:rPr>
                <w:rFonts w:ascii="宋体" w:hAnsi="宋体"/>
                <w:color w:val="auto"/>
              </w:rPr>
            </w:pPr>
            <w:r>
              <w:rPr>
                <w:rFonts w:hint="eastAsia" w:ascii="宋体" w:hAnsi="宋体"/>
                <w:color w:val="auto"/>
              </w:rPr>
              <w:t>/</w:t>
            </w:r>
          </w:p>
        </w:tc>
        <w:tc>
          <w:tcPr>
            <w:tcW w:w="639" w:type="pct"/>
            <w:vAlign w:val="center"/>
          </w:tcPr>
          <w:p w14:paraId="07DD5ED5">
            <w:pPr>
              <w:jc w:val="center"/>
              <w:rPr>
                <w:rFonts w:ascii="宋体" w:hAnsi="宋体"/>
                <w:color w:val="auto"/>
              </w:rPr>
            </w:pPr>
            <w:r>
              <w:rPr>
                <w:rFonts w:hint="eastAsia" w:ascii="宋体" w:hAnsi="宋体"/>
                <w:color w:val="auto"/>
              </w:rPr>
              <w:t>/</w:t>
            </w:r>
          </w:p>
        </w:tc>
        <w:tc>
          <w:tcPr>
            <w:tcW w:w="638" w:type="pct"/>
            <w:vAlign w:val="center"/>
          </w:tcPr>
          <w:p w14:paraId="5284800B">
            <w:pPr>
              <w:jc w:val="center"/>
              <w:rPr>
                <w:rFonts w:ascii="宋体" w:hAnsi="宋体"/>
                <w:color w:val="auto"/>
              </w:rPr>
            </w:pPr>
            <w:r>
              <w:rPr>
                <w:rFonts w:hint="eastAsia" w:ascii="宋体" w:hAnsi="宋体"/>
                <w:color w:val="auto"/>
              </w:rPr>
              <w:t>/</w:t>
            </w:r>
          </w:p>
        </w:tc>
      </w:tr>
      <w:tr w14:paraId="64B45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2877AC7F">
            <w:pPr>
              <w:pStyle w:val="76"/>
              <w:rPr>
                <w:rFonts w:hAnsi="宋体"/>
                <w:color w:val="auto"/>
                <w:spacing w:val="-5"/>
              </w:rPr>
            </w:pPr>
          </w:p>
        </w:tc>
        <w:tc>
          <w:tcPr>
            <w:tcW w:w="476" w:type="pct"/>
            <w:vAlign w:val="center"/>
          </w:tcPr>
          <w:p w14:paraId="484E7427">
            <w:pPr>
              <w:spacing w:before="100" w:beforeAutospacing="1" w:after="100" w:afterAutospacing="1"/>
              <w:jc w:val="center"/>
              <w:rPr>
                <w:rFonts w:ascii="宋体" w:hAnsi="宋体"/>
                <w:color w:val="auto"/>
                <w:spacing w:val="-5"/>
              </w:rPr>
            </w:pPr>
            <w:r>
              <w:rPr>
                <w:rFonts w:ascii="宋体" w:hAnsi="宋体"/>
                <w:color w:val="auto"/>
                <w:spacing w:val="-5"/>
              </w:rPr>
              <w:t>二氯甲烷</w:t>
            </w:r>
            <w:r>
              <w:rPr>
                <w:rFonts w:ascii="宋体" w:hAnsi="宋体"/>
                <w:color w:val="auto"/>
              </w:rPr>
              <w:t>（µg/kg）</w:t>
            </w:r>
          </w:p>
        </w:tc>
        <w:tc>
          <w:tcPr>
            <w:tcW w:w="614" w:type="pct"/>
            <w:vAlign w:val="center"/>
          </w:tcPr>
          <w:p w14:paraId="5067E506">
            <w:pPr>
              <w:jc w:val="center"/>
              <w:rPr>
                <w:rFonts w:ascii="宋体" w:hAnsi="宋体"/>
                <w:color w:val="auto"/>
              </w:rPr>
            </w:pPr>
            <w:r>
              <w:rPr>
                <w:rFonts w:ascii="宋体" w:hAnsi="宋体"/>
                <w:color w:val="auto"/>
              </w:rPr>
              <w:t>ND</w:t>
            </w:r>
          </w:p>
        </w:tc>
        <w:tc>
          <w:tcPr>
            <w:tcW w:w="611" w:type="pct"/>
            <w:vAlign w:val="center"/>
          </w:tcPr>
          <w:p w14:paraId="69A48325">
            <w:pPr>
              <w:jc w:val="center"/>
              <w:rPr>
                <w:rFonts w:ascii="宋体" w:hAnsi="宋体"/>
                <w:color w:val="auto"/>
              </w:rPr>
            </w:pPr>
            <w:r>
              <w:rPr>
                <w:rFonts w:ascii="宋体" w:hAnsi="宋体"/>
                <w:color w:val="auto"/>
              </w:rPr>
              <w:t>ND</w:t>
            </w:r>
          </w:p>
        </w:tc>
        <w:tc>
          <w:tcPr>
            <w:tcW w:w="611" w:type="pct"/>
            <w:vAlign w:val="center"/>
          </w:tcPr>
          <w:p w14:paraId="291A2413">
            <w:pPr>
              <w:jc w:val="center"/>
              <w:rPr>
                <w:rFonts w:ascii="宋体" w:hAnsi="宋体"/>
                <w:color w:val="auto"/>
              </w:rPr>
            </w:pPr>
            <w:r>
              <w:rPr>
                <w:rFonts w:ascii="宋体" w:hAnsi="宋体"/>
                <w:color w:val="auto"/>
              </w:rPr>
              <w:t>ND</w:t>
            </w:r>
          </w:p>
        </w:tc>
        <w:tc>
          <w:tcPr>
            <w:tcW w:w="611" w:type="pct"/>
            <w:vAlign w:val="center"/>
          </w:tcPr>
          <w:p w14:paraId="56705C50">
            <w:pPr>
              <w:jc w:val="center"/>
              <w:rPr>
                <w:rFonts w:ascii="宋体" w:hAnsi="宋体"/>
                <w:color w:val="auto"/>
              </w:rPr>
            </w:pPr>
            <w:r>
              <w:rPr>
                <w:rFonts w:hint="eastAsia" w:ascii="宋体" w:hAnsi="宋体"/>
                <w:color w:val="auto"/>
              </w:rPr>
              <w:t>/</w:t>
            </w:r>
          </w:p>
        </w:tc>
        <w:tc>
          <w:tcPr>
            <w:tcW w:w="640" w:type="pct"/>
            <w:vAlign w:val="center"/>
          </w:tcPr>
          <w:p w14:paraId="73D9658F">
            <w:pPr>
              <w:jc w:val="center"/>
              <w:rPr>
                <w:rFonts w:ascii="宋体" w:hAnsi="宋体"/>
                <w:color w:val="auto"/>
              </w:rPr>
            </w:pPr>
            <w:r>
              <w:rPr>
                <w:rFonts w:hint="eastAsia" w:ascii="宋体" w:hAnsi="宋体"/>
                <w:color w:val="auto"/>
              </w:rPr>
              <w:t>/</w:t>
            </w:r>
          </w:p>
        </w:tc>
        <w:tc>
          <w:tcPr>
            <w:tcW w:w="639" w:type="pct"/>
            <w:vAlign w:val="center"/>
          </w:tcPr>
          <w:p w14:paraId="18C8856A">
            <w:pPr>
              <w:jc w:val="center"/>
              <w:rPr>
                <w:rFonts w:ascii="宋体" w:hAnsi="宋体"/>
                <w:color w:val="auto"/>
              </w:rPr>
            </w:pPr>
            <w:r>
              <w:rPr>
                <w:rFonts w:hint="eastAsia" w:ascii="宋体" w:hAnsi="宋体"/>
                <w:color w:val="auto"/>
              </w:rPr>
              <w:t>/</w:t>
            </w:r>
          </w:p>
        </w:tc>
        <w:tc>
          <w:tcPr>
            <w:tcW w:w="638" w:type="pct"/>
            <w:vAlign w:val="center"/>
          </w:tcPr>
          <w:p w14:paraId="23F34E96">
            <w:pPr>
              <w:jc w:val="center"/>
              <w:rPr>
                <w:rFonts w:ascii="宋体" w:hAnsi="宋体"/>
                <w:color w:val="auto"/>
              </w:rPr>
            </w:pPr>
            <w:r>
              <w:rPr>
                <w:rFonts w:hint="eastAsia" w:ascii="宋体" w:hAnsi="宋体"/>
                <w:color w:val="auto"/>
              </w:rPr>
              <w:t>/</w:t>
            </w:r>
          </w:p>
        </w:tc>
      </w:tr>
      <w:tr w14:paraId="14ECA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3E42EE7A">
            <w:pPr>
              <w:pStyle w:val="76"/>
              <w:rPr>
                <w:rFonts w:hAnsi="宋体"/>
                <w:color w:val="auto"/>
                <w:spacing w:val="-5"/>
              </w:rPr>
            </w:pPr>
          </w:p>
        </w:tc>
        <w:tc>
          <w:tcPr>
            <w:tcW w:w="476" w:type="pct"/>
            <w:vAlign w:val="center"/>
          </w:tcPr>
          <w:p w14:paraId="0294A870">
            <w:pPr>
              <w:spacing w:before="100" w:beforeAutospacing="1" w:after="100" w:afterAutospacing="1"/>
              <w:jc w:val="center"/>
              <w:rPr>
                <w:rFonts w:ascii="宋体" w:hAnsi="宋体"/>
                <w:color w:val="auto"/>
                <w:spacing w:val="-5"/>
              </w:rPr>
            </w:pPr>
            <w:r>
              <w:rPr>
                <w:rFonts w:ascii="宋体" w:hAnsi="宋体"/>
                <w:color w:val="auto"/>
                <w:spacing w:val="-5"/>
              </w:rPr>
              <w:t>1，2-二氯丙烷</w:t>
            </w:r>
            <w:r>
              <w:rPr>
                <w:rFonts w:ascii="宋体" w:hAnsi="宋体"/>
                <w:color w:val="auto"/>
              </w:rPr>
              <w:t>（µg/kg）</w:t>
            </w:r>
          </w:p>
        </w:tc>
        <w:tc>
          <w:tcPr>
            <w:tcW w:w="614" w:type="pct"/>
            <w:vAlign w:val="center"/>
          </w:tcPr>
          <w:p w14:paraId="77889576">
            <w:pPr>
              <w:jc w:val="center"/>
              <w:rPr>
                <w:rFonts w:ascii="宋体" w:hAnsi="宋体"/>
                <w:color w:val="auto"/>
              </w:rPr>
            </w:pPr>
            <w:r>
              <w:rPr>
                <w:rFonts w:ascii="宋体" w:hAnsi="宋体"/>
                <w:color w:val="auto"/>
              </w:rPr>
              <w:t>ND</w:t>
            </w:r>
          </w:p>
        </w:tc>
        <w:tc>
          <w:tcPr>
            <w:tcW w:w="611" w:type="pct"/>
            <w:vAlign w:val="center"/>
          </w:tcPr>
          <w:p w14:paraId="21F380C5">
            <w:pPr>
              <w:jc w:val="center"/>
              <w:rPr>
                <w:rFonts w:ascii="宋体" w:hAnsi="宋体"/>
                <w:color w:val="auto"/>
              </w:rPr>
            </w:pPr>
            <w:r>
              <w:rPr>
                <w:rFonts w:ascii="宋体" w:hAnsi="宋体"/>
                <w:color w:val="auto"/>
              </w:rPr>
              <w:t>ND</w:t>
            </w:r>
          </w:p>
        </w:tc>
        <w:tc>
          <w:tcPr>
            <w:tcW w:w="611" w:type="pct"/>
            <w:vAlign w:val="center"/>
          </w:tcPr>
          <w:p w14:paraId="4073B15A">
            <w:pPr>
              <w:jc w:val="center"/>
              <w:rPr>
                <w:rFonts w:ascii="宋体" w:hAnsi="宋体"/>
                <w:color w:val="auto"/>
              </w:rPr>
            </w:pPr>
            <w:r>
              <w:rPr>
                <w:rFonts w:ascii="宋体" w:hAnsi="宋体"/>
                <w:color w:val="auto"/>
              </w:rPr>
              <w:t>ND</w:t>
            </w:r>
          </w:p>
        </w:tc>
        <w:tc>
          <w:tcPr>
            <w:tcW w:w="611" w:type="pct"/>
            <w:vAlign w:val="center"/>
          </w:tcPr>
          <w:p w14:paraId="6865143E">
            <w:pPr>
              <w:jc w:val="center"/>
              <w:rPr>
                <w:rFonts w:ascii="宋体" w:hAnsi="宋体"/>
                <w:color w:val="auto"/>
              </w:rPr>
            </w:pPr>
            <w:r>
              <w:rPr>
                <w:rFonts w:hint="eastAsia" w:ascii="宋体" w:hAnsi="宋体"/>
                <w:color w:val="auto"/>
              </w:rPr>
              <w:t>/</w:t>
            </w:r>
          </w:p>
        </w:tc>
        <w:tc>
          <w:tcPr>
            <w:tcW w:w="640" w:type="pct"/>
            <w:vAlign w:val="center"/>
          </w:tcPr>
          <w:p w14:paraId="482956FE">
            <w:pPr>
              <w:jc w:val="center"/>
              <w:rPr>
                <w:rFonts w:ascii="宋体" w:hAnsi="宋体"/>
                <w:color w:val="auto"/>
              </w:rPr>
            </w:pPr>
            <w:r>
              <w:rPr>
                <w:rFonts w:hint="eastAsia" w:ascii="宋体" w:hAnsi="宋体"/>
                <w:color w:val="auto"/>
              </w:rPr>
              <w:t>/</w:t>
            </w:r>
          </w:p>
        </w:tc>
        <w:tc>
          <w:tcPr>
            <w:tcW w:w="639" w:type="pct"/>
            <w:vAlign w:val="center"/>
          </w:tcPr>
          <w:p w14:paraId="3585D798">
            <w:pPr>
              <w:jc w:val="center"/>
              <w:rPr>
                <w:rFonts w:ascii="宋体" w:hAnsi="宋体"/>
                <w:color w:val="auto"/>
              </w:rPr>
            </w:pPr>
            <w:r>
              <w:rPr>
                <w:rFonts w:hint="eastAsia" w:ascii="宋体" w:hAnsi="宋体"/>
                <w:color w:val="auto"/>
              </w:rPr>
              <w:t>/</w:t>
            </w:r>
          </w:p>
        </w:tc>
        <w:tc>
          <w:tcPr>
            <w:tcW w:w="638" w:type="pct"/>
            <w:vAlign w:val="center"/>
          </w:tcPr>
          <w:p w14:paraId="42F74546">
            <w:pPr>
              <w:jc w:val="center"/>
              <w:rPr>
                <w:rFonts w:ascii="宋体" w:hAnsi="宋体"/>
                <w:color w:val="auto"/>
              </w:rPr>
            </w:pPr>
            <w:r>
              <w:rPr>
                <w:rFonts w:hint="eastAsia" w:ascii="宋体" w:hAnsi="宋体"/>
                <w:color w:val="auto"/>
              </w:rPr>
              <w:t>/</w:t>
            </w:r>
          </w:p>
        </w:tc>
      </w:tr>
      <w:tr w14:paraId="5FA43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1B25762D">
            <w:pPr>
              <w:pStyle w:val="76"/>
              <w:rPr>
                <w:rFonts w:hAnsi="宋体"/>
                <w:color w:val="auto"/>
                <w:spacing w:val="-5"/>
              </w:rPr>
            </w:pPr>
          </w:p>
        </w:tc>
        <w:tc>
          <w:tcPr>
            <w:tcW w:w="476" w:type="pct"/>
            <w:vAlign w:val="center"/>
          </w:tcPr>
          <w:p w14:paraId="55F2DAB2">
            <w:pPr>
              <w:spacing w:before="100" w:beforeAutospacing="1" w:after="100" w:afterAutospacing="1"/>
              <w:jc w:val="center"/>
              <w:rPr>
                <w:rFonts w:ascii="宋体" w:hAnsi="宋体"/>
                <w:color w:val="auto"/>
                <w:spacing w:val="-5"/>
              </w:rPr>
            </w:pPr>
            <w:r>
              <w:rPr>
                <w:rFonts w:ascii="宋体" w:hAnsi="宋体"/>
                <w:color w:val="auto"/>
                <w:spacing w:val="-5"/>
              </w:rPr>
              <w:t>1，1，1，2-四氯乙烷</w:t>
            </w:r>
            <w:r>
              <w:rPr>
                <w:rFonts w:ascii="宋体" w:hAnsi="宋体"/>
                <w:color w:val="auto"/>
              </w:rPr>
              <w:t>（µg/kg）</w:t>
            </w:r>
          </w:p>
        </w:tc>
        <w:tc>
          <w:tcPr>
            <w:tcW w:w="614" w:type="pct"/>
            <w:vAlign w:val="center"/>
          </w:tcPr>
          <w:p w14:paraId="68F52E85">
            <w:pPr>
              <w:jc w:val="center"/>
              <w:rPr>
                <w:rFonts w:ascii="宋体" w:hAnsi="宋体"/>
                <w:color w:val="auto"/>
              </w:rPr>
            </w:pPr>
            <w:r>
              <w:rPr>
                <w:rFonts w:ascii="宋体" w:hAnsi="宋体"/>
                <w:color w:val="auto"/>
              </w:rPr>
              <w:t>ND</w:t>
            </w:r>
          </w:p>
        </w:tc>
        <w:tc>
          <w:tcPr>
            <w:tcW w:w="611" w:type="pct"/>
            <w:vAlign w:val="center"/>
          </w:tcPr>
          <w:p w14:paraId="60B002F4">
            <w:pPr>
              <w:jc w:val="center"/>
              <w:rPr>
                <w:rFonts w:ascii="宋体" w:hAnsi="宋体"/>
                <w:color w:val="auto"/>
              </w:rPr>
            </w:pPr>
            <w:r>
              <w:rPr>
                <w:rFonts w:ascii="宋体" w:hAnsi="宋体"/>
                <w:color w:val="auto"/>
              </w:rPr>
              <w:t>ND</w:t>
            </w:r>
          </w:p>
        </w:tc>
        <w:tc>
          <w:tcPr>
            <w:tcW w:w="611" w:type="pct"/>
            <w:vAlign w:val="center"/>
          </w:tcPr>
          <w:p w14:paraId="6DE87791">
            <w:pPr>
              <w:jc w:val="center"/>
              <w:rPr>
                <w:rFonts w:ascii="宋体" w:hAnsi="宋体"/>
                <w:color w:val="auto"/>
              </w:rPr>
            </w:pPr>
            <w:r>
              <w:rPr>
                <w:rFonts w:ascii="宋体" w:hAnsi="宋体"/>
                <w:color w:val="auto"/>
              </w:rPr>
              <w:t>ND</w:t>
            </w:r>
          </w:p>
        </w:tc>
        <w:tc>
          <w:tcPr>
            <w:tcW w:w="611" w:type="pct"/>
            <w:vAlign w:val="center"/>
          </w:tcPr>
          <w:p w14:paraId="3A913B53">
            <w:pPr>
              <w:jc w:val="center"/>
              <w:rPr>
                <w:rFonts w:ascii="宋体" w:hAnsi="宋体"/>
                <w:color w:val="auto"/>
              </w:rPr>
            </w:pPr>
            <w:r>
              <w:rPr>
                <w:rFonts w:hint="eastAsia" w:ascii="宋体" w:hAnsi="宋体"/>
                <w:color w:val="auto"/>
              </w:rPr>
              <w:t>/</w:t>
            </w:r>
          </w:p>
        </w:tc>
        <w:tc>
          <w:tcPr>
            <w:tcW w:w="640" w:type="pct"/>
            <w:vAlign w:val="center"/>
          </w:tcPr>
          <w:p w14:paraId="2E6DFE44">
            <w:pPr>
              <w:jc w:val="center"/>
              <w:rPr>
                <w:rFonts w:ascii="宋体" w:hAnsi="宋体"/>
                <w:color w:val="auto"/>
              </w:rPr>
            </w:pPr>
            <w:r>
              <w:rPr>
                <w:rFonts w:hint="eastAsia" w:ascii="宋体" w:hAnsi="宋体"/>
                <w:color w:val="auto"/>
              </w:rPr>
              <w:t>/</w:t>
            </w:r>
          </w:p>
        </w:tc>
        <w:tc>
          <w:tcPr>
            <w:tcW w:w="639" w:type="pct"/>
            <w:vAlign w:val="center"/>
          </w:tcPr>
          <w:p w14:paraId="1FB120FC">
            <w:pPr>
              <w:jc w:val="center"/>
              <w:rPr>
                <w:rFonts w:ascii="宋体" w:hAnsi="宋体"/>
                <w:color w:val="auto"/>
              </w:rPr>
            </w:pPr>
            <w:r>
              <w:rPr>
                <w:rFonts w:hint="eastAsia" w:ascii="宋体" w:hAnsi="宋体"/>
                <w:color w:val="auto"/>
              </w:rPr>
              <w:t>/</w:t>
            </w:r>
          </w:p>
        </w:tc>
        <w:tc>
          <w:tcPr>
            <w:tcW w:w="638" w:type="pct"/>
            <w:vAlign w:val="center"/>
          </w:tcPr>
          <w:p w14:paraId="52B4B793">
            <w:pPr>
              <w:jc w:val="center"/>
              <w:rPr>
                <w:rFonts w:ascii="宋体" w:hAnsi="宋体"/>
                <w:color w:val="auto"/>
              </w:rPr>
            </w:pPr>
            <w:r>
              <w:rPr>
                <w:rFonts w:hint="eastAsia" w:ascii="宋体" w:hAnsi="宋体"/>
                <w:color w:val="auto"/>
              </w:rPr>
              <w:t>/</w:t>
            </w:r>
          </w:p>
        </w:tc>
      </w:tr>
      <w:tr w14:paraId="77B8A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522EC42E">
            <w:pPr>
              <w:pStyle w:val="76"/>
              <w:rPr>
                <w:rFonts w:hAnsi="宋体"/>
                <w:color w:val="auto"/>
                <w:spacing w:val="-5"/>
              </w:rPr>
            </w:pPr>
          </w:p>
        </w:tc>
        <w:tc>
          <w:tcPr>
            <w:tcW w:w="476" w:type="pct"/>
            <w:vAlign w:val="center"/>
          </w:tcPr>
          <w:p w14:paraId="69C60678">
            <w:pPr>
              <w:spacing w:before="100" w:beforeAutospacing="1" w:after="100" w:afterAutospacing="1"/>
              <w:jc w:val="center"/>
              <w:rPr>
                <w:rFonts w:ascii="宋体" w:hAnsi="宋体"/>
                <w:color w:val="auto"/>
                <w:spacing w:val="-5"/>
              </w:rPr>
            </w:pPr>
            <w:r>
              <w:rPr>
                <w:rFonts w:ascii="宋体" w:hAnsi="宋体"/>
                <w:color w:val="auto"/>
                <w:spacing w:val="-5"/>
              </w:rPr>
              <w:t>1，1，2，2-四氯乙烷</w:t>
            </w:r>
            <w:r>
              <w:rPr>
                <w:rFonts w:ascii="宋体" w:hAnsi="宋体"/>
                <w:color w:val="auto"/>
              </w:rPr>
              <w:t>（µg/kg）</w:t>
            </w:r>
          </w:p>
        </w:tc>
        <w:tc>
          <w:tcPr>
            <w:tcW w:w="614" w:type="pct"/>
            <w:vAlign w:val="center"/>
          </w:tcPr>
          <w:p w14:paraId="16FE48FE">
            <w:pPr>
              <w:jc w:val="center"/>
              <w:rPr>
                <w:rFonts w:ascii="宋体" w:hAnsi="宋体"/>
                <w:color w:val="auto"/>
              </w:rPr>
            </w:pPr>
            <w:r>
              <w:rPr>
                <w:rFonts w:ascii="宋体" w:hAnsi="宋体"/>
                <w:color w:val="auto"/>
              </w:rPr>
              <w:t>ND</w:t>
            </w:r>
          </w:p>
        </w:tc>
        <w:tc>
          <w:tcPr>
            <w:tcW w:w="611" w:type="pct"/>
            <w:vAlign w:val="center"/>
          </w:tcPr>
          <w:p w14:paraId="4D61F7C1">
            <w:pPr>
              <w:jc w:val="center"/>
              <w:rPr>
                <w:rFonts w:ascii="宋体" w:hAnsi="宋体"/>
                <w:color w:val="auto"/>
              </w:rPr>
            </w:pPr>
            <w:r>
              <w:rPr>
                <w:rFonts w:ascii="宋体" w:hAnsi="宋体"/>
                <w:color w:val="auto"/>
              </w:rPr>
              <w:t>ND</w:t>
            </w:r>
          </w:p>
        </w:tc>
        <w:tc>
          <w:tcPr>
            <w:tcW w:w="611" w:type="pct"/>
            <w:vAlign w:val="center"/>
          </w:tcPr>
          <w:p w14:paraId="1B62A82D">
            <w:pPr>
              <w:jc w:val="center"/>
              <w:rPr>
                <w:rFonts w:ascii="宋体" w:hAnsi="宋体"/>
                <w:color w:val="auto"/>
              </w:rPr>
            </w:pPr>
            <w:r>
              <w:rPr>
                <w:rFonts w:ascii="宋体" w:hAnsi="宋体"/>
                <w:color w:val="auto"/>
              </w:rPr>
              <w:t>ND</w:t>
            </w:r>
          </w:p>
        </w:tc>
        <w:tc>
          <w:tcPr>
            <w:tcW w:w="611" w:type="pct"/>
            <w:vAlign w:val="center"/>
          </w:tcPr>
          <w:p w14:paraId="44491E9E">
            <w:pPr>
              <w:jc w:val="center"/>
              <w:rPr>
                <w:rFonts w:ascii="宋体" w:hAnsi="宋体"/>
                <w:color w:val="auto"/>
              </w:rPr>
            </w:pPr>
            <w:r>
              <w:rPr>
                <w:rFonts w:hint="eastAsia" w:ascii="宋体" w:hAnsi="宋体"/>
                <w:color w:val="auto"/>
              </w:rPr>
              <w:t>/</w:t>
            </w:r>
          </w:p>
        </w:tc>
        <w:tc>
          <w:tcPr>
            <w:tcW w:w="640" w:type="pct"/>
            <w:vAlign w:val="center"/>
          </w:tcPr>
          <w:p w14:paraId="44B66A5F">
            <w:pPr>
              <w:jc w:val="center"/>
              <w:rPr>
                <w:rFonts w:ascii="宋体" w:hAnsi="宋体"/>
                <w:color w:val="auto"/>
              </w:rPr>
            </w:pPr>
            <w:r>
              <w:rPr>
                <w:rFonts w:hint="eastAsia" w:ascii="宋体" w:hAnsi="宋体"/>
                <w:color w:val="auto"/>
              </w:rPr>
              <w:t>/</w:t>
            </w:r>
          </w:p>
        </w:tc>
        <w:tc>
          <w:tcPr>
            <w:tcW w:w="639" w:type="pct"/>
            <w:vAlign w:val="center"/>
          </w:tcPr>
          <w:p w14:paraId="61593A19">
            <w:pPr>
              <w:jc w:val="center"/>
              <w:rPr>
                <w:rFonts w:ascii="宋体" w:hAnsi="宋体"/>
                <w:color w:val="auto"/>
              </w:rPr>
            </w:pPr>
            <w:r>
              <w:rPr>
                <w:rFonts w:hint="eastAsia" w:ascii="宋体" w:hAnsi="宋体"/>
                <w:color w:val="auto"/>
              </w:rPr>
              <w:t>/</w:t>
            </w:r>
          </w:p>
        </w:tc>
        <w:tc>
          <w:tcPr>
            <w:tcW w:w="638" w:type="pct"/>
            <w:vAlign w:val="center"/>
          </w:tcPr>
          <w:p w14:paraId="36FA75FD">
            <w:pPr>
              <w:jc w:val="center"/>
              <w:rPr>
                <w:rFonts w:ascii="宋体" w:hAnsi="宋体"/>
                <w:color w:val="auto"/>
              </w:rPr>
            </w:pPr>
            <w:r>
              <w:rPr>
                <w:rFonts w:hint="eastAsia" w:ascii="宋体" w:hAnsi="宋体"/>
                <w:color w:val="auto"/>
              </w:rPr>
              <w:t>/</w:t>
            </w:r>
          </w:p>
        </w:tc>
      </w:tr>
      <w:tr w14:paraId="208AB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030E2FA1">
            <w:pPr>
              <w:pStyle w:val="76"/>
              <w:rPr>
                <w:rFonts w:hAnsi="宋体"/>
                <w:color w:val="auto"/>
                <w:spacing w:val="-5"/>
              </w:rPr>
            </w:pPr>
          </w:p>
        </w:tc>
        <w:tc>
          <w:tcPr>
            <w:tcW w:w="476" w:type="pct"/>
            <w:vAlign w:val="center"/>
          </w:tcPr>
          <w:p w14:paraId="5778EDA8">
            <w:pPr>
              <w:spacing w:before="100" w:beforeAutospacing="1" w:after="100" w:afterAutospacing="1"/>
              <w:jc w:val="center"/>
              <w:rPr>
                <w:rFonts w:ascii="宋体" w:hAnsi="宋体"/>
                <w:color w:val="auto"/>
                <w:spacing w:val="-5"/>
              </w:rPr>
            </w:pPr>
            <w:r>
              <w:rPr>
                <w:rFonts w:ascii="宋体" w:hAnsi="宋体"/>
                <w:color w:val="auto"/>
                <w:spacing w:val="-5"/>
              </w:rPr>
              <w:t>四氯乙烯</w:t>
            </w:r>
            <w:r>
              <w:rPr>
                <w:rFonts w:ascii="宋体" w:hAnsi="宋体"/>
                <w:color w:val="auto"/>
              </w:rPr>
              <w:t>（µg/kg）</w:t>
            </w:r>
          </w:p>
        </w:tc>
        <w:tc>
          <w:tcPr>
            <w:tcW w:w="614" w:type="pct"/>
            <w:vAlign w:val="center"/>
          </w:tcPr>
          <w:p w14:paraId="0EBFFB07">
            <w:pPr>
              <w:jc w:val="center"/>
              <w:rPr>
                <w:rFonts w:ascii="宋体" w:hAnsi="宋体"/>
                <w:color w:val="auto"/>
              </w:rPr>
            </w:pPr>
            <w:r>
              <w:rPr>
                <w:rFonts w:ascii="宋体" w:hAnsi="宋体"/>
                <w:color w:val="auto"/>
              </w:rPr>
              <w:t>ND</w:t>
            </w:r>
          </w:p>
        </w:tc>
        <w:tc>
          <w:tcPr>
            <w:tcW w:w="611" w:type="pct"/>
            <w:vAlign w:val="center"/>
          </w:tcPr>
          <w:p w14:paraId="683552CE">
            <w:pPr>
              <w:jc w:val="center"/>
              <w:rPr>
                <w:rFonts w:ascii="宋体" w:hAnsi="宋体"/>
                <w:color w:val="auto"/>
              </w:rPr>
            </w:pPr>
            <w:r>
              <w:rPr>
                <w:rFonts w:ascii="宋体" w:hAnsi="宋体"/>
                <w:color w:val="auto"/>
              </w:rPr>
              <w:t>ND</w:t>
            </w:r>
          </w:p>
        </w:tc>
        <w:tc>
          <w:tcPr>
            <w:tcW w:w="611" w:type="pct"/>
            <w:vAlign w:val="center"/>
          </w:tcPr>
          <w:p w14:paraId="359BFF1A">
            <w:pPr>
              <w:jc w:val="center"/>
              <w:rPr>
                <w:rFonts w:ascii="宋体" w:hAnsi="宋体"/>
                <w:color w:val="auto"/>
              </w:rPr>
            </w:pPr>
            <w:r>
              <w:rPr>
                <w:rFonts w:ascii="宋体" w:hAnsi="宋体"/>
                <w:color w:val="auto"/>
              </w:rPr>
              <w:t>ND</w:t>
            </w:r>
          </w:p>
        </w:tc>
        <w:tc>
          <w:tcPr>
            <w:tcW w:w="611" w:type="pct"/>
            <w:vAlign w:val="center"/>
          </w:tcPr>
          <w:p w14:paraId="7DCEF089">
            <w:pPr>
              <w:jc w:val="center"/>
              <w:rPr>
                <w:rFonts w:ascii="宋体" w:hAnsi="宋体"/>
                <w:color w:val="auto"/>
              </w:rPr>
            </w:pPr>
            <w:r>
              <w:rPr>
                <w:rFonts w:hint="eastAsia" w:ascii="宋体" w:hAnsi="宋体"/>
                <w:color w:val="auto"/>
              </w:rPr>
              <w:t>/</w:t>
            </w:r>
          </w:p>
        </w:tc>
        <w:tc>
          <w:tcPr>
            <w:tcW w:w="640" w:type="pct"/>
            <w:vAlign w:val="center"/>
          </w:tcPr>
          <w:p w14:paraId="2F0C6A60">
            <w:pPr>
              <w:jc w:val="center"/>
              <w:rPr>
                <w:rFonts w:ascii="宋体" w:hAnsi="宋体"/>
                <w:color w:val="auto"/>
              </w:rPr>
            </w:pPr>
            <w:r>
              <w:rPr>
                <w:rFonts w:hint="eastAsia" w:ascii="宋体" w:hAnsi="宋体"/>
                <w:color w:val="auto"/>
              </w:rPr>
              <w:t>/</w:t>
            </w:r>
          </w:p>
        </w:tc>
        <w:tc>
          <w:tcPr>
            <w:tcW w:w="639" w:type="pct"/>
            <w:vAlign w:val="center"/>
          </w:tcPr>
          <w:p w14:paraId="497FD155">
            <w:pPr>
              <w:jc w:val="center"/>
              <w:rPr>
                <w:rFonts w:ascii="宋体" w:hAnsi="宋体"/>
                <w:color w:val="auto"/>
              </w:rPr>
            </w:pPr>
            <w:r>
              <w:rPr>
                <w:rFonts w:hint="eastAsia" w:ascii="宋体" w:hAnsi="宋体"/>
                <w:color w:val="auto"/>
              </w:rPr>
              <w:t>/</w:t>
            </w:r>
          </w:p>
        </w:tc>
        <w:tc>
          <w:tcPr>
            <w:tcW w:w="638" w:type="pct"/>
            <w:vAlign w:val="center"/>
          </w:tcPr>
          <w:p w14:paraId="19633CF8">
            <w:pPr>
              <w:jc w:val="center"/>
              <w:rPr>
                <w:rFonts w:ascii="宋体" w:hAnsi="宋体"/>
                <w:color w:val="auto"/>
              </w:rPr>
            </w:pPr>
            <w:r>
              <w:rPr>
                <w:rFonts w:hint="eastAsia" w:ascii="宋体" w:hAnsi="宋体"/>
                <w:color w:val="auto"/>
              </w:rPr>
              <w:t>/</w:t>
            </w:r>
          </w:p>
        </w:tc>
      </w:tr>
      <w:tr w14:paraId="5720D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4B079ECB">
            <w:pPr>
              <w:pStyle w:val="76"/>
              <w:rPr>
                <w:rFonts w:hAnsi="宋体"/>
                <w:color w:val="auto"/>
                <w:spacing w:val="-5"/>
              </w:rPr>
            </w:pPr>
          </w:p>
        </w:tc>
        <w:tc>
          <w:tcPr>
            <w:tcW w:w="476" w:type="pct"/>
            <w:vAlign w:val="center"/>
          </w:tcPr>
          <w:p w14:paraId="620357A9">
            <w:pPr>
              <w:spacing w:before="100" w:beforeAutospacing="1" w:after="100" w:afterAutospacing="1"/>
              <w:jc w:val="center"/>
              <w:rPr>
                <w:rFonts w:ascii="宋体" w:hAnsi="宋体"/>
                <w:color w:val="auto"/>
                <w:spacing w:val="-5"/>
              </w:rPr>
            </w:pPr>
            <w:r>
              <w:rPr>
                <w:rFonts w:ascii="宋体" w:hAnsi="宋体"/>
                <w:color w:val="auto"/>
                <w:spacing w:val="-5"/>
              </w:rPr>
              <w:t>1，1，1-三氯乙烷</w:t>
            </w:r>
            <w:r>
              <w:rPr>
                <w:rFonts w:ascii="宋体" w:hAnsi="宋体"/>
                <w:color w:val="auto"/>
              </w:rPr>
              <w:t>（µg/kg）</w:t>
            </w:r>
          </w:p>
        </w:tc>
        <w:tc>
          <w:tcPr>
            <w:tcW w:w="614" w:type="pct"/>
            <w:vAlign w:val="center"/>
          </w:tcPr>
          <w:p w14:paraId="0AFA8229">
            <w:pPr>
              <w:jc w:val="center"/>
              <w:rPr>
                <w:rFonts w:ascii="宋体" w:hAnsi="宋体"/>
                <w:color w:val="auto"/>
              </w:rPr>
            </w:pPr>
            <w:r>
              <w:rPr>
                <w:rFonts w:ascii="宋体" w:hAnsi="宋体"/>
                <w:color w:val="auto"/>
              </w:rPr>
              <w:t>ND</w:t>
            </w:r>
          </w:p>
        </w:tc>
        <w:tc>
          <w:tcPr>
            <w:tcW w:w="611" w:type="pct"/>
            <w:vAlign w:val="center"/>
          </w:tcPr>
          <w:p w14:paraId="378D1364">
            <w:pPr>
              <w:jc w:val="center"/>
              <w:rPr>
                <w:rFonts w:ascii="宋体" w:hAnsi="宋体"/>
                <w:color w:val="auto"/>
              </w:rPr>
            </w:pPr>
            <w:r>
              <w:rPr>
                <w:rFonts w:ascii="宋体" w:hAnsi="宋体"/>
                <w:color w:val="auto"/>
              </w:rPr>
              <w:t>ND</w:t>
            </w:r>
          </w:p>
        </w:tc>
        <w:tc>
          <w:tcPr>
            <w:tcW w:w="611" w:type="pct"/>
            <w:vAlign w:val="center"/>
          </w:tcPr>
          <w:p w14:paraId="3F2DA261">
            <w:pPr>
              <w:jc w:val="center"/>
              <w:rPr>
                <w:rFonts w:ascii="宋体" w:hAnsi="宋体"/>
                <w:color w:val="auto"/>
              </w:rPr>
            </w:pPr>
            <w:r>
              <w:rPr>
                <w:rFonts w:ascii="宋体" w:hAnsi="宋体"/>
                <w:color w:val="auto"/>
              </w:rPr>
              <w:t>ND</w:t>
            </w:r>
          </w:p>
        </w:tc>
        <w:tc>
          <w:tcPr>
            <w:tcW w:w="611" w:type="pct"/>
            <w:vAlign w:val="center"/>
          </w:tcPr>
          <w:p w14:paraId="278EA1B4">
            <w:pPr>
              <w:jc w:val="center"/>
              <w:rPr>
                <w:rFonts w:ascii="宋体" w:hAnsi="宋体"/>
                <w:color w:val="auto"/>
              </w:rPr>
            </w:pPr>
            <w:r>
              <w:rPr>
                <w:rFonts w:hint="eastAsia" w:ascii="宋体" w:hAnsi="宋体"/>
                <w:color w:val="auto"/>
              </w:rPr>
              <w:t>/</w:t>
            </w:r>
          </w:p>
        </w:tc>
        <w:tc>
          <w:tcPr>
            <w:tcW w:w="640" w:type="pct"/>
            <w:vAlign w:val="center"/>
          </w:tcPr>
          <w:p w14:paraId="3C84EA66">
            <w:pPr>
              <w:jc w:val="center"/>
              <w:rPr>
                <w:rFonts w:ascii="宋体" w:hAnsi="宋体"/>
                <w:color w:val="auto"/>
              </w:rPr>
            </w:pPr>
            <w:r>
              <w:rPr>
                <w:rFonts w:hint="eastAsia" w:ascii="宋体" w:hAnsi="宋体"/>
                <w:color w:val="auto"/>
              </w:rPr>
              <w:t>/</w:t>
            </w:r>
          </w:p>
        </w:tc>
        <w:tc>
          <w:tcPr>
            <w:tcW w:w="639" w:type="pct"/>
            <w:vAlign w:val="center"/>
          </w:tcPr>
          <w:p w14:paraId="3CD80610">
            <w:pPr>
              <w:jc w:val="center"/>
              <w:rPr>
                <w:rFonts w:ascii="宋体" w:hAnsi="宋体"/>
                <w:color w:val="auto"/>
              </w:rPr>
            </w:pPr>
            <w:r>
              <w:rPr>
                <w:rFonts w:hint="eastAsia" w:ascii="宋体" w:hAnsi="宋体"/>
                <w:color w:val="auto"/>
              </w:rPr>
              <w:t>/</w:t>
            </w:r>
          </w:p>
        </w:tc>
        <w:tc>
          <w:tcPr>
            <w:tcW w:w="638" w:type="pct"/>
            <w:vAlign w:val="center"/>
          </w:tcPr>
          <w:p w14:paraId="27A5C7F5">
            <w:pPr>
              <w:jc w:val="center"/>
              <w:rPr>
                <w:rFonts w:ascii="宋体" w:hAnsi="宋体"/>
                <w:color w:val="auto"/>
              </w:rPr>
            </w:pPr>
            <w:r>
              <w:rPr>
                <w:rFonts w:hint="eastAsia" w:ascii="宋体" w:hAnsi="宋体"/>
                <w:color w:val="auto"/>
              </w:rPr>
              <w:t>/</w:t>
            </w:r>
          </w:p>
        </w:tc>
      </w:tr>
      <w:tr w14:paraId="24C44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1E3F8502">
            <w:pPr>
              <w:pStyle w:val="76"/>
              <w:rPr>
                <w:rFonts w:hAnsi="宋体"/>
                <w:color w:val="auto"/>
                <w:spacing w:val="-5"/>
              </w:rPr>
            </w:pPr>
          </w:p>
        </w:tc>
        <w:tc>
          <w:tcPr>
            <w:tcW w:w="476" w:type="pct"/>
            <w:vAlign w:val="center"/>
          </w:tcPr>
          <w:p w14:paraId="77B31A0B">
            <w:pPr>
              <w:spacing w:before="100" w:beforeAutospacing="1" w:after="100" w:afterAutospacing="1"/>
              <w:jc w:val="center"/>
              <w:rPr>
                <w:rFonts w:ascii="宋体" w:hAnsi="宋体"/>
                <w:color w:val="auto"/>
                <w:spacing w:val="-5"/>
              </w:rPr>
            </w:pPr>
            <w:r>
              <w:rPr>
                <w:rFonts w:ascii="宋体" w:hAnsi="宋体"/>
                <w:color w:val="auto"/>
                <w:spacing w:val="-5"/>
              </w:rPr>
              <w:t>1，1，2-三氯乙烷</w:t>
            </w:r>
            <w:r>
              <w:rPr>
                <w:rFonts w:ascii="宋体" w:hAnsi="宋体"/>
                <w:color w:val="auto"/>
              </w:rPr>
              <w:t>（µg/kg）</w:t>
            </w:r>
          </w:p>
        </w:tc>
        <w:tc>
          <w:tcPr>
            <w:tcW w:w="614" w:type="pct"/>
            <w:vAlign w:val="center"/>
          </w:tcPr>
          <w:p w14:paraId="3B975A22">
            <w:pPr>
              <w:jc w:val="center"/>
              <w:rPr>
                <w:rFonts w:ascii="宋体" w:hAnsi="宋体"/>
                <w:color w:val="auto"/>
              </w:rPr>
            </w:pPr>
            <w:r>
              <w:rPr>
                <w:rFonts w:ascii="宋体" w:hAnsi="宋体"/>
                <w:color w:val="auto"/>
              </w:rPr>
              <w:t>ND</w:t>
            </w:r>
          </w:p>
        </w:tc>
        <w:tc>
          <w:tcPr>
            <w:tcW w:w="611" w:type="pct"/>
            <w:vAlign w:val="center"/>
          </w:tcPr>
          <w:p w14:paraId="696C5631">
            <w:pPr>
              <w:jc w:val="center"/>
              <w:rPr>
                <w:rFonts w:ascii="宋体" w:hAnsi="宋体"/>
                <w:color w:val="auto"/>
              </w:rPr>
            </w:pPr>
            <w:r>
              <w:rPr>
                <w:rFonts w:ascii="宋体" w:hAnsi="宋体"/>
                <w:color w:val="auto"/>
              </w:rPr>
              <w:t>ND</w:t>
            </w:r>
          </w:p>
        </w:tc>
        <w:tc>
          <w:tcPr>
            <w:tcW w:w="611" w:type="pct"/>
            <w:vAlign w:val="center"/>
          </w:tcPr>
          <w:p w14:paraId="0D91D0CE">
            <w:pPr>
              <w:jc w:val="center"/>
              <w:rPr>
                <w:rFonts w:ascii="宋体" w:hAnsi="宋体"/>
                <w:color w:val="auto"/>
              </w:rPr>
            </w:pPr>
            <w:r>
              <w:rPr>
                <w:rFonts w:ascii="宋体" w:hAnsi="宋体"/>
                <w:color w:val="auto"/>
              </w:rPr>
              <w:t>ND</w:t>
            </w:r>
          </w:p>
        </w:tc>
        <w:tc>
          <w:tcPr>
            <w:tcW w:w="611" w:type="pct"/>
            <w:vAlign w:val="center"/>
          </w:tcPr>
          <w:p w14:paraId="050FCCAC">
            <w:pPr>
              <w:jc w:val="center"/>
              <w:rPr>
                <w:rFonts w:ascii="宋体" w:hAnsi="宋体"/>
                <w:color w:val="auto"/>
              </w:rPr>
            </w:pPr>
            <w:r>
              <w:rPr>
                <w:rFonts w:hint="eastAsia" w:ascii="宋体" w:hAnsi="宋体"/>
                <w:color w:val="auto"/>
              </w:rPr>
              <w:t>/</w:t>
            </w:r>
          </w:p>
        </w:tc>
        <w:tc>
          <w:tcPr>
            <w:tcW w:w="640" w:type="pct"/>
            <w:vAlign w:val="center"/>
          </w:tcPr>
          <w:p w14:paraId="6D74C0B8">
            <w:pPr>
              <w:jc w:val="center"/>
              <w:rPr>
                <w:rFonts w:ascii="宋体" w:hAnsi="宋体"/>
                <w:color w:val="auto"/>
              </w:rPr>
            </w:pPr>
            <w:r>
              <w:rPr>
                <w:rFonts w:hint="eastAsia" w:ascii="宋体" w:hAnsi="宋体"/>
                <w:color w:val="auto"/>
              </w:rPr>
              <w:t>/</w:t>
            </w:r>
          </w:p>
        </w:tc>
        <w:tc>
          <w:tcPr>
            <w:tcW w:w="639" w:type="pct"/>
            <w:vAlign w:val="center"/>
          </w:tcPr>
          <w:p w14:paraId="2D8F4FB1">
            <w:pPr>
              <w:jc w:val="center"/>
              <w:rPr>
                <w:rFonts w:ascii="宋体" w:hAnsi="宋体"/>
                <w:color w:val="auto"/>
              </w:rPr>
            </w:pPr>
            <w:r>
              <w:rPr>
                <w:rFonts w:hint="eastAsia" w:ascii="宋体" w:hAnsi="宋体"/>
                <w:color w:val="auto"/>
              </w:rPr>
              <w:t>/</w:t>
            </w:r>
          </w:p>
        </w:tc>
        <w:tc>
          <w:tcPr>
            <w:tcW w:w="638" w:type="pct"/>
            <w:vAlign w:val="center"/>
          </w:tcPr>
          <w:p w14:paraId="15CFBCBF">
            <w:pPr>
              <w:jc w:val="center"/>
              <w:rPr>
                <w:rFonts w:ascii="宋体" w:hAnsi="宋体"/>
                <w:color w:val="auto"/>
              </w:rPr>
            </w:pPr>
            <w:r>
              <w:rPr>
                <w:rFonts w:hint="eastAsia" w:ascii="宋体" w:hAnsi="宋体"/>
                <w:color w:val="auto"/>
              </w:rPr>
              <w:t>/</w:t>
            </w:r>
          </w:p>
        </w:tc>
      </w:tr>
      <w:tr w14:paraId="14734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0BCE7256">
            <w:pPr>
              <w:pStyle w:val="76"/>
              <w:rPr>
                <w:rFonts w:hAnsi="宋体"/>
                <w:color w:val="auto"/>
                <w:spacing w:val="-5"/>
              </w:rPr>
            </w:pPr>
          </w:p>
        </w:tc>
        <w:tc>
          <w:tcPr>
            <w:tcW w:w="476" w:type="pct"/>
            <w:vAlign w:val="center"/>
          </w:tcPr>
          <w:p w14:paraId="5A1525DE">
            <w:pPr>
              <w:spacing w:before="100" w:beforeAutospacing="1" w:after="100" w:afterAutospacing="1"/>
              <w:jc w:val="center"/>
              <w:rPr>
                <w:rFonts w:ascii="宋体" w:hAnsi="宋体"/>
                <w:color w:val="auto"/>
                <w:spacing w:val="-5"/>
              </w:rPr>
            </w:pPr>
            <w:r>
              <w:rPr>
                <w:rFonts w:ascii="宋体" w:hAnsi="宋体"/>
                <w:color w:val="auto"/>
                <w:spacing w:val="-5"/>
              </w:rPr>
              <w:t>三氯乙烯</w:t>
            </w:r>
            <w:r>
              <w:rPr>
                <w:rFonts w:ascii="宋体" w:hAnsi="宋体"/>
                <w:color w:val="auto"/>
              </w:rPr>
              <w:t>（µg/kg）</w:t>
            </w:r>
          </w:p>
        </w:tc>
        <w:tc>
          <w:tcPr>
            <w:tcW w:w="614" w:type="pct"/>
            <w:vAlign w:val="center"/>
          </w:tcPr>
          <w:p w14:paraId="268ED919">
            <w:pPr>
              <w:jc w:val="center"/>
              <w:rPr>
                <w:rFonts w:ascii="宋体" w:hAnsi="宋体"/>
                <w:color w:val="auto"/>
              </w:rPr>
            </w:pPr>
            <w:r>
              <w:rPr>
                <w:rFonts w:ascii="宋体" w:hAnsi="宋体"/>
                <w:color w:val="auto"/>
              </w:rPr>
              <w:t>ND</w:t>
            </w:r>
          </w:p>
        </w:tc>
        <w:tc>
          <w:tcPr>
            <w:tcW w:w="611" w:type="pct"/>
            <w:vAlign w:val="center"/>
          </w:tcPr>
          <w:p w14:paraId="0C72ED8A">
            <w:pPr>
              <w:jc w:val="center"/>
              <w:rPr>
                <w:rFonts w:ascii="宋体" w:hAnsi="宋体"/>
                <w:color w:val="auto"/>
              </w:rPr>
            </w:pPr>
            <w:r>
              <w:rPr>
                <w:rFonts w:ascii="宋体" w:hAnsi="宋体"/>
                <w:color w:val="auto"/>
              </w:rPr>
              <w:t>ND</w:t>
            </w:r>
          </w:p>
        </w:tc>
        <w:tc>
          <w:tcPr>
            <w:tcW w:w="611" w:type="pct"/>
            <w:vAlign w:val="center"/>
          </w:tcPr>
          <w:p w14:paraId="61809D84">
            <w:pPr>
              <w:jc w:val="center"/>
              <w:rPr>
                <w:rFonts w:ascii="宋体" w:hAnsi="宋体"/>
                <w:color w:val="auto"/>
              </w:rPr>
            </w:pPr>
            <w:r>
              <w:rPr>
                <w:rFonts w:ascii="宋体" w:hAnsi="宋体"/>
                <w:color w:val="auto"/>
              </w:rPr>
              <w:t>ND</w:t>
            </w:r>
          </w:p>
        </w:tc>
        <w:tc>
          <w:tcPr>
            <w:tcW w:w="611" w:type="pct"/>
            <w:vAlign w:val="center"/>
          </w:tcPr>
          <w:p w14:paraId="09053156">
            <w:pPr>
              <w:jc w:val="center"/>
              <w:rPr>
                <w:rFonts w:ascii="宋体" w:hAnsi="宋体"/>
                <w:color w:val="auto"/>
              </w:rPr>
            </w:pPr>
            <w:r>
              <w:rPr>
                <w:rFonts w:hint="eastAsia" w:ascii="宋体" w:hAnsi="宋体"/>
                <w:color w:val="auto"/>
              </w:rPr>
              <w:t>/</w:t>
            </w:r>
          </w:p>
        </w:tc>
        <w:tc>
          <w:tcPr>
            <w:tcW w:w="640" w:type="pct"/>
            <w:vAlign w:val="center"/>
          </w:tcPr>
          <w:p w14:paraId="0257F434">
            <w:pPr>
              <w:jc w:val="center"/>
              <w:rPr>
                <w:rFonts w:ascii="宋体" w:hAnsi="宋体"/>
                <w:color w:val="auto"/>
              </w:rPr>
            </w:pPr>
            <w:r>
              <w:rPr>
                <w:rFonts w:hint="eastAsia" w:ascii="宋体" w:hAnsi="宋体"/>
                <w:color w:val="auto"/>
              </w:rPr>
              <w:t>/</w:t>
            </w:r>
          </w:p>
        </w:tc>
        <w:tc>
          <w:tcPr>
            <w:tcW w:w="639" w:type="pct"/>
            <w:vAlign w:val="center"/>
          </w:tcPr>
          <w:p w14:paraId="51FF02AB">
            <w:pPr>
              <w:jc w:val="center"/>
              <w:rPr>
                <w:rFonts w:ascii="宋体" w:hAnsi="宋体"/>
                <w:color w:val="auto"/>
              </w:rPr>
            </w:pPr>
            <w:r>
              <w:rPr>
                <w:rFonts w:hint="eastAsia" w:ascii="宋体" w:hAnsi="宋体"/>
                <w:color w:val="auto"/>
              </w:rPr>
              <w:t>/</w:t>
            </w:r>
          </w:p>
        </w:tc>
        <w:tc>
          <w:tcPr>
            <w:tcW w:w="638" w:type="pct"/>
            <w:vAlign w:val="center"/>
          </w:tcPr>
          <w:p w14:paraId="5C47DB88">
            <w:pPr>
              <w:jc w:val="center"/>
              <w:rPr>
                <w:rFonts w:ascii="宋体" w:hAnsi="宋体"/>
                <w:color w:val="auto"/>
              </w:rPr>
            </w:pPr>
            <w:r>
              <w:rPr>
                <w:rFonts w:hint="eastAsia" w:ascii="宋体" w:hAnsi="宋体"/>
                <w:color w:val="auto"/>
              </w:rPr>
              <w:t>/</w:t>
            </w:r>
          </w:p>
        </w:tc>
      </w:tr>
      <w:tr w14:paraId="22519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44D6A795">
            <w:pPr>
              <w:pStyle w:val="76"/>
              <w:rPr>
                <w:rFonts w:hAnsi="宋体"/>
                <w:color w:val="auto"/>
                <w:spacing w:val="-5"/>
              </w:rPr>
            </w:pPr>
          </w:p>
        </w:tc>
        <w:tc>
          <w:tcPr>
            <w:tcW w:w="476" w:type="pct"/>
            <w:vAlign w:val="center"/>
          </w:tcPr>
          <w:p w14:paraId="0AAC6658">
            <w:pPr>
              <w:spacing w:before="100" w:beforeAutospacing="1" w:after="100" w:afterAutospacing="1"/>
              <w:jc w:val="center"/>
              <w:rPr>
                <w:rFonts w:ascii="宋体" w:hAnsi="宋体"/>
                <w:color w:val="auto"/>
                <w:spacing w:val="-5"/>
              </w:rPr>
            </w:pPr>
            <w:r>
              <w:rPr>
                <w:rFonts w:ascii="宋体" w:hAnsi="宋体"/>
                <w:color w:val="auto"/>
                <w:spacing w:val="-5"/>
              </w:rPr>
              <w:t>1，2，3-三氯丙烷</w:t>
            </w:r>
            <w:r>
              <w:rPr>
                <w:rFonts w:ascii="宋体" w:hAnsi="宋体"/>
                <w:color w:val="auto"/>
              </w:rPr>
              <w:t>（µg/kg）</w:t>
            </w:r>
          </w:p>
        </w:tc>
        <w:tc>
          <w:tcPr>
            <w:tcW w:w="614" w:type="pct"/>
            <w:vAlign w:val="center"/>
          </w:tcPr>
          <w:p w14:paraId="6F735DEA">
            <w:pPr>
              <w:jc w:val="center"/>
              <w:rPr>
                <w:rFonts w:ascii="宋体" w:hAnsi="宋体"/>
                <w:color w:val="auto"/>
              </w:rPr>
            </w:pPr>
            <w:r>
              <w:rPr>
                <w:rFonts w:ascii="宋体" w:hAnsi="宋体"/>
                <w:color w:val="auto"/>
              </w:rPr>
              <w:t>ND</w:t>
            </w:r>
          </w:p>
        </w:tc>
        <w:tc>
          <w:tcPr>
            <w:tcW w:w="611" w:type="pct"/>
            <w:vAlign w:val="center"/>
          </w:tcPr>
          <w:p w14:paraId="10F03D46">
            <w:pPr>
              <w:jc w:val="center"/>
              <w:rPr>
                <w:rFonts w:ascii="宋体" w:hAnsi="宋体"/>
                <w:color w:val="auto"/>
              </w:rPr>
            </w:pPr>
            <w:r>
              <w:rPr>
                <w:rFonts w:ascii="宋体" w:hAnsi="宋体"/>
                <w:color w:val="auto"/>
              </w:rPr>
              <w:t>ND</w:t>
            </w:r>
          </w:p>
        </w:tc>
        <w:tc>
          <w:tcPr>
            <w:tcW w:w="611" w:type="pct"/>
            <w:vAlign w:val="center"/>
          </w:tcPr>
          <w:p w14:paraId="40AAB0E0">
            <w:pPr>
              <w:jc w:val="center"/>
              <w:rPr>
                <w:rFonts w:ascii="宋体" w:hAnsi="宋体"/>
                <w:color w:val="auto"/>
              </w:rPr>
            </w:pPr>
            <w:r>
              <w:rPr>
                <w:rFonts w:ascii="宋体" w:hAnsi="宋体"/>
                <w:color w:val="auto"/>
              </w:rPr>
              <w:t>ND</w:t>
            </w:r>
          </w:p>
        </w:tc>
        <w:tc>
          <w:tcPr>
            <w:tcW w:w="611" w:type="pct"/>
            <w:vAlign w:val="center"/>
          </w:tcPr>
          <w:p w14:paraId="15D8D795">
            <w:pPr>
              <w:jc w:val="center"/>
              <w:rPr>
                <w:rFonts w:ascii="宋体" w:hAnsi="宋体"/>
                <w:color w:val="auto"/>
              </w:rPr>
            </w:pPr>
            <w:r>
              <w:rPr>
                <w:rFonts w:hint="eastAsia" w:ascii="宋体" w:hAnsi="宋体"/>
                <w:color w:val="auto"/>
              </w:rPr>
              <w:t>/</w:t>
            </w:r>
          </w:p>
        </w:tc>
        <w:tc>
          <w:tcPr>
            <w:tcW w:w="640" w:type="pct"/>
            <w:vAlign w:val="center"/>
          </w:tcPr>
          <w:p w14:paraId="6669EADE">
            <w:pPr>
              <w:jc w:val="center"/>
              <w:rPr>
                <w:rFonts w:ascii="宋体" w:hAnsi="宋体"/>
                <w:color w:val="auto"/>
              </w:rPr>
            </w:pPr>
            <w:r>
              <w:rPr>
                <w:rFonts w:hint="eastAsia" w:ascii="宋体" w:hAnsi="宋体"/>
                <w:color w:val="auto"/>
              </w:rPr>
              <w:t>/</w:t>
            </w:r>
          </w:p>
        </w:tc>
        <w:tc>
          <w:tcPr>
            <w:tcW w:w="639" w:type="pct"/>
            <w:vAlign w:val="center"/>
          </w:tcPr>
          <w:p w14:paraId="11ED941B">
            <w:pPr>
              <w:jc w:val="center"/>
              <w:rPr>
                <w:rFonts w:ascii="宋体" w:hAnsi="宋体"/>
                <w:color w:val="auto"/>
              </w:rPr>
            </w:pPr>
            <w:r>
              <w:rPr>
                <w:rFonts w:hint="eastAsia" w:ascii="宋体" w:hAnsi="宋体"/>
                <w:color w:val="auto"/>
              </w:rPr>
              <w:t>/</w:t>
            </w:r>
          </w:p>
        </w:tc>
        <w:tc>
          <w:tcPr>
            <w:tcW w:w="638" w:type="pct"/>
            <w:vAlign w:val="center"/>
          </w:tcPr>
          <w:p w14:paraId="0EB1002D">
            <w:pPr>
              <w:jc w:val="center"/>
              <w:rPr>
                <w:rFonts w:ascii="宋体" w:hAnsi="宋体"/>
                <w:color w:val="auto"/>
              </w:rPr>
            </w:pPr>
            <w:r>
              <w:rPr>
                <w:rFonts w:hint="eastAsia" w:ascii="宋体" w:hAnsi="宋体"/>
                <w:color w:val="auto"/>
              </w:rPr>
              <w:t>/</w:t>
            </w:r>
          </w:p>
        </w:tc>
      </w:tr>
      <w:tr w14:paraId="41E63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67E6E18F">
            <w:pPr>
              <w:pStyle w:val="76"/>
              <w:rPr>
                <w:rFonts w:hAnsi="宋体"/>
                <w:color w:val="auto"/>
                <w:spacing w:val="-5"/>
              </w:rPr>
            </w:pPr>
          </w:p>
        </w:tc>
        <w:tc>
          <w:tcPr>
            <w:tcW w:w="476" w:type="pct"/>
            <w:vAlign w:val="center"/>
          </w:tcPr>
          <w:p w14:paraId="3BD80D4C">
            <w:pPr>
              <w:spacing w:before="100" w:beforeAutospacing="1" w:after="100" w:afterAutospacing="1"/>
              <w:jc w:val="center"/>
              <w:rPr>
                <w:rFonts w:ascii="宋体" w:hAnsi="宋体"/>
                <w:color w:val="auto"/>
                <w:spacing w:val="-5"/>
              </w:rPr>
            </w:pPr>
            <w:r>
              <w:rPr>
                <w:rFonts w:ascii="宋体" w:hAnsi="宋体"/>
                <w:color w:val="auto"/>
                <w:spacing w:val="-5"/>
              </w:rPr>
              <w:t>氯乙烯</w:t>
            </w:r>
            <w:r>
              <w:rPr>
                <w:rFonts w:ascii="宋体" w:hAnsi="宋体"/>
                <w:color w:val="auto"/>
              </w:rPr>
              <w:t>（µg/kg）</w:t>
            </w:r>
          </w:p>
        </w:tc>
        <w:tc>
          <w:tcPr>
            <w:tcW w:w="614" w:type="pct"/>
            <w:vAlign w:val="center"/>
          </w:tcPr>
          <w:p w14:paraId="24CEFBDF">
            <w:pPr>
              <w:jc w:val="center"/>
              <w:rPr>
                <w:rFonts w:ascii="宋体" w:hAnsi="宋体"/>
                <w:color w:val="auto"/>
              </w:rPr>
            </w:pPr>
            <w:r>
              <w:rPr>
                <w:rFonts w:ascii="宋体" w:hAnsi="宋体"/>
                <w:color w:val="auto"/>
              </w:rPr>
              <w:t>ND</w:t>
            </w:r>
          </w:p>
        </w:tc>
        <w:tc>
          <w:tcPr>
            <w:tcW w:w="611" w:type="pct"/>
            <w:vAlign w:val="center"/>
          </w:tcPr>
          <w:p w14:paraId="61CC64B9">
            <w:pPr>
              <w:jc w:val="center"/>
              <w:rPr>
                <w:rFonts w:ascii="宋体" w:hAnsi="宋体"/>
                <w:color w:val="auto"/>
              </w:rPr>
            </w:pPr>
            <w:r>
              <w:rPr>
                <w:rFonts w:ascii="宋体" w:hAnsi="宋体"/>
                <w:color w:val="auto"/>
              </w:rPr>
              <w:t>ND</w:t>
            </w:r>
          </w:p>
        </w:tc>
        <w:tc>
          <w:tcPr>
            <w:tcW w:w="611" w:type="pct"/>
            <w:vAlign w:val="center"/>
          </w:tcPr>
          <w:p w14:paraId="1224A609">
            <w:pPr>
              <w:jc w:val="center"/>
              <w:rPr>
                <w:rFonts w:ascii="宋体" w:hAnsi="宋体"/>
                <w:color w:val="auto"/>
              </w:rPr>
            </w:pPr>
            <w:r>
              <w:rPr>
                <w:rFonts w:ascii="宋体" w:hAnsi="宋体"/>
                <w:color w:val="auto"/>
              </w:rPr>
              <w:t>ND</w:t>
            </w:r>
          </w:p>
        </w:tc>
        <w:tc>
          <w:tcPr>
            <w:tcW w:w="611" w:type="pct"/>
            <w:vAlign w:val="center"/>
          </w:tcPr>
          <w:p w14:paraId="1B7CD7B3">
            <w:pPr>
              <w:jc w:val="center"/>
              <w:rPr>
                <w:rFonts w:ascii="宋体" w:hAnsi="宋体"/>
                <w:color w:val="auto"/>
              </w:rPr>
            </w:pPr>
            <w:r>
              <w:rPr>
                <w:rFonts w:hint="eastAsia" w:ascii="宋体" w:hAnsi="宋体"/>
                <w:color w:val="auto"/>
              </w:rPr>
              <w:t>/</w:t>
            </w:r>
          </w:p>
        </w:tc>
        <w:tc>
          <w:tcPr>
            <w:tcW w:w="640" w:type="pct"/>
            <w:vAlign w:val="center"/>
          </w:tcPr>
          <w:p w14:paraId="31171639">
            <w:pPr>
              <w:jc w:val="center"/>
              <w:rPr>
                <w:rFonts w:ascii="宋体" w:hAnsi="宋体"/>
                <w:color w:val="auto"/>
              </w:rPr>
            </w:pPr>
            <w:r>
              <w:rPr>
                <w:rFonts w:hint="eastAsia" w:ascii="宋体" w:hAnsi="宋体"/>
                <w:color w:val="auto"/>
              </w:rPr>
              <w:t>/</w:t>
            </w:r>
          </w:p>
        </w:tc>
        <w:tc>
          <w:tcPr>
            <w:tcW w:w="639" w:type="pct"/>
            <w:vAlign w:val="center"/>
          </w:tcPr>
          <w:p w14:paraId="4BDE8CDA">
            <w:pPr>
              <w:jc w:val="center"/>
              <w:rPr>
                <w:rFonts w:ascii="宋体" w:hAnsi="宋体"/>
                <w:color w:val="auto"/>
              </w:rPr>
            </w:pPr>
            <w:r>
              <w:rPr>
                <w:rFonts w:hint="eastAsia" w:ascii="宋体" w:hAnsi="宋体"/>
                <w:color w:val="auto"/>
              </w:rPr>
              <w:t>/</w:t>
            </w:r>
          </w:p>
        </w:tc>
        <w:tc>
          <w:tcPr>
            <w:tcW w:w="638" w:type="pct"/>
            <w:vAlign w:val="center"/>
          </w:tcPr>
          <w:p w14:paraId="0AFECBD0">
            <w:pPr>
              <w:jc w:val="center"/>
              <w:rPr>
                <w:rFonts w:ascii="宋体" w:hAnsi="宋体"/>
                <w:color w:val="auto"/>
              </w:rPr>
            </w:pPr>
            <w:r>
              <w:rPr>
                <w:rFonts w:hint="eastAsia" w:ascii="宋体" w:hAnsi="宋体"/>
                <w:color w:val="auto"/>
              </w:rPr>
              <w:t>/</w:t>
            </w:r>
          </w:p>
        </w:tc>
      </w:tr>
      <w:tr w14:paraId="0E56F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1931363A">
            <w:pPr>
              <w:pStyle w:val="76"/>
              <w:rPr>
                <w:rFonts w:hAnsi="宋体"/>
                <w:color w:val="auto"/>
                <w:spacing w:val="-5"/>
              </w:rPr>
            </w:pPr>
          </w:p>
        </w:tc>
        <w:tc>
          <w:tcPr>
            <w:tcW w:w="476" w:type="pct"/>
            <w:vAlign w:val="center"/>
          </w:tcPr>
          <w:p w14:paraId="1EC5B378">
            <w:pPr>
              <w:spacing w:before="100" w:beforeAutospacing="1" w:after="100" w:afterAutospacing="1"/>
              <w:jc w:val="center"/>
              <w:rPr>
                <w:rFonts w:ascii="宋体" w:hAnsi="宋体"/>
                <w:color w:val="auto"/>
                <w:spacing w:val="-5"/>
              </w:rPr>
            </w:pPr>
            <w:r>
              <w:rPr>
                <w:rFonts w:ascii="宋体" w:hAnsi="宋体"/>
                <w:color w:val="auto"/>
                <w:spacing w:val="-5"/>
              </w:rPr>
              <w:t>苯</w:t>
            </w:r>
            <w:r>
              <w:rPr>
                <w:rFonts w:ascii="宋体" w:hAnsi="宋体"/>
                <w:color w:val="auto"/>
              </w:rPr>
              <w:t>（µg/kg）</w:t>
            </w:r>
          </w:p>
        </w:tc>
        <w:tc>
          <w:tcPr>
            <w:tcW w:w="614" w:type="pct"/>
            <w:vAlign w:val="center"/>
          </w:tcPr>
          <w:p w14:paraId="45417941">
            <w:pPr>
              <w:jc w:val="center"/>
              <w:rPr>
                <w:rFonts w:ascii="宋体" w:hAnsi="宋体"/>
                <w:color w:val="auto"/>
              </w:rPr>
            </w:pPr>
            <w:r>
              <w:rPr>
                <w:rFonts w:ascii="宋体" w:hAnsi="宋体"/>
                <w:color w:val="auto"/>
              </w:rPr>
              <w:t>ND</w:t>
            </w:r>
          </w:p>
        </w:tc>
        <w:tc>
          <w:tcPr>
            <w:tcW w:w="611" w:type="pct"/>
            <w:vAlign w:val="center"/>
          </w:tcPr>
          <w:p w14:paraId="37A3177B">
            <w:pPr>
              <w:jc w:val="center"/>
              <w:rPr>
                <w:rFonts w:ascii="宋体" w:hAnsi="宋体"/>
                <w:color w:val="auto"/>
              </w:rPr>
            </w:pPr>
            <w:r>
              <w:rPr>
                <w:rFonts w:ascii="宋体" w:hAnsi="宋体"/>
                <w:color w:val="auto"/>
              </w:rPr>
              <w:t>ND</w:t>
            </w:r>
          </w:p>
        </w:tc>
        <w:tc>
          <w:tcPr>
            <w:tcW w:w="611" w:type="pct"/>
            <w:vAlign w:val="center"/>
          </w:tcPr>
          <w:p w14:paraId="7343F867">
            <w:pPr>
              <w:jc w:val="center"/>
              <w:rPr>
                <w:rFonts w:ascii="宋体" w:hAnsi="宋体"/>
                <w:color w:val="auto"/>
              </w:rPr>
            </w:pPr>
            <w:r>
              <w:rPr>
                <w:rFonts w:ascii="宋体" w:hAnsi="宋体"/>
                <w:color w:val="auto"/>
              </w:rPr>
              <w:t>ND</w:t>
            </w:r>
          </w:p>
        </w:tc>
        <w:tc>
          <w:tcPr>
            <w:tcW w:w="611" w:type="pct"/>
            <w:vAlign w:val="center"/>
          </w:tcPr>
          <w:p w14:paraId="427D1407">
            <w:pPr>
              <w:jc w:val="center"/>
              <w:rPr>
                <w:rFonts w:ascii="宋体" w:hAnsi="宋体"/>
                <w:color w:val="auto"/>
              </w:rPr>
            </w:pPr>
            <w:r>
              <w:rPr>
                <w:rFonts w:hint="eastAsia" w:ascii="宋体" w:hAnsi="宋体"/>
                <w:color w:val="auto"/>
              </w:rPr>
              <w:t>/</w:t>
            </w:r>
          </w:p>
        </w:tc>
        <w:tc>
          <w:tcPr>
            <w:tcW w:w="640" w:type="pct"/>
            <w:vAlign w:val="center"/>
          </w:tcPr>
          <w:p w14:paraId="13D8AF2B">
            <w:pPr>
              <w:jc w:val="center"/>
              <w:rPr>
                <w:rFonts w:ascii="宋体" w:hAnsi="宋体"/>
                <w:color w:val="auto"/>
              </w:rPr>
            </w:pPr>
            <w:r>
              <w:rPr>
                <w:rFonts w:hint="eastAsia" w:ascii="宋体" w:hAnsi="宋体"/>
                <w:color w:val="auto"/>
              </w:rPr>
              <w:t>/</w:t>
            </w:r>
          </w:p>
        </w:tc>
        <w:tc>
          <w:tcPr>
            <w:tcW w:w="639" w:type="pct"/>
            <w:vAlign w:val="center"/>
          </w:tcPr>
          <w:p w14:paraId="1B185DBA">
            <w:pPr>
              <w:jc w:val="center"/>
              <w:rPr>
                <w:rFonts w:ascii="宋体" w:hAnsi="宋体"/>
                <w:color w:val="auto"/>
              </w:rPr>
            </w:pPr>
            <w:r>
              <w:rPr>
                <w:rFonts w:hint="eastAsia" w:ascii="宋体" w:hAnsi="宋体"/>
                <w:color w:val="auto"/>
              </w:rPr>
              <w:t>/</w:t>
            </w:r>
          </w:p>
        </w:tc>
        <w:tc>
          <w:tcPr>
            <w:tcW w:w="638" w:type="pct"/>
            <w:vAlign w:val="center"/>
          </w:tcPr>
          <w:p w14:paraId="21D5D725">
            <w:pPr>
              <w:jc w:val="center"/>
              <w:rPr>
                <w:rFonts w:ascii="宋体" w:hAnsi="宋体"/>
                <w:color w:val="auto"/>
              </w:rPr>
            </w:pPr>
            <w:r>
              <w:rPr>
                <w:rFonts w:hint="eastAsia" w:ascii="宋体" w:hAnsi="宋体"/>
                <w:color w:val="auto"/>
              </w:rPr>
              <w:t>/</w:t>
            </w:r>
          </w:p>
        </w:tc>
      </w:tr>
      <w:tr w14:paraId="47D18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5BB3272F">
            <w:pPr>
              <w:pStyle w:val="76"/>
              <w:rPr>
                <w:rFonts w:hAnsi="宋体"/>
                <w:color w:val="auto"/>
                <w:spacing w:val="-5"/>
              </w:rPr>
            </w:pPr>
          </w:p>
        </w:tc>
        <w:tc>
          <w:tcPr>
            <w:tcW w:w="476" w:type="pct"/>
            <w:vAlign w:val="center"/>
          </w:tcPr>
          <w:p w14:paraId="3C61519A">
            <w:pPr>
              <w:spacing w:before="100" w:beforeAutospacing="1" w:after="100" w:afterAutospacing="1"/>
              <w:jc w:val="center"/>
              <w:rPr>
                <w:rFonts w:ascii="宋体" w:hAnsi="宋体"/>
                <w:color w:val="auto"/>
                <w:spacing w:val="-5"/>
              </w:rPr>
            </w:pPr>
            <w:r>
              <w:rPr>
                <w:rFonts w:ascii="宋体" w:hAnsi="宋体"/>
                <w:color w:val="auto"/>
                <w:spacing w:val="-5"/>
              </w:rPr>
              <w:t>氯苯</w:t>
            </w:r>
            <w:r>
              <w:rPr>
                <w:rFonts w:ascii="宋体" w:hAnsi="宋体"/>
                <w:color w:val="auto"/>
              </w:rPr>
              <w:t>（µg/kg）</w:t>
            </w:r>
          </w:p>
        </w:tc>
        <w:tc>
          <w:tcPr>
            <w:tcW w:w="614" w:type="pct"/>
            <w:vAlign w:val="center"/>
          </w:tcPr>
          <w:p w14:paraId="1FF0DAF7">
            <w:pPr>
              <w:jc w:val="center"/>
              <w:rPr>
                <w:rFonts w:ascii="宋体" w:hAnsi="宋体"/>
                <w:color w:val="auto"/>
              </w:rPr>
            </w:pPr>
            <w:r>
              <w:rPr>
                <w:rFonts w:ascii="宋体" w:hAnsi="宋体"/>
                <w:color w:val="auto"/>
              </w:rPr>
              <w:t>ND</w:t>
            </w:r>
          </w:p>
        </w:tc>
        <w:tc>
          <w:tcPr>
            <w:tcW w:w="611" w:type="pct"/>
            <w:vAlign w:val="center"/>
          </w:tcPr>
          <w:p w14:paraId="0785A028">
            <w:pPr>
              <w:jc w:val="center"/>
              <w:rPr>
                <w:rFonts w:ascii="宋体" w:hAnsi="宋体"/>
                <w:color w:val="auto"/>
              </w:rPr>
            </w:pPr>
            <w:r>
              <w:rPr>
                <w:rFonts w:ascii="宋体" w:hAnsi="宋体"/>
                <w:color w:val="auto"/>
              </w:rPr>
              <w:t>ND</w:t>
            </w:r>
          </w:p>
        </w:tc>
        <w:tc>
          <w:tcPr>
            <w:tcW w:w="611" w:type="pct"/>
            <w:vAlign w:val="center"/>
          </w:tcPr>
          <w:p w14:paraId="78170FD1">
            <w:pPr>
              <w:jc w:val="center"/>
              <w:rPr>
                <w:rFonts w:ascii="宋体" w:hAnsi="宋体"/>
                <w:color w:val="auto"/>
              </w:rPr>
            </w:pPr>
            <w:r>
              <w:rPr>
                <w:rFonts w:ascii="宋体" w:hAnsi="宋体"/>
                <w:color w:val="auto"/>
              </w:rPr>
              <w:t>ND</w:t>
            </w:r>
          </w:p>
        </w:tc>
        <w:tc>
          <w:tcPr>
            <w:tcW w:w="611" w:type="pct"/>
            <w:vAlign w:val="center"/>
          </w:tcPr>
          <w:p w14:paraId="058D364F">
            <w:pPr>
              <w:jc w:val="center"/>
              <w:rPr>
                <w:rFonts w:ascii="宋体" w:hAnsi="宋体"/>
                <w:color w:val="auto"/>
              </w:rPr>
            </w:pPr>
            <w:r>
              <w:rPr>
                <w:rFonts w:hint="eastAsia" w:ascii="宋体" w:hAnsi="宋体"/>
                <w:color w:val="auto"/>
              </w:rPr>
              <w:t>/</w:t>
            </w:r>
          </w:p>
        </w:tc>
        <w:tc>
          <w:tcPr>
            <w:tcW w:w="640" w:type="pct"/>
            <w:vAlign w:val="center"/>
          </w:tcPr>
          <w:p w14:paraId="2EA4A8A1">
            <w:pPr>
              <w:jc w:val="center"/>
              <w:rPr>
                <w:rFonts w:ascii="宋体" w:hAnsi="宋体"/>
                <w:color w:val="auto"/>
              </w:rPr>
            </w:pPr>
            <w:r>
              <w:rPr>
                <w:rFonts w:hint="eastAsia" w:ascii="宋体" w:hAnsi="宋体"/>
                <w:color w:val="auto"/>
              </w:rPr>
              <w:t>/</w:t>
            </w:r>
          </w:p>
        </w:tc>
        <w:tc>
          <w:tcPr>
            <w:tcW w:w="639" w:type="pct"/>
            <w:vAlign w:val="center"/>
          </w:tcPr>
          <w:p w14:paraId="509EBD68">
            <w:pPr>
              <w:jc w:val="center"/>
              <w:rPr>
                <w:rFonts w:ascii="宋体" w:hAnsi="宋体"/>
                <w:color w:val="auto"/>
              </w:rPr>
            </w:pPr>
            <w:r>
              <w:rPr>
                <w:rFonts w:hint="eastAsia" w:ascii="宋体" w:hAnsi="宋体"/>
                <w:color w:val="auto"/>
              </w:rPr>
              <w:t>/</w:t>
            </w:r>
          </w:p>
        </w:tc>
        <w:tc>
          <w:tcPr>
            <w:tcW w:w="638" w:type="pct"/>
            <w:vAlign w:val="center"/>
          </w:tcPr>
          <w:p w14:paraId="76D9C0DB">
            <w:pPr>
              <w:jc w:val="center"/>
              <w:rPr>
                <w:rFonts w:ascii="宋体" w:hAnsi="宋体"/>
                <w:color w:val="auto"/>
              </w:rPr>
            </w:pPr>
            <w:r>
              <w:rPr>
                <w:rFonts w:hint="eastAsia" w:ascii="宋体" w:hAnsi="宋体"/>
                <w:color w:val="auto"/>
              </w:rPr>
              <w:t>/</w:t>
            </w:r>
          </w:p>
        </w:tc>
      </w:tr>
      <w:tr w14:paraId="7D967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72729292">
            <w:pPr>
              <w:pStyle w:val="76"/>
              <w:rPr>
                <w:rFonts w:hAnsi="宋体"/>
                <w:color w:val="auto"/>
                <w:spacing w:val="-5"/>
              </w:rPr>
            </w:pPr>
          </w:p>
        </w:tc>
        <w:tc>
          <w:tcPr>
            <w:tcW w:w="476" w:type="pct"/>
            <w:vAlign w:val="center"/>
          </w:tcPr>
          <w:p w14:paraId="0A625E8F">
            <w:pPr>
              <w:spacing w:before="100" w:beforeAutospacing="1" w:after="100" w:afterAutospacing="1"/>
              <w:jc w:val="center"/>
              <w:rPr>
                <w:rFonts w:ascii="宋体" w:hAnsi="宋体"/>
                <w:color w:val="auto"/>
                <w:spacing w:val="-5"/>
              </w:rPr>
            </w:pPr>
            <w:r>
              <w:rPr>
                <w:rFonts w:ascii="宋体" w:hAnsi="宋体"/>
                <w:color w:val="auto"/>
                <w:spacing w:val="-5"/>
              </w:rPr>
              <w:t>1，2-二氯苯</w:t>
            </w:r>
            <w:r>
              <w:rPr>
                <w:rFonts w:ascii="宋体" w:hAnsi="宋体"/>
                <w:color w:val="auto"/>
              </w:rPr>
              <w:t>（µg/kg）</w:t>
            </w:r>
          </w:p>
        </w:tc>
        <w:tc>
          <w:tcPr>
            <w:tcW w:w="614" w:type="pct"/>
            <w:vAlign w:val="center"/>
          </w:tcPr>
          <w:p w14:paraId="7B15A63F">
            <w:pPr>
              <w:jc w:val="center"/>
              <w:rPr>
                <w:rFonts w:ascii="宋体" w:hAnsi="宋体"/>
                <w:color w:val="auto"/>
              </w:rPr>
            </w:pPr>
            <w:r>
              <w:rPr>
                <w:rFonts w:ascii="宋体" w:hAnsi="宋体"/>
                <w:color w:val="auto"/>
              </w:rPr>
              <w:t>ND</w:t>
            </w:r>
          </w:p>
        </w:tc>
        <w:tc>
          <w:tcPr>
            <w:tcW w:w="611" w:type="pct"/>
            <w:vAlign w:val="center"/>
          </w:tcPr>
          <w:p w14:paraId="4A430E33">
            <w:pPr>
              <w:jc w:val="center"/>
              <w:rPr>
                <w:rFonts w:ascii="宋体" w:hAnsi="宋体"/>
                <w:color w:val="auto"/>
              </w:rPr>
            </w:pPr>
            <w:r>
              <w:rPr>
                <w:rFonts w:ascii="宋体" w:hAnsi="宋体"/>
                <w:color w:val="auto"/>
              </w:rPr>
              <w:t>ND</w:t>
            </w:r>
          </w:p>
        </w:tc>
        <w:tc>
          <w:tcPr>
            <w:tcW w:w="611" w:type="pct"/>
            <w:vAlign w:val="center"/>
          </w:tcPr>
          <w:p w14:paraId="148F88CB">
            <w:pPr>
              <w:jc w:val="center"/>
              <w:rPr>
                <w:rFonts w:ascii="宋体" w:hAnsi="宋体"/>
                <w:color w:val="auto"/>
              </w:rPr>
            </w:pPr>
            <w:r>
              <w:rPr>
                <w:rFonts w:ascii="宋体" w:hAnsi="宋体"/>
                <w:color w:val="auto"/>
              </w:rPr>
              <w:t>ND</w:t>
            </w:r>
          </w:p>
        </w:tc>
        <w:tc>
          <w:tcPr>
            <w:tcW w:w="611" w:type="pct"/>
            <w:vAlign w:val="center"/>
          </w:tcPr>
          <w:p w14:paraId="2807A3B5">
            <w:pPr>
              <w:jc w:val="center"/>
              <w:rPr>
                <w:rFonts w:ascii="宋体" w:hAnsi="宋体"/>
                <w:color w:val="auto"/>
              </w:rPr>
            </w:pPr>
            <w:r>
              <w:rPr>
                <w:rFonts w:hint="eastAsia" w:ascii="宋体" w:hAnsi="宋体"/>
                <w:color w:val="auto"/>
              </w:rPr>
              <w:t>/</w:t>
            </w:r>
          </w:p>
        </w:tc>
        <w:tc>
          <w:tcPr>
            <w:tcW w:w="640" w:type="pct"/>
            <w:vAlign w:val="center"/>
          </w:tcPr>
          <w:p w14:paraId="49F9F4F2">
            <w:pPr>
              <w:jc w:val="center"/>
              <w:rPr>
                <w:rFonts w:ascii="宋体" w:hAnsi="宋体"/>
                <w:color w:val="auto"/>
              </w:rPr>
            </w:pPr>
            <w:r>
              <w:rPr>
                <w:rFonts w:hint="eastAsia" w:ascii="宋体" w:hAnsi="宋体"/>
                <w:color w:val="auto"/>
              </w:rPr>
              <w:t>/</w:t>
            </w:r>
          </w:p>
        </w:tc>
        <w:tc>
          <w:tcPr>
            <w:tcW w:w="639" w:type="pct"/>
            <w:vAlign w:val="center"/>
          </w:tcPr>
          <w:p w14:paraId="0A641A4B">
            <w:pPr>
              <w:jc w:val="center"/>
              <w:rPr>
                <w:rFonts w:ascii="宋体" w:hAnsi="宋体"/>
                <w:color w:val="auto"/>
              </w:rPr>
            </w:pPr>
            <w:r>
              <w:rPr>
                <w:rFonts w:hint="eastAsia" w:ascii="宋体" w:hAnsi="宋体"/>
                <w:color w:val="auto"/>
              </w:rPr>
              <w:t>/</w:t>
            </w:r>
          </w:p>
        </w:tc>
        <w:tc>
          <w:tcPr>
            <w:tcW w:w="638" w:type="pct"/>
            <w:vAlign w:val="center"/>
          </w:tcPr>
          <w:p w14:paraId="6D3F41FC">
            <w:pPr>
              <w:jc w:val="center"/>
              <w:rPr>
                <w:rFonts w:ascii="宋体" w:hAnsi="宋体"/>
                <w:color w:val="auto"/>
              </w:rPr>
            </w:pPr>
            <w:r>
              <w:rPr>
                <w:rFonts w:hint="eastAsia" w:ascii="宋体" w:hAnsi="宋体"/>
                <w:color w:val="auto"/>
              </w:rPr>
              <w:t>/</w:t>
            </w:r>
          </w:p>
        </w:tc>
      </w:tr>
      <w:tr w14:paraId="498A1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51E28F26">
            <w:pPr>
              <w:pStyle w:val="76"/>
              <w:rPr>
                <w:rFonts w:hAnsi="宋体"/>
                <w:color w:val="auto"/>
                <w:spacing w:val="-5"/>
              </w:rPr>
            </w:pPr>
          </w:p>
        </w:tc>
        <w:tc>
          <w:tcPr>
            <w:tcW w:w="476" w:type="pct"/>
            <w:vAlign w:val="center"/>
          </w:tcPr>
          <w:p w14:paraId="0AB8059D">
            <w:pPr>
              <w:spacing w:before="100" w:beforeAutospacing="1" w:after="100" w:afterAutospacing="1"/>
              <w:jc w:val="center"/>
              <w:rPr>
                <w:rFonts w:ascii="宋体" w:hAnsi="宋体"/>
                <w:color w:val="auto"/>
                <w:spacing w:val="-5"/>
              </w:rPr>
            </w:pPr>
            <w:r>
              <w:rPr>
                <w:rFonts w:ascii="宋体" w:hAnsi="宋体"/>
                <w:color w:val="auto"/>
                <w:spacing w:val="-5"/>
              </w:rPr>
              <w:t>1，4-二氯苯</w:t>
            </w:r>
            <w:r>
              <w:rPr>
                <w:rFonts w:ascii="宋体" w:hAnsi="宋体"/>
                <w:color w:val="auto"/>
              </w:rPr>
              <w:t>（µg/kg）</w:t>
            </w:r>
          </w:p>
        </w:tc>
        <w:tc>
          <w:tcPr>
            <w:tcW w:w="614" w:type="pct"/>
            <w:vAlign w:val="center"/>
          </w:tcPr>
          <w:p w14:paraId="6AAFB2FF">
            <w:pPr>
              <w:jc w:val="center"/>
              <w:rPr>
                <w:rFonts w:ascii="宋体" w:hAnsi="宋体"/>
                <w:color w:val="auto"/>
              </w:rPr>
            </w:pPr>
            <w:r>
              <w:rPr>
                <w:rFonts w:ascii="宋体" w:hAnsi="宋体"/>
                <w:color w:val="auto"/>
              </w:rPr>
              <w:t>ND</w:t>
            </w:r>
          </w:p>
        </w:tc>
        <w:tc>
          <w:tcPr>
            <w:tcW w:w="611" w:type="pct"/>
            <w:vAlign w:val="center"/>
          </w:tcPr>
          <w:p w14:paraId="799F65DE">
            <w:pPr>
              <w:jc w:val="center"/>
              <w:rPr>
                <w:rFonts w:ascii="宋体" w:hAnsi="宋体"/>
                <w:color w:val="auto"/>
              </w:rPr>
            </w:pPr>
            <w:r>
              <w:rPr>
                <w:rFonts w:ascii="宋体" w:hAnsi="宋体"/>
                <w:color w:val="auto"/>
              </w:rPr>
              <w:t>ND</w:t>
            </w:r>
          </w:p>
        </w:tc>
        <w:tc>
          <w:tcPr>
            <w:tcW w:w="611" w:type="pct"/>
            <w:vAlign w:val="center"/>
          </w:tcPr>
          <w:p w14:paraId="6B1AA920">
            <w:pPr>
              <w:jc w:val="center"/>
              <w:rPr>
                <w:rFonts w:ascii="宋体" w:hAnsi="宋体"/>
                <w:color w:val="auto"/>
              </w:rPr>
            </w:pPr>
            <w:r>
              <w:rPr>
                <w:rFonts w:ascii="宋体" w:hAnsi="宋体"/>
                <w:color w:val="auto"/>
              </w:rPr>
              <w:t>ND</w:t>
            </w:r>
          </w:p>
        </w:tc>
        <w:tc>
          <w:tcPr>
            <w:tcW w:w="611" w:type="pct"/>
            <w:vAlign w:val="center"/>
          </w:tcPr>
          <w:p w14:paraId="7F634E3A">
            <w:pPr>
              <w:jc w:val="center"/>
              <w:rPr>
                <w:rFonts w:ascii="宋体" w:hAnsi="宋体"/>
                <w:color w:val="auto"/>
              </w:rPr>
            </w:pPr>
            <w:r>
              <w:rPr>
                <w:rFonts w:hint="eastAsia" w:ascii="宋体" w:hAnsi="宋体"/>
                <w:color w:val="auto"/>
              </w:rPr>
              <w:t>/</w:t>
            </w:r>
          </w:p>
        </w:tc>
        <w:tc>
          <w:tcPr>
            <w:tcW w:w="640" w:type="pct"/>
            <w:vAlign w:val="center"/>
          </w:tcPr>
          <w:p w14:paraId="10EA8FE4">
            <w:pPr>
              <w:jc w:val="center"/>
              <w:rPr>
                <w:rFonts w:ascii="宋体" w:hAnsi="宋体"/>
                <w:color w:val="auto"/>
              </w:rPr>
            </w:pPr>
            <w:r>
              <w:rPr>
                <w:rFonts w:hint="eastAsia" w:ascii="宋体" w:hAnsi="宋体"/>
                <w:color w:val="auto"/>
              </w:rPr>
              <w:t>/</w:t>
            </w:r>
          </w:p>
        </w:tc>
        <w:tc>
          <w:tcPr>
            <w:tcW w:w="639" w:type="pct"/>
            <w:vAlign w:val="center"/>
          </w:tcPr>
          <w:p w14:paraId="59DF6F86">
            <w:pPr>
              <w:jc w:val="center"/>
              <w:rPr>
                <w:rFonts w:ascii="宋体" w:hAnsi="宋体"/>
                <w:color w:val="auto"/>
              </w:rPr>
            </w:pPr>
            <w:r>
              <w:rPr>
                <w:rFonts w:hint="eastAsia" w:ascii="宋体" w:hAnsi="宋体"/>
                <w:color w:val="auto"/>
              </w:rPr>
              <w:t>/</w:t>
            </w:r>
          </w:p>
        </w:tc>
        <w:tc>
          <w:tcPr>
            <w:tcW w:w="638" w:type="pct"/>
            <w:vAlign w:val="center"/>
          </w:tcPr>
          <w:p w14:paraId="4A888E2A">
            <w:pPr>
              <w:jc w:val="center"/>
              <w:rPr>
                <w:rFonts w:ascii="宋体" w:hAnsi="宋体"/>
                <w:color w:val="auto"/>
              </w:rPr>
            </w:pPr>
            <w:r>
              <w:rPr>
                <w:rFonts w:hint="eastAsia" w:ascii="宋体" w:hAnsi="宋体"/>
                <w:color w:val="auto"/>
              </w:rPr>
              <w:t>/</w:t>
            </w:r>
          </w:p>
        </w:tc>
      </w:tr>
      <w:tr w14:paraId="48DDF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3439C2DE">
            <w:pPr>
              <w:pStyle w:val="76"/>
              <w:rPr>
                <w:rFonts w:hAnsi="宋体"/>
                <w:color w:val="auto"/>
                <w:spacing w:val="-5"/>
              </w:rPr>
            </w:pPr>
          </w:p>
        </w:tc>
        <w:tc>
          <w:tcPr>
            <w:tcW w:w="476" w:type="pct"/>
            <w:vAlign w:val="center"/>
          </w:tcPr>
          <w:p w14:paraId="15AD0ED1">
            <w:pPr>
              <w:spacing w:before="100" w:beforeAutospacing="1" w:after="100" w:afterAutospacing="1"/>
              <w:jc w:val="center"/>
              <w:rPr>
                <w:rFonts w:ascii="宋体" w:hAnsi="宋体"/>
                <w:color w:val="auto"/>
                <w:spacing w:val="-5"/>
              </w:rPr>
            </w:pPr>
            <w:r>
              <w:rPr>
                <w:rFonts w:ascii="宋体" w:hAnsi="宋体"/>
                <w:color w:val="auto"/>
                <w:spacing w:val="-5"/>
              </w:rPr>
              <w:t>乙苯</w:t>
            </w:r>
            <w:r>
              <w:rPr>
                <w:rFonts w:ascii="宋体" w:hAnsi="宋体"/>
                <w:color w:val="auto"/>
              </w:rPr>
              <w:t>（µg/kg）</w:t>
            </w:r>
          </w:p>
        </w:tc>
        <w:tc>
          <w:tcPr>
            <w:tcW w:w="614" w:type="pct"/>
            <w:vAlign w:val="center"/>
          </w:tcPr>
          <w:p w14:paraId="4EA06FEA">
            <w:pPr>
              <w:jc w:val="center"/>
              <w:rPr>
                <w:rFonts w:ascii="宋体" w:hAnsi="宋体"/>
                <w:color w:val="auto"/>
              </w:rPr>
            </w:pPr>
            <w:r>
              <w:rPr>
                <w:rFonts w:ascii="宋体" w:hAnsi="宋体"/>
                <w:color w:val="auto"/>
              </w:rPr>
              <w:t>ND</w:t>
            </w:r>
          </w:p>
        </w:tc>
        <w:tc>
          <w:tcPr>
            <w:tcW w:w="611" w:type="pct"/>
            <w:vAlign w:val="center"/>
          </w:tcPr>
          <w:p w14:paraId="5CCBB27A">
            <w:pPr>
              <w:jc w:val="center"/>
              <w:rPr>
                <w:rFonts w:ascii="宋体" w:hAnsi="宋体"/>
                <w:color w:val="auto"/>
              </w:rPr>
            </w:pPr>
            <w:r>
              <w:rPr>
                <w:rFonts w:ascii="宋体" w:hAnsi="宋体"/>
                <w:color w:val="auto"/>
              </w:rPr>
              <w:t>ND</w:t>
            </w:r>
          </w:p>
        </w:tc>
        <w:tc>
          <w:tcPr>
            <w:tcW w:w="611" w:type="pct"/>
            <w:vAlign w:val="center"/>
          </w:tcPr>
          <w:p w14:paraId="79583727">
            <w:pPr>
              <w:jc w:val="center"/>
              <w:rPr>
                <w:rFonts w:ascii="宋体" w:hAnsi="宋体"/>
                <w:color w:val="auto"/>
              </w:rPr>
            </w:pPr>
            <w:r>
              <w:rPr>
                <w:rFonts w:ascii="宋体" w:hAnsi="宋体"/>
                <w:color w:val="auto"/>
              </w:rPr>
              <w:t>ND</w:t>
            </w:r>
          </w:p>
        </w:tc>
        <w:tc>
          <w:tcPr>
            <w:tcW w:w="611" w:type="pct"/>
            <w:vAlign w:val="center"/>
          </w:tcPr>
          <w:p w14:paraId="6F4D98EE">
            <w:pPr>
              <w:jc w:val="center"/>
              <w:rPr>
                <w:rFonts w:ascii="宋体" w:hAnsi="宋体"/>
                <w:color w:val="auto"/>
              </w:rPr>
            </w:pPr>
            <w:r>
              <w:rPr>
                <w:rFonts w:hint="eastAsia" w:ascii="宋体" w:hAnsi="宋体"/>
                <w:color w:val="auto"/>
              </w:rPr>
              <w:t>/</w:t>
            </w:r>
          </w:p>
        </w:tc>
        <w:tc>
          <w:tcPr>
            <w:tcW w:w="640" w:type="pct"/>
            <w:vAlign w:val="center"/>
          </w:tcPr>
          <w:p w14:paraId="383B0367">
            <w:pPr>
              <w:jc w:val="center"/>
              <w:rPr>
                <w:rFonts w:ascii="宋体" w:hAnsi="宋体"/>
                <w:color w:val="auto"/>
              </w:rPr>
            </w:pPr>
            <w:r>
              <w:rPr>
                <w:rFonts w:hint="eastAsia" w:ascii="宋体" w:hAnsi="宋体"/>
                <w:color w:val="auto"/>
              </w:rPr>
              <w:t>/</w:t>
            </w:r>
          </w:p>
        </w:tc>
        <w:tc>
          <w:tcPr>
            <w:tcW w:w="639" w:type="pct"/>
            <w:vAlign w:val="center"/>
          </w:tcPr>
          <w:p w14:paraId="1DE701E0">
            <w:pPr>
              <w:jc w:val="center"/>
              <w:rPr>
                <w:rFonts w:ascii="宋体" w:hAnsi="宋体"/>
                <w:color w:val="auto"/>
              </w:rPr>
            </w:pPr>
            <w:r>
              <w:rPr>
                <w:rFonts w:hint="eastAsia" w:ascii="宋体" w:hAnsi="宋体"/>
                <w:color w:val="auto"/>
              </w:rPr>
              <w:t>/</w:t>
            </w:r>
          </w:p>
        </w:tc>
        <w:tc>
          <w:tcPr>
            <w:tcW w:w="638" w:type="pct"/>
            <w:vAlign w:val="center"/>
          </w:tcPr>
          <w:p w14:paraId="433C4600">
            <w:pPr>
              <w:jc w:val="center"/>
              <w:rPr>
                <w:rFonts w:ascii="宋体" w:hAnsi="宋体"/>
                <w:color w:val="auto"/>
              </w:rPr>
            </w:pPr>
            <w:r>
              <w:rPr>
                <w:rFonts w:hint="eastAsia" w:ascii="宋体" w:hAnsi="宋体"/>
                <w:color w:val="auto"/>
              </w:rPr>
              <w:t>/</w:t>
            </w:r>
          </w:p>
        </w:tc>
      </w:tr>
      <w:tr w14:paraId="3F161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117568F8">
            <w:pPr>
              <w:pStyle w:val="76"/>
              <w:rPr>
                <w:rFonts w:hAnsi="宋体"/>
                <w:color w:val="auto"/>
                <w:spacing w:val="-5"/>
              </w:rPr>
            </w:pPr>
          </w:p>
        </w:tc>
        <w:tc>
          <w:tcPr>
            <w:tcW w:w="476" w:type="pct"/>
            <w:vAlign w:val="center"/>
          </w:tcPr>
          <w:p w14:paraId="79B2EAB7">
            <w:pPr>
              <w:spacing w:before="100" w:beforeAutospacing="1" w:after="100" w:afterAutospacing="1"/>
              <w:jc w:val="center"/>
              <w:rPr>
                <w:rFonts w:ascii="宋体" w:hAnsi="宋体"/>
                <w:color w:val="auto"/>
                <w:spacing w:val="-5"/>
              </w:rPr>
            </w:pPr>
            <w:r>
              <w:rPr>
                <w:rFonts w:ascii="宋体" w:hAnsi="宋体"/>
                <w:color w:val="auto"/>
                <w:spacing w:val="-5"/>
              </w:rPr>
              <w:t>苯乙烯</w:t>
            </w:r>
            <w:r>
              <w:rPr>
                <w:rFonts w:ascii="宋体" w:hAnsi="宋体"/>
                <w:color w:val="auto"/>
              </w:rPr>
              <w:t>（µg/kg）</w:t>
            </w:r>
          </w:p>
        </w:tc>
        <w:tc>
          <w:tcPr>
            <w:tcW w:w="614" w:type="pct"/>
            <w:vAlign w:val="center"/>
          </w:tcPr>
          <w:p w14:paraId="7F5CD623">
            <w:pPr>
              <w:jc w:val="center"/>
              <w:rPr>
                <w:rFonts w:ascii="宋体" w:hAnsi="宋体"/>
                <w:color w:val="auto"/>
              </w:rPr>
            </w:pPr>
            <w:r>
              <w:rPr>
                <w:rFonts w:ascii="宋体" w:hAnsi="宋体"/>
                <w:color w:val="auto"/>
              </w:rPr>
              <w:t>ND</w:t>
            </w:r>
          </w:p>
        </w:tc>
        <w:tc>
          <w:tcPr>
            <w:tcW w:w="611" w:type="pct"/>
            <w:vAlign w:val="center"/>
          </w:tcPr>
          <w:p w14:paraId="327A7AB9">
            <w:pPr>
              <w:jc w:val="center"/>
              <w:rPr>
                <w:rFonts w:ascii="宋体" w:hAnsi="宋体"/>
                <w:color w:val="auto"/>
              </w:rPr>
            </w:pPr>
            <w:r>
              <w:rPr>
                <w:rFonts w:ascii="宋体" w:hAnsi="宋体"/>
                <w:color w:val="auto"/>
              </w:rPr>
              <w:t>ND</w:t>
            </w:r>
          </w:p>
        </w:tc>
        <w:tc>
          <w:tcPr>
            <w:tcW w:w="611" w:type="pct"/>
            <w:vAlign w:val="center"/>
          </w:tcPr>
          <w:p w14:paraId="28268369">
            <w:pPr>
              <w:jc w:val="center"/>
              <w:rPr>
                <w:rFonts w:ascii="宋体" w:hAnsi="宋体"/>
                <w:color w:val="auto"/>
              </w:rPr>
            </w:pPr>
            <w:r>
              <w:rPr>
                <w:rFonts w:ascii="宋体" w:hAnsi="宋体"/>
                <w:color w:val="auto"/>
              </w:rPr>
              <w:t>ND</w:t>
            </w:r>
          </w:p>
        </w:tc>
        <w:tc>
          <w:tcPr>
            <w:tcW w:w="611" w:type="pct"/>
            <w:vAlign w:val="center"/>
          </w:tcPr>
          <w:p w14:paraId="3FCB19CD">
            <w:pPr>
              <w:jc w:val="center"/>
              <w:rPr>
                <w:rFonts w:ascii="宋体" w:hAnsi="宋体"/>
                <w:color w:val="auto"/>
              </w:rPr>
            </w:pPr>
            <w:r>
              <w:rPr>
                <w:rFonts w:hint="eastAsia" w:ascii="宋体" w:hAnsi="宋体"/>
                <w:color w:val="auto"/>
              </w:rPr>
              <w:t>/</w:t>
            </w:r>
          </w:p>
        </w:tc>
        <w:tc>
          <w:tcPr>
            <w:tcW w:w="640" w:type="pct"/>
            <w:vAlign w:val="center"/>
          </w:tcPr>
          <w:p w14:paraId="2052AA37">
            <w:pPr>
              <w:jc w:val="center"/>
              <w:rPr>
                <w:rFonts w:ascii="宋体" w:hAnsi="宋体"/>
                <w:color w:val="auto"/>
              </w:rPr>
            </w:pPr>
            <w:r>
              <w:rPr>
                <w:rFonts w:hint="eastAsia" w:ascii="宋体" w:hAnsi="宋体"/>
                <w:color w:val="auto"/>
              </w:rPr>
              <w:t>/</w:t>
            </w:r>
          </w:p>
        </w:tc>
        <w:tc>
          <w:tcPr>
            <w:tcW w:w="639" w:type="pct"/>
            <w:vAlign w:val="center"/>
          </w:tcPr>
          <w:p w14:paraId="65D457B2">
            <w:pPr>
              <w:jc w:val="center"/>
              <w:rPr>
                <w:rFonts w:ascii="宋体" w:hAnsi="宋体"/>
                <w:color w:val="auto"/>
              </w:rPr>
            </w:pPr>
            <w:r>
              <w:rPr>
                <w:rFonts w:hint="eastAsia" w:ascii="宋体" w:hAnsi="宋体"/>
                <w:color w:val="auto"/>
              </w:rPr>
              <w:t>/</w:t>
            </w:r>
          </w:p>
        </w:tc>
        <w:tc>
          <w:tcPr>
            <w:tcW w:w="638" w:type="pct"/>
            <w:vAlign w:val="center"/>
          </w:tcPr>
          <w:p w14:paraId="368238B3">
            <w:pPr>
              <w:jc w:val="center"/>
              <w:rPr>
                <w:rFonts w:ascii="宋体" w:hAnsi="宋体"/>
                <w:color w:val="auto"/>
              </w:rPr>
            </w:pPr>
            <w:r>
              <w:rPr>
                <w:rFonts w:hint="eastAsia" w:ascii="宋体" w:hAnsi="宋体"/>
                <w:color w:val="auto"/>
              </w:rPr>
              <w:t>/</w:t>
            </w:r>
          </w:p>
        </w:tc>
      </w:tr>
      <w:tr w14:paraId="07D9F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2A435109">
            <w:pPr>
              <w:pStyle w:val="76"/>
              <w:rPr>
                <w:rFonts w:hAnsi="宋体"/>
                <w:color w:val="auto"/>
                <w:spacing w:val="-5"/>
              </w:rPr>
            </w:pPr>
          </w:p>
        </w:tc>
        <w:tc>
          <w:tcPr>
            <w:tcW w:w="476" w:type="pct"/>
            <w:vAlign w:val="center"/>
          </w:tcPr>
          <w:p w14:paraId="392ADD94">
            <w:pPr>
              <w:spacing w:before="100" w:beforeAutospacing="1" w:after="100" w:afterAutospacing="1"/>
              <w:jc w:val="center"/>
              <w:rPr>
                <w:rFonts w:ascii="宋体" w:hAnsi="宋体"/>
                <w:color w:val="auto"/>
                <w:spacing w:val="-5"/>
              </w:rPr>
            </w:pPr>
            <w:r>
              <w:rPr>
                <w:rFonts w:ascii="宋体" w:hAnsi="宋体"/>
                <w:color w:val="auto"/>
                <w:spacing w:val="-5"/>
              </w:rPr>
              <w:t>甲苯</w:t>
            </w:r>
            <w:r>
              <w:rPr>
                <w:rFonts w:ascii="宋体" w:hAnsi="宋体"/>
                <w:color w:val="auto"/>
              </w:rPr>
              <w:t>（µg/kg）</w:t>
            </w:r>
          </w:p>
        </w:tc>
        <w:tc>
          <w:tcPr>
            <w:tcW w:w="614" w:type="pct"/>
            <w:vAlign w:val="center"/>
          </w:tcPr>
          <w:p w14:paraId="78D8543F">
            <w:pPr>
              <w:jc w:val="center"/>
              <w:rPr>
                <w:rFonts w:ascii="宋体" w:hAnsi="宋体"/>
                <w:color w:val="auto"/>
              </w:rPr>
            </w:pPr>
            <w:r>
              <w:rPr>
                <w:rFonts w:ascii="宋体" w:hAnsi="宋体"/>
                <w:color w:val="auto"/>
              </w:rPr>
              <w:t>ND</w:t>
            </w:r>
          </w:p>
        </w:tc>
        <w:tc>
          <w:tcPr>
            <w:tcW w:w="611" w:type="pct"/>
            <w:vAlign w:val="center"/>
          </w:tcPr>
          <w:p w14:paraId="4AB7C594">
            <w:pPr>
              <w:jc w:val="center"/>
              <w:rPr>
                <w:rFonts w:ascii="宋体" w:hAnsi="宋体"/>
                <w:color w:val="auto"/>
              </w:rPr>
            </w:pPr>
            <w:r>
              <w:rPr>
                <w:rFonts w:ascii="宋体" w:hAnsi="宋体"/>
                <w:color w:val="auto"/>
              </w:rPr>
              <w:t>ND</w:t>
            </w:r>
          </w:p>
        </w:tc>
        <w:tc>
          <w:tcPr>
            <w:tcW w:w="611" w:type="pct"/>
            <w:vAlign w:val="center"/>
          </w:tcPr>
          <w:p w14:paraId="464640DE">
            <w:pPr>
              <w:jc w:val="center"/>
              <w:rPr>
                <w:rFonts w:ascii="宋体" w:hAnsi="宋体"/>
                <w:color w:val="auto"/>
              </w:rPr>
            </w:pPr>
            <w:r>
              <w:rPr>
                <w:rFonts w:ascii="宋体" w:hAnsi="宋体"/>
                <w:color w:val="auto"/>
              </w:rPr>
              <w:t>ND</w:t>
            </w:r>
          </w:p>
        </w:tc>
        <w:tc>
          <w:tcPr>
            <w:tcW w:w="611" w:type="pct"/>
            <w:vAlign w:val="center"/>
          </w:tcPr>
          <w:p w14:paraId="2144ECF4">
            <w:pPr>
              <w:jc w:val="center"/>
              <w:rPr>
                <w:rFonts w:ascii="宋体" w:hAnsi="宋体"/>
                <w:color w:val="auto"/>
              </w:rPr>
            </w:pPr>
            <w:r>
              <w:rPr>
                <w:rFonts w:hint="eastAsia" w:ascii="宋体" w:hAnsi="宋体"/>
                <w:color w:val="auto"/>
              </w:rPr>
              <w:t>/</w:t>
            </w:r>
          </w:p>
        </w:tc>
        <w:tc>
          <w:tcPr>
            <w:tcW w:w="640" w:type="pct"/>
            <w:vAlign w:val="center"/>
          </w:tcPr>
          <w:p w14:paraId="1DDB9B3F">
            <w:pPr>
              <w:jc w:val="center"/>
              <w:rPr>
                <w:rFonts w:ascii="宋体" w:hAnsi="宋体"/>
                <w:color w:val="auto"/>
              </w:rPr>
            </w:pPr>
            <w:r>
              <w:rPr>
                <w:rFonts w:hint="eastAsia" w:ascii="宋体" w:hAnsi="宋体"/>
                <w:color w:val="auto"/>
              </w:rPr>
              <w:t>/</w:t>
            </w:r>
          </w:p>
        </w:tc>
        <w:tc>
          <w:tcPr>
            <w:tcW w:w="639" w:type="pct"/>
            <w:vAlign w:val="center"/>
          </w:tcPr>
          <w:p w14:paraId="5B63DA74">
            <w:pPr>
              <w:jc w:val="center"/>
              <w:rPr>
                <w:rFonts w:ascii="宋体" w:hAnsi="宋体"/>
                <w:color w:val="auto"/>
              </w:rPr>
            </w:pPr>
            <w:r>
              <w:rPr>
                <w:rFonts w:hint="eastAsia" w:ascii="宋体" w:hAnsi="宋体"/>
                <w:color w:val="auto"/>
              </w:rPr>
              <w:t>/</w:t>
            </w:r>
          </w:p>
        </w:tc>
        <w:tc>
          <w:tcPr>
            <w:tcW w:w="638" w:type="pct"/>
            <w:vAlign w:val="center"/>
          </w:tcPr>
          <w:p w14:paraId="08A157A0">
            <w:pPr>
              <w:jc w:val="center"/>
              <w:rPr>
                <w:rFonts w:ascii="宋体" w:hAnsi="宋体"/>
                <w:color w:val="auto"/>
              </w:rPr>
            </w:pPr>
            <w:r>
              <w:rPr>
                <w:rFonts w:hint="eastAsia" w:ascii="宋体" w:hAnsi="宋体"/>
                <w:color w:val="auto"/>
              </w:rPr>
              <w:t>/</w:t>
            </w:r>
          </w:p>
        </w:tc>
      </w:tr>
      <w:tr w14:paraId="642FD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07024732">
            <w:pPr>
              <w:pStyle w:val="76"/>
              <w:rPr>
                <w:rFonts w:hAnsi="宋体"/>
                <w:color w:val="auto"/>
                <w:spacing w:val="-5"/>
              </w:rPr>
            </w:pPr>
          </w:p>
        </w:tc>
        <w:tc>
          <w:tcPr>
            <w:tcW w:w="476" w:type="pct"/>
            <w:vAlign w:val="center"/>
          </w:tcPr>
          <w:p w14:paraId="68C2DD57">
            <w:pPr>
              <w:spacing w:before="100" w:beforeAutospacing="1" w:after="100" w:afterAutospacing="1"/>
              <w:jc w:val="center"/>
              <w:rPr>
                <w:rFonts w:ascii="宋体" w:hAnsi="宋体"/>
                <w:color w:val="auto"/>
                <w:spacing w:val="-5"/>
              </w:rPr>
            </w:pPr>
            <w:r>
              <w:rPr>
                <w:rFonts w:ascii="宋体" w:hAnsi="宋体"/>
                <w:color w:val="auto"/>
              </w:rPr>
              <w:t>间二甲苯+对二甲苯（µg/kg）</w:t>
            </w:r>
          </w:p>
        </w:tc>
        <w:tc>
          <w:tcPr>
            <w:tcW w:w="614" w:type="pct"/>
            <w:vAlign w:val="center"/>
          </w:tcPr>
          <w:p w14:paraId="0E5F3CFE">
            <w:pPr>
              <w:jc w:val="center"/>
              <w:rPr>
                <w:rFonts w:ascii="宋体" w:hAnsi="宋体"/>
                <w:color w:val="auto"/>
              </w:rPr>
            </w:pPr>
            <w:r>
              <w:rPr>
                <w:rFonts w:ascii="宋体" w:hAnsi="宋体"/>
                <w:color w:val="auto"/>
              </w:rPr>
              <w:t>ND</w:t>
            </w:r>
          </w:p>
        </w:tc>
        <w:tc>
          <w:tcPr>
            <w:tcW w:w="611" w:type="pct"/>
            <w:vAlign w:val="center"/>
          </w:tcPr>
          <w:p w14:paraId="7757AF8F">
            <w:pPr>
              <w:jc w:val="center"/>
              <w:rPr>
                <w:rFonts w:ascii="宋体" w:hAnsi="宋体"/>
                <w:color w:val="auto"/>
              </w:rPr>
            </w:pPr>
            <w:r>
              <w:rPr>
                <w:rFonts w:ascii="宋体" w:hAnsi="宋体"/>
                <w:color w:val="auto"/>
              </w:rPr>
              <w:t>ND</w:t>
            </w:r>
          </w:p>
        </w:tc>
        <w:tc>
          <w:tcPr>
            <w:tcW w:w="611" w:type="pct"/>
            <w:vAlign w:val="center"/>
          </w:tcPr>
          <w:p w14:paraId="411B7ED5">
            <w:pPr>
              <w:jc w:val="center"/>
              <w:rPr>
                <w:rFonts w:ascii="宋体" w:hAnsi="宋体"/>
                <w:color w:val="auto"/>
              </w:rPr>
            </w:pPr>
            <w:r>
              <w:rPr>
                <w:rFonts w:ascii="宋体" w:hAnsi="宋体"/>
                <w:color w:val="auto"/>
              </w:rPr>
              <w:t>ND</w:t>
            </w:r>
          </w:p>
        </w:tc>
        <w:tc>
          <w:tcPr>
            <w:tcW w:w="611" w:type="pct"/>
            <w:vAlign w:val="center"/>
          </w:tcPr>
          <w:p w14:paraId="2A6C9D72">
            <w:pPr>
              <w:jc w:val="center"/>
              <w:rPr>
                <w:rFonts w:ascii="宋体" w:hAnsi="宋体"/>
                <w:color w:val="auto"/>
              </w:rPr>
            </w:pPr>
            <w:r>
              <w:rPr>
                <w:rFonts w:hint="eastAsia" w:ascii="宋体" w:hAnsi="宋体"/>
                <w:color w:val="auto"/>
              </w:rPr>
              <w:t>/</w:t>
            </w:r>
          </w:p>
        </w:tc>
        <w:tc>
          <w:tcPr>
            <w:tcW w:w="640" w:type="pct"/>
            <w:vAlign w:val="center"/>
          </w:tcPr>
          <w:p w14:paraId="0598E5B2">
            <w:pPr>
              <w:jc w:val="center"/>
              <w:rPr>
                <w:rFonts w:ascii="宋体" w:hAnsi="宋体"/>
                <w:color w:val="auto"/>
              </w:rPr>
            </w:pPr>
            <w:r>
              <w:rPr>
                <w:rFonts w:hint="eastAsia" w:ascii="宋体" w:hAnsi="宋体"/>
                <w:color w:val="auto"/>
              </w:rPr>
              <w:t>/</w:t>
            </w:r>
          </w:p>
        </w:tc>
        <w:tc>
          <w:tcPr>
            <w:tcW w:w="639" w:type="pct"/>
            <w:vAlign w:val="center"/>
          </w:tcPr>
          <w:p w14:paraId="7884FE46">
            <w:pPr>
              <w:jc w:val="center"/>
              <w:rPr>
                <w:rFonts w:ascii="宋体" w:hAnsi="宋体"/>
                <w:color w:val="auto"/>
              </w:rPr>
            </w:pPr>
            <w:r>
              <w:rPr>
                <w:rFonts w:hint="eastAsia" w:ascii="宋体" w:hAnsi="宋体"/>
                <w:color w:val="auto"/>
              </w:rPr>
              <w:t>/</w:t>
            </w:r>
          </w:p>
        </w:tc>
        <w:tc>
          <w:tcPr>
            <w:tcW w:w="638" w:type="pct"/>
            <w:vAlign w:val="center"/>
          </w:tcPr>
          <w:p w14:paraId="55DF96A6">
            <w:pPr>
              <w:jc w:val="center"/>
              <w:rPr>
                <w:rFonts w:ascii="宋体" w:hAnsi="宋体"/>
                <w:color w:val="auto"/>
              </w:rPr>
            </w:pPr>
            <w:r>
              <w:rPr>
                <w:rFonts w:hint="eastAsia" w:ascii="宋体" w:hAnsi="宋体"/>
                <w:color w:val="auto"/>
              </w:rPr>
              <w:t>/</w:t>
            </w:r>
          </w:p>
        </w:tc>
      </w:tr>
      <w:tr w14:paraId="5EE68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26B22D7A">
            <w:pPr>
              <w:pStyle w:val="76"/>
              <w:rPr>
                <w:rFonts w:hAnsi="宋体"/>
                <w:color w:val="auto"/>
                <w:spacing w:val="-5"/>
              </w:rPr>
            </w:pPr>
          </w:p>
        </w:tc>
        <w:tc>
          <w:tcPr>
            <w:tcW w:w="476" w:type="pct"/>
            <w:vAlign w:val="center"/>
          </w:tcPr>
          <w:p w14:paraId="31D4ED50">
            <w:pPr>
              <w:spacing w:before="100" w:beforeAutospacing="1" w:after="100" w:afterAutospacing="1"/>
              <w:jc w:val="center"/>
              <w:rPr>
                <w:rFonts w:ascii="宋体" w:hAnsi="宋体"/>
                <w:color w:val="auto"/>
                <w:spacing w:val="-5"/>
              </w:rPr>
            </w:pPr>
            <w:r>
              <w:rPr>
                <w:rFonts w:ascii="宋体" w:hAnsi="宋体"/>
                <w:color w:val="auto"/>
                <w:spacing w:val="-5"/>
              </w:rPr>
              <w:t>邻二甲苯</w:t>
            </w:r>
            <w:r>
              <w:rPr>
                <w:rFonts w:ascii="宋体" w:hAnsi="宋体"/>
                <w:color w:val="auto"/>
              </w:rPr>
              <w:t>（µg/kg）</w:t>
            </w:r>
          </w:p>
        </w:tc>
        <w:tc>
          <w:tcPr>
            <w:tcW w:w="614" w:type="pct"/>
            <w:vAlign w:val="center"/>
          </w:tcPr>
          <w:p w14:paraId="58250C37">
            <w:pPr>
              <w:jc w:val="center"/>
              <w:rPr>
                <w:rFonts w:ascii="宋体" w:hAnsi="宋体"/>
                <w:color w:val="auto"/>
              </w:rPr>
            </w:pPr>
            <w:r>
              <w:rPr>
                <w:rFonts w:ascii="宋体" w:hAnsi="宋体"/>
                <w:color w:val="auto"/>
              </w:rPr>
              <w:t>ND</w:t>
            </w:r>
          </w:p>
        </w:tc>
        <w:tc>
          <w:tcPr>
            <w:tcW w:w="611" w:type="pct"/>
            <w:vAlign w:val="center"/>
          </w:tcPr>
          <w:p w14:paraId="5461C9D0">
            <w:pPr>
              <w:jc w:val="center"/>
              <w:rPr>
                <w:rFonts w:ascii="宋体" w:hAnsi="宋体"/>
                <w:color w:val="auto"/>
              </w:rPr>
            </w:pPr>
            <w:r>
              <w:rPr>
                <w:rFonts w:ascii="宋体" w:hAnsi="宋体"/>
                <w:color w:val="auto"/>
              </w:rPr>
              <w:t>ND</w:t>
            </w:r>
          </w:p>
        </w:tc>
        <w:tc>
          <w:tcPr>
            <w:tcW w:w="611" w:type="pct"/>
            <w:vAlign w:val="center"/>
          </w:tcPr>
          <w:p w14:paraId="752CF22F">
            <w:pPr>
              <w:jc w:val="center"/>
              <w:rPr>
                <w:rFonts w:ascii="宋体" w:hAnsi="宋体"/>
                <w:color w:val="auto"/>
              </w:rPr>
            </w:pPr>
            <w:r>
              <w:rPr>
                <w:rFonts w:ascii="宋体" w:hAnsi="宋体"/>
                <w:color w:val="auto"/>
              </w:rPr>
              <w:t>ND</w:t>
            </w:r>
          </w:p>
        </w:tc>
        <w:tc>
          <w:tcPr>
            <w:tcW w:w="611" w:type="pct"/>
            <w:vAlign w:val="center"/>
          </w:tcPr>
          <w:p w14:paraId="467140CE">
            <w:pPr>
              <w:jc w:val="center"/>
              <w:rPr>
                <w:rFonts w:ascii="宋体" w:hAnsi="宋体"/>
                <w:color w:val="auto"/>
              </w:rPr>
            </w:pPr>
            <w:r>
              <w:rPr>
                <w:rFonts w:hint="eastAsia" w:ascii="宋体" w:hAnsi="宋体"/>
                <w:color w:val="auto"/>
              </w:rPr>
              <w:t>/</w:t>
            </w:r>
          </w:p>
        </w:tc>
        <w:tc>
          <w:tcPr>
            <w:tcW w:w="640" w:type="pct"/>
            <w:vAlign w:val="center"/>
          </w:tcPr>
          <w:p w14:paraId="6118B172">
            <w:pPr>
              <w:jc w:val="center"/>
              <w:rPr>
                <w:rFonts w:ascii="宋体" w:hAnsi="宋体"/>
                <w:color w:val="auto"/>
              </w:rPr>
            </w:pPr>
            <w:r>
              <w:rPr>
                <w:rFonts w:hint="eastAsia" w:ascii="宋体" w:hAnsi="宋体"/>
                <w:color w:val="auto"/>
              </w:rPr>
              <w:t>/</w:t>
            </w:r>
          </w:p>
        </w:tc>
        <w:tc>
          <w:tcPr>
            <w:tcW w:w="639" w:type="pct"/>
            <w:vAlign w:val="center"/>
          </w:tcPr>
          <w:p w14:paraId="08F60FF3">
            <w:pPr>
              <w:jc w:val="center"/>
              <w:rPr>
                <w:rFonts w:ascii="宋体" w:hAnsi="宋体"/>
                <w:color w:val="auto"/>
              </w:rPr>
            </w:pPr>
            <w:r>
              <w:rPr>
                <w:rFonts w:hint="eastAsia" w:ascii="宋体" w:hAnsi="宋体"/>
                <w:color w:val="auto"/>
              </w:rPr>
              <w:t>/</w:t>
            </w:r>
          </w:p>
        </w:tc>
        <w:tc>
          <w:tcPr>
            <w:tcW w:w="638" w:type="pct"/>
            <w:vAlign w:val="center"/>
          </w:tcPr>
          <w:p w14:paraId="056EC497">
            <w:pPr>
              <w:jc w:val="center"/>
              <w:rPr>
                <w:rFonts w:ascii="宋体" w:hAnsi="宋体"/>
                <w:color w:val="auto"/>
              </w:rPr>
            </w:pPr>
            <w:r>
              <w:rPr>
                <w:rFonts w:hint="eastAsia" w:ascii="宋体" w:hAnsi="宋体"/>
                <w:color w:val="auto"/>
              </w:rPr>
              <w:t>/</w:t>
            </w:r>
          </w:p>
        </w:tc>
      </w:tr>
      <w:tr w14:paraId="6D073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24D963BC">
            <w:pPr>
              <w:pStyle w:val="76"/>
              <w:rPr>
                <w:rFonts w:hAnsi="宋体"/>
                <w:color w:val="auto"/>
                <w:spacing w:val="-5"/>
              </w:rPr>
            </w:pPr>
          </w:p>
        </w:tc>
        <w:tc>
          <w:tcPr>
            <w:tcW w:w="476" w:type="pct"/>
            <w:vAlign w:val="center"/>
          </w:tcPr>
          <w:p w14:paraId="54111E2F">
            <w:pPr>
              <w:spacing w:before="100" w:beforeAutospacing="1" w:after="100" w:afterAutospacing="1"/>
              <w:jc w:val="center"/>
              <w:rPr>
                <w:rFonts w:ascii="宋体" w:hAnsi="宋体"/>
                <w:color w:val="auto"/>
                <w:spacing w:val="-5"/>
              </w:rPr>
            </w:pPr>
            <w:r>
              <w:rPr>
                <w:rFonts w:ascii="宋体" w:hAnsi="宋体"/>
                <w:color w:val="auto"/>
                <w:spacing w:val="-5"/>
              </w:rPr>
              <w:t>硝基苯</w:t>
            </w:r>
            <w:r>
              <w:rPr>
                <w:rFonts w:ascii="宋体" w:hAnsi="宋体"/>
                <w:color w:val="auto"/>
              </w:rPr>
              <w:t>（mg/kg）</w:t>
            </w:r>
          </w:p>
        </w:tc>
        <w:tc>
          <w:tcPr>
            <w:tcW w:w="614" w:type="pct"/>
            <w:vAlign w:val="center"/>
          </w:tcPr>
          <w:p w14:paraId="5CCDF22A">
            <w:pPr>
              <w:jc w:val="center"/>
              <w:rPr>
                <w:rFonts w:ascii="宋体" w:hAnsi="宋体"/>
                <w:color w:val="auto"/>
              </w:rPr>
            </w:pPr>
            <w:r>
              <w:rPr>
                <w:rFonts w:ascii="宋体" w:hAnsi="宋体"/>
                <w:color w:val="auto"/>
              </w:rPr>
              <w:t>ND</w:t>
            </w:r>
          </w:p>
        </w:tc>
        <w:tc>
          <w:tcPr>
            <w:tcW w:w="611" w:type="pct"/>
            <w:vAlign w:val="center"/>
          </w:tcPr>
          <w:p w14:paraId="51307407">
            <w:pPr>
              <w:jc w:val="center"/>
              <w:rPr>
                <w:rFonts w:ascii="宋体" w:hAnsi="宋体"/>
                <w:color w:val="auto"/>
              </w:rPr>
            </w:pPr>
            <w:r>
              <w:rPr>
                <w:rFonts w:ascii="宋体" w:hAnsi="宋体"/>
                <w:color w:val="auto"/>
              </w:rPr>
              <w:t>ND</w:t>
            </w:r>
          </w:p>
        </w:tc>
        <w:tc>
          <w:tcPr>
            <w:tcW w:w="611" w:type="pct"/>
            <w:vAlign w:val="center"/>
          </w:tcPr>
          <w:p w14:paraId="0776B895">
            <w:pPr>
              <w:jc w:val="center"/>
              <w:rPr>
                <w:rFonts w:ascii="宋体" w:hAnsi="宋体"/>
                <w:color w:val="auto"/>
              </w:rPr>
            </w:pPr>
            <w:r>
              <w:rPr>
                <w:rFonts w:ascii="宋体" w:hAnsi="宋体"/>
                <w:color w:val="auto"/>
              </w:rPr>
              <w:t>ND</w:t>
            </w:r>
          </w:p>
        </w:tc>
        <w:tc>
          <w:tcPr>
            <w:tcW w:w="611" w:type="pct"/>
            <w:vAlign w:val="center"/>
          </w:tcPr>
          <w:p w14:paraId="139D6719">
            <w:pPr>
              <w:jc w:val="center"/>
              <w:rPr>
                <w:rFonts w:ascii="宋体" w:hAnsi="宋体"/>
                <w:color w:val="auto"/>
              </w:rPr>
            </w:pPr>
            <w:r>
              <w:rPr>
                <w:rFonts w:hint="eastAsia" w:ascii="宋体" w:hAnsi="宋体"/>
                <w:color w:val="auto"/>
              </w:rPr>
              <w:t>/</w:t>
            </w:r>
          </w:p>
        </w:tc>
        <w:tc>
          <w:tcPr>
            <w:tcW w:w="640" w:type="pct"/>
            <w:vAlign w:val="center"/>
          </w:tcPr>
          <w:p w14:paraId="2EB2586C">
            <w:pPr>
              <w:jc w:val="center"/>
              <w:rPr>
                <w:rFonts w:ascii="宋体" w:hAnsi="宋体"/>
                <w:color w:val="auto"/>
              </w:rPr>
            </w:pPr>
            <w:r>
              <w:rPr>
                <w:rFonts w:hint="eastAsia" w:ascii="宋体" w:hAnsi="宋体"/>
                <w:color w:val="auto"/>
              </w:rPr>
              <w:t>/</w:t>
            </w:r>
          </w:p>
        </w:tc>
        <w:tc>
          <w:tcPr>
            <w:tcW w:w="639" w:type="pct"/>
            <w:vAlign w:val="center"/>
          </w:tcPr>
          <w:p w14:paraId="0A31F9CD">
            <w:pPr>
              <w:jc w:val="center"/>
              <w:rPr>
                <w:rFonts w:ascii="宋体" w:hAnsi="宋体"/>
                <w:color w:val="auto"/>
              </w:rPr>
            </w:pPr>
            <w:r>
              <w:rPr>
                <w:rFonts w:hint="eastAsia" w:ascii="宋体" w:hAnsi="宋体"/>
                <w:color w:val="auto"/>
              </w:rPr>
              <w:t>/</w:t>
            </w:r>
          </w:p>
        </w:tc>
        <w:tc>
          <w:tcPr>
            <w:tcW w:w="638" w:type="pct"/>
            <w:vAlign w:val="center"/>
          </w:tcPr>
          <w:p w14:paraId="13F2C9F8">
            <w:pPr>
              <w:jc w:val="center"/>
              <w:rPr>
                <w:rFonts w:ascii="宋体" w:hAnsi="宋体"/>
                <w:color w:val="auto"/>
              </w:rPr>
            </w:pPr>
            <w:r>
              <w:rPr>
                <w:rFonts w:hint="eastAsia" w:ascii="宋体" w:hAnsi="宋体"/>
                <w:color w:val="auto"/>
              </w:rPr>
              <w:t>/</w:t>
            </w:r>
          </w:p>
        </w:tc>
      </w:tr>
      <w:tr w14:paraId="3EE75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1B62329F">
            <w:pPr>
              <w:pStyle w:val="76"/>
              <w:rPr>
                <w:rFonts w:hAnsi="宋体"/>
                <w:color w:val="auto"/>
                <w:spacing w:val="-5"/>
              </w:rPr>
            </w:pPr>
          </w:p>
        </w:tc>
        <w:tc>
          <w:tcPr>
            <w:tcW w:w="476" w:type="pct"/>
            <w:vAlign w:val="center"/>
          </w:tcPr>
          <w:p w14:paraId="75499F65">
            <w:pPr>
              <w:spacing w:before="100" w:beforeAutospacing="1" w:after="100" w:afterAutospacing="1"/>
              <w:jc w:val="center"/>
              <w:rPr>
                <w:rFonts w:ascii="宋体" w:hAnsi="宋体"/>
                <w:color w:val="auto"/>
                <w:spacing w:val="-5"/>
              </w:rPr>
            </w:pPr>
            <w:r>
              <w:rPr>
                <w:rFonts w:ascii="宋体" w:hAnsi="宋体"/>
                <w:color w:val="auto"/>
                <w:spacing w:val="-5"/>
              </w:rPr>
              <w:t>苯胺</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5C6180A6">
            <w:pPr>
              <w:jc w:val="center"/>
              <w:rPr>
                <w:rFonts w:ascii="宋体" w:hAnsi="宋体"/>
                <w:color w:val="auto"/>
              </w:rPr>
            </w:pPr>
            <w:r>
              <w:rPr>
                <w:rFonts w:ascii="宋体" w:hAnsi="宋体"/>
                <w:color w:val="auto"/>
              </w:rPr>
              <w:t>ND</w:t>
            </w:r>
          </w:p>
        </w:tc>
        <w:tc>
          <w:tcPr>
            <w:tcW w:w="611" w:type="pct"/>
            <w:vAlign w:val="center"/>
          </w:tcPr>
          <w:p w14:paraId="4E762C96">
            <w:pPr>
              <w:jc w:val="center"/>
              <w:rPr>
                <w:rFonts w:ascii="宋体" w:hAnsi="宋体"/>
                <w:color w:val="auto"/>
              </w:rPr>
            </w:pPr>
            <w:r>
              <w:rPr>
                <w:rFonts w:ascii="宋体" w:hAnsi="宋体"/>
                <w:color w:val="auto"/>
              </w:rPr>
              <w:t>ND</w:t>
            </w:r>
          </w:p>
        </w:tc>
        <w:tc>
          <w:tcPr>
            <w:tcW w:w="611" w:type="pct"/>
            <w:vAlign w:val="center"/>
          </w:tcPr>
          <w:p w14:paraId="421D723D">
            <w:pPr>
              <w:jc w:val="center"/>
              <w:rPr>
                <w:rFonts w:ascii="宋体" w:hAnsi="宋体"/>
                <w:color w:val="auto"/>
              </w:rPr>
            </w:pPr>
            <w:r>
              <w:rPr>
                <w:rFonts w:ascii="宋体" w:hAnsi="宋体"/>
                <w:color w:val="auto"/>
              </w:rPr>
              <w:t>ND</w:t>
            </w:r>
          </w:p>
        </w:tc>
        <w:tc>
          <w:tcPr>
            <w:tcW w:w="611" w:type="pct"/>
            <w:vAlign w:val="center"/>
          </w:tcPr>
          <w:p w14:paraId="12BA80B4">
            <w:pPr>
              <w:jc w:val="center"/>
              <w:rPr>
                <w:rFonts w:ascii="宋体" w:hAnsi="宋体"/>
                <w:color w:val="auto"/>
              </w:rPr>
            </w:pPr>
            <w:r>
              <w:rPr>
                <w:rFonts w:hint="eastAsia" w:ascii="宋体" w:hAnsi="宋体"/>
                <w:color w:val="auto"/>
              </w:rPr>
              <w:t>/</w:t>
            </w:r>
          </w:p>
        </w:tc>
        <w:tc>
          <w:tcPr>
            <w:tcW w:w="640" w:type="pct"/>
            <w:vAlign w:val="center"/>
          </w:tcPr>
          <w:p w14:paraId="01806E47">
            <w:pPr>
              <w:jc w:val="center"/>
              <w:rPr>
                <w:rFonts w:ascii="宋体" w:hAnsi="宋体"/>
                <w:color w:val="auto"/>
              </w:rPr>
            </w:pPr>
            <w:r>
              <w:rPr>
                <w:rFonts w:hint="eastAsia" w:ascii="宋体" w:hAnsi="宋体"/>
                <w:color w:val="auto"/>
              </w:rPr>
              <w:t>/</w:t>
            </w:r>
          </w:p>
        </w:tc>
        <w:tc>
          <w:tcPr>
            <w:tcW w:w="639" w:type="pct"/>
            <w:vAlign w:val="center"/>
          </w:tcPr>
          <w:p w14:paraId="5CCDBC8E">
            <w:pPr>
              <w:jc w:val="center"/>
              <w:rPr>
                <w:rFonts w:ascii="宋体" w:hAnsi="宋体"/>
                <w:color w:val="auto"/>
              </w:rPr>
            </w:pPr>
            <w:r>
              <w:rPr>
                <w:rFonts w:hint="eastAsia" w:ascii="宋体" w:hAnsi="宋体"/>
                <w:color w:val="auto"/>
              </w:rPr>
              <w:t>/</w:t>
            </w:r>
          </w:p>
        </w:tc>
        <w:tc>
          <w:tcPr>
            <w:tcW w:w="638" w:type="pct"/>
            <w:vAlign w:val="center"/>
          </w:tcPr>
          <w:p w14:paraId="0EB920B8">
            <w:pPr>
              <w:jc w:val="center"/>
              <w:rPr>
                <w:rFonts w:ascii="宋体" w:hAnsi="宋体"/>
                <w:color w:val="auto"/>
              </w:rPr>
            </w:pPr>
            <w:r>
              <w:rPr>
                <w:rFonts w:hint="eastAsia" w:ascii="宋体" w:hAnsi="宋体"/>
                <w:color w:val="auto"/>
              </w:rPr>
              <w:t>/</w:t>
            </w:r>
          </w:p>
        </w:tc>
      </w:tr>
      <w:tr w14:paraId="35506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6D6DC085">
            <w:pPr>
              <w:pStyle w:val="76"/>
              <w:rPr>
                <w:rFonts w:hAnsi="宋体"/>
                <w:color w:val="auto"/>
                <w:spacing w:val="-5"/>
              </w:rPr>
            </w:pPr>
          </w:p>
        </w:tc>
        <w:tc>
          <w:tcPr>
            <w:tcW w:w="476" w:type="pct"/>
            <w:vAlign w:val="center"/>
          </w:tcPr>
          <w:p w14:paraId="2BA49762">
            <w:pPr>
              <w:spacing w:before="100" w:beforeAutospacing="1" w:after="100" w:afterAutospacing="1"/>
              <w:jc w:val="center"/>
              <w:rPr>
                <w:rFonts w:ascii="宋体" w:hAnsi="宋体"/>
                <w:color w:val="auto"/>
                <w:spacing w:val="-5"/>
              </w:rPr>
            </w:pPr>
            <w:r>
              <w:rPr>
                <w:rFonts w:ascii="宋体" w:hAnsi="宋体"/>
                <w:color w:val="auto"/>
                <w:spacing w:val="-5"/>
              </w:rPr>
              <w:t>2-氯酚</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32C54A0C">
            <w:pPr>
              <w:jc w:val="center"/>
              <w:rPr>
                <w:rFonts w:ascii="宋体" w:hAnsi="宋体"/>
                <w:color w:val="auto"/>
              </w:rPr>
            </w:pPr>
            <w:r>
              <w:rPr>
                <w:rFonts w:ascii="宋体" w:hAnsi="宋体"/>
                <w:color w:val="auto"/>
              </w:rPr>
              <w:t>ND</w:t>
            </w:r>
          </w:p>
        </w:tc>
        <w:tc>
          <w:tcPr>
            <w:tcW w:w="611" w:type="pct"/>
            <w:vAlign w:val="center"/>
          </w:tcPr>
          <w:p w14:paraId="7D566FF9">
            <w:pPr>
              <w:jc w:val="center"/>
              <w:rPr>
                <w:rFonts w:ascii="宋体" w:hAnsi="宋体"/>
                <w:color w:val="auto"/>
              </w:rPr>
            </w:pPr>
            <w:r>
              <w:rPr>
                <w:rFonts w:ascii="宋体" w:hAnsi="宋体"/>
                <w:color w:val="auto"/>
              </w:rPr>
              <w:t>ND</w:t>
            </w:r>
          </w:p>
        </w:tc>
        <w:tc>
          <w:tcPr>
            <w:tcW w:w="611" w:type="pct"/>
            <w:vAlign w:val="center"/>
          </w:tcPr>
          <w:p w14:paraId="65F9FDA2">
            <w:pPr>
              <w:jc w:val="center"/>
              <w:rPr>
                <w:rFonts w:ascii="宋体" w:hAnsi="宋体"/>
                <w:color w:val="auto"/>
              </w:rPr>
            </w:pPr>
            <w:r>
              <w:rPr>
                <w:rFonts w:ascii="宋体" w:hAnsi="宋体"/>
                <w:color w:val="auto"/>
              </w:rPr>
              <w:t>ND</w:t>
            </w:r>
          </w:p>
        </w:tc>
        <w:tc>
          <w:tcPr>
            <w:tcW w:w="611" w:type="pct"/>
            <w:vAlign w:val="center"/>
          </w:tcPr>
          <w:p w14:paraId="203F3789">
            <w:pPr>
              <w:jc w:val="center"/>
              <w:rPr>
                <w:rFonts w:ascii="宋体" w:hAnsi="宋体"/>
                <w:color w:val="auto"/>
              </w:rPr>
            </w:pPr>
            <w:r>
              <w:rPr>
                <w:rFonts w:hint="eastAsia" w:ascii="宋体" w:hAnsi="宋体"/>
                <w:color w:val="auto"/>
              </w:rPr>
              <w:t>/</w:t>
            </w:r>
          </w:p>
        </w:tc>
        <w:tc>
          <w:tcPr>
            <w:tcW w:w="640" w:type="pct"/>
            <w:vAlign w:val="center"/>
          </w:tcPr>
          <w:p w14:paraId="50D963E6">
            <w:pPr>
              <w:jc w:val="center"/>
              <w:rPr>
                <w:rFonts w:ascii="宋体" w:hAnsi="宋体"/>
                <w:color w:val="auto"/>
              </w:rPr>
            </w:pPr>
            <w:r>
              <w:rPr>
                <w:rFonts w:hint="eastAsia" w:ascii="宋体" w:hAnsi="宋体"/>
                <w:color w:val="auto"/>
              </w:rPr>
              <w:t>/</w:t>
            </w:r>
          </w:p>
        </w:tc>
        <w:tc>
          <w:tcPr>
            <w:tcW w:w="639" w:type="pct"/>
            <w:vAlign w:val="center"/>
          </w:tcPr>
          <w:p w14:paraId="0D5EDA4B">
            <w:pPr>
              <w:jc w:val="center"/>
              <w:rPr>
                <w:rFonts w:ascii="宋体" w:hAnsi="宋体"/>
                <w:color w:val="auto"/>
              </w:rPr>
            </w:pPr>
            <w:r>
              <w:rPr>
                <w:rFonts w:hint="eastAsia" w:ascii="宋体" w:hAnsi="宋体"/>
                <w:color w:val="auto"/>
              </w:rPr>
              <w:t>/</w:t>
            </w:r>
          </w:p>
        </w:tc>
        <w:tc>
          <w:tcPr>
            <w:tcW w:w="638" w:type="pct"/>
            <w:vAlign w:val="center"/>
          </w:tcPr>
          <w:p w14:paraId="7464E983">
            <w:pPr>
              <w:jc w:val="center"/>
              <w:rPr>
                <w:rFonts w:ascii="宋体" w:hAnsi="宋体"/>
                <w:color w:val="auto"/>
              </w:rPr>
            </w:pPr>
            <w:r>
              <w:rPr>
                <w:rFonts w:hint="eastAsia" w:ascii="宋体" w:hAnsi="宋体"/>
                <w:color w:val="auto"/>
              </w:rPr>
              <w:t>/</w:t>
            </w:r>
          </w:p>
        </w:tc>
      </w:tr>
      <w:tr w14:paraId="51DD8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551A7C48">
            <w:pPr>
              <w:pStyle w:val="76"/>
              <w:rPr>
                <w:rFonts w:hAnsi="宋体"/>
                <w:color w:val="auto"/>
                <w:spacing w:val="-5"/>
              </w:rPr>
            </w:pPr>
          </w:p>
        </w:tc>
        <w:tc>
          <w:tcPr>
            <w:tcW w:w="476" w:type="pct"/>
            <w:vAlign w:val="center"/>
          </w:tcPr>
          <w:p w14:paraId="4FF500B9">
            <w:pPr>
              <w:spacing w:before="100" w:beforeAutospacing="1" w:after="100" w:afterAutospacing="1"/>
              <w:jc w:val="center"/>
              <w:rPr>
                <w:rFonts w:ascii="宋体" w:hAnsi="宋体"/>
                <w:color w:val="auto"/>
                <w:spacing w:val="-5"/>
              </w:rPr>
            </w:pPr>
            <w:r>
              <w:rPr>
                <w:rFonts w:ascii="宋体" w:hAnsi="宋体"/>
                <w:color w:val="auto"/>
                <w:spacing w:val="-5"/>
              </w:rPr>
              <w:t>苯并[a]蒽</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535D8DDB">
            <w:pPr>
              <w:jc w:val="center"/>
              <w:rPr>
                <w:rFonts w:ascii="宋体" w:hAnsi="宋体"/>
                <w:color w:val="auto"/>
              </w:rPr>
            </w:pPr>
            <w:r>
              <w:rPr>
                <w:rFonts w:ascii="宋体" w:hAnsi="宋体"/>
                <w:color w:val="auto"/>
              </w:rPr>
              <w:t>ND</w:t>
            </w:r>
          </w:p>
        </w:tc>
        <w:tc>
          <w:tcPr>
            <w:tcW w:w="611" w:type="pct"/>
            <w:vAlign w:val="center"/>
          </w:tcPr>
          <w:p w14:paraId="0D246485">
            <w:pPr>
              <w:jc w:val="center"/>
              <w:rPr>
                <w:rFonts w:ascii="宋体" w:hAnsi="宋体"/>
                <w:color w:val="auto"/>
              </w:rPr>
            </w:pPr>
            <w:r>
              <w:rPr>
                <w:rFonts w:ascii="宋体" w:hAnsi="宋体"/>
                <w:color w:val="auto"/>
              </w:rPr>
              <w:t>ND</w:t>
            </w:r>
          </w:p>
        </w:tc>
        <w:tc>
          <w:tcPr>
            <w:tcW w:w="611" w:type="pct"/>
            <w:vAlign w:val="center"/>
          </w:tcPr>
          <w:p w14:paraId="20846DF3">
            <w:pPr>
              <w:jc w:val="center"/>
              <w:rPr>
                <w:rFonts w:ascii="宋体" w:hAnsi="宋体"/>
                <w:color w:val="auto"/>
              </w:rPr>
            </w:pPr>
            <w:r>
              <w:rPr>
                <w:rFonts w:ascii="宋体" w:hAnsi="宋体"/>
                <w:color w:val="auto"/>
              </w:rPr>
              <w:t>ND</w:t>
            </w:r>
          </w:p>
        </w:tc>
        <w:tc>
          <w:tcPr>
            <w:tcW w:w="611" w:type="pct"/>
            <w:vAlign w:val="center"/>
          </w:tcPr>
          <w:p w14:paraId="03092B89">
            <w:pPr>
              <w:jc w:val="center"/>
              <w:rPr>
                <w:rFonts w:ascii="宋体" w:hAnsi="宋体"/>
                <w:color w:val="auto"/>
              </w:rPr>
            </w:pPr>
            <w:r>
              <w:rPr>
                <w:rFonts w:hint="eastAsia" w:ascii="宋体" w:hAnsi="宋体"/>
                <w:color w:val="auto"/>
              </w:rPr>
              <w:t>/</w:t>
            </w:r>
          </w:p>
        </w:tc>
        <w:tc>
          <w:tcPr>
            <w:tcW w:w="640" w:type="pct"/>
            <w:vAlign w:val="center"/>
          </w:tcPr>
          <w:p w14:paraId="355289A4">
            <w:pPr>
              <w:jc w:val="center"/>
              <w:rPr>
                <w:rFonts w:ascii="宋体" w:hAnsi="宋体"/>
                <w:color w:val="auto"/>
              </w:rPr>
            </w:pPr>
            <w:r>
              <w:rPr>
                <w:rFonts w:hint="eastAsia" w:ascii="宋体" w:hAnsi="宋体"/>
                <w:color w:val="auto"/>
              </w:rPr>
              <w:t>/</w:t>
            </w:r>
          </w:p>
        </w:tc>
        <w:tc>
          <w:tcPr>
            <w:tcW w:w="639" w:type="pct"/>
            <w:vAlign w:val="center"/>
          </w:tcPr>
          <w:p w14:paraId="2491ACF9">
            <w:pPr>
              <w:jc w:val="center"/>
              <w:rPr>
                <w:rFonts w:ascii="宋体" w:hAnsi="宋体"/>
                <w:color w:val="auto"/>
              </w:rPr>
            </w:pPr>
            <w:r>
              <w:rPr>
                <w:rFonts w:hint="eastAsia" w:ascii="宋体" w:hAnsi="宋体"/>
                <w:color w:val="auto"/>
              </w:rPr>
              <w:t>/</w:t>
            </w:r>
          </w:p>
        </w:tc>
        <w:tc>
          <w:tcPr>
            <w:tcW w:w="638" w:type="pct"/>
            <w:vAlign w:val="center"/>
          </w:tcPr>
          <w:p w14:paraId="2B512F76">
            <w:pPr>
              <w:jc w:val="center"/>
              <w:rPr>
                <w:rFonts w:ascii="宋体" w:hAnsi="宋体"/>
                <w:color w:val="auto"/>
              </w:rPr>
            </w:pPr>
            <w:r>
              <w:rPr>
                <w:rFonts w:hint="eastAsia" w:ascii="宋体" w:hAnsi="宋体"/>
                <w:color w:val="auto"/>
              </w:rPr>
              <w:t>/</w:t>
            </w:r>
          </w:p>
        </w:tc>
      </w:tr>
      <w:tr w14:paraId="75E0A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023C9013">
            <w:pPr>
              <w:pStyle w:val="76"/>
              <w:rPr>
                <w:rFonts w:hAnsi="宋体"/>
                <w:color w:val="auto"/>
                <w:spacing w:val="-5"/>
              </w:rPr>
            </w:pPr>
          </w:p>
        </w:tc>
        <w:tc>
          <w:tcPr>
            <w:tcW w:w="476" w:type="pct"/>
            <w:vAlign w:val="center"/>
          </w:tcPr>
          <w:p w14:paraId="1262A211">
            <w:pPr>
              <w:spacing w:before="100" w:beforeAutospacing="1" w:after="100" w:afterAutospacing="1"/>
              <w:jc w:val="center"/>
              <w:rPr>
                <w:rFonts w:ascii="宋体" w:hAnsi="宋体"/>
                <w:color w:val="auto"/>
                <w:spacing w:val="-5"/>
              </w:rPr>
            </w:pPr>
            <w:r>
              <w:rPr>
                <w:rFonts w:ascii="宋体" w:hAnsi="宋体"/>
                <w:color w:val="auto"/>
                <w:spacing w:val="-5"/>
              </w:rPr>
              <w:t>苯并[a]芘</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370CB470">
            <w:pPr>
              <w:jc w:val="center"/>
              <w:rPr>
                <w:rFonts w:ascii="宋体" w:hAnsi="宋体"/>
                <w:color w:val="auto"/>
              </w:rPr>
            </w:pPr>
            <w:r>
              <w:rPr>
                <w:rFonts w:ascii="宋体" w:hAnsi="宋体"/>
                <w:color w:val="auto"/>
              </w:rPr>
              <w:t>ND</w:t>
            </w:r>
          </w:p>
        </w:tc>
        <w:tc>
          <w:tcPr>
            <w:tcW w:w="611" w:type="pct"/>
            <w:vAlign w:val="center"/>
          </w:tcPr>
          <w:p w14:paraId="5340701F">
            <w:pPr>
              <w:jc w:val="center"/>
              <w:rPr>
                <w:rFonts w:ascii="宋体" w:hAnsi="宋体"/>
                <w:color w:val="auto"/>
              </w:rPr>
            </w:pPr>
            <w:r>
              <w:rPr>
                <w:rFonts w:ascii="宋体" w:hAnsi="宋体"/>
                <w:color w:val="auto"/>
              </w:rPr>
              <w:t>ND</w:t>
            </w:r>
          </w:p>
        </w:tc>
        <w:tc>
          <w:tcPr>
            <w:tcW w:w="611" w:type="pct"/>
            <w:vAlign w:val="center"/>
          </w:tcPr>
          <w:p w14:paraId="7A96930E">
            <w:pPr>
              <w:jc w:val="center"/>
              <w:rPr>
                <w:rFonts w:ascii="宋体" w:hAnsi="宋体"/>
                <w:color w:val="auto"/>
              </w:rPr>
            </w:pPr>
            <w:r>
              <w:rPr>
                <w:rFonts w:ascii="宋体" w:hAnsi="宋体"/>
                <w:color w:val="auto"/>
              </w:rPr>
              <w:t>ND</w:t>
            </w:r>
          </w:p>
        </w:tc>
        <w:tc>
          <w:tcPr>
            <w:tcW w:w="611" w:type="pct"/>
            <w:vAlign w:val="center"/>
          </w:tcPr>
          <w:p w14:paraId="132AFB46">
            <w:pPr>
              <w:jc w:val="center"/>
              <w:rPr>
                <w:rFonts w:ascii="宋体" w:hAnsi="宋体"/>
                <w:color w:val="auto"/>
              </w:rPr>
            </w:pPr>
            <w:r>
              <w:rPr>
                <w:rFonts w:hint="eastAsia" w:ascii="宋体" w:hAnsi="宋体"/>
                <w:color w:val="auto"/>
              </w:rPr>
              <w:t>/</w:t>
            </w:r>
          </w:p>
        </w:tc>
        <w:tc>
          <w:tcPr>
            <w:tcW w:w="640" w:type="pct"/>
            <w:vAlign w:val="center"/>
          </w:tcPr>
          <w:p w14:paraId="290E1A89">
            <w:pPr>
              <w:jc w:val="center"/>
              <w:rPr>
                <w:rFonts w:ascii="宋体" w:hAnsi="宋体"/>
                <w:color w:val="auto"/>
              </w:rPr>
            </w:pPr>
            <w:r>
              <w:rPr>
                <w:rFonts w:hint="eastAsia" w:ascii="宋体" w:hAnsi="宋体"/>
                <w:color w:val="auto"/>
              </w:rPr>
              <w:t>/</w:t>
            </w:r>
          </w:p>
        </w:tc>
        <w:tc>
          <w:tcPr>
            <w:tcW w:w="639" w:type="pct"/>
            <w:vAlign w:val="center"/>
          </w:tcPr>
          <w:p w14:paraId="1A31A80D">
            <w:pPr>
              <w:jc w:val="center"/>
              <w:rPr>
                <w:rFonts w:ascii="宋体" w:hAnsi="宋体"/>
                <w:color w:val="auto"/>
              </w:rPr>
            </w:pPr>
            <w:r>
              <w:rPr>
                <w:rFonts w:hint="eastAsia" w:ascii="宋体" w:hAnsi="宋体"/>
                <w:color w:val="auto"/>
              </w:rPr>
              <w:t>/</w:t>
            </w:r>
          </w:p>
        </w:tc>
        <w:tc>
          <w:tcPr>
            <w:tcW w:w="638" w:type="pct"/>
            <w:vAlign w:val="center"/>
          </w:tcPr>
          <w:p w14:paraId="40360FA5">
            <w:pPr>
              <w:jc w:val="center"/>
              <w:rPr>
                <w:rFonts w:ascii="宋体" w:hAnsi="宋体"/>
                <w:color w:val="auto"/>
              </w:rPr>
            </w:pPr>
            <w:r>
              <w:rPr>
                <w:rFonts w:hint="eastAsia" w:ascii="宋体" w:hAnsi="宋体"/>
                <w:color w:val="auto"/>
              </w:rPr>
              <w:t>/</w:t>
            </w:r>
          </w:p>
        </w:tc>
      </w:tr>
      <w:tr w14:paraId="5503A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2EA97DBE">
            <w:pPr>
              <w:pStyle w:val="76"/>
              <w:rPr>
                <w:rFonts w:hAnsi="宋体"/>
                <w:color w:val="auto"/>
                <w:spacing w:val="-5"/>
              </w:rPr>
            </w:pPr>
          </w:p>
        </w:tc>
        <w:tc>
          <w:tcPr>
            <w:tcW w:w="476" w:type="pct"/>
            <w:vAlign w:val="center"/>
          </w:tcPr>
          <w:p w14:paraId="518024AE">
            <w:pPr>
              <w:spacing w:before="100" w:beforeAutospacing="1" w:after="100" w:afterAutospacing="1"/>
              <w:jc w:val="center"/>
              <w:rPr>
                <w:rFonts w:ascii="宋体" w:hAnsi="宋体"/>
                <w:color w:val="auto"/>
                <w:spacing w:val="-5"/>
              </w:rPr>
            </w:pPr>
            <w:r>
              <w:rPr>
                <w:rFonts w:ascii="宋体" w:hAnsi="宋体"/>
                <w:color w:val="auto"/>
                <w:spacing w:val="-5"/>
              </w:rPr>
              <w:t>苯并[b]荧蒽</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57C1AC58">
            <w:pPr>
              <w:jc w:val="center"/>
              <w:rPr>
                <w:rFonts w:ascii="宋体" w:hAnsi="宋体"/>
                <w:color w:val="auto"/>
              </w:rPr>
            </w:pPr>
            <w:r>
              <w:rPr>
                <w:rFonts w:ascii="宋体" w:hAnsi="宋体"/>
                <w:color w:val="auto"/>
              </w:rPr>
              <w:t>ND</w:t>
            </w:r>
          </w:p>
        </w:tc>
        <w:tc>
          <w:tcPr>
            <w:tcW w:w="611" w:type="pct"/>
            <w:vAlign w:val="center"/>
          </w:tcPr>
          <w:p w14:paraId="7C04EFD6">
            <w:pPr>
              <w:jc w:val="center"/>
              <w:rPr>
                <w:rFonts w:ascii="宋体" w:hAnsi="宋体"/>
                <w:color w:val="auto"/>
              </w:rPr>
            </w:pPr>
            <w:r>
              <w:rPr>
                <w:rFonts w:ascii="宋体" w:hAnsi="宋体"/>
                <w:color w:val="auto"/>
              </w:rPr>
              <w:t>ND</w:t>
            </w:r>
          </w:p>
        </w:tc>
        <w:tc>
          <w:tcPr>
            <w:tcW w:w="611" w:type="pct"/>
            <w:vAlign w:val="center"/>
          </w:tcPr>
          <w:p w14:paraId="006B3693">
            <w:pPr>
              <w:jc w:val="center"/>
              <w:rPr>
                <w:rFonts w:ascii="宋体" w:hAnsi="宋体"/>
                <w:color w:val="auto"/>
              </w:rPr>
            </w:pPr>
            <w:r>
              <w:rPr>
                <w:rFonts w:ascii="宋体" w:hAnsi="宋体"/>
                <w:color w:val="auto"/>
              </w:rPr>
              <w:t>ND</w:t>
            </w:r>
          </w:p>
        </w:tc>
        <w:tc>
          <w:tcPr>
            <w:tcW w:w="611" w:type="pct"/>
            <w:vAlign w:val="center"/>
          </w:tcPr>
          <w:p w14:paraId="3EFD7512">
            <w:pPr>
              <w:jc w:val="center"/>
              <w:rPr>
                <w:rFonts w:ascii="宋体" w:hAnsi="宋体"/>
                <w:color w:val="auto"/>
              </w:rPr>
            </w:pPr>
            <w:r>
              <w:rPr>
                <w:rFonts w:hint="eastAsia" w:ascii="宋体" w:hAnsi="宋体"/>
                <w:color w:val="auto"/>
              </w:rPr>
              <w:t>/</w:t>
            </w:r>
          </w:p>
        </w:tc>
        <w:tc>
          <w:tcPr>
            <w:tcW w:w="640" w:type="pct"/>
            <w:vAlign w:val="center"/>
          </w:tcPr>
          <w:p w14:paraId="0BA59342">
            <w:pPr>
              <w:jc w:val="center"/>
              <w:rPr>
                <w:rFonts w:ascii="宋体" w:hAnsi="宋体"/>
                <w:color w:val="auto"/>
              </w:rPr>
            </w:pPr>
            <w:r>
              <w:rPr>
                <w:rFonts w:hint="eastAsia" w:ascii="宋体" w:hAnsi="宋体"/>
                <w:color w:val="auto"/>
              </w:rPr>
              <w:t>/</w:t>
            </w:r>
          </w:p>
        </w:tc>
        <w:tc>
          <w:tcPr>
            <w:tcW w:w="639" w:type="pct"/>
            <w:vAlign w:val="center"/>
          </w:tcPr>
          <w:p w14:paraId="58DC385A">
            <w:pPr>
              <w:jc w:val="center"/>
              <w:rPr>
                <w:rFonts w:ascii="宋体" w:hAnsi="宋体"/>
                <w:color w:val="auto"/>
              </w:rPr>
            </w:pPr>
            <w:r>
              <w:rPr>
                <w:rFonts w:hint="eastAsia" w:ascii="宋体" w:hAnsi="宋体"/>
                <w:color w:val="auto"/>
              </w:rPr>
              <w:t>/</w:t>
            </w:r>
          </w:p>
        </w:tc>
        <w:tc>
          <w:tcPr>
            <w:tcW w:w="638" w:type="pct"/>
            <w:vAlign w:val="center"/>
          </w:tcPr>
          <w:p w14:paraId="40948C45">
            <w:pPr>
              <w:jc w:val="center"/>
              <w:rPr>
                <w:rFonts w:ascii="宋体" w:hAnsi="宋体"/>
                <w:color w:val="auto"/>
              </w:rPr>
            </w:pPr>
            <w:r>
              <w:rPr>
                <w:rFonts w:hint="eastAsia" w:ascii="宋体" w:hAnsi="宋体"/>
                <w:color w:val="auto"/>
              </w:rPr>
              <w:t>/</w:t>
            </w:r>
          </w:p>
        </w:tc>
      </w:tr>
      <w:tr w14:paraId="26DDA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7ED2C9BD">
            <w:pPr>
              <w:pStyle w:val="76"/>
              <w:rPr>
                <w:rFonts w:hAnsi="宋体"/>
                <w:color w:val="auto"/>
                <w:spacing w:val="-5"/>
              </w:rPr>
            </w:pPr>
          </w:p>
        </w:tc>
        <w:tc>
          <w:tcPr>
            <w:tcW w:w="476" w:type="pct"/>
            <w:vAlign w:val="center"/>
          </w:tcPr>
          <w:p w14:paraId="0B61660A">
            <w:pPr>
              <w:spacing w:before="100" w:beforeAutospacing="1" w:after="100" w:afterAutospacing="1"/>
              <w:jc w:val="center"/>
              <w:rPr>
                <w:rFonts w:ascii="宋体" w:hAnsi="宋体"/>
                <w:color w:val="auto"/>
                <w:spacing w:val="-5"/>
              </w:rPr>
            </w:pPr>
            <w:r>
              <w:rPr>
                <w:rFonts w:ascii="宋体" w:hAnsi="宋体"/>
                <w:color w:val="auto"/>
                <w:spacing w:val="-5"/>
              </w:rPr>
              <w:t>苯并[k]荧蒽</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3180C9DB">
            <w:pPr>
              <w:jc w:val="center"/>
              <w:rPr>
                <w:rFonts w:ascii="宋体" w:hAnsi="宋体"/>
                <w:color w:val="auto"/>
              </w:rPr>
            </w:pPr>
            <w:r>
              <w:rPr>
                <w:rFonts w:ascii="宋体" w:hAnsi="宋体"/>
                <w:color w:val="auto"/>
              </w:rPr>
              <w:t>ND</w:t>
            </w:r>
          </w:p>
        </w:tc>
        <w:tc>
          <w:tcPr>
            <w:tcW w:w="611" w:type="pct"/>
            <w:vAlign w:val="center"/>
          </w:tcPr>
          <w:p w14:paraId="60F06D13">
            <w:pPr>
              <w:jc w:val="center"/>
              <w:rPr>
                <w:rFonts w:ascii="宋体" w:hAnsi="宋体"/>
                <w:color w:val="auto"/>
              </w:rPr>
            </w:pPr>
            <w:r>
              <w:rPr>
                <w:rFonts w:ascii="宋体" w:hAnsi="宋体"/>
                <w:color w:val="auto"/>
              </w:rPr>
              <w:t>ND</w:t>
            </w:r>
          </w:p>
        </w:tc>
        <w:tc>
          <w:tcPr>
            <w:tcW w:w="611" w:type="pct"/>
            <w:vAlign w:val="center"/>
          </w:tcPr>
          <w:p w14:paraId="0CD1FE95">
            <w:pPr>
              <w:jc w:val="center"/>
              <w:rPr>
                <w:rFonts w:ascii="宋体" w:hAnsi="宋体"/>
                <w:color w:val="auto"/>
              </w:rPr>
            </w:pPr>
            <w:r>
              <w:rPr>
                <w:rFonts w:ascii="宋体" w:hAnsi="宋体"/>
                <w:color w:val="auto"/>
              </w:rPr>
              <w:t>ND</w:t>
            </w:r>
          </w:p>
        </w:tc>
        <w:tc>
          <w:tcPr>
            <w:tcW w:w="611" w:type="pct"/>
            <w:vAlign w:val="center"/>
          </w:tcPr>
          <w:p w14:paraId="3E01E605">
            <w:pPr>
              <w:jc w:val="center"/>
              <w:rPr>
                <w:rFonts w:ascii="宋体" w:hAnsi="宋体"/>
                <w:color w:val="auto"/>
              </w:rPr>
            </w:pPr>
            <w:r>
              <w:rPr>
                <w:rFonts w:hint="eastAsia" w:ascii="宋体" w:hAnsi="宋体"/>
                <w:color w:val="auto"/>
              </w:rPr>
              <w:t>/</w:t>
            </w:r>
          </w:p>
        </w:tc>
        <w:tc>
          <w:tcPr>
            <w:tcW w:w="640" w:type="pct"/>
            <w:vAlign w:val="center"/>
          </w:tcPr>
          <w:p w14:paraId="607DECC3">
            <w:pPr>
              <w:jc w:val="center"/>
              <w:rPr>
                <w:rFonts w:ascii="宋体" w:hAnsi="宋体"/>
                <w:color w:val="auto"/>
              </w:rPr>
            </w:pPr>
            <w:r>
              <w:rPr>
                <w:rFonts w:hint="eastAsia" w:ascii="宋体" w:hAnsi="宋体"/>
                <w:color w:val="auto"/>
              </w:rPr>
              <w:t>/</w:t>
            </w:r>
          </w:p>
        </w:tc>
        <w:tc>
          <w:tcPr>
            <w:tcW w:w="639" w:type="pct"/>
            <w:vAlign w:val="center"/>
          </w:tcPr>
          <w:p w14:paraId="1078E5F8">
            <w:pPr>
              <w:jc w:val="center"/>
              <w:rPr>
                <w:rFonts w:ascii="宋体" w:hAnsi="宋体"/>
                <w:color w:val="auto"/>
              </w:rPr>
            </w:pPr>
            <w:r>
              <w:rPr>
                <w:rFonts w:hint="eastAsia" w:ascii="宋体" w:hAnsi="宋体"/>
                <w:color w:val="auto"/>
              </w:rPr>
              <w:t>/</w:t>
            </w:r>
          </w:p>
        </w:tc>
        <w:tc>
          <w:tcPr>
            <w:tcW w:w="638" w:type="pct"/>
            <w:vAlign w:val="center"/>
          </w:tcPr>
          <w:p w14:paraId="77A491F1">
            <w:pPr>
              <w:jc w:val="center"/>
              <w:rPr>
                <w:rFonts w:ascii="宋体" w:hAnsi="宋体"/>
                <w:color w:val="auto"/>
              </w:rPr>
            </w:pPr>
            <w:r>
              <w:rPr>
                <w:rFonts w:hint="eastAsia" w:ascii="宋体" w:hAnsi="宋体"/>
                <w:color w:val="auto"/>
              </w:rPr>
              <w:t>/</w:t>
            </w:r>
          </w:p>
        </w:tc>
      </w:tr>
      <w:tr w14:paraId="7D8F5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3DC215E4">
            <w:pPr>
              <w:pStyle w:val="76"/>
              <w:rPr>
                <w:rFonts w:hAnsi="宋体"/>
                <w:color w:val="auto"/>
                <w:spacing w:val="-5"/>
              </w:rPr>
            </w:pPr>
          </w:p>
        </w:tc>
        <w:tc>
          <w:tcPr>
            <w:tcW w:w="476" w:type="pct"/>
            <w:vAlign w:val="center"/>
          </w:tcPr>
          <w:p w14:paraId="0C4247AA">
            <w:pPr>
              <w:spacing w:before="100" w:beforeAutospacing="1" w:after="100" w:afterAutospacing="1"/>
              <w:jc w:val="center"/>
              <w:rPr>
                <w:rFonts w:ascii="宋体" w:hAnsi="宋体"/>
                <w:color w:val="auto"/>
                <w:spacing w:val="-5"/>
              </w:rPr>
            </w:pPr>
            <w:r>
              <w:rPr>
                <w:rFonts w:ascii="宋体" w:hAnsi="宋体"/>
                <w:color w:val="auto"/>
                <w:spacing w:val="-5"/>
              </w:rPr>
              <w:t>䓛</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14C1DE53">
            <w:pPr>
              <w:jc w:val="center"/>
              <w:rPr>
                <w:rFonts w:ascii="宋体" w:hAnsi="宋体"/>
                <w:color w:val="auto"/>
              </w:rPr>
            </w:pPr>
            <w:r>
              <w:rPr>
                <w:rFonts w:ascii="宋体" w:hAnsi="宋体"/>
                <w:color w:val="auto"/>
              </w:rPr>
              <w:t>ND</w:t>
            </w:r>
          </w:p>
        </w:tc>
        <w:tc>
          <w:tcPr>
            <w:tcW w:w="611" w:type="pct"/>
            <w:vAlign w:val="center"/>
          </w:tcPr>
          <w:p w14:paraId="023A11B2">
            <w:pPr>
              <w:jc w:val="center"/>
              <w:rPr>
                <w:rFonts w:ascii="宋体" w:hAnsi="宋体"/>
                <w:color w:val="auto"/>
              </w:rPr>
            </w:pPr>
            <w:r>
              <w:rPr>
                <w:rFonts w:ascii="宋体" w:hAnsi="宋体"/>
                <w:color w:val="auto"/>
              </w:rPr>
              <w:t>ND</w:t>
            </w:r>
          </w:p>
        </w:tc>
        <w:tc>
          <w:tcPr>
            <w:tcW w:w="611" w:type="pct"/>
            <w:vAlign w:val="center"/>
          </w:tcPr>
          <w:p w14:paraId="243BEB4F">
            <w:pPr>
              <w:jc w:val="center"/>
              <w:rPr>
                <w:rFonts w:ascii="宋体" w:hAnsi="宋体"/>
                <w:color w:val="auto"/>
              </w:rPr>
            </w:pPr>
            <w:r>
              <w:rPr>
                <w:rFonts w:ascii="宋体" w:hAnsi="宋体"/>
                <w:color w:val="auto"/>
              </w:rPr>
              <w:t>ND</w:t>
            </w:r>
          </w:p>
        </w:tc>
        <w:tc>
          <w:tcPr>
            <w:tcW w:w="611" w:type="pct"/>
            <w:vAlign w:val="center"/>
          </w:tcPr>
          <w:p w14:paraId="3E1ABB29">
            <w:pPr>
              <w:jc w:val="center"/>
              <w:rPr>
                <w:rFonts w:ascii="宋体" w:hAnsi="宋体"/>
                <w:color w:val="auto"/>
              </w:rPr>
            </w:pPr>
            <w:r>
              <w:rPr>
                <w:rFonts w:hint="eastAsia" w:ascii="宋体" w:hAnsi="宋体"/>
                <w:color w:val="auto"/>
              </w:rPr>
              <w:t>/</w:t>
            </w:r>
          </w:p>
        </w:tc>
        <w:tc>
          <w:tcPr>
            <w:tcW w:w="640" w:type="pct"/>
            <w:vAlign w:val="center"/>
          </w:tcPr>
          <w:p w14:paraId="5C3CAF53">
            <w:pPr>
              <w:jc w:val="center"/>
              <w:rPr>
                <w:rFonts w:ascii="宋体" w:hAnsi="宋体"/>
                <w:color w:val="auto"/>
              </w:rPr>
            </w:pPr>
            <w:r>
              <w:rPr>
                <w:rFonts w:hint="eastAsia" w:ascii="宋体" w:hAnsi="宋体"/>
                <w:color w:val="auto"/>
              </w:rPr>
              <w:t>/</w:t>
            </w:r>
          </w:p>
        </w:tc>
        <w:tc>
          <w:tcPr>
            <w:tcW w:w="639" w:type="pct"/>
            <w:vAlign w:val="center"/>
          </w:tcPr>
          <w:p w14:paraId="34A78827">
            <w:pPr>
              <w:jc w:val="center"/>
              <w:rPr>
                <w:rFonts w:ascii="宋体" w:hAnsi="宋体"/>
                <w:color w:val="auto"/>
              </w:rPr>
            </w:pPr>
            <w:r>
              <w:rPr>
                <w:rFonts w:hint="eastAsia" w:ascii="宋体" w:hAnsi="宋体"/>
                <w:color w:val="auto"/>
              </w:rPr>
              <w:t>/</w:t>
            </w:r>
          </w:p>
        </w:tc>
        <w:tc>
          <w:tcPr>
            <w:tcW w:w="638" w:type="pct"/>
            <w:vAlign w:val="center"/>
          </w:tcPr>
          <w:p w14:paraId="0A8C6836">
            <w:pPr>
              <w:jc w:val="center"/>
              <w:rPr>
                <w:rFonts w:ascii="宋体" w:hAnsi="宋体"/>
                <w:color w:val="auto"/>
              </w:rPr>
            </w:pPr>
            <w:r>
              <w:rPr>
                <w:rFonts w:hint="eastAsia" w:ascii="宋体" w:hAnsi="宋体"/>
                <w:color w:val="auto"/>
              </w:rPr>
              <w:t>/</w:t>
            </w:r>
          </w:p>
        </w:tc>
      </w:tr>
      <w:tr w14:paraId="703CA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31875C82">
            <w:pPr>
              <w:pStyle w:val="76"/>
              <w:rPr>
                <w:rFonts w:hAnsi="宋体"/>
                <w:color w:val="auto"/>
                <w:spacing w:val="-5"/>
              </w:rPr>
            </w:pPr>
          </w:p>
        </w:tc>
        <w:tc>
          <w:tcPr>
            <w:tcW w:w="476" w:type="pct"/>
            <w:vAlign w:val="center"/>
          </w:tcPr>
          <w:p w14:paraId="284715C6">
            <w:pPr>
              <w:spacing w:before="100" w:beforeAutospacing="1" w:after="100" w:afterAutospacing="1"/>
              <w:jc w:val="center"/>
              <w:rPr>
                <w:rFonts w:ascii="宋体" w:hAnsi="宋体"/>
                <w:color w:val="auto"/>
                <w:spacing w:val="-5"/>
              </w:rPr>
            </w:pPr>
            <w:r>
              <w:rPr>
                <w:rFonts w:ascii="宋体" w:hAnsi="宋体"/>
                <w:color w:val="auto"/>
                <w:spacing w:val="-5"/>
              </w:rPr>
              <w:t>二苯并[a，h]蒽</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3142C27C">
            <w:pPr>
              <w:jc w:val="center"/>
              <w:rPr>
                <w:rFonts w:ascii="宋体" w:hAnsi="宋体"/>
                <w:color w:val="auto"/>
              </w:rPr>
            </w:pPr>
            <w:r>
              <w:rPr>
                <w:rFonts w:ascii="宋体" w:hAnsi="宋体"/>
                <w:color w:val="auto"/>
              </w:rPr>
              <w:t>ND</w:t>
            </w:r>
          </w:p>
        </w:tc>
        <w:tc>
          <w:tcPr>
            <w:tcW w:w="611" w:type="pct"/>
            <w:vAlign w:val="center"/>
          </w:tcPr>
          <w:p w14:paraId="2A7C34C7">
            <w:pPr>
              <w:jc w:val="center"/>
              <w:rPr>
                <w:rFonts w:ascii="宋体" w:hAnsi="宋体"/>
                <w:color w:val="auto"/>
              </w:rPr>
            </w:pPr>
            <w:r>
              <w:rPr>
                <w:rFonts w:ascii="宋体" w:hAnsi="宋体"/>
                <w:color w:val="auto"/>
              </w:rPr>
              <w:t>ND</w:t>
            </w:r>
          </w:p>
        </w:tc>
        <w:tc>
          <w:tcPr>
            <w:tcW w:w="611" w:type="pct"/>
            <w:vAlign w:val="center"/>
          </w:tcPr>
          <w:p w14:paraId="4F6302DA">
            <w:pPr>
              <w:jc w:val="center"/>
              <w:rPr>
                <w:rFonts w:ascii="宋体" w:hAnsi="宋体"/>
                <w:color w:val="auto"/>
              </w:rPr>
            </w:pPr>
            <w:r>
              <w:rPr>
                <w:rFonts w:ascii="宋体" w:hAnsi="宋体"/>
                <w:color w:val="auto"/>
              </w:rPr>
              <w:t>ND</w:t>
            </w:r>
          </w:p>
        </w:tc>
        <w:tc>
          <w:tcPr>
            <w:tcW w:w="611" w:type="pct"/>
            <w:vAlign w:val="center"/>
          </w:tcPr>
          <w:p w14:paraId="46CB6377">
            <w:pPr>
              <w:jc w:val="center"/>
              <w:rPr>
                <w:rFonts w:ascii="宋体" w:hAnsi="宋体"/>
                <w:color w:val="auto"/>
              </w:rPr>
            </w:pPr>
            <w:r>
              <w:rPr>
                <w:rFonts w:hint="eastAsia" w:ascii="宋体" w:hAnsi="宋体"/>
                <w:color w:val="auto"/>
              </w:rPr>
              <w:t>/</w:t>
            </w:r>
          </w:p>
        </w:tc>
        <w:tc>
          <w:tcPr>
            <w:tcW w:w="640" w:type="pct"/>
            <w:vAlign w:val="center"/>
          </w:tcPr>
          <w:p w14:paraId="1EF498C1">
            <w:pPr>
              <w:jc w:val="center"/>
              <w:rPr>
                <w:rFonts w:ascii="宋体" w:hAnsi="宋体"/>
                <w:color w:val="auto"/>
              </w:rPr>
            </w:pPr>
            <w:r>
              <w:rPr>
                <w:rFonts w:hint="eastAsia" w:ascii="宋体" w:hAnsi="宋体"/>
                <w:color w:val="auto"/>
              </w:rPr>
              <w:t>/</w:t>
            </w:r>
          </w:p>
        </w:tc>
        <w:tc>
          <w:tcPr>
            <w:tcW w:w="639" w:type="pct"/>
            <w:vAlign w:val="center"/>
          </w:tcPr>
          <w:p w14:paraId="45B8D946">
            <w:pPr>
              <w:jc w:val="center"/>
              <w:rPr>
                <w:rFonts w:ascii="宋体" w:hAnsi="宋体"/>
                <w:color w:val="auto"/>
              </w:rPr>
            </w:pPr>
            <w:r>
              <w:rPr>
                <w:rFonts w:hint="eastAsia" w:ascii="宋体" w:hAnsi="宋体"/>
                <w:color w:val="auto"/>
              </w:rPr>
              <w:t>/</w:t>
            </w:r>
          </w:p>
        </w:tc>
        <w:tc>
          <w:tcPr>
            <w:tcW w:w="638" w:type="pct"/>
            <w:vAlign w:val="center"/>
          </w:tcPr>
          <w:p w14:paraId="02222EFD">
            <w:pPr>
              <w:jc w:val="center"/>
              <w:rPr>
                <w:rFonts w:ascii="宋体" w:hAnsi="宋体"/>
                <w:color w:val="auto"/>
              </w:rPr>
            </w:pPr>
            <w:r>
              <w:rPr>
                <w:rFonts w:hint="eastAsia" w:ascii="宋体" w:hAnsi="宋体"/>
                <w:color w:val="auto"/>
              </w:rPr>
              <w:t>/</w:t>
            </w:r>
          </w:p>
        </w:tc>
      </w:tr>
      <w:tr w14:paraId="19722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7E2A56E0">
            <w:pPr>
              <w:pStyle w:val="76"/>
              <w:rPr>
                <w:rFonts w:hAnsi="宋体"/>
                <w:color w:val="auto"/>
                <w:spacing w:val="-5"/>
              </w:rPr>
            </w:pPr>
          </w:p>
        </w:tc>
        <w:tc>
          <w:tcPr>
            <w:tcW w:w="476" w:type="pct"/>
            <w:vAlign w:val="center"/>
          </w:tcPr>
          <w:p w14:paraId="555D0291">
            <w:pPr>
              <w:spacing w:before="100" w:beforeAutospacing="1" w:after="100" w:afterAutospacing="1"/>
              <w:jc w:val="center"/>
              <w:rPr>
                <w:rFonts w:ascii="宋体" w:hAnsi="宋体"/>
                <w:color w:val="auto"/>
                <w:spacing w:val="-5"/>
              </w:rPr>
            </w:pPr>
            <w:r>
              <w:rPr>
                <w:rFonts w:ascii="宋体" w:hAnsi="宋体"/>
                <w:color w:val="auto"/>
                <w:spacing w:val="-5"/>
              </w:rPr>
              <w:t>茚并[1,2,3-c,d]芘</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6D1E13A4">
            <w:pPr>
              <w:jc w:val="center"/>
              <w:rPr>
                <w:rFonts w:ascii="宋体" w:hAnsi="宋体"/>
                <w:color w:val="auto"/>
              </w:rPr>
            </w:pPr>
            <w:r>
              <w:rPr>
                <w:rFonts w:ascii="宋体" w:hAnsi="宋体"/>
                <w:color w:val="auto"/>
              </w:rPr>
              <w:t>ND</w:t>
            </w:r>
          </w:p>
        </w:tc>
        <w:tc>
          <w:tcPr>
            <w:tcW w:w="611" w:type="pct"/>
            <w:vAlign w:val="center"/>
          </w:tcPr>
          <w:p w14:paraId="5AAE80BB">
            <w:pPr>
              <w:jc w:val="center"/>
              <w:rPr>
                <w:rFonts w:ascii="宋体" w:hAnsi="宋体"/>
                <w:color w:val="auto"/>
              </w:rPr>
            </w:pPr>
            <w:r>
              <w:rPr>
                <w:rFonts w:ascii="宋体" w:hAnsi="宋体"/>
                <w:color w:val="auto"/>
              </w:rPr>
              <w:t>ND</w:t>
            </w:r>
          </w:p>
        </w:tc>
        <w:tc>
          <w:tcPr>
            <w:tcW w:w="611" w:type="pct"/>
            <w:vAlign w:val="center"/>
          </w:tcPr>
          <w:p w14:paraId="45E0AD5E">
            <w:pPr>
              <w:jc w:val="center"/>
              <w:rPr>
                <w:rFonts w:ascii="宋体" w:hAnsi="宋体"/>
                <w:color w:val="auto"/>
              </w:rPr>
            </w:pPr>
            <w:r>
              <w:rPr>
                <w:rFonts w:ascii="宋体" w:hAnsi="宋体"/>
                <w:color w:val="auto"/>
              </w:rPr>
              <w:t>ND</w:t>
            </w:r>
          </w:p>
        </w:tc>
        <w:tc>
          <w:tcPr>
            <w:tcW w:w="611" w:type="pct"/>
            <w:vAlign w:val="center"/>
          </w:tcPr>
          <w:p w14:paraId="3262DF22">
            <w:pPr>
              <w:jc w:val="center"/>
              <w:rPr>
                <w:rFonts w:ascii="宋体" w:hAnsi="宋体"/>
                <w:color w:val="auto"/>
              </w:rPr>
            </w:pPr>
            <w:r>
              <w:rPr>
                <w:rFonts w:hint="eastAsia" w:ascii="宋体" w:hAnsi="宋体"/>
                <w:color w:val="auto"/>
              </w:rPr>
              <w:t>/</w:t>
            </w:r>
          </w:p>
        </w:tc>
        <w:tc>
          <w:tcPr>
            <w:tcW w:w="640" w:type="pct"/>
            <w:vAlign w:val="center"/>
          </w:tcPr>
          <w:p w14:paraId="6D9D3E9C">
            <w:pPr>
              <w:jc w:val="center"/>
              <w:rPr>
                <w:rFonts w:ascii="宋体" w:hAnsi="宋体"/>
                <w:color w:val="auto"/>
              </w:rPr>
            </w:pPr>
            <w:r>
              <w:rPr>
                <w:rFonts w:hint="eastAsia" w:ascii="宋体" w:hAnsi="宋体"/>
                <w:color w:val="auto"/>
              </w:rPr>
              <w:t>/</w:t>
            </w:r>
          </w:p>
        </w:tc>
        <w:tc>
          <w:tcPr>
            <w:tcW w:w="639" w:type="pct"/>
            <w:vAlign w:val="center"/>
          </w:tcPr>
          <w:p w14:paraId="5C522729">
            <w:pPr>
              <w:jc w:val="center"/>
              <w:rPr>
                <w:rFonts w:ascii="宋体" w:hAnsi="宋体"/>
                <w:color w:val="auto"/>
              </w:rPr>
            </w:pPr>
            <w:r>
              <w:rPr>
                <w:rFonts w:hint="eastAsia" w:ascii="宋体" w:hAnsi="宋体"/>
                <w:color w:val="auto"/>
              </w:rPr>
              <w:t>/</w:t>
            </w:r>
          </w:p>
        </w:tc>
        <w:tc>
          <w:tcPr>
            <w:tcW w:w="638" w:type="pct"/>
            <w:vAlign w:val="center"/>
          </w:tcPr>
          <w:p w14:paraId="20C117FA">
            <w:pPr>
              <w:jc w:val="center"/>
              <w:rPr>
                <w:rFonts w:ascii="宋体" w:hAnsi="宋体"/>
                <w:color w:val="auto"/>
              </w:rPr>
            </w:pPr>
            <w:r>
              <w:rPr>
                <w:rFonts w:hint="eastAsia" w:ascii="宋体" w:hAnsi="宋体"/>
                <w:color w:val="auto"/>
              </w:rPr>
              <w:t>/</w:t>
            </w:r>
          </w:p>
        </w:tc>
      </w:tr>
      <w:tr w14:paraId="6DD3B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 w:type="pct"/>
            <w:vAlign w:val="center"/>
          </w:tcPr>
          <w:p w14:paraId="79E56A71">
            <w:pPr>
              <w:pStyle w:val="76"/>
              <w:rPr>
                <w:rFonts w:hAnsi="宋体"/>
                <w:color w:val="auto"/>
                <w:spacing w:val="-5"/>
              </w:rPr>
            </w:pPr>
          </w:p>
        </w:tc>
        <w:tc>
          <w:tcPr>
            <w:tcW w:w="476" w:type="pct"/>
            <w:vAlign w:val="center"/>
          </w:tcPr>
          <w:p w14:paraId="19CB90B8">
            <w:pPr>
              <w:spacing w:before="100" w:beforeAutospacing="1" w:after="100" w:afterAutospacing="1"/>
              <w:jc w:val="center"/>
              <w:rPr>
                <w:rFonts w:ascii="宋体" w:hAnsi="宋体"/>
                <w:color w:val="auto"/>
                <w:spacing w:val="-5"/>
              </w:rPr>
            </w:pPr>
            <w:r>
              <w:rPr>
                <w:rFonts w:ascii="宋体" w:hAnsi="宋体"/>
                <w:color w:val="auto"/>
                <w:spacing w:val="-5"/>
              </w:rPr>
              <w:t>萘</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614" w:type="pct"/>
            <w:vAlign w:val="center"/>
          </w:tcPr>
          <w:p w14:paraId="6BBF8CAF">
            <w:pPr>
              <w:jc w:val="center"/>
              <w:rPr>
                <w:rFonts w:ascii="宋体" w:hAnsi="宋体"/>
                <w:color w:val="auto"/>
              </w:rPr>
            </w:pPr>
            <w:r>
              <w:rPr>
                <w:rFonts w:ascii="宋体" w:hAnsi="宋体"/>
                <w:color w:val="auto"/>
              </w:rPr>
              <w:t>ND</w:t>
            </w:r>
          </w:p>
        </w:tc>
        <w:tc>
          <w:tcPr>
            <w:tcW w:w="611" w:type="pct"/>
            <w:vAlign w:val="center"/>
          </w:tcPr>
          <w:p w14:paraId="30CC63FF">
            <w:pPr>
              <w:jc w:val="center"/>
              <w:rPr>
                <w:rFonts w:ascii="宋体" w:hAnsi="宋体"/>
                <w:color w:val="auto"/>
              </w:rPr>
            </w:pPr>
            <w:r>
              <w:rPr>
                <w:rFonts w:ascii="宋体" w:hAnsi="宋体"/>
                <w:color w:val="auto"/>
              </w:rPr>
              <w:t>ND</w:t>
            </w:r>
          </w:p>
        </w:tc>
        <w:tc>
          <w:tcPr>
            <w:tcW w:w="611" w:type="pct"/>
            <w:vAlign w:val="center"/>
          </w:tcPr>
          <w:p w14:paraId="6B77BC27">
            <w:pPr>
              <w:jc w:val="center"/>
              <w:rPr>
                <w:rFonts w:ascii="宋体" w:hAnsi="宋体"/>
                <w:color w:val="auto"/>
              </w:rPr>
            </w:pPr>
            <w:r>
              <w:rPr>
                <w:rFonts w:ascii="宋体" w:hAnsi="宋体"/>
                <w:color w:val="auto"/>
              </w:rPr>
              <w:t>ND</w:t>
            </w:r>
          </w:p>
        </w:tc>
        <w:tc>
          <w:tcPr>
            <w:tcW w:w="611" w:type="pct"/>
            <w:vAlign w:val="center"/>
          </w:tcPr>
          <w:p w14:paraId="240E1754">
            <w:pPr>
              <w:jc w:val="center"/>
              <w:rPr>
                <w:rFonts w:ascii="宋体" w:hAnsi="宋体"/>
                <w:color w:val="auto"/>
              </w:rPr>
            </w:pPr>
            <w:r>
              <w:rPr>
                <w:rFonts w:hint="eastAsia" w:ascii="宋体" w:hAnsi="宋体"/>
                <w:color w:val="auto"/>
              </w:rPr>
              <w:t>/</w:t>
            </w:r>
          </w:p>
        </w:tc>
        <w:tc>
          <w:tcPr>
            <w:tcW w:w="640" w:type="pct"/>
            <w:vAlign w:val="center"/>
          </w:tcPr>
          <w:p w14:paraId="0B65A039">
            <w:pPr>
              <w:jc w:val="center"/>
              <w:rPr>
                <w:rFonts w:ascii="宋体" w:hAnsi="宋体"/>
                <w:color w:val="auto"/>
              </w:rPr>
            </w:pPr>
            <w:r>
              <w:rPr>
                <w:rFonts w:hint="eastAsia" w:ascii="宋体" w:hAnsi="宋体"/>
                <w:color w:val="auto"/>
              </w:rPr>
              <w:t>/</w:t>
            </w:r>
          </w:p>
        </w:tc>
        <w:tc>
          <w:tcPr>
            <w:tcW w:w="639" w:type="pct"/>
            <w:vAlign w:val="center"/>
          </w:tcPr>
          <w:p w14:paraId="45CA70CD">
            <w:pPr>
              <w:jc w:val="center"/>
              <w:rPr>
                <w:rFonts w:ascii="宋体" w:hAnsi="宋体"/>
                <w:color w:val="auto"/>
              </w:rPr>
            </w:pPr>
            <w:r>
              <w:rPr>
                <w:rFonts w:hint="eastAsia" w:ascii="宋体" w:hAnsi="宋体"/>
                <w:color w:val="auto"/>
              </w:rPr>
              <w:t>/</w:t>
            </w:r>
          </w:p>
        </w:tc>
        <w:tc>
          <w:tcPr>
            <w:tcW w:w="638" w:type="pct"/>
            <w:vAlign w:val="center"/>
          </w:tcPr>
          <w:p w14:paraId="676C77C2">
            <w:pPr>
              <w:jc w:val="center"/>
              <w:rPr>
                <w:rFonts w:ascii="宋体" w:hAnsi="宋体"/>
                <w:color w:val="auto"/>
              </w:rPr>
            </w:pPr>
            <w:r>
              <w:rPr>
                <w:rFonts w:hint="eastAsia" w:ascii="宋体" w:hAnsi="宋体"/>
                <w:color w:val="auto"/>
              </w:rPr>
              <w:t>/</w:t>
            </w:r>
          </w:p>
        </w:tc>
      </w:tr>
      <w:tr w14:paraId="16A72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9"/>
            <w:vAlign w:val="center"/>
          </w:tcPr>
          <w:p w14:paraId="48506802">
            <w:pPr>
              <w:jc w:val="center"/>
              <w:rPr>
                <w:rFonts w:ascii="宋体" w:hAnsi="宋体"/>
                <w:color w:val="auto"/>
              </w:rPr>
            </w:pPr>
            <w:r>
              <w:rPr>
                <w:rFonts w:ascii="宋体" w:hAnsi="宋体"/>
                <w:color w:val="auto"/>
              </w:rPr>
              <w:t>备注：“ND”表示未检出。</w:t>
            </w:r>
          </w:p>
        </w:tc>
      </w:tr>
    </w:tbl>
    <w:p w14:paraId="18B87D4D">
      <w:pPr>
        <w:rPr>
          <w:rFonts w:ascii="宋体" w:hAnsi="宋体"/>
          <w:color w:val="auto"/>
        </w:rPr>
      </w:pPr>
    </w:p>
    <w:p w14:paraId="6FF94718">
      <w:pPr>
        <w:rPr>
          <w:rFonts w:ascii="宋体" w:hAnsi="宋体"/>
          <w:color w:val="auto"/>
        </w:rPr>
      </w:pPr>
    </w:p>
    <w:p w14:paraId="0FD4D15F">
      <w:pPr>
        <w:rPr>
          <w:rFonts w:ascii="宋体" w:hAnsi="宋体"/>
          <w:color w:val="auto"/>
        </w:rPr>
        <w:sectPr>
          <w:pgSz w:w="16839" w:h="11907" w:orient="landscape"/>
          <w:pgMar w:top="1588" w:right="1418" w:bottom="1588" w:left="1418" w:header="1134" w:footer="850" w:gutter="0"/>
          <w:cols w:space="720" w:num="1"/>
          <w:docGrid w:linePitch="312" w:charSpace="0"/>
        </w:sectPr>
      </w:pPr>
    </w:p>
    <w:p w14:paraId="54951C37">
      <w:pPr>
        <w:pStyle w:val="4"/>
        <w:ind w:firstLine="480"/>
        <w:rPr>
          <w:color w:val="auto"/>
        </w:rPr>
      </w:pPr>
      <w:r>
        <w:rPr>
          <w:rFonts w:hint="eastAsia"/>
          <w:color w:val="auto"/>
        </w:rPr>
        <w:t>根据监测结果，井场内土壤环境质量满足《土壤环境质量 建设用地土壤污染风险管控标准（试行）》（GB 36600-2018）中“表1建设用地土壤污染风险筛选值（基本期工程）及表2建设用地土壤污染风险筛选值（其他项目）”中第二类用地的有关要求；井场外</w:t>
      </w:r>
      <w:r>
        <w:rPr>
          <w:rFonts w:hint="eastAsia"/>
          <w:color w:val="auto"/>
          <w:kern w:val="0"/>
        </w:rPr>
        <w:t>石油烃（C</w:t>
      </w:r>
      <w:r>
        <w:rPr>
          <w:rFonts w:hint="eastAsia"/>
          <w:color w:val="auto"/>
          <w:kern w:val="0"/>
          <w:vertAlign w:val="subscript"/>
        </w:rPr>
        <w:t>10</w:t>
      </w:r>
      <w:r>
        <w:rPr>
          <w:rFonts w:hint="eastAsia"/>
          <w:color w:val="auto"/>
          <w:kern w:val="0"/>
        </w:rPr>
        <w:t>-C</w:t>
      </w:r>
      <w:r>
        <w:rPr>
          <w:rFonts w:hint="eastAsia"/>
          <w:color w:val="auto"/>
          <w:kern w:val="0"/>
          <w:vertAlign w:val="subscript"/>
        </w:rPr>
        <w:t>40</w:t>
      </w:r>
      <w:r>
        <w:rPr>
          <w:rFonts w:hint="eastAsia"/>
          <w:color w:val="auto"/>
          <w:kern w:val="0"/>
        </w:rPr>
        <w:t>）浓度</w:t>
      </w:r>
      <w:bookmarkStart w:id="432" w:name="OLE_LINK364"/>
      <w:r>
        <w:rPr>
          <w:rFonts w:hint="eastAsia"/>
          <w:color w:val="auto"/>
        </w:rPr>
        <w:t>满足《土壤环境质量 建设用地土壤污染风险管控标准（试行）》（GB 36600-2018）中表2 建设用地土壤污染风险筛选值（其他项目）”中第一类用地的有关要求</w:t>
      </w:r>
      <w:bookmarkEnd w:id="432"/>
      <w:r>
        <w:rPr>
          <w:rFonts w:hint="eastAsia"/>
          <w:color w:val="auto"/>
        </w:rPr>
        <w:t>。</w:t>
      </w:r>
    </w:p>
    <w:p w14:paraId="79D0D194">
      <w:pPr>
        <w:pStyle w:val="4"/>
        <w:ind w:firstLine="480"/>
        <w:rPr>
          <w:color w:val="auto"/>
        </w:rPr>
      </w:pPr>
      <w:r>
        <w:rPr>
          <w:rFonts w:hint="eastAsia"/>
          <w:color w:val="auto"/>
        </w:rPr>
        <w:t>可见，本期工程油井在运营过程中对周围土壤环境的影响较小。</w:t>
      </w:r>
    </w:p>
    <w:p w14:paraId="0A113CCF">
      <w:pPr>
        <w:pStyle w:val="6"/>
        <w:rPr>
          <w:color w:val="auto"/>
        </w:rPr>
      </w:pPr>
      <w:r>
        <w:rPr>
          <w:rFonts w:hint="eastAsia"/>
          <w:color w:val="auto"/>
        </w:rPr>
        <w:t>地下水</w:t>
      </w:r>
      <w:r>
        <w:rPr>
          <w:color w:val="auto"/>
        </w:rPr>
        <w:t>环境监测</w:t>
      </w:r>
    </w:p>
    <w:p w14:paraId="26853F74">
      <w:pPr>
        <w:pStyle w:val="238"/>
        <w:adjustRightInd w:val="0"/>
        <w:snapToGrid w:val="0"/>
        <w:spacing w:line="331" w:lineRule="auto"/>
        <w:ind w:firstLine="480"/>
        <w:rPr>
          <w:rFonts w:ascii="宋体" w:hAnsi="宋体"/>
          <w:color w:val="auto"/>
          <w:sz w:val="24"/>
          <w:szCs w:val="24"/>
        </w:rPr>
      </w:pPr>
      <w:r>
        <w:rPr>
          <w:rFonts w:hint="eastAsia" w:ascii="宋体" w:hAnsi="宋体"/>
          <w:color w:val="auto"/>
          <w:sz w:val="24"/>
          <w:szCs w:val="24"/>
        </w:rPr>
        <w:t>本期工程验收</w:t>
      </w:r>
      <w:r>
        <w:rPr>
          <w:rFonts w:ascii="宋体" w:hAnsi="宋体"/>
          <w:color w:val="auto"/>
          <w:sz w:val="24"/>
          <w:szCs w:val="24"/>
        </w:rPr>
        <w:t>调查期间，</w:t>
      </w:r>
      <w:r>
        <w:rPr>
          <w:rFonts w:hint="eastAsia" w:ascii="宋体" w:hAnsi="宋体"/>
          <w:color w:val="auto"/>
          <w:sz w:val="24"/>
          <w:szCs w:val="24"/>
        </w:rPr>
        <w:t>在项目附近设置了</w:t>
      </w:r>
      <w:r>
        <w:rPr>
          <w:rFonts w:ascii="宋体" w:hAnsi="宋体"/>
          <w:color w:val="auto"/>
          <w:sz w:val="24"/>
          <w:szCs w:val="24"/>
        </w:rPr>
        <w:t>3</w:t>
      </w:r>
      <w:r>
        <w:rPr>
          <w:rFonts w:hint="eastAsia" w:ascii="宋体" w:hAnsi="宋体"/>
          <w:color w:val="auto"/>
          <w:sz w:val="24"/>
          <w:szCs w:val="24"/>
        </w:rPr>
        <w:t>个地下水监测点位</w:t>
      </w:r>
      <w:r>
        <w:rPr>
          <w:rFonts w:ascii="宋体" w:hAnsi="宋体"/>
          <w:color w:val="auto"/>
          <w:sz w:val="24"/>
          <w:szCs w:val="24"/>
        </w:rPr>
        <w:t>了解地下水水质情况。</w:t>
      </w:r>
    </w:p>
    <w:p w14:paraId="3C590A93">
      <w:pPr>
        <w:pStyle w:val="238"/>
        <w:adjustRightInd w:val="0"/>
        <w:snapToGrid w:val="0"/>
        <w:spacing w:line="331" w:lineRule="auto"/>
        <w:ind w:firstLine="480"/>
        <w:rPr>
          <w:rFonts w:ascii="宋体" w:hAnsi="宋体"/>
          <w:color w:val="auto"/>
          <w:sz w:val="24"/>
          <w:szCs w:val="24"/>
        </w:rPr>
      </w:pPr>
      <w:r>
        <w:rPr>
          <w:rFonts w:hint="eastAsia" w:ascii="宋体" w:hAnsi="宋体"/>
          <w:color w:val="auto"/>
          <w:sz w:val="24"/>
          <w:szCs w:val="24"/>
        </w:rPr>
        <w:t>1）监测</w:t>
      </w:r>
      <w:r>
        <w:rPr>
          <w:rFonts w:ascii="宋体" w:hAnsi="宋体"/>
          <w:color w:val="auto"/>
          <w:sz w:val="24"/>
          <w:szCs w:val="24"/>
        </w:rPr>
        <w:t>项目</w:t>
      </w:r>
    </w:p>
    <w:p w14:paraId="6FE0E563">
      <w:pPr>
        <w:pStyle w:val="4"/>
        <w:ind w:firstLine="480"/>
        <w:rPr>
          <w:color w:val="auto"/>
        </w:rPr>
      </w:pPr>
      <w:bookmarkStart w:id="433" w:name="OLE_LINK288"/>
      <w:r>
        <w:rPr>
          <w:color w:val="auto"/>
        </w:rPr>
        <w:t>色度、嗅和味、浊度、肉眼可见物、</w:t>
      </w:r>
      <w:r>
        <w:rPr>
          <w:rFonts w:cs="宋体"/>
          <w:color w:val="auto"/>
        </w:rPr>
        <w:t>pH</w:t>
      </w:r>
      <w:r>
        <w:rPr>
          <w:color w:val="auto"/>
        </w:rPr>
        <w:t>、总硬度、溶解性总固体、硫酸盐、氯化物、铁、锰、铜、锌、挥发酚、阴离子表面活性剂、高锰酸盐指数（耗氧量）、氨氮、硫化物、钠、亚硝酸盐氮、氰化物、氟化物、汞、砷、镉、铬（六价）、铅、三氯甲烷、四氯化碳、苯、甲苯、</w:t>
      </w:r>
      <w:r>
        <w:rPr>
          <w:rFonts w:hint="eastAsia"/>
          <w:color w:val="auto"/>
        </w:rPr>
        <w:t>钡、</w:t>
      </w:r>
      <w:r>
        <w:rPr>
          <w:color w:val="auto"/>
        </w:rPr>
        <w:t>石油类</w:t>
      </w:r>
      <w:r>
        <w:rPr>
          <w:rFonts w:hint="eastAsia"/>
          <w:color w:val="auto"/>
        </w:rPr>
        <w:t>共</w:t>
      </w:r>
      <w:r>
        <w:rPr>
          <w:rFonts w:cs="宋体"/>
          <w:color w:val="auto"/>
        </w:rPr>
        <w:t>33</w:t>
      </w:r>
      <w:r>
        <w:rPr>
          <w:rFonts w:hint="eastAsia"/>
          <w:color w:val="auto"/>
        </w:rPr>
        <w:t>项</w:t>
      </w:r>
      <w:bookmarkEnd w:id="433"/>
      <w:r>
        <w:rPr>
          <w:rFonts w:hint="eastAsia"/>
          <w:color w:val="auto"/>
        </w:rPr>
        <w:t>，同时监测水温、井深、地下水埋深，</w:t>
      </w:r>
      <w:r>
        <w:rPr>
          <w:rFonts w:hint="eastAsia"/>
          <w:color w:val="auto"/>
        </w:rPr>
        <w:t>并调查地下水使用功能等。</w:t>
      </w:r>
    </w:p>
    <w:p w14:paraId="730DC952">
      <w:pPr>
        <w:pStyle w:val="122"/>
        <w:spacing w:line="331" w:lineRule="auto"/>
        <w:ind w:firstLine="480"/>
        <w:rPr>
          <w:rFonts w:hAnsi="宋体"/>
          <w:color w:val="auto"/>
        </w:rPr>
      </w:pPr>
      <w:r>
        <w:rPr>
          <w:rFonts w:hAnsi="宋体"/>
          <w:color w:val="auto"/>
        </w:rPr>
        <w:t>2</w:t>
      </w:r>
      <w:r>
        <w:rPr>
          <w:rFonts w:hint="eastAsia" w:hAnsi="宋体"/>
          <w:color w:val="auto"/>
        </w:rPr>
        <w:t>）监测</w:t>
      </w:r>
      <w:r>
        <w:rPr>
          <w:rFonts w:hAnsi="宋体"/>
          <w:color w:val="auto"/>
        </w:rPr>
        <w:t>频次</w:t>
      </w:r>
    </w:p>
    <w:p w14:paraId="58C6EF9C">
      <w:pPr>
        <w:pStyle w:val="122"/>
        <w:spacing w:line="331" w:lineRule="auto"/>
        <w:ind w:firstLine="480"/>
        <w:rPr>
          <w:rFonts w:hAnsi="宋体"/>
          <w:color w:val="auto"/>
        </w:rPr>
      </w:pPr>
      <w:r>
        <w:rPr>
          <w:rFonts w:hint="eastAsia" w:hAnsi="宋体"/>
          <w:color w:val="auto"/>
        </w:rPr>
        <w:t>根据</w:t>
      </w:r>
      <w:r>
        <w:rPr>
          <w:rFonts w:hAnsi="宋体"/>
          <w:color w:val="auto"/>
        </w:rPr>
        <w:t>《建设项目竣工环境保护验收技术指南 污染影响类》（公告 2018年 第9号）</w:t>
      </w:r>
      <w:r>
        <w:rPr>
          <w:rFonts w:hint="eastAsia" w:hAnsi="宋体"/>
          <w:color w:val="auto"/>
        </w:rPr>
        <w:t>，每个</w:t>
      </w:r>
      <w:r>
        <w:rPr>
          <w:rFonts w:hAnsi="宋体"/>
          <w:color w:val="auto"/>
        </w:rPr>
        <w:t>点位监测频次</w:t>
      </w:r>
      <w:r>
        <w:rPr>
          <w:rFonts w:hint="eastAsia" w:hAnsi="宋体"/>
          <w:color w:val="auto"/>
        </w:rPr>
        <w:t>为2次/d，</w:t>
      </w:r>
      <w:r>
        <w:rPr>
          <w:rFonts w:hAnsi="宋体"/>
          <w:color w:val="auto"/>
        </w:rPr>
        <w:t>监测</w:t>
      </w:r>
      <w:r>
        <w:rPr>
          <w:rFonts w:hint="eastAsia" w:hAnsi="宋体"/>
          <w:color w:val="auto"/>
        </w:rPr>
        <w:t>2</w:t>
      </w:r>
      <w:r>
        <w:rPr>
          <w:rFonts w:hAnsi="宋体"/>
          <w:color w:val="auto"/>
        </w:rPr>
        <w:t>d</w:t>
      </w:r>
      <w:r>
        <w:rPr>
          <w:rFonts w:hint="eastAsia" w:hAnsi="宋体"/>
          <w:color w:val="auto"/>
        </w:rPr>
        <w:t>。</w:t>
      </w:r>
    </w:p>
    <w:p w14:paraId="718417EB">
      <w:pPr>
        <w:pStyle w:val="122"/>
        <w:spacing w:line="331" w:lineRule="auto"/>
        <w:ind w:firstLine="480"/>
        <w:rPr>
          <w:rFonts w:hAnsi="宋体"/>
          <w:color w:val="auto"/>
        </w:rPr>
      </w:pPr>
      <w:r>
        <w:rPr>
          <w:rFonts w:hAnsi="宋体"/>
          <w:color w:val="auto"/>
        </w:rPr>
        <w:t>3</w:t>
      </w:r>
      <w:r>
        <w:rPr>
          <w:rFonts w:hint="eastAsia" w:hAnsi="宋体"/>
          <w:color w:val="auto"/>
        </w:rPr>
        <w:t>）执行标准：执行《地下水质量标准》（GB/T</w:t>
      </w:r>
      <w:r>
        <w:rPr>
          <w:rFonts w:hAnsi="宋体"/>
          <w:color w:val="auto"/>
        </w:rPr>
        <w:t xml:space="preserve"> </w:t>
      </w:r>
      <w:r>
        <w:rPr>
          <w:rFonts w:hint="eastAsia" w:hAnsi="宋体"/>
          <w:color w:val="auto"/>
        </w:rPr>
        <w:t>14848-</w:t>
      </w:r>
      <w:r>
        <w:rPr>
          <w:rFonts w:hAnsi="宋体"/>
          <w:color w:val="auto"/>
        </w:rPr>
        <w:t>2017</w:t>
      </w:r>
      <w:r>
        <w:rPr>
          <w:rFonts w:hint="eastAsia" w:hAnsi="宋体"/>
          <w:color w:val="auto"/>
        </w:rPr>
        <w:t>）中的Ⅲ类标准，石油类参考《地表水环境质量标准》（GB 3838-2002）中的Ⅲ类标准。</w:t>
      </w:r>
    </w:p>
    <w:p w14:paraId="660AE6C2">
      <w:pPr>
        <w:pStyle w:val="122"/>
        <w:spacing w:line="331" w:lineRule="auto"/>
        <w:ind w:firstLine="480"/>
        <w:rPr>
          <w:rFonts w:hAnsi="宋体"/>
          <w:color w:val="auto"/>
        </w:rPr>
      </w:pPr>
      <w:r>
        <w:rPr>
          <w:rFonts w:hAnsi="宋体"/>
          <w:color w:val="auto"/>
        </w:rPr>
        <w:t>4</w:t>
      </w:r>
      <w:r>
        <w:rPr>
          <w:rFonts w:hint="eastAsia" w:hAnsi="宋体"/>
          <w:color w:val="auto"/>
        </w:rPr>
        <w:t>）监测技术方法及来源：《地下水环境监测技术规范》（HJ</w:t>
      </w:r>
      <w:r>
        <w:rPr>
          <w:rFonts w:hAnsi="宋体"/>
          <w:color w:val="auto"/>
        </w:rPr>
        <w:t xml:space="preserve"> 164</w:t>
      </w:r>
      <w:r>
        <w:rPr>
          <w:rFonts w:hint="eastAsia" w:hAnsi="宋体"/>
          <w:color w:val="auto"/>
        </w:rPr>
        <w:t>-20</w:t>
      </w:r>
      <w:r>
        <w:rPr>
          <w:rFonts w:hAnsi="宋体"/>
          <w:color w:val="auto"/>
        </w:rPr>
        <w:t>20</w:t>
      </w:r>
      <w:r>
        <w:rPr>
          <w:rFonts w:hint="eastAsia" w:hAnsi="宋体"/>
          <w:color w:val="auto"/>
        </w:rPr>
        <w:t>）。</w:t>
      </w:r>
    </w:p>
    <w:p w14:paraId="380743DE">
      <w:pPr>
        <w:pStyle w:val="122"/>
        <w:spacing w:line="331" w:lineRule="auto"/>
        <w:ind w:firstLine="480"/>
        <w:rPr>
          <w:rFonts w:hAnsi="宋体"/>
          <w:color w:val="auto"/>
        </w:rPr>
        <w:sectPr>
          <w:pgSz w:w="11907" w:h="16839"/>
          <w:pgMar w:top="1418" w:right="1588" w:bottom="1418" w:left="1588" w:header="1134" w:footer="850" w:gutter="0"/>
          <w:cols w:space="720" w:num="1"/>
          <w:docGrid w:linePitch="312" w:charSpace="0"/>
        </w:sectPr>
      </w:pPr>
      <w:r>
        <w:rPr>
          <w:rFonts w:hint="eastAsia" w:hAnsi="宋体"/>
          <w:color w:val="auto"/>
        </w:rPr>
        <w:t>监测结果及评价结果见</w:t>
      </w:r>
      <w:r>
        <w:rPr>
          <w:rFonts w:hAnsi="宋体"/>
          <w:color w:val="auto"/>
        </w:rPr>
        <w:fldChar w:fldCharType="begin"/>
      </w:r>
      <w:r>
        <w:rPr>
          <w:rFonts w:hAnsi="宋体"/>
          <w:color w:val="auto"/>
        </w:rPr>
        <w:instrText xml:space="preserve"> REF _Ref105751921 \h  \* MERGEFORMAT </w:instrText>
      </w:r>
      <w:r>
        <w:rPr>
          <w:rFonts w:hAnsi="宋体"/>
          <w:color w:val="auto"/>
        </w:rPr>
        <w:fldChar w:fldCharType="separate"/>
      </w:r>
      <w:r>
        <w:rPr>
          <w:rFonts w:hint="eastAsia" w:hAnsi="宋体"/>
          <w:color w:val="auto"/>
        </w:rPr>
        <w:t xml:space="preserve">表 </w:t>
      </w:r>
      <w:r>
        <w:rPr>
          <w:rFonts w:hAnsi="宋体"/>
          <w:color w:val="auto"/>
        </w:rPr>
        <w:t>6.4</w:t>
      </w:r>
      <w:r>
        <w:rPr>
          <w:rFonts w:hAnsi="宋体"/>
          <w:color w:val="auto"/>
        </w:rPr>
        <w:noBreakHyphen/>
      </w:r>
      <w:r>
        <w:rPr>
          <w:rFonts w:hAnsi="宋体"/>
          <w:color w:val="auto"/>
        </w:rPr>
        <w:t>17</w:t>
      </w:r>
      <w:r>
        <w:rPr>
          <w:rFonts w:hAnsi="宋体"/>
          <w:color w:val="auto"/>
        </w:rPr>
        <w:fldChar w:fldCharType="end"/>
      </w:r>
      <w:r>
        <w:rPr>
          <w:rFonts w:hint="eastAsia" w:hAnsi="宋体"/>
          <w:color w:val="auto"/>
        </w:rPr>
        <w:t>。</w:t>
      </w:r>
    </w:p>
    <w:p w14:paraId="71B9FF54">
      <w:pPr>
        <w:pStyle w:val="15"/>
        <w:spacing w:before="120"/>
        <w:rPr>
          <w:rFonts w:hAnsi="宋体"/>
          <w:color w:val="auto"/>
        </w:rPr>
      </w:pPr>
      <w:bookmarkStart w:id="434" w:name="_Ref105751921"/>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17</w:t>
      </w:r>
      <w:r>
        <w:rPr>
          <w:rFonts w:hAnsi="宋体"/>
          <w:color w:val="auto"/>
        </w:rPr>
        <w:fldChar w:fldCharType="end"/>
      </w:r>
      <w:bookmarkEnd w:id="434"/>
      <w:r>
        <w:rPr>
          <w:rFonts w:hAnsi="宋体"/>
          <w:color w:val="auto"/>
        </w:rPr>
        <w:t xml:space="preserve">  </w:t>
      </w:r>
      <w:r>
        <w:rPr>
          <w:rFonts w:hint="eastAsia" w:hAnsi="宋体"/>
          <w:color w:val="auto"/>
        </w:rPr>
        <w:t>地下水</w:t>
      </w:r>
      <w:r>
        <w:rPr>
          <w:rFonts w:hAnsi="宋体"/>
          <w:color w:val="auto"/>
        </w:rPr>
        <w:t>监测结果</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05"/>
        <w:gridCol w:w="950"/>
        <w:gridCol w:w="903"/>
        <w:gridCol w:w="903"/>
        <w:gridCol w:w="903"/>
        <w:gridCol w:w="903"/>
        <w:gridCol w:w="903"/>
        <w:gridCol w:w="903"/>
        <w:gridCol w:w="903"/>
        <w:gridCol w:w="903"/>
        <w:gridCol w:w="903"/>
        <w:gridCol w:w="967"/>
        <w:gridCol w:w="1223"/>
        <w:gridCol w:w="1270"/>
        <w:gridCol w:w="551"/>
      </w:tblGrid>
      <w:tr w14:paraId="0F71C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41" w:type="pct"/>
            <w:vAlign w:val="center"/>
          </w:tcPr>
          <w:p w14:paraId="2FC075A6">
            <w:pPr>
              <w:jc w:val="center"/>
              <w:rPr>
                <w:rFonts w:ascii="宋体" w:hAnsi="宋体"/>
                <w:color w:val="auto"/>
              </w:rPr>
            </w:pPr>
            <w:bookmarkStart w:id="435" w:name="_Hlk225177766"/>
            <w:r>
              <w:rPr>
                <w:rFonts w:ascii="宋体" w:hAnsi="宋体"/>
                <w:color w:val="auto"/>
              </w:rPr>
              <w:t>检测点位</w:t>
            </w:r>
          </w:p>
        </w:tc>
        <w:tc>
          <w:tcPr>
            <w:tcW w:w="1203" w:type="pct"/>
            <w:gridSpan w:val="4"/>
            <w:vAlign w:val="center"/>
          </w:tcPr>
          <w:p w14:paraId="158A065A">
            <w:pPr>
              <w:jc w:val="center"/>
              <w:rPr>
                <w:rFonts w:ascii="宋体" w:hAnsi="宋体"/>
                <w:color w:val="auto"/>
              </w:rPr>
            </w:pPr>
            <w:r>
              <w:rPr>
                <w:rFonts w:hint="eastAsia" w:ascii="宋体" w:hAnsi="宋体"/>
                <w:color w:val="auto"/>
                <w:kern w:val="0"/>
              </w:rPr>
              <w:t>W</w:t>
            </w:r>
            <w:r>
              <w:rPr>
                <w:rFonts w:ascii="宋体" w:hAnsi="宋体"/>
                <w:color w:val="auto"/>
                <w:kern w:val="0"/>
              </w:rPr>
              <w:t>1</w:t>
            </w:r>
            <w:r>
              <w:rPr>
                <w:rFonts w:hint="eastAsia" w:ascii="宋体" w:hAnsi="宋体"/>
                <w:color w:val="auto"/>
                <w:kern w:val="0"/>
              </w:rPr>
              <w:t>#</w:t>
            </w:r>
            <w:r>
              <w:rPr>
                <w:rFonts w:ascii="宋体" w:hAnsi="宋体"/>
                <w:color w:val="auto"/>
                <w:kern w:val="0"/>
              </w:rPr>
              <w:t xml:space="preserve"> </w:t>
            </w:r>
            <w:r>
              <w:rPr>
                <w:rFonts w:hint="eastAsia" w:ascii="宋体" w:hAnsi="宋体"/>
                <w:color w:val="auto"/>
                <w:kern w:val="0"/>
              </w:rPr>
              <w:t>高青联合站</w:t>
            </w:r>
          </w:p>
        </w:tc>
        <w:tc>
          <w:tcPr>
            <w:tcW w:w="1269" w:type="pct"/>
            <w:gridSpan w:val="4"/>
            <w:vAlign w:val="center"/>
          </w:tcPr>
          <w:p w14:paraId="5F6CEB6B">
            <w:pPr>
              <w:jc w:val="center"/>
              <w:rPr>
                <w:rFonts w:ascii="宋体" w:hAnsi="宋体"/>
                <w:color w:val="auto"/>
                <w:kern w:val="0"/>
              </w:rPr>
            </w:pPr>
            <w:r>
              <w:rPr>
                <w:rFonts w:hint="eastAsia" w:ascii="宋体" w:hAnsi="宋体"/>
                <w:color w:val="auto"/>
                <w:kern w:val="0"/>
              </w:rPr>
              <w:t>W</w:t>
            </w:r>
            <w:r>
              <w:rPr>
                <w:rFonts w:ascii="宋体" w:hAnsi="宋体"/>
                <w:color w:val="auto"/>
                <w:kern w:val="0"/>
              </w:rPr>
              <w:t>2</w:t>
            </w:r>
            <w:r>
              <w:rPr>
                <w:rFonts w:hint="eastAsia" w:ascii="宋体" w:hAnsi="宋体"/>
                <w:color w:val="auto"/>
                <w:kern w:val="0"/>
              </w:rPr>
              <w:t>#</w:t>
            </w:r>
            <w:r>
              <w:rPr>
                <w:rFonts w:ascii="宋体" w:hAnsi="宋体"/>
                <w:color w:val="auto"/>
                <w:kern w:val="0"/>
              </w:rPr>
              <w:t xml:space="preserve"> </w:t>
            </w:r>
            <w:r>
              <w:rPr>
                <w:rFonts w:hint="eastAsia" w:ascii="宋体" w:hAnsi="宋体"/>
                <w:color w:val="auto"/>
                <w:kern w:val="0"/>
              </w:rPr>
              <w:t>1</w:t>
            </w:r>
            <w:r>
              <w:rPr>
                <w:rFonts w:ascii="宋体" w:hAnsi="宋体"/>
                <w:color w:val="auto"/>
                <w:kern w:val="0"/>
              </w:rPr>
              <w:t>#</w:t>
            </w:r>
            <w:r>
              <w:rPr>
                <w:rFonts w:hint="eastAsia" w:ascii="宋体" w:hAnsi="宋体"/>
                <w:color w:val="auto"/>
                <w:kern w:val="0"/>
              </w:rPr>
              <w:t>井场</w:t>
            </w:r>
          </w:p>
        </w:tc>
        <w:tc>
          <w:tcPr>
            <w:tcW w:w="1502" w:type="pct"/>
            <w:gridSpan w:val="4"/>
            <w:vAlign w:val="center"/>
          </w:tcPr>
          <w:p w14:paraId="1BCF1A3F">
            <w:pPr>
              <w:jc w:val="center"/>
              <w:rPr>
                <w:rFonts w:ascii="宋体" w:hAnsi="宋体"/>
                <w:color w:val="auto"/>
                <w:kern w:val="0"/>
              </w:rPr>
            </w:pPr>
            <w:r>
              <w:rPr>
                <w:rFonts w:hint="eastAsia" w:ascii="宋体" w:hAnsi="宋体"/>
                <w:color w:val="auto"/>
                <w:kern w:val="0"/>
              </w:rPr>
              <w:t>W</w:t>
            </w:r>
            <w:r>
              <w:rPr>
                <w:rFonts w:ascii="宋体" w:hAnsi="宋体"/>
                <w:color w:val="auto"/>
                <w:kern w:val="0"/>
              </w:rPr>
              <w:t>3</w:t>
            </w:r>
            <w:r>
              <w:rPr>
                <w:rFonts w:hint="eastAsia" w:ascii="宋体" w:hAnsi="宋体"/>
                <w:color w:val="auto"/>
                <w:kern w:val="0"/>
              </w:rPr>
              <w:t>#营盘村</w:t>
            </w:r>
          </w:p>
        </w:tc>
        <w:tc>
          <w:tcPr>
            <w:tcW w:w="454" w:type="pct"/>
            <w:vMerge w:val="restart"/>
            <w:vAlign w:val="center"/>
          </w:tcPr>
          <w:p w14:paraId="17F8E720">
            <w:pPr>
              <w:jc w:val="center"/>
              <w:rPr>
                <w:rFonts w:ascii="宋体" w:hAnsi="宋体"/>
                <w:color w:val="auto"/>
                <w:kern w:val="0"/>
              </w:rPr>
            </w:pPr>
            <w:r>
              <w:rPr>
                <w:rFonts w:hint="eastAsia" w:ascii="宋体" w:hAnsi="宋体"/>
                <w:color w:val="auto"/>
                <w:kern w:val="0"/>
              </w:rPr>
              <w:t>标准值</w:t>
            </w:r>
            <w:r>
              <w:rPr>
                <w:rFonts w:ascii="宋体" w:hAnsi="宋体"/>
                <w:color w:val="auto"/>
                <w:kern w:val="0"/>
              </w:rPr>
              <w:br w:type="textWrapping"/>
            </w:r>
            <w:r>
              <w:rPr>
                <w:rFonts w:ascii="宋体" w:hAnsi="宋体"/>
                <w:bCs/>
                <w:color w:val="auto"/>
              </w:rPr>
              <w:t>(mg/L)</w:t>
            </w:r>
          </w:p>
        </w:tc>
        <w:tc>
          <w:tcPr>
            <w:tcW w:w="231" w:type="pct"/>
            <w:vMerge w:val="restart"/>
            <w:vAlign w:val="center"/>
          </w:tcPr>
          <w:p w14:paraId="6F09B5F6">
            <w:pPr>
              <w:jc w:val="center"/>
              <w:rPr>
                <w:rFonts w:ascii="宋体" w:hAnsi="宋体"/>
                <w:color w:val="auto"/>
                <w:kern w:val="0"/>
              </w:rPr>
            </w:pPr>
            <w:r>
              <w:rPr>
                <w:rFonts w:hint="eastAsia" w:ascii="宋体" w:hAnsi="宋体"/>
                <w:color w:val="auto"/>
                <w:kern w:val="0"/>
              </w:rPr>
              <w:t>达标性</w:t>
            </w:r>
          </w:p>
        </w:tc>
      </w:tr>
      <w:tr w14:paraId="4995B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41" w:type="pct"/>
            <w:vAlign w:val="center"/>
          </w:tcPr>
          <w:p w14:paraId="1D59C6FA">
            <w:pPr>
              <w:jc w:val="center"/>
              <w:rPr>
                <w:rFonts w:ascii="宋体" w:hAnsi="宋体"/>
                <w:color w:val="auto"/>
              </w:rPr>
            </w:pPr>
            <w:r>
              <w:rPr>
                <w:rFonts w:ascii="宋体" w:hAnsi="宋体"/>
                <w:color w:val="auto"/>
              </w:rPr>
              <w:t>采样日期</w:t>
            </w:r>
          </w:p>
        </w:tc>
        <w:tc>
          <w:tcPr>
            <w:tcW w:w="645" w:type="pct"/>
            <w:gridSpan w:val="2"/>
            <w:vAlign w:val="center"/>
          </w:tcPr>
          <w:p w14:paraId="649265C9">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1</w:t>
            </w:r>
            <w:r>
              <w:rPr>
                <w:rFonts w:hint="eastAsia" w:ascii="宋体" w:hAnsi="宋体"/>
                <w:color w:val="auto"/>
              </w:rPr>
              <w:t>日</w:t>
            </w:r>
          </w:p>
        </w:tc>
        <w:tc>
          <w:tcPr>
            <w:tcW w:w="558" w:type="pct"/>
            <w:gridSpan w:val="2"/>
            <w:vAlign w:val="center"/>
          </w:tcPr>
          <w:p w14:paraId="47B9F422">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2</w:t>
            </w:r>
            <w:r>
              <w:rPr>
                <w:rFonts w:hint="eastAsia" w:ascii="宋体" w:hAnsi="宋体"/>
                <w:color w:val="auto"/>
              </w:rPr>
              <w:t>日</w:t>
            </w:r>
          </w:p>
        </w:tc>
        <w:tc>
          <w:tcPr>
            <w:tcW w:w="593" w:type="pct"/>
            <w:gridSpan w:val="2"/>
            <w:vAlign w:val="center"/>
          </w:tcPr>
          <w:p w14:paraId="1A9F6876">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1</w:t>
            </w:r>
            <w:r>
              <w:rPr>
                <w:rFonts w:hint="eastAsia" w:ascii="宋体" w:hAnsi="宋体"/>
                <w:color w:val="auto"/>
              </w:rPr>
              <w:t>日</w:t>
            </w:r>
          </w:p>
        </w:tc>
        <w:tc>
          <w:tcPr>
            <w:tcW w:w="676" w:type="pct"/>
            <w:gridSpan w:val="2"/>
            <w:vAlign w:val="center"/>
          </w:tcPr>
          <w:p w14:paraId="4B73682F">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2</w:t>
            </w:r>
            <w:r>
              <w:rPr>
                <w:rFonts w:hint="eastAsia" w:ascii="宋体" w:hAnsi="宋体"/>
                <w:color w:val="auto"/>
              </w:rPr>
              <w:t>日</w:t>
            </w:r>
          </w:p>
        </w:tc>
        <w:tc>
          <w:tcPr>
            <w:tcW w:w="676" w:type="pct"/>
            <w:gridSpan w:val="2"/>
            <w:vAlign w:val="center"/>
          </w:tcPr>
          <w:p w14:paraId="2911B76C">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1</w:t>
            </w:r>
            <w:r>
              <w:rPr>
                <w:rFonts w:hint="eastAsia" w:ascii="宋体" w:hAnsi="宋体"/>
                <w:color w:val="auto"/>
              </w:rPr>
              <w:t>日</w:t>
            </w:r>
          </w:p>
        </w:tc>
        <w:tc>
          <w:tcPr>
            <w:tcW w:w="826" w:type="pct"/>
            <w:gridSpan w:val="2"/>
            <w:vAlign w:val="center"/>
          </w:tcPr>
          <w:p w14:paraId="7769CAD5">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2</w:t>
            </w:r>
            <w:r>
              <w:rPr>
                <w:rFonts w:hint="eastAsia" w:ascii="宋体" w:hAnsi="宋体"/>
                <w:color w:val="auto"/>
              </w:rPr>
              <w:t>日</w:t>
            </w:r>
          </w:p>
        </w:tc>
        <w:tc>
          <w:tcPr>
            <w:tcW w:w="454" w:type="pct"/>
            <w:vMerge w:val="continue"/>
            <w:vAlign w:val="center"/>
          </w:tcPr>
          <w:p w14:paraId="58F73673">
            <w:pPr>
              <w:jc w:val="center"/>
              <w:rPr>
                <w:rFonts w:ascii="宋体" w:hAnsi="宋体"/>
                <w:color w:val="auto"/>
              </w:rPr>
            </w:pPr>
          </w:p>
        </w:tc>
        <w:tc>
          <w:tcPr>
            <w:tcW w:w="231" w:type="pct"/>
            <w:vMerge w:val="continue"/>
            <w:vAlign w:val="center"/>
          </w:tcPr>
          <w:p w14:paraId="4F9D1A79">
            <w:pPr>
              <w:jc w:val="center"/>
              <w:rPr>
                <w:rFonts w:ascii="宋体" w:hAnsi="宋体"/>
                <w:color w:val="auto"/>
              </w:rPr>
            </w:pPr>
          </w:p>
        </w:tc>
      </w:tr>
      <w:bookmarkEnd w:id="435"/>
      <w:tr w14:paraId="2BD7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41" w:type="pct"/>
            <w:vAlign w:val="center"/>
          </w:tcPr>
          <w:p w14:paraId="65C380E6">
            <w:pPr>
              <w:jc w:val="center"/>
              <w:rPr>
                <w:rFonts w:ascii="宋体" w:hAnsi="宋体"/>
                <w:color w:val="auto"/>
              </w:rPr>
            </w:pPr>
            <w:bookmarkStart w:id="436" w:name="_Hlk225178131"/>
            <w:r>
              <w:rPr>
                <w:rFonts w:hint="eastAsia" w:ascii="宋体" w:hAnsi="宋体"/>
                <w:color w:val="auto"/>
              </w:rPr>
              <w:t>采样频次</w:t>
            </w:r>
          </w:p>
        </w:tc>
        <w:tc>
          <w:tcPr>
            <w:tcW w:w="357" w:type="pct"/>
            <w:vAlign w:val="center"/>
          </w:tcPr>
          <w:p w14:paraId="3D5D2F52">
            <w:pPr>
              <w:jc w:val="center"/>
              <w:rPr>
                <w:rFonts w:ascii="宋体" w:hAnsi="宋体"/>
                <w:color w:val="auto"/>
              </w:rPr>
            </w:pPr>
            <w:r>
              <w:rPr>
                <w:rFonts w:hint="eastAsia" w:ascii="宋体" w:hAnsi="宋体"/>
                <w:color w:val="auto"/>
              </w:rPr>
              <w:t>第一次</w:t>
            </w:r>
          </w:p>
        </w:tc>
        <w:tc>
          <w:tcPr>
            <w:tcW w:w="288" w:type="pct"/>
            <w:vAlign w:val="center"/>
          </w:tcPr>
          <w:p w14:paraId="4F80AC56">
            <w:pPr>
              <w:jc w:val="center"/>
              <w:rPr>
                <w:rFonts w:ascii="宋体" w:hAnsi="宋体"/>
                <w:color w:val="auto"/>
              </w:rPr>
            </w:pPr>
            <w:r>
              <w:rPr>
                <w:rFonts w:hint="eastAsia" w:ascii="宋体" w:hAnsi="宋体"/>
                <w:color w:val="auto"/>
              </w:rPr>
              <w:t>第二次</w:t>
            </w:r>
          </w:p>
        </w:tc>
        <w:tc>
          <w:tcPr>
            <w:tcW w:w="237" w:type="pct"/>
            <w:vAlign w:val="center"/>
          </w:tcPr>
          <w:p w14:paraId="479A0E34">
            <w:pPr>
              <w:jc w:val="center"/>
              <w:rPr>
                <w:rFonts w:ascii="宋体" w:hAnsi="宋体"/>
                <w:color w:val="auto"/>
              </w:rPr>
            </w:pPr>
            <w:r>
              <w:rPr>
                <w:rFonts w:hint="eastAsia" w:ascii="宋体" w:hAnsi="宋体"/>
                <w:color w:val="auto"/>
              </w:rPr>
              <w:t>第一次</w:t>
            </w:r>
          </w:p>
        </w:tc>
        <w:tc>
          <w:tcPr>
            <w:tcW w:w="321" w:type="pct"/>
            <w:vAlign w:val="center"/>
          </w:tcPr>
          <w:p w14:paraId="40A24AB3">
            <w:pPr>
              <w:jc w:val="center"/>
              <w:rPr>
                <w:rFonts w:ascii="宋体" w:hAnsi="宋体"/>
                <w:color w:val="auto"/>
              </w:rPr>
            </w:pPr>
            <w:r>
              <w:rPr>
                <w:rFonts w:hint="eastAsia" w:ascii="宋体" w:hAnsi="宋体"/>
                <w:color w:val="auto"/>
              </w:rPr>
              <w:t>第二次</w:t>
            </w:r>
          </w:p>
        </w:tc>
        <w:tc>
          <w:tcPr>
            <w:tcW w:w="255" w:type="pct"/>
            <w:vAlign w:val="center"/>
          </w:tcPr>
          <w:p w14:paraId="56A689DD">
            <w:pPr>
              <w:jc w:val="center"/>
              <w:rPr>
                <w:rFonts w:ascii="宋体" w:hAnsi="宋体"/>
                <w:color w:val="auto"/>
              </w:rPr>
            </w:pPr>
            <w:r>
              <w:rPr>
                <w:rFonts w:hint="eastAsia" w:ascii="宋体" w:hAnsi="宋体"/>
                <w:color w:val="auto"/>
              </w:rPr>
              <w:t>第一次</w:t>
            </w:r>
          </w:p>
        </w:tc>
        <w:tc>
          <w:tcPr>
            <w:tcW w:w="338" w:type="pct"/>
            <w:vAlign w:val="center"/>
          </w:tcPr>
          <w:p w14:paraId="560DC40D">
            <w:pPr>
              <w:jc w:val="center"/>
              <w:rPr>
                <w:rFonts w:ascii="宋体" w:hAnsi="宋体"/>
                <w:color w:val="auto"/>
              </w:rPr>
            </w:pPr>
            <w:r>
              <w:rPr>
                <w:rFonts w:hint="eastAsia" w:ascii="宋体" w:hAnsi="宋体"/>
                <w:color w:val="auto"/>
              </w:rPr>
              <w:t>第二次</w:t>
            </w:r>
          </w:p>
        </w:tc>
        <w:tc>
          <w:tcPr>
            <w:tcW w:w="337" w:type="pct"/>
            <w:vAlign w:val="center"/>
          </w:tcPr>
          <w:p w14:paraId="7599686F">
            <w:pPr>
              <w:jc w:val="center"/>
              <w:rPr>
                <w:rFonts w:ascii="宋体" w:hAnsi="宋体"/>
                <w:color w:val="auto"/>
              </w:rPr>
            </w:pPr>
            <w:r>
              <w:rPr>
                <w:rFonts w:hint="eastAsia" w:ascii="宋体" w:hAnsi="宋体"/>
                <w:color w:val="auto"/>
              </w:rPr>
              <w:t>第一次</w:t>
            </w:r>
          </w:p>
        </w:tc>
        <w:tc>
          <w:tcPr>
            <w:tcW w:w="339" w:type="pct"/>
            <w:vAlign w:val="center"/>
          </w:tcPr>
          <w:p w14:paraId="20AC6436">
            <w:pPr>
              <w:jc w:val="center"/>
              <w:rPr>
                <w:rFonts w:ascii="宋体" w:hAnsi="宋体"/>
                <w:color w:val="auto"/>
              </w:rPr>
            </w:pPr>
            <w:r>
              <w:rPr>
                <w:rFonts w:hint="eastAsia" w:ascii="宋体" w:hAnsi="宋体"/>
                <w:color w:val="auto"/>
              </w:rPr>
              <w:t>第二次</w:t>
            </w:r>
          </w:p>
        </w:tc>
        <w:tc>
          <w:tcPr>
            <w:tcW w:w="338" w:type="pct"/>
            <w:vAlign w:val="center"/>
          </w:tcPr>
          <w:p w14:paraId="359FAC5E">
            <w:pPr>
              <w:jc w:val="center"/>
              <w:rPr>
                <w:rFonts w:ascii="宋体" w:hAnsi="宋体"/>
                <w:color w:val="auto"/>
              </w:rPr>
            </w:pPr>
            <w:r>
              <w:rPr>
                <w:rFonts w:hint="eastAsia" w:ascii="宋体" w:hAnsi="宋体"/>
                <w:color w:val="auto"/>
              </w:rPr>
              <w:t>第一次</w:t>
            </w:r>
          </w:p>
        </w:tc>
        <w:tc>
          <w:tcPr>
            <w:tcW w:w="338" w:type="pct"/>
            <w:vAlign w:val="center"/>
          </w:tcPr>
          <w:p w14:paraId="024B413B">
            <w:pPr>
              <w:jc w:val="center"/>
              <w:rPr>
                <w:rFonts w:ascii="宋体" w:hAnsi="宋体"/>
                <w:color w:val="auto"/>
              </w:rPr>
            </w:pPr>
            <w:r>
              <w:rPr>
                <w:rFonts w:hint="eastAsia" w:ascii="宋体" w:hAnsi="宋体"/>
                <w:color w:val="auto"/>
              </w:rPr>
              <w:t>第二次</w:t>
            </w:r>
          </w:p>
        </w:tc>
        <w:tc>
          <w:tcPr>
            <w:tcW w:w="372" w:type="pct"/>
            <w:vAlign w:val="center"/>
          </w:tcPr>
          <w:p w14:paraId="4350EDB6">
            <w:pPr>
              <w:jc w:val="center"/>
              <w:rPr>
                <w:rFonts w:ascii="宋体" w:hAnsi="宋体"/>
                <w:color w:val="auto"/>
              </w:rPr>
            </w:pPr>
            <w:r>
              <w:rPr>
                <w:rFonts w:hint="eastAsia" w:ascii="宋体" w:hAnsi="宋体"/>
                <w:color w:val="auto"/>
              </w:rPr>
              <w:t>第一次</w:t>
            </w:r>
          </w:p>
        </w:tc>
        <w:tc>
          <w:tcPr>
            <w:tcW w:w="454" w:type="pct"/>
            <w:vAlign w:val="center"/>
          </w:tcPr>
          <w:p w14:paraId="1777E5C1">
            <w:pPr>
              <w:jc w:val="center"/>
              <w:rPr>
                <w:rFonts w:ascii="宋体" w:hAnsi="宋体"/>
                <w:color w:val="auto"/>
              </w:rPr>
            </w:pPr>
            <w:r>
              <w:rPr>
                <w:rFonts w:hint="eastAsia" w:ascii="宋体" w:hAnsi="宋体"/>
                <w:color w:val="auto"/>
              </w:rPr>
              <w:t>第二次</w:t>
            </w:r>
          </w:p>
        </w:tc>
        <w:tc>
          <w:tcPr>
            <w:tcW w:w="454" w:type="pct"/>
            <w:vMerge w:val="continue"/>
            <w:vAlign w:val="center"/>
          </w:tcPr>
          <w:p w14:paraId="595DD816">
            <w:pPr>
              <w:jc w:val="center"/>
              <w:rPr>
                <w:rFonts w:ascii="宋体" w:hAnsi="宋体"/>
                <w:color w:val="auto"/>
              </w:rPr>
            </w:pPr>
          </w:p>
        </w:tc>
        <w:tc>
          <w:tcPr>
            <w:tcW w:w="231" w:type="pct"/>
            <w:vMerge w:val="continue"/>
            <w:vAlign w:val="center"/>
          </w:tcPr>
          <w:p w14:paraId="4F035A61">
            <w:pPr>
              <w:jc w:val="center"/>
              <w:rPr>
                <w:rFonts w:ascii="宋体" w:hAnsi="宋体"/>
                <w:color w:val="auto"/>
              </w:rPr>
            </w:pPr>
          </w:p>
        </w:tc>
      </w:tr>
      <w:tr w14:paraId="3B6A2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3D0F215A">
            <w:pPr>
              <w:widowControl/>
              <w:adjustRightInd w:val="0"/>
              <w:snapToGrid w:val="0"/>
              <w:jc w:val="center"/>
              <w:rPr>
                <w:rFonts w:ascii="宋体" w:hAnsi="宋体"/>
                <w:bCs/>
                <w:color w:val="auto"/>
              </w:rPr>
            </w:pPr>
            <w:bookmarkStart w:id="437" w:name="_Hlk231286525"/>
            <w:r>
              <w:rPr>
                <w:rFonts w:hint="eastAsia" w:ascii="宋体" w:hAnsi="宋体"/>
                <w:bCs/>
                <w:color w:val="auto"/>
              </w:rPr>
              <w:t>色度（度）</w:t>
            </w:r>
          </w:p>
        </w:tc>
        <w:tc>
          <w:tcPr>
            <w:tcW w:w="357" w:type="pct"/>
            <w:vAlign w:val="center"/>
          </w:tcPr>
          <w:p w14:paraId="43297CCF">
            <w:pPr>
              <w:jc w:val="center"/>
              <w:rPr>
                <w:rFonts w:ascii="宋体" w:hAnsi="宋体"/>
                <w:color w:val="auto"/>
              </w:rPr>
            </w:pPr>
            <w:r>
              <w:rPr>
                <w:rFonts w:hint="eastAsia" w:ascii="宋体" w:hAnsi="宋体"/>
                <w:color w:val="auto"/>
              </w:rPr>
              <w:t>5</w:t>
            </w:r>
          </w:p>
        </w:tc>
        <w:tc>
          <w:tcPr>
            <w:tcW w:w="288" w:type="pct"/>
            <w:vAlign w:val="center"/>
          </w:tcPr>
          <w:p w14:paraId="3BC6AC7D">
            <w:pPr>
              <w:jc w:val="center"/>
              <w:rPr>
                <w:rFonts w:ascii="宋体" w:hAnsi="宋体"/>
                <w:color w:val="auto"/>
              </w:rPr>
            </w:pPr>
            <w:r>
              <w:rPr>
                <w:rFonts w:hint="eastAsia" w:ascii="宋体" w:hAnsi="宋体"/>
                <w:color w:val="auto"/>
              </w:rPr>
              <w:t>5</w:t>
            </w:r>
          </w:p>
        </w:tc>
        <w:tc>
          <w:tcPr>
            <w:tcW w:w="237" w:type="pct"/>
            <w:vAlign w:val="center"/>
          </w:tcPr>
          <w:p w14:paraId="3A4CCECB">
            <w:pPr>
              <w:jc w:val="center"/>
              <w:rPr>
                <w:rFonts w:ascii="宋体" w:hAnsi="宋体"/>
                <w:color w:val="auto"/>
              </w:rPr>
            </w:pPr>
            <w:r>
              <w:rPr>
                <w:rFonts w:hint="eastAsia" w:ascii="宋体" w:hAnsi="宋体"/>
                <w:color w:val="auto"/>
              </w:rPr>
              <w:t>5</w:t>
            </w:r>
          </w:p>
        </w:tc>
        <w:tc>
          <w:tcPr>
            <w:tcW w:w="321" w:type="pct"/>
            <w:vAlign w:val="center"/>
          </w:tcPr>
          <w:p w14:paraId="30E16771">
            <w:pPr>
              <w:jc w:val="center"/>
              <w:rPr>
                <w:rFonts w:ascii="宋体" w:hAnsi="宋体"/>
                <w:color w:val="auto"/>
              </w:rPr>
            </w:pPr>
            <w:r>
              <w:rPr>
                <w:rFonts w:hint="eastAsia" w:ascii="宋体" w:hAnsi="宋体"/>
                <w:color w:val="auto"/>
              </w:rPr>
              <w:t>5</w:t>
            </w:r>
          </w:p>
        </w:tc>
        <w:tc>
          <w:tcPr>
            <w:tcW w:w="255" w:type="pct"/>
            <w:vAlign w:val="center"/>
          </w:tcPr>
          <w:p w14:paraId="10E92430">
            <w:pPr>
              <w:jc w:val="center"/>
              <w:rPr>
                <w:rFonts w:ascii="宋体" w:hAnsi="宋体"/>
                <w:color w:val="auto"/>
              </w:rPr>
            </w:pPr>
            <w:r>
              <w:rPr>
                <w:rFonts w:hint="eastAsia" w:ascii="宋体" w:hAnsi="宋体"/>
                <w:color w:val="auto"/>
              </w:rPr>
              <w:t>5</w:t>
            </w:r>
          </w:p>
        </w:tc>
        <w:tc>
          <w:tcPr>
            <w:tcW w:w="338" w:type="pct"/>
            <w:vAlign w:val="center"/>
          </w:tcPr>
          <w:p w14:paraId="6F660CCB">
            <w:pPr>
              <w:jc w:val="center"/>
              <w:rPr>
                <w:rFonts w:ascii="宋体" w:hAnsi="宋体"/>
                <w:color w:val="auto"/>
              </w:rPr>
            </w:pPr>
            <w:r>
              <w:rPr>
                <w:rFonts w:hint="eastAsia" w:ascii="宋体" w:hAnsi="宋体"/>
                <w:color w:val="auto"/>
              </w:rPr>
              <w:t>5</w:t>
            </w:r>
          </w:p>
        </w:tc>
        <w:tc>
          <w:tcPr>
            <w:tcW w:w="337" w:type="pct"/>
            <w:vAlign w:val="center"/>
          </w:tcPr>
          <w:p w14:paraId="77A18DF6">
            <w:pPr>
              <w:jc w:val="center"/>
              <w:rPr>
                <w:rFonts w:ascii="宋体" w:hAnsi="宋体"/>
                <w:color w:val="auto"/>
              </w:rPr>
            </w:pPr>
            <w:r>
              <w:rPr>
                <w:rFonts w:hint="eastAsia" w:ascii="宋体" w:hAnsi="宋体"/>
                <w:color w:val="auto"/>
              </w:rPr>
              <w:t>5</w:t>
            </w:r>
          </w:p>
        </w:tc>
        <w:tc>
          <w:tcPr>
            <w:tcW w:w="339" w:type="pct"/>
            <w:vAlign w:val="center"/>
          </w:tcPr>
          <w:p w14:paraId="1ADA43A9">
            <w:pPr>
              <w:jc w:val="center"/>
              <w:rPr>
                <w:rFonts w:ascii="宋体" w:hAnsi="宋体"/>
                <w:color w:val="auto"/>
              </w:rPr>
            </w:pPr>
            <w:r>
              <w:rPr>
                <w:rFonts w:hint="eastAsia" w:ascii="宋体" w:hAnsi="宋体"/>
                <w:color w:val="auto"/>
              </w:rPr>
              <w:t>5</w:t>
            </w:r>
          </w:p>
        </w:tc>
        <w:tc>
          <w:tcPr>
            <w:tcW w:w="338" w:type="pct"/>
            <w:vAlign w:val="center"/>
          </w:tcPr>
          <w:p w14:paraId="43D20FAB">
            <w:pPr>
              <w:jc w:val="center"/>
              <w:rPr>
                <w:rFonts w:ascii="宋体" w:hAnsi="宋体"/>
                <w:color w:val="auto"/>
              </w:rPr>
            </w:pPr>
            <w:r>
              <w:rPr>
                <w:rFonts w:hint="eastAsia" w:ascii="宋体" w:hAnsi="宋体"/>
                <w:color w:val="auto"/>
              </w:rPr>
              <w:t>5</w:t>
            </w:r>
          </w:p>
        </w:tc>
        <w:tc>
          <w:tcPr>
            <w:tcW w:w="338" w:type="pct"/>
            <w:vAlign w:val="center"/>
          </w:tcPr>
          <w:p w14:paraId="22BBEF79">
            <w:pPr>
              <w:jc w:val="center"/>
              <w:rPr>
                <w:rFonts w:ascii="宋体" w:hAnsi="宋体"/>
                <w:color w:val="auto"/>
              </w:rPr>
            </w:pPr>
            <w:r>
              <w:rPr>
                <w:rFonts w:hint="eastAsia" w:ascii="宋体" w:hAnsi="宋体"/>
                <w:color w:val="auto"/>
              </w:rPr>
              <w:t>5</w:t>
            </w:r>
          </w:p>
        </w:tc>
        <w:tc>
          <w:tcPr>
            <w:tcW w:w="372" w:type="pct"/>
            <w:vAlign w:val="center"/>
          </w:tcPr>
          <w:p w14:paraId="4F1DE70A">
            <w:pPr>
              <w:jc w:val="center"/>
              <w:rPr>
                <w:rFonts w:ascii="宋体" w:hAnsi="宋体"/>
                <w:color w:val="auto"/>
              </w:rPr>
            </w:pPr>
            <w:r>
              <w:rPr>
                <w:rFonts w:hint="eastAsia" w:ascii="宋体" w:hAnsi="宋体"/>
                <w:color w:val="auto"/>
              </w:rPr>
              <w:t>5</w:t>
            </w:r>
          </w:p>
        </w:tc>
        <w:tc>
          <w:tcPr>
            <w:tcW w:w="454" w:type="pct"/>
            <w:vAlign w:val="center"/>
          </w:tcPr>
          <w:p w14:paraId="41558BD7">
            <w:pPr>
              <w:jc w:val="center"/>
              <w:rPr>
                <w:rFonts w:ascii="宋体" w:hAnsi="宋体"/>
                <w:color w:val="auto"/>
              </w:rPr>
            </w:pPr>
            <w:r>
              <w:rPr>
                <w:rFonts w:hint="eastAsia" w:ascii="宋体" w:hAnsi="宋体"/>
                <w:color w:val="auto"/>
              </w:rPr>
              <w:t>5</w:t>
            </w:r>
          </w:p>
        </w:tc>
        <w:tc>
          <w:tcPr>
            <w:tcW w:w="454" w:type="pct"/>
            <w:vAlign w:val="center"/>
          </w:tcPr>
          <w:p w14:paraId="069E876D">
            <w:pPr>
              <w:jc w:val="center"/>
              <w:rPr>
                <w:rFonts w:ascii="宋体" w:hAnsi="宋体" w:cs="宋体"/>
                <w:color w:val="auto"/>
                <w:kern w:val="0"/>
              </w:rPr>
            </w:pPr>
            <w:r>
              <w:rPr>
                <w:rFonts w:ascii="宋体" w:hAnsi="宋体" w:cs="宋体"/>
                <w:color w:val="auto"/>
                <w:kern w:val="0"/>
              </w:rPr>
              <w:t>≤</w:t>
            </w:r>
            <w:r>
              <w:rPr>
                <w:rFonts w:ascii="宋体" w:hAnsi="宋体"/>
                <w:color w:val="auto"/>
              </w:rPr>
              <w:t>5</w:t>
            </w:r>
          </w:p>
        </w:tc>
        <w:tc>
          <w:tcPr>
            <w:tcW w:w="231" w:type="pct"/>
            <w:vAlign w:val="center"/>
          </w:tcPr>
          <w:p w14:paraId="26C7BD8A">
            <w:pPr>
              <w:jc w:val="center"/>
              <w:rPr>
                <w:rFonts w:ascii="宋体" w:hAnsi="宋体"/>
                <w:color w:val="auto"/>
              </w:rPr>
            </w:pPr>
            <w:bookmarkStart w:id="438" w:name="OLE_LINK378"/>
            <w:bookmarkStart w:id="439" w:name="OLE_LINK377"/>
            <w:r>
              <w:rPr>
                <w:rFonts w:hint="eastAsia" w:ascii="宋体" w:hAnsi="宋体"/>
                <w:color w:val="auto"/>
              </w:rPr>
              <w:t>达标</w:t>
            </w:r>
            <w:bookmarkEnd w:id="438"/>
            <w:bookmarkEnd w:id="439"/>
          </w:p>
        </w:tc>
      </w:tr>
      <w:tr w14:paraId="2670A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032F8AD8">
            <w:pPr>
              <w:widowControl/>
              <w:adjustRightInd w:val="0"/>
              <w:snapToGrid w:val="0"/>
              <w:jc w:val="center"/>
              <w:rPr>
                <w:rFonts w:ascii="宋体" w:hAnsi="宋体"/>
                <w:bCs/>
                <w:color w:val="auto"/>
              </w:rPr>
            </w:pPr>
            <w:r>
              <w:rPr>
                <w:rFonts w:hint="eastAsia" w:ascii="宋体" w:hAnsi="宋体"/>
                <w:bCs/>
                <w:color w:val="auto"/>
              </w:rPr>
              <w:t>浊度</w:t>
            </w:r>
            <w:r>
              <w:rPr>
                <w:rFonts w:ascii="宋体" w:hAnsi="宋体"/>
                <w:bCs/>
                <w:color w:val="auto"/>
              </w:rPr>
              <w:t>(NTU)</w:t>
            </w:r>
          </w:p>
        </w:tc>
        <w:tc>
          <w:tcPr>
            <w:tcW w:w="357" w:type="pct"/>
            <w:vAlign w:val="center"/>
          </w:tcPr>
          <w:p w14:paraId="49AF86BF">
            <w:pPr>
              <w:jc w:val="center"/>
              <w:rPr>
                <w:rFonts w:ascii="宋体" w:hAnsi="宋体"/>
                <w:color w:val="auto"/>
              </w:rPr>
            </w:pPr>
            <w:r>
              <w:rPr>
                <w:rFonts w:hint="eastAsia" w:ascii="宋体" w:hAnsi="宋体"/>
                <w:color w:val="auto"/>
              </w:rPr>
              <w:t>2</w:t>
            </w:r>
            <w:r>
              <w:rPr>
                <w:rFonts w:ascii="宋体" w:hAnsi="宋体"/>
                <w:color w:val="auto"/>
              </w:rPr>
              <w:t>.2</w:t>
            </w:r>
          </w:p>
        </w:tc>
        <w:tc>
          <w:tcPr>
            <w:tcW w:w="288" w:type="pct"/>
            <w:vAlign w:val="center"/>
          </w:tcPr>
          <w:p w14:paraId="66FC1349">
            <w:pPr>
              <w:jc w:val="center"/>
              <w:rPr>
                <w:rFonts w:ascii="宋体" w:hAnsi="宋体"/>
                <w:color w:val="auto"/>
              </w:rPr>
            </w:pPr>
            <w:r>
              <w:rPr>
                <w:rFonts w:hint="eastAsia" w:ascii="宋体" w:hAnsi="宋体"/>
                <w:color w:val="auto"/>
              </w:rPr>
              <w:t>2</w:t>
            </w:r>
            <w:r>
              <w:rPr>
                <w:rFonts w:ascii="宋体" w:hAnsi="宋体"/>
                <w:color w:val="auto"/>
              </w:rPr>
              <w:t>.2</w:t>
            </w:r>
          </w:p>
        </w:tc>
        <w:tc>
          <w:tcPr>
            <w:tcW w:w="237" w:type="pct"/>
            <w:vAlign w:val="center"/>
          </w:tcPr>
          <w:p w14:paraId="5812AB61">
            <w:pPr>
              <w:jc w:val="center"/>
              <w:rPr>
                <w:rFonts w:ascii="宋体" w:hAnsi="宋体"/>
                <w:color w:val="auto"/>
              </w:rPr>
            </w:pPr>
            <w:r>
              <w:rPr>
                <w:rFonts w:hint="eastAsia" w:ascii="宋体" w:hAnsi="宋体"/>
                <w:color w:val="auto"/>
              </w:rPr>
              <w:t>2</w:t>
            </w:r>
            <w:r>
              <w:rPr>
                <w:rFonts w:ascii="宋体" w:hAnsi="宋体"/>
                <w:color w:val="auto"/>
              </w:rPr>
              <w:t>.2</w:t>
            </w:r>
          </w:p>
        </w:tc>
        <w:tc>
          <w:tcPr>
            <w:tcW w:w="321" w:type="pct"/>
            <w:vAlign w:val="center"/>
          </w:tcPr>
          <w:p w14:paraId="42398E14">
            <w:pPr>
              <w:jc w:val="center"/>
              <w:rPr>
                <w:rFonts w:ascii="宋体" w:hAnsi="宋体"/>
                <w:color w:val="auto"/>
              </w:rPr>
            </w:pPr>
            <w:r>
              <w:rPr>
                <w:rFonts w:hint="eastAsia" w:ascii="宋体" w:hAnsi="宋体"/>
                <w:color w:val="auto"/>
              </w:rPr>
              <w:t>2</w:t>
            </w:r>
            <w:r>
              <w:rPr>
                <w:rFonts w:ascii="宋体" w:hAnsi="宋体"/>
                <w:color w:val="auto"/>
              </w:rPr>
              <w:t>.2</w:t>
            </w:r>
          </w:p>
        </w:tc>
        <w:tc>
          <w:tcPr>
            <w:tcW w:w="255" w:type="pct"/>
            <w:vAlign w:val="center"/>
          </w:tcPr>
          <w:p w14:paraId="53F775B5">
            <w:pPr>
              <w:jc w:val="center"/>
              <w:rPr>
                <w:rFonts w:ascii="宋体" w:hAnsi="宋体"/>
                <w:color w:val="auto"/>
              </w:rPr>
            </w:pPr>
            <w:bookmarkStart w:id="440" w:name="OLE_LINK368"/>
            <w:bookmarkStart w:id="441" w:name="OLE_LINK369"/>
            <w:r>
              <w:rPr>
                <w:rFonts w:hint="eastAsia" w:ascii="宋体" w:hAnsi="宋体"/>
                <w:color w:val="auto"/>
              </w:rPr>
              <w:t>2</w:t>
            </w:r>
            <w:r>
              <w:rPr>
                <w:rFonts w:ascii="宋体" w:hAnsi="宋体"/>
                <w:color w:val="auto"/>
              </w:rPr>
              <w:t>.3</w:t>
            </w:r>
            <w:bookmarkEnd w:id="440"/>
            <w:bookmarkEnd w:id="441"/>
          </w:p>
        </w:tc>
        <w:tc>
          <w:tcPr>
            <w:tcW w:w="338" w:type="pct"/>
            <w:vAlign w:val="center"/>
          </w:tcPr>
          <w:p w14:paraId="60B90351">
            <w:pPr>
              <w:jc w:val="center"/>
              <w:rPr>
                <w:rFonts w:ascii="宋体" w:hAnsi="宋体"/>
                <w:color w:val="auto"/>
              </w:rPr>
            </w:pPr>
            <w:r>
              <w:rPr>
                <w:rFonts w:hint="eastAsia" w:ascii="宋体" w:hAnsi="宋体"/>
                <w:color w:val="auto"/>
              </w:rPr>
              <w:t>2</w:t>
            </w:r>
            <w:r>
              <w:rPr>
                <w:rFonts w:ascii="宋体" w:hAnsi="宋体"/>
                <w:color w:val="auto"/>
              </w:rPr>
              <w:t>.3</w:t>
            </w:r>
          </w:p>
        </w:tc>
        <w:tc>
          <w:tcPr>
            <w:tcW w:w="337" w:type="pct"/>
            <w:vAlign w:val="center"/>
          </w:tcPr>
          <w:p w14:paraId="0B842B16">
            <w:pPr>
              <w:jc w:val="center"/>
              <w:rPr>
                <w:rFonts w:ascii="宋体" w:hAnsi="宋体"/>
                <w:color w:val="auto"/>
              </w:rPr>
            </w:pPr>
            <w:r>
              <w:rPr>
                <w:rFonts w:hint="eastAsia" w:ascii="宋体" w:hAnsi="宋体"/>
                <w:color w:val="auto"/>
              </w:rPr>
              <w:t>2</w:t>
            </w:r>
            <w:r>
              <w:rPr>
                <w:rFonts w:ascii="宋体" w:hAnsi="宋体"/>
                <w:color w:val="auto"/>
              </w:rPr>
              <w:t>.3</w:t>
            </w:r>
          </w:p>
        </w:tc>
        <w:tc>
          <w:tcPr>
            <w:tcW w:w="339" w:type="pct"/>
            <w:vAlign w:val="center"/>
          </w:tcPr>
          <w:p w14:paraId="16B10F9B">
            <w:pPr>
              <w:jc w:val="center"/>
              <w:rPr>
                <w:rFonts w:ascii="宋体" w:hAnsi="宋体"/>
                <w:color w:val="auto"/>
              </w:rPr>
            </w:pPr>
            <w:r>
              <w:rPr>
                <w:rFonts w:hint="eastAsia" w:ascii="宋体" w:hAnsi="宋体"/>
                <w:color w:val="auto"/>
              </w:rPr>
              <w:t>2</w:t>
            </w:r>
            <w:r>
              <w:rPr>
                <w:rFonts w:ascii="宋体" w:hAnsi="宋体"/>
                <w:color w:val="auto"/>
              </w:rPr>
              <w:t>.3</w:t>
            </w:r>
          </w:p>
        </w:tc>
        <w:tc>
          <w:tcPr>
            <w:tcW w:w="338" w:type="pct"/>
            <w:vAlign w:val="center"/>
          </w:tcPr>
          <w:p w14:paraId="35DFC4CE">
            <w:pPr>
              <w:jc w:val="center"/>
              <w:rPr>
                <w:rFonts w:ascii="宋体" w:hAnsi="宋体"/>
                <w:color w:val="auto"/>
              </w:rPr>
            </w:pPr>
            <w:bookmarkStart w:id="442" w:name="OLE_LINK373"/>
            <w:bookmarkStart w:id="443" w:name="OLE_LINK374"/>
            <w:r>
              <w:rPr>
                <w:rFonts w:hint="eastAsia" w:ascii="宋体" w:hAnsi="宋体"/>
                <w:color w:val="auto"/>
              </w:rPr>
              <w:t>2</w:t>
            </w:r>
            <w:r>
              <w:rPr>
                <w:rFonts w:ascii="宋体" w:hAnsi="宋体"/>
                <w:color w:val="auto"/>
              </w:rPr>
              <w:t>.2</w:t>
            </w:r>
            <w:bookmarkEnd w:id="442"/>
            <w:bookmarkEnd w:id="443"/>
          </w:p>
        </w:tc>
        <w:tc>
          <w:tcPr>
            <w:tcW w:w="338" w:type="pct"/>
            <w:vAlign w:val="center"/>
          </w:tcPr>
          <w:p w14:paraId="2CEAA44D">
            <w:pPr>
              <w:jc w:val="center"/>
              <w:rPr>
                <w:rFonts w:ascii="宋体" w:hAnsi="宋体"/>
                <w:color w:val="auto"/>
              </w:rPr>
            </w:pPr>
            <w:r>
              <w:rPr>
                <w:rFonts w:hint="eastAsia" w:ascii="宋体" w:hAnsi="宋体"/>
                <w:color w:val="auto"/>
              </w:rPr>
              <w:t>2</w:t>
            </w:r>
            <w:r>
              <w:rPr>
                <w:rFonts w:ascii="宋体" w:hAnsi="宋体"/>
                <w:color w:val="auto"/>
              </w:rPr>
              <w:t>.2</w:t>
            </w:r>
          </w:p>
        </w:tc>
        <w:tc>
          <w:tcPr>
            <w:tcW w:w="372" w:type="pct"/>
            <w:vAlign w:val="center"/>
          </w:tcPr>
          <w:p w14:paraId="6D06ECBA">
            <w:pPr>
              <w:jc w:val="center"/>
              <w:rPr>
                <w:rFonts w:ascii="宋体" w:hAnsi="宋体"/>
                <w:color w:val="auto"/>
              </w:rPr>
            </w:pPr>
            <w:r>
              <w:rPr>
                <w:rFonts w:hint="eastAsia" w:ascii="宋体" w:hAnsi="宋体"/>
                <w:color w:val="auto"/>
              </w:rPr>
              <w:t>2</w:t>
            </w:r>
            <w:r>
              <w:rPr>
                <w:rFonts w:ascii="宋体" w:hAnsi="宋体"/>
                <w:color w:val="auto"/>
              </w:rPr>
              <w:t>.2</w:t>
            </w:r>
          </w:p>
        </w:tc>
        <w:tc>
          <w:tcPr>
            <w:tcW w:w="454" w:type="pct"/>
            <w:vAlign w:val="center"/>
          </w:tcPr>
          <w:p w14:paraId="19416192">
            <w:pPr>
              <w:jc w:val="center"/>
              <w:rPr>
                <w:rFonts w:ascii="宋体" w:hAnsi="宋体"/>
                <w:color w:val="auto"/>
              </w:rPr>
            </w:pPr>
            <w:r>
              <w:rPr>
                <w:rFonts w:hint="eastAsia" w:ascii="宋体" w:hAnsi="宋体"/>
                <w:color w:val="auto"/>
              </w:rPr>
              <w:t>2.2</w:t>
            </w:r>
          </w:p>
        </w:tc>
        <w:tc>
          <w:tcPr>
            <w:tcW w:w="454" w:type="pct"/>
            <w:vAlign w:val="center"/>
          </w:tcPr>
          <w:p w14:paraId="02C7D3A2">
            <w:pPr>
              <w:jc w:val="center"/>
              <w:rPr>
                <w:rFonts w:ascii="宋体" w:hAnsi="宋体" w:cs="宋体"/>
                <w:color w:val="auto"/>
                <w:kern w:val="0"/>
              </w:rPr>
            </w:pPr>
            <w:r>
              <w:rPr>
                <w:rFonts w:ascii="宋体" w:hAnsi="宋体" w:cs="宋体"/>
                <w:color w:val="auto"/>
                <w:kern w:val="0"/>
              </w:rPr>
              <w:t>≤</w:t>
            </w:r>
            <w:r>
              <w:rPr>
                <w:rFonts w:ascii="宋体" w:hAnsi="宋体"/>
                <w:color w:val="auto"/>
              </w:rPr>
              <w:t>3</w:t>
            </w:r>
          </w:p>
        </w:tc>
        <w:tc>
          <w:tcPr>
            <w:tcW w:w="231" w:type="pct"/>
            <w:vAlign w:val="center"/>
          </w:tcPr>
          <w:p w14:paraId="12386457">
            <w:pPr>
              <w:jc w:val="center"/>
              <w:rPr>
                <w:rFonts w:ascii="宋体" w:hAnsi="宋体"/>
                <w:color w:val="auto"/>
              </w:rPr>
            </w:pPr>
            <w:bookmarkStart w:id="444" w:name="OLE_LINK379"/>
            <w:bookmarkStart w:id="445" w:name="OLE_LINK380"/>
            <w:r>
              <w:rPr>
                <w:rFonts w:hint="eastAsia" w:ascii="宋体" w:hAnsi="宋体"/>
                <w:color w:val="auto"/>
              </w:rPr>
              <w:t>达标</w:t>
            </w:r>
            <w:bookmarkEnd w:id="444"/>
            <w:bookmarkEnd w:id="445"/>
          </w:p>
        </w:tc>
      </w:tr>
      <w:tr w14:paraId="37F43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100103AB">
            <w:pPr>
              <w:widowControl/>
              <w:adjustRightInd w:val="0"/>
              <w:snapToGrid w:val="0"/>
              <w:jc w:val="center"/>
              <w:rPr>
                <w:rFonts w:ascii="宋体" w:hAnsi="宋体"/>
                <w:bCs/>
                <w:color w:val="auto"/>
              </w:rPr>
            </w:pPr>
            <w:r>
              <w:rPr>
                <w:rFonts w:hint="eastAsia" w:ascii="宋体" w:hAnsi="宋体"/>
                <w:bCs/>
                <w:color w:val="auto"/>
              </w:rPr>
              <w:t>臭和味</w:t>
            </w:r>
            <w:r>
              <w:rPr>
                <w:rFonts w:ascii="宋体" w:hAnsi="宋体"/>
                <w:bCs/>
                <w:color w:val="auto"/>
              </w:rPr>
              <w:t>(</w:t>
            </w:r>
            <w:r>
              <w:rPr>
                <w:rFonts w:ascii="宋体" w:hAnsi="宋体"/>
                <w:color w:val="auto"/>
              </w:rPr>
              <w:t>级</w:t>
            </w:r>
            <w:r>
              <w:rPr>
                <w:rFonts w:ascii="宋体" w:hAnsi="宋体"/>
                <w:bCs/>
                <w:color w:val="auto"/>
              </w:rPr>
              <w:t>)</w:t>
            </w:r>
          </w:p>
        </w:tc>
        <w:tc>
          <w:tcPr>
            <w:tcW w:w="357" w:type="pct"/>
            <w:vAlign w:val="center"/>
          </w:tcPr>
          <w:p w14:paraId="1A88441F">
            <w:pPr>
              <w:jc w:val="center"/>
              <w:rPr>
                <w:rFonts w:ascii="宋体" w:hAnsi="宋体"/>
                <w:color w:val="auto"/>
              </w:rPr>
            </w:pPr>
            <w:bookmarkStart w:id="446" w:name="OLE_LINK371"/>
            <w:bookmarkStart w:id="447" w:name="OLE_LINK370"/>
            <w:r>
              <w:rPr>
                <w:rFonts w:hint="eastAsia" w:ascii="宋体" w:hAnsi="宋体"/>
                <w:color w:val="auto"/>
              </w:rPr>
              <w:t>无</w:t>
            </w:r>
            <w:bookmarkEnd w:id="446"/>
            <w:bookmarkEnd w:id="447"/>
          </w:p>
        </w:tc>
        <w:tc>
          <w:tcPr>
            <w:tcW w:w="288" w:type="pct"/>
            <w:vAlign w:val="center"/>
          </w:tcPr>
          <w:p w14:paraId="40092F6C">
            <w:pPr>
              <w:jc w:val="center"/>
              <w:rPr>
                <w:rFonts w:ascii="宋体" w:hAnsi="宋体"/>
                <w:color w:val="auto"/>
              </w:rPr>
            </w:pPr>
            <w:r>
              <w:rPr>
                <w:rFonts w:hint="eastAsia" w:ascii="宋体" w:hAnsi="宋体"/>
                <w:color w:val="auto"/>
              </w:rPr>
              <w:t>无</w:t>
            </w:r>
          </w:p>
        </w:tc>
        <w:tc>
          <w:tcPr>
            <w:tcW w:w="237" w:type="pct"/>
            <w:vAlign w:val="center"/>
          </w:tcPr>
          <w:p w14:paraId="46036978">
            <w:pPr>
              <w:jc w:val="center"/>
              <w:rPr>
                <w:rFonts w:ascii="宋体" w:hAnsi="宋体"/>
                <w:color w:val="auto"/>
              </w:rPr>
            </w:pPr>
            <w:r>
              <w:rPr>
                <w:rFonts w:hint="eastAsia" w:ascii="宋体" w:hAnsi="宋体"/>
                <w:color w:val="auto"/>
              </w:rPr>
              <w:t>无</w:t>
            </w:r>
          </w:p>
        </w:tc>
        <w:tc>
          <w:tcPr>
            <w:tcW w:w="321" w:type="pct"/>
            <w:vAlign w:val="center"/>
          </w:tcPr>
          <w:p w14:paraId="28FD94F5">
            <w:pPr>
              <w:jc w:val="center"/>
              <w:rPr>
                <w:rFonts w:ascii="宋体" w:hAnsi="宋体"/>
                <w:color w:val="auto"/>
              </w:rPr>
            </w:pPr>
            <w:r>
              <w:rPr>
                <w:rFonts w:hint="eastAsia" w:ascii="宋体" w:hAnsi="宋体"/>
                <w:color w:val="auto"/>
              </w:rPr>
              <w:t>无</w:t>
            </w:r>
          </w:p>
        </w:tc>
        <w:tc>
          <w:tcPr>
            <w:tcW w:w="255" w:type="pct"/>
            <w:vAlign w:val="center"/>
          </w:tcPr>
          <w:p w14:paraId="17B198EF">
            <w:pPr>
              <w:jc w:val="center"/>
              <w:rPr>
                <w:rFonts w:ascii="宋体" w:hAnsi="宋体"/>
                <w:color w:val="auto"/>
              </w:rPr>
            </w:pPr>
            <w:bookmarkStart w:id="448" w:name="OLE_LINK372"/>
            <w:r>
              <w:rPr>
                <w:rFonts w:hint="eastAsia" w:ascii="宋体" w:hAnsi="宋体"/>
                <w:color w:val="auto"/>
              </w:rPr>
              <w:t>无</w:t>
            </w:r>
            <w:bookmarkEnd w:id="448"/>
          </w:p>
        </w:tc>
        <w:tc>
          <w:tcPr>
            <w:tcW w:w="338" w:type="pct"/>
            <w:vAlign w:val="center"/>
          </w:tcPr>
          <w:p w14:paraId="1412BBC5">
            <w:pPr>
              <w:jc w:val="center"/>
              <w:rPr>
                <w:rFonts w:ascii="宋体" w:hAnsi="宋体"/>
                <w:color w:val="auto"/>
              </w:rPr>
            </w:pPr>
            <w:r>
              <w:rPr>
                <w:rFonts w:hint="eastAsia" w:ascii="宋体" w:hAnsi="宋体"/>
                <w:color w:val="auto"/>
              </w:rPr>
              <w:t>无</w:t>
            </w:r>
          </w:p>
        </w:tc>
        <w:tc>
          <w:tcPr>
            <w:tcW w:w="337" w:type="pct"/>
            <w:vAlign w:val="center"/>
          </w:tcPr>
          <w:p w14:paraId="4D33D8EF">
            <w:pPr>
              <w:jc w:val="center"/>
              <w:rPr>
                <w:rFonts w:ascii="宋体" w:hAnsi="宋体"/>
                <w:color w:val="auto"/>
              </w:rPr>
            </w:pPr>
            <w:r>
              <w:rPr>
                <w:rFonts w:hint="eastAsia" w:ascii="宋体" w:hAnsi="宋体"/>
                <w:color w:val="auto"/>
              </w:rPr>
              <w:t>无</w:t>
            </w:r>
          </w:p>
        </w:tc>
        <w:tc>
          <w:tcPr>
            <w:tcW w:w="339" w:type="pct"/>
            <w:vAlign w:val="center"/>
          </w:tcPr>
          <w:p w14:paraId="08896B3A">
            <w:pPr>
              <w:jc w:val="center"/>
              <w:rPr>
                <w:rFonts w:ascii="宋体" w:hAnsi="宋体"/>
                <w:color w:val="auto"/>
              </w:rPr>
            </w:pPr>
            <w:r>
              <w:rPr>
                <w:rFonts w:hint="eastAsia" w:ascii="宋体" w:hAnsi="宋体"/>
                <w:color w:val="auto"/>
              </w:rPr>
              <w:t>无</w:t>
            </w:r>
          </w:p>
        </w:tc>
        <w:tc>
          <w:tcPr>
            <w:tcW w:w="338" w:type="pct"/>
            <w:vAlign w:val="center"/>
          </w:tcPr>
          <w:p w14:paraId="154C77D1">
            <w:pPr>
              <w:jc w:val="center"/>
              <w:rPr>
                <w:rFonts w:ascii="宋体" w:hAnsi="宋体"/>
                <w:color w:val="auto"/>
              </w:rPr>
            </w:pPr>
            <w:r>
              <w:rPr>
                <w:rFonts w:hint="eastAsia" w:ascii="宋体" w:hAnsi="宋体"/>
                <w:color w:val="auto"/>
              </w:rPr>
              <w:t>无</w:t>
            </w:r>
          </w:p>
        </w:tc>
        <w:tc>
          <w:tcPr>
            <w:tcW w:w="338" w:type="pct"/>
            <w:vAlign w:val="center"/>
          </w:tcPr>
          <w:p w14:paraId="0B32C816">
            <w:pPr>
              <w:jc w:val="center"/>
              <w:rPr>
                <w:rFonts w:ascii="宋体" w:hAnsi="宋体"/>
                <w:color w:val="auto"/>
              </w:rPr>
            </w:pPr>
            <w:r>
              <w:rPr>
                <w:rFonts w:hint="eastAsia" w:ascii="宋体" w:hAnsi="宋体"/>
                <w:color w:val="auto"/>
              </w:rPr>
              <w:t>无</w:t>
            </w:r>
          </w:p>
        </w:tc>
        <w:tc>
          <w:tcPr>
            <w:tcW w:w="372" w:type="pct"/>
            <w:vAlign w:val="center"/>
          </w:tcPr>
          <w:p w14:paraId="6E66E363">
            <w:pPr>
              <w:jc w:val="center"/>
              <w:rPr>
                <w:rFonts w:ascii="宋体" w:hAnsi="宋体"/>
                <w:color w:val="auto"/>
              </w:rPr>
            </w:pPr>
            <w:r>
              <w:rPr>
                <w:rFonts w:hint="eastAsia" w:ascii="宋体" w:hAnsi="宋体"/>
                <w:color w:val="auto"/>
              </w:rPr>
              <w:t>无</w:t>
            </w:r>
          </w:p>
        </w:tc>
        <w:tc>
          <w:tcPr>
            <w:tcW w:w="454" w:type="pct"/>
            <w:vAlign w:val="center"/>
          </w:tcPr>
          <w:p w14:paraId="7279461F">
            <w:pPr>
              <w:jc w:val="center"/>
              <w:rPr>
                <w:rFonts w:ascii="宋体" w:hAnsi="宋体"/>
                <w:color w:val="auto"/>
              </w:rPr>
            </w:pPr>
            <w:r>
              <w:rPr>
                <w:rFonts w:hint="eastAsia" w:ascii="宋体" w:hAnsi="宋体"/>
                <w:color w:val="auto"/>
              </w:rPr>
              <w:t>无</w:t>
            </w:r>
          </w:p>
        </w:tc>
        <w:tc>
          <w:tcPr>
            <w:tcW w:w="454" w:type="pct"/>
            <w:vAlign w:val="center"/>
          </w:tcPr>
          <w:p w14:paraId="7CA4ADFD">
            <w:pPr>
              <w:jc w:val="center"/>
              <w:rPr>
                <w:rFonts w:ascii="宋体" w:hAnsi="宋体" w:cs="宋体"/>
                <w:color w:val="auto"/>
                <w:kern w:val="0"/>
              </w:rPr>
            </w:pPr>
            <w:r>
              <w:rPr>
                <w:rFonts w:hint="eastAsia" w:ascii="宋体" w:hAnsi="宋体" w:cs="宋体"/>
                <w:color w:val="auto"/>
                <w:kern w:val="0"/>
              </w:rPr>
              <w:t>无</w:t>
            </w:r>
          </w:p>
        </w:tc>
        <w:tc>
          <w:tcPr>
            <w:tcW w:w="231" w:type="pct"/>
            <w:vAlign w:val="center"/>
          </w:tcPr>
          <w:p w14:paraId="3C01B4BC">
            <w:pPr>
              <w:jc w:val="center"/>
              <w:rPr>
                <w:rFonts w:ascii="宋体" w:hAnsi="宋体"/>
                <w:color w:val="auto"/>
              </w:rPr>
            </w:pPr>
            <w:r>
              <w:rPr>
                <w:rFonts w:hint="eastAsia" w:ascii="宋体" w:hAnsi="宋体"/>
                <w:color w:val="auto"/>
              </w:rPr>
              <w:t>达标</w:t>
            </w:r>
          </w:p>
        </w:tc>
      </w:tr>
      <w:tr w14:paraId="479E7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7A150A6C">
            <w:pPr>
              <w:widowControl/>
              <w:adjustRightInd w:val="0"/>
              <w:snapToGrid w:val="0"/>
              <w:jc w:val="center"/>
              <w:rPr>
                <w:rFonts w:ascii="宋体" w:hAnsi="宋体"/>
                <w:bCs/>
                <w:color w:val="auto"/>
              </w:rPr>
            </w:pPr>
            <w:r>
              <w:rPr>
                <w:rFonts w:hint="eastAsia" w:ascii="宋体" w:hAnsi="宋体"/>
                <w:bCs/>
                <w:color w:val="auto"/>
              </w:rPr>
              <w:t>肉眼可见物</w:t>
            </w:r>
          </w:p>
        </w:tc>
        <w:tc>
          <w:tcPr>
            <w:tcW w:w="357" w:type="pct"/>
            <w:vAlign w:val="center"/>
          </w:tcPr>
          <w:p w14:paraId="66E8CA35">
            <w:pPr>
              <w:jc w:val="center"/>
              <w:rPr>
                <w:rFonts w:ascii="宋体" w:hAnsi="宋体"/>
                <w:color w:val="auto"/>
              </w:rPr>
            </w:pPr>
            <w:r>
              <w:rPr>
                <w:rFonts w:hint="eastAsia" w:ascii="宋体" w:hAnsi="宋体"/>
                <w:color w:val="auto"/>
              </w:rPr>
              <w:t>无</w:t>
            </w:r>
          </w:p>
        </w:tc>
        <w:tc>
          <w:tcPr>
            <w:tcW w:w="288" w:type="pct"/>
            <w:vAlign w:val="center"/>
          </w:tcPr>
          <w:p w14:paraId="631C4E5B">
            <w:pPr>
              <w:jc w:val="center"/>
              <w:rPr>
                <w:rFonts w:ascii="宋体" w:hAnsi="宋体"/>
                <w:color w:val="auto"/>
              </w:rPr>
            </w:pPr>
            <w:r>
              <w:rPr>
                <w:rFonts w:hint="eastAsia" w:ascii="宋体" w:hAnsi="宋体"/>
                <w:color w:val="auto"/>
              </w:rPr>
              <w:t>无</w:t>
            </w:r>
          </w:p>
        </w:tc>
        <w:tc>
          <w:tcPr>
            <w:tcW w:w="237" w:type="pct"/>
            <w:vAlign w:val="center"/>
          </w:tcPr>
          <w:p w14:paraId="62FF091E">
            <w:pPr>
              <w:jc w:val="center"/>
              <w:rPr>
                <w:rFonts w:ascii="宋体" w:hAnsi="宋体"/>
                <w:color w:val="auto"/>
              </w:rPr>
            </w:pPr>
            <w:r>
              <w:rPr>
                <w:rFonts w:hint="eastAsia" w:ascii="宋体" w:hAnsi="宋体"/>
                <w:color w:val="auto"/>
              </w:rPr>
              <w:t>无</w:t>
            </w:r>
          </w:p>
        </w:tc>
        <w:tc>
          <w:tcPr>
            <w:tcW w:w="321" w:type="pct"/>
            <w:vAlign w:val="center"/>
          </w:tcPr>
          <w:p w14:paraId="05B00BC3">
            <w:pPr>
              <w:jc w:val="center"/>
              <w:rPr>
                <w:rFonts w:ascii="宋体" w:hAnsi="宋体"/>
                <w:color w:val="auto"/>
              </w:rPr>
            </w:pPr>
            <w:r>
              <w:rPr>
                <w:rFonts w:hint="eastAsia" w:ascii="宋体" w:hAnsi="宋体"/>
                <w:color w:val="auto"/>
              </w:rPr>
              <w:t>无</w:t>
            </w:r>
          </w:p>
        </w:tc>
        <w:tc>
          <w:tcPr>
            <w:tcW w:w="255" w:type="pct"/>
            <w:vAlign w:val="center"/>
          </w:tcPr>
          <w:p w14:paraId="30116B87">
            <w:pPr>
              <w:jc w:val="center"/>
              <w:rPr>
                <w:rFonts w:ascii="宋体" w:hAnsi="宋体"/>
                <w:color w:val="auto"/>
              </w:rPr>
            </w:pPr>
            <w:r>
              <w:rPr>
                <w:rFonts w:hint="eastAsia" w:ascii="宋体" w:hAnsi="宋体"/>
                <w:color w:val="auto"/>
              </w:rPr>
              <w:t>无</w:t>
            </w:r>
          </w:p>
        </w:tc>
        <w:tc>
          <w:tcPr>
            <w:tcW w:w="338" w:type="pct"/>
            <w:vAlign w:val="center"/>
          </w:tcPr>
          <w:p w14:paraId="7542DEA5">
            <w:pPr>
              <w:jc w:val="center"/>
              <w:rPr>
                <w:rFonts w:ascii="宋体" w:hAnsi="宋体"/>
                <w:color w:val="auto"/>
              </w:rPr>
            </w:pPr>
            <w:r>
              <w:rPr>
                <w:rFonts w:hint="eastAsia" w:ascii="宋体" w:hAnsi="宋体"/>
                <w:color w:val="auto"/>
              </w:rPr>
              <w:t>无</w:t>
            </w:r>
          </w:p>
        </w:tc>
        <w:tc>
          <w:tcPr>
            <w:tcW w:w="337" w:type="pct"/>
            <w:vAlign w:val="center"/>
          </w:tcPr>
          <w:p w14:paraId="53E46B8E">
            <w:pPr>
              <w:jc w:val="center"/>
              <w:rPr>
                <w:rFonts w:ascii="宋体" w:hAnsi="宋体"/>
                <w:color w:val="auto"/>
              </w:rPr>
            </w:pPr>
            <w:r>
              <w:rPr>
                <w:rFonts w:hint="eastAsia" w:ascii="宋体" w:hAnsi="宋体"/>
                <w:color w:val="auto"/>
              </w:rPr>
              <w:t>无</w:t>
            </w:r>
          </w:p>
        </w:tc>
        <w:tc>
          <w:tcPr>
            <w:tcW w:w="339" w:type="pct"/>
            <w:vAlign w:val="center"/>
          </w:tcPr>
          <w:p w14:paraId="1578BD4C">
            <w:pPr>
              <w:jc w:val="center"/>
              <w:rPr>
                <w:rFonts w:ascii="宋体" w:hAnsi="宋体"/>
                <w:color w:val="auto"/>
              </w:rPr>
            </w:pPr>
            <w:r>
              <w:rPr>
                <w:rFonts w:hint="eastAsia" w:ascii="宋体" w:hAnsi="宋体"/>
                <w:color w:val="auto"/>
              </w:rPr>
              <w:t>无</w:t>
            </w:r>
          </w:p>
        </w:tc>
        <w:tc>
          <w:tcPr>
            <w:tcW w:w="338" w:type="pct"/>
            <w:vAlign w:val="center"/>
          </w:tcPr>
          <w:p w14:paraId="5BD06E39">
            <w:pPr>
              <w:jc w:val="center"/>
              <w:rPr>
                <w:rFonts w:ascii="宋体" w:hAnsi="宋体"/>
                <w:color w:val="auto"/>
              </w:rPr>
            </w:pPr>
            <w:r>
              <w:rPr>
                <w:rFonts w:hint="eastAsia" w:ascii="宋体" w:hAnsi="宋体"/>
                <w:color w:val="auto"/>
              </w:rPr>
              <w:t>无</w:t>
            </w:r>
          </w:p>
        </w:tc>
        <w:tc>
          <w:tcPr>
            <w:tcW w:w="338" w:type="pct"/>
            <w:vAlign w:val="center"/>
          </w:tcPr>
          <w:p w14:paraId="36F3880A">
            <w:pPr>
              <w:jc w:val="center"/>
              <w:rPr>
                <w:rFonts w:ascii="宋体" w:hAnsi="宋体"/>
                <w:color w:val="auto"/>
              </w:rPr>
            </w:pPr>
            <w:r>
              <w:rPr>
                <w:rFonts w:hint="eastAsia" w:ascii="宋体" w:hAnsi="宋体"/>
                <w:color w:val="auto"/>
              </w:rPr>
              <w:t>无</w:t>
            </w:r>
          </w:p>
        </w:tc>
        <w:tc>
          <w:tcPr>
            <w:tcW w:w="372" w:type="pct"/>
            <w:vAlign w:val="center"/>
          </w:tcPr>
          <w:p w14:paraId="17130A6C">
            <w:pPr>
              <w:jc w:val="center"/>
              <w:rPr>
                <w:rFonts w:ascii="宋体" w:hAnsi="宋体"/>
                <w:color w:val="auto"/>
              </w:rPr>
            </w:pPr>
            <w:r>
              <w:rPr>
                <w:rFonts w:hint="eastAsia" w:ascii="宋体" w:hAnsi="宋体"/>
                <w:color w:val="auto"/>
              </w:rPr>
              <w:t>无</w:t>
            </w:r>
          </w:p>
        </w:tc>
        <w:tc>
          <w:tcPr>
            <w:tcW w:w="454" w:type="pct"/>
            <w:vAlign w:val="center"/>
          </w:tcPr>
          <w:p w14:paraId="56D74C66">
            <w:pPr>
              <w:jc w:val="center"/>
              <w:rPr>
                <w:rFonts w:ascii="宋体" w:hAnsi="宋体"/>
                <w:color w:val="auto"/>
              </w:rPr>
            </w:pPr>
            <w:r>
              <w:rPr>
                <w:rFonts w:hint="eastAsia" w:ascii="宋体" w:hAnsi="宋体"/>
                <w:color w:val="auto"/>
              </w:rPr>
              <w:t>无</w:t>
            </w:r>
          </w:p>
        </w:tc>
        <w:tc>
          <w:tcPr>
            <w:tcW w:w="454" w:type="pct"/>
            <w:vAlign w:val="center"/>
          </w:tcPr>
          <w:p w14:paraId="3960EC25">
            <w:pPr>
              <w:jc w:val="center"/>
              <w:rPr>
                <w:rFonts w:ascii="宋体" w:hAnsi="宋体" w:cs="宋体"/>
                <w:color w:val="auto"/>
                <w:kern w:val="0"/>
              </w:rPr>
            </w:pPr>
            <w:r>
              <w:rPr>
                <w:rFonts w:hint="eastAsia" w:ascii="宋体" w:hAnsi="宋体" w:cs="宋体"/>
                <w:color w:val="auto"/>
                <w:kern w:val="0"/>
              </w:rPr>
              <w:t>无</w:t>
            </w:r>
          </w:p>
        </w:tc>
        <w:tc>
          <w:tcPr>
            <w:tcW w:w="231" w:type="pct"/>
            <w:vAlign w:val="center"/>
          </w:tcPr>
          <w:p w14:paraId="3CCE28FD">
            <w:pPr>
              <w:jc w:val="center"/>
              <w:rPr>
                <w:rFonts w:ascii="宋体" w:hAnsi="宋体"/>
                <w:color w:val="auto"/>
              </w:rPr>
            </w:pPr>
            <w:r>
              <w:rPr>
                <w:rFonts w:hint="eastAsia" w:ascii="宋体" w:hAnsi="宋体"/>
                <w:color w:val="auto"/>
              </w:rPr>
              <w:t>达标</w:t>
            </w:r>
          </w:p>
        </w:tc>
      </w:tr>
      <w:bookmarkEnd w:id="436"/>
      <w:bookmarkEnd w:id="437"/>
      <w:tr w14:paraId="74F24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0ED17676">
            <w:pPr>
              <w:widowControl/>
              <w:adjustRightInd w:val="0"/>
              <w:snapToGrid w:val="0"/>
              <w:jc w:val="center"/>
              <w:rPr>
                <w:rFonts w:ascii="宋体" w:hAnsi="宋体"/>
                <w:color w:val="auto"/>
              </w:rPr>
            </w:pPr>
            <w:r>
              <w:rPr>
                <w:rFonts w:ascii="宋体" w:hAnsi="宋体"/>
                <w:bCs/>
                <w:color w:val="auto"/>
              </w:rPr>
              <w:t>pH值(无量纲)</w:t>
            </w:r>
          </w:p>
        </w:tc>
        <w:tc>
          <w:tcPr>
            <w:tcW w:w="357" w:type="pct"/>
            <w:vAlign w:val="center"/>
          </w:tcPr>
          <w:p w14:paraId="29861534">
            <w:pPr>
              <w:jc w:val="center"/>
              <w:rPr>
                <w:rFonts w:ascii="宋体" w:hAnsi="宋体"/>
                <w:color w:val="auto"/>
              </w:rPr>
            </w:pPr>
            <w:r>
              <w:rPr>
                <w:rFonts w:ascii="宋体" w:hAnsi="宋体"/>
                <w:color w:val="auto"/>
              </w:rPr>
              <w:t>7.2</w:t>
            </w:r>
          </w:p>
        </w:tc>
        <w:tc>
          <w:tcPr>
            <w:tcW w:w="288" w:type="pct"/>
            <w:vAlign w:val="center"/>
          </w:tcPr>
          <w:p w14:paraId="1779C8F9">
            <w:pPr>
              <w:jc w:val="center"/>
              <w:rPr>
                <w:rFonts w:ascii="宋体" w:hAnsi="宋体"/>
                <w:color w:val="auto"/>
              </w:rPr>
            </w:pPr>
            <w:r>
              <w:rPr>
                <w:rFonts w:ascii="宋体" w:hAnsi="宋体"/>
                <w:color w:val="auto"/>
              </w:rPr>
              <w:t>7.2</w:t>
            </w:r>
          </w:p>
        </w:tc>
        <w:tc>
          <w:tcPr>
            <w:tcW w:w="237" w:type="pct"/>
            <w:vAlign w:val="center"/>
          </w:tcPr>
          <w:p w14:paraId="18E7A620">
            <w:pPr>
              <w:jc w:val="center"/>
              <w:rPr>
                <w:rFonts w:ascii="宋体" w:hAnsi="宋体"/>
                <w:color w:val="auto"/>
              </w:rPr>
            </w:pPr>
            <w:r>
              <w:rPr>
                <w:rFonts w:ascii="宋体" w:hAnsi="宋体"/>
                <w:color w:val="auto"/>
              </w:rPr>
              <w:t>7.2</w:t>
            </w:r>
          </w:p>
        </w:tc>
        <w:tc>
          <w:tcPr>
            <w:tcW w:w="321" w:type="pct"/>
            <w:vAlign w:val="center"/>
          </w:tcPr>
          <w:p w14:paraId="4EE0D759">
            <w:pPr>
              <w:jc w:val="center"/>
              <w:rPr>
                <w:rFonts w:ascii="宋体" w:hAnsi="宋体"/>
                <w:color w:val="auto"/>
              </w:rPr>
            </w:pPr>
            <w:r>
              <w:rPr>
                <w:rFonts w:ascii="宋体" w:hAnsi="宋体"/>
                <w:color w:val="auto"/>
              </w:rPr>
              <w:t>7.2</w:t>
            </w:r>
          </w:p>
        </w:tc>
        <w:tc>
          <w:tcPr>
            <w:tcW w:w="255" w:type="pct"/>
            <w:vAlign w:val="center"/>
          </w:tcPr>
          <w:p w14:paraId="1F9909B7">
            <w:pPr>
              <w:jc w:val="center"/>
              <w:rPr>
                <w:rFonts w:ascii="宋体" w:hAnsi="宋体" w:cs="宋体"/>
                <w:color w:val="auto"/>
                <w:kern w:val="0"/>
              </w:rPr>
            </w:pPr>
            <w:r>
              <w:rPr>
                <w:rFonts w:ascii="宋体" w:hAnsi="宋体"/>
                <w:color w:val="auto"/>
              </w:rPr>
              <w:t>7.3</w:t>
            </w:r>
          </w:p>
        </w:tc>
        <w:tc>
          <w:tcPr>
            <w:tcW w:w="338" w:type="pct"/>
            <w:vAlign w:val="center"/>
          </w:tcPr>
          <w:p w14:paraId="38B89AE4">
            <w:pPr>
              <w:jc w:val="center"/>
              <w:rPr>
                <w:rFonts w:ascii="宋体" w:hAnsi="宋体" w:cs="宋体"/>
                <w:color w:val="auto"/>
                <w:kern w:val="0"/>
              </w:rPr>
            </w:pPr>
            <w:r>
              <w:rPr>
                <w:rFonts w:ascii="宋体" w:hAnsi="宋体"/>
                <w:color w:val="auto"/>
              </w:rPr>
              <w:t>7.3</w:t>
            </w:r>
          </w:p>
        </w:tc>
        <w:tc>
          <w:tcPr>
            <w:tcW w:w="337" w:type="pct"/>
            <w:vAlign w:val="center"/>
          </w:tcPr>
          <w:p w14:paraId="389AEBDB">
            <w:pPr>
              <w:jc w:val="center"/>
              <w:rPr>
                <w:rFonts w:ascii="宋体" w:hAnsi="宋体" w:cs="宋体"/>
                <w:color w:val="auto"/>
                <w:kern w:val="0"/>
              </w:rPr>
            </w:pPr>
            <w:r>
              <w:rPr>
                <w:rFonts w:hint="eastAsia" w:ascii="宋体" w:hAnsi="宋体"/>
                <w:color w:val="auto"/>
              </w:rPr>
              <w:t>7.3</w:t>
            </w:r>
          </w:p>
        </w:tc>
        <w:tc>
          <w:tcPr>
            <w:tcW w:w="339" w:type="pct"/>
            <w:vAlign w:val="center"/>
          </w:tcPr>
          <w:p w14:paraId="050C5282">
            <w:pPr>
              <w:jc w:val="center"/>
              <w:rPr>
                <w:rFonts w:ascii="宋体" w:hAnsi="宋体" w:cs="宋体"/>
                <w:color w:val="auto"/>
                <w:kern w:val="0"/>
              </w:rPr>
            </w:pPr>
            <w:r>
              <w:rPr>
                <w:rFonts w:hint="eastAsia" w:ascii="宋体" w:hAnsi="宋体"/>
                <w:color w:val="auto"/>
              </w:rPr>
              <w:t>7.3</w:t>
            </w:r>
          </w:p>
        </w:tc>
        <w:tc>
          <w:tcPr>
            <w:tcW w:w="338" w:type="pct"/>
            <w:vAlign w:val="center"/>
          </w:tcPr>
          <w:p w14:paraId="0DE66DB2">
            <w:pPr>
              <w:jc w:val="center"/>
              <w:rPr>
                <w:rFonts w:ascii="宋体" w:hAnsi="宋体" w:cs="宋体"/>
                <w:color w:val="auto"/>
                <w:kern w:val="0"/>
              </w:rPr>
            </w:pPr>
            <w:r>
              <w:rPr>
                <w:rFonts w:hint="eastAsia" w:ascii="宋体" w:hAnsi="宋体"/>
                <w:color w:val="auto"/>
              </w:rPr>
              <w:t>7.3</w:t>
            </w:r>
          </w:p>
        </w:tc>
        <w:tc>
          <w:tcPr>
            <w:tcW w:w="338" w:type="pct"/>
            <w:vAlign w:val="center"/>
          </w:tcPr>
          <w:p w14:paraId="010266FB">
            <w:pPr>
              <w:jc w:val="center"/>
              <w:rPr>
                <w:rFonts w:ascii="宋体" w:hAnsi="宋体" w:cs="宋体"/>
                <w:color w:val="auto"/>
                <w:kern w:val="0"/>
              </w:rPr>
            </w:pPr>
            <w:r>
              <w:rPr>
                <w:rFonts w:hint="eastAsia" w:ascii="宋体" w:hAnsi="宋体"/>
                <w:color w:val="auto"/>
              </w:rPr>
              <w:t>7.3</w:t>
            </w:r>
          </w:p>
        </w:tc>
        <w:tc>
          <w:tcPr>
            <w:tcW w:w="372" w:type="pct"/>
            <w:vAlign w:val="center"/>
          </w:tcPr>
          <w:p w14:paraId="542DD8B2">
            <w:pPr>
              <w:jc w:val="center"/>
              <w:rPr>
                <w:rFonts w:ascii="宋体" w:hAnsi="宋体" w:cs="宋体"/>
                <w:color w:val="auto"/>
                <w:kern w:val="0"/>
              </w:rPr>
            </w:pPr>
            <w:r>
              <w:rPr>
                <w:rFonts w:hint="eastAsia" w:ascii="宋体" w:hAnsi="宋体"/>
                <w:color w:val="auto"/>
              </w:rPr>
              <w:t>7.3</w:t>
            </w:r>
          </w:p>
        </w:tc>
        <w:tc>
          <w:tcPr>
            <w:tcW w:w="454" w:type="pct"/>
            <w:vAlign w:val="center"/>
          </w:tcPr>
          <w:p w14:paraId="57BF5264">
            <w:pPr>
              <w:jc w:val="center"/>
              <w:rPr>
                <w:rFonts w:ascii="宋体" w:hAnsi="宋体" w:cs="宋体"/>
                <w:color w:val="auto"/>
                <w:kern w:val="0"/>
              </w:rPr>
            </w:pPr>
            <w:r>
              <w:rPr>
                <w:rFonts w:hint="eastAsia" w:ascii="宋体" w:hAnsi="宋体"/>
                <w:color w:val="auto"/>
              </w:rPr>
              <w:t>7.3</w:t>
            </w:r>
          </w:p>
        </w:tc>
        <w:tc>
          <w:tcPr>
            <w:tcW w:w="454" w:type="pct"/>
            <w:vAlign w:val="center"/>
          </w:tcPr>
          <w:p w14:paraId="495DF3CA">
            <w:pPr>
              <w:jc w:val="center"/>
              <w:rPr>
                <w:rFonts w:ascii="宋体" w:hAnsi="宋体"/>
                <w:color w:val="auto"/>
              </w:rPr>
            </w:pPr>
            <w:r>
              <w:rPr>
                <w:rFonts w:ascii="宋体" w:hAnsi="宋体" w:cs="宋体"/>
                <w:color w:val="auto"/>
                <w:kern w:val="0"/>
              </w:rPr>
              <w:t>6.5≤pH≤8.5</w:t>
            </w:r>
          </w:p>
        </w:tc>
        <w:tc>
          <w:tcPr>
            <w:tcW w:w="231" w:type="pct"/>
            <w:vAlign w:val="center"/>
          </w:tcPr>
          <w:p w14:paraId="5D670FCA">
            <w:pPr>
              <w:jc w:val="center"/>
              <w:rPr>
                <w:rFonts w:ascii="宋体" w:hAnsi="宋体"/>
                <w:color w:val="auto"/>
              </w:rPr>
            </w:pPr>
            <w:bookmarkStart w:id="449" w:name="OLE_LINK375"/>
            <w:bookmarkStart w:id="450" w:name="OLE_LINK376"/>
            <w:r>
              <w:rPr>
                <w:rFonts w:hint="eastAsia" w:ascii="宋体" w:hAnsi="宋体"/>
                <w:color w:val="auto"/>
              </w:rPr>
              <w:t>达标</w:t>
            </w:r>
            <w:bookmarkEnd w:id="449"/>
            <w:bookmarkEnd w:id="450"/>
          </w:p>
        </w:tc>
      </w:tr>
      <w:tr w14:paraId="2172C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1A1085D7">
            <w:pPr>
              <w:widowControl/>
              <w:adjustRightInd w:val="0"/>
              <w:snapToGrid w:val="0"/>
              <w:jc w:val="center"/>
              <w:rPr>
                <w:rFonts w:ascii="宋体" w:hAnsi="宋体"/>
                <w:bCs/>
                <w:color w:val="auto"/>
              </w:rPr>
            </w:pPr>
            <w:r>
              <w:rPr>
                <w:rFonts w:ascii="宋体" w:hAnsi="宋体"/>
                <w:bCs/>
                <w:color w:val="auto"/>
              </w:rPr>
              <w:t>氨氮</w:t>
            </w:r>
            <w:bookmarkStart w:id="451" w:name="OLE_LINK86"/>
            <w:bookmarkStart w:id="452" w:name="OLE_LINK87"/>
            <w:r>
              <w:rPr>
                <w:rFonts w:ascii="宋体" w:hAnsi="宋体"/>
                <w:bCs/>
                <w:color w:val="auto"/>
              </w:rPr>
              <w:t>(mg/L)</w:t>
            </w:r>
            <w:bookmarkEnd w:id="451"/>
            <w:bookmarkEnd w:id="452"/>
          </w:p>
        </w:tc>
        <w:tc>
          <w:tcPr>
            <w:tcW w:w="357" w:type="pct"/>
            <w:vAlign w:val="center"/>
          </w:tcPr>
          <w:p w14:paraId="6EDE0352">
            <w:pPr>
              <w:jc w:val="center"/>
              <w:rPr>
                <w:rFonts w:ascii="宋体" w:hAnsi="宋体"/>
                <w:color w:val="auto"/>
              </w:rPr>
            </w:pPr>
            <w:r>
              <w:rPr>
                <w:rFonts w:hint="eastAsia" w:ascii="宋体" w:hAnsi="宋体"/>
                <w:color w:val="auto"/>
              </w:rPr>
              <w:t>0.072</w:t>
            </w:r>
          </w:p>
        </w:tc>
        <w:tc>
          <w:tcPr>
            <w:tcW w:w="288" w:type="pct"/>
            <w:vAlign w:val="center"/>
          </w:tcPr>
          <w:p w14:paraId="15BF50B9">
            <w:pPr>
              <w:jc w:val="center"/>
              <w:rPr>
                <w:rFonts w:ascii="宋体" w:hAnsi="宋体"/>
                <w:color w:val="auto"/>
              </w:rPr>
            </w:pPr>
            <w:r>
              <w:rPr>
                <w:rFonts w:hint="eastAsia" w:ascii="宋体" w:hAnsi="宋体"/>
                <w:color w:val="auto"/>
              </w:rPr>
              <w:t>0.065</w:t>
            </w:r>
          </w:p>
        </w:tc>
        <w:tc>
          <w:tcPr>
            <w:tcW w:w="237" w:type="pct"/>
            <w:vAlign w:val="center"/>
          </w:tcPr>
          <w:p w14:paraId="06E8EAA1">
            <w:pPr>
              <w:jc w:val="center"/>
              <w:rPr>
                <w:rFonts w:ascii="宋体" w:hAnsi="宋体"/>
                <w:color w:val="auto"/>
              </w:rPr>
            </w:pPr>
            <w:r>
              <w:rPr>
                <w:rFonts w:hint="eastAsia" w:ascii="宋体" w:hAnsi="宋体"/>
                <w:color w:val="auto"/>
              </w:rPr>
              <w:t>0.066</w:t>
            </w:r>
          </w:p>
        </w:tc>
        <w:tc>
          <w:tcPr>
            <w:tcW w:w="321" w:type="pct"/>
            <w:vAlign w:val="center"/>
          </w:tcPr>
          <w:p w14:paraId="03F96FA1">
            <w:pPr>
              <w:jc w:val="center"/>
              <w:rPr>
                <w:rFonts w:ascii="宋体" w:hAnsi="宋体"/>
                <w:color w:val="auto"/>
              </w:rPr>
            </w:pPr>
            <w:r>
              <w:rPr>
                <w:rFonts w:hint="eastAsia" w:ascii="宋体" w:hAnsi="宋体"/>
                <w:color w:val="auto"/>
              </w:rPr>
              <w:t>0.050</w:t>
            </w:r>
          </w:p>
        </w:tc>
        <w:tc>
          <w:tcPr>
            <w:tcW w:w="255" w:type="pct"/>
            <w:vAlign w:val="center"/>
          </w:tcPr>
          <w:p w14:paraId="5BD3E3D3">
            <w:pPr>
              <w:jc w:val="center"/>
              <w:rPr>
                <w:rFonts w:ascii="宋体" w:hAnsi="宋体" w:cs="宋体"/>
                <w:b/>
                <w:bCs/>
                <w:color w:val="auto"/>
                <w:kern w:val="0"/>
              </w:rPr>
            </w:pPr>
            <w:r>
              <w:rPr>
                <w:rFonts w:hint="eastAsia" w:ascii="宋体" w:hAnsi="宋体"/>
                <w:color w:val="auto"/>
              </w:rPr>
              <w:t>0.169</w:t>
            </w:r>
          </w:p>
        </w:tc>
        <w:tc>
          <w:tcPr>
            <w:tcW w:w="338" w:type="pct"/>
            <w:vAlign w:val="center"/>
          </w:tcPr>
          <w:p w14:paraId="54C83D66">
            <w:pPr>
              <w:jc w:val="center"/>
              <w:rPr>
                <w:rFonts w:ascii="宋体" w:hAnsi="宋体" w:cs="宋体"/>
                <w:b/>
                <w:bCs/>
                <w:color w:val="auto"/>
                <w:kern w:val="0"/>
              </w:rPr>
            </w:pPr>
            <w:r>
              <w:rPr>
                <w:rFonts w:hint="eastAsia" w:ascii="宋体" w:hAnsi="宋体"/>
                <w:color w:val="auto"/>
              </w:rPr>
              <w:t>0.181</w:t>
            </w:r>
          </w:p>
        </w:tc>
        <w:tc>
          <w:tcPr>
            <w:tcW w:w="337" w:type="pct"/>
            <w:vAlign w:val="center"/>
          </w:tcPr>
          <w:p w14:paraId="3A5A8549">
            <w:pPr>
              <w:jc w:val="center"/>
              <w:rPr>
                <w:rFonts w:ascii="宋体" w:hAnsi="宋体" w:cs="宋体"/>
                <w:b/>
                <w:bCs/>
                <w:color w:val="auto"/>
                <w:kern w:val="0"/>
              </w:rPr>
            </w:pPr>
            <w:r>
              <w:rPr>
                <w:rFonts w:hint="eastAsia" w:ascii="宋体" w:hAnsi="宋体"/>
                <w:color w:val="auto"/>
              </w:rPr>
              <w:t>0.178</w:t>
            </w:r>
          </w:p>
        </w:tc>
        <w:tc>
          <w:tcPr>
            <w:tcW w:w="339" w:type="pct"/>
            <w:vAlign w:val="center"/>
          </w:tcPr>
          <w:p w14:paraId="132CF13B">
            <w:pPr>
              <w:jc w:val="center"/>
              <w:rPr>
                <w:rFonts w:ascii="宋体" w:hAnsi="宋体" w:cs="宋体"/>
                <w:b/>
                <w:bCs/>
                <w:color w:val="auto"/>
                <w:kern w:val="0"/>
              </w:rPr>
            </w:pPr>
            <w:r>
              <w:rPr>
                <w:rFonts w:hint="eastAsia" w:ascii="宋体" w:hAnsi="宋体"/>
                <w:color w:val="auto"/>
              </w:rPr>
              <w:t>0.162</w:t>
            </w:r>
          </w:p>
        </w:tc>
        <w:tc>
          <w:tcPr>
            <w:tcW w:w="338" w:type="pct"/>
            <w:vAlign w:val="center"/>
          </w:tcPr>
          <w:p w14:paraId="1758F65C">
            <w:pPr>
              <w:jc w:val="center"/>
              <w:rPr>
                <w:rFonts w:ascii="宋体" w:hAnsi="宋体" w:cs="宋体"/>
                <w:b/>
                <w:bCs/>
                <w:color w:val="auto"/>
                <w:kern w:val="0"/>
              </w:rPr>
            </w:pPr>
            <w:r>
              <w:rPr>
                <w:rFonts w:hint="eastAsia" w:ascii="宋体" w:hAnsi="宋体"/>
                <w:color w:val="auto"/>
              </w:rPr>
              <w:t>0.038</w:t>
            </w:r>
          </w:p>
        </w:tc>
        <w:tc>
          <w:tcPr>
            <w:tcW w:w="338" w:type="pct"/>
            <w:vAlign w:val="center"/>
          </w:tcPr>
          <w:p w14:paraId="09D2696C">
            <w:pPr>
              <w:jc w:val="center"/>
              <w:rPr>
                <w:rFonts w:ascii="宋体" w:hAnsi="宋体" w:cs="宋体"/>
                <w:b/>
                <w:bCs/>
                <w:color w:val="auto"/>
                <w:kern w:val="0"/>
              </w:rPr>
            </w:pPr>
            <w:r>
              <w:rPr>
                <w:rFonts w:hint="eastAsia" w:ascii="宋体" w:hAnsi="宋体"/>
                <w:color w:val="auto"/>
              </w:rPr>
              <w:t>0.044</w:t>
            </w:r>
          </w:p>
        </w:tc>
        <w:tc>
          <w:tcPr>
            <w:tcW w:w="372" w:type="pct"/>
            <w:vAlign w:val="center"/>
          </w:tcPr>
          <w:p w14:paraId="7082623C">
            <w:pPr>
              <w:jc w:val="center"/>
              <w:rPr>
                <w:rFonts w:ascii="宋体" w:hAnsi="宋体" w:cs="宋体"/>
                <w:b/>
                <w:bCs/>
                <w:color w:val="auto"/>
                <w:kern w:val="0"/>
              </w:rPr>
            </w:pPr>
            <w:r>
              <w:rPr>
                <w:rFonts w:hint="eastAsia" w:ascii="宋体" w:hAnsi="宋体"/>
                <w:color w:val="auto"/>
              </w:rPr>
              <w:t>0.04</w:t>
            </w:r>
            <w:r>
              <w:rPr>
                <w:rFonts w:ascii="宋体" w:hAnsi="宋体"/>
                <w:color w:val="auto"/>
              </w:rPr>
              <w:t>7</w:t>
            </w:r>
          </w:p>
        </w:tc>
        <w:tc>
          <w:tcPr>
            <w:tcW w:w="454" w:type="pct"/>
            <w:vAlign w:val="center"/>
          </w:tcPr>
          <w:p w14:paraId="7473D7D7">
            <w:pPr>
              <w:jc w:val="center"/>
              <w:rPr>
                <w:rFonts w:ascii="宋体" w:hAnsi="宋体" w:cs="宋体"/>
                <w:b/>
                <w:bCs/>
                <w:color w:val="auto"/>
                <w:kern w:val="0"/>
              </w:rPr>
            </w:pPr>
            <w:r>
              <w:rPr>
                <w:rFonts w:hint="eastAsia" w:ascii="宋体" w:hAnsi="宋体"/>
                <w:color w:val="auto"/>
              </w:rPr>
              <w:t>0.032</w:t>
            </w:r>
          </w:p>
        </w:tc>
        <w:tc>
          <w:tcPr>
            <w:tcW w:w="454" w:type="pct"/>
            <w:vAlign w:val="center"/>
          </w:tcPr>
          <w:p w14:paraId="08659B45">
            <w:pPr>
              <w:jc w:val="center"/>
              <w:rPr>
                <w:rFonts w:ascii="宋体" w:hAnsi="宋体"/>
                <w:color w:val="auto"/>
              </w:rPr>
            </w:pPr>
            <w:r>
              <w:rPr>
                <w:rFonts w:ascii="宋体" w:hAnsi="宋体" w:cs="宋体"/>
                <w:color w:val="auto"/>
                <w:kern w:val="0"/>
              </w:rPr>
              <w:t>≤</w:t>
            </w:r>
            <w:r>
              <w:rPr>
                <w:rFonts w:ascii="宋体" w:hAnsi="宋体"/>
                <w:color w:val="auto"/>
              </w:rPr>
              <w:t>0.5</w:t>
            </w:r>
          </w:p>
        </w:tc>
        <w:tc>
          <w:tcPr>
            <w:tcW w:w="231" w:type="pct"/>
            <w:vAlign w:val="center"/>
          </w:tcPr>
          <w:p w14:paraId="3F267981">
            <w:pPr>
              <w:jc w:val="center"/>
              <w:rPr>
                <w:rFonts w:ascii="宋体" w:hAnsi="宋体"/>
                <w:color w:val="auto"/>
              </w:rPr>
            </w:pPr>
            <w:r>
              <w:rPr>
                <w:rFonts w:hint="eastAsia" w:ascii="宋体" w:hAnsi="宋体"/>
                <w:color w:val="auto"/>
              </w:rPr>
              <w:t>达标</w:t>
            </w:r>
          </w:p>
        </w:tc>
      </w:tr>
      <w:tr w14:paraId="37EA5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69BA1412">
            <w:pPr>
              <w:widowControl/>
              <w:adjustRightInd w:val="0"/>
              <w:snapToGrid w:val="0"/>
              <w:jc w:val="center"/>
              <w:rPr>
                <w:rFonts w:ascii="宋体" w:hAnsi="宋体"/>
                <w:bCs/>
                <w:color w:val="auto"/>
              </w:rPr>
            </w:pPr>
            <w:r>
              <w:rPr>
                <w:rFonts w:ascii="宋体" w:hAnsi="宋体"/>
                <w:bCs/>
                <w:color w:val="auto"/>
              </w:rPr>
              <w:t>挥发酚(mg/L)</w:t>
            </w:r>
          </w:p>
        </w:tc>
        <w:tc>
          <w:tcPr>
            <w:tcW w:w="357" w:type="pct"/>
            <w:vAlign w:val="center"/>
          </w:tcPr>
          <w:p w14:paraId="29ED3089">
            <w:pPr>
              <w:widowControl/>
              <w:jc w:val="center"/>
              <w:rPr>
                <w:rFonts w:ascii="宋体" w:hAnsi="宋体"/>
                <w:color w:val="auto"/>
              </w:rPr>
            </w:pPr>
            <w:r>
              <w:rPr>
                <w:rFonts w:hint="eastAsia" w:ascii="宋体" w:hAnsi="宋体"/>
                <w:color w:val="auto"/>
              </w:rPr>
              <w:t>ND</w:t>
            </w:r>
          </w:p>
        </w:tc>
        <w:tc>
          <w:tcPr>
            <w:tcW w:w="288" w:type="pct"/>
            <w:vAlign w:val="center"/>
          </w:tcPr>
          <w:p w14:paraId="28AB286E">
            <w:pPr>
              <w:widowControl/>
              <w:jc w:val="center"/>
              <w:rPr>
                <w:rFonts w:ascii="宋体" w:hAnsi="宋体"/>
                <w:color w:val="auto"/>
              </w:rPr>
            </w:pPr>
            <w:r>
              <w:rPr>
                <w:rFonts w:hint="eastAsia" w:ascii="宋体" w:hAnsi="宋体"/>
                <w:color w:val="auto"/>
              </w:rPr>
              <w:t>ND</w:t>
            </w:r>
          </w:p>
        </w:tc>
        <w:tc>
          <w:tcPr>
            <w:tcW w:w="237" w:type="pct"/>
            <w:vAlign w:val="center"/>
          </w:tcPr>
          <w:p w14:paraId="7105356F">
            <w:pPr>
              <w:widowControl/>
              <w:jc w:val="center"/>
              <w:rPr>
                <w:rFonts w:ascii="宋体" w:hAnsi="宋体"/>
                <w:color w:val="auto"/>
              </w:rPr>
            </w:pPr>
            <w:r>
              <w:rPr>
                <w:rFonts w:hint="eastAsia" w:ascii="宋体" w:hAnsi="宋体"/>
                <w:color w:val="auto"/>
              </w:rPr>
              <w:t>ND</w:t>
            </w:r>
          </w:p>
        </w:tc>
        <w:tc>
          <w:tcPr>
            <w:tcW w:w="321" w:type="pct"/>
            <w:vAlign w:val="center"/>
          </w:tcPr>
          <w:p w14:paraId="69425DD0">
            <w:pPr>
              <w:widowControl/>
              <w:jc w:val="center"/>
              <w:rPr>
                <w:rFonts w:ascii="宋体" w:hAnsi="宋体"/>
                <w:color w:val="auto"/>
              </w:rPr>
            </w:pPr>
            <w:r>
              <w:rPr>
                <w:rFonts w:hint="eastAsia" w:ascii="宋体" w:hAnsi="宋体"/>
                <w:color w:val="auto"/>
              </w:rPr>
              <w:t>ND</w:t>
            </w:r>
          </w:p>
        </w:tc>
        <w:tc>
          <w:tcPr>
            <w:tcW w:w="255" w:type="pct"/>
            <w:vAlign w:val="center"/>
          </w:tcPr>
          <w:p w14:paraId="51418664">
            <w:pPr>
              <w:widowControl/>
              <w:jc w:val="center"/>
              <w:rPr>
                <w:rFonts w:ascii="宋体" w:hAnsi="宋体" w:cs="宋体"/>
                <w:color w:val="auto"/>
                <w:kern w:val="0"/>
              </w:rPr>
            </w:pPr>
            <w:r>
              <w:rPr>
                <w:rFonts w:hint="eastAsia" w:ascii="宋体" w:hAnsi="宋体"/>
                <w:color w:val="auto"/>
              </w:rPr>
              <w:t>ND</w:t>
            </w:r>
          </w:p>
        </w:tc>
        <w:tc>
          <w:tcPr>
            <w:tcW w:w="338" w:type="pct"/>
            <w:vAlign w:val="center"/>
          </w:tcPr>
          <w:p w14:paraId="53C05E7A">
            <w:pPr>
              <w:widowControl/>
              <w:jc w:val="center"/>
              <w:rPr>
                <w:rFonts w:ascii="宋体" w:hAnsi="宋体" w:cs="宋体"/>
                <w:color w:val="auto"/>
                <w:kern w:val="0"/>
              </w:rPr>
            </w:pPr>
            <w:r>
              <w:rPr>
                <w:rFonts w:hint="eastAsia" w:ascii="宋体" w:hAnsi="宋体"/>
                <w:color w:val="auto"/>
              </w:rPr>
              <w:t>ND</w:t>
            </w:r>
          </w:p>
        </w:tc>
        <w:tc>
          <w:tcPr>
            <w:tcW w:w="337" w:type="pct"/>
            <w:vAlign w:val="center"/>
          </w:tcPr>
          <w:p w14:paraId="27ABEFBE">
            <w:pPr>
              <w:widowControl/>
              <w:jc w:val="center"/>
              <w:rPr>
                <w:rFonts w:ascii="宋体" w:hAnsi="宋体" w:cs="宋体"/>
                <w:color w:val="auto"/>
                <w:kern w:val="0"/>
              </w:rPr>
            </w:pPr>
            <w:r>
              <w:rPr>
                <w:rFonts w:hint="eastAsia" w:ascii="宋体" w:hAnsi="宋体"/>
                <w:color w:val="auto"/>
              </w:rPr>
              <w:t>ND</w:t>
            </w:r>
          </w:p>
        </w:tc>
        <w:tc>
          <w:tcPr>
            <w:tcW w:w="339" w:type="pct"/>
            <w:vAlign w:val="center"/>
          </w:tcPr>
          <w:p w14:paraId="663EAE93">
            <w:pPr>
              <w:widowControl/>
              <w:jc w:val="center"/>
              <w:rPr>
                <w:rFonts w:ascii="宋体" w:hAnsi="宋体" w:cs="宋体"/>
                <w:color w:val="auto"/>
                <w:kern w:val="0"/>
              </w:rPr>
            </w:pPr>
            <w:r>
              <w:rPr>
                <w:rFonts w:hint="eastAsia" w:ascii="宋体" w:hAnsi="宋体"/>
                <w:color w:val="auto"/>
              </w:rPr>
              <w:t>ND</w:t>
            </w:r>
          </w:p>
        </w:tc>
        <w:tc>
          <w:tcPr>
            <w:tcW w:w="338" w:type="pct"/>
            <w:vAlign w:val="center"/>
          </w:tcPr>
          <w:p w14:paraId="1E0730CA">
            <w:pPr>
              <w:widowControl/>
              <w:jc w:val="center"/>
              <w:rPr>
                <w:rFonts w:ascii="宋体" w:hAnsi="宋体" w:cs="宋体"/>
                <w:color w:val="auto"/>
                <w:kern w:val="0"/>
              </w:rPr>
            </w:pPr>
            <w:r>
              <w:rPr>
                <w:rFonts w:hint="eastAsia" w:ascii="宋体" w:hAnsi="宋体"/>
                <w:color w:val="auto"/>
              </w:rPr>
              <w:t>ND</w:t>
            </w:r>
          </w:p>
        </w:tc>
        <w:tc>
          <w:tcPr>
            <w:tcW w:w="338" w:type="pct"/>
            <w:vAlign w:val="center"/>
          </w:tcPr>
          <w:p w14:paraId="7EDAF352">
            <w:pPr>
              <w:widowControl/>
              <w:jc w:val="center"/>
              <w:rPr>
                <w:rFonts w:ascii="宋体" w:hAnsi="宋体" w:cs="宋体"/>
                <w:color w:val="auto"/>
                <w:kern w:val="0"/>
              </w:rPr>
            </w:pPr>
            <w:r>
              <w:rPr>
                <w:rFonts w:hint="eastAsia" w:ascii="宋体" w:hAnsi="宋体"/>
                <w:color w:val="auto"/>
              </w:rPr>
              <w:t>ND</w:t>
            </w:r>
          </w:p>
        </w:tc>
        <w:tc>
          <w:tcPr>
            <w:tcW w:w="372" w:type="pct"/>
            <w:vAlign w:val="center"/>
          </w:tcPr>
          <w:p w14:paraId="268BD6D8">
            <w:pPr>
              <w:widowControl/>
              <w:jc w:val="center"/>
              <w:rPr>
                <w:rFonts w:ascii="宋体" w:hAnsi="宋体" w:cs="宋体"/>
                <w:color w:val="auto"/>
                <w:kern w:val="0"/>
              </w:rPr>
            </w:pPr>
            <w:r>
              <w:rPr>
                <w:rFonts w:hint="eastAsia" w:ascii="宋体" w:hAnsi="宋体"/>
                <w:color w:val="auto"/>
              </w:rPr>
              <w:t>ND</w:t>
            </w:r>
          </w:p>
        </w:tc>
        <w:tc>
          <w:tcPr>
            <w:tcW w:w="454" w:type="pct"/>
            <w:vAlign w:val="center"/>
          </w:tcPr>
          <w:p w14:paraId="3EA08651">
            <w:pPr>
              <w:widowControl/>
              <w:jc w:val="center"/>
              <w:rPr>
                <w:rFonts w:ascii="宋体" w:hAnsi="宋体" w:cs="宋体"/>
                <w:color w:val="auto"/>
                <w:kern w:val="0"/>
              </w:rPr>
            </w:pPr>
            <w:r>
              <w:rPr>
                <w:rFonts w:hint="eastAsia" w:ascii="宋体" w:hAnsi="宋体"/>
                <w:color w:val="auto"/>
              </w:rPr>
              <w:t>ND</w:t>
            </w:r>
          </w:p>
        </w:tc>
        <w:tc>
          <w:tcPr>
            <w:tcW w:w="454" w:type="pct"/>
            <w:vAlign w:val="center"/>
          </w:tcPr>
          <w:p w14:paraId="67C0FC24">
            <w:pPr>
              <w:widowControl/>
              <w:jc w:val="center"/>
              <w:rPr>
                <w:rFonts w:ascii="宋体" w:hAnsi="宋体"/>
                <w:color w:val="auto"/>
              </w:rPr>
            </w:pPr>
            <w:r>
              <w:rPr>
                <w:rFonts w:ascii="宋体" w:hAnsi="宋体" w:cs="宋体"/>
                <w:color w:val="auto"/>
                <w:kern w:val="0"/>
              </w:rPr>
              <w:t>≤</w:t>
            </w:r>
            <w:r>
              <w:rPr>
                <w:rFonts w:ascii="宋体" w:hAnsi="宋体"/>
                <w:color w:val="auto"/>
              </w:rPr>
              <w:t>0.002</w:t>
            </w:r>
          </w:p>
        </w:tc>
        <w:tc>
          <w:tcPr>
            <w:tcW w:w="231" w:type="pct"/>
            <w:vAlign w:val="center"/>
          </w:tcPr>
          <w:p w14:paraId="3AB81BC8">
            <w:pPr>
              <w:widowControl/>
              <w:jc w:val="center"/>
              <w:rPr>
                <w:rFonts w:ascii="宋体" w:hAnsi="宋体"/>
                <w:color w:val="auto"/>
              </w:rPr>
            </w:pPr>
            <w:r>
              <w:rPr>
                <w:rFonts w:hint="eastAsia" w:ascii="宋体" w:hAnsi="宋体"/>
                <w:color w:val="auto"/>
              </w:rPr>
              <w:t>达标</w:t>
            </w:r>
          </w:p>
        </w:tc>
      </w:tr>
      <w:tr w14:paraId="2D31A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077091F4">
            <w:pPr>
              <w:widowControl/>
              <w:adjustRightInd w:val="0"/>
              <w:snapToGrid w:val="0"/>
              <w:jc w:val="center"/>
              <w:rPr>
                <w:rFonts w:ascii="宋体" w:hAnsi="宋体"/>
                <w:bCs/>
                <w:color w:val="auto"/>
              </w:rPr>
            </w:pPr>
            <w:r>
              <w:rPr>
                <w:rFonts w:ascii="宋体" w:hAnsi="宋体"/>
                <w:bCs/>
                <w:color w:val="auto"/>
              </w:rPr>
              <w:t>氯化物(mg/L)</w:t>
            </w:r>
          </w:p>
        </w:tc>
        <w:tc>
          <w:tcPr>
            <w:tcW w:w="357" w:type="pct"/>
            <w:vAlign w:val="center"/>
          </w:tcPr>
          <w:p w14:paraId="278A1D3E">
            <w:pPr>
              <w:widowControl/>
              <w:jc w:val="center"/>
              <w:rPr>
                <w:rFonts w:ascii="宋体" w:hAnsi="宋体"/>
                <w:color w:val="auto"/>
                <w:kern w:val="0"/>
              </w:rPr>
            </w:pPr>
            <w:r>
              <w:rPr>
                <w:rFonts w:hint="eastAsia" w:ascii="宋体" w:hAnsi="宋体"/>
                <w:color w:val="auto"/>
              </w:rPr>
              <w:t>644</w:t>
            </w:r>
          </w:p>
        </w:tc>
        <w:tc>
          <w:tcPr>
            <w:tcW w:w="288" w:type="pct"/>
            <w:vAlign w:val="center"/>
          </w:tcPr>
          <w:p w14:paraId="5ACC0F24">
            <w:pPr>
              <w:jc w:val="center"/>
              <w:rPr>
                <w:rFonts w:ascii="宋体" w:hAnsi="宋体"/>
                <w:color w:val="auto"/>
              </w:rPr>
            </w:pPr>
            <w:r>
              <w:rPr>
                <w:rFonts w:hint="eastAsia" w:ascii="宋体" w:hAnsi="宋体"/>
                <w:color w:val="auto"/>
              </w:rPr>
              <w:t>684</w:t>
            </w:r>
          </w:p>
        </w:tc>
        <w:tc>
          <w:tcPr>
            <w:tcW w:w="237" w:type="pct"/>
            <w:vAlign w:val="center"/>
          </w:tcPr>
          <w:p w14:paraId="5372337D">
            <w:pPr>
              <w:jc w:val="center"/>
              <w:rPr>
                <w:rFonts w:ascii="宋体" w:hAnsi="宋体"/>
                <w:color w:val="auto"/>
              </w:rPr>
            </w:pPr>
            <w:r>
              <w:rPr>
                <w:rFonts w:hint="eastAsia" w:ascii="宋体" w:hAnsi="宋体"/>
                <w:color w:val="auto"/>
              </w:rPr>
              <w:t>642</w:t>
            </w:r>
          </w:p>
        </w:tc>
        <w:tc>
          <w:tcPr>
            <w:tcW w:w="321" w:type="pct"/>
            <w:vAlign w:val="center"/>
          </w:tcPr>
          <w:p w14:paraId="466DA7C5">
            <w:pPr>
              <w:jc w:val="center"/>
              <w:rPr>
                <w:rFonts w:ascii="宋体" w:hAnsi="宋体"/>
                <w:color w:val="auto"/>
              </w:rPr>
            </w:pPr>
            <w:r>
              <w:rPr>
                <w:rFonts w:hint="eastAsia" w:ascii="宋体" w:hAnsi="宋体"/>
                <w:color w:val="auto"/>
              </w:rPr>
              <w:t>651</w:t>
            </w:r>
          </w:p>
        </w:tc>
        <w:tc>
          <w:tcPr>
            <w:tcW w:w="255" w:type="pct"/>
            <w:vAlign w:val="center"/>
          </w:tcPr>
          <w:p w14:paraId="0DFB891E">
            <w:pPr>
              <w:jc w:val="center"/>
              <w:rPr>
                <w:rFonts w:ascii="宋体" w:hAnsi="宋体" w:cs="宋体"/>
                <w:color w:val="auto"/>
                <w:kern w:val="0"/>
              </w:rPr>
            </w:pPr>
            <w:r>
              <w:rPr>
                <w:rFonts w:hint="eastAsia" w:ascii="宋体" w:hAnsi="宋体"/>
                <w:color w:val="auto"/>
              </w:rPr>
              <w:t>582</w:t>
            </w:r>
          </w:p>
        </w:tc>
        <w:tc>
          <w:tcPr>
            <w:tcW w:w="338" w:type="pct"/>
            <w:vAlign w:val="center"/>
          </w:tcPr>
          <w:p w14:paraId="28D58E50">
            <w:pPr>
              <w:jc w:val="center"/>
              <w:rPr>
                <w:rFonts w:ascii="宋体" w:hAnsi="宋体" w:cs="宋体"/>
                <w:color w:val="auto"/>
                <w:kern w:val="0"/>
              </w:rPr>
            </w:pPr>
            <w:r>
              <w:rPr>
                <w:rFonts w:hint="eastAsia" w:ascii="宋体" w:hAnsi="宋体"/>
                <w:color w:val="auto"/>
              </w:rPr>
              <w:t>603</w:t>
            </w:r>
          </w:p>
        </w:tc>
        <w:tc>
          <w:tcPr>
            <w:tcW w:w="337" w:type="pct"/>
            <w:vAlign w:val="center"/>
          </w:tcPr>
          <w:p w14:paraId="556BB3B2">
            <w:pPr>
              <w:jc w:val="center"/>
              <w:rPr>
                <w:rFonts w:ascii="宋体" w:hAnsi="宋体" w:cs="宋体"/>
                <w:color w:val="auto"/>
                <w:kern w:val="0"/>
              </w:rPr>
            </w:pPr>
            <w:r>
              <w:rPr>
                <w:rFonts w:hint="eastAsia" w:ascii="宋体" w:hAnsi="宋体"/>
                <w:color w:val="auto"/>
              </w:rPr>
              <w:t>598</w:t>
            </w:r>
          </w:p>
        </w:tc>
        <w:tc>
          <w:tcPr>
            <w:tcW w:w="339" w:type="pct"/>
            <w:vAlign w:val="center"/>
          </w:tcPr>
          <w:p w14:paraId="6F0EF7BC">
            <w:pPr>
              <w:jc w:val="center"/>
              <w:rPr>
                <w:rFonts w:ascii="宋体" w:hAnsi="宋体" w:cs="宋体"/>
                <w:color w:val="auto"/>
                <w:kern w:val="0"/>
              </w:rPr>
            </w:pPr>
            <w:r>
              <w:rPr>
                <w:rFonts w:hint="eastAsia" w:ascii="宋体" w:hAnsi="宋体"/>
                <w:color w:val="auto"/>
              </w:rPr>
              <w:t>589</w:t>
            </w:r>
          </w:p>
        </w:tc>
        <w:tc>
          <w:tcPr>
            <w:tcW w:w="338" w:type="pct"/>
            <w:vAlign w:val="center"/>
          </w:tcPr>
          <w:p w14:paraId="3389644C">
            <w:pPr>
              <w:jc w:val="center"/>
              <w:rPr>
                <w:rFonts w:ascii="宋体" w:hAnsi="宋体" w:cs="宋体"/>
                <w:color w:val="auto"/>
                <w:kern w:val="0"/>
              </w:rPr>
            </w:pPr>
            <w:r>
              <w:rPr>
                <w:rFonts w:hint="eastAsia" w:ascii="宋体" w:hAnsi="宋体"/>
                <w:color w:val="auto"/>
              </w:rPr>
              <w:t>525</w:t>
            </w:r>
          </w:p>
        </w:tc>
        <w:tc>
          <w:tcPr>
            <w:tcW w:w="338" w:type="pct"/>
            <w:vAlign w:val="center"/>
          </w:tcPr>
          <w:p w14:paraId="0F79B105">
            <w:pPr>
              <w:jc w:val="center"/>
              <w:rPr>
                <w:rFonts w:ascii="宋体" w:hAnsi="宋体" w:cs="宋体"/>
                <w:color w:val="auto"/>
                <w:kern w:val="0"/>
              </w:rPr>
            </w:pPr>
            <w:r>
              <w:rPr>
                <w:rFonts w:hint="eastAsia" w:ascii="宋体" w:hAnsi="宋体"/>
                <w:color w:val="auto"/>
              </w:rPr>
              <w:t>495</w:t>
            </w:r>
          </w:p>
        </w:tc>
        <w:tc>
          <w:tcPr>
            <w:tcW w:w="372" w:type="pct"/>
            <w:vAlign w:val="center"/>
          </w:tcPr>
          <w:p w14:paraId="51C64449">
            <w:pPr>
              <w:jc w:val="center"/>
              <w:rPr>
                <w:rFonts w:ascii="宋体" w:hAnsi="宋体" w:cs="宋体"/>
                <w:color w:val="auto"/>
                <w:kern w:val="0"/>
              </w:rPr>
            </w:pPr>
            <w:r>
              <w:rPr>
                <w:rFonts w:hint="eastAsia" w:ascii="宋体" w:hAnsi="宋体"/>
                <w:color w:val="auto"/>
              </w:rPr>
              <w:t>526</w:t>
            </w:r>
          </w:p>
        </w:tc>
        <w:tc>
          <w:tcPr>
            <w:tcW w:w="454" w:type="pct"/>
            <w:vAlign w:val="center"/>
          </w:tcPr>
          <w:p w14:paraId="44638258">
            <w:pPr>
              <w:jc w:val="center"/>
              <w:rPr>
                <w:rFonts w:ascii="宋体" w:hAnsi="宋体" w:cs="宋体"/>
                <w:color w:val="auto"/>
                <w:kern w:val="0"/>
              </w:rPr>
            </w:pPr>
            <w:r>
              <w:rPr>
                <w:rFonts w:hint="eastAsia" w:ascii="宋体" w:hAnsi="宋体"/>
                <w:color w:val="auto"/>
              </w:rPr>
              <w:t>533</w:t>
            </w:r>
          </w:p>
        </w:tc>
        <w:tc>
          <w:tcPr>
            <w:tcW w:w="454" w:type="pct"/>
            <w:vAlign w:val="center"/>
          </w:tcPr>
          <w:p w14:paraId="5FBE38BA">
            <w:pPr>
              <w:jc w:val="center"/>
              <w:rPr>
                <w:rFonts w:ascii="宋体" w:hAnsi="宋体"/>
                <w:color w:val="auto"/>
              </w:rPr>
            </w:pPr>
            <w:r>
              <w:rPr>
                <w:rFonts w:ascii="宋体" w:hAnsi="宋体" w:cs="宋体"/>
                <w:color w:val="auto"/>
                <w:kern w:val="0"/>
              </w:rPr>
              <w:t>≤</w:t>
            </w:r>
            <w:r>
              <w:rPr>
                <w:rFonts w:ascii="宋体" w:hAnsi="宋体"/>
                <w:color w:val="auto"/>
              </w:rPr>
              <w:t>250</w:t>
            </w:r>
          </w:p>
        </w:tc>
        <w:tc>
          <w:tcPr>
            <w:tcW w:w="231" w:type="pct"/>
            <w:vAlign w:val="center"/>
          </w:tcPr>
          <w:p w14:paraId="260C6695">
            <w:pPr>
              <w:jc w:val="center"/>
              <w:rPr>
                <w:rFonts w:ascii="宋体" w:hAnsi="宋体"/>
                <w:color w:val="auto"/>
              </w:rPr>
            </w:pPr>
            <w:r>
              <w:rPr>
                <w:rFonts w:hint="eastAsia" w:ascii="宋体" w:hAnsi="宋体"/>
                <w:color w:val="auto"/>
              </w:rPr>
              <w:t>不达标</w:t>
            </w:r>
          </w:p>
        </w:tc>
      </w:tr>
      <w:tr w14:paraId="12956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514F788E">
            <w:pPr>
              <w:widowControl/>
              <w:adjustRightInd w:val="0"/>
              <w:snapToGrid w:val="0"/>
              <w:jc w:val="center"/>
              <w:rPr>
                <w:rFonts w:ascii="宋体" w:hAnsi="宋体"/>
                <w:color w:val="auto"/>
              </w:rPr>
            </w:pPr>
            <w:r>
              <w:rPr>
                <w:rFonts w:ascii="宋体" w:hAnsi="宋体"/>
                <w:bCs/>
                <w:color w:val="auto"/>
              </w:rPr>
              <w:t>总硬度(mg/L)</w:t>
            </w:r>
          </w:p>
        </w:tc>
        <w:tc>
          <w:tcPr>
            <w:tcW w:w="357" w:type="pct"/>
            <w:vAlign w:val="center"/>
          </w:tcPr>
          <w:p w14:paraId="0401A01A">
            <w:pPr>
              <w:widowControl/>
              <w:jc w:val="center"/>
              <w:rPr>
                <w:rFonts w:ascii="宋体" w:hAnsi="宋体"/>
                <w:color w:val="auto"/>
                <w:kern w:val="0"/>
              </w:rPr>
            </w:pPr>
            <w:r>
              <w:rPr>
                <w:rFonts w:ascii="宋体" w:hAnsi="宋体"/>
                <w:color w:val="auto"/>
              </w:rPr>
              <w:t>889</w:t>
            </w:r>
          </w:p>
        </w:tc>
        <w:tc>
          <w:tcPr>
            <w:tcW w:w="288" w:type="pct"/>
            <w:vAlign w:val="center"/>
          </w:tcPr>
          <w:p w14:paraId="5DE50A85">
            <w:pPr>
              <w:jc w:val="center"/>
              <w:rPr>
                <w:rFonts w:ascii="宋体" w:hAnsi="宋体"/>
                <w:color w:val="auto"/>
              </w:rPr>
            </w:pPr>
            <w:r>
              <w:rPr>
                <w:rFonts w:ascii="宋体" w:hAnsi="宋体"/>
                <w:color w:val="auto"/>
              </w:rPr>
              <w:t>921</w:t>
            </w:r>
          </w:p>
        </w:tc>
        <w:tc>
          <w:tcPr>
            <w:tcW w:w="237" w:type="pct"/>
            <w:vAlign w:val="center"/>
          </w:tcPr>
          <w:p w14:paraId="6BCD694F">
            <w:pPr>
              <w:jc w:val="center"/>
              <w:rPr>
                <w:rFonts w:ascii="宋体" w:hAnsi="宋体"/>
                <w:color w:val="auto"/>
              </w:rPr>
            </w:pPr>
            <w:r>
              <w:rPr>
                <w:rFonts w:ascii="宋体" w:hAnsi="宋体"/>
                <w:color w:val="auto"/>
              </w:rPr>
              <w:t>899</w:t>
            </w:r>
          </w:p>
        </w:tc>
        <w:tc>
          <w:tcPr>
            <w:tcW w:w="321" w:type="pct"/>
            <w:vAlign w:val="center"/>
          </w:tcPr>
          <w:p w14:paraId="48A4E260">
            <w:pPr>
              <w:jc w:val="center"/>
              <w:rPr>
                <w:rFonts w:ascii="宋体" w:hAnsi="宋体"/>
                <w:color w:val="auto"/>
              </w:rPr>
            </w:pPr>
            <w:r>
              <w:rPr>
                <w:rFonts w:ascii="宋体" w:hAnsi="宋体"/>
                <w:color w:val="auto"/>
              </w:rPr>
              <w:t>906</w:t>
            </w:r>
          </w:p>
        </w:tc>
        <w:tc>
          <w:tcPr>
            <w:tcW w:w="255" w:type="pct"/>
            <w:vAlign w:val="center"/>
          </w:tcPr>
          <w:p w14:paraId="0ADE1CC3">
            <w:pPr>
              <w:jc w:val="center"/>
              <w:rPr>
                <w:rFonts w:ascii="宋体" w:hAnsi="宋体" w:cs="宋体"/>
                <w:color w:val="auto"/>
                <w:kern w:val="0"/>
              </w:rPr>
            </w:pPr>
            <w:r>
              <w:rPr>
                <w:rFonts w:hint="eastAsia" w:ascii="宋体" w:hAnsi="宋体"/>
                <w:color w:val="auto"/>
              </w:rPr>
              <w:t>1.44×10</w:t>
            </w:r>
            <w:r>
              <w:rPr>
                <w:rFonts w:hint="eastAsia" w:ascii="宋体" w:hAnsi="宋体"/>
                <w:color w:val="auto"/>
                <w:vertAlign w:val="superscript"/>
              </w:rPr>
              <w:t>3</w:t>
            </w:r>
          </w:p>
        </w:tc>
        <w:tc>
          <w:tcPr>
            <w:tcW w:w="338" w:type="pct"/>
            <w:vAlign w:val="center"/>
          </w:tcPr>
          <w:p w14:paraId="3431AEA8">
            <w:pPr>
              <w:jc w:val="center"/>
              <w:rPr>
                <w:rFonts w:ascii="宋体" w:hAnsi="宋体" w:cs="宋体"/>
                <w:color w:val="auto"/>
                <w:kern w:val="0"/>
              </w:rPr>
            </w:pPr>
            <w:r>
              <w:rPr>
                <w:rFonts w:hint="eastAsia" w:ascii="宋体" w:hAnsi="宋体"/>
                <w:color w:val="auto"/>
              </w:rPr>
              <w:t>1.41×10</w:t>
            </w:r>
            <w:r>
              <w:rPr>
                <w:rFonts w:hint="eastAsia" w:ascii="宋体" w:hAnsi="宋体"/>
                <w:color w:val="auto"/>
                <w:vertAlign w:val="superscript"/>
              </w:rPr>
              <w:t>3</w:t>
            </w:r>
          </w:p>
        </w:tc>
        <w:tc>
          <w:tcPr>
            <w:tcW w:w="337" w:type="pct"/>
            <w:vAlign w:val="center"/>
          </w:tcPr>
          <w:p w14:paraId="79AE5AE4">
            <w:pPr>
              <w:jc w:val="center"/>
              <w:rPr>
                <w:rFonts w:ascii="宋体" w:hAnsi="宋体" w:cs="宋体"/>
                <w:color w:val="auto"/>
                <w:kern w:val="0"/>
              </w:rPr>
            </w:pPr>
            <w:r>
              <w:rPr>
                <w:rFonts w:hint="eastAsia" w:ascii="宋体" w:hAnsi="宋体"/>
                <w:color w:val="auto"/>
              </w:rPr>
              <w:t>1.45×10</w:t>
            </w:r>
            <w:r>
              <w:rPr>
                <w:rFonts w:hint="eastAsia" w:ascii="宋体" w:hAnsi="宋体"/>
                <w:color w:val="auto"/>
                <w:vertAlign w:val="superscript"/>
              </w:rPr>
              <w:t>3</w:t>
            </w:r>
          </w:p>
        </w:tc>
        <w:tc>
          <w:tcPr>
            <w:tcW w:w="339" w:type="pct"/>
            <w:vAlign w:val="center"/>
          </w:tcPr>
          <w:p w14:paraId="0A6F4C7B">
            <w:pPr>
              <w:jc w:val="center"/>
              <w:rPr>
                <w:rFonts w:ascii="宋体" w:hAnsi="宋体" w:cs="宋体"/>
                <w:color w:val="auto"/>
                <w:kern w:val="0"/>
              </w:rPr>
            </w:pPr>
            <w:r>
              <w:rPr>
                <w:rFonts w:hint="eastAsia" w:ascii="宋体" w:hAnsi="宋体"/>
                <w:color w:val="auto"/>
              </w:rPr>
              <w:t>1.44×10</w:t>
            </w:r>
            <w:r>
              <w:rPr>
                <w:rFonts w:hint="eastAsia" w:ascii="宋体" w:hAnsi="宋体"/>
                <w:color w:val="auto"/>
                <w:vertAlign w:val="superscript"/>
              </w:rPr>
              <w:t>3</w:t>
            </w:r>
          </w:p>
        </w:tc>
        <w:tc>
          <w:tcPr>
            <w:tcW w:w="338" w:type="pct"/>
            <w:vAlign w:val="center"/>
          </w:tcPr>
          <w:p w14:paraId="11AB7E18">
            <w:pPr>
              <w:jc w:val="center"/>
              <w:rPr>
                <w:rFonts w:ascii="宋体" w:hAnsi="宋体" w:cs="宋体"/>
                <w:color w:val="auto"/>
                <w:kern w:val="0"/>
              </w:rPr>
            </w:pPr>
            <w:r>
              <w:rPr>
                <w:rFonts w:hint="eastAsia" w:ascii="宋体" w:hAnsi="宋体"/>
                <w:color w:val="auto"/>
              </w:rPr>
              <w:t>1.34×10</w:t>
            </w:r>
            <w:r>
              <w:rPr>
                <w:rFonts w:hint="eastAsia" w:ascii="宋体" w:hAnsi="宋体"/>
                <w:color w:val="auto"/>
                <w:vertAlign w:val="superscript"/>
              </w:rPr>
              <w:t>3</w:t>
            </w:r>
          </w:p>
        </w:tc>
        <w:tc>
          <w:tcPr>
            <w:tcW w:w="338" w:type="pct"/>
            <w:vAlign w:val="center"/>
          </w:tcPr>
          <w:p w14:paraId="280486DD">
            <w:pPr>
              <w:jc w:val="center"/>
              <w:rPr>
                <w:rFonts w:ascii="宋体" w:hAnsi="宋体" w:cs="宋体"/>
                <w:color w:val="auto"/>
                <w:kern w:val="0"/>
              </w:rPr>
            </w:pPr>
            <w:r>
              <w:rPr>
                <w:rFonts w:hint="eastAsia" w:ascii="宋体" w:hAnsi="宋体"/>
                <w:color w:val="auto"/>
              </w:rPr>
              <w:t>1.32×10</w:t>
            </w:r>
            <w:r>
              <w:rPr>
                <w:rFonts w:hint="eastAsia" w:ascii="宋体" w:hAnsi="宋体"/>
                <w:color w:val="auto"/>
                <w:vertAlign w:val="superscript"/>
              </w:rPr>
              <w:t>3</w:t>
            </w:r>
          </w:p>
        </w:tc>
        <w:tc>
          <w:tcPr>
            <w:tcW w:w="372" w:type="pct"/>
            <w:vAlign w:val="center"/>
          </w:tcPr>
          <w:p w14:paraId="4C7054A2">
            <w:pPr>
              <w:jc w:val="center"/>
              <w:rPr>
                <w:rFonts w:ascii="宋体" w:hAnsi="宋体" w:cs="宋体"/>
                <w:color w:val="auto"/>
                <w:kern w:val="0"/>
              </w:rPr>
            </w:pPr>
            <w:r>
              <w:rPr>
                <w:rFonts w:hint="eastAsia" w:ascii="宋体" w:hAnsi="宋体"/>
                <w:color w:val="auto"/>
              </w:rPr>
              <w:t>1.36×10</w:t>
            </w:r>
            <w:r>
              <w:rPr>
                <w:rFonts w:hint="eastAsia" w:ascii="宋体" w:hAnsi="宋体"/>
                <w:color w:val="auto"/>
                <w:vertAlign w:val="superscript"/>
              </w:rPr>
              <w:t>3</w:t>
            </w:r>
          </w:p>
        </w:tc>
        <w:tc>
          <w:tcPr>
            <w:tcW w:w="454" w:type="pct"/>
            <w:vAlign w:val="center"/>
          </w:tcPr>
          <w:p w14:paraId="6E0F3CC5">
            <w:pPr>
              <w:jc w:val="center"/>
              <w:rPr>
                <w:rFonts w:ascii="宋体" w:hAnsi="宋体" w:cs="宋体"/>
                <w:color w:val="auto"/>
                <w:kern w:val="0"/>
              </w:rPr>
            </w:pPr>
            <w:r>
              <w:rPr>
                <w:rFonts w:hint="eastAsia" w:ascii="宋体" w:hAnsi="宋体"/>
                <w:color w:val="auto"/>
              </w:rPr>
              <w:t>1.34×10</w:t>
            </w:r>
            <w:r>
              <w:rPr>
                <w:rFonts w:hint="eastAsia" w:ascii="宋体" w:hAnsi="宋体"/>
                <w:color w:val="auto"/>
                <w:vertAlign w:val="superscript"/>
              </w:rPr>
              <w:t>3</w:t>
            </w:r>
          </w:p>
        </w:tc>
        <w:tc>
          <w:tcPr>
            <w:tcW w:w="454" w:type="pct"/>
            <w:vAlign w:val="center"/>
          </w:tcPr>
          <w:p w14:paraId="5BE0E67B">
            <w:pPr>
              <w:jc w:val="center"/>
              <w:rPr>
                <w:rFonts w:ascii="宋体" w:hAnsi="宋体"/>
                <w:color w:val="auto"/>
              </w:rPr>
            </w:pPr>
            <w:r>
              <w:rPr>
                <w:rFonts w:ascii="宋体" w:hAnsi="宋体" w:cs="宋体"/>
                <w:color w:val="auto"/>
                <w:kern w:val="0"/>
              </w:rPr>
              <w:t>≤</w:t>
            </w:r>
            <w:r>
              <w:rPr>
                <w:rFonts w:ascii="宋体" w:hAnsi="宋体"/>
                <w:color w:val="auto"/>
              </w:rPr>
              <w:t>450</w:t>
            </w:r>
          </w:p>
        </w:tc>
        <w:tc>
          <w:tcPr>
            <w:tcW w:w="231" w:type="pct"/>
            <w:vAlign w:val="center"/>
          </w:tcPr>
          <w:p w14:paraId="1426FC97">
            <w:pPr>
              <w:jc w:val="center"/>
              <w:rPr>
                <w:rFonts w:ascii="宋体" w:hAnsi="宋体"/>
                <w:color w:val="auto"/>
              </w:rPr>
            </w:pPr>
            <w:r>
              <w:rPr>
                <w:rFonts w:hint="eastAsia" w:ascii="宋体" w:hAnsi="宋体"/>
                <w:color w:val="auto"/>
              </w:rPr>
              <w:t>不达标</w:t>
            </w:r>
          </w:p>
        </w:tc>
      </w:tr>
      <w:tr w14:paraId="0ACCE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5CA9320D">
            <w:pPr>
              <w:widowControl/>
              <w:adjustRightInd w:val="0"/>
              <w:snapToGrid w:val="0"/>
              <w:jc w:val="center"/>
              <w:rPr>
                <w:rFonts w:ascii="宋体" w:hAnsi="宋体"/>
                <w:bCs/>
                <w:color w:val="auto"/>
              </w:rPr>
            </w:pPr>
            <w:r>
              <w:rPr>
                <w:rFonts w:ascii="宋体" w:hAnsi="宋体"/>
                <w:bCs/>
                <w:color w:val="auto"/>
              </w:rPr>
              <w:t>铁(mg/L)</w:t>
            </w:r>
          </w:p>
        </w:tc>
        <w:tc>
          <w:tcPr>
            <w:tcW w:w="357" w:type="pct"/>
            <w:vAlign w:val="center"/>
          </w:tcPr>
          <w:p w14:paraId="18E86F43">
            <w:pPr>
              <w:widowControl/>
              <w:jc w:val="center"/>
              <w:rPr>
                <w:rFonts w:ascii="宋体" w:hAnsi="宋体"/>
                <w:color w:val="auto"/>
              </w:rPr>
            </w:pPr>
            <w:r>
              <w:rPr>
                <w:rFonts w:hint="eastAsia" w:ascii="宋体" w:hAnsi="宋体"/>
                <w:color w:val="auto"/>
              </w:rPr>
              <w:t>ND</w:t>
            </w:r>
          </w:p>
        </w:tc>
        <w:tc>
          <w:tcPr>
            <w:tcW w:w="288" w:type="pct"/>
            <w:vAlign w:val="center"/>
          </w:tcPr>
          <w:p w14:paraId="3C286DCE">
            <w:pPr>
              <w:jc w:val="center"/>
              <w:rPr>
                <w:rFonts w:ascii="宋体" w:hAnsi="宋体"/>
                <w:color w:val="auto"/>
              </w:rPr>
            </w:pPr>
            <w:r>
              <w:rPr>
                <w:rFonts w:hint="eastAsia" w:ascii="宋体" w:hAnsi="宋体"/>
                <w:color w:val="auto"/>
              </w:rPr>
              <w:t>ND</w:t>
            </w:r>
          </w:p>
        </w:tc>
        <w:tc>
          <w:tcPr>
            <w:tcW w:w="237" w:type="pct"/>
            <w:vAlign w:val="center"/>
          </w:tcPr>
          <w:p w14:paraId="43DECC97">
            <w:pPr>
              <w:jc w:val="center"/>
              <w:rPr>
                <w:rFonts w:ascii="宋体" w:hAnsi="宋体"/>
                <w:color w:val="auto"/>
              </w:rPr>
            </w:pPr>
            <w:r>
              <w:rPr>
                <w:rFonts w:hint="eastAsia" w:ascii="宋体" w:hAnsi="宋体"/>
                <w:color w:val="auto"/>
              </w:rPr>
              <w:t>ND</w:t>
            </w:r>
          </w:p>
        </w:tc>
        <w:tc>
          <w:tcPr>
            <w:tcW w:w="321" w:type="pct"/>
            <w:vAlign w:val="center"/>
          </w:tcPr>
          <w:p w14:paraId="157BB0D2">
            <w:pPr>
              <w:jc w:val="center"/>
              <w:rPr>
                <w:rFonts w:ascii="宋体" w:hAnsi="宋体"/>
                <w:color w:val="auto"/>
              </w:rPr>
            </w:pPr>
            <w:r>
              <w:rPr>
                <w:rFonts w:hint="eastAsia" w:ascii="宋体" w:hAnsi="宋体"/>
                <w:color w:val="auto"/>
              </w:rPr>
              <w:t>ND</w:t>
            </w:r>
          </w:p>
        </w:tc>
        <w:tc>
          <w:tcPr>
            <w:tcW w:w="255" w:type="pct"/>
            <w:vAlign w:val="center"/>
          </w:tcPr>
          <w:p w14:paraId="3547E706">
            <w:pPr>
              <w:jc w:val="center"/>
              <w:rPr>
                <w:rFonts w:ascii="宋体" w:hAnsi="宋体" w:cs="宋体"/>
                <w:color w:val="auto"/>
                <w:kern w:val="0"/>
              </w:rPr>
            </w:pPr>
            <w:r>
              <w:rPr>
                <w:rFonts w:hint="eastAsia" w:ascii="宋体" w:hAnsi="宋体"/>
                <w:color w:val="auto"/>
              </w:rPr>
              <w:t>ND</w:t>
            </w:r>
          </w:p>
        </w:tc>
        <w:tc>
          <w:tcPr>
            <w:tcW w:w="338" w:type="pct"/>
            <w:vAlign w:val="center"/>
          </w:tcPr>
          <w:p w14:paraId="0E6F1EE9">
            <w:pPr>
              <w:jc w:val="center"/>
              <w:rPr>
                <w:rFonts w:ascii="宋体" w:hAnsi="宋体" w:cs="宋体"/>
                <w:color w:val="auto"/>
                <w:kern w:val="0"/>
              </w:rPr>
            </w:pPr>
            <w:r>
              <w:rPr>
                <w:rFonts w:hint="eastAsia" w:ascii="宋体" w:hAnsi="宋体"/>
                <w:color w:val="auto"/>
              </w:rPr>
              <w:t>ND</w:t>
            </w:r>
          </w:p>
        </w:tc>
        <w:tc>
          <w:tcPr>
            <w:tcW w:w="337" w:type="pct"/>
            <w:vAlign w:val="center"/>
          </w:tcPr>
          <w:p w14:paraId="3F06F792">
            <w:pPr>
              <w:jc w:val="center"/>
              <w:rPr>
                <w:rFonts w:ascii="宋体" w:hAnsi="宋体" w:cs="宋体"/>
                <w:color w:val="auto"/>
                <w:kern w:val="0"/>
              </w:rPr>
            </w:pPr>
            <w:r>
              <w:rPr>
                <w:rFonts w:hint="eastAsia" w:ascii="宋体" w:hAnsi="宋体"/>
                <w:color w:val="auto"/>
              </w:rPr>
              <w:t>ND</w:t>
            </w:r>
          </w:p>
        </w:tc>
        <w:tc>
          <w:tcPr>
            <w:tcW w:w="339" w:type="pct"/>
            <w:vAlign w:val="center"/>
          </w:tcPr>
          <w:p w14:paraId="1959D1F5">
            <w:pPr>
              <w:jc w:val="center"/>
              <w:rPr>
                <w:rFonts w:ascii="宋体" w:hAnsi="宋体" w:cs="宋体"/>
                <w:color w:val="auto"/>
                <w:kern w:val="0"/>
              </w:rPr>
            </w:pPr>
            <w:r>
              <w:rPr>
                <w:rFonts w:hint="eastAsia" w:ascii="宋体" w:hAnsi="宋体"/>
                <w:color w:val="auto"/>
              </w:rPr>
              <w:t>ND</w:t>
            </w:r>
          </w:p>
        </w:tc>
        <w:tc>
          <w:tcPr>
            <w:tcW w:w="338" w:type="pct"/>
            <w:vAlign w:val="center"/>
          </w:tcPr>
          <w:p w14:paraId="720CCFED">
            <w:pPr>
              <w:jc w:val="center"/>
              <w:rPr>
                <w:rFonts w:ascii="宋体" w:hAnsi="宋体" w:cs="宋体"/>
                <w:color w:val="auto"/>
                <w:kern w:val="0"/>
              </w:rPr>
            </w:pPr>
            <w:r>
              <w:rPr>
                <w:rFonts w:hint="eastAsia" w:ascii="宋体" w:hAnsi="宋体"/>
                <w:color w:val="auto"/>
              </w:rPr>
              <w:t>ND</w:t>
            </w:r>
          </w:p>
        </w:tc>
        <w:tc>
          <w:tcPr>
            <w:tcW w:w="338" w:type="pct"/>
            <w:vAlign w:val="center"/>
          </w:tcPr>
          <w:p w14:paraId="4860D201">
            <w:pPr>
              <w:jc w:val="center"/>
              <w:rPr>
                <w:rFonts w:ascii="宋体" w:hAnsi="宋体" w:cs="宋体"/>
                <w:color w:val="auto"/>
                <w:kern w:val="0"/>
              </w:rPr>
            </w:pPr>
            <w:r>
              <w:rPr>
                <w:rFonts w:hint="eastAsia" w:ascii="宋体" w:hAnsi="宋体"/>
                <w:color w:val="auto"/>
              </w:rPr>
              <w:t>ND</w:t>
            </w:r>
          </w:p>
        </w:tc>
        <w:tc>
          <w:tcPr>
            <w:tcW w:w="372" w:type="pct"/>
            <w:vAlign w:val="center"/>
          </w:tcPr>
          <w:p w14:paraId="0B36E15C">
            <w:pPr>
              <w:jc w:val="center"/>
              <w:rPr>
                <w:rFonts w:ascii="宋体" w:hAnsi="宋体" w:cs="宋体"/>
                <w:color w:val="auto"/>
                <w:kern w:val="0"/>
              </w:rPr>
            </w:pPr>
            <w:r>
              <w:rPr>
                <w:rFonts w:hint="eastAsia" w:ascii="宋体" w:hAnsi="宋体"/>
                <w:color w:val="auto"/>
              </w:rPr>
              <w:t>ND</w:t>
            </w:r>
          </w:p>
        </w:tc>
        <w:tc>
          <w:tcPr>
            <w:tcW w:w="454" w:type="pct"/>
            <w:vAlign w:val="center"/>
          </w:tcPr>
          <w:p w14:paraId="533C3138">
            <w:pPr>
              <w:jc w:val="center"/>
              <w:rPr>
                <w:rFonts w:ascii="宋体" w:hAnsi="宋体" w:cs="宋体"/>
                <w:color w:val="auto"/>
                <w:kern w:val="0"/>
              </w:rPr>
            </w:pPr>
            <w:r>
              <w:rPr>
                <w:rFonts w:hint="eastAsia" w:ascii="宋体" w:hAnsi="宋体"/>
                <w:color w:val="auto"/>
              </w:rPr>
              <w:t>ND</w:t>
            </w:r>
          </w:p>
        </w:tc>
        <w:tc>
          <w:tcPr>
            <w:tcW w:w="454" w:type="pct"/>
            <w:vAlign w:val="center"/>
          </w:tcPr>
          <w:p w14:paraId="392BEEA0">
            <w:pPr>
              <w:jc w:val="center"/>
              <w:rPr>
                <w:rFonts w:ascii="宋体" w:hAnsi="宋体"/>
                <w:color w:val="auto"/>
              </w:rPr>
            </w:pPr>
            <w:r>
              <w:rPr>
                <w:rFonts w:ascii="宋体" w:hAnsi="宋体" w:cs="宋体"/>
                <w:color w:val="auto"/>
                <w:kern w:val="0"/>
              </w:rPr>
              <w:t>≤</w:t>
            </w:r>
            <w:r>
              <w:rPr>
                <w:rFonts w:ascii="宋体" w:hAnsi="宋体"/>
                <w:color w:val="auto"/>
              </w:rPr>
              <w:t>0.3</w:t>
            </w:r>
          </w:p>
        </w:tc>
        <w:tc>
          <w:tcPr>
            <w:tcW w:w="231" w:type="pct"/>
            <w:vAlign w:val="center"/>
          </w:tcPr>
          <w:p w14:paraId="1C0D2D04">
            <w:pPr>
              <w:jc w:val="center"/>
              <w:rPr>
                <w:rFonts w:ascii="宋体" w:hAnsi="宋体"/>
                <w:color w:val="auto"/>
              </w:rPr>
            </w:pPr>
            <w:r>
              <w:rPr>
                <w:rFonts w:hint="eastAsia" w:ascii="宋体" w:hAnsi="宋体"/>
                <w:color w:val="auto"/>
              </w:rPr>
              <w:t>达标</w:t>
            </w:r>
          </w:p>
        </w:tc>
      </w:tr>
      <w:tr w14:paraId="1F889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1E035BE7">
            <w:pPr>
              <w:widowControl/>
              <w:adjustRightInd w:val="0"/>
              <w:snapToGrid w:val="0"/>
              <w:jc w:val="center"/>
              <w:rPr>
                <w:rFonts w:ascii="宋体" w:hAnsi="宋体"/>
                <w:bCs/>
                <w:color w:val="auto"/>
              </w:rPr>
            </w:pPr>
            <w:r>
              <w:rPr>
                <w:rFonts w:ascii="宋体" w:hAnsi="宋体"/>
                <w:bCs/>
                <w:color w:val="auto"/>
              </w:rPr>
              <w:t>锰(mg/L)</w:t>
            </w:r>
          </w:p>
        </w:tc>
        <w:tc>
          <w:tcPr>
            <w:tcW w:w="357" w:type="pct"/>
            <w:vAlign w:val="center"/>
          </w:tcPr>
          <w:p w14:paraId="10CA9D8B">
            <w:pPr>
              <w:widowControl/>
              <w:jc w:val="center"/>
              <w:rPr>
                <w:rFonts w:ascii="宋体" w:hAnsi="宋体"/>
                <w:color w:val="auto"/>
              </w:rPr>
            </w:pPr>
            <w:r>
              <w:rPr>
                <w:rFonts w:ascii="宋体" w:hAnsi="宋体"/>
                <w:color w:val="auto"/>
              </w:rPr>
              <w:t>0.04</w:t>
            </w:r>
          </w:p>
        </w:tc>
        <w:tc>
          <w:tcPr>
            <w:tcW w:w="288" w:type="pct"/>
            <w:vAlign w:val="center"/>
          </w:tcPr>
          <w:p w14:paraId="30EDFB21">
            <w:pPr>
              <w:widowControl/>
              <w:jc w:val="center"/>
              <w:rPr>
                <w:rFonts w:ascii="宋体" w:hAnsi="宋体"/>
                <w:color w:val="auto"/>
              </w:rPr>
            </w:pPr>
            <w:r>
              <w:rPr>
                <w:rFonts w:ascii="宋体" w:hAnsi="宋体"/>
                <w:color w:val="auto"/>
              </w:rPr>
              <w:t>0.03</w:t>
            </w:r>
          </w:p>
        </w:tc>
        <w:tc>
          <w:tcPr>
            <w:tcW w:w="237" w:type="pct"/>
            <w:vAlign w:val="center"/>
          </w:tcPr>
          <w:p w14:paraId="161F5A7D">
            <w:pPr>
              <w:widowControl/>
              <w:jc w:val="center"/>
              <w:rPr>
                <w:rFonts w:ascii="宋体" w:hAnsi="宋体"/>
                <w:color w:val="auto"/>
              </w:rPr>
            </w:pPr>
            <w:r>
              <w:rPr>
                <w:rFonts w:ascii="宋体" w:hAnsi="宋体"/>
                <w:color w:val="auto"/>
              </w:rPr>
              <w:t>0.03</w:t>
            </w:r>
          </w:p>
        </w:tc>
        <w:tc>
          <w:tcPr>
            <w:tcW w:w="321" w:type="pct"/>
            <w:vAlign w:val="center"/>
          </w:tcPr>
          <w:p w14:paraId="1B776C1D">
            <w:pPr>
              <w:widowControl/>
              <w:jc w:val="center"/>
              <w:rPr>
                <w:rFonts w:ascii="宋体" w:hAnsi="宋体"/>
                <w:color w:val="auto"/>
              </w:rPr>
            </w:pPr>
            <w:r>
              <w:rPr>
                <w:rFonts w:ascii="宋体" w:hAnsi="宋体"/>
                <w:color w:val="auto"/>
              </w:rPr>
              <w:t>0.04</w:t>
            </w:r>
          </w:p>
        </w:tc>
        <w:tc>
          <w:tcPr>
            <w:tcW w:w="255" w:type="pct"/>
            <w:vAlign w:val="center"/>
          </w:tcPr>
          <w:p w14:paraId="3835D9C3">
            <w:pPr>
              <w:widowControl/>
              <w:jc w:val="center"/>
              <w:rPr>
                <w:rFonts w:ascii="宋体" w:hAnsi="宋体" w:cs="宋体"/>
                <w:color w:val="auto"/>
                <w:kern w:val="0"/>
              </w:rPr>
            </w:pPr>
            <w:r>
              <w:rPr>
                <w:rFonts w:hint="eastAsia" w:ascii="宋体" w:hAnsi="宋体"/>
                <w:color w:val="auto"/>
              </w:rPr>
              <w:t>0.48</w:t>
            </w:r>
          </w:p>
        </w:tc>
        <w:tc>
          <w:tcPr>
            <w:tcW w:w="338" w:type="pct"/>
            <w:vAlign w:val="center"/>
          </w:tcPr>
          <w:p w14:paraId="1572018C">
            <w:pPr>
              <w:widowControl/>
              <w:jc w:val="center"/>
              <w:rPr>
                <w:rFonts w:ascii="宋体" w:hAnsi="宋体" w:cs="宋体"/>
                <w:color w:val="auto"/>
                <w:kern w:val="0"/>
              </w:rPr>
            </w:pPr>
            <w:r>
              <w:rPr>
                <w:rFonts w:hint="eastAsia" w:ascii="宋体" w:hAnsi="宋体"/>
                <w:color w:val="auto"/>
              </w:rPr>
              <w:t>0.48</w:t>
            </w:r>
          </w:p>
        </w:tc>
        <w:tc>
          <w:tcPr>
            <w:tcW w:w="337" w:type="pct"/>
            <w:vAlign w:val="center"/>
          </w:tcPr>
          <w:p w14:paraId="5F356DB8">
            <w:pPr>
              <w:widowControl/>
              <w:jc w:val="center"/>
              <w:rPr>
                <w:rFonts w:ascii="宋体" w:hAnsi="宋体" w:cs="宋体"/>
                <w:color w:val="auto"/>
                <w:kern w:val="0"/>
              </w:rPr>
            </w:pPr>
            <w:r>
              <w:rPr>
                <w:rFonts w:hint="eastAsia" w:ascii="宋体" w:hAnsi="宋体"/>
                <w:color w:val="auto"/>
              </w:rPr>
              <w:t>0.44</w:t>
            </w:r>
          </w:p>
        </w:tc>
        <w:tc>
          <w:tcPr>
            <w:tcW w:w="339" w:type="pct"/>
            <w:vAlign w:val="center"/>
          </w:tcPr>
          <w:p w14:paraId="67B17A51">
            <w:pPr>
              <w:widowControl/>
              <w:jc w:val="center"/>
              <w:rPr>
                <w:rFonts w:ascii="宋体" w:hAnsi="宋体" w:cs="宋体"/>
                <w:color w:val="auto"/>
                <w:kern w:val="0"/>
              </w:rPr>
            </w:pPr>
            <w:r>
              <w:rPr>
                <w:rFonts w:hint="eastAsia" w:ascii="宋体" w:hAnsi="宋体"/>
                <w:color w:val="auto"/>
              </w:rPr>
              <w:t>0.45</w:t>
            </w:r>
          </w:p>
        </w:tc>
        <w:tc>
          <w:tcPr>
            <w:tcW w:w="338" w:type="pct"/>
            <w:vAlign w:val="center"/>
          </w:tcPr>
          <w:p w14:paraId="376CD0A1">
            <w:pPr>
              <w:widowControl/>
              <w:jc w:val="center"/>
              <w:rPr>
                <w:rFonts w:ascii="宋体" w:hAnsi="宋体" w:cs="宋体"/>
                <w:color w:val="auto"/>
                <w:kern w:val="0"/>
              </w:rPr>
            </w:pPr>
            <w:r>
              <w:rPr>
                <w:rFonts w:hint="eastAsia" w:ascii="宋体" w:hAnsi="宋体"/>
                <w:color w:val="auto"/>
              </w:rPr>
              <w:t>0.05</w:t>
            </w:r>
          </w:p>
        </w:tc>
        <w:tc>
          <w:tcPr>
            <w:tcW w:w="338" w:type="pct"/>
            <w:vAlign w:val="center"/>
          </w:tcPr>
          <w:p w14:paraId="009EB963">
            <w:pPr>
              <w:widowControl/>
              <w:jc w:val="center"/>
              <w:rPr>
                <w:rFonts w:ascii="宋体" w:hAnsi="宋体" w:cs="宋体"/>
                <w:color w:val="auto"/>
                <w:kern w:val="0"/>
              </w:rPr>
            </w:pPr>
            <w:r>
              <w:rPr>
                <w:rFonts w:hint="eastAsia" w:ascii="宋体" w:hAnsi="宋体"/>
                <w:color w:val="auto"/>
              </w:rPr>
              <w:t>0.05</w:t>
            </w:r>
          </w:p>
        </w:tc>
        <w:tc>
          <w:tcPr>
            <w:tcW w:w="372" w:type="pct"/>
            <w:vAlign w:val="center"/>
          </w:tcPr>
          <w:p w14:paraId="245F3E6D">
            <w:pPr>
              <w:widowControl/>
              <w:jc w:val="center"/>
              <w:rPr>
                <w:rFonts w:ascii="宋体" w:hAnsi="宋体" w:cs="宋体"/>
                <w:color w:val="auto"/>
                <w:kern w:val="0"/>
              </w:rPr>
            </w:pPr>
            <w:r>
              <w:rPr>
                <w:rFonts w:hint="eastAsia" w:ascii="宋体" w:hAnsi="宋体"/>
                <w:color w:val="auto"/>
              </w:rPr>
              <w:t>0.05</w:t>
            </w:r>
          </w:p>
        </w:tc>
        <w:tc>
          <w:tcPr>
            <w:tcW w:w="454" w:type="pct"/>
            <w:vAlign w:val="center"/>
          </w:tcPr>
          <w:p w14:paraId="628C6235">
            <w:pPr>
              <w:widowControl/>
              <w:jc w:val="center"/>
              <w:rPr>
                <w:rFonts w:ascii="宋体" w:hAnsi="宋体" w:cs="宋体"/>
                <w:color w:val="auto"/>
                <w:kern w:val="0"/>
              </w:rPr>
            </w:pPr>
            <w:r>
              <w:rPr>
                <w:rFonts w:hint="eastAsia" w:ascii="宋体" w:hAnsi="宋体"/>
                <w:color w:val="auto"/>
              </w:rPr>
              <w:t>0.05</w:t>
            </w:r>
          </w:p>
        </w:tc>
        <w:tc>
          <w:tcPr>
            <w:tcW w:w="454" w:type="pct"/>
            <w:vAlign w:val="center"/>
          </w:tcPr>
          <w:p w14:paraId="41415CEC">
            <w:pPr>
              <w:widowControl/>
              <w:jc w:val="center"/>
              <w:rPr>
                <w:rFonts w:ascii="宋体" w:hAnsi="宋体"/>
                <w:color w:val="auto"/>
              </w:rPr>
            </w:pPr>
            <w:r>
              <w:rPr>
                <w:rFonts w:ascii="宋体" w:hAnsi="宋体" w:cs="宋体"/>
                <w:color w:val="auto"/>
                <w:kern w:val="0"/>
              </w:rPr>
              <w:t>≤</w:t>
            </w:r>
            <w:r>
              <w:rPr>
                <w:rFonts w:ascii="宋体" w:hAnsi="宋体"/>
                <w:color w:val="auto"/>
              </w:rPr>
              <w:t>0.1</w:t>
            </w:r>
          </w:p>
        </w:tc>
        <w:tc>
          <w:tcPr>
            <w:tcW w:w="231" w:type="pct"/>
            <w:vAlign w:val="center"/>
          </w:tcPr>
          <w:p w14:paraId="01EF9322">
            <w:pPr>
              <w:widowControl/>
              <w:jc w:val="center"/>
              <w:rPr>
                <w:rFonts w:ascii="宋体" w:hAnsi="宋体"/>
                <w:color w:val="auto"/>
              </w:rPr>
            </w:pPr>
            <w:r>
              <w:rPr>
                <w:rFonts w:hint="eastAsia" w:ascii="宋体" w:hAnsi="宋体"/>
                <w:color w:val="auto"/>
              </w:rPr>
              <w:t>达标</w:t>
            </w:r>
          </w:p>
        </w:tc>
      </w:tr>
      <w:tr w14:paraId="5B299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01FD7C2B">
            <w:pPr>
              <w:widowControl/>
              <w:adjustRightInd w:val="0"/>
              <w:snapToGrid w:val="0"/>
              <w:jc w:val="center"/>
              <w:rPr>
                <w:rFonts w:ascii="宋体" w:hAnsi="宋体"/>
                <w:bCs/>
                <w:color w:val="auto"/>
              </w:rPr>
            </w:pPr>
            <w:r>
              <w:rPr>
                <w:rFonts w:ascii="宋体" w:hAnsi="宋体"/>
                <w:bCs/>
                <w:color w:val="auto"/>
              </w:rPr>
              <w:t>汞(μg/L)</w:t>
            </w:r>
          </w:p>
        </w:tc>
        <w:tc>
          <w:tcPr>
            <w:tcW w:w="357" w:type="pct"/>
            <w:vAlign w:val="center"/>
          </w:tcPr>
          <w:p w14:paraId="4D8A3B4C">
            <w:pPr>
              <w:widowControl/>
              <w:jc w:val="center"/>
              <w:rPr>
                <w:rFonts w:ascii="宋体" w:hAnsi="宋体"/>
                <w:color w:val="auto"/>
              </w:rPr>
            </w:pPr>
            <w:r>
              <w:rPr>
                <w:rFonts w:hint="eastAsia" w:ascii="宋体" w:hAnsi="宋体"/>
                <w:color w:val="auto"/>
              </w:rPr>
              <w:t>0.30</w:t>
            </w:r>
          </w:p>
        </w:tc>
        <w:tc>
          <w:tcPr>
            <w:tcW w:w="288" w:type="pct"/>
            <w:vAlign w:val="center"/>
          </w:tcPr>
          <w:p w14:paraId="0CF8287B">
            <w:pPr>
              <w:jc w:val="center"/>
              <w:rPr>
                <w:rFonts w:ascii="宋体" w:hAnsi="宋体"/>
                <w:color w:val="auto"/>
              </w:rPr>
            </w:pPr>
            <w:r>
              <w:rPr>
                <w:rFonts w:hint="eastAsia" w:ascii="宋体" w:hAnsi="宋体"/>
                <w:color w:val="auto"/>
              </w:rPr>
              <w:t>0.29</w:t>
            </w:r>
          </w:p>
        </w:tc>
        <w:tc>
          <w:tcPr>
            <w:tcW w:w="237" w:type="pct"/>
            <w:vAlign w:val="center"/>
          </w:tcPr>
          <w:p w14:paraId="70228031">
            <w:pPr>
              <w:jc w:val="center"/>
              <w:rPr>
                <w:rFonts w:ascii="宋体" w:hAnsi="宋体"/>
                <w:color w:val="auto"/>
              </w:rPr>
            </w:pPr>
            <w:r>
              <w:rPr>
                <w:rFonts w:hint="eastAsia" w:ascii="宋体" w:hAnsi="宋体"/>
                <w:color w:val="auto"/>
              </w:rPr>
              <w:t>0.28</w:t>
            </w:r>
          </w:p>
        </w:tc>
        <w:tc>
          <w:tcPr>
            <w:tcW w:w="321" w:type="pct"/>
            <w:vAlign w:val="center"/>
          </w:tcPr>
          <w:p w14:paraId="3484061A">
            <w:pPr>
              <w:jc w:val="center"/>
              <w:rPr>
                <w:rFonts w:ascii="宋体" w:hAnsi="宋体"/>
                <w:color w:val="auto"/>
              </w:rPr>
            </w:pPr>
            <w:r>
              <w:rPr>
                <w:rFonts w:hint="eastAsia" w:ascii="宋体" w:hAnsi="宋体"/>
                <w:color w:val="auto"/>
              </w:rPr>
              <w:t>0.28</w:t>
            </w:r>
          </w:p>
        </w:tc>
        <w:tc>
          <w:tcPr>
            <w:tcW w:w="255" w:type="pct"/>
            <w:vAlign w:val="center"/>
          </w:tcPr>
          <w:p w14:paraId="4B6F977A">
            <w:pPr>
              <w:jc w:val="center"/>
              <w:rPr>
                <w:rFonts w:ascii="宋体" w:hAnsi="宋体" w:cs="宋体"/>
                <w:color w:val="auto"/>
                <w:kern w:val="0"/>
              </w:rPr>
            </w:pPr>
            <w:r>
              <w:rPr>
                <w:rFonts w:hint="eastAsia" w:ascii="宋体" w:hAnsi="宋体"/>
                <w:color w:val="auto"/>
              </w:rPr>
              <w:t>0.15</w:t>
            </w:r>
          </w:p>
        </w:tc>
        <w:tc>
          <w:tcPr>
            <w:tcW w:w="338" w:type="pct"/>
            <w:vAlign w:val="center"/>
          </w:tcPr>
          <w:p w14:paraId="2BBDB7BC">
            <w:pPr>
              <w:jc w:val="center"/>
              <w:rPr>
                <w:rFonts w:ascii="宋体" w:hAnsi="宋体" w:cs="宋体"/>
                <w:color w:val="auto"/>
                <w:kern w:val="0"/>
              </w:rPr>
            </w:pPr>
            <w:r>
              <w:rPr>
                <w:rFonts w:hint="eastAsia" w:ascii="宋体" w:hAnsi="宋体"/>
                <w:color w:val="auto"/>
              </w:rPr>
              <w:t>0.18</w:t>
            </w:r>
          </w:p>
        </w:tc>
        <w:tc>
          <w:tcPr>
            <w:tcW w:w="337" w:type="pct"/>
            <w:vAlign w:val="center"/>
          </w:tcPr>
          <w:p w14:paraId="5FE4F263">
            <w:pPr>
              <w:jc w:val="center"/>
              <w:rPr>
                <w:rFonts w:ascii="宋体" w:hAnsi="宋体" w:cs="宋体"/>
                <w:color w:val="auto"/>
                <w:kern w:val="0"/>
              </w:rPr>
            </w:pPr>
            <w:r>
              <w:rPr>
                <w:rFonts w:hint="eastAsia" w:ascii="宋体" w:hAnsi="宋体"/>
                <w:color w:val="auto"/>
              </w:rPr>
              <w:t>0.14</w:t>
            </w:r>
          </w:p>
        </w:tc>
        <w:tc>
          <w:tcPr>
            <w:tcW w:w="339" w:type="pct"/>
            <w:vAlign w:val="center"/>
          </w:tcPr>
          <w:p w14:paraId="3EA2F6D0">
            <w:pPr>
              <w:jc w:val="center"/>
              <w:rPr>
                <w:rFonts w:ascii="宋体" w:hAnsi="宋体" w:cs="宋体"/>
                <w:color w:val="auto"/>
                <w:kern w:val="0"/>
              </w:rPr>
            </w:pPr>
            <w:r>
              <w:rPr>
                <w:rFonts w:hint="eastAsia" w:ascii="宋体" w:hAnsi="宋体"/>
                <w:color w:val="auto"/>
              </w:rPr>
              <w:t>0.17</w:t>
            </w:r>
          </w:p>
        </w:tc>
        <w:tc>
          <w:tcPr>
            <w:tcW w:w="338" w:type="pct"/>
            <w:vAlign w:val="center"/>
          </w:tcPr>
          <w:p w14:paraId="3806C948">
            <w:pPr>
              <w:jc w:val="center"/>
              <w:rPr>
                <w:rFonts w:ascii="宋体" w:hAnsi="宋体" w:cs="宋体"/>
                <w:color w:val="auto"/>
                <w:kern w:val="0"/>
              </w:rPr>
            </w:pPr>
            <w:r>
              <w:rPr>
                <w:rFonts w:hint="eastAsia" w:ascii="宋体" w:hAnsi="宋体"/>
                <w:color w:val="auto"/>
              </w:rPr>
              <w:t>0.29</w:t>
            </w:r>
          </w:p>
        </w:tc>
        <w:tc>
          <w:tcPr>
            <w:tcW w:w="338" w:type="pct"/>
            <w:vAlign w:val="center"/>
          </w:tcPr>
          <w:p w14:paraId="4D5877A9">
            <w:pPr>
              <w:jc w:val="center"/>
              <w:rPr>
                <w:rFonts w:ascii="宋体" w:hAnsi="宋体" w:cs="宋体"/>
                <w:color w:val="auto"/>
                <w:kern w:val="0"/>
              </w:rPr>
            </w:pPr>
            <w:r>
              <w:rPr>
                <w:rFonts w:hint="eastAsia" w:ascii="宋体" w:hAnsi="宋体"/>
                <w:color w:val="auto"/>
              </w:rPr>
              <w:t>0.25</w:t>
            </w:r>
          </w:p>
        </w:tc>
        <w:tc>
          <w:tcPr>
            <w:tcW w:w="372" w:type="pct"/>
            <w:vAlign w:val="center"/>
          </w:tcPr>
          <w:p w14:paraId="4E5D5213">
            <w:pPr>
              <w:jc w:val="center"/>
              <w:rPr>
                <w:rFonts w:ascii="宋体" w:hAnsi="宋体" w:cs="宋体"/>
                <w:color w:val="auto"/>
                <w:kern w:val="0"/>
              </w:rPr>
            </w:pPr>
            <w:r>
              <w:rPr>
                <w:rFonts w:hint="eastAsia" w:ascii="宋体" w:hAnsi="宋体"/>
                <w:color w:val="auto"/>
              </w:rPr>
              <w:t>0.26</w:t>
            </w:r>
          </w:p>
        </w:tc>
        <w:tc>
          <w:tcPr>
            <w:tcW w:w="454" w:type="pct"/>
            <w:vAlign w:val="center"/>
          </w:tcPr>
          <w:p w14:paraId="074327A6">
            <w:pPr>
              <w:jc w:val="center"/>
              <w:rPr>
                <w:rFonts w:ascii="宋体" w:hAnsi="宋体" w:cs="宋体"/>
                <w:color w:val="auto"/>
                <w:kern w:val="0"/>
              </w:rPr>
            </w:pPr>
            <w:r>
              <w:rPr>
                <w:rFonts w:hint="eastAsia" w:ascii="宋体" w:hAnsi="宋体"/>
                <w:color w:val="auto"/>
              </w:rPr>
              <w:t>0.25</w:t>
            </w:r>
          </w:p>
        </w:tc>
        <w:tc>
          <w:tcPr>
            <w:tcW w:w="454" w:type="pct"/>
            <w:vAlign w:val="center"/>
          </w:tcPr>
          <w:p w14:paraId="6F7D3B57">
            <w:pPr>
              <w:jc w:val="center"/>
              <w:rPr>
                <w:rFonts w:ascii="宋体" w:hAnsi="宋体"/>
                <w:color w:val="auto"/>
              </w:rPr>
            </w:pPr>
            <w:r>
              <w:rPr>
                <w:rFonts w:ascii="宋体" w:hAnsi="宋体" w:cs="宋体"/>
                <w:color w:val="auto"/>
                <w:kern w:val="0"/>
              </w:rPr>
              <w:t>≤</w:t>
            </w:r>
            <w:r>
              <w:rPr>
                <w:rFonts w:ascii="宋体" w:hAnsi="宋体"/>
                <w:color w:val="auto"/>
              </w:rPr>
              <w:t>0.001</w:t>
            </w:r>
          </w:p>
        </w:tc>
        <w:tc>
          <w:tcPr>
            <w:tcW w:w="231" w:type="pct"/>
            <w:vAlign w:val="center"/>
          </w:tcPr>
          <w:p w14:paraId="1A45D563">
            <w:pPr>
              <w:jc w:val="center"/>
              <w:rPr>
                <w:rFonts w:ascii="宋体" w:hAnsi="宋体"/>
                <w:color w:val="auto"/>
              </w:rPr>
            </w:pPr>
            <w:r>
              <w:rPr>
                <w:rFonts w:hint="eastAsia" w:ascii="宋体" w:hAnsi="宋体"/>
                <w:color w:val="auto"/>
              </w:rPr>
              <w:t>达标</w:t>
            </w:r>
          </w:p>
        </w:tc>
      </w:tr>
      <w:tr w14:paraId="1CA10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7CC83E0B">
            <w:pPr>
              <w:widowControl/>
              <w:adjustRightInd w:val="0"/>
              <w:snapToGrid w:val="0"/>
              <w:jc w:val="center"/>
              <w:rPr>
                <w:rFonts w:ascii="宋体" w:hAnsi="宋体"/>
                <w:bCs/>
                <w:color w:val="auto"/>
              </w:rPr>
            </w:pPr>
            <w:r>
              <w:rPr>
                <w:rFonts w:ascii="宋体" w:hAnsi="宋体"/>
                <w:bCs/>
                <w:color w:val="auto"/>
              </w:rPr>
              <w:t>砷(μg/L)</w:t>
            </w:r>
          </w:p>
        </w:tc>
        <w:tc>
          <w:tcPr>
            <w:tcW w:w="357" w:type="pct"/>
            <w:vAlign w:val="center"/>
          </w:tcPr>
          <w:p w14:paraId="0EBB64ED">
            <w:pPr>
              <w:widowControl/>
              <w:jc w:val="center"/>
              <w:rPr>
                <w:rFonts w:ascii="宋体" w:hAnsi="宋体"/>
                <w:color w:val="auto"/>
              </w:rPr>
            </w:pPr>
            <w:r>
              <w:rPr>
                <w:rFonts w:hint="eastAsia" w:ascii="宋体" w:hAnsi="宋体"/>
                <w:color w:val="auto"/>
              </w:rPr>
              <w:t>2.0</w:t>
            </w:r>
          </w:p>
        </w:tc>
        <w:tc>
          <w:tcPr>
            <w:tcW w:w="288" w:type="pct"/>
            <w:vAlign w:val="center"/>
          </w:tcPr>
          <w:p w14:paraId="43EC93F3">
            <w:pPr>
              <w:jc w:val="center"/>
              <w:rPr>
                <w:rFonts w:ascii="宋体" w:hAnsi="宋体"/>
                <w:color w:val="auto"/>
              </w:rPr>
            </w:pPr>
            <w:r>
              <w:rPr>
                <w:rFonts w:hint="eastAsia" w:ascii="宋体" w:hAnsi="宋体"/>
                <w:color w:val="auto"/>
              </w:rPr>
              <w:t>1.7</w:t>
            </w:r>
          </w:p>
        </w:tc>
        <w:tc>
          <w:tcPr>
            <w:tcW w:w="237" w:type="pct"/>
            <w:vAlign w:val="center"/>
          </w:tcPr>
          <w:p w14:paraId="345423B9">
            <w:pPr>
              <w:jc w:val="center"/>
              <w:rPr>
                <w:rFonts w:ascii="宋体" w:hAnsi="宋体"/>
                <w:color w:val="auto"/>
              </w:rPr>
            </w:pPr>
            <w:r>
              <w:rPr>
                <w:rFonts w:hint="eastAsia" w:ascii="宋体" w:hAnsi="宋体"/>
                <w:color w:val="auto"/>
              </w:rPr>
              <w:t>1.5</w:t>
            </w:r>
          </w:p>
        </w:tc>
        <w:tc>
          <w:tcPr>
            <w:tcW w:w="321" w:type="pct"/>
            <w:vAlign w:val="center"/>
          </w:tcPr>
          <w:p w14:paraId="2D2ECB68">
            <w:pPr>
              <w:jc w:val="center"/>
              <w:rPr>
                <w:rFonts w:ascii="宋体" w:hAnsi="宋体"/>
                <w:color w:val="auto"/>
              </w:rPr>
            </w:pPr>
            <w:r>
              <w:rPr>
                <w:rFonts w:hint="eastAsia" w:ascii="宋体" w:hAnsi="宋体"/>
                <w:color w:val="auto"/>
              </w:rPr>
              <w:t>1.5</w:t>
            </w:r>
          </w:p>
        </w:tc>
        <w:tc>
          <w:tcPr>
            <w:tcW w:w="255" w:type="pct"/>
            <w:vAlign w:val="center"/>
          </w:tcPr>
          <w:p w14:paraId="7FE7F535">
            <w:pPr>
              <w:jc w:val="center"/>
              <w:rPr>
                <w:rFonts w:ascii="宋体" w:hAnsi="宋体" w:cs="宋体"/>
                <w:color w:val="auto"/>
                <w:kern w:val="0"/>
              </w:rPr>
            </w:pPr>
            <w:r>
              <w:rPr>
                <w:rFonts w:hint="eastAsia" w:ascii="宋体" w:hAnsi="宋体"/>
                <w:color w:val="auto"/>
              </w:rPr>
              <w:t>0.7</w:t>
            </w:r>
          </w:p>
        </w:tc>
        <w:tc>
          <w:tcPr>
            <w:tcW w:w="338" w:type="pct"/>
            <w:vAlign w:val="center"/>
          </w:tcPr>
          <w:p w14:paraId="63A99D9E">
            <w:pPr>
              <w:jc w:val="center"/>
              <w:rPr>
                <w:rFonts w:ascii="宋体" w:hAnsi="宋体" w:cs="宋体"/>
                <w:color w:val="auto"/>
                <w:kern w:val="0"/>
              </w:rPr>
            </w:pPr>
            <w:r>
              <w:rPr>
                <w:rFonts w:hint="eastAsia" w:ascii="宋体" w:hAnsi="宋体"/>
                <w:color w:val="auto"/>
              </w:rPr>
              <w:t>0.7</w:t>
            </w:r>
          </w:p>
        </w:tc>
        <w:tc>
          <w:tcPr>
            <w:tcW w:w="337" w:type="pct"/>
            <w:vAlign w:val="center"/>
          </w:tcPr>
          <w:p w14:paraId="736ECB1D">
            <w:pPr>
              <w:jc w:val="center"/>
              <w:rPr>
                <w:rFonts w:ascii="宋体" w:hAnsi="宋体" w:cs="宋体"/>
                <w:color w:val="auto"/>
                <w:kern w:val="0"/>
              </w:rPr>
            </w:pPr>
            <w:r>
              <w:rPr>
                <w:rFonts w:hint="eastAsia" w:ascii="宋体" w:hAnsi="宋体"/>
                <w:color w:val="auto"/>
              </w:rPr>
              <w:t>0.8</w:t>
            </w:r>
          </w:p>
        </w:tc>
        <w:tc>
          <w:tcPr>
            <w:tcW w:w="339" w:type="pct"/>
            <w:vAlign w:val="center"/>
          </w:tcPr>
          <w:p w14:paraId="4DCB7BFA">
            <w:pPr>
              <w:jc w:val="center"/>
              <w:rPr>
                <w:rFonts w:ascii="宋体" w:hAnsi="宋体" w:cs="宋体"/>
                <w:color w:val="auto"/>
                <w:kern w:val="0"/>
              </w:rPr>
            </w:pPr>
            <w:r>
              <w:rPr>
                <w:rFonts w:hint="eastAsia" w:ascii="宋体" w:hAnsi="宋体"/>
                <w:color w:val="auto"/>
              </w:rPr>
              <w:t>0.7</w:t>
            </w:r>
          </w:p>
        </w:tc>
        <w:tc>
          <w:tcPr>
            <w:tcW w:w="338" w:type="pct"/>
            <w:vAlign w:val="center"/>
          </w:tcPr>
          <w:p w14:paraId="72C03F6A">
            <w:pPr>
              <w:jc w:val="center"/>
              <w:rPr>
                <w:rFonts w:ascii="宋体" w:hAnsi="宋体" w:cs="宋体"/>
                <w:color w:val="auto"/>
                <w:kern w:val="0"/>
              </w:rPr>
            </w:pPr>
            <w:r>
              <w:rPr>
                <w:rFonts w:hint="eastAsia" w:ascii="宋体" w:hAnsi="宋体"/>
                <w:color w:val="auto"/>
              </w:rPr>
              <w:t>1.2</w:t>
            </w:r>
          </w:p>
        </w:tc>
        <w:tc>
          <w:tcPr>
            <w:tcW w:w="338" w:type="pct"/>
            <w:vAlign w:val="center"/>
          </w:tcPr>
          <w:p w14:paraId="10C2FAC2">
            <w:pPr>
              <w:jc w:val="center"/>
              <w:rPr>
                <w:rFonts w:ascii="宋体" w:hAnsi="宋体" w:cs="宋体"/>
                <w:color w:val="auto"/>
                <w:kern w:val="0"/>
              </w:rPr>
            </w:pPr>
            <w:r>
              <w:rPr>
                <w:rFonts w:hint="eastAsia" w:ascii="宋体" w:hAnsi="宋体"/>
                <w:color w:val="auto"/>
              </w:rPr>
              <w:t>1.5</w:t>
            </w:r>
          </w:p>
        </w:tc>
        <w:tc>
          <w:tcPr>
            <w:tcW w:w="372" w:type="pct"/>
            <w:vAlign w:val="center"/>
          </w:tcPr>
          <w:p w14:paraId="1B71F0BA">
            <w:pPr>
              <w:jc w:val="center"/>
              <w:rPr>
                <w:rFonts w:ascii="宋体" w:hAnsi="宋体" w:cs="宋体"/>
                <w:color w:val="auto"/>
                <w:kern w:val="0"/>
              </w:rPr>
            </w:pPr>
            <w:r>
              <w:rPr>
                <w:rFonts w:hint="eastAsia" w:ascii="宋体" w:hAnsi="宋体"/>
                <w:color w:val="auto"/>
              </w:rPr>
              <w:t>1.5</w:t>
            </w:r>
          </w:p>
        </w:tc>
        <w:tc>
          <w:tcPr>
            <w:tcW w:w="454" w:type="pct"/>
            <w:vAlign w:val="center"/>
          </w:tcPr>
          <w:p w14:paraId="0A84A2B5">
            <w:pPr>
              <w:jc w:val="center"/>
              <w:rPr>
                <w:rFonts w:ascii="宋体" w:hAnsi="宋体" w:cs="宋体"/>
                <w:color w:val="auto"/>
                <w:kern w:val="0"/>
              </w:rPr>
            </w:pPr>
            <w:r>
              <w:rPr>
                <w:rFonts w:hint="eastAsia" w:ascii="宋体" w:hAnsi="宋体"/>
                <w:color w:val="auto"/>
              </w:rPr>
              <w:t>1.2</w:t>
            </w:r>
          </w:p>
        </w:tc>
        <w:tc>
          <w:tcPr>
            <w:tcW w:w="454" w:type="pct"/>
            <w:vAlign w:val="center"/>
          </w:tcPr>
          <w:p w14:paraId="2420E75D">
            <w:pPr>
              <w:jc w:val="center"/>
              <w:rPr>
                <w:rFonts w:ascii="宋体" w:hAnsi="宋体"/>
                <w:color w:val="auto"/>
              </w:rPr>
            </w:pPr>
            <w:r>
              <w:rPr>
                <w:rFonts w:ascii="宋体" w:hAnsi="宋体" w:cs="宋体"/>
                <w:color w:val="auto"/>
                <w:kern w:val="0"/>
              </w:rPr>
              <w:t>≤</w:t>
            </w:r>
            <w:r>
              <w:rPr>
                <w:rFonts w:ascii="宋体" w:hAnsi="宋体"/>
                <w:color w:val="auto"/>
              </w:rPr>
              <w:t>0.01</w:t>
            </w:r>
          </w:p>
        </w:tc>
        <w:tc>
          <w:tcPr>
            <w:tcW w:w="231" w:type="pct"/>
            <w:vAlign w:val="center"/>
          </w:tcPr>
          <w:p w14:paraId="3F350256">
            <w:pPr>
              <w:jc w:val="center"/>
              <w:rPr>
                <w:rFonts w:ascii="宋体" w:hAnsi="宋体"/>
                <w:color w:val="auto"/>
              </w:rPr>
            </w:pPr>
            <w:r>
              <w:rPr>
                <w:rFonts w:hint="eastAsia" w:ascii="宋体" w:hAnsi="宋体"/>
                <w:color w:val="auto"/>
              </w:rPr>
              <w:t>达标</w:t>
            </w:r>
          </w:p>
        </w:tc>
      </w:tr>
      <w:tr w14:paraId="6D9EF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4AA55F44">
            <w:pPr>
              <w:widowControl/>
              <w:adjustRightInd w:val="0"/>
              <w:snapToGrid w:val="0"/>
              <w:jc w:val="center"/>
              <w:rPr>
                <w:rFonts w:ascii="宋体" w:hAnsi="宋体"/>
                <w:bCs/>
                <w:color w:val="auto"/>
              </w:rPr>
            </w:pPr>
            <w:r>
              <w:rPr>
                <w:rFonts w:ascii="宋体" w:hAnsi="宋体"/>
                <w:bCs/>
                <w:color w:val="auto"/>
              </w:rPr>
              <w:t>六价铬(mg/L)</w:t>
            </w:r>
          </w:p>
        </w:tc>
        <w:tc>
          <w:tcPr>
            <w:tcW w:w="357" w:type="pct"/>
            <w:vAlign w:val="center"/>
          </w:tcPr>
          <w:p w14:paraId="451CA6DD">
            <w:pPr>
              <w:widowControl/>
              <w:jc w:val="center"/>
              <w:rPr>
                <w:rFonts w:ascii="宋体" w:hAnsi="宋体"/>
                <w:color w:val="auto"/>
              </w:rPr>
            </w:pPr>
            <w:r>
              <w:rPr>
                <w:rFonts w:hint="eastAsia" w:ascii="宋体" w:hAnsi="宋体"/>
                <w:color w:val="auto"/>
              </w:rPr>
              <w:t>ND</w:t>
            </w:r>
          </w:p>
        </w:tc>
        <w:tc>
          <w:tcPr>
            <w:tcW w:w="288" w:type="pct"/>
            <w:vAlign w:val="center"/>
          </w:tcPr>
          <w:p w14:paraId="72891D36">
            <w:pPr>
              <w:jc w:val="center"/>
              <w:rPr>
                <w:rFonts w:ascii="宋体" w:hAnsi="宋体"/>
                <w:color w:val="auto"/>
              </w:rPr>
            </w:pPr>
            <w:r>
              <w:rPr>
                <w:rFonts w:hint="eastAsia" w:ascii="宋体" w:hAnsi="宋体"/>
                <w:color w:val="auto"/>
              </w:rPr>
              <w:t>ND</w:t>
            </w:r>
          </w:p>
        </w:tc>
        <w:tc>
          <w:tcPr>
            <w:tcW w:w="237" w:type="pct"/>
            <w:vAlign w:val="center"/>
          </w:tcPr>
          <w:p w14:paraId="0A0EEBE3">
            <w:pPr>
              <w:jc w:val="center"/>
              <w:rPr>
                <w:rFonts w:ascii="宋体" w:hAnsi="宋体"/>
                <w:color w:val="auto"/>
              </w:rPr>
            </w:pPr>
            <w:r>
              <w:rPr>
                <w:rFonts w:hint="eastAsia" w:ascii="宋体" w:hAnsi="宋体"/>
                <w:color w:val="auto"/>
              </w:rPr>
              <w:t>ND</w:t>
            </w:r>
          </w:p>
        </w:tc>
        <w:tc>
          <w:tcPr>
            <w:tcW w:w="321" w:type="pct"/>
            <w:vAlign w:val="center"/>
          </w:tcPr>
          <w:p w14:paraId="095B61A2">
            <w:pPr>
              <w:jc w:val="center"/>
              <w:rPr>
                <w:rFonts w:ascii="宋体" w:hAnsi="宋体"/>
                <w:color w:val="auto"/>
              </w:rPr>
            </w:pPr>
            <w:r>
              <w:rPr>
                <w:rFonts w:hint="eastAsia" w:ascii="宋体" w:hAnsi="宋体"/>
                <w:color w:val="auto"/>
              </w:rPr>
              <w:t>ND</w:t>
            </w:r>
          </w:p>
        </w:tc>
        <w:tc>
          <w:tcPr>
            <w:tcW w:w="255" w:type="pct"/>
            <w:vAlign w:val="center"/>
          </w:tcPr>
          <w:p w14:paraId="6FE84649">
            <w:pPr>
              <w:jc w:val="center"/>
              <w:rPr>
                <w:rFonts w:ascii="宋体" w:hAnsi="宋体" w:cs="宋体"/>
                <w:color w:val="auto"/>
                <w:kern w:val="0"/>
              </w:rPr>
            </w:pPr>
            <w:r>
              <w:rPr>
                <w:rFonts w:hint="eastAsia" w:ascii="宋体" w:hAnsi="宋体"/>
                <w:color w:val="auto"/>
              </w:rPr>
              <w:t>ND</w:t>
            </w:r>
          </w:p>
        </w:tc>
        <w:tc>
          <w:tcPr>
            <w:tcW w:w="338" w:type="pct"/>
            <w:vAlign w:val="center"/>
          </w:tcPr>
          <w:p w14:paraId="367D37C5">
            <w:pPr>
              <w:jc w:val="center"/>
              <w:rPr>
                <w:rFonts w:ascii="宋体" w:hAnsi="宋体" w:cs="宋体"/>
                <w:color w:val="auto"/>
                <w:kern w:val="0"/>
              </w:rPr>
            </w:pPr>
            <w:r>
              <w:rPr>
                <w:rFonts w:hint="eastAsia" w:ascii="宋体" w:hAnsi="宋体"/>
                <w:color w:val="auto"/>
              </w:rPr>
              <w:t>ND</w:t>
            </w:r>
          </w:p>
        </w:tc>
        <w:tc>
          <w:tcPr>
            <w:tcW w:w="337" w:type="pct"/>
            <w:vAlign w:val="center"/>
          </w:tcPr>
          <w:p w14:paraId="42D0A786">
            <w:pPr>
              <w:jc w:val="center"/>
              <w:rPr>
                <w:rFonts w:ascii="宋体" w:hAnsi="宋体" w:cs="宋体"/>
                <w:color w:val="auto"/>
                <w:kern w:val="0"/>
              </w:rPr>
            </w:pPr>
            <w:r>
              <w:rPr>
                <w:rFonts w:hint="eastAsia" w:ascii="宋体" w:hAnsi="宋体"/>
                <w:color w:val="auto"/>
              </w:rPr>
              <w:t>ND</w:t>
            </w:r>
          </w:p>
        </w:tc>
        <w:tc>
          <w:tcPr>
            <w:tcW w:w="339" w:type="pct"/>
            <w:vAlign w:val="center"/>
          </w:tcPr>
          <w:p w14:paraId="7785A0B7">
            <w:pPr>
              <w:jc w:val="center"/>
              <w:rPr>
                <w:rFonts w:ascii="宋体" w:hAnsi="宋体" w:cs="宋体"/>
                <w:color w:val="auto"/>
                <w:kern w:val="0"/>
              </w:rPr>
            </w:pPr>
            <w:r>
              <w:rPr>
                <w:rFonts w:hint="eastAsia" w:ascii="宋体" w:hAnsi="宋体"/>
                <w:color w:val="auto"/>
              </w:rPr>
              <w:t>ND</w:t>
            </w:r>
          </w:p>
        </w:tc>
        <w:tc>
          <w:tcPr>
            <w:tcW w:w="338" w:type="pct"/>
            <w:vAlign w:val="center"/>
          </w:tcPr>
          <w:p w14:paraId="1EEEBDC5">
            <w:pPr>
              <w:jc w:val="center"/>
              <w:rPr>
                <w:rFonts w:ascii="宋体" w:hAnsi="宋体" w:cs="宋体"/>
                <w:color w:val="auto"/>
                <w:kern w:val="0"/>
              </w:rPr>
            </w:pPr>
            <w:r>
              <w:rPr>
                <w:rFonts w:hint="eastAsia" w:ascii="宋体" w:hAnsi="宋体"/>
                <w:color w:val="auto"/>
              </w:rPr>
              <w:t>ND</w:t>
            </w:r>
          </w:p>
        </w:tc>
        <w:tc>
          <w:tcPr>
            <w:tcW w:w="338" w:type="pct"/>
            <w:vAlign w:val="center"/>
          </w:tcPr>
          <w:p w14:paraId="7EEED07B">
            <w:pPr>
              <w:jc w:val="center"/>
              <w:rPr>
                <w:rFonts w:ascii="宋体" w:hAnsi="宋体" w:cs="宋体"/>
                <w:color w:val="auto"/>
                <w:kern w:val="0"/>
              </w:rPr>
            </w:pPr>
            <w:r>
              <w:rPr>
                <w:rFonts w:hint="eastAsia" w:ascii="宋体" w:hAnsi="宋体"/>
                <w:color w:val="auto"/>
              </w:rPr>
              <w:t>ND</w:t>
            </w:r>
          </w:p>
        </w:tc>
        <w:tc>
          <w:tcPr>
            <w:tcW w:w="372" w:type="pct"/>
            <w:vAlign w:val="center"/>
          </w:tcPr>
          <w:p w14:paraId="541487D8">
            <w:pPr>
              <w:jc w:val="center"/>
              <w:rPr>
                <w:rFonts w:ascii="宋体" w:hAnsi="宋体" w:cs="宋体"/>
                <w:color w:val="auto"/>
                <w:kern w:val="0"/>
              </w:rPr>
            </w:pPr>
            <w:r>
              <w:rPr>
                <w:rFonts w:hint="eastAsia" w:ascii="宋体" w:hAnsi="宋体"/>
                <w:color w:val="auto"/>
              </w:rPr>
              <w:t>ND</w:t>
            </w:r>
          </w:p>
        </w:tc>
        <w:tc>
          <w:tcPr>
            <w:tcW w:w="454" w:type="pct"/>
            <w:vAlign w:val="center"/>
          </w:tcPr>
          <w:p w14:paraId="51A7C48E">
            <w:pPr>
              <w:jc w:val="center"/>
              <w:rPr>
                <w:rFonts w:ascii="宋体" w:hAnsi="宋体" w:cs="宋体"/>
                <w:color w:val="auto"/>
                <w:kern w:val="0"/>
              </w:rPr>
            </w:pPr>
            <w:r>
              <w:rPr>
                <w:rFonts w:hint="eastAsia" w:ascii="宋体" w:hAnsi="宋体"/>
                <w:color w:val="auto"/>
              </w:rPr>
              <w:t>ND</w:t>
            </w:r>
          </w:p>
        </w:tc>
        <w:tc>
          <w:tcPr>
            <w:tcW w:w="454" w:type="pct"/>
            <w:vAlign w:val="center"/>
          </w:tcPr>
          <w:p w14:paraId="5F797615">
            <w:pPr>
              <w:jc w:val="center"/>
              <w:rPr>
                <w:rFonts w:ascii="宋体" w:hAnsi="宋体"/>
                <w:color w:val="auto"/>
              </w:rPr>
            </w:pPr>
            <w:r>
              <w:rPr>
                <w:rFonts w:ascii="宋体" w:hAnsi="宋体" w:cs="宋体"/>
                <w:color w:val="auto"/>
                <w:kern w:val="0"/>
              </w:rPr>
              <w:t>≤</w:t>
            </w:r>
            <w:r>
              <w:rPr>
                <w:rFonts w:ascii="宋体" w:hAnsi="宋体"/>
                <w:color w:val="auto"/>
              </w:rPr>
              <w:t>0.05</w:t>
            </w:r>
          </w:p>
        </w:tc>
        <w:tc>
          <w:tcPr>
            <w:tcW w:w="231" w:type="pct"/>
            <w:vAlign w:val="center"/>
          </w:tcPr>
          <w:p w14:paraId="1D6C64E0">
            <w:pPr>
              <w:jc w:val="center"/>
              <w:rPr>
                <w:rFonts w:ascii="宋体" w:hAnsi="宋体"/>
                <w:color w:val="auto"/>
              </w:rPr>
            </w:pPr>
            <w:r>
              <w:rPr>
                <w:rFonts w:hint="eastAsia" w:ascii="宋体" w:hAnsi="宋体"/>
                <w:color w:val="auto"/>
              </w:rPr>
              <w:t>达标</w:t>
            </w:r>
          </w:p>
        </w:tc>
      </w:tr>
      <w:tr w14:paraId="277B9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220B38E3">
            <w:pPr>
              <w:widowControl/>
              <w:adjustRightInd w:val="0"/>
              <w:snapToGrid w:val="0"/>
              <w:jc w:val="center"/>
              <w:rPr>
                <w:rFonts w:ascii="宋体" w:hAnsi="宋体"/>
                <w:bCs/>
                <w:color w:val="auto"/>
              </w:rPr>
            </w:pPr>
            <w:r>
              <w:rPr>
                <w:rFonts w:hint="eastAsia" w:ascii="宋体" w:hAnsi="宋体"/>
                <w:bCs/>
                <w:color w:val="auto"/>
              </w:rPr>
              <w:t>铜</w:t>
            </w:r>
            <w:r>
              <w:rPr>
                <w:rFonts w:ascii="宋体" w:hAnsi="宋体"/>
                <w:bCs/>
                <w:color w:val="auto"/>
              </w:rPr>
              <w:t>(mg/L)</w:t>
            </w:r>
          </w:p>
        </w:tc>
        <w:tc>
          <w:tcPr>
            <w:tcW w:w="357" w:type="pct"/>
            <w:vAlign w:val="center"/>
          </w:tcPr>
          <w:p w14:paraId="44537BCA">
            <w:pPr>
              <w:widowControl/>
              <w:jc w:val="center"/>
              <w:rPr>
                <w:rFonts w:ascii="宋体" w:hAnsi="宋体"/>
                <w:color w:val="auto"/>
              </w:rPr>
            </w:pPr>
            <w:r>
              <w:rPr>
                <w:rFonts w:hint="eastAsia" w:ascii="宋体" w:hAnsi="宋体"/>
                <w:color w:val="auto"/>
              </w:rPr>
              <w:t>ND</w:t>
            </w:r>
          </w:p>
        </w:tc>
        <w:tc>
          <w:tcPr>
            <w:tcW w:w="288" w:type="pct"/>
            <w:vAlign w:val="center"/>
          </w:tcPr>
          <w:p w14:paraId="774E885F">
            <w:pPr>
              <w:jc w:val="center"/>
              <w:rPr>
                <w:rFonts w:ascii="宋体" w:hAnsi="宋体"/>
                <w:color w:val="auto"/>
              </w:rPr>
            </w:pPr>
            <w:r>
              <w:rPr>
                <w:rFonts w:hint="eastAsia" w:ascii="宋体" w:hAnsi="宋体"/>
                <w:color w:val="auto"/>
              </w:rPr>
              <w:t>ND</w:t>
            </w:r>
          </w:p>
        </w:tc>
        <w:tc>
          <w:tcPr>
            <w:tcW w:w="237" w:type="pct"/>
            <w:vAlign w:val="center"/>
          </w:tcPr>
          <w:p w14:paraId="0962FE93">
            <w:pPr>
              <w:jc w:val="center"/>
              <w:rPr>
                <w:rFonts w:ascii="宋体" w:hAnsi="宋体"/>
                <w:color w:val="auto"/>
              </w:rPr>
            </w:pPr>
            <w:r>
              <w:rPr>
                <w:rFonts w:hint="eastAsia" w:ascii="宋体" w:hAnsi="宋体"/>
                <w:color w:val="auto"/>
              </w:rPr>
              <w:t>ND</w:t>
            </w:r>
          </w:p>
        </w:tc>
        <w:tc>
          <w:tcPr>
            <w:tcW w:w="321" w:type="pct"/>
            <w:vAlign w:val="center"/>
          </w:tcPr>
          <w:p w14:paraId="6D921C1C">
            <w:pPr>
              <w:jc w:val="center"/>
              <w:rPr>
                <w:rFonts w:ascii="宋体" w:hAnsi="宋体"/>
                <w:color w:val="auto"/>
              </w:rPr>
            </w:pPr>
            <w:r>
              <w:rPr>
                <w:rFonts w:hint="eastAsia" w:ascii="宋体" w:hAnsi="宋体"/>
                <w:color w:val="auto"/>
              </w:rPr>
              <w:t>ND</w:t>
            </w:r>
          </w:p>
        </w:tc>
        <w:tc>
          <w:tcPr>
            <w:tcW w:w="255" w:type="pct"/>
            <w:vAlign w:val="center"/>
          </w:tcPr>
          <w:p w14:paraId="7E4C23C5">
            <w:pPr>
              <w:jc w:val="center"/>
              <w:rPr>
                <w:rFonts w:ascii="宋体" w:hAnsi="宋体" w:cs="宋体"/>
                <w:color w:val="auto"/>
                <w:kern w:val="0"/>
              </w:rPr>
            </w:pPr>
            <w:r>
              <w:rPr>
                <w:rFonts w:hint="eastAsia" w:ascii="宋体" w:hAnsi="宋体"/>
                <w:color w:val="auto"/>
              </w:rPr>
              <w:t>ND</w:t>
            </w:r>
          </w:p>
        </w:tc>
        <w:tc>
          <w:tcPr>
            <w:tcW w:w="338" w:type="pct"/>
            <w:vAlign w:val="center"/>
          </w:tcPr>
          <w:p w14:paraId="164FAD72">
            <w:pPr>
              <w:jc w:val="center"/>
              <w:rPr>
                <w:rFonts w:ascii="宋体" w:hAnsi="宋体" w:cs="宋体"/>
                <w:color w:val="auto"/>
                <w:kern w:val="0"/>
              </w:rPr>
            </w:pPr>
            <w:r>
              <w:rPr>
                <w:rFonts w:hint="eastAsia" w:ascii="宋体" w:hAnsi="宋体"/>
                <w:color w:val="auto"/>
              </w:rPr>
              <w:t>ND</w:t>
            </w:r>
          </w:p>
        </w:tc>
        <w:tc>
          <w:tcPr>
            <w:tcW w:w="337" w:type="pct"/>
            <w:vAlign w:val="center"/>
          </w:tcPr>
          <w:p w14:paraId="5014F39E">
            <w:pPr>
              <w:jc w:val="center"/>
              <w:rPr>
                <w:rFonts w:ascii="宋体" w:hAnsi="宋体" w:cs="宋体"/>
                <w:color w:val="auto"/>
                <w:kern w:val="0"/>
              </w:rPr>
            </w:pPr>
            <w:r>
              <w:rPr>
                <w:rFonts w:hint="eastAsia" w:ascii="宋体" w:hAnsi="宋体"/>
                <w:color w:val="auto"/>
              </w:rPr>
              <w:t>ND</w:t>
            </w:r>
          </w:p>
        </w:tc>
        <w:tc>
          <w:tcPr>
            <w:tcW w:w="339" w:type="pct"/>
            <w:vAlign w:val="center"/>
          </w:tcPr>
          <w:p w14:paraId="67583CD0">
            <w:pPr>
              <w:jc w:val="center"/>
              <w:rPr>
                <w:rFonts w:ascii="宋体" w:hAnsi="宋体" w:cs="宋体"/>
                <w:color w:val="auto"/>
                <w:kern w:val="0"/>
              </w:rPr>
            </w:pPr>
            <w:r>
              <w:rPr>
                <w:rFonts w:hint="eastAsia" w:ascii="宋体" w:hAnsi="宋体"/>
                <w:color w:val="auto"/>
              </w:rPr>
              <w:t>ND</w:t>
            </w:r>
          </w:p>
        </w:tc>
        <w:tc>
          <w:tcPr>
            <w:tcW w:w="338" w:type="pct"/>
            <w:vAlign w:val="center"/>
          </w:tcPr>
          <w:p w14:paraId="053A41B1">
            <w:pPr>
              <w:jc w:val="center"/>
              <w:rPr>
                <w:rFonts w:ascii="宋体" w:hAnsi="宋体" w:cs="宋体"/>
                <w:color w:val="auto"/>
                <w:kern w:val="0"/>
              </w:rPr>
            </w:pPr>
            <w:r>
              <w:rPr>
                <w:rFonts w:hint="eastAsia" w:ascii="宋体" w:hAnsi="宋体"/>
                <w:color w:val="auto"/>
              </w:rPr>
              <w:t>ND</w:t>
            </w:r>
          </w:p>
        </w:tc>
        <w:tc>
          <w:tcPr>
            <w:tcW w:w="338" w:type="pct"/>
            <w:vAlign w:val="center"/>
          </w:tcPr>
          <w:p w14:paraId="32F9B633">
            <w:pPr>
              <w:jc w:val="center"/>
              <w:rPr>
                <w:rFonts w:ascii="宋体" w:hAnsi="宋体" w:cs="宋体"/>
                <w:color w:val="auto"/>
                <w:kern w:val="0"/>
              </w:rPr>
            </w:pPr>
            <w:r>
              <w:rPr>
                <w:rFonts w:hint="eastAsia" w:ascii="宋体" w:hAnsi="宋体"/>
                <w:color w:val="auto"/>
              </w:rPr>
              <w:t>ND</w:t>
            </w:r>
          </w:p>
        </w:tc>
        <w:tc>
          <w:tcPr>
            <w:tcW w:w="372" w:type="pct"/>
            <w:vAlign w:val="center"/>
          </w:tcPr>
          <w:p w14:paraId="538C78FC">
            <w:pPr>
              <w:jc w:val="center"/>
              <w:rPr>
                <w:rFonts w:ascii="宋体" w:hAnsi="宋体" w:cs="宋体"/>
                <w:color w:val="auto"/>
                <w:kern w:val="0"/>
              </w:rPr>
            </w:pPr>
            <w:r>
              <w:rPr>
                <w:rFonts w:hint="eastAsia" w:ascii="宋体" w:hAnsi="宋体"/>
                <w:color w:val="auto"/>
              </w:rPr>
              <w:t>ND</w:t>
            </w:r>
          </w:p>
        </w:tc>
        <w:tc>
          <w:tcPr>
            <w:tcW w:w="454" w:type="pct"/>
            <w:vAlign w:val="center"/>
          </w:tcPr>
          <w:p w14:paraId="26303CDF">
            <w:pPr>
              <w:jc w:val="center"/>
              <w:rPr>
                <w:rFonts w:ascii="宋体" w:hAnsi="宋体" w:cs="宋体"/>
                <w:color w:val="auto"/>
                <w:kern w:val="0"/>
              </w:rPr>
            </w:pPr>
            <w:r>
              <w:rPr>
                <w:rFonts w:hint="eastAsia" w:ascii="宋体" w:hAnsi="宋体"/>
                <w:color w:val="auto"/>
              </w:rPr>
              <w:t>ND</w:t>
            </w:r>
          </w:p>
        </w:tc>
        <w:tc>
          <w:tcPr>
            <w:tcW w:w="454" w:type="pct"/>
            <w:vAlign w:val="center"/>
          </w:tcPr>
          <w:p w14:paraId="78064F7D">
            <w:pPr>
              <w:jc w:val="center"/>
              <w:rPr>
                <w:rFonts w:ascii="宋体" w:hAnsi="宋体"/>
                <w:color w:val="auto"/>
              </w:rPr>
            </w:pPr>
            <w:r>
              <w:rPr>
                <w:rFonts w:ascii="宋体" w:hAnsi="宋体" w:cs="宋体"/>
                <w:color w:val="auto"/>
                <w:kern w:val="0"/>
              </w:rPr>
              <w:t>≤</w:t>
            </w:r>
            <w:r>
              <w:rPr>
                <w:rFonts w:hint="eastAsia" w:ascii="宋体" w:hAnsi="宋体"/>
                <w:color w:val="auto"/>
              </w:rPr>
              <w:t>1</w:t>
            </w:r>
            <w:r>
              <w:rPr>
                <w:rFonts w:ascii="宋体" w:hAnsi="宋体"/>
                <w:color w:val="auto"/>
              </w:rPr>
              <w:t>.0</w:t>
            </w:r>
          </w:p>
        </w:tc>
        <w:tc>
          <w:tcPr>
            <w:tcW w:w="231" w:type="pct"/>
            <w:vAlign w:val="center"/>
          </w:tcPr>
          <w:p w14:paraId="20CDF0E4">
            <w:pPr>
              <w:jc w:val="center"/>
              <w:rPr>
                <w:rFonts w:ascii="宋体" w:hAnsi="宋体"/>
                <w:color w:val="auto"/>
              </w:rPr>
            </w:pPr>
            <w:r>
              <w:rPr>
                <w:rFonts w:hint="eastAsia" w:ascii="宋体" w:hAnsi="宋体"/>
                <w:color w:val="auto"/>
              </w:rPr>
              <w:t>达标</w:t>
            </w:r>
          </w:p>
        </w:tc>
      </w:tr>
      <w:tr w14:paraId="71F01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00CC67FA">
            <w:pPr>
              <w:widowControl/>
              <w:adjustRightInd w:val="0"/>
              <w:snapToGrid w:val="0"/>
              <w:jc w:val="center"/>
              <w:rPr>
                <w:rFonts w:ascii="宋体" w:hAnsi="宋体"/>
                <w:bCs/>
                <w:color w:val="auto"/>
              </w:rPr>
            </w:pPr>
            <w:r>
              <w:rPr>
                <w:rFonts w:hint="eastAsia" w:ascii="宋体" w:hAnsi="宋体"/>
                <w:bCs/>
                <w:color w:val="auto"/>
              </w:rPr>
              <w:t>钡</w:t>
            </w:r>
            <w:r>
              <w:rPr>
                <w:rFonts w:ascii="宋体" w:hAnsi="宋体"/>
                <w:bCs/>
                <w:color w:val="auto"/>
              </w:rPr>
              <w:t>(mg/L)</w:t>
            </w:r>
          </w:p>
        </w:tc>
        <w:tc>
          <w:tcPr>
            <w:tcW w:w="357" w:type="pct"/>
            <w:vAlign w:val="center"/>
          </w:tcPr>
          <w:p w14:paraId="003F80C8">
            <w:pPr>
              <w:widowControl/>
              <w:jc w:val="center"/>
              <w:rPr>
                <w:rFonts w:ascii="宋体" w:hAnsi="宋体"/>
                <w:color w:val="auto"/>
              </w:rPr>
            </w:pPr>
            <w:r>
              <w:rPr>
                <w:rFonts w:ascii="宋体" w:hAnsi="宋体"/>
                <w:color w:val="auto"/>
              </w:rPr>
              <w:t>0.04</w:t>
            </w:r>
          </w:p>
        </w:tc>
        <w:tc>
          <w:tcPr>
            <w:tcW w:w="288" w:type="pct"/>
            <w:vAlign w:val="center"/>
          </w:tcPr>
          <w:p w14:paraId="4B2A25F8">
            <w:pPr>
              <w:widowControl/>
              <w:jc w:val="center"/>
              <w:rPr>
                <w:rFonts w:ascii="宋体" w:hAnsi="宋体"/>
                <w:color w:val="auto"/>
              </w:rPr>
            </w:pPr>
            <w:r>
              <w:rPr>
                <w:rFonts w:ascii="宋体" w:hAnsi="宋体"/>
                <w:color w:val="auto"/>
              </w:rPr>
              <w:t>0.04</w:t>
            </w:r>
          </w:p>
        </w:tc>
        <w:tc>
          <w:tcPr>
            <w:tcW w:w="237" w:type="pct"/>
            <w:vAlign w:val="center"/>
          </w:tcPr>
          <w:p w14:paraId="187159BC">
            <w:pPr>
              <w:widowControl/>
              <w:jc w:val="center"/>
              <w:rPr>
                <w:rFonts w:ascii="宋体" w:hAnsi="宋体"/>
                <w:color w:val="auto"/>
              </w:rPr>
            </w:pPr>
            <w:r>
              <w:rPr>
                <w:rFonts w:ascii="宋体" w:hAnsi="宋体"/>
                <w:color w:val="auto"/>
              </w:rPr>
              <w:t>0.0.4</w:t>
            </w:r>
          </w:p>
        </w:tc>
        <w:tc>
          <w:tcPr>
            <w:tcW w:w="321" w:type="pct"/>
            <w:vAlign w:val="center"/>
          </w:tcPr>
          <w:p w14:paraId="16889D01">
            <w:pPr>
              <w:widowControl/>
              <w:jc w:val="center"/>
              <w:rPr>
                <w:rFonts w:ascii="宋体" w:hAnsi="宋体"/>
                <w:color w:val="auto"/>
              </w:rPr>
            </w:pPr>
            <w:r>
              <w:rPr>
                <w:rFonts w:ascii="宋体" w:hAnsi="宋体"/>
                <w:color w:val="auto"/>
              </w:rPr>
              <w:t>0.04</w:t>
            </w:r>
          </w:p>
        </w:tc>
        <w:tc>
          <w:tcPr>
            <w:tcW w:w="255" w:type="pct"/>
            <w:vAlign w:val="center"/>
          </w:tcPr>
          <w:p w14:paraId="2E88EC2B">
            <w:pPr>
              <w:widowControl/>
              <w:jc w:val="center"/>
              <w:rPr>
                <w:rFonts w:ascii="宋体" w:hAnsi="宋体" w:cs="宋体"/>
                <w:color w:val="auto"/>
                <w:kern w:val="0"/>
              </w:rPr>
            </w:pPr>
            <w:r>
              <w:rPr>
                <w:rFonts w:ascii="宋体" w:hAnsi="宋体"/>
                <w:color w:val="auto"/>
              </w:rPr>
              <w:t>0.05</w:t>
            </w:r>
          </w:p>
        </w:tc>
        <w:tc>
          <w:tcPr>
            <w:tcW w:w="338" w:type="pct"/>
            <w:vAlign w:val="center"/>
          </w:tcPr>
          <w:p w14:paraId="4F3DB630">
            <w:pPr>
              <w:widowControl/>
              <w:jc w:val="center"/>
              <w:rPr>
                <w:rFonts w:ascii="宋体" w:hAnsi="宋体" w:cs="宋体"/>
                <w:color w:val="auto"/>
                <w:kern w:val="0"/>
              </w:rPr>
            </w:pPr>
            <w:r>
              <w:rPr>
                <w:rFonts w:ascii="宋体" w:hAnsi="宋体"/>
                <w:color w:val="auto"/>
              </w:rPr>
              <w:t>0.04</w:t>
            </w:r>
          </w:p>
        </w:tc>
        <w:tc>
          <w:tcPr>
            <w:tcW w:w="337" w:type="pct"/>
            <w:vAlign w:val="center"/>
          </w:tcPr>
          <w:p w14:paraId="7947B24F">
            <w:pPr>
              <w:widowControl/>
              <w:jc w:val="center"/>
              <w:rPr>
                <w:rFonts w:ascii="宋体" w:hAnsi="宋体" w:cs="宋体"/>
                <w:color w:val="auto"/>
                <w:kern w:val="0"/>
              </w:rPr>
            </w:pPr>
            <w:r>
              <w:rPr>
                <w:rFonts w:ascii="宋体" w:hAnsi="宋体"/>
                <w:color w:val="auto"/>
              </w:rPr>
              <w:t>0.03</w:t>
            </w:r>
          </w:p>
        </w:tc>
        <w:tc>
          <w:tcPr>
            <w:tcW w:w="339" w:type="pct"/>
            <w:vAlign w:val="center"/>
          </w:tcPr>
          <w:p w14:paraId="30B9BC4B">
            <w:pPr>
              <w:widowControl/>
              <w:jc w:val="center"/>
              <w:rPr>
                <w:rFonts w:ascii="宋体" w:hAnsi="宋体" w:cs="宋体"/>
                <w:color w:val="auto"/>
                <w:kern w:val="0"/>
              </w:rPr>
            </w:pPr>
            <w:r>
              <w:rPr>
                <w:rFonts w:ascii="宋体" w:hAnsi="宋体"/>
                <w:color w:val="auto"/>
              </w:rPr>
              <w:t>0.03</w:t>
            </w:r>
          </w:p>
        </w:tc>
        <w:tc>
          <w:tcPr>
            <w:tcW w:w="338" w:type="pct"/>
            <w:vAlign w:val="center"/>
          </w:tcPr>
          <w:p w14:paraId="4D186CD3">
            <w:pPr>
              <w:widowControl/>
              <w:jc w:val="center"/>
              <w:rPr>
                <w:rFonts w:ascii="宋体" w:hAnsi="宋体" w:cs="宋体"/>
                <w:color w:val="auto"/>
                <w:kern w:val="0"/>
              </w:rPr>
            </w:pPr>
            <w:r>
              <w:rPr>
                <w:rFonts w:hint="eastAsia" w:ascii="宋体" w:hAnsi="宋体"/>
                <w:color w:val="auto"/>
              </w:rPr>
              <w:t>0.03</w:t>
            </w:r>
          </w:p>
        </w:tc>
        <w:tc>
          <w:tcPr>
            <w:tcW w:w="338" w:type="pct"/>
            <w:vAlign w:val="center"/>
          </w:tcPr>
          <w:p w14:paraId="6D62DF90">
            <w:pPr>
              <w:widowControl/>
              <w:jc w:val="center"/>
              <w:rPr>
                <w:rFonts w:ascii="宋体" w:hAnsi="宋体" w:cs="宋体"/>
                <w:color w:val="auto"/>
                <w:kern w:val="0"/>
              </w:rPr>
            </w:pPr>
            <w:r>
              <w:rPr>
                <w:rFonts w:hint="eastAsia" w:ascii="宋体" w:hAnsi="宋体"/>
                <w:color w:val="auto"/>
              </w:rPr>
              <w:t>0.03</w:t>
            </w:r>
          </w:p>
        </w:tc>
        <w:tc>
          <w:tcPr>
            <w:tcW w:w="372" w:type="pct"/>
            <w:vAlign w:val="center"/>
          </w:tcPr>
          <w:p w14:paraId="1E928E53">
            <w:pPr>
              <w:widowControl/>
              <w:jc w:val="center"/>
              <w:rPr>
                <w:rFonts w:ascii="宋体" w:hAnsi="宋体" w:cs="宋体"/>
                <w:color w:val="auto"/>
                <w:kern w:val="0"/>
              </w:rPr>
            </w:pPr>
            <w:r>
              <w:rPr>
                <w:rFonts w:hint="eastAsia" w:ascii="宋体" w:hAnsi="宋体"/>
                <w:color w:val="auto"/>
              </w:rPr>
              <w:t>0.03</w:t>
            </w:r>
          </w:p>
        </w:tc>
        <w:tc>
          <w:tcPr>
            <w:tcW w:w="454" w:type="pct"/>
            <w:vAlign w:val="center"/>
          </w:tcPr>
          <w:p w14:paraId="14C92D9D">
            <w:pPr>
              <w:widowControl/>
              <w:jc w:val="center"/>
              <w:rPr>
                <w:rFonts w:ascii="宋体" w:hAnsi="宋体" w:cs="宋体"/>
                <w:color w:val="auto"/>
                <w:kern w:val="0"/>
              </w:rPr>
            </w:pPr>
            <w:r>
              <w:rPr>
                <w:rFonts w:hint="eastAsia" w:ascii="宋体" w:hAnsi="宋体"/>
                <w:color w:val="auto"/>
              </w:rPr>
              <w:t>0.03</w:t>
            </w:r>
          </w:p>
        </w:tc>
        <w:tc>
          <w:tcPr>
            <w:tcW w:w="454" w:type="pct"/>
            <w:vAlign w:val="center"/>
          </w:tcPr>
          <w:p w14:paraId="6173F55F">
            <w:pPr>
              <w:widowControl/>
              <w:jc w:val="center"/>
              <w:rPr>
                <w:rFonts w:ascii="宋体" w:hAnsi="宋体"/>
                <w:color w:val="auto"/>
              </w:rPr>
            </w:pPr>
            <w:r>
              <w:rPr>
                <w:rFonts w:ascii="宋体" w:hAnsi="宋体" w:cs="宋体"/>
                <w:color w:val="auto"/>
                <w:kern w:val="0"/>
              </w:rPr>
              <w:t>≤</w:t>
            </w:r>
            <w:r>
              <w:rPr>
                <w:rFonts w:hint="eastAsia" w:ascii="宋体" w:hAnsi="宋体"/>
                <w:color w:val="auto"/>
              </w:rPr>
              <w:t>0</w:t>
            </w:r>
            <w:r>
              <w:rPr>
                <w:rFonts w:ascii="宋体" w:hAnsi="宋体"/>
                <w:color w:val="auto"/>
              </w:rPr>
              <w:t>.5</w:t>
            </w:r>
          </w:p>
        </w:tc>
        <w:tc>
          <w:tcPr>
            <w:tcW w:w="231" w:type="pct"/>
            <w:vAlign w:val="center"/>
          </w:tcPr>
          <w:p w14:paraId="2CF47907">
            <w:pPr>
              <w:widowControl/>
              <w:jc w:val="center"/>
              <w:rPr>
                <w:rFonts w:ascii="宋体" w:hAnsi="宋体"/>
                <w:color w:val="auto"/>
              </w:rPr>
            </w:pPr>
            <w:r>
              <w:rPr>
                <w:rFonts w:hint="eastAsia" w:ascii="宋体" w:hAnsi="宋体"/>
                <w:color w:val="auto"/>
              </w:rPr>
              <w:t>达标</w:t>
            </w:r>
          </w:p>
        </w:tc>
      </w:tr>
      <w:tr w14:paraId="763FD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7DA6EAC5">
            <w:pPr>
              <w:widowControl/>
              <w:adjustRightInd w:val="0"/>
              <w:snapToGrid w:val="0"/>
              <w:jc w:val="center"/>
              <w:rPr>
                <w:rFonts w:ascii="宋体" w:hAnsi="宋体"/>
                <w:bCs/>
                <w:color w:val="auto"/>
              </w:rPr>
            </w:pPr>
            <w:r>
              <w:rPr>
                <w:rFonts w:ascii="宋体" w:hAnsi="宋体"/>
                <w:bCs/>
                <w:color w:val="auto"/>
              </w:rPr>
              <w:t>溶解性总固体(mg/L)</w:t>
            </w:r>
          </w:p>
        </w:tc>
        <w:tc>
          <w:tcPr>
            <w:tcW w:w="357" w:type="pct"/>
            <w:vAlign w:val="center"/>
          </w:tcPr>
          <w:p w14:paraId="26920CA4">
            <w:pPr>
              <w:widowControl/>
              <w:jc w:val="center"/>
              <w:rPr>
                <w:rFonts w:ascii="宋体" w:hAnsi="宋体"/>
                <w:color w:val="auto"/>
                <w:kern w:val="0"/>
              </w:rPr>
            </w:pPr>
            <w:r>
              <w:rPr>
                <w:rFonts w:hint="eastAsia" w:ascii="宋体" w:hAnsi="宋体"/>
                <w:color w:val="auto"/>
              </w:rPr>
              <w:t>2.</w:t>
            </w:r>
            <w:r>
              <w:rPr>
                <w:rFonts w:ascii="宋体" w:hAnsi="宋体"/>
                <w:color w:val="auto"/>
              </w:rPr>
              <w:t>86</w:t>
            </w:r>
            <w:r>
              <w:rPr>
                <w:rFonts w:hint="eastAsia" w:ascii="宋体" w:hAnsi="宋体"/>
                <w:color w:val="auto"/>
                <w:kern w:val="0"/>
              </w:rPr>
              <w:t>×</w:t>
            </w:r>
            <w:r>
              <w:rPr>
                <w:rFonts w:ascii="宋体" w:hAnsi="宋体"/>
                <w:color w:val="auto"/>
                <w:kern w:val="0"/>
              </w:rPr>
              <w:t>10</w:t>
            </w:r>
            <w:r>
              <w:rPr>
                <w:rFonts w:ascii="宋体" w:hAnsi="宋体"/>
                <w:color w:val="auto"/>
                <w:kern w:val="0"/>
                <w:vertAlign w:val="superscript"/>
              </w:rPr>
              <w:t>3</w:t>
            </w:r>
          </w:p>
        </w:tc>
        <w:tc>
          <w:tcPr>
            <w:tcW w:w="288" w:type="pct"/>
            <w:vAlign w:val="center"/>
          </w:tcPr>
          <w:p w14:paraId="73E9A7E5">
            <w:pPr>
              <w:jc w:val="center"/>
              <w:rPr>
                <w:rFonts w:ascii="宋体" w:hAnsi="宋体"/>
                <w:color w:val="auto"/>
              </w:rPr>
            </w:pPr>
            <w:r>
              <w:rPr>
                <w:rFonts w:ascii="宋体" w:hAnsi="宋体"/>
                <w:color w:val="auto"/>
              </w:rPr>
              <w:t>2</w:t>
            </w:r>
            <w:r>
              <w:rPr>
                <w:rFonts w:hint="eastAsia" w:ascii="宋体" w:hAnsi="宋体"/>
                <w:color w:val="auto"/>
              </w:rPr>
              <w:t>.</w:t>
            </w:r>
            <w:r>
              <w:rPr>
                <w:rFonts w:ascii="宋体" w:hAnsi="宋体"/>
                <w:color w:val="auto"/>
              </w:rPr>
              <w:t>84</w:t>
            </w:r>
            <w:r>
              <w:rPr>
                <w:rFonts w:hint="eastAsia" w:ascii="宋体" w:hAnsi="宋体"/>
                <w:color w:val="auto"/>
                <w:kern w:val="0"/>
              </w:rPr>
              <w:t>×</w:t>
            </w:r>
            <w:r>
              <w:rPr>
                <w:rFonts w:ascii="宋体" w:hAnsi="宋体"/>
                <w:color w:val="auto"/>
                <w:kern w:val="0"/>
              </w:rPr>
              <w:t>10</w:t>
            </w:r>
            <w:r>
              <w:rPr>
                <w:rFonts w:ascii="宋体" w:hAnsi="宋体"/>
                <w:color w:val="auto"/>
                <w:kern w:val="0"/>
                <w:vertAlign w:val="superscript"/>
              </w:rPr>
              <w:t>3</w:t>
            </w:r>
          </w:p>
        </w:tc>
        <w:tc>
          <w:tcPr>
            <w:tcW w:w="237" w:type="pct"/>
            <w:vAlign w:val="center"/>
          </w:tcPr>
          <w:p w14:paraId="5FA5E46D">
            <w:pPr>
              <w:jc w:val="center"/>
              <w:rPr>
                <w:rFonts w:ascii="宋体" w:hAnsi="宋体" w:cs="宋体"/>
                <w:color w:val="auto"/>
              </w:rPr>
            </w:pPr>
            <w:r>
              <w:rPr>
                <w:rFonts w:hint="eastAsia" w:ascii="宋体" w:hAnsi="宋体"/>
                <w:color w:val="auto"/>
              </w:rPr>
              <w:t>2.</w:t>
            </w:r>
            <w:r>
              <w:rPr>
                <w:rFonts w:ascii="宋体" w:hAnsi="宋体"/>
                <w:color w:val="auto"/>
              </w:rPr>
              <w:t>87</w:t>
            </w:r>
            <w:r>
              <w:rPr>
                <w:rFonts w:hint="eastAsia" w:ascii="宋体" w:hAnsi="宋体"/>
                <w:color w:val="auto"/>
                <w:kern w:val="0"/>
              </w:rPr>
              <w:t>×</w:t>
            </w:r>
            <w:r>
              <w:rPr>
                <w:rFonts w:ascii="宋体" w:hAnsi="宋体"/>
                <w:color w:val="auto"/>
                <w:kern w:val="0"/>
              </w:rPr>
              <w:t>10</w:t>
            </w:r>
            <w:r>
              <w:rPr>
                <w:rFonts w:ascii="宋体" w:hAnsi="宋体"/>
                <w:color w:val="auto"/>
                <w:kern w:val="0"/>
                <w:vertAlign w:val="superscript"/>
              </w:rPr>
              <w:t>3</w:t>
            </w:r>
          </w:p>
        </w:tc>
        <w:tc>
          <w:tcPr>
            <w:tcW w:w="321" w:type="pct"/>
            <w:vAlign w:val="center"/>
          </w:tcPr>
          <w:p w14:paraId="72FE71CB">
            <w:pPr>
              <w:jc w:val="center"/>
              <w:rPr>
                <w:rFonts w:ascii="宋体" w:hAnsi="宋体"/>
                <w:color w:val="auto"/>
              </w:rPr>
            </w:pPr>
            <w:r>
              <w:rPr>
                <w:rFonts w:ascii="宋体" w:hAnsi="宋体"/>
                <w:color w:val="auto"/>
              </w:rPr>
              <w:t>2.85</w:t>
            </w:r>
            <w:r>
              <w:rPr>
                <w:rFonts w:hint="eastAsia" w:ascii="宋体" w:hAnsi="宋体"/>
                <w:color w:val="auto"/>
                <w:kern w:val="0"/>
              </w:rPr>
              <w:t>×</w:t>
            </w:r>
            <w:r>
              <w:rPr>
                <w:rFonts w:ascii="宋体" w:hAnsi="宋体"/>
                <w:color w:val="auto"/>
                <w:kern w:val="0"/>
              </w:rPr>
              <w:t>10</w:t>
            </w:r>
            <w:r>
              <w:rPr>
                <w:rFonts w:ascii="宋体" w:hAnsi="宋体"/>
                <w:color w:val="auto"/>
                <w:kern w:val="0"/>
                <w:vertAlign w:val="superscript"/>
              </w:rPr>
              <w:t>3</w:t>
            </w:r>
          </w:p>
        </w:tc>
        <w:tc>
          <w:tcPr>
            <w:tcW w:w="255" w:type="pct"/>
            <w:vAlign w:val="center"/>
          </w:tcPr>
          <w:p w14:paraId="5F8AA6D9">
            <w:pPr>
              <w:widowControl/>
              <w:jc w:val="center"/>
              <w:rPr>
                <w:rFonts w:ascii="宋体" w:hAnsi="宋体" w:cs="宋体"/>
                <w:color w:val="auto"/>
                <w:kern w:val="0"/>
              </w:rPr>
            </w:pPr>
            <w:r>
              <w:rPr>
                <w:rFonts w:hint="eastAsia" w:ascii="宋体" w:hAnsi="宋体"/>
                <w:color w:val="auto"/>
              </w:rPr>
              <w:t>2.74×10</w:t>
            </w:r>
            <w:r>
              <w:rPr>
                <w:rFonts w:hint="eastAsia" w:ascii="宋体" w:hAnsi="宋体"/>
                <w:color w:val="auto"/>
                <w:vertAlign w:val="superscript"/>
              </w:rPr>
              <w:t>3</w:t>
            </w:r>
          </w:p>
        </w:tc>
        <w:tc>
          <w:tcPr>
            <w:tcW w:w="338" w:type="pct"/>
            <w:vAlign w:val="center"/>
          </w:tcPr>
          <w:p w14:paraId="73C53A4F">
            <w:pPr>
              <w:widowControl/>
              <w:jc w:val="center"/>
              <w:rPr>
                <w:rFonts w:ascii="宋体" w:hAnsi="宋体" w:cs="宋体"/>
                <w:color w:val="auto"/>
                <w:kern w:val="0"/>
              </w:rPr>
            </w:pPr>
            <w:r>
              <w:rPr>
                <w:rFonts w:hint="eastAsia" w:ascii="宋体" w:hAnsi="宋体"/>
                <w:color w:val="auto"/>
              </w:rPr>
              <w:t>2.71×10</w:t>
            </w:r>
            <w:r>
              <w:rPr>
                <w:rFonts w:hint="eastAsia" w:ascii="宋体" w:hAnsi="宋体"/>
                <w:color w:val="auto"/>
                <w:vertAlign w:val="superscript"/>
              </w:rPr>
              <w:t>3</w:t>
            </w:r>
          </w:p>
        </w:tc>
        <w:tc>
          <w:tcPr>
            <w:tcW w:w="337" w:type="pct"/>
            <w:vAlign w:val="center"/>
          </w:tcPr>
          <w:p w14:paraId="5642745E">
            <w:pPr>
              <w:widowControl/>
              <w:jc w:val="center"/>
              <w:rPr>
                <w:rFonts w:ascii="宋体" w:hAnsi="宋体" w:cs="宋体"/>
                <w:color w:val="auto"/>
                <w:kern w:val="0"/>
              </w:rPr>
            </w:pPr>
            <w:r>
              <w:rPr>
                <w:rFonts w:hint="eastAsia" w:ascii="宋体" w:hAnsi="宋体"/>
                <w:color w:val="auto"/>
              </w:rPr>
              <w:t>2.73×10</w:t>
            </w:r>
            <w:r>
              <w:rPr>
                <w:rFonts w:hint="eastAsia" w:ascii="宋体" w:hAnsi="宋体"/>
                <w:color w:val="auto"/>
                <w:vertAlign w:val="superscript"/>
              </w:rPr>
              <w:t>3</w:t>
            </w:r>
          </w:p>
        </w:tc>
        <w:tc>
          <w:tcPr>
            <w:tcW w:w="339" w:type="pct"/>
            <w:vAlign w:val="center"/>
          </w:tcPr>
          <w:p w14:paraId="3F1BB71F">
            <w:pPr>
              <w:widowControl/>
              <w:jc w:val="center"/>
              <w:rPr>
                <w:rFonts w:ascii="宋体" w:hAnsi="宋体" w:cs="宋体"/>
                <w:color w:val="auto"/>
                <w:kern w:val="0"/>
              </w:rPr>
            </w:pPr>
            <w:r>
              <w:rPr>
                <w:rFonts w:hint="eastAsia" w:ascii="宋体" w:hAnsi="宋体"/>
                <w:color w:val="auto"/>
              </w:rPr>
              <w:t>2.72×10</w:t>
            </w:r>
            <w:r>
              <w:rPr>
                <w:rFonts w:hint="eastAsia" w:ascii="宋体" w:hAnsi="宋体"/>
                <w:color w:val="auto"/>
                <w:vertAlign w:val="superscript"/>
              </w:rPr>
              <w:t>3</w:t>
            </w:r>
          </w:p>
        </w:tc>
        <w:tc>
          <w:tcPr>
            <w:tcW w:w="338" w:type="pct"/>
            <w:vAlign w:val="center"/>
          </w:tcPr>
          <w:p w14:paraId="2B223A09">
            <w:pPr>
              <w:widowControl/>
              <w:jc w:val="center"/>
              <w:rPr>
                <w:rFonts w:ascii="宋体" w:hAnsi="宋体" w:cs="宋体"/>
                <w:color w:val="auto"/>
                <w:kern w:val="0"/>
              </w:rPr>
            </w:pPr>
            <w:r>
              <w:rPr>
                <w:rFonts w:ascii="宋体" w:hAnsi="宋体"/>
                <w:color w:val="auto"/>
              </w:rPr>
              <w:t>3.32</w:t>
            </w:r>
            <w:r>
              <w:rPr>
                <w:rFonts w:hint="eastAsia" w:ascii="宋体" w:hAnsi="宋体"/>
                <w:color w:val="auto"/>
              </w:rPr>
              <w:t>×10</w:t>
            </w:r>
            <w:r>
              <w:rPr>
                <w:rFonts w:hint="eastAsia" w:ascii="宋体" w:hAnsi="宋体"/>
                <w:color w:val="auto"/>
                <w:vertAlign w:val="superscript"/>
              </w:rPr>
              <w:t>3</w:t>
            </w:r>
          </w:p>
        </w:tc>
        <w:tc>
          <w:tcPr>
            <w:tcW w:w="338" w:type="pct"/>
            <w:vAlign w:val="center"/>
          </w:tcPr>
          <w:p w14:paraId="2D84A75C">
            <w:pPr>
              <w:widowControl/>
              <w:jc w:val="center"/>
              <w:rPr>
                <w:rFonts w:ascii="宋体" w:hAnsi="宋体" w:cs="宋体"/>
                <w:color w:val="auto"/>
                <w:kern w:val="0"/>
              </w:rPr>
            </w:pPr>
            <w:r>
              <w:rPr>
                <w:rFonts w:ascii="宋体" w:hAnsi="宋体"/>
                <w:color w:val="auto"/>
              </w:rPr>
              <w:t>3.32</w:t>
            </w:r>
          </w:p>
        </w:tc>
        <w:tc>
          <w:tcPr>
            <w:tcW w:w="372" w:type="pct"/>
            <w:vAlign w:val="center"/>
          </w:tcPr>
          <w:p w14:paraId="6FAF8045">
            <w:pPr>
              <w:widowControl/>
              <w:jc w:val="center"/>
              <w:rPr>
                <w:rFonts w:ascii="宋体" w:hAnsi="宋体" w:cs="宋体"/>
                <w:color w:val="auto"/>
                <w:kern w:val="0"/>
              </w:rPr>
            </w:pPr>
            <w:r>
              <w:rPr>
                <w:rFonts w:ascii="宋体" w:hAnsi="宋体"/>
                <w:color w:val="auto"/>
              </w:rPr>
              <w:t>3.33</w:t>
            </w:r>
            <w:r>
              <w:rPr>
                <w:rFonts w:hint="eastAsia" w:ascii="宋体" w:hAnsi="宋体"/>
                <w:color w:val="auto"/>
              </w:rPr>
              <w:t>×10</w:t>
            </w:r>
            <w:r>
              <w:rPr>
                <w:rFonts w:hint="eastAsia" w:ascii="宋体" w:hAnsi="宋体"/>
                <w:color w:val="auto"/>
                <w:vertAlign w:val="superscript"/>
              </w:rPr>
              <w:t>3</w:t>
            </w:r>
          </w:p>
        </w:tc>
        <w:tc>
          <w:tcPr>
            <w:tcW w:w="454" w:type="pct"/>
            <w:vAlign w:val="center"/>
          </w:tcPr>
          <w:p w14:paraId="3D6BCF2A">
            <w:pPr>
              <w:widowControl/>
              <w:jc w:val="center"/>
              <w:rPr>
                <w:rFonts w:ascii="宋体" w:hAnsi="宋体" w:cs="宋体"/>
                <w:color w:val="auto"/>
                <w:kern w:val="0"/>
              </w:rPr>
            </w:pPr>
            <w:r>
              <w:rPr>
                <w:rFonts w:ascii="宋体" w:hAnsi="宋体"/>
                <w:color w:val="auto"/>
              </w:rPr>
              <w:t>3.31</w:t>
            </w:r>
            <w:r>
              <w:rPr>
                <w:rFonts w:hint="eastAsia" w:ascii="宋体" w:hAnsi="宋体"/>
                <w:color w:val="auto"/>
              </w:rPr>
              <w:t>×10</w:t>
            </w:r>
            <w:r>
              <w:rPr>
                <w:rFonts w:hint="eastAsia" w:ascii="宋体" w:hAnsi="宋体"/>
                <w:color w:val="auto"/>
                <w:vertAlign w:val="superscript"/>
              </w:rPr>
              <w:t>3</w:t>
            </w:r>
          </w:p>
        </w:tc>
        <w:tc>
          <w:tcPr>
            <w:tcW w:w="454" w:type="pct"/>
            <w:vAlign w:val="center"/>
          </w:tcPr>
          <w:p w14:paraId="23E8FCF2">
            <w:pPr>
              <w:widowControl/>
              <w:jc w:val="center"/>
              <w:rPr>
                <w:rFonts w:ascii="宋体" w:hAnsi="宋体"/>
                <w:color w:val="auto"/>
              </w:rPr>
            </w:pPr>
            <w:r>
              <w:rPr>
                <w:rFonts w:ascii="宋体" w:hAnsi="宋体" w:cs="宋体"/>
                <w:color w:val="auto"/>
                <w:kern w:val="0"/>
              </w:rPr>
              <w:t>≤</w:t>
            </w:r>
            <w:r>
              <w:rPr>
                <w:rFonts w:hint="eastAsia" w:ascii="宋体" w:hAnsi="宋体"/>
                <w:color w:val="auto"/>
              </w:rPr>
              <w:t>1000</w:t>
            </w:r>
          </w:p>
        </w:tc>
        <w:tc>
          <w:tcPr>
            <w:tcW w:w="231" w:type="pct"/>
            <w:vAlign w:val="center"/>
          </w:tcPr>
          <w:p w14:paraId="6EAAC9EF">
            <w:pPr>
              <w:jc w:val="center"/>
              <w:rPr>
                <w:rFonts w:ascii="宋体" w:hAnsi="宋体"/>
                <w:color w:val="auto"/>
              </w:rPr>
            </w:pPr>
            <w:r>
              <w:rPr>
                <w:rFonts w:hint="eastAsia" w:ascii="宋体" w:hAnsi="宋体"/>
                <w:color w:val="auto"/>
              </w:rPr>
              <w:t>不达标</w:t>
            </w:r>
          </w:p>
        </w:tc>
      </w:tr>
      <w:tr w14:paraId="1F23E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5D6E4D9A">
            <w:pPr>
              <w:widowControl/>
              <w:adjustRightInd w:val="0"/>
              <w:snapToGrid w:val="0"/>
              <w:jc w:val="center"/>
              <w:rPr>
                <w:rFonts w:ascii="宋体" w:hAnsi="宋体"/>
                <w:bCs/>
                <w:color w:val="auto"/>
              </w:rPr>
            </w:pPr>
            <w:r>
              <w:rPr>
                <w:rFonts w:ascii="宋体" w:hAnsi="宋体"/>
                <w:bCs/>
                <w:color w:val="auto"/>
              </w:rPr>
              <w:t>耗氧量(mg/L)</w:t>
            </w:r>
          </w:p>
        </w:tc>
        <w:tc>
          <w:tcPr>
            <w:tcW w:w="357" w:type="pct"/>
            <w:shd w:val="clear" w:color="000000" w:fill="FFFFFF"/>
            <w:vAlign w:val="center"/>
          </w:tcPr>
          <w:p w14:paraId="1ED82173">
            <w:pPr>
              <w:widowControl/>
              <w:jc w:val="center"/>
              <w:rPr>
                <w:rFonts w:ascii="宋体" w:hAnsi="宋体"/>
                <w:color w:val="auto"/>
              </w:rPr>
            </w:pPr>
            <w:r>
              <w:rPr>
                <w:rFonts w:ascii="宋体" w:hAnsi="宋体"/>
                <w:color w:val="auto"/>
              </w:rPr>
              <w:t>2.16</w:t>
            </w:r>
          </w:p>
        </w:tc>
        <w:tc>
          <w:tcPr>
            <w:tcW w:w="288" w:type="pct"/>
            <w:shd w:val="clear" w:color="000000" w:fill="FFFFFF"/>
            <w:vAlign w:val="center"/>
          </w:tcPr>
          <w:p w14:paraId="653B5548">
            <w:pPr>
              <w:jc w:val="center"/>
              <w:rPr>
                <w:rFonts w:ascii="宋体" w:hAnsi="宋体"/>
                <w:color w:val="auto"/>
              </w:rPr>
            </w:pPr>
            <w:r>
              <w:rPr>
                <w:rFonts w:ascii="宋体" w:hAnsi="宋体"/>
                <w:color w:val="auto"/>
              </w:rPr>
              <w:t>2.27</w:t>
            </w:r>
          </w:p>
        </w:tc>
        <w:tc>
          <w:tcPr>
            <w:tcW w:w="237" w:type="pct"/>
            <w:shd w:val="clear" w:color="000000" w:fill="FFFFFF"/>
            <w:vAlign w:val="center"/>
          </w:tcPr>
          <w:p w14:paraId="7FF50E7C">
            <w:pPr>
              <w:jc w:val="center"/>
              <w:rPr>
                <w:rFonts w:ascii="宋体" w:hAnsi="宋体"/>
                <w:color w:val="auto"/>
              </w:rPr>
            </w:pPr>
            <w:r>
              <w:rPr>
                <w:rFonts w:ascii="宋体" w:hAnsi="宋体"/>
                <w:color w:val="auto"/>
              </w:rPr>
              <w:t>2.18</w:t>
            </w:r>
          </w:p>
        </w:tc>
        <w:tc>
          <w:tcPr>
            <w:tcW w:w="321" w:type="pct"/>
            <w:shd w:val="clear" w:color="000000" w:fill="FFFFFF"/>
            <w:vAlign w:val="center"/>
          </w:tcPr>
          <w:p w14:paraId="3B04F5E9">
            <w:pPr>
              <w:jc w:val="center"/>
              <w:rPr>
                <w:rFonts w:ascii="宋体" w:hAnsi="宋体"/>
                <w:color w:val="auto"/>
              </w:rPr>
            </w:pPr>
            <w:r>
              <w:rPr>
                <w:rFonts w:ascii="宋体" w:hAnsi="宋体"/>
                <w:color w:val="auto"/>
              </w:rPr>
              <w:t>2.26</w:t>
            </w:r>
          </w:p>
        </w:tc>
        <w:tc>
          <w:tcPr>
            <w:tcW w:w="255" w:type="pct"/>
            <w:shd w:val="clear" w:color="000000" w:fill="FFFFFF"/>
            <w:vAlign w:val="center"/>
          </w:tcPr>
          <w:p w14:paraId="53B11E42">
            <w:pPr>
              <w:jc w:val="center"/>
              <w:rPr>
                <w:rFonts w:ascii="宋体" w:hAnsi="宋体" w:cs="宋体"/>
                <w:color w:val="auto"/>
                <w:kern w:val="0"/>
              </w:rPr>
            </w:pPr>
            <w:r>
              <w:rPr>
                <w:rFonts w:hint="eastAsia" w:ascii="宋体" w:hAnsi="宋体"/>
                <w:color w:val="auto"/>
              </w:rPr>
              <w:t>2.91</w:t>
            </w:r>
          </w:p>
        </w:tc>
        <w:tc>
          <w:tcPr>
            <w:tcW w:w="338" w:type="pct"/>
            <w:shd w:val="clear" w:color="000000" w:fill="FFFFFF"/>
            <w:vAlign w:val="center"/>
          </w:tcPr>
          <w:p w14:paraId="2C734CCB">
            <w:pPr>
              <w:jc w:val="center"/>
              <w:rPr>
                <w:rFonts w:ascii="宋体" w:hAnsi="宋体" w:cs="宋体"/>
                <w:color w:val="auto"/>
                <w:kern w:val="0"/>
              </w:rPr>
            </w:pPr>
            <w:r>
              <w:rPr>
                <w:rFonts w:hint="eastAsia" w:ascii="宋体" w:hAnsi="宋体"/>
                <w:color w:val="auto"/>
              </w:rPr>
              <w:t>2.81</w:t>
            </w:r>
          </w:p>
        </w:tc>
        <w:tc>
          <w:tcPr>
            <w:tcW w:w="337" w:type="pct"/>
            <w:shd w:val="clear" w:color="000000" w:fill="FFFFFF"/>
            <w:vAlign w:val="center"/>
          </w:tcPr>
          <w:p w14:paraId="69B8DAB6">
            <w:pPr>
              <w:jc w:val="center"/>
              <w:rPr>
                <w:rFonts w:ascii="宋体" w:hAnsi="宋体" w:cs="宋体"/>
                <w:color w:val="auto"/>
                <w:kern w:val="0"/>
              </w:rPr>
            </w:pPr>
            <w:r>
              <w:rPr>
                <w:rFonts w:hint="eastAsia" w:ascii="宋体" w:hAnsi="宋体"/>
                <w:color w:val="auto"/>
              </w:rPr>
              <w:t>2.86</w:t>
            </w:r>
          </w:p>
        </w:tc>
        <w:tc>
          <w:tcPr>
            <w:tcW w:w="339" w:type="pct"/>
            <w:shd w:val="clear" w:color="000000" w:fill="FFFFFF"/>
            <w:vAlign w:val="center"/>
          </w:tcPr>
          <w:p w14:paraId="383DD151">
            <w:pPr>
              <w:jc w:val="center"/>
              <w:rPr>
                <w:rFonts w:ascii="宋体" w:hAnsi="宋体" w:cs="宋体"/>
                <w:color w:val="auto"/>
                <w:kern w:val="0"/>
              </w:rPr>
            </w:pPr>
            <w:r>
              <w:rPr>
                <w:rFonts w:hint="eastAsia" w:ascii="宋体" w:hAnsi="宋体"/>
                <w:color w:val="auto"/>
              </w:rPr>
              <w:t>2.92</w:t>
            </w:r>
          </w:p>
        </w:tc>
        <w:tc>
          <w:tcPr>
            <w:tcW w:w="338" w:type="pct"/>
            <w:shd w:val="clear" w:color="000000" w:fill="FFFFFF"/>
            <w:vAlign w:val="center"/>
          </w:tcPr>
          <w:p w14:paraId="37A49BCD">
            <w:pPr>
              <w:jc w:val="center"/>
              <w:rPr>
                <w:rFonts w:ascii="宋体" w:hAnsi="宋体" w:cs="宋体"/>
                <w:color w:val="auto"/>
                <w:kern w:val="0"/>
              </w:rPr>
            </w:pPr>
            <w:r>
              <w:rPr>
                <w:rFonts w:ascii="宋体" w:hAnsi="宋体"/>
                <w:color w:val="auto"/>
              </w:rPr>
              <w:t>2.27</w:t>
            </w:r>
          </w:p>
        </w:tc>
        <w:tc>
          <w:tcPr>
            <w:tcW w:w="338" w:type="pct"/>
            <w:shd w:val="clear" w:color="000000" w:fill="FFFFFF"/>
            <w:vAlign w:val="center"/>
          </w:tcPr>
          <w:p w14:paraId="37613B8F">
            <w:pPr>
              <w:jc w:val="center"/>
              <w:rPr>
                <w:rFonts w:ascii="宋体" w:hAnsi="宋体" w:cs="宋体"/>
                <w:color w:val="auto"/>
                <w:kern w:val="0"/>
              </w:rPr>
            </w:pPr>
            <w:r>
              <w:rPr>
                <w:rFonts w:ascii="宋体" w:hAnsi="宋体"/>
                <w:color w:val="auto"/>
              </w:rPr>
              <w:t>2.35</w:t>
            </w:r>
          </w:p>
        </w:tc>
        <w:tc>
          <w:tcPr>
            <w:tcW w:w="372" w:type="pct"/>
            <w:shd w:val="clear" w:color="000000" w:fill="FFFFFF"/>
            <w:vAlign w:val="center"/>
          </w:tcPr>
          <w:p w14:paraId="4744ACDC">
            <w:pPr>
              <w:jc w:val="center"/>
              <w:rPr>
                <w:rFonts w:ascii="宋体" w:hAnsi="宋体" w:cs="宋体"/>
                <w:color w:val="auto"/>
                <w:kern w:val="0"/>
              </w:rPr>
            </w:pPr>
            <w:r>
              <w:rPr>
                <w:rFonts w:ascii="宋体" w:hAnsi="宋体"/>
                <w:color w:val="auto"/>
              </w:rPr>
              <w:t>2.33</w:t>
            </w:r>
          </w:p>
        </w:tc>
        <w:tc>
          <w:tcPr>
            <w:tcW w:w="454" w:type="pct"/>
            <w:shd w:val="clear" w:color="000000" w:fill="FFFFFF"/>
            <w:vAlign w:val="center"/>
          </w:tcPr>
          <w:p w14:paraId="3CFA1F7C">
            <w:pPr>
              <w:jc w:val="center"/>
              <w:rPr>
                <w:rFonts w:ascii="宋体" w:hAnsi="宋体" w:cs="宋体"/>
                <w:color w:val="auto"/>
                <w:kern w:val="0"/>
              </w:rPr>
            </w:pPr>
            <w:r>
              <w:rPr>
                <w:rFonts w:ascii="宋体" w:hAnsi="宋体"/>
                <w:color w:val="auto"/>
              </w:rPr>
              <w:t>2.21</w:t>
            </w:r>
          </w:p>
        </w:tc>
        <w:tc>
          <w:tcPr>
            <w:tcW w:w="454" w:type="pct"/>
            <w:shd w:val="clear" w:color="000000" w:fill="FFFFFF"/>
            <w:vAlign w:val="center"/>
          </w:tcPr>
          <w:p w14:paraId="247A27D7">
            <w:pPr>
              <w:jc w:val="center"/>
              <w:rPr>
                <w:rFonts w:ascii="宋体" w:hAnsi="宋体"/>
                <w:color w:val="auto"/>
              </w:rPr>
            </w:pPr>
            <w:r>
              <w:rPr>
                <w:rFonts w:ascii="宋体" w:hAnsi="宋体" w:cs="宋体"/>
                <w:color w:val="auto"/>
                <w:kern w:val="0"/>
              </w:rPr>
              <w:t>≤</w:t>
            </w:r>
            <w:r>
              <w:rPr>
                <w:rFonts w:ascii="宋体" w:hAnsi="宋体"/>
                <w:color w:val="auto"/>
              </w:rPr>
              <w:t>3</w:t>
            </w:r>
          </w:p>
        </w:tc>
        <w:tc>
          <w:tcPr>
            <w:tcW w:w="231" w:type="pct"/>
            <w:shd w:val="clear" w:color="000000" w:fill="FFFFFF"/>
            <w:vAlign w:val="center"/>
          </w:tcPr>
          <w:p w14:paraId="72D2CEAC">
            <w:pPr>
              <w:jc w:val="center"/>
              <w:rPr>
                <w:rFonts w:ascii="宋体" w:hAnsi="宋体"/>
                <w:color w:val="auto"/>
              </w:rPr>
            </w:pPr>
            <w:r>
              <w:rPr>
                <w:rFonts w:hint="eastAsia" w:ascii="宋体" w:hAnsi="宋体"/>
                <w:color w:val="auto"/>
              </w:rPr>
              <w:t>达标</w:t>
            </w:r>
          </w:p>
        </w:tc>
      </w:tr>
      <w:tr w14:paraId="060D0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65526EE9">
            <w:pPr>
              <w:widowControl/>
              <w:adjustRightInd w:val="0"/>
              <w:snapToGrid w:val="0"/>
              <w:jc w:val="center"/>
              <w:rPr>
                <w:rFonts w:ascii="宋体" w:hAnsi="宋体"/>
                <w:bCs/>
                <w:color w:val="auto"/>
              </w:rPr>
            </w:pPr>
            <w:r>
              <w:rPr>
                <w:rFonts w:ascii="宋体" w:hAnsi="宋体"/>
                <w:bCs/>
                <w:color w:val="auto"/>
              </w:rPr>
              <w:t>硫化物(mg/L)</w:t>
            </w:r>
          </w:p>
        </w:tc>
        <w:tc>
          <w:tcPr>
            <w:tcW w:w="357" w:type="pct"/>
            <w:vAlign w:val="center"/>
          </w:tcPr>
          <w:p w14:paraId="0B5ED2DF">
            <w:pPr>
              <w:widowControl/>
              <w:jc w:val="center"/>
              <w:rPr>
                <w:rFonts w:ascii="宋体" w:hAnsi="宋体"/>
                <w:color w:val="auto"/>
              </w:rPr>
            </w:pPr>
            <w:r>
              <w:rPr>
                <w:rFonts w:hint="eastAsia" w:ascii="宋体" w:hAnsi="宋体"/>
                <w:color w:val="auto"/>
              </w:rPr>
              <w:t>ND</w:t>
            </w:r>
          </w:p>
        </w:tc>
        <w:tc>
          <w:tcPr>
            <w:tcW w:w="288" w:type="pct"/>
            <w:vAlign w:val="center"/>
          </w:tcPr>
          <w:p w14:paraId="21E765F2">
            <w:pPr>
              <w:widowControl/>
              <w:jc w:val="center"/>
              <w:rPr>
                <w:rFonts w:ascii="宋体" w:hAnsi="宋体"/>
                <w:color w:val="auto"/>
              </w:rPr>
            </w:pPr>
            <w:r>
              <w:rPr>
                <w:rFonts w:hint="eastAsia" w:ascii="宋体" w:hAnsi="宋体"/>
                <w:color w:val="auto"/>
              </w:rPr>
              <w:t>ND</w:t>
            </w:r>
          </w:p>
        </w:tc>
        <w:tc>
          <w:tcPr>
            <w:tcW w:w="237" w:type="pct"/>
            <w:vAlign w:val="center"/>
          </w:tcPr>
          <w:p w14:paraId="576BA576">
            <w:pPr>
              <w:widowControl/>
              <w:jc w:val="center"/>
              <w:rPr>
                <w:rFonts w:ascii="宋体" w:hAnsi="宋体"/>
                <w:color w:val="auto"/>
              </w:rPr>
            </w:pPr>
            <w:r>
              <w:rPr>
                <w:rFonts w:hint="eastAsia" w:ascii="宋体" w:hAnsi="宋体"/>
                <w:color w:val="auto"/>
              </w:rPr>
              <w:t>ND</w:t>
            </w:r>
          </w:p>
        </w:tc>
        <w:tc>
          <w:tcPr>
            <w:tcW w:w="321" w:type="pct"/>
            <w:vAlign w:val="center"/>
          </w:tcPr>
          <w:p w14:paraId="7D095DB7">
            <w:pPr>
              <w:widowControl/>
              <w:jc w:val="center"/>
              <w:rPr>
                <w:rFonts w:ascii="宋体" w:hAnsi="宋体"/>
                <w:color w:val="auto"/>
              </w:rPr>
            </w:pPr>
            <w:r>
              <w:rPr>
                <w:rFonts w:hint="eastAsia" w:ascii="宋体" w:hAnsi="宋体"/>
                <w:color w:val="auto"/>
              </w:rPr>
              <w:t>ND</w:t>
            </w:r>
          </w:p>
        </w:tc>
        <w:tc>
          <w:tcPr>
            <w:tcW w:w="255" w:type="pct"/>
            <w:vAlign w:val="center"/>
          </w:tcPr>
          <w:p w14:paraId="40FBFEBF">
            <w:pPr>
              <w:jc w:val="center"/>
              <w:rPr>
                <w:rFonts w:ascii="宋体" w:hAnsi="宋体" w:cs="宋体"/>
                <w:color w:val="auto"/>
                <w:kern w:val="0"/>
              </w:rPr>
            </w:pPr>
            <w:r>
              <w:rPr>
                <w:rFonts w:hint="eastAsia" w:ascii="宋体" w:hAnsi="宋体"/>
                <w:color w:val="auto"/>
              </w:rPr>
              <w:t>ND</w:t>
            </w:r>
          </w:p>
        </w:tc>
        <w:tc>
          <w:tcPr>
            <w:tcW w:w="338" w:type="pct"/>
            <w:vAlign w:val="center"/>
          </w:tcPr>
          <w:p w14:paraId="6CAAA024">
            <w:pPr>
              <w:jc w:val="center"/>
              <w:rPr>
                <w:rFonts w:ascii="宋体" w:hAnsi="宋体" w:cs="宋体"/>
                <w:color w:val="auto"/>
                <w:kern w:val="0"/>
              </w:rPr>
            </w:pPr>
            <w:r>
              <w:rPr>
                <w:rFonts w:hint="eastAsia" w:ascii="宋体" w:hAnsi="宋体"/>
                <w:color w:val="auto"/>
              </w:rPr>
              <w:t>ND</w:t>
            </w:r>
          </w:p>
        </w:tc>
        <w:tc>
          <w:tcPr>
            <w:tcW w:w="337" w:type="pct"/>
            <w:vAlign w:val="center"/>
          </w:tcPr>
          <w:p w14:paraId="508410FE">
            <w:pPr>
              <w:jc w:val="center"/>
              <w:rPr>
                <w:rFonts w:ascii="宋体" w:hAnsi="宋体" w:cs="宋体"/>
                <w:color w:val="auto"/>
                <w:kern w:val="0"/>
              </w:rPr>
            </w:pPr>
            <w:r>
              <w:rPr>
                <w:rFonts w:hint="eastAsia" w:ascii="宋体" w:hAnsi="宋体"/>
                <w:color w:val="auto"/>
              </w:rPr>
              <w:t>ND</w:t>
            </w:r>
          </w:p>
        </w:tc>
        <w:tc>
          <w:tcPr>
            <w:tcW w:w="339" w:type="pct"/>
            <w:vAlign w:val="center"/>
          </w:tcPr>
          <w:p w14:paraId="6A53CE3A">
            <w:pPr>
              <w:jc w:val="center"/>
              <w:rPr>
                <w:rFonts w:ascii="宋体" w:hAnsi="宋体" w:cs="宋体"/>
                <w:color w:val="auto"/>
                <w:kern w:val="0"/>
              </w:rPr>
            </w:pPr>
            <w:r>
              <w:rPr>
                <w:rFonts w:hint="eastAsia" w:ascii="宋体" w:hAnsi="宋体"/>
                <w:color w:val="auto"/>
              </w:rPr>
              <w:t>ND</w:t>
            </w:r>
          </w:p>
        </w:tc>
        <w:tc>
          <w:tcPr>
            <w:tcW w:w="338" w:type="pct"/>
            <w:vAlign w:val="center"/>
          </w:tcPr>
          <w:p w14:paraId="0987E907">
            <w:pPr>
              <w:jc w:val="center"/>
              <w:rPr>
                <w:rFonts w:ascii="宋体" w:hAnsi="宋体" w:cs="宋体"/>
                <w:color w:val="auto"/>
                <w:kern w:val="0"/>
              </w:rPr>
            </w:pPr>
            <w:r>
              <w:rPr>
                <w:rFonts w:hint="eastAsia" w:ascii="宋体" w:hAnsi="宋体"/>
                <w:color w:val="auto"/>
              </w:rPr>
              <w:t>ND</w:t>
            </w:r>
          </w:p>
        </w:tc>
        <w:tc>
          <w:tcPr>
            <w:tcW w:w="338" w:type="pct"/>
            <w:vAlign w:val="center"/>
          </w:tcPr>
          <w:p w14:paraId="0F9E4FE3">
            <w:pPr>
              <w:jc w:val="center"/>
              <w:rPr>
                <w:rFonts w:ascii="宋体" w:hAnsi="宋体" w:cs="宋体"/>
                <w:color w:val="auto"/>
                <w:kern w:val="0"/>
              </w:rPr>
            </w:pPr>
            <w:r>
              <w:rPr>
                <w:rFonts w:hint="eastAsia" w:ascii="宋体" w:hAnsi="宋体"/>
                <w:color w:val="auto"/>
              </w:rPr>
              <w:t>ND</w:t>
            </w:r>
          </w:p>
        </w:tc>
        <w:tc>
          <w:tcPr>
            <w:tcW w:w="372" w:type="pct"/>
            <w:vAlign w:val="center"/>
          </w:tcPr>
          <w:p w14:paraId="3DB65EB9">
            <w:pPr>
              <w:jc w:val="center"/>
              <w:rPr>
                <w:rFonts w:ascii="宋体" w:hAnsi="宋体" w:cs="宋体"/>
                <w:color w:val="auto"/>
                <w:kern w:val="0"/>
              </w:rPr>
            </w:pPr>
            <w:r>
              <w:rPr>
                <w:rFonts w:hint="eastAsia" w:ascii="宋体" w:hAnsi="宋体"/>
                <w:color w:val="auto"/>
              </w:rPr>
              <w:t>ND</w:t>
            </w:r>
          </w:p>
        </w:tc>
        <w:tc>
          <w:tcPr>
            <w:tcW w:w="454" w:type="pct"/>
            <w:vAlign w:val="center"/>
          </w:tcPr>
          <w:p w14:paraId="756829DD">
            <w:pPr>
              <w:jc w:val="center"/>
              <w:rPr>
                <w:rFonts w:ascii="宋体" w:hAnsi="宋体" w:cs="宋体"/>
                <w:color w:val="auto"/>
                <w:kern w:val="0"/>
              </w:rPr>
            </w:pPr>
            <w:r>
              <w:rPr>
                <w:rFonts w:hint="eastAsia" w:ascii="宋体" w:hAnsi="宋体"/>
                <w:color w:val="auto"/>
              </w:rPr>
              <w:t>ND</w:t>
            </w:r>
          </w:p>
        </w:tc>
        <w:tc>
          <w:tcPr>
            <w:tcW w:w="454" w:type="pct"/>
            <w:vAlign w:val="center"/>
          </w:tcPr>
          <w:p w14:paraId="6DD2703D">
            <w:pPr>
              <w:jc w:val="center"/>
              <w:rPr>
                <w:rFonts w:ascii="宋体" w:hAnsi="宋体"/>
                <w:color w:val="auto"/>
              </w:rPr>
            </w:pPr>
            <w:r>
              <w:rPr>
                <w:rFonts w:ascii="宋体" w:hAnsi="宋体" w:cs="宋体"/>
                <w:color w:val="auto"/>
                <w:kern w:val="0"/>
              </w:rPr>
              <w:t>≤</w:t>
            </w:r>
            <w:r>
              <w:rPr>
                <w:rFonts w:hint="eastAsia" w:ascii="宋体" w:hAnsi="宋体"/>
                <w:color w:val="auto"/>
              </w:rPr>
              <w:t>0.02</w:t>
            </w:r>
          </w:p>
        </w:tc>
        <w:tc>
          <w:tcPr>
            <w:tcW w:w="231" w:type="pct"/>
            <w:vAlign w:val="center"/>
          </w:tcPr>
          <w:p w14:paraId="03DF15CA">
            <w:pPr>
              <w:widowControl/>
              <w:jc w:val="center"/>
              <w:rPr>
                <w:rFonts w:ascii="宋体" w:hAnsi="宋体"/>
                <w:color w:val="auto"/>
              </w:rPr>
            </w:pPr>
            <w:r>
              <w:rPr>
                <w:rFonts w:hint="eastAsia" w:ascii="宋体" w:hAnsi="宋体"/>
                <w:color w:val="auto"/>
              </w:rPr>
              <w:t>达标</w:t>
            </w:r>
          </w:p>
        </w:tc>
      </w:tr>
      <w:tr w14:paraId="7539E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17B2B843">
            <w:pPr>
              <w:widowControl/>
              <w:adjustRightInd w:val="0"/>
              <w:snapToGrid w:val="0"/>
              <w:jc w:val="center"/>
              <w:rPr>
                <w:rFonts w:ascii="宋体" w:hAnsi="宋体"/>
                <w:bCs/>
                <w:color w:val="auto"/>
              </w:rPr>
            </w:pPr>
            <w:r>
              <w:rPr>
                <w:rFonts w:ascii="宋体" w:hAnsi="宋体"/>
                <w:bCs/>
                <w:color w:val="auto"/>
              </w:rPr>
              <w:t>硫酸盐(mg/L)</w:t>
            </w:r>
          </w:p>
        </w:tc>
        <w:tc>
          <w:tcPr>
            <w:tcW w:w="357" w:type="pct"/>
            <w:vAlign w:val="center"/>
          </w:tcPr>
          <w:p w14:paraId="23D4D5C0">
            <w:pPr>
              <w:widowControl/>
              <w:jc w:val="center"/>
              <w:rPr>
                <w:rFonts w:ascii="宋体" w:hAnsi="宋体"/>
                <w:color w:val="auto"/>
              </w:rPr>
            </w:pPr>
            <w:r>
              <w:rPr>
                <w:rFonts w:ascii="宋体" w:hAnsi="宋体"/>
                <w:color w:val="auto"/>
              </w:rPr>
              <w:t>912</w:t>
            </w:r>
          </w:p>
        </w:tc>
        <w:tc>
          <w:tcPr>
            <w:tcW w:w="288" w:type="pct"/>
            <w:vAlign w:val="center"/>
          </w:tcPr>
          <w:p w14:paraId="41DE1F9E">
            <w:pPr>
              <w:jc w:val="center"/>
              <w:rPr>
                <w:rFonts w:ascii="宋体" w:hAnsi="宋体"/>
                <w:color w:val="auto"/>
              </w:rPr>
            </w:pPr>
            <w:r>
              <w:rPr>
                <w:rFonts w:ascii="宋体" w:hAnsi="宋体"/>
                <w:color w:val="auto"/>
              </w:rPr>
              <w:t>940</w:t>
            </w:r>
          </w:p>
        </w:tc>
        <w:tc>
          <w:tcPr>
            <w:tcW w:w="237" w:type="pct"/>
            <w:vAlign w:val="center"/>
          </w:tcPr>
          <w:p w14:paraId="28FBA834">
            <w:pPr>
              <w:jc w:val="center"/>
              <w:rPr>
                <w:rFonts w:ascii="宋体" w:hAnsi="宋体"/>
                <w:color w:val="auto"/>
              </w:rPr>
            </w:pPr>
            <w:r>
              <w:rPr>
                <w:rFonts w:ascii="宋体" w:hAnsi="宋体"/>
                <w:color w:val="auto"/>
              </w:rPr>
              <w:t>956</w:t>
            </w:r>
          </w:p>
        </w:tc>
        <w:tc>
          <w:tcPr>
            <w:tcW w:w="321" w:type="pct"/>
            <w:vAlign w:val="center"/>
          </w:tcPr>
          <w:p w14:paraId="189E91DF">
            <w:pPr>
              <w:jc w:val="center"/>
              <w:rPr>
                <w:rFonts w:ascii="宋体" w:hAnsi="宋体"/>
                <w:color w:val="auto"/>
              </w:rPr>
            </w:pPr>
            <w:r>
              <w:rPr>
                <w:rFonts w:ascii="宋体" w:hAnsi="宋体"/>
                <w:color w:val="auto"/>
              </w:rPr>
              <w:t>967</w:t>
            </w:r>
          </w:p>
        </w:tc>
        <w:tc>
          <w:tcPr>
            <w:tcW w:w="255" w:type="pct"/>
            <w:vAlign w:val="center"/>
          </w:tcPr>
          <w:p w14:paraId="72E3D7CF">
            <w:pPr>
              <w:jc w:val="center"/>
              <w:rPr>
                <w:rFonts w:ascii="宋体" w:hAnsi="宋体"/>
                <w:color w:val="auto"/>
              </w:rPr>
            </w:pPr>
            <w:r>
              <w:rPr>
                <w:rFonts w:hint="eastAsia" w:ascii="宋体" w:hAnsi="宋体"/>
                <w:color w:val="auto"/>
              </w:rPr>
              <w:t>555</w:t>
            </w:r>
          </w:p>
        </w:tc>
        <w:tc>
          <w:tcPr>
            <w:tcW w:w="338" w:type="pct"/>
            <w:vAlign w:val="center"/>
          </w:tcPr>
          <w:p w14:paraId="498D590B">
            <w:pPr>
              <w:jc w:val="center"/>
              <w:rPr>
                <w:rFonts w:ascii="宋体" w:hAnsi="宋体"/>
                <w:color w:val="auto"/>
              </w:rPr>
            </w:pPr>
            <w:r>
              <w:rPr>
                <w:rFonts w:hint="eastAsia" w:ascii="宋体" w:hAnsi="宋体"/>
                <w:color w:val="auto"/>
              </w:rPr>
              <w:t>556</w:t>
            </w:r>
          </w:p>
        </w:tc>
        <w:tc>
          <w:tcPr>
            <w:tcW w:w="337" w:type="pct"/>
            <w:vAlign w:val="center"/>
          </w:tcPr>
          <w:p w14:paraId="1A515304">
            <w:pPr>
              <w:jc w:val="center"/>
              <w:rPr>
                <w:rFonts w:ascii="宋体" w:hAnsi="宋体"/>
                <w:color w:val="auto"/>
              </w:rPr>
            </w:pPr>
            <w:r>
              <w:rPr>
                <w:rFonts w:ascii="宋体" w:hAnsi="宋体"/>
                <w:color w:val="auto"/>
              </w:rPr>
              <w:t>625</w:t>
            </w:r>
          </w:p>
        </w:tc>
        <w:tc>
          <w:tcPr>
            <w:tcW w:w="339" w:type="pct"/>
            <w:vAlign w:val="center"/>
          </w:tcPr>
          <w:p w14:paraId="4149DD84">
            <w:pPr>
              <w:jc w:val="center"/>
              <w:rPr>
                <w:rFonts w:ascii="宋体" w:hAnsi="宋体"/>
                <w:color w:val="auto"/>
              </w:rPr>
            </w:pPr>
            <w:r>
              <w:rPr>
                <w:rFonts w:ascii="宋体" w:hAnsi="宋体"/>
                <w:color w:val="auto"/>
              </w:rPr>
              <w:t>597</w:t>
            </w:r>
          </w:p>
        </w:tc>
        <w:tc>
          <w:tcPr>
            <w:tcW w:w="338" w:type="pct"/>
            <w:vAlign w:val="center"/>
          </w:tcPr>
          <w:p w14:paraId="4C536448">
            <w:pPr>
              <w:jc w:val="center"/>
              <w:rPr>
                <w:rFonts w:ascii="宋体" w:hAnsi="宋体"/>
                <w:color w:val="auto"/>
              </w:rPr>
            </w:pPr>
            <w:r>
              <w:rPr>
                <w:rFonts w:hint="eastAsia" w:ascii="宋体" w:hAnsi="宋体"/>
                <w:color w:val="auto"/>
              </w:rPr>
              <w:t>811</w:t>
            </w:r>
          </w:p>
        </w:tc>
        <w:tc>
          <w:tcPr>
            <w:tcW w:w="338" w:type="pct"/>
            <w:vAlign w:val="center"/>
          </w:tcPr>
          <w:p w14:paraId="594FCFAD">
            <w:pPr>
              <w:jc w:val="center"/>
              <w:rPr>
                <w:rFonts w:ascii="宋体" w:hAnsi="宋体"/>
                <w:color w:val="auto"/>
              </w:rPr>
            </w:pPr>
            <w:r>
              <w:rPr>
                <w:rFonts w:hint="eastAsia" w:ascii="宋体" w:hAnsi="宋体"/>
                <w:color w:val="auto"/>
              </w:rPr>
              <w:t>758</w:t>
            </w:r>
          </w:p>
        </w:tc>
        <w:tc>
          <w:tcPr>
            <w:tcW w:w="372" w:type="pct"/>
            <w:vAlign w:val="center"/>
          </w:tcPr>
          <w:p w14:paraId="0B649FA2">
            <w:pPr>
              <w:jc w:val="center"/>
              <w:rPr>
                <w:rFonts w:ascii="宋体" w:hAnsi="宋体"/>
                <w:color w:val="auto"/>
              </w:rPr>
            </w:pPr>
            <w:r>
              <w:rPr>
                <w:rFonts w:ascii="宋体" w:hAnsi="宋体"/>
                <w:color w:val="auto"/>
              </w:rPr>
              <w:t>875</w:t>
            </w:r>
          </w:p>
        </w:tc>
        <w:tc>
          <w:tcPr>
            <w:tcW w:w="454" w:type="pct"/>
            <w:vAlign w:val="center"/>
          </w:tcPr>
          <w:p w14:paraId="24B44C01">
            <w:pPr>
              <w:jc w:val="center"/>
              <w:rPr>
                <w:rFonts w:ascii="宋体" w:hAnsi="宋体"/>
                <w:color w:val="auto"/>
              </w:rPr>
            </w:pPr>
            <w:r>
              <w:rPr>
                <w:rFonts w:ascii="宋体" w:hAnsi="宋体"/>
                <w:color w:val="auto"/>
              </w:rPr>
              <w:t>855</w:t>
            </w:r>
          </w:p>
        </w:tc>
        <w:tc>
          <w:tcPr>
            <w:tcW w:w="454" w:type="pct"/>
            <w:vAlign w:val="center"/>
          </w:tcPr>
          <w:p w14:paraId="177C2A6D">
            <w:pPr>
              <w:jc w:val="center"/>
              <w:rPr>
                <w:rFonts w:ascii="宋体" w:hAnsi="宋体"/>
                <w:color w:val="auto"/>
              </w:rPr>
            </w:pPr>
            <w:r>
              <w:rPr>
                <w:rFonts w:hint="eastAsia" w:ascii="宋体" w:hAnsi="宋体"/>
                <w:color w:val="auto"/>
              </w:rPr>
              <w:t>≤250</w:t>
            </w:r>
          </w:p>
        </w:tc>
        <w:tc>
          <w:tcPr>
            <w:tcW w:w="231" w:type="pct"/>
            <w:vAlign w:val="center"/>
          </w:tcPr>
          <w:p w14:paraId="22F4E400">
            <w:pPr>
              <w:jc w:val="center"/>
              <w:rPr>
                <w:rFonts w:ascii="宋体" w:hAnsi="宋体"/>
                <w:color w:val="auto"/>
              </w:rPr>
            </w:pPr>
            <w:r>
              <w:rPr>
                <w:rFonts w:hint="eastAsia" w:ascii="宋体" w:hAnsi="宋体"/>
                <w:color w:val="auto"/>
              </w:rPr>
              <w:t>不达标</w:t>
            </w:r>
          </w:p>
        </w:tc>
      </w:tr>
      <w:tr w14:paraId="350FF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02CF898E">
            <w:pPr>
              <w:widowControl/>
              <w:adjustRightInd w:val="0"/>
              <w:snapToGrid w:val="0"/>
              <w:jc w:val="center"/>
              <w:rPr>
                <w:rFonts w:ascii="宋体" w:hAnsi="宋体"/>
                <w:bCs/>
                <w:color w:val="auto"/>
              </w:rPr>
            </w:pPr>
            <w:r>
              <w:rPr>
                <w:rFonts w:ascii="宋体" w:hAnsi="宋体"/>
                <w:bCs/>
                <w:color w:val="auto"/>
              </w:rPr>
              <w:t>石油类(mg/L)</w:t>
            </w:r>
          </w:p>
        </w:tc>
        <w:tc>
          <w:tcPr>
            <w:tcW w:w="357" w:type="pct"/>
            <w:vAlign w:val="center"/>
          </w:tcPr>
          <w:p w14:paraId="735ED178">
            <w:pPr>
              <w:widowControl/>
              <w:jc w:val="center"/>
              <w:rPr>
                <w:rFonts w:ascii="宋体" w:hAnsi="宋体"/>
                <w:color w:val="auto"/>
              </w:rPr>
            </w:pPr>
            <w:r>
              <w:rPr>
                <w:rFonts w:ascii="宋体" w:hAnsi="宋体"/>
                <w:color w:val="auto"/>
              </w:rPr>
              <w:t>0.03</w:t>
            </w:r>
          </w:p>
        </w:tc>
        <w:tc>
          <w:tcPr>
            <w:tcW w:w="288" w:type="pct"/>
            <w:vAlign w:val="center"/>
          </w:tcPr>
          <w:p w14:paraId="396B0EA4">
            <w:pPr>
              <w:widowControl/>
              <w:jc w:val="center"/>
              <w:rPr>
                <w:rFonts w:ascii="宋体" w:hAnsi="宋体"/>
                <w:color w:val="auto"/>
              </w:rPr>
            </w:pPr>
            <w:r>
              <w:rPr>
                <w:rFonts w:ascii="宋体" w:hAnsi="宋体"/>
                <w:color w:val="auto"/>
              </w:rPr>
              <w:t>0.03</w:t>
            </w:r>
          </w:p>
        </w:tc>
        <w:tc>
          <w:tcPr>
            <w:tcW w:w="237" w:type="pct"/>
            <w:vAlign w:val="center"/>
          </w:tcPr>
          <w:p w14:paraId="37C987DB">
            <w:pPr>
              <w:widowControl/>
              <w:jc w:val="center"/>
              <w:rPr>
                <w:rFonts w:ascii="宋体" w:hAnsi="宋体"/>
                <w:color w:val="auto"/>
              </w:rPr>
            </w:pPr>
            <w:r>
              <w:rPr>
                <w:rFonts w:ascii="宋体" w:hAnsi="宋体"/>
                <w:color w:val="auto"/>
              </w:rPr>
              <w:t>0.03</w:t>
            </w:r>
          </w:p>
        </w:tc>
        <w:tc>
          <w:tcPr>
            <w:tcW w:w="321" w:type="pct"/>
            <w:vAlign w:val="center"/>
          </w:tcPr>
          <w:p w14:paraId="763BF0C5">
            <w:pPr>
              <w:widowControl/>
              <w:jc w:val="center"/>
              <w:rPr>
                <w:rFonts w:ascii="宋体" w:hAnsi="宋体"/>
                <w:color w:val="auto"/>
              </w:rPr>
            </w:pPr>
            <w:r>
              <w:rPr>
                <w:rFonts w:ascii="宋体" w:hAnsi="宋体"/>
                <w:color w:val="auto"/>
              </w:rPr>
              <w:t>0.03</w:t>
            </w:r>
          </w:p>
        </w:tc>
        <w:tc>
          <w:tcPr>
            <w:tcW w:w="255" w:type="pct"/>
            <w:vAlign w:val="center"/>
          </w:tcPr>
          <w:p w14:paraId="12A860E2">
            <w:pPr>
              <w:widowControl/>
              <w:jc w:val="center"/>
              <w:rPr>
                <w:rFonts w:ascii="宋体" w:hAnsi="宋体" w:cs="宋体"/>
                <w:color w:val="auto"/>
                <w:kern w:val="0"/>
              </w:rPr>
            </w:pPr>
            <w:r>
              <w:rPr>
                <w:rFonts w:hint="eastAsia" w:ascii="宋体" w:hAnsi="宋体"/>
                <w:color w:val="auto"/>
              </w:rPr>
              <w:t>0.02</w:t>
            </w:r>
          </w:p>
        </w:tc>
        <w:tc>
          <w:tcPr>
            <w:tcW w:w="338" w:type="pct"/>
            <w:vAlign w:val="center"/>
          </w:tcPr>
          <w:p w14:paraId="40977763">
            <w:pPr>
              <w:widowControl/>
              <w:jc w:val="center"/>
              <w:rPr>
                <w:rFonts w:ascii="宋体" w:hAnsi="宋体" w:cs="宋体"/>
                <w:color w:val="auto"/>
                <w:kern w:val="0"/>
              </w:rPr>
            </w:pPr>
            <w:r>
              <w:rPr>
                <w:rFonts w:hint="eastAsia" w:ascii="宋体" w:hAnsi="宋体"/>
                <w:color w:val="auto"/>
              </w:rPr>
              <w:t>0.02</w:t>
            </w:r>
          </w:p>
        </w:tc>
        <w:tc>
          <w:tcPr>
            <w:tcW w:w="337" w:type="pct"/>
            <w:vAlign w:val="center"/>
          </w:tcPr>
          <w:p w14:paraId="2B7AF01C">
            <w:pPr>
              <w:widowControl/>
              <w:jc w:val="center"/>
              <w:rPr>
                <w:rFonts w:ascii="宋体" w:hAnsi="宋体" w:cs="宋体"/>
                <w:color w:val="auto"/>
                <w:kern w:val="0"/>
              </w:rPr>
            </w:pPr>
            <w:r>
              <w:rPr>
                <w:rFonts w:hint="eastAsia" w:ascii="宋体" w:hAnsi="宋体"/>
                <w:color w:val="auto"/>
              </w:rPr>
              <w:t>0.03</w:t>
            </w:r>
          </w:p>
        </w:tc>
        <w:tc>
          <w:tcPr>
            <w:tcW w:w="339" w:type="pct"/>
            <w:vAlign w:val="center"/>
          </w:tcPr>
          <w:p w14:paraId="299A10E2">
            <w:pPr>
              <w:widowControl/>
              <w:jc w:val="center"/>
              <w:rPr>
                <w:rFonts w:ascii="宋体" w:hAnsi="宋体" w:cs="宋体"/>
                <w:color w:val="auto"/>
                <w:kern w:val="0"/>
              </w:rPr>
            </w:pPr>
            <w:r>
              <w:rPr>
                <w:rFonts w:hint="eastAsia" w:ascii="宋体" w:hAnsi="宋体"/>
                <w:bCs/>
                <w:color w:val="auto"/>
              </w:rPr>
              <w:t>0.03</w:t>
            </w:r>
          </w:p>
        </w:tc>
        <w:tc>
          <w:tcPr>
            <w:tcW w:w="338" w:type="pct"/>
            <w:vAlign w:val="center"/>
          </w:tcPr>
          <w:p w14:paraId="5807FD1F">
            <w:pPr>
              <w:widowControl/>
              <w:jc w:val="center"/>
              <w:rPr>
                <w:rFonts w:ascii="宋体" w:hAnsi="宋体" w:cs="宋体"/>
                <w:color w:val="auto"/>
                <w:kern w:val="0"/>
              </w:rPr>
            </w:pPr>
            <w:r>
              <w:rPr>
                <w:rFonts w:hint="eastAsia" w:ascii="宋体" w:hAnsi="宋体"/>
                <w:color w:val="auto"/>
              </w:rPr>
              <w:t>0.03</w:t>
            </w:r>
          </w:p>
        </w:tc>
        <w:tc>
          <w:tcPr>
            <w:tcW w:w="338" w:type="pct"/>
            <w:vAlign w:val="center"/>
          </w:tcPr>
          <w:p w14:paraId="513E632C">
            <w:pPr>
              <w:widowControl/>
              <w:jc w:val="center"/>
              <w:rPr>
                <w:rFonts w:ascii="宋体" w:hAnsi="宋体" w:cs="宋体"/>
                <w:color w:val="auto"/>
                <w:kern w:val="0"/>
              </w:rPr>
            </w:pPr>
            <w:r>
              <w:rPr>
                <w:rFonts w:hint="eastAsia" w:ascii="宋体" w:hAnsi="宋体"/>
                <w:bCs/>
                <w:color w:val="auto"/>
              </w:rPr>
              <w:t>0.03</w:t>
            </w:r>
          </w:p>
        </w:tc>
        <w:tc>
          <w:tcPr>
            <w:tcW w:w="372" w:type="pct"/>
            <w:vAlign w:val="center"/>
          </w:tcPr>
          <w:p w14:paraId="09CF1396">
            <w:pPr>
              <w:widowControl/>
              <w:jc w:val="center"/>
              <w:rPr>
                <w:rFonts w:ascii="宋体" w:hAnsi="宋体" w:cs="宋体"/>
                <w:color w:val="auto"/>
                <w:kern w:val="0"/>
              </w:rPr>
            </w:pPr>
            <w:r>
              <w:rPr>
                <w:rFonts w:hint="eastAsia" w:ascii="宋体" w:hAnsi="宋体"/>
                <w:color w:val="auto"/>
              </w:rPr>
              <w:t>0.03</w:t>
            </w:r>
          </w:p>
        </w:tc>
        <w:tc>
          <w:tcPr>
            <w:tcW w:w="454" w:type="pct"/>
            <w:vAlign w:val="center"/>
          </w:tcPr>
          <w:p w14:paraId="10E95340">
            <w:pPr>
              <w:widowControl/>
              <w:jc w:val="center"/>
              <w:rPr>
                <w:rFonts w:ascii="宋体" w:hAnsi="宋体" w:cs="宋体"/>
                <w:color w:val="auto"/>
                <w:kern w:val="0"/>
              </w:rPr>
            </w:pPr>
            <w:r>
              <w:rPr>
                <w:rFonts w:hint="eastAsia" w:ascii="宋体" w:hAnsi="宋体"/>
                <w:bCs/>
                <w:color w:val="auto"/>
              </w:rPr>
              <w:t>0.03</w:t>
            </w:r>
          </w:p>
        </w:tc>
        <w:tc>
          <w:tcPr>
            <w:tcW w:w="454" w:type="pct"/>
            <w:vAlign w:val="center"/>
          </w:tcPr>
          <w:p w14:paraId="79571B2A">
            <w:pPr>
              <w:widowControl/>
              <w:jc w:val="center"/>
              <w:rPr>
                <w:rFonts w:ascii="宋体" w:hAnsi="宋体"/>
                <w:color w:val="auto"/>
              </w:rPr>
            </w:pPr>
            <w:r>
              <w:rPr>
                <w:rFonts w:ascii="宋体" w:hAnsi="宋体" w:cs="宋体"/>
                <w:color w:val="auto"/>
                <w:kern w:val="0"/>
              </w:rPr>
              <w:t>≤0.05</w:t>
            </w:r>
          </w:p>
        </w:tc>
        <w:tc>
          <w:tcPr>
            <w:tcW w:w="231" w:type="pct"/>
            <w:vAlign w:val="center"/>
          </w:tcPr>
          <w:p w14:paraId="4D9C40EC">
            <w:pPr>
              <w:widowControl/>
              <w:jc w:val="center"/>
              <w:rPr>
                <w:rFonts w:ascii="宋体" w:hAnsi="宋体"/>
                <w:color w:val="auto"/>
              </w:rPr>
            </w:pPr>
            <w:r>
              <w:rPr>
                <w:rFonts w:hint="eastAsia" w:ascii="宋体" w:hAnsi="宋体"/>
                <w:color w:val="auto"/>
              </w:rPr>
              <w:t>达标</w:t>
            </w:r>
          </w:p>
        </w:tc>
      </w:tr>
      <w:tr w14:paraId="07DE0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759A7DD4">
            <w:pPr>
              <w:widowControl/>
              <w:adjustRightInd w:val="0"/>
              <w:snapToGrid w:val="0"/>
              <w:jc w:val="center"/>
              <w:rPr>
                <w:rFonts w:ascii="宋体" w:hAnsi="宋体"/>
                <w:bCs/>
                <w:color w:val="auto"/>
              </w:rPr>
            </w:pPr>
            <w:r>
              <w:rPr>
                <w:rFonts w:hint="eastAsia" w:ascii="宋体" w:hAnsi="宋体"/>
                <w:bCs/>
                <w:color w:val="auto"/>
              </w:rPr>
              <w:t>氟化物</w:t>
            </w:r>
            <w:r>
              <w:rPr>
                <w:rFonts w:ascii="宋体" w:hAnsi="宋体"/>
                <w:bCs/>
                <w:color w:val="auto"/>
              </w:rPr>
              <w:t>(mg/L)</w:t>
            </w:r>
          </w:p>
        </w:tc>
        <w:tc>
          <w:tcPr>
            <w:tcW w:w="357" w:type="pct"/>
            <w:shd w:val="clear" w:color="000000" w:fill="FFFFFF"/>
            <w:vAlign w:val="center"/>
          </w:tcPr>
          <w:p w14:paraId="28B0986F">
            <w:pPr>
              <w:widowControl/>
              <w:jc w:val="center"/>
              <w:rPr>
                <w:rFonts w:ascii="宋体" w:hAnsi="宋体"/>
                <w:color w:val="auto"/>
                <w:kern w:val="0"/>
                <w:szCs w:val="22"/>
              </w:rPr>
            </w:pPr>
            <w:r>
              <w:rPr>
                <w:rFonts w:ascii="宋体" w:hAnsi="宋体"/>
                <w:color w:val="auto"/>
                <w:szCs w:val="22"/>
              </w:rPr>
              <w:t>0.97</w:t>
            </w:r>
          </w:p>
        </w:tc>
        <w:tc>
          <w:tcPr>
            <w:tcW w:w="288" w:type="pct"/>
            <w:shd w:val="clear" w:color="000000" w:fill="FFFFFF"/>
            <w:vAlign w:val="center"/>
          </w:tcPr>
          <w:p w14:paraId="18AE621B">
            <w:pPr>
              <w:jc w:val="center"/>
              <w:rPr>
                <w:rFonts w:ascii="宋体" w:hAnsi="宋体"/>
                <w:color w:val="auto"/>
                <w:szCs w:val="22"/>
              </w:rPr>
            </w:pPr>
            <w:r>
              <w:rPr>
                <w:rFonts w:ascii="宋体" w:hAnsi="宋体"/>
                <w:color w:val="auto"/>
                <w:szCs w:val="22"/>
              </w:rPr>
              <w:t>1.00</w:t>
            </w:r>
          </w:p>
        </w:tc>
        <w:tc>
          <w:tcPr>
            <w:tcW w:w="237" w:type="pct"/>
            <w:shd w:val="clear" w:color="000000" w:fill="FFFFFF"/>
            <w:vAlign w:val="center"/>
          </w:tcPr>
          <w:p w14:paraId="425974BC">
            <w:pPr>
              <w:jc w:val="center"/>
              <w:rPr>
                <w:rFonts w:ascii="宋体" w:hAnsi="宋体"/>
                <w:color w:val="auto"/>
                <w:szCs w:val="22"/>
              </w:rPr>
            </w:pPr>
            <w:r>
              <w:rPr>
                <w:rFonts w:ascii="宋体" w:hAnsi="宋体"/>
                <w:color w:val="auto"/>
                <w:szCs w:val="22"/>
              </w:rPr>
              <w:t>0.98</w:t>
            </w:r>
          </w:p>
        </w:tc>
        <w:tc>
          <w:tcPr>
            <w:tcW w:w="321" w:type="pct"/>
            <w:shd w:val="clear" w:color="000000" w:fill="FFFFFF"/>
            <w:vAlign w:val="center"/>
          </w:tcPr>
          <w:p w14:paraId="2B8B079F">
            <w:pPr>
              <w:jc w:val="center"/>
              <w:rPr>
                <w:rFonts w:ascii="宋体" w:hAnsi="宋体"/>
                <w:color w:val="auto"/>
                <w:szCs w:val="22"/>
              </w:rPr>
            </w:pPr>
            <w:r>
              <w:rPr>
                <w:rFonts w:ascii="宋体" w:hAnsi="宋体"/>
                <w:color w:val="auto"/>
                <w:szCs w:val="22"/>
              </w:rPr>
              <w:t>0.97</w:t>
            </w:r>
          </w:p>
        </w:tc>
        <w:tc>
          <w:tcPr>
            <w:tcW w:w="255" w:type="pct"/>
            <w:shd w:val="clear" w:color="000000" w:fill="FFFFFF"/>
            <w:vAlign w:val="center"/>
          </w:tcPr>
          <w:p w14:paraId="11BF107B">
            <w:pPr>
              <w:jc w:val="center"/>
              <w:rPr>
                <w:rFonts w:ascii="宋体" w:hAnsi="宋体"/>
                <w:color w:val="auto"/>
              </w:rPr>
            </w:pPr>
            <w:r>
              <w:rPr>
                <w:rFonts w:hint="eastAsia" w:ascii="宋体" w:hAnsi="宋体"/>
                <w:color w:val="auto"/>
              </w:rPr>
              <w:t>0.48</w:t>
            </w:r>
          </w:p>
        </w:tc>
        <w:tc>
          <w:tcPr>
            <w:tcW w:w="338" w:type="pct"/>
            <w:shd w:val="clear" w:color="000000" w:fill="FFFFFF"/>
            <w:vAlign w:val="center"/>
          </w:tcPr>
          <w:p w14:paraId="350A27F8">
            <w:pPr>
              <w:jc w:val="center"/>
              <w:rPr>
                <w:rFonts w:ascii="宋体" w:hAnsi="宋体"/>
                <w:color w:val="auto"/>
              </w:rPr>
            </w:pPr>
            <w:r>
              <w:rPr>
                <w:rFonts w:hint="eastAsia" w:ascii="宋体" w:hAnsi="宋体"/>
                <w:color w:val="auto"/>
              </w:rPr>
              <w:t>0.47</w:t>
            </w:r>
          </w:p>
        </w:tc>
        <w:tc>
          <w:tcPr>
            <w:tcW w:w="337" w:type="pct"/>
            <w:shd w:val="clear" w:color="000000" w:fill="FFFFFF"/>
            <w:vAlign w:val="center"/>
          </w:tcPr>
          <w:p w14:paraId="4BB6F9D6">
            <w:pPr>
              <w:jc w:val="center"/>
              <w:rPr>
                <w:rFonts w:ascii="宋体" w:hAnsi="宋体"/>
                <w:color w:val="auto"/>
              </w:rPr>
            </w:pPr>
            <w:r>
              <w:rPr>
                <w:rFonts w:hint="eastAsia" w:ascii="宋体" w:hAnsi="宋体"/>
                <w:color w:val="auto"/>
              </w:rPr>
              <w:t>0.49</w:t>
            </w:r>
          </w:p>
        </w:tc>
        <w:tc>
          <w:tcPr>
            <w:tcW w:w="339" w:type="pct"/>
            <w:shd w:val="clear" w:color="000000" w:fill="FFFFFF"/>
            <w:vAlign w:val="center"/>
          </w:tcPr>
          <w:p w14:paraId="1E2434D2">
            <w:pPr>
              <w:jc w:val="center"/>
              <w:rPr>
                <w:rFonts w:ascii="宋体" w:hAnsi="宋体"/>
                <w:color w:val="auto"/>
              </w:rPr>
            </w:pPr>
            <w:r>
              <w:rPr>
                <w:rFonts w:hint="eastAsia" w:ascii="宋体" w:hAnsi="宋体"/>
                <w:color w:val="auto"/>
              </w:rPr>
              <w:t>0.50</w:t>
            </w:r>
          </w:p>
        </w:tc>
        <w:tc>
          <w:tcPr>
            <w:tcW w:w="338" w:type="pct"/>
            <w:shd w:val="clear" w:color="000000" w:fill="FFFFFF"/>
            <w:vAlign w:val="center"/>
          </w:tcPr>
          <w:p w14:paraId="2E73790B">
            <w:pPr>
              <w:jc w:val="center"/>
              <w:rPr>
                <w:rFonts w:ascii="宋体" w:hAnsi="宋体"/>
                <w:color w:val="auto"/>
              </w:rPr>
            </w:pPr>
            <w:r>
              <w:rPr>
                <w:rFonts w:hint="eastAsia" w:ascii="宋体" w:hAnsi="宋体"/>
                <w:color w:val="auto"/>
              </w:rPr>
              <w:t>0.64</w:t>
            </w:r>
          </w:p>
        </w:tc>
        <w:tc>
          <w:tcPr>
            <w:tcW w:w="338" w:type="pct"/>
            <w:shd w:val="clear" w:color="000000" w:fill="FFFFFF"/>
            <w:vAlign w:val="center"/>
          </w:tcPr>
          <w:p w14:paraId="7DE8E5E8">
            <w:pPr>
              <w:jc w:val="center"/>
              <w:rPr>
                <w:rFonts w:ascii="宋体" w:hAnsi="宋体"/>
                <w:color w:val="auto"/>
              </w:rPr>
            </w:pPr>
            <w:r>
              <w:rPr>
                <w:rFonts w:hint="eastAsia" w:ascii="宋体" w:hAnsi="宋体"/>
                <w:color w:val="auto"/>
              </w:rPr>
              <w:t>0.63</w:t>
            </w:r>
          </w:p>
        </w:tc>
        <w:tc>
          <w:tcPr>
            <w:tcW w:w="372" w:type="pct"/>
            <w:shd w:val="clear" w:color="000000" w:fill="FFFFFF"/>
            <w:vAlign w:val="center"/>
          </w:tcPr>
          <w:p w14:paraId="79C260B8">
            <w:pPr>
              <w:jc w:val="center"/>
              <w:rPr>
                <w:rFonts w:ascii="宋体" w:hAnsi="宋体"/>
                <w:color w:val="auto"/>
              </w:rPr>
            </w:pPr>
            <w:r>
              <w:rPr>
                <w:rFonts w:hint="eastAsia" w:ascii="宋体" w:hAnsi="宋体"/>
                <w:color w:val="auto"/>
              </w:rPr>
              <w:t>0.64</w:t>
            </w:r>
          </w:p>
        </w:tc>
        <w:tc>
          <w:tcPr>
            <w:tcW w:w="454" w:type="pct"/>
            <w:shd w:val="clear" w:color="000000" w:fill="FFFFFF"/>
            <w:vAlign w:val="center"/>
          </w:tcPr>
          <w:p w14:paraId="4E7AC443">
            <w:pPr>
              <w:jc w:val="center"/>
              <w:rPr>
                <w:rFonts w:ascii="宋体" w:hAnsi="宋体"/>
                <w:color w:val="auto"/>
              </w:rPr>
            </w:pPr>
            <w:r>
              <w:rPr>
                <w:rFonts w:hint="eastAsia" w:ascii="宋体" w:hAnsi="宋体"/>
                <w:color w:val="auto"/>
              </w:rPr>
              <w:t>0.63</w:t>
            </w:r>
          </w:p>
        </w:tc>
        <w:tc>
          <w:tcPr>
            <w:tcW w:w="454" w:type="pct"/>
            <w:shd w:val="clear" w:color="000000" w:fill="FFFFFF"/>
            <w:vAlign w:val="center"/>
          </w:tcPr>
          <w:p w14:paraId="33A0BF2E">
            <w:pPr>
              <w:jc w:val="center"/>
              <w:rPr>
                <w:rFonts w:ascii="宋体" w:hAnsi="宋体"/>
                <w:color w:val="auto"/>
                <w:szCs w:val="22"/>
              </w:rPr>
            </w:pPr>
            <w:r>
              <w:rPr>
                <w:rFonts w:ascii="宋体" w:hAnsi="宋体" w:cs="宋体"/>
                <w:color w:val="auto"/>
                <w:kern w:val="0"/>
              </w:rPr>
              <w:t>≤</w:t>
            </w:r>
            <w:r>
              <w:rPr>
                <w:rFonts w:hint="eastAsia" w:ascii="宋体" w:hAnsi="宋体" w:cs="宋体"/>
                <w:color w:val="auto"/>
                <w:kern w:val="0"/>
              </w:rPr>
              <w:t>1.0</w:t>
            </w:r>
          </w:p>
        </w:tc>
        <w:tc>
          <w:tcPr>
            <w:tcW w:w="231" w:type="pct"/>
            <w:shd w:val="clear" w:color="000000" w:fill="FFFFFF"/>
            <w:vAlign w:val="center"/>
          </w:tcPr>
          <w:p w14:paraId="06612510">
            <w:pPr>
              <w:jc w:val="center"/>
              <w:rPr>
                <w:rFonts w:ascii="宋体" w:hAnsi="宋体"/>
                <w:color w:val="auto"/>
                <w:szCs w:val="22"/>
              </w:rPr>
            </w:pPr>
            <w:bookmarkStart w:id="453" w:name="OLE_LINK13"/>
            <w:r>
              <w:rPr>
                <w:rFonts w:hint="eastAsia" w:ascii="宋体" w:hAnsi="宋体"/>
                <w:color w:val="auto"/>
              </w:rPr>
              <w:t>达标</w:t>
            </w:r>
            <w:bookmarkEnd w:id="453"/>
          </w:p>
        </w:tc>
      </w:tr>
      <w:tr w14:paraId="0BBC3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2450EECD">
            <w:pPr>
              <w:widowControl/>
              <w:adjustRightInd w:val="0"/>
              <w:snapToGrid w:val="0"/>
              <w:jc w:val="center"/>
              <w:rPr>
                <w:rFonts w:ascii="宋体" w:hAnsi="宋体"/>
                <w:bCs/>
                <w:color w:val="auto"/>
              </w:rPr>
            </w:pPr>
            <w:r>
              <w:rPr>
                <w:rFonts w:hint="eastAsia" w:ascii="宋体" w:hAnsi="宋体"/>
                <w:color w:val="auto"/>
                <w:kern w:val="0"/>
              </w:rPr>
              <w:t>阴离子表面活性剂</w:t>
            </w:r>
            <w:r>
              <w:rPr>
                <w:rFonts w:hint="eastAsia" w:ascii="宋体" w:hAnsi="宋体"/>
                <w:bCs/>
                <w:color w:val="auto"/>
              </w:rPr>
              <w:t>(</w:t>
            </w:r>
            <w:r>
              <w:rPr>
                <w:rFonts w:ascii="宋体" w:hAnsi="宋体"/>
                <w:color w:val="auto"/>
                <w:kern w:val="0"/>
              </w:rPr>
              <w:t>mg/L</w:t>
            </w:r>
            <w:r>
              <w:rPr>
                <w:rFonts w:hint="eastAsia" w:ascii="宋体" w:hAnsi="宋体"/>
                <w:bCs/>
                <w:color w:val="auto"/>
              </w:rPr>
              <w:t>)</w:t>
            </w:r>
          </w:p>
        </w:tc>
        <w:tc>
          <w:tcPr>
            <w:tcW w:w="357" w:type="pct"/>
            <w:shd w:val="clear" w:color="000000" w:fill="FFFFFF"/>
            <w:vAlign w:val="center"/>
          </w:tcPr>
          <w:p w14:paraId="748286C7">
            <w:pPr>
              <w:widowControl/>
              <w:jc w:val="center"/>
              <w:rPr>
                <w:rFonts w:ascii="宋体" w:hAnsi="宋体"/>
                <w:color w:val="auto"/>
                <w:szCs w:val="22"/>
              </w:rPr>
            </w:pPr>
            <w:r>
              <w:rPr>
                <w:rFonts w:hint="eastAsia" w:ascii="宋体" w:hAnsi="宋体"/>
                <w:color w:val="auto"/>
              </w:rPr>
              <w:t>ND</w:t>
            </w:r>
          </w:p>
        </w:tc>
        <w:tc>
          <w:tcPr>
            <w:tcW w:w="288" w:type="pct"/>
            <w:shd w:val="clear" w:color="000000" w:fill="FFFFFF"/>
            <w:vAlign w:val="center"/>
          </w:tcPr>
          <w:p w14:paraId="50539BF9">
            <w:pPr>
              <w:jc w:val="center"/>
              <w:rPr>
                <w:rFonts w:ascii="宋体" w:hAnsi="宋体"/>
                <w:color w:val="auto"/>
                <w:szCs w:val="22"/>
              </w:rPr>
            </w:pPr>
            <w:r>
              <w:rPr>
                <w:rFonts w:hint="eastAsia" w:ascii="宋体" w:hAnsi="宋体"/>
                <w:color w:val="auto"/>
              </w:rPr>
              <w:t>ND</w:t>
            </w:r>
          </w:p>
        </w:tc>
        <w:tc>
          <w:tcPr>
            <w:tcW w:w="237" w:type="pct"/>
            <w:shd w:val="clear" w:color="000000" w:fill="FFFFFF"/>
            <w:vAlign w:val="center"/>
          </w:tcPr>
          <w:p w14:paraId="4D332E92">
            <w:pPr>
              <w:jc w:val="center"/>
              <w:rPr>
                <w:rFonts w:ascii="宋体" w:hAnsi="宋体"/>
                <w:color w:val="auto"/>
                <w:szCs w:val="22"/>
              </w:rPr>
            </w:pPr>
            <w:r>
              <w:rPr>
                <w:rFonts w:hint="eastAsia" w:ascii="宋体" w:hAnsi="宋体"/>
                <w:color w:val="auto"/>
              </w:rPr>
              <w:t>ND</w:t>
            </w:r>
          </w:p>
        </w:tc>
        <w:tc>
          <w:tcPr>
            <w:tcW w:w="321" w:type="pct"/>
            <w:shd w:val="clear" w:color="000000" w:fill="FFFFFF"/>
            <w:vAlign w:val="center"/>
          </w:tcPr>
          <w:p w14:paraId="4494914D">
            <w:pPr>
              <w:jc w:val="center"/>
              <w:rPr>
                <w:rFonts w:ascii="宋体" w:hAnsi="宋体"/>
                <w:color w:val="auto"/>
                <w:szCs w:val="22"/>
              </w:rPr>
            </w:pPr>
            <w:r>
              <w:rPr>
                <w:rFonts w:hint="eastAsia" w:ascii="宋体" w:hAnsi="宋体"/>
                <w:color w:val="auto"/>
              </w:rPr>
              <w:t>ND</w:t>
            </w:r>
          </w:p>
        </w:tc>
        <w:tc>
          <w:tcPr>
            <w:tcW w:w="255" w:type="pct"/>
            <w:shd w:val="clear" w:color="000000" w:fill="FFFFFF"/>
            <w:vAlign w:val="center"/>
          </w:tcPr>
          <w:p w14:paraId="0ECC95F5">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4D74B999">
            <w:pPr>
              <w:jc w:val="center"/>
              <w:rPr>
                <w:rFonts w:ascii="宋体" w:hAnsi="宋体"/>
                <w:color w:val="auto"/>
              </w:rPr>
            </w:pPr>
            <w:r>
              <w:rPr>
                <w:rFonts w:hint="eastAsia" w:ascii="宋体" w:hAnsi="宋体"/>
                <w:color w:val="auto"/>
              </w:rPr>
              <w:t>ND</w:t>
            </w:r>
          </w:p>
        </w:tc>
        <w:tc>
          <w:tcPr>
            <w:tcW w:w="337" w:type="pct"/>
            <w:shd w:val="clear" w:color="000000" w:fill="FFFFFF"/>
            <w:vAlign w:val="center"/>
          </w:tcPr>
          <w:p w14:paraId="7BF7FDBA">
            <w:pPr>
              <w:jc w:val="center"/>
              <w:rPr>
                <w:rFonts w:ascii="宋体" w:hAnsi="宋体"/>
                <w:color w:val="auto"/>
              </w:rPr>
            </w:pPr>
            <w:r>
              <w:rPr>
                <w:rFonts w:hint="eastAsia" w:ascii="宋体" w:hAnsi="宋体"/>
                <w:color w:val="auto"/>
              </w:rPr>
              <w:t>ND</w:t>
            </w:r>
          </w:p>
        </w:tc>
        <w:tc>
          <w:tcPr>
            <w:tcW w:w="339" w:type="pct"/>
            <w:shd w:val="clear" w:color="000000" w:fill="FFFFFF"/>
            <w:vAlign w:val="center"/>
          </w:tcPr>
          <w:p w14:paraId="0327080C">
            <w:pPr>
              <w:jc w:val="center"/>
              <w:rPr>
                <w:rFonts w:ascii="宋体" w:hAnsi="宋体"/>
                <w:bCs/>
                <w:color w:val="auto"/>
              </w:rPr>
            </w:pPr>
            <w:r>
              <w:rPr>
                <w:rFonts w:hint="eastAsia" w:ascii="宋体" w:hAnsi="宋体"/>
                <w:color w:val="auto"/>
              </w:rPr>
              <w:t>ND</w:t>
            </w:r>
          </w:p>
        </w:tc>
        <w:tc>
          <w:tcPr>
            <w:tcW w:w="338" w:type="pct"/>
            <w:shd w:val="clear" w:color="000000" w:fill="FFFFFF"/>
            <w:vAlign w:val="center"/>
          </w:tcPr>
          <w:p w14:paraId="5CAA40B9">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6F6F9FFA">
            <w:pPr>
              <w:jc w:val="center"/>
              <w:rPr>
                <w:rFonts w:ascii="宋体" w:hAnsi="宋体"/>
                <w:color w:val="auto"/>
              </w:rPr>
            </w:pPr>
            <w:r>
              <w:rPr>
                <w:rFonts w:hint="eastAsia" w:ascii="宋体" w:hAnsi="宋体"/>
                <w:color w:val="auto"/>
              </w:rPr>
              <w:t>ND</w:t>
            </w:r>
          </w:p>
        </w:tc>
        <w:tc>
          <w:tcPr>
            <w:tcW w:w="372" w:type="pct"/>
            <w:shd w:val="clear" w:color="000000" w:fill="FFFFFF"/>
            <w:vAlign w:val="center"/>
          </w:tcPr>
          <w:p w14:paraId="0EDC806B">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7AA10399">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31B866D8">
            <w:pPr>
              <w:jc w:val="center"/>
              <w:rPr>
                <w:rFonts w:ascii="宋体" w:hAnsi="宋体"/>
                <w:color w:val="auto"/>
              </w:rPr>
            </w:pPr>
            <w:r>
              <w:rPr>
                <w:rFonts w:ascii="宋体" w:hAnsi="宋体" w:cs="宋体"/>
                <w:color w:val="auto"/>
                <w:kern w:val="0"/>
              </w:rPr>
              <w:t>≤0.</w:t>
            </w:r>
            <w:r>
              <w:rPr>
                <w:rFonts w:hint="eastAsia" w:ascii="宋体" w:hAnsi="宋体" w:cs="宋体"/>
                <w:color w:val="auto"/>
                <w:kern w:val="0"/>
              </w:rPr>
              <w:t>02</w:t>
            </w:r>
          </w:p>
        </w:tc>
        <w:tc>
          <w:tcPr>
            <w:tcW w:w="231" w:type="pct"/>
            <w:shd w:val="clear" w:color="000000" w:fill="FFFFFF"/>
            <w:vAlign w:val="center"/>
          </w:tcPr>
          <w:p w14:paraId="291C4C0E">
            <w:pPr>
              <w:jc w:val="center"/>
              <w:rPr>
                <w:rFonts w:ascii="宋体" w:hAnsi="宋体"/>
                <w:color w:val="auto"/>
              </w:rPr>
            </w:pPr>
            <w:r>
              <w:rPr>
                <w:rFonts w:hint="eastAsia" w:ascii="宋体" w:hAnsi="宋体"/>
                <w:color w:val="auto"/>
              </w:rPr>
              <w:t>达标</w:t>
            </w:r>
          </w:p>
        </w:tc>
      </w:tr>
      <w:tr w14:paraId="6C011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13D3553B">
            <w:pPr>
              <w:widowControl/>
              <w:adjustRightInd w:val="0"/>
              <w:snapToGrid w:val="0"/>
              <w:jc w:val="center"/>
              <w:rPr>
                <w:rFonts w:ascii="宋体" w:hAnsi="宋体"/>
                <w:bCs/>
                <w:color w:val="auto"/>
              </w:rPr>
            </w:pPr>
            <w:r>
              <w:rPr>
                <w:rFonts w:hint="eastAsia" w:ascii="宋体" w:hAnsi="宋体"/>
                <w:bCs/>
                <w:color w:val="auto"/>
              </w:rPr>
              <w:t>氰化物(</w:t>
            </w:r>
            <w:r>
              <w:rPr>
                <w:rFonts w:ascii="宋体" w:hAnsi="宋体"/>
                <w:color w:val="auto"/>
                <w:kern w:val="0"/>
              </w:rPr>
              <w:t>mg/L</w:t>
            </w:r>
            <w:r>
              <w:rPr>
                <w:rFonts w:hint="eastAsia" w:ascii="宋体" w:hAnsi="宋体"/>
                <w:bCs/>
                <w:color w:val="auto"/>
              </w:rPr>
              <w:t>)</w:t>
            </w:r>
          </w:p>
        </w:tc>
        <w:tc>
          <w:tcPr>
            <w:tcW w:w="357" w:type="pct"/>
            <w:shd w:val="clear" w:color="000000" w:fill="FFFFFF"/>
            <w:vAlign w:val="center"/>
          </w:tcPr>
          <w:p w14:paraId="1FFE1E0C">
            <w:pPr>
              <w:widowControl/>
              <w:jc w:val="center"/>
              <w:rPr>
                <w:rFonts w:ascii="宋体" w:hAnsi="宋体"/>
                <w:color w:val="auto"/>
                <w:szCs w:val="22"/>
              </w:rPr>
            </w:pPr>
            <w:r>
              <w:rPr>
                <w:rFonts w:hint="eastAsia" w:ascii="宋体" w:hAnsi="宋体"/>
                <w:color w:val="auto"/>
              </w:rPr>
              <w:t>ND</w:t>
            </w:r>
          </w:p>
        </w:tc>
        <w:tc>
          <w:tcPr>
            <w:tcW w:w="288" w:type="pct"/>
            <w:shd w:val="clear" w:color="000000" w:fill="FFFFFF"/>
            <w:vAlign w:val="center"/>
          </w:tcPr>
          <w:p w14:paraId="498B6E70">
            <w:pPr>
              <w:jc w:val="center"/>
              <w:rPr>
                <w:rFonts w:ascii="宋体" w:hAnsi="宋体"/>
                <w:color w:val="auto"/>
                <w:szCs w:val="22"/>
              </w:rPr>
            </w:pPr>
            <w:r>
              <w:rPr>
                <w:rFonts w:hint="eastAsia" w:ascii="宋体" w:hAnsi="宋体"/>
                <w:color w:val="auto"/>
              </w:rPr>
              <w:t>ND</w:t>
            </w:r>
          </w:p>
        </w:tc>
        <w:tc>
          <w:tcPr>
            <w:tcW w:w="237" w:type="pct"/>
            <w:shd w:val="clear" w:color="000000" w:fill="FFFFFF"/>
            <w:vAlign w:val="center"/>
          </w:tcPr>
          <w:p w14:paraId="72AC9994">
            <w:pPr>
              <w:jc w:val="center"/>
              <w:rPr>
                <w:rFonts w:ascii="宋体" w:hAnsi="宋体"/>
                <w:color w:val="auto"/>
                <w:szCs w:val="22"/>
              </w:rPr>
            </w:pPr>
            <w:r>
              <w:rPr>
                <w:rFonts w:hint="eastAsia" w:ascii="宋体" w:hAnsi="宋体"/>
                <w:color w:val="auto"/>
              </w:rPr>
              <w:t>ND</w:t>
            </w:r>
          </w:p>
        </w:tc>
        <w:tc>
          <w:tcPr>
            <w:tcW w:w="321" w:type="pct"/>
            <w:shd w:val="clear" w:color="000000" w:fill="FFFFFF"/>
            <w:vAlign w:val="center"/>
          </w:tcPr>
          <w:p w14:paraId="1BCEE250">
            <w:pPr>
              <w:jc w:val="center"/>
              <w:rPr>
                <w:rFonts w:ascii="宋体" w:hAnsi="宋体"/>
                <w:color w:val="auto"/>
                <w:szCs w:val="22"/>
              </w:rPr>
            </w:pPr>
            <w:r>
              <w:rPr>
                <w:rFonts w:hint="eastAsia" w:ascii="宋体" w:hAnsi="宋体"/>
                <w:color w:val="auto"/>
              </w:rPr>
              <w:t>ND</w:t>
            </w:r>
          </w:p>
        </w:tc>
        <w:tc>
          <w:tcPr>
            <w:tcW w:w="255" w:type="pct"/>
            <w:shd w:val="clear" w:color="000000" w:fill="FFFFFF"/>
            <w:vAlign w:val="center"/>
          </w:tcPr>
          <w:p w14:paraId="166B0E9B">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60B5B6CE">
            <w:pPr>
              <w:jc w:val="center"/>
              <w:rPr>
                <w:rFonts w:ascii="宋体" w:hAnsi="宋体"/>
                <w:color w:val="auto"/>
              </w:rPr>
            </w:pPr>
            <w:r>
              <w:rPr>
                <w:rFonts w:hint="eastAsia" w:ascii="宋体" w:hAnsi="宋体"/>
                <w:color w:val="auto"/>
              </w:rPr>
              <w:t>ND</w:t>
            </w:r>
          </w:p>
        </w:tc>
        <w:tc>
          <w:tcPr>
            <w:tcW w:w="337" w:type="pct"/>
            <w:shd w:val="clear" w:color="000000" w:fill="FFFFFF"/>
            <w:vAlign w:val="center"/>
          </w:tcPr>
          <w:p w14:paraId="40FFB497">
            <w:pPr>
              <w:jc w:val="center"/>
              <w:rPr>
                <w:rFonts w:ascii="宋体" w:hAnsi="宋体"/>
                <w:color w:val="auto"/>
              </w:rPr>
            </w:pPr>
            <w:r>
              <w:rPr>
                <w:rFonts w:hint="eastAsia" w:ascii="宋体" w:hAnsi="宋体"/>
                <w:color w:val="auto"/>
              </w:rPr>
              <w:t>ND</w:t>
            </w:r>
          </w:p>
        </w:tc>
        <w:tc>
          <w:tcPr>
            <w:tcW w:w="339" w:type="pct"/>
            <w:shd w:val="clear" w:color="000000" w:fill="FFFFFF"/>
            <w:vAlign w:val="center"/>
          </w:tcPr>
          <w:p w14:paraId="282D08D9">
            <w:pPr>
              <w:jc w:val="center"/>
              <w:rPr>
                <w:rFonts w:ascii="宋体" w:hAnsi="宋体"/>
                <w:bCs/>
                <w:color w:val="auto"/>
              </w:rPr>
            </w:pPr>
            <w:r>
              <w:rPr>
                <w:rFonts w:hint="eastAsia" w:ascii="宋体" w:hAnsi="宋体"/>
                <w:color w:val="auto"/>
              </w:rPr>
              <w:t>ND</w:t>
            </w:r>
          </w:p>
        </w:tc>
        <w:tc>
          <w:tcPr>
            <w:tcW w:w="338" w:type="pct"/>
            <w:shd w:val="clear" w:color="000000" w:fill="FFFFFF"/>
            <w:vAlign w:val="center"/>
          </w:tcPr>
          <w:p w14:paraId="3EBC3BAD">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65461A50">
            <w:pPr>
              <w:jc w:val="center"/>
              <w:rPr>
                <w:rFonts w:ascii="宋体" w:hAnsi="宋体"/>
                <w:color w:val="auto"/>
              </w:rPr>
            </w:pPr>
            <w:r>
              <w:rPr>
                <w:rFonts w:hint="eastAsia" w:ascii="宋体" w:hAnsi="宋体"/>
                <w:color w:val="auto"/>
              </w:rPr>
              <w:t>ND</w:t>
            </w:r>
          </w:p>
        </w:tc>
        <w:tc>
          <w:tcPr>
            <w:tcW w:w="372" w:type="pct"/>
            <w:shd w:val="clear" w:color="000000" w:fill="FFFFFF"/>
            <w:vAlign w:val="center"/>
          </w:tcPr>
          <w:p w14:paraId="6A9E6716">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3A62E52F">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4D6A0A5A">
            <w:pPr>
              <w:jc w:val="center"/>
              <w:rPr>
                <w:rFonts w:ascii="宋体" w:hAnsi="宋体"/>
                <w:color w:val="auto"/>
              </w:rPr>
            </w:pPr>
            <w:r>
              <w:rPr>
                <w:rFonts w:ascii="宋体" w:hAnsi="宋体" w:cs="宋体"/>
                <w:color w:val="auto"/>
                <w:kern w:val="0"/>
              </w:rPr>
              <w:t>≤0.</w:t>
            </w:r>
            <w:r>
              <w:rPr>
                <w:rFonts w:hint="eastAsia" w:ascii="宋体" w:hAnsi="宋体" w:cs="宋体"/>
                <w:color w:val="auto"/>
                <w:kern w:val="0"/>
              </w:rPr>
              <w:t>05</w:t>
            </w:r>
          </w:p>
        </w:tc>
        <w:tc>
          <w:tcPr>
            <w:tcW w:w="231" w:type="pct"/>
            <w:shd w:val="clear" w:color="000000" w:fill="FFFFFF"/>
            <w:vAlign w:val="center"/>
          </w:tcPr>
          <w:p w14:paraId="613F1D1D">
            <w:pPr>
              <w:jc w:val="center"/>
              <w:rPr>
                <w:rFonts w:ascii="宋体" w:hAnsi="宋体"/>
                <w:color w:val="auto"/>
              </w:rPr>
            </w:pPr>
            <w:r>
              <w:rPr>
                <w:rFonts w:hint="eastAsia" w:ascii="宋体" w:hAnsi="宋体"/>
                <w:color w:val="auto"/>
              </w:rPr>
              <w:t>达标</w:t>
            </w:r>
          </w:p>
        </w:tc>
      </w:tr>
      <w:tr w14:paraId="37497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6CF36D24">
            <w:pPr>
              <w:widowControl/>
              <w:adjustRightInd w:val="0"/>
              <w:snapToGrid w:val="0"/>
              <w:jc w:val="center"/>
              <w:rPr>
                <w:rFonts w:ascii="宋体" w:hAnsi="宋体"/>
                <w:bCs/>
                <w:color w:val="auto"/>
              </w:rPr>
            </w:pPr>
            <w:r>
              <w:rPr>
                <w:rFonts w:ascii="宋体" w:hAnsi="宋体"/>
                <w:color w:val="auto"/>
                <w:kern w:val="0"/>
              </w:rPr>
              <w:t>亚硝酸盐氮</w:t>
            </w:r>
            <w:r>
              <w:rPr>
                <w:rFonts w:hint="eastAsia" w:ascii="宋体" w:hAnsi="宋体"/>
                <w:bCs/>
                <w:color w:val="auto"/>
              </w:rPr>
              <w:t>(</w:t>
            </w:r>
            <w:r>
              <w:rPr>
                <w:rFonts w:ascii="宋体" w:hAnsi="宋体"/>
                <w:color w:val="auto"/>
                <w:kern w:val="0"/>
              </w:rPr>
              <w:t>mg/L</w:t>
            </w:r>
            <w:r>
              <w:rPr>
                <w:rFonts w:hint="eastAsia" w:ascii="宋体" w:hAnsi="宋体"/>
                <w:bCs/>
                <w:color w:val="auto"/>
              </w:rPr>
              <w:t>)</w:t>
            </w:r>
          </w:p>
        </w:tc>
        <w:tc>
          <w:tcPr>
            <w:tcW w:w="357" w:type="pct"/>
            <w:shd w:val="clear" w:color="000000" w:fill="FFFFFF"/>
            <w:vAlign w:val="center"/>
          </w:tcPr>
          <w:p w14:paraId="2BD7393B">
            <w:pPr>
              <w:widowControl/>
              <w:jc w:val="center"/>
              <w:rPr>
                <w:rFonts w:ascii="宋体" w:hAnsi="宋体"/>
                <w:color w:val="auto"/>
                <w:szCs w:val="22"/>
              </w:rPr>
            </w:pPr>
            <w:r>
              <w:rPr>
                <w:rFonts w:hint="eastAsia" w:ascii="宋体" w:hAnsi="宋体"/>
                <w:color w:val="auto"/>
              </w:rPr>
              <w:t>0.003</w:t>
            </w:r>
          </w:p>
        </w:tc>
        <w:tc>
          <w:tcPr>
            <w:tcW w:w="288" w:type="pct"/>
            <w:shd w:val="clear" w:color="000000" w:fill="FFFFFF"/>
            <w:vAlign w:val="center"/>
          </w:tcPr>
          <w:p w14:paraId="30403C55">
            <w:pPr>
              <w:jc w:val="center"/>
              <w:rPr>
                <w:rFonts w:ascii="宋体" w:hAnsi="宋体"/>
                <w:color w:val="auto"/>
                <w:szCs w:val="22"/>
              </w:rPr>
            </w:pPr>
            <w:r>
              <w:rPr>
                <w:rFonts w:hint="eastAsia" w:ascii="宋体" w:hAnsi="宋体"/>
                <w:color w:val="auto"/>
              </w:rPr>
              <w:t>0.003</w:t>
            </w:r>
          </w:p>
        </w:tc>
        <w:tc>
          <w:tcPr>
            <w:tcW w:w="237" w:type="pct"/>
            <w:shd w:val="clear" w:color="000000" w:fill="FFFFFF"/>
            <w:vAlign w:val="center"/>
          </w:tcPr>
          <w:p w14:paraId="6AB6AB3C">
            <w:pPr>
              <w:jc w:val="center"/>
              <w:rPr>
                <w:rFonts w:ascii="宋体" w:hAnsi="宋体"/>
                <w:color w:val="auto"/>
                <w:szCs w:val="22"/>
              </w:rPr>
            </w:pPr>
            <w:r>
              <w:rPr>
                <w:rFonts w:hint="eastAsia" w:ascii="宋体" w:hAnsi="宋体"/>
                <w:color w:val="auto"/>
              </w:rPr>
              <w:t>0.003</w:t>
            </w:r>
          </w:p>
        </w:tc>
        <w:tc>
          <w:tcPr>
            <w:tcW w:w="321" w:type="pct"/>
            <w:shd w:val="clear" w:color="000000" w:fill="FFFFFF"/>
            <w:vAlign w:val="center"/>
          </w:tcPr>
          <w:p w14:paraId="677D653A">
            <w:pPr>
              <w:jc w:val="center"/>
              <w:rPr>
                <w:rFonts w:ascii="宋体" w:hAnsi="宋体"/>
                <w:color w:val="auto"/>
                <w:szCs w:val="22"/>
              </w:rPr>
            </w:pPr>
            <w:r>
              <w:rPr>
                <w:rFonts w:hint="eastAsia" w:ascii="宋体" w:hAnsi="宋体"/>
                <w:color w:val="auto"/>
              </w:rPr>
              <w:t>0.003</w:t>
            </w:r>
          </w:p>
        </w:tc>
        <w:tc>
          <w:tcPr>
            <w:tcW w:w="255" w:type="pct"/>
            <w:shd w:val="clear" w:color="000000" w:fill="FFFFFF"/>
            <w:vAlign w:val="center"/>
          </w:tcPr>
          <w:p w14:paraId="3837EE05">
            <w:pPr>
              <w:jc w:val="center"/>
              <w:rPr>
                <w:rFonts w:ascii="宋体" w:hAnsi="宋体"/>
                <w:color w:val="auto"/>
              </w:rPr>
            </w:pPr>
            <w:r>
              <w:rPr>
                <w:rFonts w:hint="eastAsia" w:ascii="宋体" w:hAnsi="宋体"/>
                <w:color w:val="auto"/>
              </w:rPr>
              <w:t>0.013</w:t>
            </w:r>
          </w:p>
        </w:tc>
        <w:tc>
          <w:tcPr>
            <w:tcW w:w="338" w:type="pct"/>
            <w:shd w:val="clear" w:color="000000" w:fill="FFFFFF"/>
            <w:vAlign w:val="center"/>
          </w:tcPr>
          <w:p w14:paraId="2F03552A">
            <w:pPr>
              <w:jc w:val="center"/>
              <w:rPr>
                <w:rFonts w:ascii="宋体" w:hAnsi="宋体"/>
                <w:color w:val="auto"/>
              </w:rPr>
            </w:pPr>
            <w:r>
              <w:rPr>
                <w:rFonts w:hint="eastAsia" w:ascii="宋体" w:hAnsi="宋体"/>
                <w:color w:val="auto"/>
              </w:rPr>
              <w:t>0.012</w:t>
            </w:r>
          </w:p>
        </w:tc>
        <w:tc>
          <w:tcPr>
            <w:tcW w:w="337" w:type="pct"/>
            <w:shd w:val="clear" w:color="000000" w:fill="FFFFFF"/>
            <w:vAlign w:val="center"/>
          </w:tcPr>
          <w:p w14:paraId="649DA3BF">
            <w:pPr>
              <w:jc w:val="center"/>
              <w:rPr>
                <w:rFonts w:ascii="宋体" w:hAnsi="宋体"/>
                <w:color w:val="auto"/>
              </w:rPr>
            </w:pPr>
            <w:r>
              <w:rPr>
                <w:rFonts w:hint="eastAsia" w:ascii="宋体" w:hAnsi="宋体"/>
                <w:color w:val="auto"/>
              </w:rPr>
              <w:t>0.013</w:t>
            </w:r>
          </w:p>
        </w:tc>
        <w:tc>
          <w:tcPr>
            <w:tcW w:w="339" w:type="pct"/>
            <w:shd w:val="clear" w:color="000000" w:fill="FFFFFF"/>
            <w:vAlign w:val="center"/>
          </w:tcPr>
          <w:p w14:paraId="5B600DC0">
            <w:pPr>
              <w:jc w:val="center"/>
              <w:rPr>
                <w:rFonts w:ascii="宋体" w:hAnsi="宋体"/>
                <w:bCs/>
                <w:color w:val="auto"/>
              </w:rPr>
            </w:pPr>
            <w:r>
              <w:rPr>
                <w:rFonts w:hint="eastAsia" w:ascii="宋体" w:hAnsi="宋体"/>
                <w:color w:val="auto"/>
              </w:rPr>
              <w:t>0.012</w:t>
            </w:r>
          </w:p>
        </w:tc>
        <w:tc>
          <w:tcPr>
            <w:tcW w:w="338" w:type="pct"/>
            <w:shd w:val="clear" w:color="000000" w:fill="FFFFFF"/>
            <w:vAlign w:val="center"/>
          </w:tcPr>
          <w:p w14:paraId="5852EF26">
            <w:pPr>
              <w:jc w:val="center"/>
              <w:rPr>
                <w:rFonts w:ascii="宋体" w:hAnsi="宋体"/>
                <w:color w:val="auto"/>
              </w:rPr>
            </w:pPr>
            <w:r>
              <w:rPr>
                <w:rFonts w:hint="eastAsia" w:ascii="宋体" w:hAnsi="宋体"/>
                <w:color w:val="auto"/>
              </w:rPr>
              <w:t>0.006</w:t>
            </w:r>
          </w:p>
        </w:tc>
        <w:tc>
          <w:tcPr>
            <w:tcW w:w="338" w:type="pct"/>
            <w:shd w:val="clear" w:color="000000" w:fill="FFFFFF"/>
            <w:vAlign w:val="center"/>
          </w:tcPr>
          <w:p w14:paraId="2981C69A">
            <w:pPr>
              <w:jc w:val="center"/>
              <w:rPr>
                <w:rFonts w:ascii="宋体" w:hAnsi="宋体"/>
                <w:color w:val="auto"/>
              </w:rPr>
            </w:pPr>
            <w:r>
              <w:rPr>
                <w:rFonts w:hint="eastAsia" w:ascii="宋体" w:hAnsi="宋体"/>
                <w:color w:val="auto"/>
              </w:rPr>
              <w:t>0.005</w:t>
            </w:r>
          </w:p>
        </w:tc>
        <w:tc>
          <w:tcPr>
            <w:tcW w:w="372" w:type="pct"/>
            <w:shd w:val="clear" w:color="000000" w:fill="FFFFFF"/>
            <w:vAlign w:val="center"/>
          </w:tcPr>
          <w:p w14:paraId="100DDAE8">
            <w:pPr>
              <w:jc w:val="center"/>
              <w:rPr>
                <w:rFonts w:ascii="宋体" w:hAnsi="宋体"/>
                <w:color w:val="auto"/>
              </w:rPr>
            </w:pPr>
            <w:r>
              <w:rPr>
                <w:rFonts w:hint="eastAsia" w:ascii="宋体" w:hAnsi="宋体"/>
                <w:color w:val="auto"/>
              </w:rPr>
              <w:t>0.006</w:t>
            </w:r>
          </w:p>
        </w:tc>
        <w:tc>
          <w:tcPr>
            <w:tcW w:w="454" w:type="pct"/>
            <w:shd w:val="clear" w:color="000000" w:fill="FFFFFF"/>
            <w:vAlign w:val="center"/>
          </w:tcPr>
          <w:p w14:paraId="6DC34D45">
            <w:pPr>
              <w:jc w:val="center"/>
              <w:rPr>
                <w:rFonts w:ascii="宋体" w:hAnsi="宋体"/>
                <w:color w:val="auto"/>
              </w:rPr>
            </w:pPr>
            <w:r>
              <w:rPr>
                <w:rFonts w:hint="eastAsia" w:ascii="宋体" w:hAnsi="宋体"/>
                <w:color w:val="auto"/>
              </w:rPr>
              <w:t>0.005</w:t>
            </w:r>
          </w:p>
        </w:tc>
        <w:tc>
          <w:tcPr>
            <w:tcW w:w="454" w:type="pct"/>
            <w:shd w:val="clear" w:color="000000" w:fill="FFFFFF"/>
            <w:vAlign w:val="center"/>
          </w:tcPr>
          <w:p w14:paraId="7DD581AC">
            <w:pPr>
              <w:jc w:val="center"/>
              <w:rPr>
                <w:rFonts w:ascii="宋体" w:hAnsi="宋体"/>
                <w:color w:val="auto"/>
              </w:rPr>
            </w:pPr>
            <w:r>
              <w:rPr>
                <w:rFonts w:ascii="宋体" w:hAnsi="宋体" w:cs="宋体"/>
                <w:color w:val="auto"/>
                <w:kern w:val="0"/>
              </w:rPr>
              <w:t>≤0.</w:t>
            </w:r>
            <w:r>
              <w:rPr>
                <w:rFonts w:hint="eastAsia" w:ascii="宋体" w:hAnsi="宋体" w:cs="宋体"/>
                <w:color w:val="auto"/>
                <w:kern w:val="0"/>
              </w:rPr>
              <w:t>02</w:t>
            </w:r>
          </w:p>
        </w:tc>
        <w:tc>
          <w:tcPr>
            <w:tcW w:w="231" w:type="pct"/>
            <w:shd w:val="clear" w:color="000000" w:fill="FFFFFF"/>
            <w:vAlign w:val="center"/>
          </w:tcPr>
          <w:p w14:paraId="43200FC4">
            <w:pPr>
              <w:jc w:val="center"/>
              <w:rPr>
                <w:rFonts w:ascii="宋体" w:hAnsi="宋体"/>
                <w:color w:val="auto"/>
              </w:rPr>
            </w:pPr>
            <w:r>
              <w:rPr>
                <w:rFonts w:hint="eastAsia" w:ascii="宋体" w:hAnsi="宋体"/>
                <w:color w:val="auto"/>
              </w:rPr>
              <w:t>达标</w:t>
            </w:r>
          </w:p>
        </w:tc>
      </w:tr>
      <w:tr w14:paraId="21588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0D5518EB">
            <w:pPr>
              <w:widowControl/>
              <w:adjustRightInd w:val="0"/>
              <w:snapToGrid w:val="0"/>
              <w:jc w:val="center"/>
              <w:rPr>
                <w:rFonts w:ascii="宋体" w:hAnsi="宋体"/>
                <w:bCs/>
                <w:color w:val="auto"/>
              </w:rPr>
            </w:pPr>
            <w:r>
              <w:rPr>
                <w:rFonts w:ascii="宋体" w:hAnsi="宋体"/>
                <w:bCs/>
                <w:color w:val="auto"/>
              </w:rPr>
              <w:t>钠</w:t>
            </w:r>
            <w:r>
              <w:rPr>
                <w:rFonts w:hint="eastAsia" w:ascii="宋体" w:hAnsi="宋体"/>
                <w:bCs/>
                <w:color w:val="auto"/>
              </w:rPr>
              <w:t>(</w:t>
            </w:r>
            <w:r>
              <w:rPr>
                <w:rFonts w:ascii="宋体" w:hAnsi="宋体"/>
                <w:bCs/>
                <w:color w:val="auto"/>
              </w:rPr>
              <w:t>mg/L</w:t>
            </w:r>
            <w:r>
              <w:rPr>
                <w:rFonts w:hint="eastAsia" w:ascii="宋体" w:hAnsi="宋体"/>
                <w:bCs/>
                <w:color w:val="auto"/>
              </w:rPr>
              <w:t>)</w:t>
            </w:r>
          </w:p>
        </w:tc>
        <w:tc>
          <w:tcPr>
            <w:tcW w:w="357" w:type="pct"/>
            <w:shd w:val="clear" w:color="000000" w:fill="FFFFFF"/>
            <w:vAlign w:val="center"/>
          </w:tcPr>
          <w:p w14:paraId="7D4A4609">
            <w:pPr>
              <w:widowControl/>
              <w:jc w:val="center"/>
              <w:rPr>
                <w:rFonts w:ascii="宋体" w:hAnsi="宋体"/>
                <w:color w:val="auto"/>
                <w:szCs w:val="22"/>
              </w:rPr>
            </w:pPr>
            <w:r>
              <w:rPr>
                <w:rFonts w:hint="eastAsia" w:ascii="宋体" w:hAnsi="宋体"/>
                <w:color w:val="auto"/>
              </w:rPr>
              <w:t>473</w:t>
            </w:r>
          </w:p>
        </w:tc>
        <w:tc>
          <w:tcPr>
            <w:tcW w:w="288" w:type="pct"/>
            <w:shd w:val="clear" w:color="000000" w:fill="FFFFFF"/>
            <w:vAlign w:val="center"/>
          </w:tcPr>
          <w:p w14:paraId="0666B512">
            <w:pPr>
              <w:jc w:val="center"/>
              <w:rPr>
                <w:rFonts w:ascii="宋体" w:hAnsi="宋体"/>
                <w:color w:val="auto"/>
                <w:szCs w:val="22"/>
              </w:rPr>
            </w:pPr>
            <w:r>
              <w:rPr>
                <w:rFonts w:hint="eastAsia" w:ascii="宋体" w:hAnsi="宋体"/>
                <w:color w:val="auto"/>
              </w:rPr>
              <w:t>472</w:t>
            </w:r>
          </w:p>
        </w:tc>
        <w:tc>
          <w:tcPr>
            <w:tcW w:w="237" w:type="pct"/>
            <w:shd w:val="clear" w:color="000000" w:fill="FFFFFF"/>
            <w:vAlign w:val="center"/>
          </w:tcPr>
          <w:p w14:paraId="5F7A6AE7">
            <w:pPr>
              <w:jc w:val="center"/>
              <w:rPr>
                <w:rFonts w:ascii="宋体" w:hAnsi="宋体"/>
                <w:color w:val="auto"/>
                <w:szCs w:val="22"/>
              </w:rPr>
            </w:pPr>
            <w:r>
              <w:rPr>
                <w:rFonts w:hint="eastAsia" w:ascii="宋体" w:hAnsi="宋体"/>
                <w:color w:val="auto"/>
              </w:rPr>
              <w:t>464</w:t>
            </w:r>
          </w:p>
        </w:tc>
        <w:tc>
          <w:tcPr>
            <w:tcW w:w="321" w:type="pct"/>
            <w:shd w:val="clear" w:color="000000" w:fill="FFFFFF"/>
            <w:vAlign w:val="center"/>
          </w:tcPr>
          <w:p w14:paraId="13333741">
            <w:pPr>
              <w:jc w:val="center"/>
              <w:rPr>
                <w:rFonts w:ascii="宋体" w:hAnsi="宋体"/>
                <w:color w:val="auto"/>
                <w:szCs w:val="22"/>
              </w:rPr>
            </w:pPr>
            <w:r>
              <w:rPr>
                <w:rFonts w:hint="eastAsia" w:ascii="宋体" w:hAnsi="宋体"/>
                <w:color w:val="auto"/>
              </w:rPr>
              <w:t>476</w:t>
            </w:r>
          </w:p>
        </w:tc>
        <w:tc>
          <w:tcPr>
            <w:tcW w:w="255" w:type="pct"/>
            <w:shd w:val="clear" w:color="000000" w:fill="FFFFFF"/>
            <w:vAlign w:val="center"/>
          </w:tcPr>
          <w:p w14:paraId="707AD970">
            <w:pPr>
              <w:jc w:val="center"/>
              <w:rPr>
                <w:rFonts w:ascii="宋体" w:hAnsi="宋体"/>
                <w:color w:val="auto"/>
              </w:rPr>
            </w:pPr>
            <w:r>
              <w:rPr>
                <w:rFonts w:hint="eastAsia" w:ascii="宋体" w:hAnsi="宋体"/>
                <w:color w:val="auto"/>
              </w:rPr>
              <w:t>431</w:t>
            </w:r>
          </w:p>
        </w:tc>
        <w:tc>
          <w:tcPr>
            <w:tcW w:w="338" w:type="pct"/>
            <w:shd w:val="clear" w:color="000000" w:fill="FFFFFF"/>
            <w:vAlign w:val="center"/>
          </w:tcPr>
          <w:p w14:paraId="5C591B17">
            <w:pPr>
              <w:jc w:val="center"/>
              <w:rPr>
                <w:rFonts w:ascii="宋体" w:hAnsi="宋体"/>
                <w:color w:val="auto"/>
              </w:rPr>
            </w:pPr>
            <w:r>
              <w:rPr>
                <w:rFonts w:hint="eastAsia" w:ascii="宋体" w:hAnsi="宋体"/>
                <w:color w:val="auto"/>
              </w:rPr>
              <w:t>424</w:t>
            </w:r>
          </w:p>
        </w:tc>
        <w:tc>
          <w:tcPr>
            <w:tcW w:w="337" w:type="pct"/>
            <w:shd w:val="clear" w:color="000000" w:fill="FFFFFF"/>
            <w:vAlign w:val="center"/>
          </w:tcPr>
          <w:p w14:paraId="7B5D6E3B">
            <w:pPr>
              <w:jc w:val="center"/>
              <w:rPr>
                <w:rFonts w:ascii="宋体" w:hAnsi="宋体"/>
                <w:color w:val="auto"/>
              </w:rPr>
            </w:pPr>
            <w:r>
              <w:rPr>
                <w:rFonts w:hint="eastAsia" w:ascii="宋体" w:hAnsi="宋体"/>
                <w:color w:val="auto"/>
              </w:rPr>
              <w:t>408</w:t>
            </w:r>
          </w:p>
        </w:tc>
        <w:tc>
          <w:tcPr>
            <w:tcW w:w="339" w:type="pct"/>
            <w:shd w:val="clear" w:color="000000" w:fill="FFFFFF"/>
            <w:vAlign w:val="center"/>
          </w:tcPr>
          <w:p w14:paraId="09FA6950">
            <w:pPr>
              <w:jc w:val="center"/>
              <w:rPr>
                <w:rFonts w:ascii="宋体" w:hAnsi="宋体"/>
                <w:bCs/>
                <w:color w:val="auto"/>
              </w:rPr>
            </w:pPr>
            <w:r>
              <w:rPr>
                <w:rFonts w:hint="eastAsia" w:ascii="宋体" w:hAnsi="宋体"/>
                <w:color w:val="auto"/>
              </w:rPr>
              <w:t>419</w:t>
            </w:r>
          </w:p>
        </w:tc>
        <w:tc>
          <w:tcPr>
            <w:tcW w:w="338" w:type="pct"/>
            <w:shd w:val="clear" w:color="000000" w:fill="FFFFFF"/>
            <w:vAlign w:val="center"/>
          </w:tcPr>
          <w:p w14:paraId="5F37E6B6">
            <w:pPr>
              <w:jc w:val="center"/>
              <w:rPr>
                <w:rFonts w:ascii="宋体" w:hAnsi="宋体"/>
                <w:color w:val="auto"/>
              </w:rPr>
            </w:pPr>
            <w:r>
              <w:rPr>
                <w:rFonts w:hint="eastAsia" w:ascii="宋体" w:hAnsi="宋体"/>
                <w:color w:val="auto"/>
              </w:rPr>
              <w:t>461</w:t>
            </w:r>
          </w:p>
        </w:tc>
        <w:tc>
          <w:tcPr>
            <w:tcW w:w="338" w:type="pct"/>
            <w:shd w:val="clear" w:color="000000" w:fill="FFFFFF"/>
            <w:vAlign w:val="center"/>
          </w:tcPr>
          <w:p w14:paraId="040AE446">
            <w:pPr>
              <w:jc w:val="center"/>
              <w:rPr>
                <w:rFonts w:ascii="宋体" w:hAnsi="宋体"/>
                <w:color w:val="auto"/>
              </w:rPr>
            </w:pPr>
            <w:r>
              <w:rPr>
                <w:rFonts w:hint="eastAsia" w:ascii="宋体" w:hAnsi="宋体"/>
                <w:color w:val="auto"/>
              </w:rPr>
              <w:t>450</w:t>
            </w:r>
          </w:p>
        </w:tc>
        <w:tc>
          <w:tcPr>
            <w:tcW w:w="372" w:type="pct"/>
            <w:shd w:val="clear" w:color="000000" w:fill="FFFFFF"/>
            <w:vAlign w:val="center"/>
          </w:tcPr>
          <w:p w14:paraId="73EC709B">
            <w:pPr>
              <w:jc w:val="center"/>
              <w:rPr>
                <w:rFonts w:ascii="宋体" w:hAnsi="宋体"/>
                <w:color w:val="auto"/>
              </w:rPr>
            </w:pPr>
            <w:r>
              <w:rPr>
                <w:rFonts w:hint="eastAsia" w:ascii="宋体" w:hAnsi="宋体"/>
                <w:color w:val="auto"/>
              </w:rPr>
              <w:t>445</w:t>
            </w:r>
          </w:p>
        </w:tc>
        <w:tc>
          <w:tcPr>
            <w:tcW w:w="454" w:type="pct"/>
            <w:shd w:val="clear" w:color="000000" w:fill="FFFFFF"/>
            <w:vAlign w:val="center"/>
          </w:tcPr>
          <w:p w14:paraId="4EC6EFAA">
            <w:pPr>
              <w:jc w:val="center"/>
              <w:rPr>
                <w:rFonts w:ascii="宋体" w:hAnsi="宋体"/>
                <w:color w:val="auto"/>
              </w:rPr>
            </w:pPr>
            <w:r>
              <w:rPr>
                <w:rFonts w:hint="eastAsia" w:ascii="宋体" w:hAnsi="宋体"/>
                <w:color w:val="auto"/>
              </w:rPr>
              <w:t>442</w:t>
            </w:r>
          </w:p>
        </w:tc>
        <w:tc>
          <w:tcPr>
            <w:tcW w:w="454" w:type="pct"/>
            <w:shd w:val="clear" w:color="000000" w:fill="FFFFFF"/>
            <w:vAlign w:val="center"/>
          </w:tcPr>
          <w:p w14:paraId="17070A1E">
            <w:pPr>
              <w:jc w:val="center"/>
              <w:rPr>
                <w:rFonts w:ascii="宋体" w:hAnsi="宋体"/>
                <w:color w:val="auto"/>
              </w:rPr>
            </w:pPr>
            <w:r>
              <w:rPr>
                <w:rFonts w:hint="eastAsia" w:ascii="宋体" w:hAnsi="宋体"/>
                <w:color w:val="auto"/>
              </w:rPr>
              <w:t>/</w:t>
            </w:r>
          </w:p>
        </w:tc>
        <w:tc>
          <w:tcPr>
            <w:tcW w:w="231" w:type="pct"/>
            <w:shd w:val="clear" w:color="000000" w:fill="FFFFFF"/>
            <w:vAlign w:val="center"/>
          </w:tcPr>
          <w:p w14:paraId="50A7C066">
            <w:pPr>
              <w:jc w:val="center"/>
              <w:rPr>
                <w:rFonts w:ascii="宋体" w:hAnsi="宋体"/>
                <w:color w:val="auto"/>
              </w:rPr>
            </w:pPr>
            <w:r>
              <w:rPr>
                <w:rFonts w:hint="eastAsia" w:ascii="宋体" w:hAnsi="宋体"/>
                <w:color w:val="auto"/>
              </w:rPr>
              <w:t>/</w:t>
            </w:r>
          </w:p>
        </w:tc>
      </w:tr>
      <w:tr w14:paraId="44324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5C4C8C1F">
            <w:pPr>
              <w:widowControl/>
              <w:adjustRightInd w:val="0"/>
              <w:snapToGrid w:val="0"/>
              <w:jc w:val="center"/>
              <w:rPr>
                <w:rFonts w:ascii="宋体" w:hAnsi="宋体"/>
                <w:bCs/>
                <w:color w:val="auto"/>
              </w:rPr>
            </w:pPr>
            <w:r>
              <w:rPr>
                <w:rFonts w:ascii="宋体" w:hAnsi="宋体"/>
                <w:color w:val="auto"/>
              </w:rPr>
              <w:t>苯</w:t>
            </w:r>
            <w:r>
              <w:rPr>
                <w:rFonts w:hint="eastAsia" w:ascii="宋体" w:hAnsi="宋体"/>
                <w:bCs/>
                <w:color w:val="auto"/>
              </w:rPr>
              <w:t>(</w:t>
            </w:r>
            <w:r>
              <w:rPr>
                <w:rFonts w:ascii="宋体" w:hAnsi="宋体"/>
                <w:color w:val="auto"/>
              </w:rPr>
              <w:t>µg/L</w:t>
            </w:r>
            <w:r>
              <w:rPr>
                <w:rFonts w:hint="eastAsia" w:ascii="宋体" w:hAnsi="宋体"/>
                <w:bCs/>
                <w:color w:val="auto"/>
              </w:rPr>
              <w:t>)</w:t>
            </w:r>
          </w:p>
        </w:tc>
        <w:tc>
          <w:tcPr>
            <w:tcW w:w="357" w:type="pct"/>
            <w:shd w:val="clear" w:color="000000" w:fill="FFFFFF"/>
            <w:vAlign w:val="center"/>
          </w:tcPr>
          <w:p w14:paraId="13EFA018">
            <w:pPr>
              <w:widowControl/>
              <w:jc w:val="center"/>
              <w:rPr>
                <w:rFonts w:ascii="宋体" w:hAnsi="宋体"/>
                <w:color w:val="auto"/>
                <w:szCs w:val="22"/>
              </w:rPr>
            </w:pPr>
            <w:r>
              <w:rPr>
                <w:rFonts w:hint="eastAsia" w:ascii="宋体" w:hAnsi="宋体"/>
                <w:color w:val="auto"/>
              </w:rPr>
              <w:t>ND</w:t>
            </w:r>
          </w:p>
        </w:tc>
        <w:tc>
          <w:tcPr>
            <w:tcW w:w="288" w:type="pct"/>
            <w:shd w:val="clear" w:color="000000" w:fill="FFFFFF"/>
            <w:vAlign w:val="center"/>
          </w:tcPr>
          <w:p w14:paraId="42EC717D">
            <w:pPr>
              <w:jc w:val="center"/>
              <w:rPr>
                <w:rFonts w:ascii="宋体" w:hAnsi="宋体"/>
                <w:color w:val="auto"/>
                <w:szCs w:val="22"/>
              </w:rPr>
            </w:pPr>
            <w:r>
              <w:rPr>
                <w:rFonts w:hint="eastAsia" w:ascii="宋体" w:hAnsi="宋体"/>
                <w:color w:val="auto"/>
              </w:rPr>
              <w:t>ND</w:t>
            </w:r>
          </w:p>
        </w:tc>
        <w:tc>
          <w:tcPr>
            <w:tcW w:w="237" w:type="pct"/>
            <w:shd w:val="clear" w:color="000000" w:fill="FFFFFF"/>
            <w:vAlign w:val="center"/>
          </w:tcPr>
          <w:p w14:paraId="141F96AB">
            <w:pPr>
              <w:jc w:val="center"/>
              <w:rPr>
                <w:rFonts w:ascii="宋体" w:hAnsi="宋体"/>
                <w:color w:val="auto"/>
                <w:szCs w:val="22"/>
              </w:rPr>
            </w:pPr>
            <w:r>
              <w:rPr>
                <w:rFonts w:hint="eastAsia" w:ascii="宋体" w:hAnsi="宋体"/>
                <w:color w:val="auto"/>
              </w:rPr>
              <w:t>ND</w:t>
            </w:r>
          </w:p>
        </w:tc>
        <w:tc>
          <w:tcPr>
            <w:tcW w:w="321" w:type="pct"/>
            <w:shd w:val="clear" w:color="000000" w:fill="FFFFFF"/>
            <w:vAlign w:val="center"/>
          </w:tcPr>
          <w:p w14:paraId="6E472137">
            <w:pPr>
              <w:jc w:val="center"/>
              <w:rPr>
                <w:rFonts w:ascii="宋体" w:hAnsi="宋体"/>
                <w:color w:val="auto"/>
                <w:szCs w:val="22"/>
              </w:rPr>
            </w:pPr>
            <w:r>
              <w:rPr>
                <w:rFonts w:hint="eastAsia" w:ascii="宋体" w:hAnsi="宋体"/>
                <w:color w:val="auto"/>
              </w:rPr>
              <w:t>ND</w:t>
            </w:r>
          </w:p>
        </w:tc>
        <w:tc>
          <w:tcPr>
            <w:tcW w:w="255" w:type="pct"/>
            <w:shd w:val="clear" w:color="000000" w:fill="FFFFFF"/>
            <w:vAlign w:val="center"/>
          </w:tcPr>
          <w:p w14:paraId="7DBE74AB">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0464E247">
            <w:pPr>
              <w:jc w:val="center"/>
              <w:rPr>
                <w:rFonts w:ascii="宋体" w:hAnsi="宋体"/>
                <w:color w:val="auto"/>
              </w:rPr>
            </w:pPr>
            <w:r>
              <w:rPr>
                <w:rFonts w:hint="eastAsia" w:ascii="宋体" w:hAnsi="宋体"/>
                <w:color w:val="auto"/>
              </w:rPr>
              <w:t>ND</w:t>
            </w:r>
          </w:p>
        </w:tc>
        <w:tc>
          <w:tcPr>
            <w:tcW w:w="337" w:type="pct"/>
            <w:shd w:val="clear" w:color="000000" w:fill="FFFFFF"/>
            <w:vAlign w:val="center"/>
          </w:tcPr>
          <w:p w14:paraId="0673887B">
            <w:pPr>
              <w:jc w:val="center"/>
              <w:rPr>
                <w:rFonts w:ascii="宋体" w:hAnsi="宋体"/>
                <w:color w:val="auto"/>
              </w:rPr>
            </w:pPr>
            <w:r>
              <w:rPr>
                <w:rFonts w:hint="eastAsia" w:ascii="宋体" w:hAnsi="宋体"/>
                <w:color w:val="auto"/>
              </w:rPr>
              <w:t>ND</w:t>
            </w:r>
          </w:p>
        </w:tc>
        <w:tc>
          <w:tcPr>
            <w:tcW w:w="339" w:type="pct"/>
            <w:shd w:val="clear" w:color="000000" w:fill="FFFFFF"/>
            <w:vAlign w:val="center"/>
          </w:tcPr>
          <w:p w14:paraId="127A15B8">
            <w:pPr>
              <w:jc w:val="center"/>
              <w:rPr>
                <w:rFonts w:ascii="宋体" w:hAnsi="宋体"/>
                <w:bCs/>
                <w:color w:val="auto"/>
              </w:rPr>
            </w:pPr>
            <w:r>
              <w:rPr>
                <w:rFonts w:hint="eastAsia" w:ascii="宋体" w:hAnsi="宋体"/>
                <w:color w:val="auto"/>
              </w:rPr>
              <w:t>ND</w:t>
            </w:r>
          </w:p>
        </w:tc>
        <w:tc>
          <w:tcPr>
            <w:tcW w:w="338" w:type="pct"/>
            <w:shd w:val="clear" w:color="000000" w:fill="FFFFFF"/>
            <w:vAlign w:val="center"/>
          </w:tcPr>
          <w:p w14:paraId="203A9491">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0678BB48">
            <w:pPr>
              <w:jc w:val="center"/>
              <w:rPr>
                <w:rFonts w:ascii="宋体" w:hAnsi="宋体"/>
                <w:color w:val="auto"/>
              </w:rPr>
            </w:pPr>
            <w:r>
              <w:rPr>
                <w:rFonts w:hint="eastAsia" w:ascii="宋体" w:hAnsi="宋体"/>
                <w:color w:val="auto"/>
              </w:rPr>
              <w:t>ND</w:t>
            </w:r>
          </w:p>
        </w:tc>
        <w:tc>
          <w:tcPr>
            <w:tcW w:w="372" w:type="pct"/>
            <w:shd w:val="clear" w:color="000000" w:fill="FFFFFF"/>
            <w:vAlign w:val="center"/>
          </w:tcPr>
          <w:p w14:paraId="52137879">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04921A97">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367CAD6E">
            <w:pPr>
              <w:jc w:val="center"/>
              <w:rPr>
                <w:rFonts w:ascii="宋体" w:hAnsi="宋体"/>
                <w:color w:val="auto"/>
              </w:rPr>
            </w:pPr>
            <w:r>
              <w:rPr>
                <w:rFonts w:hint="eastAsia" w:ascii="宋体" w:hAnsi="宋体"/>
                <w:color w:val="auto"/>
              </w:rPr>
              <w:t>/</w:t>
            </w:r>
          </w:p>
        </w:tc>
        <w:tc>
          <w:tcPr>
            <w:tcW w:w="231" w:type="pct"/>
            <w:shd w:val="clear" w:color="000000" w:fill="FFFFFF"/>
            <w:vAlign w:val="center"/>
          </w:tcPr>
          <w:p w14:paraId="1D5C3A6D">
            <w:pPr>
              <w:jc w:val="center"/>
              <w:rPr>
                <w:rFonts w:ascii="宋体" w:hAnsi="宋体"/>
                <w:color w:val="auto"/>
              </w:rPr>
            </w:pPr>
            <w:r>
              <w:rPr>
                <w:rFonts w:hint="eastAsia" w:ascii="宋体" w:hAnsi="宋体"/>
                <w:color w:val="auto"/>
              </w:rPr>
              <w:t>/</w:t>
            </w:r>
          </w:p>
        </w:tc>
      </w:tr>
      <w:tr w14:paraId="2FDA4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17E3BD96">
            <w:pPr>
              <w:widowControl/>
              <w:adjustRightInd w:val="0"/>
              <w:snapToGrid w:val="0"/>
              <w:jc w:val="center"/>
              <w:rPr>
                <w:rFonts w:ascii="宋体" w:hAnsi="宋体"/>
                <w:bCs/>
                <w:color w:val="auto"/>
              </w:rPr>
            </w:pPr>
            <w:r>
              <w:rPr>
                <w:rFonts w:ascii="宋体" w:hAnsi="宋体"/>
                <w:color w:val="auto"/>
              </w:rPr>
              <w:t>甲苯</w:t>
            </w:r>
            <w:r>
              <w:rPr>
                <w:rFonts w:hint="eastAsia" w:ascii="宋体" w:hAnsi="宋体"/>
                <w:bCs/>
                <w:color w:val="auto"/>
              </w:rPr>
              <w:t>(</w:t>
            </w:r>
            <w:r>
              <w:rPr>
                <w:rFonts w:ascii="宋体" w:hAnsi="宋体"/>
                <w:color w:val="auto"/>
              </w:rPr>
              <w:t>µg/L</w:t>
            </w:r>
            <w:r>
              <w:rPr>
                <w:rFonts w:hint="eastAsia" w:ascii="宋体" w:hAnsi="宋体"/>
                <w:bCs/>
                <w:color w:val="auto"/>
              </w:rPr>
              <w:t>)</w:t>
            </w:r>
          </w:p>
        </w:tc>
        <w:tc>
          <w:tcPr>
            <w:tcW w:w="357" w:type="pct"/>
            <w:shd w:val="clear" w:color="000000" w:fill="FFFFFF"/>
            <w:vAlign w:val="center"/>
          </w:tcPr>
          <w:p w14:paraId="5F33196D">
            <w:pPr>
              <w:widowControl/>
              <w:jc w:val="center"/>
              <w:rPr>
                <w:rFonts w:ascii="宋体" w:hAnsi="宋体"/>
                <w:color w:val="auto"/>
                <w:szCs w:val="22"/>
              </w:rPr>
            </w:pPr>
            <w:r>
              <w:rPr>
                <w:rFonts w:hint="eastAsia" w:ascii="宋体" w:hAnsi="宋体"/>
                <w:color w:val="auto"/>
              </w:rPr>
              <w:t>ND</w:t>
            </w:r>
          </w:p>
        </w:tc>
        <w:tc>
          <w:tcPr>
            <w:tcW w:w="288" w:type="pct"/>
            <w:shd w:val="clear" w:color="000000" w:fill="FFFFFF"/>
            <w:vAlign w:val="center"/>
          </w:tcPr>
          <w:p w14:paraId="154DB917">
            <w:pPr>
              <w:jc w:val="center"/>
              <w:rPr>
                <w:rFonts w:ascii="宋体" w:hAnsi="宋体"/>
                <w:color w:val="auto"/>
                <w:szCs w:val="22"/>
              </w:rPr>
            </w:pPr>
            <w:r>
              <w:rPr>
                <w:rFonts w:hint="eastAsia" w:ascii="宋体" w:hAnsi="宋体"/>
                <w:color w:val="auto"/>
              </w:rPr>
              <w:t>ND</w:t>
            </w:r>
          </w:p>
        </w:tc>
        <w:tc>
          <w:tcPr>
            <w:tcW w:w="237" w:type="pct"/>
            <w:shd w:val="clear" w:color="000000" w:fill="FFFFFF"/>
            <w:vAlign w:val="center"/>
          </w:tcPr>
          <w:p w14:paraId="0396291C">
            <w:pPr>
              <w:jc w:val="center"/>
              <w:rPr>
                <w:rFonts w:ascii="宋体" w:hAnsi="宋体"/>
                <w:color w:val="auto"/>
                <w:szCs w:val="22"/>
              </w:rPr>
            </w:pPr>
            <w:r>
              <w:rPr>
                <w:rFonts w:hint="eastAsia" w:ascii="宋体" w:hAnsi="宋体"/>
                <w:color w:val="auto"/>
              </w:rPr>
              <w:t>ND</w:t>
            </w:r>
          </w:p>
        </w:tc>
        <w:tc>
          <w:tcPr>
            <w:tcW w:w="321" w:type="pct"/>
            <w:shd w:val="clear" w:color="000000" w:fill="FFFFFF"/>
            <w:vAlign w:val="center"/>
          </w:tcPr>
          <w:p w14:paraId="61B0241A">
            <w:pPr>
              <w:jc w:val="center"/>
              <w:rPr>
                <w:rFonts w:ascii="宋体" w:hAnsi="宋体"/>
                <w:color w:val="auto"/>
                <w:szCs w:val="22"/>
              </w:rPr>
            </w:pPr>
            <w:r>
              <w:rPr>
                <w:rFonts w:hint="eastAsia" w:ascii="宋体" w:hAnsi="宋体"/>
                <w:color w:val="auto"/>
              </w:rPr>
              <w:t>ND</w:t>
            </w:r>
          </w:p>
        </w:tc>
        <w:tc>
          <w:tcPr>
            <w:tcW w:w="255" w:type="pct"/>
            <w:shd w:val="clear" w:color="000000" w:fill="FFFFFF"/>
            <w:vAlign w:val="center"/>
          </w:tcPr>
          <w:p w14:paraId="72D86BAF">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413B3483">
            <w:pPr>
              <w:jc w:val="center"/>
              <w:rPr>
                <w:rFonts w:ascii="宋体" w:hAnsi="宋体"/>
                <w:color w:val="auto"/>
              </w:rPr>
            </w:pPr>
            <w:r>
              <w:rPr>
                <w:rFonts w:hint="eastAsia" w:ascii="宋体" w:hAnsi="宋体"/>
                <w:color w:val="auto"/>
              </w:rPr>
              <w:t>ND</w:t>
            </w:r>
          </w:p>
        </w:tc>
        <w:tc>
          <w:tcPr>
            <w:tcW w:w="337" w:type="pct"/>
            <w:shd w:val="clear" w:color="000000" w:fill="FFFFFF"/>
            <w:vAlign w:val="center"/>
          </w:tcPr>
          <w:p w14:paraId="4DF7FA51">
            <w:pPr>
              <w:jc w:val="center"/>
              <w:rPr>
                <w:rFonts w:ascii="宋体" w:hAnsi="宋体"/>
                <w:color w:val="auto"/>
              </w:rPr>
            </w:pPr>
            <w:r>
              <w:rPr>
                <w:rFonts w:hint="eastAsia" w:ascii="宋体" w:hAnsi="宋体"/>
                <w:color w:val="auto"/>
              </w:rPr>
              <w:t>ND</w:t>
            </w:r>
          </w:p>
        </w:tc>
        <w:tc>
          <w:tcPr>
            <w:tcW w:w="339" w:type="pct"/>
            <w:shd w:val="clear" w:color="000000" w:fill="FFFFFF"/>
            <w:vAlign w:val="center"/>
          </w:tcPr>
          <w:p w14:paraId="72084DB6">
            <w:pPr>
              <w:jc w:val="center"/>
              <w:rPr>
                <w:rFonts w:ascii="宋体" w:hAnsi="宋体"/>
                <w:bCs/>
                <w:color w:val="auto"/>
              </w:rPr>
            </w:pPr>
            <w:r>
              <w:rPr>
                <w:rFonts w:hint="eastAsia" w:ascii="宋体" w:hAnsi="宋体"/>
                <w:color w:val="auto"/>
              </w:rPr>
              <w:t>ND</w:t>
            </w:r>
          </w:p>
        </w:tc>
        <w:tc>
          <w:tcPr>
            <w:tcW w:w="338" w:type="pct"/>
            <w:shd w:val="clear" w:color="000000" w:fill="FFFFFF"/>
            <w:vAlign w:val="center"/>
          </w:tcPr>
          <w:p w14:paraId="49EB836B">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1FCEDCF9">
            <w:pPr>
              <w:jc w:val="center"/>
              <w:rPr>
                <w:rFonts w:ascii="宋体" w:hAnsi="宋体"/>
                <w:color w:val="auto"/>
              </w:rPr>
            </w:pPr>
            <w:r>
              <w:rPr>
                <w:rFonts w:hint="eastAsia" w:ascii="宋体" w:hAnsi="宋体"/>
                <w:color w:val="auto"/>
              </w:rPr>
              <w:t>ND</w:t>
            </w:r>
          </w:p>
        </w:tc>
        <w:tc>
          <w:tcPr>
            <w:tcW w:w="372" w:type="pct"/>
            <w:shd w:val="clear" w:color="000000" w:fill="FFFFFF"/>
            <w:vAlign w:val="center"/>
          </w:tcPr>
          <w:p w14:paraId="1968F35A">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0B980B7D">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32545972">
            <w:pPr>
              <w:jc w:val="center"/>
              <w:rPr>
                <w:rFonts w:ascii="宋体" w:hAnsi="宋体"/>
                <w:color w:val="auto"/>
              </w:rPr>
            </w:pPr>
            <w:r>
              <w:rPr>
                <w:rFonts w:hint="eastAsia" w:ascii="宋体" w:hAnsi="宋体"/>
                <w:color w:val="auto"/>
              </w:rPr>
              <w:t>/</w:t>
            </w:r>
          </w:p>
        </w:tc>
        <w:tc>
          <w:tcPr>
            <w:tcW w:w="231" w:type="pct"/>
            <w:shd w:val="clear" w:color="000000" w:fill="FFFFFF"/>
            <w:vAlign w:val="center"/>
          </w:tcPr>
          <w:p w14:paraId="683D189C">
            <w:pPr>
              <w:jc w:val="center"/>
              <w:rPr>
                <w:rFonts w:ascii="宋体" w:hAnsi="宋体"/>
                <w:color w:val="auto"/>
              </w:rPr>
            </w:pPr>
            <w:r>
              <w:rPr>
                <w:rFonts w:hint="eastAsia" w:ascii="宋体" w:hAnsi="宋体"/>
                <w:color w:val="auto"/>
              </w:rPr>
              <w:t>/</w:t>
            </w:r>
          </w:p>
        </w:tc>
      </w:tr>
      <w:tr w14:paraId="51E72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0E4ECD14">
            <w:pPr>
              <w:widowControl/>
              <w:adjustRightInd w:val="0"/>
              <w:snapToGrid w:val="0"/>
              <w:jc w:val="center"/>
              <w:rPr>
                <w:rFonts w:ascii="宋体" w:hAnsi="宋体"/>
                <w:bCs/>
                <w:color w:val="auto"/>
              </w:rPr>
            </w:pPr>
            <w:r>
              <w:rPr>
                <w:rFonts w:ascii="宋体" w:hAnsi="宋体"/>
                <w:color w:val="auto"/>
                <w:kern w:val="0"/>
              </w:rPr>
              <w:t>三氯甲烷</w:t>
            </w:r>
            <w:r>
              <w:rPr>
                <w:rFonts w:hint="eastAsia" w:ascii="宋体" w:hAnsi="宋体"/>
                <w:bCs/>
                <w:color w:val="auto"/>
              </w:rPr>
              <w:t>(</w:t>
            </w:r>
            <w:r>
              <w:rPr>
                <w:rFonts w:ascii="宋体" w:hAnsi="宋体"/>
                <w:color w:val="auto"/>
              </w:rPr>
              <w:t>µg/L</w:t>
            </w:r>
            <w:r>
              <w:rPr>
                <w:rFonts w:hint="eastAsia" w:ascii="宋体" w:hAnsi="宋体"/>
                <w:bCs/>
                <w:color w:val="auto"/>
              </w:rPr>
              <w:t>)</w:t>
            </w:r>
          </w:p>
        </w:tc>
        <w:tc>
          <w:tcPr>
            <w:tcW w:w="357" w:type="pct"/>
            <w:shd w:val="clear" w:color="000000" w:fill="FFFFFF"/>
            <w:vAlign w:val="center"/>
          </w:tcPr>
          <w:p w14:paraId="63015B82">
            <w:pPr>
              <w:widowControl/>
              <w:jc w:val="center"/>
              <w:rPr>
                <w:rFonts w:ascii="宋体" w:hAnsi="宋体"/>
                <w:color w:val="auto"/>
                <w:szCs w:val="22"/>
              </w:rPr>
            </w:pPr>
            <w:r>
              <w:rPr>
                <w:rFonts w:hint="eastAsia" w:ascii="宋体" w:hAnsi="宋体"/>
                <w:color w:val="auto"/>
              </w:rPr>
              <w:t>ND</w:t>
            </w:r>
          </w:p>
        </w:tc>
        <w:tc>
          <w:tcPr>
            <w:tcW w:w="288" w:type="pct"/>
            <w:shd w:val="clear" w:color="000000" w:fill="FFFFFF"/>
            <w:vAlign w:val="center"/>
          </w:tcPr>
          <w:p w14:paraId="46F38B1D">
            <w:pPr>
              <w:jc w:val="center"/>
              <w:rPr>
                <w:rFonts w:ascii="宋体" w:hAnsi="宋体"/>
                <w:color w:val="auto"/>
                <w:szCs w:val="22"/>
              </w:rPr>
            </w:pPr>
            <w:r>
              <w:rPr>
                <w:rFonts w:hint="eastAsia" w:ascii="宋体" w:hAnsi="宋体"/>
                <w:color w:val="auto"/>
              </w:rPr>
              <w:t>ND</w:t>
            </w:r>
          </w:p>
        </w:tc>
        <w:tc>
          <w:tcPr>
            <w:tcW w:w="237" w:type="pct"/>
            <w:shd w:val="clear" w:color="000000" w:fill="FFFFFF"/>
            <w:vAlign w:val="center"/>
          </w:tcPr>
          <w:p w14:paraId="514AB7BD">
            <w:pPr>
              <w:jc w:val="center"/>
              <w:rPr>
                <w:rFonts w:ascii="宋体" w:hAnsi="宋体"/>
                <w:color w:val="auto"/>
                <w:szCs w:val="22"/>
              </w:rPr>
            </w:pPr>
            <w:r>
              <w:rPr>
                <w:rFonts w:hint="eastAsia" w:ascii="宋体" w:hAnsi="宋体"/>
                <w:color w:val="auto"/>
              </w:rPr>
              <w:t>ND</w:t>
            </w:r>
          </w:p>
        </w:tc>
        <w:tc>
          <w:tcPr>
            <w:tcW w:w="321" w:type="pct"/>
            <w:shd w:val="clear" w:color="000000" w:fill="FFFFFF"/>
            <w:vAlign w:val="center"/>
          </w:tcPr>
          <w:p w14:paraId="5CAF11CB">
            <w:pPr>
              <w:jc w:val="center"/>
              <w:rPr>
                <w:rFonts w:ascii="宋体" w:hAnsi="宋体"/>
                <w:color w:val="auto"/>
                <w:szCs w:val="22"/>
              </w:rPr>
            </w:pPr>
            <w:r>
              <w:rPr>
                <w:rFonts w:hint="eastAsia" w:ascii="宋体" w:hAnsi="宋体"/>
                <w:color w:val="auto"/>
              </w:rPr>
              <w:t>ND</w:t>
            </w:r>
          </w:p>
        </w:tc>
        <w:tc>
          <w:tcPr>
            <w:tcW w:w="255" w:type="pct"/>
            <w:shd w:val="clear" w:color="000000" w:fill="FFFFFF"/>
            <w:vAlign w:val="center"/>
          </w:tcPr>
          <w:p w14:paraId="29672C34">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1FA48B98">
            <w:pPr>
              <w:jc w:val="center"/>
              <w:rPr>
                <w:rFonts w:ascii="宋体" w:hAnsi="宋体"/>
                <w:color w:val="auto"/>
              </w:rPr>
            </w:pPr>
            <w:r>
              <w:rPr>
                <w:rFonts w:hint="eastAsia" w:ascii="宋体" w:hAnsi="宋体"/>
                <w:color w:val="auto"/>
              </w:rPr>
              <w:t>ND</w:t>
            </w:r>
          </w:p>
        </w:tc>
        <w:tc>
          <w:tcPr>
            <w:tcW w:w="337" w:type="pct"/>
            <w:shd w:val="clear" w:color="000000" w:fill="FFFFFF"/>
            <w:vAlign w:val="center"/>
          </w:tcPr>
          <w:p w14:paraId="76D12D40">
            <w:pPr>
              <w:jc w:val="center"/>
              <w:rPr>
                <w:rFonts w:ascii="宋体" w:hAnsi="宋体"/>
                <w:color w:val="auto"/>
              </w:rPr>
            </w:pPr>
            <w:r>
              <w:rPr>
                <w:rFonts w:hint="eastAsia" w:ascii="宋体" w:hAnsi="宋体"/>
                <w:color w:val="auto"/>
              </w:rPr>
              <w:t>ND</w:t>
            </w:r>
          </w:p>
        </w:tc>
        <w:tc>
          <w:tcPr>
            <w:tcW w:w="339" w:type="pct"/>
            <w:shd w:val="clear" w:color="000000" w:fill="FFFFFF"/>
            <w:vAlign w:val="center"/>
          </w:tcPr>
          <w:p w14:paraId="3094A1D6">
            <w:pPr>
              <w:jc w:val="center"/>
              <w:rPr>
                <w:rFonts w:ascii="宋体" w:hAnsi="宋体"/>
                <w:bCs/>
                <w:color w:val="auto"/>
              </w:rPr>
            </w:pPr>
            <w:r>
              <w:rPr>
                <w:rFonts w:hint="eastAsia" w:ascii="宋体" w:hAnsi="宋体"/>
                <w:color w:val="auto"/>
              </w:rPr>
              <w:t>ND</w:t>
            </w:r>
          </w:p>
        </w:tc>
        <w:tc>
          <w:tcPr>
            <w:tcW w:w="338" w:type="pct"/>
            <w:shd w:val="clear" w:color="000000" w:fill="FFFFFF"/>
            <w:vAlign w:val="center"/>
          </w:tcPr>
          <w:p w14:paraId="27FD2A77">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32EFA6DD">
            <w:pPr>
              <w:jc w:val="center"/>
              <w:rPr>
                <w:rFonts w:ascii="宋体" w:hAnsi="宋体"/>
                <w:color w:val="auto"/>
              </w:rPr>
            </w:pPr>
            <w:r>
              <w:rPr>
                <w:rFonts w:hint="eastAsia" w:ascii="宋体" w:hAnsi="宋体"/>
                <w:color w:val="auto"/>
              </w:rPr>
              <w:t>ND</w:t>
            </w:r>
          </w:p>
        </w:tc>
        <w:tc>
          <w:tcPr>
            <w:tcW w:w="372" w:type="pct"/>
            <w:shd w:val="clear" w:color="000000" w:fill="FFFFFF"/>
            <w:vAlign w:val="center"/>
          </w:tcPr>
          <w:p w14:paraId="3862BE9A">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682C2672">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654D744C">
            <w:pPr>
              <w:jc w:val="center"/>
              <w:rPr>
                <w:rFonts w:ascii="宋体" w:hAnsi="宋体"/>
                <w:color w:val="auto"/>
              </w:rPr>
            </w:pPr>
            <w:r>
              <w:rPr>
                <w:rFonts w:hint="eastAsia" w:ascii="宋体" w:hAnsi="宋体"/>
                <w:color w:val="auto"/>
              </w:rPr>
              <w:t>/</w:t>
            </w:r>
          </w:p>
        </w:tc>
        <w:tc>
          <w:tcPr>
            <w:tcW w:w="231" w:type="pct"/>
            <w:shd w:val="clear" w:color="000000" w:fill="FFFFFF"/>
            <w:vAlign w:val="center"/>
          </w:tcPr>
          <w:p w14:paraId="4CE8E294">
            <w:pPr>
              <w:jc w:val="center"/>
              <w:rPr>
                <w:rFonts w:ascii="宋体" w:hAnsi="宋体"/>
                <w:color w:val="auto"/>
              </w:rPr>
            </w:pPr>
            <w:r>
              <w:rPr>
                <w:rFonts w:hint="eastAsia" w:ascii="宋体" w:hAnsi="宋体"/>
                <w:color w:val="auto"/>
              </w:rPr>
              <w:t>/</w:t>
            </w:r>
          </w:p>
        </w:tc>
      </w:tr>
      <w:tr w14:paraId="3A23D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6201AFF7">
            <w:pPr>
              <w:widowControl/>
              <w:adjustRightInd w:val="0"/>
              <w:snapToGrid w:val="0"/>
              <w:jc w:val="center"/>
              <w:rPr>
                <w:rFonts w:ascii="宋体" w:hAnsi="宋体"/>
                <w:bCs/>
                <w:color w:val="auto"/>
              </w:rPr>
            </w:pPr>
            <w:r>
              <w:rPr>
                <w:rFonts w:ascii="宋体" w:hAnsi="宋体"/>
                <w:color w:val="auto"/>
                <w:kern w:val="0"/>
              </w:rPr>
              <w:t>四氯化碳</w:t>
            </w:r>
            <w:r>
              <w:rPr>
                <w:rFonts w:hint="eastAsia" w:ascii="宋体" w:hAnsi="宋体"/>
                <w:bCs/>
                <w:color w:val="auto"/>
              </w:rPr>
              <w:t>(</w:t>
            </w:r>
            <w:r>
              <w:rPr>
                <w:rFonts w:ascii="宋体" w:hAnsi="宋体"/>
                <w:color w:val="auto"/>
              </w:rPr>
              <w:t>µg/L</w:t>
            </w:r>
            <w:r>
              <w:rPr>
                <w:rFonts w:hint="eastAsia" w:ascii="宋体" w:hAnsi="宋体"/>
                <w:bCs/>
                <w:color w:val="auto"/>
              </w:rPr>
              <w:t>)</w:t>
            </w:r>
          </w:p>
        </w:tc>
        <w:tc>
          <w:tcPr>
            <w:tcW w:w="357" w:type="pct"/>
            <w:shd w:val="clear" w:color="000000" w:fill="FFFFFF"/>
            <w:vAlign w:val="center"/>
          </w:tcPr>
          <w:p w14:paraId="434CF07F">
            <w:pPr>
              <w:widowControl/>
              <w:jc w:val="center"/>
              <w:rPr>
                <w:rFonts w:ascii="宋体" w:hAnsi="宋体"/>
                <w:color w:val="auto"/>
                <w:szCs w:val="22"/>
              </w:rPr>
            </w:pPr>
            <w:r>
              <w:rPr>
                <w:rFonts w:hint="eastAsia" w:ascii="宋体" w:hAnsi="宋体"/>
                <w:color w:val="auto"/>
              </w:rPr>
              <w:t>ND</w:t>
            </w:r>
          </w:p>
        </w:tc>
        <w:tc>
          <w:tcPr>
            <w:tcW w:w="288" w:type="pct"/>
            <w:shd w:val="clear" w:color="000000" w:fill="FFFFFF"/>
            <w:vAlign w:val="center"/>
          </w:tcPr>
          <w:p w14:paraId="0FC66C86">
            <w:pPr>
              <w:jc w:val="center"/>
              <w:rPr>
                <w:rFonts w:ascii="宋体" w:hAnsi="宋体"/>
                <w:color w:val="auto"/>
                <w:szCs w:val="22"/>
              </w:rPr>
            </w:pPr>
            <w:r>
              <w:rPr>
                <w:rFonts w:hint="eastAsia" w:ascii="宋体" w:hAnsi="宋体"/>
                <w:color w:val="auto"/>
              </w:rPr>
              <w:t>ND</w:t>
            </w:r>
          </w:p>
        </w:tc>
        <w:tc>
          <w:tcPr>
            <w:tcW w:w="237" w:type="pct"/>
            <w:shd w:val="clear" w:color="000000" w:fill="FFFFFF"/>
            <w:vAlign w:val="center"/>
          </w:tcPr>
          <w:p w14:paraId="1FF2C614">
            <w:pPr>
              <w:jc w:val="center"/>
              <w:rPr>
                <w:rFonts w:ascii="宋体" w:hAnsi="宋体"/>
                <w:color w:val="auto"/>
                <w:szCs w:val="22"/>
              </w:rPr>
            </w:pPr>
            <w:r>
              <w:rPr>
                <w:rFonts w:hint="eastAsia" w:ascii="宋体" w:hAnsi="宋体"/>
                <w:color w:val="auto"/>
              </w:rPr>
              <w:t>ND</w:t>
            </w:r>
          </w:p>
        </w:tc>
        <w:tc>
          <w:tcPr>
            <w:tcW w:w="321" w:type="pct"/>
            <w:shd w:val="clear" w:color="000000" w:fill="FFFFFF"/>
            <w:vAlign w:val="center"/>
          </w:tcPr>
          <w:p w14:paraId="725A90B3">
            <w:pPr>
              <w:jc w:val="center"/>
              <w:rPr>
                <w:rFonts w:ascii="宋体" w:hAnsi="宋体"/>
                <w:color w:val="auto"/>
                <w:szCs w:val="22"/>
              </w:rPr>
            </w:pPr>
            <w:r>
              <w:rPr>
                <w:rFonts w:hint="eastAsia" w:ascii="宋体" w:hAnsi="宋体"/>
                <w:color w:val="auto"/>
              </w:rPr>
              <w:t>ND</w:t>
            </w:r>
          </w:p>
        </w:tc>
        <w:tc>
          <w:tcPr>
            <w:tcW w:w="255" w:type="pct"/>
            <w:shd w:val="clear" w:color="000000" w:fill="FFFFFF"/>
            <w:vAlign w:val="center"/>
          </w:tcPr>
          <w:p w14:paraId="54BE4C71">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2E750E65">
            <w:pPr>
              <w:jc w:val="center"/>
              <w:rPr>
                <w:rFonts w:ascii="宋体" w:hAnsi="宋体"/>
                <w:color w:val="auto"/>
              </w:rPr>
            </w:pPr>
            <w:r>
              <w:rPr>
                <w:rFonts w:hint="eastAsia" w:ascii="宋体" w:hAnsi="宋体"/>
                <w:color w:val="auto"/>
              </w:rPr>
              <w:t>ND</w:t>
            </w:r>
          </w:p>
        </w:tc>
        <w:tc>
          <w:tcPr>
            <w:tcW w:w="337" w:type="pct"/>
            <w:shd w:val="clear" w:color="000000" w:fill="FFFFFF"/>
            <w:vAlign w:val="center"/>
          </w:tcPr>
          <w:p w14:paraId="40665966">
            <w:pPr>
              <w:jc w:val="center"/>
              <w:rPr>
                <w:rFonts w:ascii="宋体" w:hAnsi="宋体"/>
                <w:color w:val="auto"/>
              </w:rPr>
            </w:pPr>
            <w:r>
              <w:rPr>
                <w:rFonts w:hint="eastAsia" w:ascii="宋体" w:hAnsi="宋体"/>
                <w:color w:val="auto"/>
              </w:rPr>
              <w:t>ND</w:t>
            </w:r>
          </w:p>
        </w:tc>
        <w:tc>
          <w:tcPr>
            <w:tcW w:w="339" w:type="pct"/>
            <w:shd w:val="clear" w:color="000000" w:fill="FFFFFF"/>
            <w:vAlign w:val="center"/>
          </w:tcPr>
          <w:p w14:paraId="41960AD2">
            <w:pPr>
              <w:jc w:val="center"/>
              <w:rPr>
                <w:rFonts w:ascii="宋体" w:hAnsi="宋体"/>
                <w:bCs/>
                <w:color w:val="auto"/>
              </w:rPr>
            </w:pPr>
            <w:r>
              <w:rPr>
                <w:rFonts w:hint="eastAsia" w:ascii="宋体" w:hAnsi="宋体"/>
                <w:color w:val="auto"/>
              </w:rPr>
              <w:t>ND</w:t>
            </w:r>
          </w:p>
        </w:tc>
        <w:tc>
          <w:tcPr>
            <w:tcW w:w="338" w:type="pct"/>
            <w:shd w:val="clear" w:color="000000" w:fill="FFFFFF"/>
            <w:vAlign w:val="center"/>
          </w:tcPr>
          <w:p w14:paraId="6D397134">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29BAA9BE">
            <w:pPr>
              <w:jc w:val="center"/>
              <w:rPr>
                <w:rFonts w:ascii="宋体" w:hAnsi="宋体"/>
                <w:color w:val="auto"/>
              </w:rPr>
            </w:pPr>
            <w:r>
              <w:rPr>
                <w:rFonts w:hint="eastAsia" w:ascii="宋体" w:hAnsi="宋体"/>
                <w:color w:val="auto"/>
              </w:rPr>
              <w:t>ND</w:t>
            </w:r>
          </w:p>
        </w:tc>
        <w:tc>
          <w:tcPr>
            <w:tcW w:w="372" w:type="pct"/>
            <w:shd w:val="clear" w:color="000000" w:fill="FFFFFF"/>
            <w:vAlign w:val="center"/>
          </w:tcPr>
          <w:p w14:paraId="1CD8BCE3">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713EEDA4">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00EBE1F9">
            <w:pPr>
              <w:jc w:val="center"/>
              <w:rPr>
                <w:rFonts w:ascii="宋体" w:hAnsi="宋体"/>
                <w:color w:val="auto"/>
              </w:rPr>
            </w:pPr>
            <w:r>
              <w:rPr>
                <w:rFonts w:hint="eastAsia" w:ascii="宋体" w:hAnsi="宋体"/>
                <w:color w:val="auto"/>
              </w:rPr>
              <w:t>/</w:t>
            </w:r>
          </w:p>
        </w:tc>
        <w:tc>
          <w:tcPr>
            <w:tcW w:w="231" w:type="pct"/>
            <w:shd w:val="clear" w:color="000000" w:fill="FFFFFF"/>
            <w:vAlign w:val="center"/>
          </w:tcPr>
          <w:p w14:paraId="379F7065">
            <w:pPr>
              <w:jc w:val="center"/>
              <w:rPr>
                <w:rFonts w:ascii="宋体" w:hAnsi="宋体"/>
                <w:color w:val="auto"/>
              </w:rPr>
            </w:pPr>
            <w:r>
              <w:rPr>
                <w:rFonts w:hint="eastAsia" w:ascii="宋体" w:hAnsi="宋体"/>
                <w:color w:val="auto"/>
              </w:rPr>
              <w:t>/</w:t>
            </w:r>
          </w:p>
        </w:tc>
      </w:tr>
      <w:tr w14:paraId="4C23A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00CB3895">
            <w:pPr>
              <w:widowControl/>
              <w:adjustRightInd w:val="0"/>
              <w:snapToGrid w:val="0"/>
              <w:jc w:val="center"/>
              <w:rPr>
                <w:rFonts w:ascii="宋体" w:hAnsi="宋体"/>
                <w:bCs/>
                <w:color w:val="auto"/>
              </w:rPr>
            </w:pPr>
            <w:r>
              <w:rPr>
                <w:rFonts w:ascii="宋体" w:hAnsi="宋体"/>
                <w:bCs/>
                <w:color w:val="auto"/>
              </w:rPr>
              <w:t>镉</w:t>
            </w:r>
            <w:r>
              <w:rPr>
                <w:rFonts w:hint="eastAsia" w:ascii="宋体" w:hAnsi="宋体"/>
                <w:bCs/>
                <w:color w:val="auto"/>
              </w:rPr>
              <w:t>(</w:t>
            </w:r>
            <w:r>
              <w:rPr>
                <w:rFonts w:ascii="宋体" w:hAnsi="宋体"/>
                <w:bCs/>
                <w:color w:val="auto"/>
              </w:rPr>
              <w:t>μg/L</w:t>
            </w:r>
            <w:r>
              <w:rPr>
                <w:rFonts w:hint="eastAsia" w:ascii="宋体" w:hAnsi="宋体"/>
                <w:bCs/>
                <w:color w:val="auto"/>
              </w:rPr>
              <w:t>)</w:t>
            </w:r>
          </w:p>
        </w:tc>
        <w:tc>
          <w:tcPr>
            <w:tcW w:w="357" w:type="pct"/>
            <w:shd w:val="clear" w:color="000000" w:fill="FFFFFF"/>
            <w:vAlign w:val="center"/>
          </w:tcPr>
          <w:p w14:paraId="4A3FA651">
            <w:pPr>
              <w:widowControl/>
              <w:jc w:val="center"/>
              <w:rPr>
                <w:rFonts w:ascii="宋体" w:hAnsi="宋体"/>
                <w:color w:val="auto"/>
                <w:szCs w:val="22"/>
              </w:rPr>
            </w:pPr>
            <w:r>
              <w:rPr>
                <w:rFonts w:hint="eastAsia" w:ascii="宋体" w:hAnsi="宋体"/>
                <w:color w:val="auto"/>
              </w:rPr>
              <w:t>ND</w:t>
            </w:r>
          </w:p>
        </w:tc>
        <w:tc>
          <w:tcPr>
            <w:tcW w:w="288" w:type="pct"/>
            <w:shd w:val="clear" w:color="000000" w:fill="FFFFFF"/>
            <w:vAlign w:val="center"/>
          </w:tcPr>
          <w:p w14:paraId="1D7F7C07">
            <w:pPr>
              <w:jc w:val="center"/>
              <w:rPr>
                <w:rFonts w:ascii="宋体" w:hAnsi="宋体"/>
                <w:color w:val="auto"/>
                <w:szCs w:val="22"/>
              </w:rPr>
            </w:pPr>
            <w:r>
              <w:rPr>
                <w:rFonts w:hint="eastAsia" w:ascii="宋体" w:hAnsi="宋体"/>
                <w:color w:val="auto"/>
              </w:rPr>
              <w:t>ND</w:t>
            </w:r>
          </w:p>
        </w:tc>
        <w:tc>
          <w:tcPr>
            <w:tcW w:w="237" w:type="pct"/>
            <w:shd w:val="clear" w:color="000000" w:fill="FFFFFF"/>
            <w:vAlign w:val="center"/>
          </w:tcPr>
          <w:p w14:paraId="7878AC70">
            <w:pPr>
              <w:jc w:val="center"/>
              <w:rPr>
                <w:rFonts w:ascii="宋体" w:hAnsi="宋体"/>
                <w:color w:val="auto"/>
                <w:szCs w:val="22"/>
              </w:rPr>
            </w:pPr>
            <w:r>
              <w:rPr>
                <w:rFonts w:hint="eastAsia" w:ascii="宋体" w:hAnsi="宋体"/>
                <w:color w:val="auto"/>
              </w:rPr>
              <w:t>ND</w:t>
            </w:r>
          </w:p>
        </w:tc>
        <w:tc>
          <w:tcPr>
            <w:tcW w:w="321" w:type="pct"/>
            <w:shd w:val="clear" w:color="000000" w:fill="FFFFFF"/>
            <w:vAlign w:val="center"/>
          </w:tcPr>
          <w:p w14:paraId="41BA2481">
            <w:pPr>
              <w:jc w:val="center"/>
              <w:rPr>
                <w:rFonts w:ascii="宋体" w:hAnsi="宋体"/>
                <w:color w:val="auto"/>
                <w:szCs w:val="22"/>
              </w:rPr>
            </w:pPr>
            <w:r>
              <w:rPr>
                <w:rFonts w:hint="eastAsia" w:ascii="宋体" w:hAnsi="宋体"/>
                <w:color w:val="auto"/>
              </w:rPr>
              <w:t>ND</w:t>
            </w:r>
          </w:p>
        </w:tc>
        <w:tc>
          <w:tcPr>
            <w:tcW w:w="255" w:type="pct"/>
            <w:shd w:val="clear" w:color="000000" w:fill="FFFFFF"/>
            <w:vAlign w:val="center"/>
          </w:tcPr>
          <w:p w14:paraId="6C109AD2">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7826797E">
            <w:pPr>
              <w:jc w:val="center"/>
              <w:rPr>
                <w:rFonts w:ascii="宋体" w:hAnsi="宋体"/>
                <w:color w:val="auto"/>
              </w:rPr>
            </w:pPr>
            <w:r>
              <w:rPr>
                <w:rFonts w:hint="eastAsia" w:ascii="宋体" w:hAnsi="宋体"/>
                <w:color w:val="auto"/>
              </w:rPr>
              <w:t>ND</w:t>
            </w:r>
          </w:p>
        </w:tc>
        <w:tc>
          <w:tcPr>
            <w:tcW w:w="337" w:type="pct"/>
            <w:shd w:val="clear" w:color="000000" w:fill="FFFFFF"/>
            <w:vAlign w:val="center"/>
          </w:tcPr>
          <w:p w14:paraId="232B89EF">
            <w:pPr>
              <w:jc w:val="center"/>
              <w:rPr>
                <w:rFonts w:ascii="宋体" w:hAnsi="宋体"/>
                <w:color w:val="auto"/>
              </w:rPr>
            </w:pPr>
            <w:r>
              <w:rPr>
                <w:rFonts w:hint="eastAsia" w:ascii="宋体" w:hAnsi="宋体"/>
                <w:color w:val="auto"/>
              </w:rPr>
              <w:t>ND</w:t>
            </w:r>
          </w:p>
        </w:tc>
        <w:tc>
          <w:tcPr>
            <w:tcW w:w="339" w:type="pct"/>
            <w:shd w:val="clear" w:color="000000" w:fill="FFFFFF"/>
            <w:vAlign w:val="center"/>
          </w:tcPr>
          <w:p w14:paraId="637268D6">
            <w:pPr>
              <w:jc w:val="center"/>
              <w:rPr>
                <w:rFonts w:ascii="宋体" w:hAnsi="宋体"/>
                <w:bCs/>
                <w:color w:val="auto"/>
              </w:rPr>
            </w:pPr>
            <w:r>
              <w:rPr>
                <w:rFonts w:hint="eastAsia" w:ascii="宋体" w:hAnsi="宋体"/>
                <w:color w:val="auto"/>
              </w:rPr>
              <w:t>ND</w:t>
            </w:r>
          </w:p>
        </w:tc>
        <w:tc>
          <w:tcPr>
            <w:tcW w:w="338" w:type="pct"/>
            <w:shd w:val="clear" w:color="000000" w:fill="FFFFFF"/>
            <w:vAlign w:val="center"/>
          </w:tcPr>
          <w:p w14:paraId="533BC1B4">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0B29F53D">
            <w:pPr>
              <w:jc w:val="center"/>
              <w:rPr>
                <w:rFonts w:ascii="宋体" w:hAnsi="宋体"/>
                <w:color w:val="auto"/>
              </w:rPr>
            </w:pPr>
            <w:r>
              <w:rPr>
                <w:rFonts w:hint="eastAsia" w:ascii="宋体" w:hAnsi="宋体"/>
                <w:color w:val="auto"/>
              </w:rPr>
              <w:t>ND</w:t>
            </w:r>
          </w:p>
        </w:tc>
        <w:tc>
          <w:tcPr>
            <w:tcW w:w="372" w:type="pct"/>
            <w:shd w:val="clear" w:color="000000" w:fill="FFFFFF"/>
            <w:vAlign w:val="center"/>
          </w:tcPr>
          <w:p w14:paraId="70F6B1CB">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7CE3EFAD">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3ED53675">
            <w:pPr>
              <w:jc w:val="center"/>
              <w:rPr>
                <w:rFonts w:ascii="宋体" w:hAnsi="宋体"/>
                <w:color w:val="auto"/>
              </w:rPr>
            </w:pPr>
            <w:r>
              <w:rPr>
                <w:rFonts w:hint="eastAsia" w:ascii="宋体" w:hAnsi="宋体"/>
                <w:color w:val="auto"/>
              </w:rPr>
              <w:t>/</w:t>
            </w:r>
          </w:p>
        </w:tc>
        <w:tc>
          <w:tcPr>
            <w:tcW w:w="231" w:type="pct"/>
            <w:shd w:val="clear" w:color="000000" w:fill="FFFFFF"/>
            <w:vAlign w:val="center"/>
          </w:tcPr>
          <w:p w14:paraId="73B1045D">
            <w:pPr>
              <w:jc w:val="center"/>
              <w:rPr>
                <w:rFonts w:ascii="宋体" w:hAnsi="宋体"/>
                <w:color w:val="auto"/>
              </w:rPr>
            </w:pPr>
            <w:r>
              <w:rPr>
                <w:rFonts w:hint="eastAsia" w:ascii="宋体" w:hAnsi="宋体"/>
                <w:color w:val="auto"/>
              </w:rPr>
              <w:t>/</w:t>
            </w:r>
          </w:p>
        </w:tc>
      </w:tr>
      <w:tr w14:paraId="1A1C6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1" w:type="pct"/>
            <w:vAlign w:val="center"/>
          </w:tcPr>
          <w:p w14:paraId="5F26C7FA">
            <w:pPr>
              <w:widowControl/>
              <w:adjustRightInd w:val="0"/>
              <w:snapToGrid w:val="0"/>
              <w:jc w:val="center"/>
              <w:rPr>
                <w:rFonts w:ascii="宋体" w:hAnsi="宋体"/>
                <w:bCs/>
                <w:color w:val="auto"/>
              </w:rPr>
            </w:pPr>
            <w:r>
              <w:rPr>
                <w:rFonts w:ascii="宋体" w:hAnsi="宋体"/>
                <w:bCs/>
                <w:color w:val="auto"/>
              </w:rPr>
              <w:t>铅</w:t>
            </w:r>
            <w:r>
              <w:rPr>
                <w:rFonts w:hint="eastAsia" w:ascii="宋体" w:hAnsi="宋体"/>
                <w:bCs/>
                <w:color w:val="auto"/>
              </w:rPr>
              <w:t>(</w:t>
            </w:r>
            <w:r>
              <w:rPr>
                <w:rFonts w:ascii="宋体" w:hAnsi="宋体"/>
                <w:bCs/>
                <w:color w:val="auto"/>
              </w:rPr>
              <w:t>μg/L</w:t>
            </w:r>
            <w:r>
              <w:rPr>
                <w:rFonts w:hint="eastAsia" w:ascii="宋体" w:hAnsi="宋体"/>
                <w:bCs/>
                <w:color w:val="auto"/>
              </w:rPr>
              <w:t>)</w:t>
            </w:r>
          </w:p>
        </w:tc>
        <w:tc>
          <w:tcPr>
            <w:tcW w:w="357" w:type="pct"/>
            <w:shd w:val="clear" w:color="000000" w:fill="FFFFFF"/>
            <w:vAlign w:val="center"/>
          </w:tcPr>
          <w:p w14:paraId="6EE27C46">
            <w:pPr>
              <w:widowControl/>
              <w:jc w:val="center"/>
              <w:rPr>
                <w:rFonts w:ascii="宋体" w:hAnsi="宋体"/>
                <w:color w:val="auto"/>
                <w:szCs w:val="22"/>
              </w:rPr>
            </w:pPr>
            <w:r>
              <w:rPr>
                <w:rFonts w:hint="eastAsia" w:ascii="宋体" w:hAnsi="宋体"/>
                <w:color w:val="auto"/>
              </w:rPr>
              <w:t>ND</w:t>
            </w:r>
          </w:p>
        </w:tc>
        <w:tc>
          <w:tcPr>
            <w:tcW w:w="288" w:type="pct"/>
            <w:shd w:val="clear" w:color="000000" w:fill="FFFFFF"/>
            <w:vAlign w:val="center"/>
          </w:tcPr>
          <w:p w14:paraId="20AEC21B">
            <w:pPr>
              <w:jc w:val="center"/>
              <w:rPr>
                <w:rFonts w:ascii="宋体" w:hAnsi="宋体"/>
                <w:color w:val="auto"/>
                <w:szCs w:val="22"/>
              </w:rPr>
            </w:pPr>
            <w:r>
              <w:rPr>
                <w:rFonts w:hint="eastAsia" w:ascii="宋体" w:hAnsi="宋体"/>
                <w:color w:val="auto"/>
              </w:rPr>
              <w:t>ND</w:t>
            </w:r>
          </w:p>
        </w:tc>
        <w:tc>
          <w:tcPr>
            <w:tcW w:w="237" w:type="pct"/>
            <w:shd w:val="clear" w:color="000000" w:fill="FFFFFF"/>
            <w:vAlign w:val="center"/>
          </w:tcPr>
          <w:p w14:paraId="5BEAFB56">
            <w:pPr>
              <w:jc w:val="center"/>
              <w:rPr>
                <w:rFonts w:ascii="宋体" w:hAnsi="宋体"/>
                <w:color w:val="auto"/>
                <w:szCs w:val="22"/>
              </w:rPr>
            </w:pPr>
            <w:r>
              <w:rPr>
                <w:rFonts w:hint="eastAsia" w:ascii="宋体" w:hAnsi="宋体"/>
                <w:color w:val="auto"/>
              </w:rPr>
              <w:t>ND</w:t>
            </w:r>
          </w:p>
        </w:tc>
        <w:tc>
          <w:tcPr>
            <w:tcW w:w="321" w:type="pct"/>
            <w:shd w:val="clear" w:color="000000" w:fill="FFFFFF"/>
            <w:vAlign w:val="center"/>
          </w:tcPr>
          <w:p w14:paraId="70F2880F">
            <w:pPr>
              <w:jc w:val="center"/>
              <w:rPr>
                <w:rFonts w:ascii="宋体" w:hAnsi="宋体"/>
                <w:color w:val="auto"/>
                <w:szCs w:val="22"/>
              </w:rPr>
            </w:pPr>
            <w:r>
              <w:rPr>
                <w:rFonts w:hint="eastAsia" w:ascii="宋体" w:hAnsi="宋体"/>
                <w:color w:val="auto"/>
              </w:rPr>
              <w:t>ND</w:t>
            </w:r>
          </w:p>
        </w:tc>
        <w:tc>
          <w:tcPr>
            <w:tcW w:w="255" w:type="pct"/>
            <w:shd w:val="clear" w:color="000000" w:fill="FFFFFF"/>
            <w:vAlign w:val="center"/>
          </w:tcPr>
          <w:p w14:paraId="37982426">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49FE068C">
            <w:pPr>
              <w:jc w:val="center"/>
              <w:rPr>
                <w:rFonts w:ascii="宋体" w:hAnsi="宋体"/>
                <w:color w:val="auto"/>
              </w:rPr>
            </w:pPr>
            <w:r>
              <w:rPr>
                <w:rFonts w:hint="eastAsia" w:ascii="宋体" w:hAnsi="宋体"/>
                <w:color w:val="auto"/>
              </w:rPr>
              <w:t>ND</w:t>
            </w:r>
          </w:p>
        </w:tc>
        <w:tc>
          <w:tcPr>
            <w:tcW w:w="337" w:type="pct"/>
            <w:shd w:val="clear" w:color="000000" w:fill="FFFFFF"/>
            <w:vAlign w:val="center"/>
          </w:tcPr>
          <w:p w14:paraId="5FD661F0">
            <w:pPr>
              <w:jc w:val="center"/>
              <w:rPr>
                <w:rFonts w:ascii="宋体" w:hAnsi="宋体"/>
                <w:color w:val="auto"/>
              </w:rPr>
            </w:pPr>
            <w:r>
              <w:rPr>
                <w:rFonts w:hint="eastAsia" w:ascii="宋体" w:hAnsi="宋体"/>
                <w:color w:val="auto"/>
              </w:rPr>
              <w:t>ND</w:t>
            </w:r>
          </w:p>
        </w:tc>
        <w:tc>
          <w:tcPr>
            <w:tcW w:w="339" w:type="pct"/>
            <w:shd w:val="clear" w:color="000000" w:fill="FFFFFF"/>
            <w:vAlign w:val="center"/>
          </w:tcPr>
          <w:p w14:paraId="29BF5F22">
            <w:pPr>
              <w:jc w:val="center"/>
              <w:rPr>
                <w:rFonts w:ascii="宋体" w:hAnsi="宋体"/>
                <w:bCs/>
                <w:color w:val="auto"/>
              </w:rPr>
            </w:pPr>
            <w:r>
              <w:rPr>
                <w:rFonts w:hint="eastAsia" w:ascii="宋体" w:hAnsi="宋体"/>
                <w:color w:val="auto"/>
              </w:rPr>
              <w:t>ND</w:t>
            </w:r>
          </w:p>
        </w:tc>
        <w:tc>
          <w:tcPr>
            <w:tcW w:w="338" w:type="pct"/>
            <w:shd w:val="clear" w:color="000000" w:fill="FFFFFF"/>
            <w:vAlign w:val="center"/>
          </w:tcPr>
          <w:p w14:paraId="6B54D05E">
            <w:pPr>
              <w:jc w:val="center"/>
              <w:rPr>
                <w:rFonts w:ascii="宋体" w:hAnsi="宋体"/>
                <w:color w:val="auto"/>
              </w:rPr>
            </w:pPr>
            <w:r>
              <w:rPr>
                <w:rFonts w:hint="eastAsia" w:ascii="宋体" w:hAnsi="宋体"/>
                <w:color w:val="auto"/>
              </w:rPr>
              <w:t>ND</w:t>
            </w:r>
          </w:p>
        </w:tc>
        <w:tc>
          <w:tcPr>
            <w:tcW w:w="338" w:type="pct"/>
            <w:shd w:val="clear" w:color="000000" w:fill="FFFFFF"/>
            <w:vAlign w:val="center"/>
          </w:tcPr>
          <w:p w14:paraId="3F76C1AE">
            <w:pPr>
              <w:jc w:val="center"/>
              <w:rPr>
                <w:rFonts w:ascii="宋体" w:hAnsi="宋体"/>
                <w:color w:val="auto"/>
              </w:rPr>
            </w:pPr>
            <w:r>
              <w:rPr>
                <w:rFonts w:hint="eastAsia" w:ascii="宋体" w:hAnsi="宋体"/>
                <w:color w:val="auto"/>
              </w:rPr>
              <w:t>ND</w:t>
            </w:r>
          </w:p>
        </w:tc>
        <w:tc>
          <w:tcPr>
            <w:tcW w:w="372" w:type="pct"/>
            <w:shd w:val="clear" w:color="000000" w:fill="FFFFFF"/>
            <w:vAlign w:val="center"/>
          </w:tcPr>
          <w:p w14:paraId="087A1910">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5FEA6006">
            <w:pPr>
              <w:jc w:val="center"/>
              <w:rPr>
                <w:rFonts w:ascii="宋体" w:hAnsi="宋体"/>
                <w:color w:val="auto"/>
              </w:rPr>
            </w:pPr>
            <w:r>
              <w:rPr>
                <w:rFonts w:hint="eastAsia" w:ascii="宋体" w:hAnsi="宋体"/>
                <w:color w:val="auto"/>
              </w:rPr>
              <w:t>ND</w:t>
            </w:r>
          </w:p>
        </w:tc>
        <w:tc>
          <w:tcPr>
            <w:tcW w:w="454" w:type="pct"/>
            <w:shd w:val="clear" w:color="000000" w:fill="FFFFFF"/>
            <w:vAlign w:val="center"/>
          </w:tcPr>
          <w:p w14:paraId="6EDFBBDA">
            <w:pPr>
              <w:jc w:val="center"/>
              <w:rPr>
                <w:rFonts w:ascii="宋体" w:hAnsi="宋体"/>
                <w:color w:val="auto"/>
              </w:rPr>
            </w:pPr>
            <w:r>
              <w:rPr>
                <w:rFonts w:ascii="宋体" w:hAnsi="宋体" w:cs="宋体"/>
                <w:color w:val="auto"/>
                <w:kern w:val="0"/>
              </w:rPr>
              <w:t>≤0.</w:t>
            </w:r>
            <w:r>
              <w:rPr>
                <w:rFonts w:hint="eastAsia" w:ascii="宋体" w:hAnsi="宋体" w:cs="宋体"/>
                <w:color w:val="auto"/>
                <w:kern w:val="0"/>
              </w:rPr>
              <w:t>05</w:t>
            </w:r>
          </w:p>
        </w:tc>
        <w:tc>
          <w:tcPr>
            <w:tcW w:w="231" w:type="pct"/>
            <w:shd w:val="clear" w:color="000000" w:fill="FFFFFF"/>
            <w:vAlign w:val="center"/>
          </w:tcPr>
          <w:p w14:paraId="5C12FE3C">
            <w:pPr>
              <w:jc w:val="center"/>
              <w:rPr>
                <w:rFonts w:ascii="宋体" w:hAnsi="宋体"/>
                <w:color w:val="auto"/>
              </w:rPr>
            </w:pPr>
            <w:r>
              <w:rPr>
                <w:rFonts w:hint="eastAsia" w:ascii="宋体" w:hAnsi="宋体"/>
                <w:color w:val="auto"/>
              </w:rPr>
              <w:t>达标</w:t>
            </w:r>
          </w:p>
        </w:tc>
      </w:tr>
    </w:tbl>
    <w:p w14:paraId="7414F842">
      <w:pPr>
        <w:ind w:firstLine="360" w:firstLineChars="200"/>
        <w:rPr>
          <w:rFonts w:ascii="宋体" w:hAnsi="宋体"/>
          <w:color w:val="auto"/>
          <w:sz w:val="18"/>
          <w:szCs w:val="18"/>
        </w:rPr>
      </w:pPr>
    </w:p>
    <w:p w14:paraId="37723C2E">
      <w:pPr>
        <w:ind w:firstLine="360" w:firstLineChars="200"/>
        <w:rPr>
          <w:rFonts w:ascii="宋体" w:hAnsi="宋体"/>
          <w:color w:val="auto"/>
          <w:sz w:val="18"/>
          <w:szCs w:val="18"/>
        </w:rPr>
      </w:pPr>
      <w:r>
        <w:rPr>
          <w:rFonts w:hint="eastAsia" w:ascii="宋体" w:hAnsi="宋体"/>
          <w:color w:val="auto"/>
          <w:sz w:val="18"/>
          <w:szCs w:val="18"/>
        </w:rPr>
        <w:t>备注：“ND”表示未检出。</w:t>
      </w:r>
    </w:p>
    <w:p w14:paraId="188178B2">
      <w:pPr>
        <w:pStyle w:val="81"/>
        <w:ind w:firstLine="360" w:firstLineChars="200"/>
        <w:jc w:val="left"/>
        <w:rPr>
          <w:rFonts w:hAnsi="宋体"/>
          <w:color w:val="auto"/>
          <w:sz w:val="18"/>
          <w:szCs w:val="18"/>
        </w:rPr>
      </w:pPr>
    </w:p>
    <w:p w14:paraId="63B5B5C3">
      <w:pPr>
        <w:pStyle w:val="306"/>
        <w:ind w:firstLine="480"/>
        <w:rPr>
          <w:color w:val="auto"/>
        </w:rPr>
        <w:sectPr>
          <w:pgSz w:w="16839" w:h="11907" w:orient="landscape"/>
          <w:pgMar w:top="1588" w:right="1418" w:bottom="1588" w:left="1418" w:header="1134" w:footer="850" w:gutter="0"/>
          <w:cols w:space="720" w:num="1"/>
          <w:docGrid w:linePitch="312" w:charSpace="0"/>
        </w:sectPr>
      </w:pPr>
      <w:r>
        <w:rPr>
          <w:rFonts w:hint="eastAsia"/>
          <w:color w:val="auto"/>
        </w:rPr>
        <w:t>以</w:t>
      </w:r>
      <w:r>
        <w:rPr>
          <w:color w:val="auto"/>
        </w:rPr>
        <w:t>上结果表明：</w:t>
      </w:r>
      <w:bookmarkStart w:id="454" w:name="OLE_LINK287"/>
      <w:bookmarkStart w:id="455" w:name="OLE_LINK286"/>
      <w:r>
        <w:rPr>
          <w:rStyle w:val="312"/>
          <w:rFonts w:hint="default"/>
          <w:color w:val="auto"/>
        </w:rPr>
        <w:t>地下水水质监测点的溶解性总固体、</w:t>
      </w:r>
      <w:bookmarkStart w:id="456" w:name="OLE_LINK14"/>
      <w:r>
        <w:rPr>
          <w:rStyle w:val="312"/>
          <w:rFonts w:hint="default"/>
          <w:color w:val="auto"/>
        </w:rPr>
        <w:t>硫酸盐</w:t>
      </w:r>
      <w:bookmarkEnd w:id="456"/>
      <w:r>
        <w:rPr>
          <w:rStyle w:val="312"/>
          <w:rFonts w:hint="default"/>
          <w:color w:val="auto"/>
        </w:rPr>
        <w:t>、氯化物、总硬度超标</w:t>
      </w:r>
      <w:bookmarkEnd w:id="454"/>
      <w:bookmarkEnd w:id="455"/>
      <w:r>
        <w:rPr>
          <w:rStyle w:val="312"/>
          <w:rFonts w:hint="default"/>
          <w:color w:val="auto"/>
        </w:rPr>
        <w:t>。溶解性总固体、硫酸盐、氯化物、总硬度超标</w:t>
      </w:r>
      <w:r>
        <w:rPr>
          <w:rFonts w:hint="eastAsia"/>
          <w:color w:val="auto"/>
        </w:rPr>
        <w:t>主要与当地浅层地下水水文地质化学本底值偏高有关</w:t>
      </w:r>
      <w:r>
        <w:rPr>
          <w:rStyle w:val="312"/>
          <w:rFonts w:hint="default" w:cs="宋体"/>
          <w:color w:val="auto"/>
        </w:rPr>
        <w:t>。</w:t>
      </w:r>
      <w:r>
        <w:rPr>
          <w:rStyle w:val="312"/>
          <w:rFonts w:hint="default"/>
          <w:color w:val="auto"/>
        </w:rPr>
        <w:t>其余各项指标均满足《地下水质量标准》（GB/T 14848-2017）Ⅲ类标准，石油类满足参考执行《地表水环</w:t>
      </w:r>
      <w:r>
        <w:rPr>
          <w:rFonts w:hint="eastAsia"/>
          <w:color w:val="auto"/>
        </w:rPr>
        <w:t>境质量标准》（GB 3838-2002）</w:t>
      </w:r>
      <w:r>
        <w:rPr>
          <w:rStyle w:val="312"/>
          <w:rFonts w:hint="default"/>
          <w:color w:val="auto"/>
        </w:rPr>
        <w:t>中Ⅲ类标准限值要求。项目特征污染物石油类在各监测点均不超标，说明项目附近油气田开发未对地下水造成较大影响</w:t>
      </w:r>
      <w:r>
        <w:rPr>
          <w:rFonts w:hint="eastAsia"/>
          <w:color w:val="auto"/>
        </w:rPr>
        <w:t>。</w:t>
      </w:r>
    </w:p>
    <w:p w14:paraId="148A78E5">
      <w:pPr>
        <w:pStyle w:val="5"/>
        <w:rPr>
          <w:color w:val="auto"/>
        </w:rPr>
      </w:pPr>
      <w:bookmarkStart w:id="457" w:name="_Toc231283643"/>
      <w:r>
        <w:rPr>
          <w:rFonts w:hint="eastAsia"/>
          <w:color w:val="auto"/>
        </w:rPr>
        <w:t>施工期</w:t>
      </w:r>
      <w:r>
        <w:rPr>
          <w:color w:val="auto"/>
        </w:rPr>
        <w:t>环境影响调查</w:t>
      </w:r>
      <w:bookmarkEnd w:id="457"/>
    </w:p>
    <w:p w14:paraId="3B349F71">
      <w:pPr>
        <w:pStyle w:val="6"/>
        <w:rPr>
          <w:color w:val="auto"/>
        </w:rPr>
      </w:pPr>
      <w:r>
        <w:rPr>
          <w:rFonts w:hint="eastAsia"/>
          <w:color w:val="auto"/>
        </w:rPr>
        <w:t>生态环境影响调查</w:t>
      </w:r>
    </w:p>
    <w:p w14:paraId="07B04ABB">
      <w:pPr>
        <w:pStyle w:val="4"/>
        <w:ind w:firstLine="480"/>
        <w:rPr>
          <w:color w:val="auto"/>
        </w:rPr>
      </w:pPr>
      <w:r>
        <w:rPr>
          <w:rFonts w:hint="eastAsia"/>
          <w:color w:val="auto"/>
        </w:rPr>
        <w:t>施工期间，本期工程对生态的影响主要为工程临时占地及施工活动对土壤、地表植被等的影响。</w:t>
      </w:r>
    </w:p>
    <w:p w14:paraId="78C38FF8">
      <w:pPr>
        <w:pStyle w:val="4"/>
        <w:ind w:firstLine="480"/>
        <w:rPr>
          <w:color w:val="auto"/>
        </w:rPr>
      </w:pPr>
      <w:r>
        <w:rPr>
          <w:rFonts w:hint="eastAsia"/>
          <w:color w:val="auto"/>
        </w:rPr>
        <w:t>1）工程占地</w:t>
      </w:r>
    </w:p>
    <w:p w14:paraId="6452174F">
      <w:pPr>
        <w:pStyle w:val="4"/>
        <w:ind w:firstLine="480"/>
        <w:rPr>
          <w:color w:val="auto"/>
        </w:rPr>
      </w:pPr>
      <w:bookmarkStart w:id="458" w:name="OLE_LINK267"/>
      <w:bookmarkStart w:id="459" w:name="OLE_LINK274"/>
      <w:r>
        <w:rPr>
          <w:rFonts w:hint="eastAsia"/>
          <w:color w:val="auto"/>
        </w:rPr>
        <w:t>据统计</w:t>
      </w:r>
      <w:r>
        <w:rPr>
          <w:color w:val="auto"/>
        </w:rPr>
        <w:t>，</w:t>
      </w:r>
      <w:r>
        <w:rPr>
          <w:rFonts w:hint="eastAsia"/>
          <w:color w:val="auto"/>
        </w:rPr>
        <w:t>本期工程</w:t>
      </w:r>
      <w:bookmarkStart w:id="460" w:name="OLE_LINK361"/>
      <w:r>
        <w:rPr>
          <w:rFonts w:hint="eastAsia"/>
          <w:color w:val="auto"/>
        </w:rPr>
        <w:t>临时占地面积</w:t>
      </w:r>
      <w:r>
        <w:rPr>
          <w:color w:val="auto"/>
        </w:rPr>
        <w:t>20.08hm</w:t>
      </w:r>
      <w:r>
        <w:rPr>
          <w:color w:val="auto"/>
          <w:vertAlign w:val="superscript"/>
        </w:rPr>
        <w:t>2</w:t>
      </w:r>
      <w:r>
        <w:rPr>
          <w:rFonts w:hint="eastAsia"/>
          <w:color w:val="auto"/>
        </w:rPr>
        <w:t>，永久占地面积</w:t>
      </w:r>
      <w:r>
        <w:rPr>
          <w:color w:val="auto"/>
        </w:rPr>
        <w:t>9.71hm</w:t>
      </w:r>
      <w:r>
        <w:rPr>
          <w:color w:val="auto"/>
          <w:vertAlign w:val="superscript"/>
        </w:rPr>
        <w:t>2</w:t>
      </w:r>
      <w:bookmarkEnd w:id="458"/>
      <w:bookmarkEnd w:id="459"/>
      <w:bookmarkEnd w:id="460"/>
      <w:r>
        <w:rPr>
          <w:rFonts w:hint="eastAsia"/>
          <w:color w:val="auto"/>
        </w:rPr>
        <w:t>，</w:t>
      </w:r>
      <w:r>
        <w:rPr>
          <w:color w:val="auto"/>
        </w:rPr>
        <w:t>占地</w:t>
      </w:r>
      <w:r>
        <w:rPr>
          <w:rFonts w:hint="eastAsia"/>
          <w:color w:val="auto"/>
        </w:rPr>
        <w:t>主要为</w:t>
      </w:r>
      <w:r>
        <w:rPr>
          <w:color w:val="auto"/>
        </w:rPr>
        <w:t>钻井井场、管道敷设施工作业</w:t>
      </w:r>
      <w:r>
        <w:rPr>
          <w:rFonts w:hint="eastAsia"/>
          <w:color w:val="auto"/>
        </w:rPr>
        <w:t>带</w:t>
      </w:r>
      <w:r>
        <w:rPr>
          <w:color w:val="auto"/>
        </w:rPr>
        <w:t>临时占地，占地类型主要</w:t>
      </w:r>
      <w:r>
        <w:rPr>
          <w:rFonts w:hint="eastAsia"/>
          <w:color w:val="auto"/>
        </w:rPr>
        <w:t>为未利用</w:t>
      </w:r>
      <w:r>
        <w:rPr>
          <w:color w:val="auto"/>
        </w:rPr>
        <w:t>地</w:t>
      </w:r>
      <w:r>
        <w:rPr>
          <w:rFonts w:hint="eastAsia"/>
          <w:color w:val="auto"/>
        </w:rPr>
        <w:t>、</w:t>
      </w:r>
      <w:r>
        <w:rPr>
          <w:color w:val="auto"/>
        </w:rPr>
        <w:t>工矿</w:t>
      </w:r>
      <w:r>
        <w:rPr>
          <w:rFonts w:hint="eastAsia"/>
          <w:color w:val="auto"/>
        </w:rPr>
        <w:t>仓储</w:t>
      </w:r>
      <w:r>
        <w:rPr>
          <w:color w:val="auto"/>
        </w:rPr>
        <w:t>用地</w:t>
      </w:r>
      <w:r>
        <w:rPr>
          <w:rFonts w:hint="eastAsia"/>
          <w:color w:val="auto"/>
        </w:rPr>
        <w:t>、农田、草地等</w:t>
      </w:r>
      <w:r>
        <w:rPr>
          <w:color w:val="auto"/>
        </w:rPr>
        <w:t>，经调查</w:t>
      </w:r>
      <w:r>
        <w:rPr>
          <w:rFonts w:hint="eastAsia"/>
          <w:color w:val="auto"/>
        </w:rPr>
        <w:t>项目征占地均获得了有关土地管理部门的批准。</w:t>
      </w:r>
    </w:p>
    <w:p w14:paraId="69AF9D46">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6.5</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r>
        <w:rPr>
          <w:color w:val="auto"/>
        </w:rPr>
        <w:t xml:space="preserve"> </w:t>
      </w:r>
      <w:r>
        <w:rPr>
          <w:rFonts w:hint="eastAsia"/>
          <w:color w:val="auto"/>
        </w:rPr>
        <w:t>井场占地情况一览表</w:t>
      </w:r>
    </w:p>
    <w:tbl>
      <w:tblPr>
        <w:tblStyle w:val="4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428"/>
        <w:gridCol w:w="2822"/>
        <w:gridCol w:w="2358"/>
        <w:gridCol w:w="2119"/>
      </w:tblGrid>
      <w:tr w14:paraId="483745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54E8573E">
            <w:pPr>
              <w:jc w:val="center"/>
              <w:textAlignment w:val="center"/>
              <w:rPr>
                <w:rFonts w:ascii="宋体" w:hAnsi="宋体"/>
                <w:color w:val="auto"/>
                <w:kern w:val="0"/>
              </w:rPr>
            </w:pPr>
            <w:r>
              <w:rPr>
                <w:rFonts w:hint="eastAsia" w:ascii="宋体" w:hAnsi="宋体"/>
                <w:color w:val="auto"/>
              </w:rPr>
              <w:t>井场编号</w:t>
            </w:r>
          </w:p>
        </w:tc>
        <w:tc>
          <w:tcPr>
            <w:tcW w:w="1617" w:type="pct"/>
            <w:shd w:val="clear" w:color="auto" w:fill="auto"/>
            <w:vAlign w:val="center"/>
          </w:tcPr>
          <w:p w14:paraId="51BDCE0E">
            <w:pPr>
              <w:jc w:val="center"/>
              <w:rPr>
                <w:rFonts w:ascii="宋体" w:hAnsi="宋体"/>
                <w:color w:val="auto"/>
              </w:rPr>
            </w:pPr>
            <w:r>
              <w:rPr>
                <w:rFonts w:hint="eastAsia" w:ascii="宋体" w:hAnsi="宋体"/>
                <w:color w:val="auto"/>
              </w:rPr>
              <w:t>井号</w:t>
            </w:r>
          </w:p>
        </w:tc>
        <w:tc>
          <w:tcPr>
            <w:tcW w:w="1351" w:type="pct"/>
            <w:shd w:val="clear" w:color="auto" w:fill="auto"/>
            <w:vAlign w:val="center"/>
          </w:tcPr>
          <w:p w14:paraId="72AF8097">
            <w:pPr>
              <w:jc w:val="center"/>
              <w:rPr>
                <w:rFonts w:ascii="宋体" w:hAnsi="宋体"/>
                <w:color w:val="auto"/>
              </w:rPr>
            </w:pPr>
            <w:r>
              <w:rPr>
                <w:rFonts w:hint="eastAsia" w:ascii="宋体" w:hAnsi="宋体"/>
                <w:color w:val="auto"/>
              </w:rPr>
              <w:t>临时占地（m</w:t>
            </w:r>
            <w:r>
              <w:rPr>
                <w:rFonts w:hint="eastAsia" w:ascii="宋体" w:hAnsi="宋体"/>
                <w:color w:val="auto"/>
                <w:vertAlign w:val="superscript"/>
              </w:rPr>
              <w:t>2</w:t>
            </w:r>
            <w:r>
              <w:rPr>
                <w:rFonts w:hint="eastAsia" w:ascii="宋体" w:hAnsi="宋体"/>
                <w:color w:val="auto"/>
              </w:rPr>
              <w:t>）</w:t>
            </w:r>
          </w:p>
        </w:tc>
        <w:tc>
          <w:tcPr>
            <w:tcW w:w="1214" w:type="pct"/>
            <w:shd w:val="clear" w:color="auto" w:fill="auto"/>
            <w:vAlign w:val="center"/>
          </w:tcPr>
          <w:p w14:paraId="596EBD96">
            <w:pPr>
              <w:jc w:val="center"/>
              <w:rPr>
                <w:rFonts w:ascii="宋体" w:hAnsi="宋体"/>
                <w:color w:val="auto"/>
              </w:rPr>
            </w:pPr>
            <w:r>
              <w:rPr>
                <w:rFonts w:hint="eastAsia" w:ascii="宋体" w:hAnsi="宋体"/>
                <w:color w:val="auto"/>
              </w:rPr>
              <w:t>永久占地（m</w:t>
            </w:r>
            <w:r>
              <w:rPr>
                <w:rFonts w:hint="eastAsia" w:ascii="宋体" w:hAnsi="宋体"/>
                <w:color w:val="auto"/>
                <w:vertAlign w:val="superscript"/>
              </w:rPr>
              <w:t>2</w:t>
            </w:r>
            <w:r>
              <w:rPr>
                <w:rFonts w:hint="eastAsia" w:ascii="宋体" w:hAnsi="宋体"/>
                <w:color w:val="auto"/>
              </w:rPr>
              <w:t>）</w:t>
            </w:r>
          </w:p>
        </w:tc>
      </w:tr>
      <w:tr w14:paraId="09BCD7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788FE1A1">
            <w:pPr>
              <w:jc w:val="center"/>
              <w:textAlignment w:val="center"/>
              <w:rPr>
                <w:rFonts w:ascii="宋体" w:hAnsi="宋体"/>
                <w:color w:val="auto"/>
              </w:rPr>
            </w:pPr>
            <w:r>
              <w:rPr>
                <w:rFonts w:hint="eastAsia" w:ascii="宋体" w:hAnsi="宋体"/>
                <w:color w:val="auto"/>
              </w:rPr>
              <w:t>1#</w:t>
            </w:r>
          </w:p>
        </w:tc>
        <w:tc>
          <w:tcPr>
            <w:tcW w:w="1617" w:type="pct"/>
            <w:shd w:val="clear" w:color="auto" w:fill="auto"/>
            <w:vAlign w:val="center"/>
          </w:tcPr>
          <w:p w14:paraId="739A53CC">
            <w:pPr>
              <w:jc w:val="center"/>
              <w:textAlignment w:val="center"/>
              <w:rPr>
                <w:rFonts w:ascii="宋体" w:hAnsi="宋体"/>
                <w:color w:val="auto"/>
              </w:rPr>
            </w:pPr>
            <w:r>
              <w:rPr>
                <w:rFonts w:hint="eastAsia" w:ascii="宋体" w:hAnsi="宋体" w:cs="宋体"/>
                <w:color w:val="auto"/>
                <w:kern w:val="0"/>
              </w:rPr>
              <w:t>FJFS-X2</w:t>
            </w:r>
          </w:p>
        </w:tc>
        <w:tc>
          <w:tcPr>
            <w:tcW w:w="1351" w:type="pct"/>
            <w:shd w:val="clear" w:color="auto" w:fill="auto"/>
            <w:vAlign w:val="center"/>
          </w:tcPr>
          <w:p w14:paraId="0E316F50">
            <w:pPr>
              <w:jc w:val="center"/>
              <w:textAlignment w:val="center"/>
              <w:rPr>
                <w:rFonts w:ascii="宋体" w:hAnsi="宋体"/>
                <w:color w:val="auto"/>
              </w:rPr>
            </w:pPr>
            <w:r>
              <w:rPr>
                <w:rFonts w:hint="eastAsia" w:ascii="宋体" w:hAnsi="宋体"/>
                <w:color w:val="auto"/>
              </w:rPr>
              <w:t>9</w:t>
            </w:r>
            <w:r>
              <w:rPr>
                <w:rFonts w:ascii="宋体" w:hAnsi="宋体"/>
                <w:color w:val="auto"/>
              </w:rPr>
              <w:t>000</w:t>
            </w:r>
          </w:p>
        </w:tc>
        <w:tc>
          <w:tcPr>
            <w:tcW w:w="1214" w:type="pct"/>
            <w:shd w:val="clear" w:color="auto" w:fill="auto"/>
            <w:vAlign w:val="center"/>
          </w:tcPr>
          <w:p w14:paraId="578EC1A6">
            <w:pPr>
              <w:jc w:val="center"/>
              <w:textAlignment w:val="center"/>
              <w:rPr>
                <w:rFonts w:ascii="宋体" w:hAnsi="宋体"/>
                <w:color w:val="auto"/>
              </w:rPr>
            </w:pPr>
            <w:r>
              <w:rPr>
                <w:rFonts w:ascii="宋体" w:hAnsi="宋体"/>
                <w:color w:val="auto"/>
              </w:rPr>
              <w:t>5500</w:t>
            </w:r>
          </w:p>
        </w:tc>
      </w:tr>
      <w:tr w14:paraId="08EFF1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restart"/>
            <w:shd w:val="clear" w:color="auto" w:fill="auto"/>
            <w:vAlign w:val="center"/>
          </w:tcPr>
          <w:p w14:paraId="1F3B5422">
            <w:pPr>
              <w:jc w:val="center"/>
              <w:textAlignment w:val="center"/>
              <w:rPr>
                <w:rFonts w:ascii="宋体" w:hAnsi="宋体"/>
                <w:color w:val="auto"/>
              </w:rPr>
            </w:pPr>
            <w:r>
              <w:rPr>
                <w:rFonts w:hint="eastAsia" w:ascii="宋体" w:hAnsi="宋体"/>
                <w:color w:val="auto"/>
              </w:rPr>
              <w:t>2#</w:t>
            </w:r>
          </w:p>
        </w:tc>
        <w:tc>
          <w:tcPr>
            <w:tcW w:w="1617" w:type="pct"/>
            <w:shd w:val="clear" w:color="auto" w:fill="auto"/>
            <w:vAlign w:val="center"/>
          </w:tcPr>
          <w:p w14:paraId="0AE4C475">
            <w:pPr>
              <w:jc w:val="center"/>
              <w:textAlignment w:val="center"/>
              <w:rPr>
                <w:rFonts w:ascii="宋体" w:hAnsi="宋体"/>
                <w:color w:val="auto"/>
              </w:rPr>
            </w:pPr>
            <w:r>
              <w:rPr>
                <w:rFonts w:hint="eastAsia" w:ascii="宋体" w:hAnsi="宋体" w:cs="宋体"/>
                <w:color w:val="auto"/>
                <w:kern w:val="0"/>
              </w:rPr>
              <w:t>FJF163-X27</w:t>
            </w:r>
          </w:p>
        </w:tc>
        <w:tc>
          <w:tcPr>
            <w:tcW w:w="1351" w:type="pct"/>
            <w:vMerge w:val="restart"/>
            <w:shd w:val="clear" w:color="auto" w:fill="auto"/>
            <w:vAlign w:val="center"/>
          </w:tcPr>
          <w:p w14:paraId="1A06DC43">
            <w:pPr>
              <w:jc w:val="center"/>
              <w:textAlignment w:val="center"/>
              <w:rPr>
                <w:rFonts w:ascii="宋体" w:hAnsi="宋体"/>
                <w:color w:val="auto"/>
              </w:rPr>
            </w:pPr>
            <w:r>
              <w:rPr>
                <w:rFonts w:hint="eastAsia" w:ascii="宋体" w:hAnsi="宋体"/>
                <w:color w:val="auto"/>
              </w:rPr>
              <w:t>9</w:t>
            </w:r>
            <w:r>
              <w:rPr>
                <w:rFonts w:ascii="宋体" w:hAnsi="宋体"/>
                <w:color w:val="auto"/>
              </w:rPr>
              <w:t>000</w:t>
            </w:r>
          </w:p>
        </w:tc>
        <w:tc>
          <w:tcPr>
            <w:tcW w:w="1214" w:type="pct"/>
            <w:vMerge w:val="restart"/>
            <w:shd w:val="clear" w:color="auto" w:fill="auto"/>
            <w:vAlign w:val="center"/>
          </w:tcPr>
          <w:p w14:paraId="1DD9957A">
            <w:pPr>
              <w:jc w:val="center"/>
              <w:textAlignment w:val="center"/>
              <w:rPr>
                <w:rFonts w:ascii="宋体" w:hAnsi="宋体"/>
                <w:color w:val="auto"/>
              </w:rPr>
            </w:pPr>
            <w:r>
              <w:rPr>
                <w:rFonts w:ascii="宋体" w:hAnsi="宋体"/>
                <w:color w:val="auto"/>
              </w:rPr>
              <w:t>3600</w:t>
            </w:r>
          </w:p>
        </w:tc>
      </w:tr>
      <w:tr w14:paraId="7DC2FE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15957229">
            <w:pPr>
              <w:textAlignment w:val="center"/>
              <w:rPr>
                <w:rFonts w:ascii="宋体" w:hAnsi="宋体"/>
                <w:color w:val="auto"/>
              </w:rPr>
            </w:pPr>
          </w:p>
        </w:tc>
        <w:tc>
          <w:tcPr>
            <w:tcW w:w="1617" w:type="pct"/>
            <w:shd w:val="clear" w:color="auto" w:fill="auto"/>
            <w:vAlign w:val="center"/>
          </w:tcPr>
          <w:p w14:paraId="1F2B4CC1">
            <w:pPr>
              <w:jc w:val="center"/>
              <w:textAlignment w:val="center"/>
              <w:rPr>
                <w:rFonts w:ascii="宋体" w:hAnsi="宋体"/>
                <w:color w:val="auto"/>
              </w:rPr>
            </w:pPr>
            <w:r>
              <w:rPr>
                <w:rFonts w:hint="eastAsia" w:ascii="宋体" w:hAnsi="宋体" w:cs="宋体"/>
                <w:color w:val="auto"/>
                <w:kern w:val="0"/>
              </w:rPr>
              <w:t>FJF163-X18</w:t>
            </w:r>
          </w:p>
        </w:tc>
        <w:tc>
          <w:tcPr>
            <w:tcW w:w="1351" w:type="pct"/>
            <w:vMerge w:val="continue"/>
            <w:shd w:val="clear" w:color="auto" w:fill="auto"/>
            <w:vAlign w:val="center"/>
          </w:tcPr>
          <w:p w14:paraId="4BEEA893">
            <w:pPr>
              <w:jc w:val="center"/>
              <w:textAlignment w:val="center"/>
              <w:rPr>
                <w:rFonts w:ascii="宋体" w:hAnsi="宋体"/>
                <w:color w:val="auto"/>
              </w:rPr>
            </w:pPr>
          </w:p>
        </w:tc>
        <w:tc>
          <w:tcPr>
            <w:tcW w:w="1214" w:type="pct"/>
            <w:vMerge w:val="continue"/>
            <w:shd w:val="clear" w:color="auto" w:fill="auto"/>
            <w:vAlign w:val="center"/>
          </w:tcPr>
          <w:p w14:paraId="435DCDE2">
            <w:pPr>
              <w:jc w:val="center"/>
              <w:textAlignment w:val="center"/>
              <w:rPr>
                <w:rFonts w:ascii="宋体" w:hAnsi="宋体"/>
                <w:color w:val="auto"/>
              </w:rPr>
            </w:pPr>
          </w:p>
        </w:tc>
      </w:tr>
      <w:tr w14:paraId="5A02C1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2D89BFA8">
            <w:pPr>
              <w:jc w:val="center"/>
              <w:rPr>
                <w:rFonts w:ascii="宋体" w:hAnsi="宋体"/>
                <w:color w:val="auto"/>
              </w:rPr>
            </w:pPr>
            <w:r>
              <w:rPr>
                <w:rFonts w:hint="eastAsia" w:ascii="宋体" w:hAnsi="宋体"/>
                <w:color w:val="auto"/>
              </w:rPr>
              <w:t>3</w:t>
            </w:r>
            <w:r>
              <w:rPr>
                <w:rFonts w:ascii="宋体" w:hAnsi="宋体"/>
                <w:color w:val="auto"/>
              </w:rPr>
              <w:t>#</w:t>
            </w:r>
          </w:p>
        </w:tc>
        <w:tc>
          <w:tcPr>
            <w:tcW w:w="1617" w:type="pct"/>
            <w:shd w:val="clear" w:color="auto" w:fill="auto"/>
            <w:vAlign w:val="center"/>
          </w:tcPr>
          <w:p w14:paraId="69CE6364">
            <w:pPr>
              <w:jc w:val="center"/>
              <w:textAlignment w:val="center"/>
              <w:rPr>
                <w:rFonts w:ascii="宋体" w:hAnsi="宋体"/>
                <w:color w:val="auto"/>
              </w:rPr>
            </w:pPr>
            <w:r>
              <w:rPr>
                <w:rFonts w:hint="eastAsia" w:ascii="宋体" w:hAnsi="宋体" w:cs="宋体"/>
                <w:color w:val="auto"/>
                <w:kern w:val="0"/>
              </w:rPr>
              <w:t>FJF163-X17</w:t>
            </w:r>
          </w:p>
        </w:tc>
        <w:tc>
          <w:tcPr>
            <w:tcW w:w="1351" w:type="pct"/>
            <w:shd w:val="clear" w:color="auto" w:fill="auto"/>
            <w:vAlign w:val="center"/>
          </w:tcPr>
          <w:p w14:paraId="3F88D8F4">
            <w:pPr>
              <w:jc w:val="center"/>
              <w:rPr>
                <w:rFonts w:ascii="宋体" w:hAnsi="宋体"/>
                <w:color w:val="auto"/>
              </w:rPr>
            </w:pPr>
            <w:r>
              <w:rPr>
                <w:rFonts w:hint="eastAsia" w:ascii="宋体" w:hAnsi="宋体"/>
                <w:color w:val="auto"/>
              </w:rPr>
              <w:t>9</w:t>
            </w:r>
            <w:r>
              <w:rPr>
                <w:rFonts w:ascii="宋体" w:hAnsi="宋体"/>
                <w:color w:val="auto"/>
              </w:rPr>
              <w:t>000</w:t>
            </w:r>
          </w:p>
        </w:tc>
        <w:tc>
          <w:tcPr>
            <w:tcW w:w="1214" w:type="pct"/>
            <w:shd w:val="clear" w:color="auto" w:fill="auto"/>
            <w:vAlign w:val="center"/>
          </w:tcPr>
          <w:p w14:paraId="1A334E7E">
            <w:pPr>
              <w:jc w:val="center"/>
              <w:rPr>
                <w:rFonts w:ascii="宋体" w:hAnsi="宋体"/>
                <w:color w:val="auto"/>
              </w:rPr>
            </w:pPr>
            <w:r>
              <w:rPr>
                <w:rFonts w:ascii="宋体" w:hAnsi="宋体"/>
                <w:color w:val="auto"/>
              </w:rPr>
              <w:t>3600</w:t>
            </w:r>
          </w:p>
        </w:tc>
      </w:tr>
      <w:tr w14:paraId="18E47D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19437B9B">
            <w:pPr>
              <w:jc w:val="center"/>
              <w:rPr>
                <w:rFonts w:ascii="宋体" w:hAnsi="宋体"/>
                <w:color w:val="auto"/>
              </w:rPr>
            </w:pPr>
            <w:r>
              <w:rPr>
                <w:rFonts w:hint="eastAsia" w:ascii="宋体" w:hAnsi="宋体"/>
                <w:color w:val="auto"/>
              </w:rPr>
              <w:t>4</w:t>
            </w:r>
            <w:r>
              <w:rPr>
                <w:rFonts w:ascii="宋体" w:hAnsi="宋体"/>
                <w:color w:val="auto"/>
              </w:rPr>
              <w:t>#</w:t>
            </w:r>
          </w:p>
        </w:tc>
        <w:tc>
          <w:tcPr>
            <w:tcW w:w="1617" w:type="pct"/>
            <w:shd w:val="clear" w:color="auto" w:fill="auto"/>
            <w:vAlign w:val="center"/>
          </w:tcPr>
          <w:p w14:paraId="395065AB">
            <w:pPr>
              <w:jc w:val="center"/>
              <w:textAlignment w:val="center"/>
              <w:rPr>
                <w:rFonts w:ascii="宋体" w:hAnsi="宋体" w:cs="宋体"/>
                <w:color w:val="auto"/>
              </w:rPr>
            </w:pPr>
            <w:r>
              <w:rPr>
                <w:rFonts w:hint="eastAsia" w:ascii="宋体" w:hAnsi="宋体" w:cs="宋体"/>
                <w:color w:val="auto"/>
                <w:kern w:val="0"/>
              </w:rPr>
              <w:t>FJF18-X16</w:t>
            </w:r>
          </w:p>
        </w:tc>
        <w:tc>
          <w:tcPr>
            <w:tcW w:w="1351" w:type="pct"/>
            <w:shd w:val="clear" w:color="auto" w:fill="auto"/>
            <w:vAlign w:val="center"/>
          </w:tcPr>
          <w:p w14:paraId="1FA84461">
            <w:pPr>
              <w:jc w:val="center"/>
              <w:rPr>
                <w:rFonts w:ascii="宋体" w:hAnsi="宋体"/>
                <w:color w:val="auto"/>
              </w:rPr>
            </w:pPr>
            <w:r>
              <w:rPr>
                <w:rFonts w:hint="eastAsia" w:ascii="宋体" w:hAnsi="宋体"/>
                <w:color w:val="auto"/>
              </w:rPr>
              <w:t>9</w:t>
            </w:r>
            <w:r>
              <w:rPr>
                <w:rFonts w:ascii="宋体" w:hAnsi="宋体"/>
                <w:color w:val="auto"/>
              </w:rPr>
              <w:t>000</w:t>
            </w:r>
          </w:p>
        </w:tc>
        <w:tc>
          <w:tcPr>
            <w:tcW w:w="1214" w:type="pct"/>
            <w:shd w:val="clear" w:color="auto" w:fill="auto"/>
            <w:vAlign w:val="center"/>
          </w:tcPr>
          <w:p w14:paraId="231E3E56">
            <w:pPr>
              <w:jc w:val="center"/>
              <w:rPr>
                <w:rFonts w:ascii="宋体" w:hAnsi="宋体"/>
                <w:color w:val="auto"/>
              </w:rPr>
            </w:pPr>
            <w:r>
              <w:rPr>
                <w:rFonts w:hint="eastAsia" w:ascii="宋体" w:hAnsi="宋体"/>
                <w:color w:val="auto"/>
              </w:rPr>
              <w:t>6</w:t>
            </w:r>
            <w:r>
              <w:rPr>
                <w:rFonts w:ascii="宋体" w:hAnsi="宋体"/>
                <w:color w:val="auto"/>
              </w:rPr>
              <w:t>754</w:t>
            </w:r>
          </w:p>
        </w:tc>
      </w:tr>
      <w:tr w14:paraId="78E940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restart"/>
            <w:shd w:val="clear" w:color="auto" w:fill="auto"/>
            <w:vAlign w:val="center"/>
          </w:tcPr>
          <w:p w14:paraId="14097EBF">
            <w:pPr>
              <w:jc w:val="center"/>
              <w:rPr>
                <w:rFonts w:ascii="宋体" w:hAnsi="宋体"/>
                <w:color w:val="auto"/>
              </w:rPr>
            </w:pPr>
            <w:r>
              <w:rPr>
                <w:rFonts w:hint="eastAsia" w:ascii="宋体" w:hAnsi="宋体"/>
                <w:color w:val="auto"/>
              </w:rPr>
              <w:t>5</w:t>
            </w:r>
            <w:r>
              <w:rPr>
                <w:rFonts w:ascii="宋体" w:hAnsi="宋体"/>
                <w:color w:val="auto"/>
              </w:rPr>
              <w:t>#</w:t>
            </w:r>
          </w:p>
        </w:tc>
        <w:tc>
          <w:tcPr>
            <w:tcW w:w="1617" w:type="pct"/>
            <w:shd w:val="clear" w:color="auto" w:fill="auto"/>
            <w:vAlign w:val="center"/>
          </w:tcPr>
          <w:p w14:paraId="45E8B56A">
            <w:pPr>
              <w:jc w:val="center"/>
              <w:textAlignment w:val="center"/>
              <w:rPr>
                <w:rFonts w:ascii="宋体" w:hAnsi="宋体" w:cs="宋体"/>
                <w:color w:val="auto"/>
              </w:rPr>
            </w:pPr>
            <w:r>
              <w:rPr>
                <w:rFonts w:hint="eastAsia" w:ascii="宋体" w:hAnsi="宋体" w:cs="宋体"/>
                <w:color w:val="auto"/>
                <w:kern w:val="0"/>
              </w:rPr>
              <w:t>FJF18-X27</w:t>
            </w:r>
          </w:p>
        </w:tc>
        <w:tc>
          <w:tcPr>
            <w:tcW w:w="1351" w:type="pct"/>
            <w:vMerge w:val="restart"/>
            <w:shd w:val="clear" w:color="auto" w:fill="auto"/>
            <w:vAlign w:val="center"/>
          </w:tcPr>
          <w:p w14:paraId="3B5BB4F0">
            <w:pPr>
              <w:jc w:val="center"/>
              <w:rPr>
                <w:rFonts w:ascii="宋体" w:hAnsi="宋体"/>
                <w:color w:val="auto"/>
              </w:rPr>
            </w:pPr>
            <w:r>
              <w:rPr>
                <w:rFonts w:hint="eastAsia" w:ascii="宋体" w:hAnsi="宋体"/>
                <w:color w:val="auto"/>
              </w:rPr>
              <w:t>9</w:t>
            </w:r>
            <w:r>
              <w:rPr>
                <w:rFonts w:ascii="宋体" w:hAnsi="宋体"/>
                <w:color w:val="auto"/>
              </w:rPr>
              <w:t>000</w:t>
            </w:r>
          </w:p>
        </w:tc>
        <w:tc>
          <w:tcPr>
            <w:tcW w:w="1214" w:type="pct"/>
            <w:vMerge w:val="restart"/>
            <w:shd w:val="clear" w:color="auto" w:fill="auto"/>
            <w:vAlign w:val="center"/>
          </w:tcPr>
          <w:p w14:paraId="32F3F30D">
            <w:pPr>
              <w:jc w:val="center"/>
              <w:rPr>
                <w:rFonts w:ascii="宋体" w:hAnsi="宋体"/>
                <w:color w:val="auto"/>
              </w:rPr>
            </w:pPr>
            <w:r>
              <w:rPr>
                <w:rFonts w:hint="eastAsia" w:ascii="宋体" w:hAnsi="宋体"/>
                <w:color w:val="auto"/>
              </w:rPr>
              <w:t>5</w:t>
            </w:r>
            <w:r>
              <w:rPr>
                <w:rFonts w:ascii="宋体" w:hAnsi="宋体"/>
                <w:color w:val="auto"/>
              </w:rPr>
              <w:t>250</w:t>
            </w:r>
          </w:p>
        </w:tc>
      </w:tr>
      <w:tr w14:paraId="1F2DF8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15517A35">
            <w:pPr>
              <w:jc w:val="center"/>
              <w:rPr>
                <w:rFonts w:ascii="宋体" w:hAnsi="宋体"/>
                <w:color w:val="auto"/>
              </w:rPr>
            </w:pPr>
          </w:p>
        </w:tc>
        <w:tc>
          <w:tcPr>
            <w:tcW w:w="1617" w:type="pct"/>
            <w:shd w:val="clear" w:color="auto" w:fill="auto"/>
            <w:vAlign w:val="center"/>
          </w:tcPr>
          <w:p w14:paraId="25FEA4CF">
            <w:pPr>
              <w:jc w:val="center"/>
              <w:textAlignment w:val="center"/>
              <w:rPr>
                <w:rFonts w:ascii="宋体" w:hAnsi="宋体" w:cs="宋体"/>
                <w:color w:val="auto"/>
              </w:rPr>
            </w:pPr>
            <w:r>
              <w:rPr>
                <w:rFonts w:hint="eastAsia" w:ascii="宋体" w:hAnsi="宋体" w:cs="宋体"/>
                <w:color w:val="auto"/>
                <w:kern w:val="0"/>
              </w:rPr>
              <w:t>FJF18-X25</w:t>
            </w:r>
          </w:p>
        </w:tc>
        <w:tc>
          <w:tcPr>
            <w:tcW w:w="1351" w:type="pct"/>
            <w:vMerge w:val="continue"/>
            <w:shd w:val="clear" w:color="auto" w:fill="auto"/>
            <w:vAlign w:val="center"/>
          </w:tcPr>
          <w:p w14:paraId="493C5AB5">
            <w:pPr>
              <w:jc w:val="center"/>
              <w:rPr>
                <w:rFonts w:ascii="宋体" w:hAnsi="宋体"/>
                <w:color w:val="auto"/>
              </w:rPr>
            </w:pPr>
          </w:p>
        </w:tc>
        <w:tc>
          <w:tcPr>
            <w:tcW w:w="1214" w:type="pct"/>
            <w:vMerge w:val="continue"/>
            <w:shd w:val="clear" w:color="auto" w:fill="auto"/>
            <w:vAlign w:val="center"/>
          </w:tcPr>
          <w:p w14:paraId="40C4DF13">
            <w:pPr>
              <w:jc w:val="center"/>
              <w:rPr>
                <w:rFonts w:ascii="宋体" w:hAnsi="宋体"/>
                <w:color w:val="auto"/>
              </w:rPr>
            </w:pPr>
          </w:p>
        </w:tc>
      </w:tr>
      <w:tr w14:paraId="567D087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59A4E5B4">
            <w:pPr>
              <w:jc w:val="center"/>
              <w:rPr>
                <w:rFonts w:ascii="宋体" w:hAnsi="宋体"/>
                <w:color w:val="auto"/>
              </w:rPr>
            </w:pPr>
          </w:p>
        </w:tc>
        <w:tc>
          <w:tcPr>
            <w:tcW w:w="1617" w:type="pct"/>
            <w:shd w:val="clear" w:color="auto" w:fill="auto"/>
            <w:vAlign w:val="center"/>
          </w:tcPr>
          <w:p w14:paraId="4495230E">
            <w:pPr>
              <w:jc w:val="center"/>
              <w:textAlignment w:val="center"/>
              <w:rPr>
                <w:rFonts w:ascii="宋体" w:hAnsi="宋体" w:cs="宋体"/>
                <w:color w:val="auto"/>
              </w:rPr>
            </w:pPr>
            <w:r>
              <w:rPr>
                <w:rFonts w:hint="eastAsia" w:ascii="宋体" w:hAnsi="宋体" w:cs="宋体"/>
                <w:color w:val="auto"/>
                <w:kern w:val="0"/>
              </w:rPr>
              <w:t>FJF18-X24</w:t>
            </w:r>
          </w:p>
        </w:tc>
        <w:tc>
          <w:tcPr>
            <w:tcW w:w="1351" w:type="pct"/>
            <w:vMerge w:val="continue"/>
            <w:shd w:val="clear" w:color="auto" w:fill="auto"/>
            <w:vAlign w:val="center"/>
          </w:tcPr>
          <w:p w14:paraId="414A1FFE">
            <w:pPr>
              <w:jc w:val="center"/>
              <w:rPr>
                <w:rFonts w:ascii="宋体" w:hAnsi="宋体"/>
                <w:color w:val="auto"/>
              </w:rPr>
            </w:pPr>
          </w:p>
        </w:tc>
        <w:tc>
          <w:tcPr>
            <w:tcW w:w="1214" w:type="pct"/>
            <w:vMerge w:val="continue"/>
            <w:shd w:val="clear" w:color="auto" w:fill="auto"/>
            <w:vAlign w:val="center"/>
          </w:tcPr>
          <w:p w14:paraId="26A9BBA6">
            <w:pPr>
              <w:jc w:val="center"/>
              <w:rPr>
                <w:rFonts w:ascii="宋体" w:hAnsi="宋体"/>
                <w:color w:val="auto"/>
              </w:rPr>
            </w:pPr>
          </w:p>
        </w:tc>
      </w:tr>
      <w:tr w14:paraId="367E334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06A84644">
            <w:pPr>
              <w:jc w:val="center"/>
              <w:rPr>
                <w:rFonts w:ascii="宋体" w:hAnsi="宋体"/>
                <w:color w:val="auto"/>
              </w:rPr>
            </w:pPr>
          </w:p>
        </w:tc>
        <w:tc>
          <w:tcPr>
            <w:tcW w:w="1617" w:type="pct"/>
            <w:shd w:val="clear" w:color="auto" w:fill="auto"/>
            <w:vAlign w:val="center"/>
          </w:tcPr>
          <w:p w14:paraId="030A7E6C">
            <w:pPr>
              <w:jc w:val="center"/>
              <w:textAlignment w:val="center"/>
              <w:rPr>
                <w:rFonts w:ascii="宋体" w:hAnsi="宋体" w:cs="宋体"/>
                <w:color w:val="auto"/>
              </w:rPr>
            </w:pPr>
            <w:r>
              <w:rPr>
                <w:rFonts w:hint="eastAsia" w:ascii="宋体" w:hAnsi="宋体" w:cs="宋体"/>
                <w:color w:val="auto"/>
                <w:kern w:val="0"/>
              </w:rPr>
              <w:t>FJF18-X23</w:t>
            </w:r>
          </w:p>
        </w:tc>
        <w:tc>
          <w:tcPr>
            <w:tcW w:w="1351" w:type="pct"/>
            <w:vMerge w:val="continue"/>
            <w:shd w:val="clear" w:color="auto" w:fill="auto"/>
            <w:vAlign w:val="center"/>
          </w:tcPr>
          <w:p w14:paraId="772F4F4D">
            <w:pPr>
              <w:jc w:val="center"/>
              <w:rPr>
                <w:rFonts w:ascii="宋体" w:hAnsi="宋体"/>
                <w:color w:val="auto"/>
              </w:rPr>
            </w:pPr>
          </w:p>
        </w:tc>
        <w:tc>
          <w:tcPr>
            <w:tcW w:w="1214" w:type="pct"/>
            <w:vMerge w:val="continue"/>
            <w:shd w:val="clear" w:color="auto" w:fill="auto"/>
            <w:vAlign w:val="center"/>
          </w:tcPr>
          <w:p w14:paraId="1E4C9B18">
            <w:pPr>
              <w:jc w:val="center"/>
              <w:rPr>
                <w:rFonts w:ascii="宋体" w:hAnsi="宋体"/>
                <w:color w:val="auto"/>
              </w:rPr>
            </w:pPr>
          </w:p>
        </w:tc>
      </w:tr>
      <w:tr w14:paraId="2C2F00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restart"/>
            <w:shd w:val="clear" w:color="auto" w:fill="auto"/>
            <w:vAlign w:val="center"/>
          </w:tcPr>
          <w:p w14:paraId="57AF9D0F">
            <w:pPr>
              <w:jc w:val="center"/>
              <w:rPr>
                <w:rFonts w:ascii="宋体" w:hAnsi="宋体"/>
                <w:color w:val="auto"/>
              </w:rPr>
            </w:pPr>
            <w:r>
              <w:rPr>
                <w:rFonts w:hint="eastAsia" w:ascii="宋体" w:hAnsi="宋体"/>
                <w:color w:val="auto"/>
              </w:rPr>
              <w:t>6</w:t>
            </w:r>
            <w:r>
              <w:rPr>
                <w:rFonts w:ascii="宋体" w:hAnsi="宋体"/>
                <w:color w:val="auto"/>
              </w:rPr>
              <w:t>#</w:t>
            </w:r>
          </w:p>
        </w:tc>
        <w:tc>
          <w:tcPr>
            <w:tcW w:w="1617" w:type="pct"/>
            <w:shd w:val="clear" w:color="auto" w:fill="auto"/>
            <w:vAlign w:val="center"/>
          </w:tcPr>
          <w:p w14:paraId="7AEBB959">
            <w:pPr>
              <w:jc w:val="center"/>
              <w:textAlignment w:val="center"/>
              <w:rPr>
                <w:rFonts w:ascii="宋体" w:hAnsi="宋体" w:cs="宋体"/>
                <w:color w:val="auto"/>
              </w:rPr>
            </w:pPr>
            <w:r>
              <w:rPr>
                <w:rFonts w:hint="eastAsia" w:ascii="宋体" w:hAnsi="宋体" w:cs="宋体"/>
                <w:color w:val="auto"/>
                <w:kern w:val="0"/>
              </w:rPr>
              <w:t>FJF11-X123</w:t>
            </w:r>
          </w:p>
        </w:tc>
        <w:tc>
          <w:tcPr>
            <w:tcW w:w="1351" w:type="pct"/>
            <w:vMerge w:val="restart"/>
            <w:shd w:val="clear" w:color="auto" w:fill="auto"/>
            <w:vAlign w:val="center"/>
          </w:tcPr>
          <w:p w14:paraId="4FD2AA94">
            <w:pPr>
              <w:jc w:val="center"/>
              <w:rPr>
                <w:rFonts w:ascii="宋体" w:hAnsi="宋体"/>
                <w:color w:val="auto"/>
              </w:rPr>
            </w:pPr>
            <w:r>
              <w:rPr>
                <w:rFonts w:hint="eastAsia" w:ascii="宋体" w:hAnsi="宋体"/>
                <w:color w:val="auto"/>
              </w:rPr>
              <w:t>1</w:t>
            </w:r>
            <w:r>
              <w:rPr>
                <w:rFonts w:ascii="宋体" w:hAnsi="宋体"/>
                <w:color w:val="auto"/>
              </w:rPr>
              <w:t>0780</w:t>
            </w:r>
          </w:p>
        </w:tc>
        <w:tc>
          <w:tcPr>
            <w:tcW w:w="1214" w:type="pct"/>
            <w:vMerge w:val="restart"/>
            <w:shd w:val="clear" w:color="auto" w:fill="auto"/>
            <w:vAlign w:val="center"/>
          </w:tcPr>
          <w:p w14:paraId="3C46D2E9">
            <w:pPr>
              <w:jc w:val="center"/>
              <w:rPr>
                <w:rFonts w:ascii="宋体" w:hAnsi="宋体"/>
                <w:color w:val="auto"/>
              </w:rPr>
            </w:pPr>
            <w:r>
              <w:rPr>
                <w:rFonts w:ascii="宋体" w:hAnsi="宋体"/>
                <w:color w:val="auto"/>
              </w:rPr>
              <w:t>5800</w:t>
            </w:r>
          </w:p>
        </w:tc>
      </w:tr>
      <w:tr w14:paraId="335EDD1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41B05BEC">
            <w:pPr>
              <w:jc w:val="center"/>
              <w:rPr>
                <w:rFonts w:ascii="宋体" w:hAnsi="宋体"/>
                <w:color w:val="auto"/>
              </w:rPr>
            </w:pPr>
          </w:p>
        </w:tc>
        <w:tc>
          <w:tcPr>
            <w:tcW w:w="1617" w:type="pct"/>
            <w:shd w:val="clear" w:color="auto" w:fill="auto"/>
            <w:vAlign w:val="center"/>
          </w:tcPr>
          <w:p w14:paraId="0E554A2E">
            <w:pPr>
              <w:jc w:val="center"/>
              <w:textAlignment w:val="center"/>
              <w:rPr>
                <w:rFonts w:ascii="宋体" w:hAnsi="宋体" w:cs="宋体"/>
                <w:color w:val="auto"/>
              </w:rPr>
            </w:pPr>
            <w:r>
              <w:rPr>
                <w:rFonts w:hint="eastAsia" w:ascii="宋体" w:hAnsi="宋体" w:cs="宋体"/>
                <w:color w:val="auto"/>
                <w:kern w:val="0"/>
              </w:rPr>
              <w:t>FJF11-X122</w:t>
            </w:r>
          </w:p>
        </w:tc>
        <w:tc>
          <w:tcPr>
            <w:tcW w:w="1351" w:type="pct"/>
            <w:vMerge w:val="continue"/>
            <w:shd w:val="clear" w:color="auto" w:fill="auto"/>
            <w:vAlign w:val="center"/>
          </w:tcPr>
          <w:p w14:paraId="1542621F">
            <w:pPr>
              <w:jc w:val="center"/>
              <w:rPr>
                <w:rFonts w:ascii="宋体" w:hAnsi="宋体"/>
                <w:color w:val="auto"/>
              </w:rPr>
            </w:pPr>
          </w:p>
        </w:tc>
        <w:tc>
          <w:tcPr>
            <w:tcW w:w="1214" w:type="pct"/>
            <w:vMerge w:val="continue"/>
            <w:shd w:val="clear" w:color="auto" w:fill="auto"/>
            <w:vAlign w:val="center"/>
          </w:tcPr>
          <w:p w14:paraId="5529E42A">
            <w:pPr>
              <w:jc w:val="center"/>
              <w:rPr>
                <w:rFonts w:ascii="宋体" w:hAnsi="宋体"/>
                <w:color w:val="auto"/>
              </w:rPr>
            </w:pPr>
          </w:p>
        </w:tc>
      </w:tr>
      <w:tr w14:paraId="2C6D8E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0DC626BC">
            <w:pPr>
              <w:jc w:val="center"/>
              <w:rPr>
                <w:rFonts w:ascii="宋体" w:hAnsi="宋体"/>
                <w:color w:val="auto"/>
              </w:rPr>
            </w:pPr>
          </w:p>
        </w:tc>
        <w:tc>
          <w:tcPr>
            <w:tcW w:w="1617" w:type="pct"/>
            <w:shd w:val="clear" w:color="auto" w:fill="auto"/>
            <w:vAlign w:val="center"/>
          </w:tcPr>
          <w:p w14:paraId="4DC42687">
            <w:pPr>
              <w:jc w:val="center"/>
              <w:textAlignment w:val="center"/>
              <w:rPr>
                <w:rFonts w:ascii="宋体" w:hAnsi="宋体" w:cs="宋体"/>
                <w:color w:val="auto"/>
              </w:rPr>
            </w:pPr>
            <w:r>
              <w:rPr>
                <w:rFonts w:hint="eastAsia" w:ascii="宋体" w:hAnsi="宋体" w:cs="宋体"/>
                <w:color w:val="auto"/>
                <w:kern w:val="0"/>
              </w:rPr>
              <w:t>FJF11-X120</w:t>
            </w:r>
          </w:p>
        </w:tc>
        <w:tc>
          <w:tcPr>
            <w:tcW w:w="1351" w:type="pct"/>
            <w:vMerge w:val="continue"/>
            <w:shd w:val="clear" w:color="auto" w:fill="auto"/>
            <w:vAlign w:val="center"/>
          </w:tcPr>
          <w:p w14:paraId="62A06696">
            <w:pPr>
              <w:jc w:val="center"/>
              <w:rPr>
                <w:rFonts w:ascii="宋体" w:hAnsi="宋体"/>
                <w:color w:val="auto"/>
              </w:rPr>
            </w:pPr>
          </w:p>
        </w:tc>
        <w:tc>
          <w:tcPr>
            <w:tcW w:w="1214" w:type="pct"/>
            <w:vMerge w:val="continue"/>
            <w:shd w:val="clear" w:color="auto" w:fill="auto"/>
            <w:vAlign w:val="center"/>
          </w:tcPr>
          <w:p w14:paraId="618495B1">
            <w:pPr>
              <w:jc w:val="center"/>
              <w:rPr>
                <w:rFonts w:ascii="宋体" w:hAnsi="宋体"/>
                <w:color w:val="auto"/>
              </w:rPr>
            </w:pPr>
          </w:p>
        </w:tc>
      </w:tr>
      <w:tr w14:paraId="1C95CF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766832D5">
            <w:pPr>
              <w:jc w:val="center"/>
              <w:rPr>
                <w:rFonts w:ascii="宋体" w:hAnsi="宋体"/>
                <w:color w:val="auto"/>
              </w:rPr>
            </w:pPr>
          </w:p>
        </w:tc>
        <w:tc>
          <w:tcPr>
            <w:tcW w:w="1617" w:type="pct"/>
            <w:shd w:val="clear" w:color="auto" w:fill="auto"/>
            <w:vAlign w:val="center"/>
          </w:tcPr>
          <w:p w14:paraId="139D86E5">
            <w:pPr>
              <w:jc w:val="center"/>
              <w:textAlignment w:val="center"/>
              <w:rPr>
                <w:rFonts w:ascii="宋体" w:hAnsi="宋体" w:cs="宋体"/>
                <w:color w:val="auto"/>
              </w:rPr>
            </w:pPr>
            <w:r>
              <w:rPr>
                <w:rFonts w:hint="eastAsia" w:ascii="宋体" w:hAnsi="宋体" w:cs="宋体"/>
                <w:color w:val="auto"/>
                <w:kern w:val="0"/>
              </w:rPr>
              <w:t>FJF11-X117</w:t>
            </w:r>
          </w:p>
        </w:tc>
        <w:tc>
          <w:tcPr>
            <w:tcW w:w="1351" w:type="pct"/>
            <w:vMerge w:val="continue"/>
            <w:shd w:val="clear" w:color="auto" w:fill="auto"/>
            <w:vAlign w:val="center"/>
          </w:tcPr>
          <w:p w14:paraId="543C9069">
            <w:pPr>
              <w:jc w:val="center"/>
              <w:rPr>
                <w:rFonts w:ascii="宋体" w:hAnsi="宋体"/>
                <w:color w:val="auto"/>
              </w:rPr>
            </w:pPr>
          </w:p>
        </w:tc>
        <w:tc>
          <w:tcPr>
            <w:tcW w:w="1214" w:type="pct"/>
            <w:vMerge w:val="continue"/>
            <w:shd w:val="clear" w:color="auto" w:fill="auto"/>
            <w:vAlign w:val="center"/>
          </w:tcPr>
          <w:p w14:paraId="10ED3BCC">
            <w:pPr>
              <w:jc w:val="center"/>
              <w:rPr>
                <w:rFonts w:ascii="宋体" w:hAnsi="宋体"/>
                <w:color w:val="auto"/>
              </w:rPr>
            </w:pPr>
          </w:p>
        </w:tc>
      </w:tr>
      <w:tr w14:paraId="754E8E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740CB7B6">
            <w:pPr>
              <w:jc w:val="center"/>
              <w:rPr>
                <w:rFonts w:ascii="宋体" w:hAnsi="宋体"/>
                <w:color w:val="auto"/>
              </w:rPr>
            </w:pPr>
          </w:p>
        </w:tc>
        <w:tc>
          <w:tcPr>
            <w:tcW w:w="1617" w:type="pct"/>
            <w:shd w:val="clear" w:color="auto" w:fill="auto"/>
            <w:vAlign w:val="center"/>
          </w:tcPr>
          <w:p w14:paraId="70BF8A93">
            <w:pPr>
              <w:jc w:val="center"/>
              <w:textAlignment w:val="center"/>
              <w:rPr>
                <w:rFonts w:ascii="宋体" w:hAnsi="宋体" w:cs="宋体"/>
                <w:color w:val="auto"/>
              </w:rPr>
            </w:pPr>
            <w:r>
              <w:rPr>
                <w:rFonts w:hint="eastAsia" w:ascii="宋体" w:hAnsi="宋体" w:cs="宋体"/>
                <w:color w:val="auto"/>
                <w:kern w:val="0"/>
              </w:rPr>
              <w:t>FJF11-X118</w:t>
            </w:r>
          </w:p>
        </w:tc>
        <w:tc>
          <w:tcPr>
            <w:tcW w:w="1351" w:type="pct"/>
            <w:vMerge w:val="continue"/>
            <w:shd w:val="clear" w:color="auto" w:fill="auto"/>
            <w:vAlign w:val="center"/>
          </w:tcPr>
          <w:p w14:paraId="4F59030F">
            <w:pPr>
              <w:jc w:val="center"/>
              <w:rPr>
                <w:rFonts w:ascii="宋体" w:hAnsi="宋体"/>
                <w:color w:val="auto"/>
              </w:rPr>
            </w:pPr>
          </w:p>
        </w:tc>
        <w:tc>
          <w:tcPr>
            <w:tcW w:w="1214" w:type="pct"/>
            <w:vMerge w:val="continue"/>
            <w:shd w:val="clear" w:color="auto" w:fill="auto"/>
            <w:vAlign w:val="center"/>
          </w:tcPr>
          <w:p w14:paraId="1E0AE7D2">
            <w:pPr>
              <w:jc w:val="center"/>
              <w:rPr>
                <w:rFonts w:ascii="宋体" w:hAnsi="宋体"/>
                <w:color w:val="auto"/>
              </w:rPr>
            </w:pPr>
          </w:p>
        </w:tc>
      </w:tr>
      <w:tr w14:paraId="25A512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30C79922">
            <w:pPr>
              <w:jc w:val="center"/>
              <w:rPr>
                <w:rFonts w:ascii="宋体" w:hAnsi="宋体"/>
                <w:color w:val="auto"/>
              </w:rPr>
            </w:pPr>
          </w:p>
        </w:tc>
        <w:tc>
          <w:tcPr>
            <w:tcW w:w="1617" w:type="pct"/>
            <w:shd w:val="clear" w:color="auto" w:fill="auto"/>
            <w:vAlign w:val="center"/>
          </w:tcPr>
          <w:p w14:paraId="0B3B7C40">
            <w:pPr>
              <w:jc w:val="center"/>
              <w:textAlignment w:val="center"/>
              <w:rPr>
                <w:rFonts w:ascii="宋体" w:hAnsi="宋体" w:cs="宋体"/>
                <w:color w:val="auto"/>
              </w:rPr>
            </w:pPr>
            <w:r>
              <w:rPr>
                <w:rFonts w:hint="eastAsia" w:ascii="宋体" w:hAnsi="宋体" w:cs="宋体"/>
                <w:color w:val="auto"/>
                <w:kern w:val="0"/>
              </w:rPr>
              <w:t>FJF11-X115</w:t>
            </w:r>
          </w:p>
        </w:tc>
        <w:tc>
          <w:tcPr>
            <w:tcW w:w="1351" w:type="pct"/>
            <w:vMerge w:val="continue"/>
            <w:shd w:val="clear" w:color="auto" w:fill="auto"/>
            <w:vAlign w:val="center"/>
          </w:tcPr>
          <w:p w14:paraId="28E2A9E0">
            <w:pPr>
              <w:jc w:val="center"/>
              <w:rPr>
                <w:rFonts w:ascii="宋体" w:hAnsi="宋体"/>
                <w:color w:val="auto"/>
              </w:rPr>
            </w:pPr>
          </w:p>
        </w:tc>
        <w:tc>
          <w:tcPr>
            <w:tcW w:w="1214" w:type="pct"/>
            <w:vMerge w:val="continue"/>
            <w:shd w:val="clear" w:color="auto" w:fill="auto"/>
            <w:vAlign w:val="center"/>
          </w:tcPr>
          <w:p w14:paraId="0001CF10">
            <w:pPr>
              <w:jc w:val="center"/>
              <w:rPr>
                <w:rFonts w:ascii="宋体" w:hAnsi="宋体"/>
                <w:color w:val="auto"/>
              </w:rPr>
            </w:pPr>
          </w:p>
        </w:tc>
      </w:tr>
      <w:tr w14:paraId="4B6368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restart"/>
            <w:shd w:val="clear" w:color="auto" w:fill="auto"/>
            <w:vAlign w:val="center"/>
          </w:tcPr>
          <w:p w14:paraId="79F71A25">
            <w:pPr>
              <w:jc w:val="center"/>
              <w:rPr>
                <w:rFonts w:ascii="宋体" w:hAnsi="宋体"/>
                <w:color w:val="auto"/>
              </w:rPr>
            </w:pPr>
            <w:r>
              <w:rPr>
                <w:rFonts w:hint="eastAsia" w:ascii="宋体" w:hAnsi="宋体"/>
                <w:color w:val="auto"/>
              </w:rPr>
              <w:t>7</w:t>
            </w:r>
            <w:r>
              <w:rPr>
                <w:rFonts w:ascii="宋体" w:hAnsi="宋体"/>
                <w:color w:val="auto"/>
              </w:rPr>
              <w:t>#</w:t>
            </w:r>
          </w:p>
        </w:tc>
        <w:tc>
          <w:tcPr>
            <w:tcW w:w="1617" w:type="pct"/>
            <w:shd w:val="clear" w:color="auto" w:fill="auto"/>
            <w:vAlign w:val="center"/>
          </w:tcPr>
          <w:p w14:paraId="4A5FECD1">
            <w:pPr>
              <w:jc w:val="center"/>
              <w:textAlignment w:val="center"/>
              <w:rPr>
                <w:rFonts w:ascii="宋体" w:hAnsi="宋体" w:cs="宋体"/>
                <w:color w:val="auto"/>
              </w:rPr>
            </w:pPr>
            <w:r>
              <w:rPr>
                <w:rFonts w:hint="eastAsia" w:ascii="宋体" w:hAnsi="宋体" w:cs="宋体"/>
                <w:color w:val="auto"/>
                <w:kern w:val="0"/>
              </w:rPr>
              <w:t>FJFY1-10HF</w:t>
            </w:r>
          </w:p>
        </w:tc>
        <w:tc>
          <w:tcPr>
            <w:tcW w:w="1351" w:type="pct"/>
            <w:shd w:val="clear" w:color="auto" w:fill="auto"/>
            <w:vAlign w:val="center"/>
          </w:tcPr>
          <w:p w14:paraId="07CB84DB">
            <w:pPr>
              <w:jc w:val="center"/>
              <w:rPr>
                <w:rFonts w:ascii="宋体" w:hAnsi="宋体"/>
                <w:color w:val="auto"/>
              </w:rPr>
            </w:pPr>
            <w:r>
              <w:rPr>
                <w:rFonts w:hint="eastAsia" w:ascii="宋体" w:hAnsi="宋体"/>
                <w:color w:val="auto"/>
              </w:rPr>
              <w:t>/</w:t>
            </w:r>
            <w:r>
              <w:rPr>
                <w:rFonts w:ascii="宋体" w:hAnsi="宋体"/>
                <w:color w:val="auto"/>
              </w:rPr>
              <w:t>(</w:t>
            </w:r>
            <w:r>
              <w:rPr>
                <w:rFonts w:hint="eastAsia" w:ascii="宋体" w:hAnsi="宋体"/>
                <w:color w:val="auto"/>
              </w:rPr>
              <w:t>探转开，本次不考虑施工期临时占地)</w:t>
            </w:r>
          </w:p>
        </w:tc>
        <w:tc>
          <w:tcPr>
            <w:tcW w:w="1214" w:type="pct"/>
            <w:vMerge w:val="restart"/>
            <w:shd w:val="clear" w:color="auto" w:fill="auto"/>
            <w:vAlign w:val="center"/>
          </w:tcPr>
          <w:p w14:paraId="6AA1CB83">
            <w:pPr>
              <w:jc w:val="center"/>
              <w:rPr>
                <w:rFonts w:ascii="宋体" w:hAnsi="宋体"/>
                <w:color w:val="auto"/>
              </w:rPr>
            </w:pPr>
            <w:r>
              <w:rPr>
                <w:rFonts w:hint="eastAsia" w:ascii="宋体" w:hAnsi="宋体"/>
                <w:color w:val="auto"/>
              </w:rPr>
              <w:t>2</w:t>
            </w:r>
            <w:r>
              <w:rPr>
                <w:rFonts w:ascii="宋体" w:hAnsi="宋体"/>
                <w:color w:val="auto"/>
              </w:rPr>
              <w:t>1500</w:t>
            </w:r>
          </w:p>
        </w:tc>
      </w:tr>
      <w:tr w14:paraId="460459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60F4C176">
            <w:pPr>
              <w:jc w:val="center"/>
              <w:rPr>
                <w:rFonts w:ascii="宋体" w:hAnsi="宋体"/>
                <w:color w:val="auto"/>
              </w:rPr>
            </w:pPr>
          </w:p>
        </w:tc>
        <w:tc>
          <w:tcPr>
            <w:tcW w:w="1617" w:type="pct"/>
            <w:shd w:val="clear" w:color="auto" w:fill="auto"/>
            <w:vAlign w:val="center"/>
          </w:tcPr>
          <w:p w14:paraId="5ED5ABFF">
            <w:pPr>
              <w:jc w:val="center"/>
              <w:textAlignment w:val="center"/>
              <w:rPr>
                <w:rFonts w:ascii="宋体" w:hAnsi="宋体" w:cs="宋体"/>
                <w:color w:val="auto"/>
              </w:rPr>
            </w:pPr>
            <w:r>
              <w:rPr>
                <w:rFonts w:hint="eastAsia" w:ascii="宋体" w:hAnsi="宋体" w:cs="宋体"/>
                <w:color w:val="auto"/>
                <w:kern w:val="0"/>
              </w:rPr>
              <w:t>FJFY1-9HF</w:t>
            </w:r>
          </w:p>
        </w:tc>
        <w:tc>
          <w:tcPr>
            <w:tcW w:w="1351" w:type="pct"/>
            <w:shd w:val="clear" w:color="auto" w:fill="auto"/>
          </w:tcPr>
          <w:p w14:paraId="47D3B3A3">
            <w:pPr>
              <w:jc w:val="center"/>
              <w:rPr>
                <w:rFonts w:ascii="宋体" w:hAnsi="宋体"/>
                <w:color w:val="auto"/>
              </w:rPr>
            </w:pPr>
            <w:r>
              <w:rPr>
                <w:rFonts w:hint="eastAsia" w:ascii="宋体" w:hAnsi="宋体"/>
                <w:color w:val="auto"/>
              </w:rPr>
              <w:t>/</w:t>
            </w:r>
            <w:r>
              <w:rPr>
                <w:rFonts w:ascii="宋体" w:hAnsi="宋体"/>
                <w:color w:val="auto"/>
              </w:rPr>
              <w:t>(</w:t>
            </w:r>
            <w:r>
              <w:rPr>
                <w:rFonts w:hint="eastAsia" w:ascii="宋体" w:hAnsi="宋体"/>
                <w:color w:val="auto"/>
              </w:rPr>
              <w:t>探转开，本次不考虑施工期临时占地)</w:t>
            </w:r>
          </w:p>
        </w:tc>
        <w:tc>
          <w:tcPr>
            <w:tcW w:w="1214" w:type="pct"/>
            <w:vMerge w:val="continue"/>
            <w:shd w:val="clear" w:color="auto" w:fill="auto"/>
            <w:vAlign w:val="center"/>
          </w:tcPr>
          <w:p w14:paraId="229B65E3">
            <w:pPr>
              <w:jc w:val="center"/>
              <w:rPr>
                <w:rFonts w:ascii="宋体" w:hAnsi="宋体"/>
                <w:color w:val="auto"/>
              </w:rPr>
            </w:pPr>
          </w:p>
        </w:tc>
      </w:tr>
      <w:tr w14:paraId="002CE67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364B6E36">
            <w:pPr>
              <w:jc w:val="center"/>
              <w:rPr>
                <w:rFonts w:ascii="宋体" w:hAnsi="宋体"/>
                <w:color w:val="auto"/>
              </w:rPr>
            </w:pPr>
            <w:r>
              <w:rPr>
                <w:rFonts w:hint="eastAsia" w:ascii="宋体" w:hAnsi="宋体"/>
                <w:color w:val="auto"/>
              </w:rPr>
              <w:t>8</w:t>
            </w:r>
            <w:r>
              <w:rPr>
                <w:rFonts w:ascii="宋体" w:hAnsi="宋体"/>
                <w:color w:val="auto"/>
              </w:rPr>
              <w:t>#</w:t>
            </w:r>
          </w:p>
        </w:tc>
        <w:tc>
          <w:tcPr>
            <w:tcW w:w="1617" w:type="pct"/>
            <w:shd w:val="clear" w:color="auto" w:fill="auto"/>
            <w:vAlign w:val="center"/>
          </w:tcPr>
          <w:p w14:paraId="7DA6153C">
            <w:pPr>
              <w:jc w:val="center"/>
              <w:textAlignment w:val="center"/>
              <w:rPr>
                <w:rFonts w:ascii="宋体" w:hAnsi="宋体" w:cs="宋体"/>
                <w:color w:val="auto"/>
              </w:rPr>
            </w:pPr>
            <w:r>
              <w:rPr>
                <w:rFonts w:hint="eastAsia" w:ascii="宋体" w:hAnsi="宋体" w:cs="宋体"/>
                <w:color w:val="auto"/>
                <w:kern w:val="0"/>
              </w:rPr>
              <w:t>FJFY301HF</w:t>
            </w:r>
          </w:p>
        </w:tc>
        <w:tc>
          <w:tcPr>
            <w:tcW w:w="1351" w:type="pct"/>
            <w:shd w:val="clear" w:color="auto" w:fill="auto"/>
          </w:tcPr>
          <w:p w14:paraId="49DDC1AD">
            <w:pPr>
              <w:jc w:val="center"/>
              <w:rPr>
                <w:rFonts w:ascii="宋体" w:hAnsi="宋体"/>
                <w:color w:val="auto"/>
              </w:rPr>
            </w:pPr>
            <w:r>
              <w:rPr>
                <w:rFonts w:hint="eastAsia" w:ascii="宋体" w:hAnsi="宋体"/>
                <w:color w:val="auto"/>
              </w:rPr>
              <w:t>/</w:t>
            </w:r>
            <w:r>
              <w:rPr>
                <w:rFonts w:ascii="宋体" w:hAnsi="宋体"/>
                <w:color w:val="auto"/>
              </w:rPr>
              <w:t>(</w:t>
            </w:r>
            <w:r>
              <w:rPr>
                <w:rFonts w:hint="eastAsia" w:ascii="宋体" w:hAnsi="宋体"/>
                <w:color w:val="auto"/>
              </w:rPr>
              <w:t>探转开，本次不考虑施工期临时占地)</w:t>
            </w:r>
          </w:p>
        </w:tc>
        <w:tc>
          <w:tcPr>
            <w:tcW w:w="1214" w:type="pct"/>
            <w:shd w:val="clear" w:color="auto" w:fill="auto"/>
            <w:vAlign w:val="center"/>
          </w:tcPr>
          <w:p w14:paraId="5A6E3AC6">
            <w:pPr>
              <w:jc w:val="center"/>
              <w:rPr>
                <w:rFonts w:ascii="宋体" w:hAnsi="宋体"/>
                <w:color w:val="auto"/>
              </w:rPr>
            </w:pPr>
            <w:r>
              <w:rPr>
                <w:rFonts w:hint="eastAsia" w:ascii="宋体" w:hAnsi="宋体"/>
                <w:color w:val="auto"/>
              </w:rPr>
              <w:t>1</w:t>
            </w:r>
            <w:r>
              <w:rPr>
                <w:rFonts w:ascii="宋体" w:hAnsi="宋体"/>
                <w:color w:val="auto"/>
              </w:rPr>
              <w:t>0225</w:t>
            </w:r>
          </w:p>
        </w:tc>
      </w:tr>
      <w:tr w14:paraId="15AF23B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restart"/>
            <w:shd w:val="clear" w:color="auto" w:fill="auto"/>
            <w:vAlign w:val="center"/>
          </w:tcPr>
          <w:p w14:paraId="552F6A4C">
            <w:pPr>
              <w:jc w:val="center"/>
              <w:rPr>
                <w:rFonts w:ascii="宋体" w:hAnsi="宋体"/>
                <w:color w:val="auto"/>
              </w:rPr>
            </w:pPr>
            <w:r>
              <w:rPr>
                <w:rFonts w:hint="eastAsia" w:ascii="宋体" w:hAnsi="宋体"/>
                <w:color w:val="auto"/>
              </w:rPr>
              <w:t>9</w:t>
            </w:r>
            <w:r>
              <w:rPr>
                <w:rFonts w:ascii="宋体" w:hAnsi="宋体"/>
                <w:color w:val="auto"/>
              </w:rPr>
              <w:t>#</w:t>
            </w:r>
          </w:p>
        </w:tc>
        <w:tc>
          <w:tcPr>
            <w:tcW w:w="1617" w:type="pct"/>
            <w:shd w:val="clear" w:color="auto" w:fill="auto"/>
            <w:vAlign w:val="center"/>
          </w:tcPr>
          <w:p w14:paraId="0D2C8720">
            <w:pPr>
              <w:jc w:val="center"/>
              <w:textAlignment w:val="center"/>
              <w:rPr>
                <w:rFonts w:ascii="宋体" w:hAnsi="宋体" w:cs="宋体"/>
                <w:color w:val="auto"/>
              </w:rPr>
            </w:pPr>
            <w:r>
              <w:rPr>
                <w:rFonts w:hint="eastAsia" w:ascii="宋体" w:hAnsi="宋体" w:cs="宋体"/>
                <w:color w:val="auto"/>
                <w:kern w:val="0"/>
              </w:rPr>
              <w:t>FJFY104-1HF</w:t>
            </w:r>
          </w:p>
        </w:tc>
        <w:tc>
          <w:tcPr>
            <w:tcW w:w="1351" w:type="pct"/>
            <w:shd w:val="clear" w:color="auto" w:fill="auto"/>
          </w:tcPr>
          <w:p w14:paraId="43EFAD27">
            <w:pPr>
              <w:jc w:val="center"/>
              <w:rPr>
                <w:rFonts w:ascii="宋体" w:hAnsi="宋体"/>
                <w:color w:val="auto"/>
              </w:rPr>
            </w:pPr>
            <w:r>
              <w:rPr>
                <w:rFonts w:hint="eastAsia" w:ascii="宋体" w:hAnsi="宋体"/>
                <w:color w:val="auto"/>
              </w:rPr>
              <w:t>/</w:t>
            </w:r>
            <w:r>
              <w:rPr>
                <w:rFonts w:ascii="宋体" w:hAnsi="宋体"/>
                <w:color w:val="auto"/>
              </w:rPr>
              <w:t>(</w:t>
            </w:r>
            <w:r>
              <w:rPr>
                <w:rFonts w:hint="eastAsia" w:ascii="宋体" w:hAnsi="宋体"/>
                <w:color w:val="auto"/>
              </w:rPr>
              <w:t>探转开，本次不考虑施工期临时占地)</w:t>
            </w:r>
          </w:p>
        </w:tc>
        <w:tc>
          <w:tcPr>
            <w:tcW w:w="1214" w:type="pct"/>
            <w:vMerge w:val="restart"/>
            <w:shd w:val="clear" w:color="auto" w:fill="auto"/>
            <w:vAlign w:val="center"/>
          </w:tcPr>
          <w:p w14:paraId="51510D28">
            <w:pPr>
              <w:jc w:val="center"/>
              <w:rPr>
                <w:rFonts w:ascii="宋体" w:hAnsi="宋体"/>
                <w:color w:val="auto"/>
              </w:rPr>
            </w:pPr>
            <w:r>
              <w:rPr>
                <w:rFonts w:hint="eastAsia" w:ascii="宋体" w:hAnsi="宋体"/>
                <w:color w:val="auto"/>
              </w:rPr>
              <w:t>1</w:t>
            </w:r>
            <w:r>
              <w:rPr>
                <w:rFonts w:ascii="宋体" w:hAnsi="宋体"/>
                <w:color w:val="auto"/>
              </w:rPr>
              <w:t>0060</w:t>
            </w:r>
          </w:p>
        </w:tc>
      </w:tr>
      <w:tr w14:paraId="1F184A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14BCD796">
            <w:pPr>
              <w:jc w:val="center"/>
              <w:rPr>
                <w:rFonts w:ascii="宋体" w:hAnsi="宋体"/>
                <w:color w:val="auto"/>
              </w:rPr>
            </w:pPr>
          </w:p>
        </w:tc>
        <w:tc>
          <w:tcPr>
            <w:tcW w:w="1617" w:type="pct"/>
            <w:shd w:val="clear" w:color="auto" w:fill="auto"/>
            <w:vAlign w:val="center"/>
          </w:tcPr>
          <w:p w14:paraId="32426509">
            <w:pPr>
              <w:jc w:val="center"/>
              <w:textAlignment w:val="center"/>
              <w:rPr>
                <w:rFonts w:ascii="宋体" w:hAnsi="宋体" w:cs="宋体"/>
                <w:color w:val="auto"/>
              </w:rPr>
            </w:pPr>
            <w:r>
              <w:rPr>
                <w:rFonts w:hint="eastAsia" w:ascii="宋体" w:hAnsi="宋体" w:cs="宋体"/>
                <w:color w:val="auto"/>
                <w:kern w:val="0"/>
              </w:rPr>
              <w:t>FJFY104HF</w:t>
            </w:r>
          </w:p>
        </w:tc>
        <w:tc>
          <w:tcPr>
            <w:tcW w:w="1351" w:type="pct"/>
            <w:shd w:val="clear" w:color="auto" w:fill="auto"/>
          </w:tcPr>
          <w:p w14:paraId="1F9BA960">
            <w:pPr>
              <w:jc w:val="center"/>
              <w:rPr>
                <w:rFonts w:ascii="宋体" w:hAnsi="宋体"/>
                <w:color w:val="auto"/>
              </w:rPr>
            </w:pPr>
            <w:r>
              <w:rPr>
                <w:rFonts w:hint="eastAsia" w:ascii="宋体" w:hAnsi="宋体"/>
                <w:color w:val="auto"/>
              </w:rPr>
              <w:t>/</w:t>
            </w:r>
            <w:r>
              <w:rPr>
                <w:rFonts w:ascii="宋体" w:hAnsi="宋体"/>
                <w:color w:val="auto"/>
              </w:rPr>
              <w:t>(</w:t>
            </w:r>
            <w:r>
              <w:rPr>
                <w:rFonts w:hint="eastAsia" w:ascii="宋体" w:hAnsi="宋体"/>
                <w:color w:val="auto"/>
              </w:rPr>
              <w:t>探转开，本次不考虑施工期临时占地)</w:t>
            </w:r>
          </w:p>
        </w:tc>
        <w:tc>
          <w:tcPr>
            <w:tcW w:w="1214" w:type="pct"/>
            <w:vMerge w:val="continue"/>
            <w:shd w:val="clear" w:color="auto" w:fill="auto"/>
            <w:vAlign w:val="center"/>
          </w:tcPr>
          <w:p w14:paraId="596C9FA6">
            <w:pPr>
              <w:jc w:val="center"/>
              <w:rPr>
                <w:rFonts w:ascii="宋体" w:hAnsi="宋体"/>
                <w:color w:val="auto"/>
              </w:rPr>
            </w:pPr>
          </w:p>
        </w:tc>
      </w:tr>
      <w:tr w14:paraId="53A1AC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restart"/>
            <w:shd w:val="clear" w:color="auto" w:fill="auto"/>
            <w:vAlign w:val="center"/>
          </w:tcPr>
          <w:p w14:paraId="4FD6AD88">
            <w:pPr>
              <w:jc w:val="center"/>
              <w:rPr>
                <w:rFonts w:ascii="宋体" w:hAnsi="宋体"/>
                <w:color w:val="auto"/>
              </w:rPr>
            </w:pPr>
            <w:r>
              <w:rPr>
                <w:rFonts w:hint="eastAsia" w:ascii="宋体" w:hAnsi="宋体"/>
                <w:color w:val="auto"/>
              </w:rPr>
              <w:t>1</w:t>
            </w:r>
            <w:r>
              <w:rPr>
                <w:rFonts w:ascii="宋体" w:hAnsi="宋体"/>
                <w:color w:val="auto"/>
              </w:rPr>
              <w:t>0#</w:t>
            </w:r>
          </w:p>
        </w:tc>
        <w:tc>
          <w:tcPr>
            <w:tcW w:w="1617" w:type="pct"/>
            <w:shd w:val="clear" w:color="auto" w:fill="auto"/>
            <w:vAlign w:val="center"/>
          </w:tcPr>
          <w:p w14:paraId="2B79C7AA">
            <w:pPr>
              <w:jc w:val="center"/>
              <w:textAlignment w:val="center"/>
              <w:rPr>
                <w:rFonts w:ascii="宋体" w:hAnsi="宋体" w:cs="宋体"/>
                <w:color w:val="auto"/>
              </w:rPr>
            </w:pPr>
            <w:r>
              <w:rPr>
                <w:rFonts w:hint="eastAsia" w:ascii="宋体" w:hAnsi="宋体" w:cs="宋体"/>
                <w:color w:val="auto"/>
                <w:kern w:val="0"/>
              </w:rPr>
              <w:t>FJF121-X95</w:t>
            </w:r>
          </w:p>
        </w:tc>
        <w:tc>
          <w:tcPr>
            <w:tcW w:w="1351" w:type="pct"/>
            <w:vMerge w:val="restart"/>
            <w:shd w:val="clear" w:color="auto" w:fill="auto"/>
            <w:vAlign w:val="center"/>
          </w:tcPr>
          <w:p w14:paraId="1992AAD4">
            <w:pPr>
              <w:jc w:val="center"/>
              <w:rPr>
                <w:rFonts w:ascii="宋体" w:hAnsi="宋体"/>
                <w:color w:val="auto"/>
              </w:rPr>
            </w:pPr>
            <w:r>
              <w:rPr>
                <w:rFonts w:hint="eastAsia" w:ascii="宋体" w:hAnsi="宋体"/>
                <w:color w:val="auto"/>
              </w:rPr>
              <w:t>9</w:t>
            </w:r>
            <w:r>
              <w:rPr>
                <w:rFonts w:ascii="宋体" w:hAnsi="宋体"/>
                <w:color w:val="auto"/>
              </w:rPr>
              <w:t>000</w:t>
            </w:r>
          </w:p>
        </w:tc>
        <w:tc>
          <w:tcPr>
            <w:tcW w:w="1214" w:type="pct"/>
            <w:vMerge w:val="restart"/>
            <w:shd w:val="clear" w:color="auto" w:fill="auto"/>
            <w:vAlign w:val="center"/>
          </w:tcPr>
          <w:p w14:paraId="27E5C499">
            <w:pPr>
              <w:jc w:val="center"/>
              <w:rPr>
                <w:rFonts w:ascii="宋体" w:hAnsi="宋体"/>
                <w:color w:val="auto"/>
              </w:rPr>
            </w:pPr>
            <w:r>
              <w:rPr>
                <w:rFonts w:hint="eastAsia" w:ascii="宋体" w:hAnsi="宋体"/>
                <w:color w:val="auto"/>
              </w:rPr>
              <w:t>4</w:t>
            </w:r>
            <w:r>
              <w:rPr>
                <w:rFonts w:ascii="宋体" w:hAnsi="宋体"/>
                <w:color w:val="auto"/>
              </w:rPr>
              <w:t>200</w:t>
            </w:r>
          </w:p>
        </w:tc>
      </w:tr>
      <w:tr w14:paraId="495333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45ACBD32">
            <w:pPr>
              <w:jc w:val="center"/>
              <w:rPr>
                <w:rFonts w:ascii="宋体" w:hAnsi="宋体"/>
                <w:color w:val="auto"/>
              </w:rPr>
            </w:pPr>
          </w:p>
        </w:tc>
        <w:tc>
          <w:tcPr>
            <w:tcW w:w="1617" w:type="pct"/>
            <w:shd w:val="clear" w:color="auto" w:fill="auto"/>
            <w:vAlign w:val="center"/>
          </w:tcPr>
          <w:p w14:paraId="52EA608D">
            <w:pPr>
              <w:jc w:val="center"/>
              <w:textAlignment w:val="center"/>
              <w:rPr>
                <w:rFonts w:ascii="宋体" w:hAnsi="宋体" w:cs="宋体"/>
                <w:color w:val="auto"/>
              </w:rPr>
            </w:pPr>
            <w:r>
              <w:rPr>
                <w:rFonts w:hint="eastAsia" w:ascii="宋体" w:hAnsi="宋体" w:cs="宋体"/>
                <w:color w:val="auto"/>
                <w:kern w:val="0"/>
              </w:rPr>
              <w:t>FJF121-X97</w:t>
            </w:r>
          </w:p>
        </w:tc>
        <w:tc>
          <w:tcPr>
            <w:tcW w:w="1351" w:type="pct"/>
            <w:vMerge w:val="continue"/>
            <w:shd w:val="clear" w:color="auto" w:fill="auto"/>
            <w:vAlign w:val="center"/>
          </w:tcPr>
          <w:p w14:paraId="1D6E6AA7">
            <w:pPr>
              <w:jc w:val="center"/>
              <w:rPr>
                <w:rFonts w:ascii="宋体" w:hAnsi="宋体"/>
                <w:color w:val="auto"/>
              </w:rPr>
            </w:pPr>
          </w:p>
        </w:tc>
        <w:tc>
          <w:tcPr>
            <w:tcW w:w="1214" w:type="pct"/>
            <w:vMerge w:val="continue"/>
            <w:shd w:val="clear" w:color="auto" w:fill="auto"/>
            <w:vAlign w:val="center"/>
          </w:tcPr>
          <w:p w14:paraId="29A65E62">
            <w:pPr>
              <w:jc w:val="center"/>
              <w:rPr>
                <w:rFonts w:ascii="宋体" w:hAnsi="宋体"/>
                <w:color w:val="auto"/>
              </w:rPr>
            </w:pPr>
          </w:p>
        </w:tc>
      </w:tr>
      <w:tr w14:paraId="7DFAA3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46F48A19">
            <w:pPr>
              <w:jc w:val="center"/>
              <w:rPr>
                <w:rFonts w:ascii="宋体" w:hAnsi="宋体"/>
                <w:color w:val="auto"/>
              </w:rPr>
            </w:pPr>
            <w:r>
              <w:rPr>
                <w:rFonts w:hint="eastAsia" w:ascii="宋体" w:hAnsi="宋体"/>
                <w:color w:val="auto"/>
              </w:rPr>
              <w:t>1</w:t>
            </w:r>
            <w:r>
              <w:rPr>
                <w:rFonts w:ascii="宋体" w:hAnsi="宋体"/>
                <w:color w:val="auto"/>
              </w:rPr>
              <w:t>1#</w:t>
            </w:r>
          </w:p>
        </w:tc>
        <w:tc>
          <w:tcPr>
            <w:tcW w:w="1617" w:type="pct"/>
            <w:shd w:val="clear" w:color="auto" w:fill="auto"/>
            <w:vAlign w:val="center"/>
          </w:tcPr>
          <w:p w14:paraId="353A10E4">
            <w:pPr>
              <w:jc w:val="center"/>
              <w:textAlignment w:val="center"/>
              <w:rPr>
                <w:rFonts w:ascii="宋体" w:hAnsi="宋体" w:cs="宋体"/>
                <w:color w:val="auto"/>
              </w:rPr>
            </w:pPr>
            <w:r>
              <w:rPr>
                <w:rFonts w:hint="eastAsia" w:ascii="宋体" w:hAnsi="宋体" w:cs="宋体"/>
                <w:color w:val="auto"/>
                <w:kern w:val="0"/>
              </w:rPr>
              <w:t>FJFY3HF</w:t>
            </w:r>
          </w:p>
        </w:tc>
        <w:tc>
          <w:tcPr>
            <w:tcW w:w="1351" w:type="pct"/>
            <w:shd w:val="clear" w:color="auto" w:fill="auto"/>
            <w:vAlign w:val="center"/>
          </w:tcPr>
          <w:p w14:paraId="6700ECDC">
            <w:pPr>
              <w:jc w:val="center"/>
              <w:rPr>
                <w:rFonts w:ascii="宋体" w:hAnsi="宋体"/>
                <w:color w:val="auto"/>
              </w:rPr>
            </w:pPr>
            <w:r>
              <w:rPr>
                <w:rFonts w:hint="eastAsia" w:ascii="宋体" w:hAnsi="宋体"/>
                <w:color w:val="auto"/>
              </w:rPr>
              <w:t>/</w:t>
            </w:r>
            <w:r>
              <w:rPr>
                <w:rFonts w:ascii="宋体" w:hAnsi="宋体"/>
                <w:color w:val="auto"/>
              </w:rPr>
              <w:t>(</w:t>
            </w:r>
            <w:r>
              <w:rPr>
                <w:rFonts w:hint="eastAsia" w:ascii="宋体" w:hAnsi="宋体"/>
                <w:color w:val="auto"/>
              </w:rPr>
              <w:t>探转开，本次不考虑施工期临时占地)</w:t>
            </w:r>
          </w:p>
        </w:tc>
        <w:tc>
          <w:tcPr>
            <w:tcW w:w="1214" w:type="pct"/>
            <w:shd w:val="clear" w:color="auto" w:fill="auto"/>
            <w:vAlign w:val="center"/>
          </w:tcPr>
          <w:p w14:paraId="2DE9BC10">
            <w:pPr>
              <w:jc w:val="center"/>
              <w:rPr>
                <w:rFonts w:ascii="宋体" w:hAnsi="宋体"/>
                <w:color w:val="auto"/>
              </w:rPr>
            </w:pPr>
            <w:r>
              <w:rPr>
                <w:rFonts w:ascii="宋体" w:hAnsi="宋体"/>
                <w:color w:val="auto"/>
              </w:rPr>
              <w:t>8470</w:t>
            </w:r>
          </w:p>
        </w:tc>
      </w:tr>
      <w:tr w14:paraId="26A228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7443FE42">
            <w:pPr>
              <w:jc w:val="center"/>
              <w:rPr>
                <w:rFonts w:ascii="宋体" w:hAnsi="宋体"/>
                <w:color w:val="auto"/>
              </w:rPr>
            </w:pPr>
            <w:r>
              <w:rPr>
                <w:rFonts w:hint="eastAsia" w:ascii="宋体" w:hAnsi="宋体"/>
                <w:color w:val="auto"/>
              </w:rPr>
              <w:t>1</w:t>
            </w:r>
            <w:r>
              <w:rPr>
                <w:rFonts w:ascii="宋体" w:hAnsi="宋体"/>
                <w:color w:val="auto"/>
              </w:rPr>
              <w:t>2#</w:t>
            </w:r>
          </w:p>
        </w:tc>
        <w:tc>
          <w:tcPr>
            <w:tcW w:w="1617" w:type="pct"/>
            <w:shd w:val="clear" w:color="auto" w:fill="auto"/>
            <w:vAlign w:val="center"/>
          </w:tcPr>
          <w:p w14:paraId="0BFEAE14">
            <w:pPr>
              <w:jc w:val="center"/>
              <w:textAlignment w:val="center"/>
              <w:rPr>
                <w:rFonts w:ascii="宋体" w:hAnsi="宋体" w:cs="宋体"/>
                <w:color w:val="auto"/>
              </w:rPr>
            </w:pPr>
            <w:r>
              <w:rPr>
                <w:rFonts w:hint="eastAsia" w:ascii="宋体" w:hAnsi="宋体" w:cs="宋体"/>
                <w:color w:val="auto"/>
                <w:kern w:val="0"/>
              </w:rPr>
              <w:t>FJFY1-</w:t>
            </w:r>
            <w:r>
              <w:rPr>
                <w:rFonts w:ascii="宋体" w:hAnsi="宋体" w:cs="宋体"/>
                <w:color w:val="auto"/>
                <w:kern w:val="0"/>
              </w:rPr>
              <w:t>8</w:t>
            </w:r>
            <w:r>
              <w:rPr>
                <w:rFonts w:hint="eastAsia" w:ascii="宋体" w:hAnsi="宋体" w:cs="宋体"/>
                <w:color w:val="auto"/>
                <w:kern w:val="0"/>
              </w:rPr>
              <w:t>HF</w:t>
            </w:r>
          </w:p>
        </w:tc>
        <w:tc>
          <w:tcPr>
            <w:tcW w:w="1351" w:type="pct"/>
            <w:shd w:val="clear" w:color="auto" w:fill="auto"/>
            <w:vAlign w:val="center"/>
          </w:tcPr>
          <w:p w14:paraId="7380DC9E">
            <w:pPr>
              <w:jc w:val="center"/>
              <w:rPr>
                <w:rFonts w:ascii="宋体" w:hAnsi="宋体"/>
                <w:color w:val="auto"/>
              </w:rPr>
            </w:pPr>
            <w:r>
              <w:rPr>
                <w:rFonts w:hint="eastAsia" w:ascii="宋体" w:hAnsi="宋体"/>
                <w:color w:val="auto"/>
              </w:rPr>
              <w:t>/</w:t>
            </w:r>
            <w:r>
              <w:rPr>
                <w:rFonts w:ascii="宋体" w:hAnsi="宋体"/>
                <w:color w:val="auto"/>
              </w:rPr>
              <w:t>(</w:t>
            </w:r>
            <w:r>
              <w:rPr>
                <w:rFonts w:hint="eastAsia" w:ascii="宋体" w:hAnsi="宋体"/>
                <w:color w:val="auto"/>
              </w:rPr>
              <w:t>探转开，本次不考虑施工期临时占地)</w:t>
            </w:r>
          </w:p>
        </w:tc>
        <w:tc>
          <w:tcPr>
            <w:tcW w:w="1214" w:type="pct"/>
            <w:shd w:val="clear" w:color="auto" w:fill="auto"/>
            <w:vAlign w:val="center"/>
          </w:tcPr>
          <w:p w14:paraId="7F1BFA44">
            <w:pPr>
              <w:jc w:val="center"/>
              <w:rPr>
                <w:rFonts w:ascii="宋体" w:hAnsi="宋体"/>
                <w:color w:val="auto"/>
              </w:rPr>
            </w:pPr>
            <w:r>
              <w:rPr>
                <w:rFonts w:ascii="宋体" w:hAnsi="宋体"/>
                <w:color w:val="auto"/>
              </w:rPr>
              <w:t>12170</w:t>
            </w:r>
          </w:p>
        </w:tc>
      </w:tr>
      <w:tr w14:paraId="4AF0C3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236D3783">
            <w:pPr>
              <w:jc w:val="center"/>
              <w:rPr>
                <w:rFonts w:ascii="宋体" w:hAnsi="宋体"/>
                <w:color w:val="auto"/>
              </w:rPr>
            </w:pPr>
          </w:p>
        </w:tc>
        <w:tc>
          <w:tcPr>
            <w:tcW w:w="1617" w:type="pct"/>
            <w:shd w:val="clear" w:color="auto" w:fill="auto"/>
            <w:vAlign w:val="center"/>
          </w:tcPr>
          <w:p w14:paraId="48E06F08">
            <w:pPr>
              <w:jc w:val="center"/>
              <w:textAlignment w:val="center"/>
              <w:rPr>
                <w:rFonts w:ascii="宋体" w:hAnsi="宋体" w:cs="宋体"/>
                <w:color w:val="auto"/>
              </w:rPr>
            </w:pPr>
            <w:r>
              <w:rPr>
                <w:rFonts w:hint="eastAsia" w:ascii="宋体" w:hAnsi="宋体" w:cs="宋体"/>
                <w:color w:val="auto"/>
              </w:rPr>
              <w:t>合计</w:t>
            </w:r>
          </w:p>
        </w:tc>
        <w:tc>
          <w:tcPr>
            <w:tcW w:w="1351" w:type="pct"/>
            <w:shd w:val="clear" w:color="auto" w:fill="auto"/>
            <w:vAlign w:val="center"/>
          </w:tcPr>
          <w:p w14:paraId="58C93E69">
            <w:pPr>
              <w:jc w:val="center"/>
              <w:rPr>
                <w:rFonts w:ascii="宋体" w:hAnsi="宋体"/>
                <w:color w:val="auto"/>
              </w:rPr>
            </w:pPr>
            <w:r>
              <w:rPr>
                <w:rFonts w:hint="eastAsia" w:ascii="宋体" w:hAnsi="宋体"/>
                <w:color w:val="auto"/>
              </w:rPr>
              <w:t>6</w:t>
            </w:r>
            <w:r>
              <w:rPr>
                <w:rFonts w:ascii="宋体" w:hAnsi="宋体"/>
                <w:color w:val="auto"/>
              </w:rPr>
              <w:t>4780</w:t>
            </w:r>
          </w:p>
        </w:tc>
        <w:tc>
          <w:tcPr>
            <w:tcW w:w="1214" w:type="pct"/>
            <w:shd w:val="clear" w:color="auto" w:fill="auto"/>
            <w:vAlign w:val="center"/>
          </w:tcPr>
          <w:p w14:paraId="552F9855">
            <w:pPr>
              <w:jc w:val="center"/>
              <w:rPr>
                <w:rFonts w:ascii="宋体" w:hAnsi="宋体"/>
                <w:color w:val="auto"/>
              </w:rPr>
            </w:pPr>
            <w:r>
              <w:rPr>
                <w:rFonts w:hint="eastAsia" w:ascii="宋体" w:hAnsi="宋体"/>
                <w:color w:val="auto"/>
              </w:rPr>
              <w:t>9</w:t>
            </w:r>
            <w:r>
              <w:rPr>
                <w:rFonts w:ascii="宋体" w:hAnsi="宋体"/>
                <w:color w:val="auto"/>
              </w:rPr>
              <w:t>7129</w:t>
            </w:r>
          </w:p>
        </w:tc>
      </w:tr>
    </w:tbl>
    <w:p w14:paraId="52D6C7ED">
      <w:pPr>
        <w:rPr>
          <w:color w:val="auto"/>
        </w:rPr>
      </w:pPr>
    </w:p>
    <w:p w14:paraId="76A25744">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2</w:t>
      </w:r>
      <w:r>
        <w:rPr>
          <w:color w:val="auto"/>
        </w:rPr>
        <w:fldChar w:fldCharType="end"/>
      </w:r>
      <w:r>
        <w:rPr>
          <w:color w:val="auto"/>
        </w:rPr>
        <w:t xml:space="preserve"> </w:t>
      </w:r>
      <w:r>
        <w:rPr>
          <w:rFonts w:hint="eastAsia"/>
          <w:color w:val="auto"/>
        </w:rPr>
        <w:t>管线占地统计表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2424"/>
        <w:gridCol w:w="2424"/>
        <w:gridCol w:w="2670"/>
      </w:tblGrid>
      <w:tr w14:paraId="22821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shd w:val="clear" w:color="auto" w:fill="auto"/>
            <w:vAlign w:val="center"/>
          </w:tcPr>
          <w:p w14:paraId="1F24EAD2">
            <w:pPr>
              <w:widowControl/>
              <w:jc w:val="center"/>
              <w:rPr>
                <w:rFonts w:ascii="宋体" w:hAnsi="宋体"/>
                <w:bCs/>
                <w:color w:val="auto"/>
                <w:kern w:val="0"/>
              </w:rPr>
            </w:pPr>
            <w:r>
              <w:rPr>
                <w:rFonts w:hint="eastAsia" w:ascii="宋体" w:hAnsi="宋体"/>
                <w:bCs/>
                <w:color w:val="auto"/>
                <w:kern w:val="0"/>
              </w:rPr>
              <w:t>项目</w:t>
            </w:r>
          </w:p>
        </w:tc>
        <w:tc>
          <w:tcPr>
            <w:tcW w:w="1390" w:type="pct"/>
            <w:shd w:val="clear" w:color="auto" w:fill="auto"/>
            <w:vAlign w:val="center"/>
          </w:tcPr>
          <w:p w14:paraId="2B55F505">
            <w:pPr>
              <w:widowControl/>
              <w:jc w:val="center"/>
              <w:rPr>
                <w:rFonts w:ascii="宋体" w:hAnsi="宋体"/>
                <w:color w:val="auto"/>
                <w:kern w:val="0"/>
              </w:rPr>
            </w:pPr>
            <w:r>
              <w:rPr>
                <w:rFonts w:hint="eastAsia" w:ascii="宋体" w:hAnsi="宋体"/>
                <w:color w:val="auto"/>
                <w:kern w:val="0"/>
              </w:rPr>
              <w:t>管线长度km</w:t>
            </w:r>
          </w:p>
        </w:tc>
        <w:tc>
          <w:tcPr>
            <w:tcW w:w="1390" w:type="pct"/>
            <w:shd w:val="clear" w:color="auto" w:fill="auto"/>
            <w:vAlign w:val="center"/>
          </w:tcPr>
          <w:p w14:paraId="4C1099D8">
            <w:pPr>
              <w:widowControl/>
              <w:jc w:val="center"/>
              <w:rPr>
                <w:rFonts w:ascii="宋体" w:hAnsi="宋体"/>
                <w:color w:val="auto"/>
                <w:kern w:val="0"/>
              </w:rPr>
            </w:pPr>
            <w:r>
              <w:rPr>
                <w:rFonts w:hint="eastAsia" w:ascii="宋体" w:hAnsi="宋体"/>
                <w:color w:val="auto"/>
                <w:kern w:val="0"/>
              </w:rPr>
              <w:t>施工作业带宽度m</w:t>
            </w:r>
          </w:p>
        </w:tc>
        <w:tc>
          <w:tcPr>
            <w:tcW w:w="1530" w:type="pct"/>
            <w:shd w:val="clear" w:color="auto" w:fill="auto"/>
            <w:vAlign w:val="center"/>
          </w:tcPr>
          <w:p w14:paraId="183355C1">
            <w:pPr>
              <w:widowControl/>
              <w:jc w:val="center"/>
              <w:rPr>
                <w:rFonts w:ascii="宋体" w:hAnsi="宋体"/>
                <w:color w:val="auto"/>
                <w:kern w:val="0"/>
              </w:rPr>
            </w:pPr>
            <w:r>
              <w:rPr>
                <w:rFonts w:hint="eastAsia" w:ascii="宋体" w:hAnsi="宋体"/>
                <w:color w:val="auto"/>
                <w:kern w:val="0"/>
              </w:rPr>
              <w:t>新增临时占地面积（m</w:t>
            </w:r>
            <w:r>
              <w:rPr>
                <w:rFonts w:hint="eastAsia" w:ascii="宋体" w:hAnsi="宋体"/>
                <w:color w:val="auto"/>
                <w:kern w:val="0"/>
                <w:vertAlign w:val="superscript"/>
              </w:rPr>
              <w:t>2</w:t>
            </w:r>
            <w:r>
              <w:rPr>
                <w:rFonts w:hint="eastAsia" w:ascii="宋体" w:hAnsi="宋体"/>
                <w:color w:val="auto"/>
                <w:kern w:val="0"/>
              </w:rPr>
              <w:t>）</w:t>
            </w:r>
          </w:p>
        </w:tc>
      </w:tr>
      <w:tr w14:paraId="4BE32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shd w:val="clear" w:color="auto" w:fill="auto"/>
            <w:vAlign w:val="center"/>
          </w:tcPr>
          <w:p w14:paraId="07913C4D">
            <w:pPr>
              <w:widowControl/>
              <w:jc w:val="center"/>
              <w:rPr>
                <w:rFonts w:ascii="宋体" w:hAnsi="宋体"/>
                <w:bCs/>
                <w:color w:val="auto"/>
                <w:kern w:val="0"/>
              </w:rPr>
            </w:pPr>
            <w:r>
              <w:rPr>
                <w:rFonts w:hint="eastAsia" w:ascii="宋体" w:hAnsi="宋体"/>
                <w:bCs/>
                <w:color w:val="auto"/>
                <w:kern w:val="0"/>
              </w:rPr>
              <w:t>集油管线</w:t>
            </w:r>
          </w:p>
        </w:tc>
        <w:tc>
          <w:tcPr>
            <w:tcW w:w="1390" w:type="pct"/>
            <w:shd w:val="clear" w:color="auto" w:fill="auto"/>
            <w:vAlign w:val="center"/>
          </w:tcPr>
          <w:p w14:paraId="5B862FFC">
            <w:pPr>
              <w:widowControl/>
              <w:jc w:val="center"/>
              <w:rPr>
                <w:rFonts w:ascii="宋体" w:hAnsi="宋体"/>
                <w:color w:val="auto"/>
                <w:kern w:val="0"/>
              </w:rPr>
            </w:pPr>
            <w:r>
              <w:rPr>
                <w:rFonts w:ascii="宋体" w:hAnsi="宋体"/>
                <w:color w:val="auto"/>
                <w:kern w:val="0"/>
              </w:rPr>
              <w:t>17.5</w:t>
            </w:r>
          </w:p>
        </w:tc>
        <w:tc>
          <w:tcPr>
            <w:tcW w:w="1390" w:type="pct"/>
            <w:shd w:val="clear" w:color="auto" w:fill="auto"/>
            <w:noWrap/>
            <w:vAlign w:val="center"/>
          </w:tcPr>
          <w:p w14:paraId="5AD6E47A">
            <w:pPr>
              <w:widowControl/>
              <w:jc w:val="center"/>
              <w:rPr>
                <w:rFonts w:ascii="宋体" w:hAnsi="宋体"/>
                <w:color w:val="auto"/>
                <w:kern w:val="0"/>
              </w:rPr>
            </w:pPr>
            <w:r>
              <w:rPr>
                <w:rFonts w:hint="eastAsia" w:ascii="宋体" w:hAnsi="宋体"/>
                <w:color w:val="auto"/>
                <w:kern w:val="0"/>
              </w:rPr>
              <w:t>6</w:t>
            </w:r>
          </w:p>
        </w:tc>
        <w:tc>
          <w:tcPr>
            <w:tcW w:w="1530" w:type="pct"/>
            <w:shd w:val="clear" w:color="auto" w:fill="auto"/>
            <w:noWrap/>
            <w:vAlign w:val="center"/>
          </w:tcPr>
          <w:p w14:paraId="008E8D38">
            <w:pPr>
              <w:widowControl/>
              <w:jc w:val="center"/>
              <w:rPr>
                <w:rFonts w:ascii="宋体" w:hAnsi="宋体"/>
                <w:color w:val="auto"/>
                <w:kern w:val="0"/>
              </w:rPr>
            </w:pPr>
            <w:r>
              <w:rPr>
                <w:rFonts w:ascii="宋体" w:hAnsi="宋体"/>
                <w:color w:val="auto"/>
              </w:rPr>
              <w:t>105000</w:t>
            </w:r>
          </w:p>
        </w:tc>
      </w:tr>
      <w:tr w14:paraId="63C74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shd w:val="clear" w:color="auto" w:fill="auto"/>
            <w:vAlign w:val="center"/>
          </w:tcPr>
          <w:p w14:paraId="40839D34">
            <w:pPr>
              <w:widowControl/>
              <w:jc w:val="center"/>
              <w:rPr>
                <w:rFonts w:ascii="宋体" w:hAnsi="宋体"/>
                <w:bCs/>
                <w:color w:val="auto"/>
                <w:kern w:val="0"/>
              </w:rPr>
            </w:pPr>
            <w:r>
              <w:rPr>
                <w:rFonts w:hint="eastAsia" w:ascii="宋体" w:hAnsi="宋体"/>
                <w:bCs/>
                <w:color w:val="auto"/>
                <w:kern w:val="0"/>
              </w:rPr>
              <w:t>注水管线</w:t>
            </w:r>
          </w:p>
        </w:tc>
        <w:tc>
          <w:tcPr>
            <w:tcW w:w="1390" w:type="pct"/>
            <w:shd w:val="clear" w:color="auto" w:fill="auto"/>
            <w:vAlign w:val="center"/>
          </w:tcPr>
          <w:p w14:paraId="374AC942">
            <w:pPr>
              <w:widowControl/>
              <w:jc w:val="center"/>
              <w:rPr>
                <w:rFonts w:ascii="宋体" w:hAnsi="宋体"/>
                <w:color w:val="auto"/>
                <w:kern w:val="0"/>
              </w:rPr>
            </w:pPr>
            <w:r>
              <w:rPr>
                <w:rFonts w:ascii="宋体" w:hAnsi="宋体"/>
                <w:color w:val="auto"/>
                <w:kern w:val="0"/>
              </w:rPr>
              <w:t>2.75</w:t>
            </w:r>
          </w:p>
        </w:tc>
        <w:tc>
          <w:tcPr>
            <w:tcW w:w="1390" w:type="pct"/>
            <w:shd w:val="clear" w:color="auto" w:fill="auto"/>
            <w:noWrap/>
            <w:vAlign w:val="center"/>
          </w:tcPr>
          <w:p w14:paraId="6F82E7B9">
            <w:pPr>
              <w:widowControl/>
              <w:jc w:val="center"/>
              <w:rPr>
                <w:rFonts w:ascii="宋体" w:hAnsi="宋体"/>
                <w:color w:val="auto"/>
                <w:kern w:val="0"/>
              </w:rPr>
            </w:pPr>
            <w:r>
              <w:rPr>
                <w:rFonts w:hint="eastAsia" w:ascii="宋体" w:hAnsi="宋体"/>
                <w:color w:val="auto"/>
                <w:kern w:val="0"/>
              </w:rPr>
              <w:t>6</w:t>
            </w:r>
          </w:p>
        </w:tc>
        <w:tc>
          <w:tcPr>
            <w:tcW w:w="1530" w:type="pct"/>
            <w:shd w:val="clear" w:color="auto" w:fill="auto"/>
            <w:noWrap/>
            <w:vAlign w:val="center"/>
          </w:tcPr>
          <w:p w14:paraId="3CA293E7">
            <w:pPr>
              <w:widowControl/>
              <w:jc w:val="center"/>
              <w:rPr>
                <w:rFonts w:ascii="宋体" w:hAnsi="宋体"/>
                <w:color w:val="auto"/>
                <w:kern w:val="0"/>
              </w:rPr>
            </w:pPr>
            <w:r>
              <w:rPr>
                <w:rFonts w:ascii="宋体" w:hAnsi="宋体"/>
                <w:color w:val="auto"/>
              </w:rPr>
              <w:t>16500</w:t>
            </w:r>
          </w:p>
        </w:tc>
      </w:tr>
      <w:tr w14:paraId="29F40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shd w:val="clear" w:color="auto" w:fill="auto"/>
            <w:vAlign w:val="center"/>
          </w:tcPr>
          <w:p w14:paraId="3DBED42D">
            <w:pPr>
              <w:widowControl/>
              <w:jc w:val="center"/>
              <w:rPr>
                <w:rFonts w:ascii="宋体" w:hAnsi="宋体"/>
                <w:bCs/>
                <w:color w:val="auto"/>
                <w:kern w:val="0"/>
              </w:rPr>
            </w:pPr>
            <w:r>
              <w:rPr>
                <w:rFonts w:hint="eastAsia" w:ascii="宋体" w:hAnsi="宋体"/>
                <w:bCs/>
                <w:color w:val="auto"/>
                <w:kern w:val="0"/>
              </w:rPr>
              <w:t>天然气管线</w:t>
            </w:r>
          </w:p>
        </w:tc>
        <w:tc>
          <w:tcPr>
            <w:tcW w:w="1390" w:type="pct"/>
            <w:shd w:val="clear" w:color="auto" w:fill="auto"/>
            <w:vAlign w:val="center"/>
          </w:tcPr>
          <w:p w14:paraId="69FD7748">
            <w:pPr>
              <w:widowControl/>
              <w:jc w:val="center"/>
              <w:rPr>
                <w:rFonts w:ascii="宋体" w:hAnsi="宋体"/>
                <w:color w:val="auto"/>
                <w:kern w:val="0"/>
              </w:rPr>
            </w:pPr>
            <w:r>
              <w:rPr>
                <w:rFonts w:hint="eastAsia" w:ascii="宋体" w:hAnsi="宋体"/>
                <w:color w:val="auto"/>
                <w:kern w:val="0"/>
              </w:rPr>
              <w:t>0</w:t>
            </w:r>
            <w:r>
              <w:rPr>
                <w:rFonts w:ascii="宋体" w:hAnsi="宋体"/>
                <w:color w:val="auto"/>
                <w:kern w:val="0"/>
              </w:rPr>
              <w:t>.274</w:t>
            </w:r>
          </w:p>
        </w:tc>
        <w:tc>
          <w:tcPr>
            <w:tcW w:w="1390" w:type="pct"/>
            <w:shd w:val="clear" w:color="auto" w:fill="auto"/>
            <w:noWrap/>
            <w:vAlign w:val="center"/>
          </w:tcPr>
          <w:p w14:paraId="55620A86">
            <w:pPr>
              <w:widowControl/>
              <w:jc w:val="center"/>
              <w:rPr>
                <w:rFonts w:ascii="宋体" w:hAnsi="宋体"/>
                <w:color w:val="auto"/>
                <w:kern w:val="0"/>
              </w:rPr>
            </w:pPr>
            <w:r>
              <w:rPr>
                <w:rFonts w:hint="eastAsia" w:ascii="宋体" w:hAnsi="宋体"/>
                <w:color w:val="auto"/>
                <w:kern w:val="0"/>
              </w:rPr>
              <w:t>6</w:t>
            </w:r>
          </w:p>
        </w:tc>
        <w:tc>
          <w:tcPr>
            <w:tcW w:w="1530" w:type="pct"/>
            <w:shd w:val="clear" w:color="auto" w:fill="auto"/>
            <w:noWrap/>
            <w:vAlign w:val="center"/>
          </w:tcPr>
          <w:p w14:paraId="073FEE7E">
            <w:pPr>
              <w:widowControl/>
              <w:jc w:val="center"/>
              <w:rPr>
                <w:rFonts w:ascii="宋体" w:hAnsi="宋体"/>
                <w:color w:val="auto"/>
                <w:kern w:val="0"/>
              </w:rPr>
            </w:pPr>
            <w:r>
              <w:rPr>
                <w:rFonts w:ascii="宋体" w:hAnsi="宋体"/>
                <w:color w:val="auto"/>
              </w:rPr>
              <w:t>1644</w:t>
            </w:r>
          </w:p>
        </w:tc>
      </w:tr>
      <w:tr w14:paraId="7065A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shd w:val="clear" w:color="auto" w:fill="auto"/>
            <w:vAlign w:val="center"/>
          </w:tcPr>
          <w:p w14:paraId="1133B308">
            <w:pPr>
              <w:widowControl/>
              <w:jc w:val="center"/>
              <w:rPr>
                <w:rFonts w:ascii="宋体" w:hAnsi="宋体"/>
                <w:bCs/>
                <w:color w:val="auto"/>
                <w:kern w:val="0"/>
              </w:rPr>
            </w:pPr>
            <w:r>
              <w:rPr>
                <w:rFonts w:hint="eastAsia" w:ascii="宋体" w:hAnsi="宋体"/>
                <w:bCs/>
                <w:color w:val="auto"/>
                <w:kern w:val="0"/>
              </w:rPr>
              <w:t>掺水管线</w:t>
            </w:r>
          </w:p>
        </w:tc>
        <w:tc>
          <w:tcPr>
            <w:tcW w:w="1390" w:type="pct"/>
            <w:shd w:val="clear" w:color="auto" w:fill="auto"/>
            <w:vAlign w:val="center"/>
          </w:tcPr>
          <w:p w14:paraId="663E1729">
            <w:pPr>
              <w:widowControl/>
              <w:jc w:val="center"/>
              <w:rPr>
                <w:rFonts w:ascii="宋体" w:hAnsi="宋体"/>
                <w:color w:val="auto"/>
                <w:kern w:val="0"/>
              </w:rPr>
            </w:pPr>
            <w:r>
              <w:rPr>
                <w:rFonts w:ascii="宋体" w:hAnsi="宋体"/>
                <w:color w:val="auto"/>
                <w:kern w:val="0"/>
              </w:rPr>
              <w:t>1.0</w:t>
            </w:r>
          </w:p>
        </w:tc>
        <w:tc>
          <w:tcPr>
            <w:tcW w:w="1390" w:type="pct"/>
            <w:shd w:val="clear" w:color="auto" w:fill="auto"/>
            <w:noWrap/>
            <w:vAlign w:val="center"/>
          </w:tcPr>
          <w:p w14:paraId="5CBA0C98">
            <w:pPr>
              <w:widowControl/>
              <w:jc w:val="center"/>
              <w:rPr>
                <w:rFonts w:ascii="宋体" w:hAnsi="宋体"/>
                <w:color w:val="auto"/>
                <w:kern w:val="0"/>
              </w:rPr>
            </w:pPr>
            <w:r>
              <w:rPr>
                <w:rFonts w:hint="eastAsia" w:ascii="宋体" w:hAnsi="宋体"/>
                <w:color w:val="auto"/>
                <w:kern w:val="0"/>
              </w:rPr>
              <w:t>6</w:t>
            </w:r>
          </w:p>
        </w:tc>
        <w:tc>
          <w:tcPr>
            <w:tcW w:w="1530" w:type="pct"/>
            <w:shd w:val="clear" w:color="auto" w:fill="auto"/>
            <w:noWrap/>
            <w:vAlign w:val="center"/>
          </w:tcPr>
          <w:p w14:paraId="333986F9">
            <w:pPr>
              <w:widowControl/>
              <w:jc w:val="center"/>
              <w:rPr>
                <w:rFonts w:ascii="宋体" w:hAnsi="宋体"/>
                <w:color w:val="auto"/>
                <w:kern w:val="0"/>
              </w:rPr>
            </w:pPr>
            <w:r>
              <w:rPr>
                <w:rFonts w:ascii="宋体" w:hAnsi="宋体"/>
                <w:color w:val="auto"/>
              </w:rPr>
              <w:t>6000</w:t>
            </w:r>
          </w:p>
        </w:tc>
      </w:tr>
      <w:tr w14:paraId="3E2D7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shd w:val="clear" w:color="auto" w:fill="auto"/>
            <w:vAlign w:val="center"/>
          </w:tcPr>
          <w:p w14:paraId="2907393F">
            <w:pPr>
              <w:widowControl/>
              <w:jc w:val="center"/>
              <w:rPr>
                <w:rFonts w:ascii="宋体" w:hAnsi="宋体"/>
                <w:bCs/>
                <w:color w:val="auto"/>
                <w:kern w:val="0"/>
              </w:rPr>
            </w:pPr>
            <w:r>
              <w:rPr>
                <w:rFonts w:hint="eastAsia" w:ascii="宋体" w:hAnsi="宋体"/>
                <w:bCs/>
                <w:color w:val="auto"/>
                <w:kern w:val="0"/>
              </w:rPr>
              <w:t>供水管线</w:t>
            </w:r>
          </w:p>
        </w:tc>
        <w:tc>
          <w:tcPr>
            <w:tcW w:w="1390" w:type="pct"/>
            <w:shd w:val="clear" w:color="auto" w:fill="auto"/>
            <w:vAlign w:val="center"/>
          </w:tcPr>
          <w:p w14:paraId="58DF658E">
            <w:pPr>
              <w:widowControl/>
              <w:jc w:val="center"/>
              <w:rPr>
                <w:rFonts w:ascii="宋体" w:hAnsi="宋体"/>
                <w:color w:val="auto"/>
                <w:kern w:val="0"/>
              </w:rPr>
            </w:pPr>
            <w:r>
              <w:rPr>
                <w:rFonts w:ascii="宋体" w:hAnsi="宋体"/>
                <w:color w:val="auto"/>
                <w:kern w:val="0"/>
              </w:rPr>
              <w:t>1.15</w:t>
            </w:r>
          </w:p>
        </w:tc>
        <w:tc>
          <w:tcPr>
            <w:tcW w:w="1390" w:type="pct"/>
            <w:shd w:val="clear" w:color="auto" w:fill="auto"/>
            <w:noWrap/>
            <w:vAlign w:val="center"/>
          </w:tcPr>
          <w:p w14:paraId="2A386A90">
            <w:pPr>
              <w:widowControl/>
              <w:jc w:val="center"/>
              <w:rPr>
                <w:rFonts w:ascii="宋体" w:hAnsi="宋体"/>
                <w:color w:val="auto"/>
                <w:kern w:val="0"/>
              </w:rPr>
            </w:pPr>
            <w:r>
              <w:rPr>
                <w:rFonts w:hint="eastAsia" w:ascii="宋体" w:hAnsi="宋体"/>
                <w:color w:val="auto"/>
                <w:kern w:val="0"/>
              </w:rPr>
              <w:t>6</w:t>
            </w:r>
          </w:p>
        </w:tc>
        <w:tc>
          <w:tcPr>
            <w:tcW w:w="1530" w:type="pct"/>
            <w:shd w:val="clear" w:color="auto" w:fill="auto"/>
            <w:noWrap/>
            <w:vAlign w:val="center"/>
          </w:tcPr>
          <w:p w14:paraId="1CC82EB7">
            <w:pPr>
              <w:widowControl/>
              <w:jc w:val="center"/>
              <w:rPr>
                <w:rFonts w:ascii="宋体" w:hAnsi="宋体"/>
                <w:color w:val="auto"/>
                <w:kern w:val="0"/>
              </w:rPr>
            </w:pPr>
            <w:r>
              <w:rPr>
                <w:rFonts w:ascii="宋体" w:hAnsi="宋体"/>
                <w:color w:val="auto"/>
              </w:rPr>
              <w:t>6900</w:t>
            </w:r>
          </w:p>
        </w:tc>
      </w:tr>
      <w:tr w14:paraId="3DF15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shd w:val="clear" w:color="auto" w:fill="auto"/>
            <w:vAlign w:val="center"/>
          </w:tcPr>
          <w:p w14:paraId="351F010E">
            <w:pPr>
              <w:widowControl/>
              <w:jc w:val="center"/>
              <w:rPr>
                <w:rFonts w:ascii="宋体" w:hAnsi="宋体"/>
                <w:bCs/>
                <w:color w:val="auto"/>
                <w:kern w:val="0"/>
              </w:rPr>
            </w:pPr>
            <w:r>
              <w:rPr>
                <w:rFonts w:hint="eastAsia" w:ascii="宋体" w:hAnsi="宋体"/>
                <w:bCs/>
                <w:color w:val="auto"/>
                <w:kern w:val="0"/>
              </w:rPr>
              <w:t>合计</w:t>
            </w:r>
          </w:p>
        </w:tc>
        <w:tc>
          <w:tcPr>
            <w:tcW w:w="1390" w:type="pct"/>
            <w:shd w:val="clear" w:color="auto" w:fill="auto"/>
            <w:noWrap/>
            <w:vAlign w:val="center"/>
          </w:tcPr>
          <w:p w14:paraId="31C41D9A">
            <w:pPr>
              <w:widowControl/>
              <w:jc w:val="center"/>
              <w:rPr>
                <w:rFonts w:ascii="宋体" w:hAnsi="宋体"/>
                <w:bCs/>
                <w:color w:val="auto"/>
                <w:kern w:val="0"/>
              </w:rPr>
            </w:pPr>
            <w:r>
              <w:rPr>
                <w:rFonts w:hint="eastAsia" w:ascii="宋体" w:hAnsi="宋体"/>
                <w:bCs/>
                <w:color w:val="auto"/>
                <w:kern w:val="0"/>
              </w:rPr>
              <w:t>2</w:t>
            </w:r>
            <w:r>
              <w:rPr>
                <w:rFonts w:ascii="宋体" w:hAnsi="宋体"/>
                <w:bCs/>
                <w:color w:val="auto"/>
                <w:kern w:val="0"/>
              </w:rPr>
              <w:t>2.674</w:t>
            </w:r>
          </w:p>
        </w:tc>
        <w:tc>
          <w:tcPr>
            <w:tcW w:w="1390" w:type="pct"/>
            <w:shd w:val="clear" w:color="auto" w:fill="auto"/>
            <w:noWrap/>
            <w:vAlign w:val="center"/>
          </w:tcPr>
          <w:p w14:paraId="3F001057">
            <w:pPr>
              <w:widowControl/>
              <w:jc w:val="center"/>
              <w:rPr>
                <w:rFonts w:ascii="宋体" w:hAnsi="宋体"/>
                <w:color w:val="auto"/>
                <w:kern w:val="0"/>
              </w:rPr>
            </w:pPr>
            <w:r>
              <w:rPr>
                <w:rFonts w:hint="eastAsia" w:ascii="宋体" w:hAnsi="宋体"/>
                <w:color w:val="auto"/>
                <w:kern w:val="0"/>
              </w:rPr>
              <w:t>-</w:t>
            </w:r>
          </w:p>
        </w:tc>
        <w:tc>
          <w:tcPr>
            <w:tcW w:w="1530" w:type="pct"/>
            <w:shd w:val="clear" w:color="auto" w:fill="auto"/>
            <w:noWrap/>
            <w:vAlign w:val="center"/>
          </w:tcPr>
          <w:p w14:paraId="21DBF1A6">
            <w:pPr>
              <w:widowControl/>
              <w:jc w:val="center"/>
              <w:rPr>
                <w:rFonts w:ascii="宋体" w:hAnsi="宋体"/>
                <w:color w:val="auto"/>
                <w:kern w:val="0"/>
              </w:rPr>
            </w:pPr>
            <w:r>
              <w:rPr>
                <w:rFonts w:hint="eastAsia" w:ascii="宋体" w:hAnsi="宋体"/>
                <w:color w:val="auto"/>
                <w:kern w:val="0"/>
              </w:rPr>
              <w:t>1</w:t>
            </w:r>
            <w:r>
              <w:rPr>
                <w:rFonts w:ascii="宋体" w:hAnsi="宋体"/>
                <w:color w:val="auto"/>
                <w:kern w:val="0"/>
              </w:rPr>
              <w:t>36044</w:t>
            </w:r>
          </w:p>
        </w:tc>
      </w:tr>
    </w:tbl>
    <w:p w14:paraId="7D10F51C">
      <w:pPr>
        <w:rPr>
          <w:color w:val="auto"/>
        </w:rPr>
      </w:pPr>
    </w:p>
    <w:p w14:paraId="00C81017">
      <w:pPr>
        <w:pStyle w:val="4"/>
        <w:ind w:firstLine="480"/>
        <w:rPr>
          <w:color w:val="auto"/>
        </w:rPr>
      </w:pPr>
    </w:p>
    <w:p w14:paraId="4EA8C3F4">
      <w:pPr>
        <w:pStyle w:val="4"/>
        <w:ind w:firstLine="480"/>
        <w:rPr>
          <w:color w:val="auto"/>
        </w:rPr>
      </w:pPr>
      <w:r>
        <w:rPr>
          <w:rFonts w:hint="eastAsia"/>
          <w:color w:val="auto"/>
        </w:rPr>
        <w:t>2）动植物影响调查与分析</w:t>
      </w:r>
    </w:p>
    <w:p w14:paraId="27BE7860">
      <w:pPr>
        <w:pStyle w:val="4"/>
        <w:ind w:firstLine="480"/>
        <w:rPr>
          <w:color w:val="auto"/>
        </w:rPr>
      </w:pPr>
      <w:r>
        <w:rPr>
          <w:rFonts w:hint="eastAsia"/>
          <w:color w:val="auto"/>
        </w:rPr>
        <w:t>经现场调查发现，本期工程所在区域常见动物主要有鸟类、昆虫类和爬行类动物，本期工程施工期较短，对周围动物影响较小。</w:t>
      </w:r>
    </w:p>
    <w:p w14:paraId="3A38B6AF">
      <w:pPr>
        <w:adjustRightInd w:val="0"/>
        <w:snapToGrid w:val="0"/>
        <w:spacing w:line="328" w:lineRule="auto"/>
        <w:ind w:firstLine="480" w:firstLineChars="200"/>
        <w:rPr>
          <w:rFonts w:ascii="宋体" w:hAnsi="宋体"/>
          <w:color w:val="auto"/>
          <w:kern w:val="0"/>
          <w:sz w:val="24"/>
          <w:szCs w:val="24"/>
        </w:rPr>
      </w:pPr>
      <w:r>
        <w:rPr>
          <w:rFonts w:hint="eastAsia" w:ascii="宋体" w:hAnsi="宋体"/>
          <w:color w:val="auto"/>
          <w:kern w:val="0"/>
          <w:sz w:val="24"/>
          <w:szCs w:val="24"/>
        </w:rPr>
        <w:t>项目施工时，挖掘区植被全部被破坏，管沟两侧的植被则受到不同程度的破坏和影响。经调查，主要破坏的地表植被是灌丛、杂草等，目前随着地貌恢复，周围植物逐渐侵入，被破坏的植物已基本恢复。</w:t>
      </w:r>
    </w:p>
    <w:p w14:paraId="28E6C64E">
      <w:pPr>
        <w:adjustRightInd w:val="0"/>
        <w:snapToGrid w:val="0"/>
        <w:spacing w:line="328" w:lineRule="auto"/>
        <w:ind w:firstLine="480" w:firstLineChars="200"/>
        <w:rPr>
          <w:rFonts w:ascii="宋体" w:hAnsi="宋体"/>
          <w:color w:val="auto"/>
          <w:sz w:val="24"/>
          <w:szCs w:val="24"/>
        </w:rPr>
      </w:pPr>
      <w:r>
        <w:rPr>
          <w:rFonts w:hint="eastAsia" w:ascii="宋体" w:hAnsi="宋体"/>
          <w:color w:val="auto"/>
          <w:kern w:val="0"/>
          <w:sz w:val="24"/>
          <w:szCs w:val="24"/>
        </w:rPr>
        <w:t>因此，项目建设未对区域内植物产生明显的不利影响。</w:t>
      </w:r>
    </w:p>
    <w:p w14:paraId="4DD985E4">
      <w:pPr>
        <w:pStyle w:val="4"/>
        <w:ind w:firstLine="480"/>
        <w:rPr>
          <w:color w:val="auto"/>
        </w:rPr>
      </w:pPr>
      <w:r>
        <w:rPr>
          <w:rFonts w:hint="eastAsia"/>
          <w:color w:val="auto"/>
        </w:rPr>
        <w:t>3）土壤环境影响调查</w:t>
      </w:r>
    </w:p>
    <w:p w14:paraId="34C68D95">
      <w:pPr>
        <w:pStyle w:val="4"/>
        <w:ind w:firstLine="480"/>
        <w:rPr>
          <w:color w:val="auto"/>
        </w:rPr>
      </w:pPr>
      <w:r>
        <w:rPr>
          <w:rFonts w:hint="eastAsia"/>
          <w:color w:val="auto"/>
        </w:rPr>
        <w:t>本期工程钻井过程采用了</w:t>
      </w:r>
      <w:r>
        <w:rPr>
          <w:color w:val="auto"/>
        </w:rPr>
        <w:t>“</w:t>
      </w:r>
      <w:r>
        <w:rPr>
          <w:rFonts w:hint="eastAsia"/>
          <w:color w:val="auto"/>
        </w:rPr>
        <w:t>泥浆不落地</w:t>
      </w:r>
      <w:r>
        <w:rPr>
          <w:color w:val="auto"/>
        </w:rPr>
        <w:t>”</w:t>
      </w:r>
      <w:r>
        <w:rPr>
          <w:rFonts w:hint="eastAsia"/>
          <w:color w:val="auto"/>
        </w:rPr>
        <w:t>工艺，施工结束</w:t>
      </w:r>
      <w:r>
        <w:rPr>
          <w:color w:val="auto"/>
        </w:rPr>
        <w:t>后</w:t>
      </w:r>
      <w:r>
        <w:rPr>
          <w:rFonts w:hint="eastAsia"/>
          <w:color w:val="auto"/>
        </w:rPr>
        <w:t>钻井固废已由钻井施工单位</w:t>
      </w:r>
      <w:r>
        <w:rPr>
          <w:rFonts w:hint="eastAsia" w:cs="宋体"/>
          <w:color w:val="auto"/>
          <w:kern w:val="0"/>
        </w:rPr>
        <w:t>委托</w:t>
      </w:r>
      <w:r>
        <w:rPr>
          <w:rFonts w:hint="eastAsia"/>
          <w:color w:val="auto"/>
        </w:rPr>
        <w:t>了专业</w:t>
      </w:r>
      <w:r>
        <w:rPr>
          <w:color w:val="auto"/>
        </w:rPr>
        <w:t>单位</w:t>
      </w:r>
      <w:r>
        <w:rPr>
          <w:rFonts w:hint="eastAsia"/>
          <w:color w:val="auto"/>
        </w:rPr>
        <w:t>进行处置。验收调查期间，现场无</w:t>
      </w:r>
      <w:r>
        <w:rPr>
          <w:color w:val="auto"/>
        </w:rPr>
        <w:t>固废遗留</w:t>
      </w:r>
      <w:r>
        <w:rPr>
          <w:rFonts w:hint="eastAsia"/>
          <w:color w:val="auto"/>
        </w:rPr>
        <w:t>。</w:t>
      </w:r>
    </w:p>
    <w:p w14:paraId="5363F9B4">
      <w:pPr>
        <w:pStyle w:val="6"/>
        <w:rPr>
          <w:color w:val="auto"/>
        </w:rPr>
      </w:pPr>
      <w:r>
        <w:rPr>
          <w:rFonts w:hint="eastAsia"/>
          <w:color w:val="auto"/>
        </w:rPr>
        <w:t>大气</w:t>
      </w:r>
      <w:r>
        <w:rPr>
          <w:color w:val="auto"/>
        </w:rPr>
        <w:t>环境影响调查</w:t>
      </w:r>
    </w:p>
    <w:p w14:paraId="6A857524">
      <w:pPr>
        <w:adjustRightInd w:val="0"/>
        <w:snapToGrid w:val="0"/>
        <w:spacing w:line="331" w:lineRule="auto"/>
        <w:ind w:firstLine="480" w:firstLineChars="200"/>
        <w:rPr>
          <w:rFonts w:ascii="宋体" w:hAnsi="宋体"/>
          <w:color w:val="auto"/>
          <w:sz w:val="24"/>
        </w:rPr>
      </w:pPr>
      <w:r>
        <w:rPr>
          <w:rFonts w:hint="eastAsia" w:ascii="宋体" w:hAnsi="宋体"/>
          <w:color w:val="auto"/>
          <w:kern w:val="0"/>
          <w:sz w:val="24"/>
          <w:szCs w:val="24"/>
        </w:rPr>
        <w:t>施工期废气主要</w:t>
      </w:r>
      <w:r>
        <w:rPr>
          <w:rFonts w:ascii="宋体" w:hAnsi="宋体"/>
          <w:color w:val="auto"/>
          <w:kern w:val="0"/>
          <w:sz w:val="24"/>
          <w:szCs w:val="24"/>
        </w:rPr>
        <w:t>是</w:t>
      </w:r>
      <w:r>
        <w:rPr>
          <w:rFonts w:hint="eastAsia" w:ascii="宋体" w:hAnsi="宋体"/>
          <w:color w:val="auto"/>
          <w:kern w:val="0"/>
          <w:sz w:val="24"/>
          <w:szCs w:val="24"/>
          <w:lang w:val="en-GB"/>
        </w:rPr>
        <w:t>钻井施工</w:t>
      </w:r>
      <w:r>
        <w:rPr>
          <w:rFonts w:hint="eastAsia" w:ascii="宋体" w:hAnsi="宋体"/>
          <w:color w:val="auto"/>
          <w:kern w:val="0"/>
          <w:sz w:val="24"/>
          <w:szCs w:val="24"/>
        </w:rPr>
        <w:t>、管线敷设</w:t>
      </w:r>
      <w:r>
        <w:rPr>
          <w:rFonts w:ascii="宋体" w:hAnsi="宋体"/>
          <w:color w:val="auto"/>
          <w:kern w:val="0"/>
          <w:sz w:val="24"/>
          <w:szCs w:val="24"/>
        </w:rPr>
        <w:t>、</w:t>
      </w:r>
      <w:r>
        <w:rPr>
          <w:rFonts w:hint="eastAsia" w:ascii="宋体" w:hAnsi="宋体"/>
          <w:color w:val="auto"/>
          <w:kern w:val="0"/>
          <w:sz w:val="24"/>
          <w:szCs w:val="24"/>
        </w:rPr>
        <w:t>车辆运输等施工活动中产生的施工扬尘，施工车辆与机械废气运转时产生的燃油废气。经调查，施工期间施工</w:t>
      </w:r>
      <w:r>
        <w:rPr>
          <w:rFonts w:ascii="宋体" w:hAnsi="宋体"/>
          <w:color w:val="auto"/>
          <w:kern w:val="0"/>
          <w:sz w:val="24"/>
          <w:szCs w:val="24"/>
        </w:rPr>
        <w:t>单位</w:t>
      </w:r>
      <w:r>
        <w:rPr>
          <w:rFonts w:hint="eastAsia" w:ascii="宋体" w:hAnsi="宋体"/>
          <w:color w:val="auto"/>
          <w:kern w:val="0"/>
          <w:sz w:val="24"/>
          <w:szCs w:val="24"/>
        </w:rPr>
        <w:t>制定了</w:t>
      </w:r>
      <w:r>
        <w:rPr>
          <w:rFonts w:ascii="宋体" w:hAnsi="宋体"/>
          <w:color w:val="auto"/>
          <w:kern w:val="0"/>
          <w:sz w:val="24"/>
          <w:szCs w:val="24"/>
        </w:rPr>
        <w:t>合理化管理</w:t>
      </w:r>
      <w:r>
        <w:rPr>
          <w:rFonts w:hint="eastAsia" w:ascii="宋体" w:hAnsi="宋体"/>
          <w:color w:val="auto"/>
          <w:kern w:val="0"/>
          <w:sz w:val="24"/>
          <w:szCs w:val="24"/>
        </w:rPr>
        <w:t>制度，严格控制施工</w:t>
      </w:r>
      <w:r>
        <w:rPr>
          <w:rFonts w:ascii="宋体" w:hAnsi="宋体"/>
          <w:color w:val="auto"/>
          <w:kern w:val="0"/>
          <w:sz w:val="24"/>
          <w:szCs w:val="24"/>
        </w:rPr>
        <w:t>作业面积、</w:t>
      </w:r>
      <w:r>
        <w:rPr>
          <w:rFonts w:hint="eastAsia" w:ascii="宋体" w:hAnsi="宋体"/>
          <w:color w:val="auto"/>
          <w:kern w:val="0"/>
          <w:sz w:val="24"/>
          <w:szCs w:val="24"/>
        </w:rPr>
        <w:t>对</w:t>
      </w:r>
      <w:r>
        <w:rPr>
          <w:rFonts w:ascii="宋体" w:hAnsi="宋体"/>
          <w:color w:val="auto"/>
          <w:kern w:val="0"/>
          <w:sz w:val="24"/>
          <w:szCs w:val="24"/>
        </w:rPr>
        <w:t>施工现场设置围挡</w:t>
      </w:r>
      <w:r>
        <w:rPr>
          <w:rFonts w:hint="eastAsia" w:ascii="宋体" w:hAnsi="宋体"/>
          <w:color w:val="auto"/>
          <w:kern w:val="0"/>
          <w:sz w:val="24"/>
          <w:szCs w:val="24"/>
        </w:rPr>
        <w:t>并定期洒水降尘</w:t>
      </w:r>
      <w:r>
        <w:rPr>
          <w:rFonts w:ascii="宋体" w:hAnsi="宋体"/>
          <w:color w:val="auto"/>
          <w:kern w:val="0"/>
          <w:sz w:val="24"/>
          <w:szCs w:val="24"/>
        </w:rPr>
        <w:t>、</w:t>
      </w:r>
      <w:r>
        <w:rPr>
          <w:rFonts w:hint="eastAsia" w:ascii="宋体" w:hAnsi="宋体"/>
          <w:color w:val="auto"/>
          <w:kern w:val="0"/>
          <w:sz w:val="24"/>
          <w:szCs w:val="24"/>
        </w:rPr>
        <w:t>对</w:t>
      </w:r>
      <w:r>
        <w:rPr>
          <w:rFonts w:ascii="宋体" w:hAnsi="宋体"/>
          <w:color w:val="auto"/>
          <w:kern w:val="0"/>
          <w:sz w:val="24"/>
          <w:szCs w:val="24"/>
        </w:rPr>
        <w:t>土堆和建筑材料</w:t>
      </w:r>
      <w:r>
        <w:rPr>
          <w:rFonts w:hint="eastAsia" w:ascii="宋体" w:hAnsi="宋体"/>
          <w:color w:val="auto"/>
          <w:kern w:val="0"/>
          <w:sz w:val="24"/>
          <w:szCs w:val="24"/>
        </w:rPr>
        <w:t>进行</w:t>
      </w:r>
      <w:r>
        <w:rPr>
          <w:rFonts w:ascii="宋体" w:hAnsi="宋体"/>
          <w:color w:val="auto"/>
          <w:kern w:val="0"/>
          <w:sz w:val="24"/>
          <w:szCs w:val="24"/>
        </w:rPr>
        <w:t>了遮盖，施工扬尘</w:t>
      </w:r>
      <w:r>
        <w:rPr>
          <w:rFonts w:hint="eastAsia" w:ascii="宋体" w:hAnsi="宋体"/>
          <w:color w:val="auto"/>
          <w:kern w:val="0"/>
          <w:sz w:val="24"/>
          <w:szCs w:val="24"/>
        </w:rPr>
        <w:t>未对</w:t>
      </w:r>
      <w:r>
        <w:rPr>
          <w:rFonts w:ascii="宋体" w:hAnsi="宋体"/>
          <w:color w:val="auto"/>
          <w:kern w:val="0"/>
          <w:sz w:val="24"/>
          <w:szCs w:val="24"/>
        </w:rPr>
        <w:t>项目周围环境空气</w:t>
      </w:r>
      <w:r>
        <w:rPr>
          <w:rFonts w:hint="eastAsia" w:ascii="宋体" w:hAnsi="宋体"/>
          <w:color w:val="auto"/>
          <w:kern w:val="0"/>
          <w:sz w:val="24"/>
          <w:szCs w:val="24"/>
        </w:rPr>
        <w:t>造成不利影响；</w:t>
      </w:r>
      <w:r>
        <w:rPr>
          <w:rFonts w:ascii="宋体" w:hAnsi="宋体"/>
          <w:color w:val="auto"/>
          <w:kern w:val="0"/>
          <w:sz w:val="24"/>
          <w:szCs w:val="24"/>
        </w:rPr>
        <w:t>同时，</w:t>
      </w:r>
      <w:r>
        <w:rPr>
          <w:rFonts w:hint="eastAsia" w:ascii="宋体" w:hAnsi="宋体"/>
          <w:color w:val="auto"/>
          <w:kern w:val="0"/>
          <w:sz w:val="24"/>
          <w:szCs w:val="24"/>
        </w:rPr>
        <w:t>施工单位通过采</w:t>
      </w:r>
      <w:r>
        <w:rPr>
          <w:rFonts w:ascii="宋体" w:hAnsi="宋体"/>
          <w:color w:val="auto"/>
          <w:kern w:val="0"/>
          <w:sz w:val="24"/>
          <w:szCs w:val="24"/>
        </w:rPr>
        <w:t>用优质</w:t>
      </w:r>
      <w:r>
        <w:rPr>
          <w:rFonts w:hint="eastAsia" w:ascii="宋体" w:hAnsi="宋体"/>
          <w:color w:val="auto"/>
          <w:kern w:val="0"/>
          <w:sz w:val="24"/>
          <w:szCs w:val="24"/>
        </w:rPr>
        <w:t>柴油</w:t>
      </w:r>
      <w:r>
        <w:rPr>
          <w:rFonts w:ascii="宋体" w:hAnsi="宋体"/>
          <w:color w:val="auto"/>
          <w:kern w:val="0"/>
          <w:sz w:val="24"/>
          <w:szCs w:val="24"/>
        </w:rPr>
        <w:t>，加强</w:t>
      </w:r>
      <w:r>
        <w:rPr>
          <w:rFonts w:hint="eastAsia" w:ascii="宋体" w:hAnsi="宋体"/>
          <w:color w:val="auto"/>
          <w:kern w:val="0"/>
          <w:sz w:val="24"/>
          <w:szCs w:val="24"/>
        </w:rPr>
        <w:t>对施工机械和</w:t>
      </w:r>
      <w:r>
        <w:rPr>
          <w:rFonts w:ascii="宋体" w:hAnsi="宋体"/>
          <w:color w:val="auto"/>
          <w:kern w:val="0"/>
          <w:sz w:val="24"/>
          <w:szCs w:val="24"/>
        </w:rPr>
        <w:t>车辆的维护</w:t>
      </w:r>
      <w:r>
        <w:rPr>
          <w:rFonts w:hint="eastAsia" w:ascii="宋体" w:hAnsi="宋体"/>
          <w:color w:val="auto"/>
          <w:kern w:val="0"/>
          <w:sz w:val="24"/>
          <w:szCs w:val="24"/>
        </w:rPr>
        <w:t>和保养</w:t>
      </w:r>
      <w:r>
        <w:rPr>
          <w:rFonts w:ascii="宋体" w:hAnsi="宋体"/>
          <w:color w:val="auto"/>
          <w:kern w:val="0"/>
          <w:sz w:val="24"/>
          <w:szCs w:val="24"/>
        </w:rPr>
        <w:t>，</w:t>
      </w:r>
      <w:r>
        <w:rPr>
          <w:rFonts w:hint="eastAsia" w:ascii="宋体" w:hAnsi="宋体"/>
          <w:color w:val="auto"/>
          <w:kern w:val="0"/>
          <w:sz w:val="24"/>
          <w:szCs w:val="24"/>
        </w:rPr>
        <w:t>减轻了设备燃油废气对</w:t>
      </w:r>
      <w:r>
        <w:rPr>
          <w:rFonts w:ascii="宋体" w:hAnsi="宋体"/>
          <w:color w:val="auto"/>
          <w:kern w:val="0"/>
          <w:sz w:val="24"/>
          <w:szCs w:val="24"/>
        </w:rPr>
        <w:t>周围大气环境造成</w:t>
      </w:r>
      <w:r>
        <w:rPr>
          <w:rFonts w:hint="eastAsia" w:ascii="宋体" w:hAnsi="宋体"/>
          <w:color w:val="auto"/>
          <w:kern w:val="0"/>
          <w:sz w:val="24"/>
          <w:szCs w:val="24"/>
        </w:rPr>
        <w:t>的不利</w:t>
      </w:r>
      <w:r>
        <w:rPr>
          <w:rFonts w:ascii="宋体" w:hAnsi="宋体"/>
          <w:color w:val="auto"/>
          <w:kern w:val="0"/>
          <w:sz w:val="24"/>
          <w:szCs w:val="24"/>
        </w:rPr>
        <w:t>影响</w:t>
      </w:r>
      <w:r>
        <w:rPr>
          <w:rFonts w:hint="eastAsia" w:ascii="宋体" w:hAnsi="宋体"/>
          <w:color w:val="auto"/>
          <w:sz w:val="24"/>
        </w:rPr>
        <w:t>。</w:t>
      </w:r>
    </w:p>
    <w:p w14:paraId="3823F7C0">
      <w:pPr>
        <w:pStyle w:val="6"/>
        <w:rPr>
          <w:color w:val="auto"/>
        </w:rPr>
      </w:pPr>
      <w:r>
        <w:rPr>
          <w:rFonts w:hint="eastAsia"/>
          <w:color w:val="auto"/>
        </w:rPr>
        <w:t>水</w:t>
      </w:r>
      <w:r>
        <w:rPr>
          <w:color w:val="auto"/>
        </w:rPr>
        <w:t>环境影响调查</w:t>
      </w:r>
    </w:p>
    <w:p w14:paraId="75C4B8C0">
      <w:pPr>
        <w:pStyle w:val="149"/>
        <w:ind w:firstLine="480"/>
        <w:rPr>
          <w:color w:val="auto"/>
          <w:kern w:val="2"/>
        </w:rPr>
      </w:pPr>
      <w:r>
        <w:rPr>
          <w:color w:val="auto"/>
        </w:rPr>
        <w:t>本期工程施工期间</w:t>
      </w:r>
      <w:r>
        <w:rPr>
          <w:rFonts w:hint="eastAsia"/>
          <w:color w:val="auto"/>
        </w:rPr>
        <w:t>产生</w:t>
      </w:r>
      <w:r>
        <w:rPr>
          <w:color w:val="auto"/>
        </w:rPr>
        <w:t>的废水包括钻井废水</w:t>
      </w:r>
      <w:r>
        <w:rPr>
          <w:rFonts w:hint="eastAsia"/>
          <w:color w:val="auto"/>
        </w:rPr>
        <w:t>、</w:t>
      </w:r>
      <w:r>
        <w:rPr>
          <w:color w:val="auto"/>
        </w:rPr>
        <w:t>施工作业废液</w:t>
      </w:r>
      <w:r>
        <w:rPr>
          <w:rFonts w:hint="eastAsia"/>
          <w:color w:val="auto"/>
        </w:rPr>
        <w:t>、</w:t>
      </w:r>
      <w:r>
        <w:rPr>
          <w:rFonts w:hint="eastAsia"/>
          <w:color w:val="auto"/>
          <w:kern w:val="2"/>
        </w:rPr>
        <w:t>管道试压</w:t>
      </w:r>
      <w:r>
        <w:rPr>
          <w:color w:val="auto"/>
          <w:kern w:val="2"/>
        </w:rPr>
        <w:t>废水、</w:t>
      </w:r>
      <w:r>
        <w:rPr>
          <w:rFonts w:hint="eastAsia"/>
          <w:color w:val="auto"/>
        </w:rPr>
        <w:t>旧管道清洗废水、</w:t>
      </w:r>
      <w:r>
        <w:rPr>
          <w:color w:val="auto"/>
          <w:kern w:val="2"/>
        </w:rPr>
        <w:t>生活污水</w:t>
      </w:r>
      <w:r>
        <w:rPr>
          <w:rFonts w:hint="eastAsia"/>
          <w:color w:val="auto"/>
          <w:kern w:val="2"/>
        </w:rPr>
        <w:t>。</w:t>
      </w:r>
    </w:p>
    <w:p w14:paraId="7225FAB2">
      <w:pPr>
        <w:pStyle w:val="4"/>
        <w:ind w:firstLine="480"/>
        <w:rPr>
          <w:color w:val="auto"/>
        </w:rPr>
      </w:pPr>
      <w:r>
        <w:rPr>
          <w:rFonts w:hint="eastAsia"/>
          <w:color w:val="auto"/>
        </w:rPr>
        <w:t>1）钻井废水</w:t>
      </w:r>
    </w:p>
    <w:p w14:paraId="4B138BE7">
      <w:pPr>
        <w:pStyle w:val="4"/>
        <w:ind w:firstLine="480"/>
        <w:rPr>
          <w:color w:val="auto"/>
        </w:rPr>
      </w:pPr>
      <w:r>
        <w:rPr>
          <w:rFonts w:hint="eastAsia"/>
          <w:color w:val="auto"/>
        </w:rPr>
        <w:t>本期工程采用水基钻井液，钻井</w:t>
      </w:r>
      <w:r>
        <w:rPr>
          <w:color w:val="auto"/>
        </w:rPr>
        <w:t>施工采用</w:t>
      </w:r>
      <w:r>
        <w:rPr>
          <w:rFonts w:hint="eastAsia"/>
          <w:color w:val="auto"/>
        </w:rPr>
        <w:t>“泥浆不落地”工艺，钻井</w:t>
      </w:r>
      <w:r>
        <w:rPr>
          <w:color w:val="auto"/>
        </w:rPr>
        <w:t>废水循环利用，施工结束后</w:t>
      </w:r>
      <w:r>
        <w:rPr>
          <w:rFonts w:hint="eastAsia"/>
          <w:color w:val="auto"/>
        </w:rPr>
        <w:t>钻井固废（废弃泥浆+岩屑）产生量</w:t>
      </w:r>
      <w:r>
        <w:rPr>
          <w:color w:val="auto"/>
        </w:rPr>
        <w:t>15004.3m</w:t>
      </w:r>
      <w:r>
        <w:rPr>
          <w:color w:val="auto"/>
          <w:vertAlign w:val="superscript"/>
        </w:rPr>
        <w:t>3</w:t>
      </w:r>
      <w:r>
        <w:rPr>
          <w:rFonts w:hint="eastAsia"/>
          <w:color w:val="auto"/>
        </w:rPr>
        <w:t>，</w:t>
      </w:r>
      <w:r>
        <w:rPr>
          <w:color w:val="auto"/>
        </w:rPr>
        <w:t>由“泥浆不落地”处置单位</w:t>
      </w:r>
      <w:r>
        <w:rPr>
          <w:rFonts w:hint="eastAsia"/>
          <w:color w:val="auto"/>
        </w:rPr>
        <w:t>天正浚源环保科技有限公司、东营丰实钻井工程有限公司、山东胜兴特种材料有限公司</w:t>
      </w:r>
      <w:r>
        <w:rPr>
          <w:color w:val="auto"/>
        </w:rPr>
        <w:t>拉运处理，施工现场无外排。</w:t>
      </w:r>
    </w:p>
    <w:p w14:paraId="7750275E">
      <w:pPr>
        <w:pStyle w:val="4"/>
        <w:ind w:firstLine="480"/>
        <w:rPr>
          <w:color w:val="auto"/>
        </w:rPr>
      </w:pPr>
      <w:r>
        <w:rPr>
          <w:rFonts w:hint="eastAsia"/>
          <w:color w:val="auto"/>
        </w:rPr>
        <w:t>2）施工作业废液</w:t>
      </w:r>
    </w:p>
    <w:p w14:paraId="07DF0BE2">
      <w:pPr>
        <w:pStyle w:val="4"/>
        <w:ind w:firstLine="480"/>
        <w:rPr>
          <w:color w:val="auto"/>
        </w:rPr>
      </w:pPr>
      <w:r>
        <w:rPr>
          <w:rFonts w:hint="eastAsia"/>
          <w:color w:val="auto"/>
        </w:rPr>
        <w:t>本期工程施工</w:t>
      </w:r>
      <w:r>
        <w:rPr>
          <w:color w:val="auto"/>
        </w:rPr>
        <w:t>完井时洗井产生的</w:t>
      </w:r>
      <w:r>
        <w:rPr>
          <w:rFonts w:hint="eastAsia"/>
          <w:color w:val="auto"/>
        </w:rPr>
        <w:t>施工</w:t>
      </w:r>
      <w:r>
        <w:rPr>
          <w:color w:val="auto"/>
        </w:rPr>
        <w:t>作业</w:t>
      </w:r>
      <w:r>
        <w:rPr>
          <w:rFonts w:hint="eastAsia"/>
          <w:color w:val="auto"/>
        </w:rPr>
        <w:t>废液</w:t>
      </w:r>
      <w:r>
        <w:rPr>
          <w:color w:val="auto"/>
        </w:rPr>
        <w:t>，</w:t>
      </w:r>
      <w:r>
        <w:rPr>
          <w:rFonts w:hint="eastAsia"/>
          <w:color w:val="auto"/>
        </w:rPr>
        <w:t>从</w:t>
      </w:r>
      <w:r>
        <w:rPr>
          <w:color w:val="auto"/>
        </w:rPr>
        <w:t>井口返排后</w:t>
      </w:r>
      <w:r>
        <w:rPr>
          <w:rFonts w:hint="eastAsia"/>
          <w:color w:val="auto"/>
        </w:rPr>
        <w:t>收集</w:t>
      </w:r>
      <w:r>
        <w:rPr>
          <w:color w:val="auto"/>
        </w:rPr>
        <w:t>至现场废液</w:t>
      </w:r>
      <w:r>
        <w:rPr>
          <w:rFonts w:hint="eastAsia"/>
          <w:color w:val="auto"/>
        </w:rPr>
        <w:t>罐</w:t>
      </w:r>
      <w:r>
        <w:rPr>
          <w:color w:val="auto"/>
        </w:rPr>
        <w:t>中</w:t>
      </w:r>
      <w:r>
        <w:rPr>
          <w:rFonts w:hint="eastAsia"/>
          <w:color w:val="auto"/>
        </w:rPr>
        <w:t>，经调查与统计，施工期间作业废液产生量为</w:t>
      </w:r>
      <w:r>
        <w:rPr>
          <w:color w:val="auto"/>
        </w:rPr>
        <w:t>90</w:t>
      </w:r>
      <w:r>
        <w:rPr>
          <w:rFonts w:hint="eastAsia"/>
          <w:color w:val="auto"/>
        </w:rPr>
        <w:t>m</w:t>
      </w:r>
      <w:r>
        <w:rPr>
          <w:rFonts w:hint="eastAsia"/>
          <w:color w:val="auto"/>
          <w:vertAlign w:val="superscript"/>
        </w:rPr>
        <w:t>3</w:t>
      </w:r>
      <w:r>
        <w:rPr>
          <w:rFonts w:hint="eastAsia"/>
          <w:color w:val="auto"/>
        </w:rPr>
        <w:t>，已通过罐车拉运至高青联合站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p>
    <w:p w14:paraId="1FCFA137">
      <w:pPr>
        <w:pStyle w:val="4"/>
        <w:ind w:firstLine="480"/>
        <w:rPr>
          <w:color w:val="auto"/>
        </w:rPr>
      </w:pPr>
      <w:r>
        <w:rPr>
          <w:rFonts w:hint="eastAsia"/>
          <w:color w:val="auto"/>
        </w:rPr>
        <w:t>3）管道试压废水</w:t>
      </w:r>
    </w:p>
    <w:p w14:paraId="4E48A794">
      <w:pPr>
        <w:pStyle w:val="128"/>
        <w:adjustRightInd w:val="0"/>
        <w:snapToGrid w:val="0"/>
        <w:spacing w:line="328" w:lineRule="auto"/>
        <w:ind w:firstLine="480"/>
        <w:jc w:val="both"/>
        <w:rPr>
          <w:color w:val="auto"/>
        </w:rPr>
      </w:pPr>
      <w:r>
        <w:rPr>
          <w:rFonts w:hint="eastAsia"/>
          <w:color w:val="auto"/>
          <w:lang w:val="en-US"/>
        </w:rPr>
        <w:t>本期工程管道试压均采用清洁水，在施工过程中进行了循环利用，管道试压废水产生量较少，试压结束后已用于施工场地洒水降尘，未外排至施工场地外环境</w:t>
      </w:r>
      <w:r>
        <w:rPr>
          <w:rFonts w:hint="eastAsia"/>
          <w:color w:val="auto"/>
        </w:rPr>
        <w:t>。</w:t>
      </w:r>
    </w:p>
    <w:p w14:paraId="41ECA0AD">
      <w:pPr>
        <w:pStyle w:val="128"/>
        <w:adjustRightInd w:val="0"/>
        <w:snapToGrid w:val="0"/>
        <w:spacing w:line="328" w:lineRule="auto"/>
        <w:ind w:firstLine="480" w:firstLineChars="0"/>
        <w:jc w:val="both"/>
        <w:rPr>
          <w:color w:val="auto"/>
        </w:rPr>
      </w:pPr>
      <w:r>
        <w:rPr>
          <w:rFonts w:hint="eastAsia"/>
          <w:color w:val="auto"/>
        </w:rPr>
        <w:t>4）旧管道清洗废水</w:t>
      </w:r>
    </w:p>
    <w:p w14:paraId="7518DED9">
      <w:pPr>
        <w:pStyle w:val="128"/>
        <w:adjustRightInd w:val="0"/>
        <w:snapToGrid w:val="0"/>
        <w:spacing w:line="328" w:lineRule="auto"/>
        <w:ind w:firstLine="480" w:firstLineChars="0"/>
        <w:jc w:val="both"/>
        <w:rPr>
          <w:color w:val="auto"/>
        </w:rPr>
      </w:pPr>
      <w:r>
        <w:rPr>
          <w:rFonts w:hint="eastAsia"/>
          <w:color w:val="auto"/>
          <w:szCs w:val="24"/>
        </w:rPr>
        <w:t>旧管道清洗废水经收集后罐车拉运送高青联合站处理，</w:t>
      </w:r>
      <w:r>
        <w:rPr>
          <w:color w:val="auto"/>
        </w:rPr>
        <w:t>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p>
    <w:p w14:paraId="03920D8E">
      <w:pPr>
        <w:pStyle w:val="128"/>
        <w:adjustRightInd w:val="0"/>
        <w:snapToGrid w:val="0"/>
        <w:spacing w:line="328" w:lineRule="auto"/>
        <w:ind w:firstLine="480"/>
        <w:jc w:val="both"/>
        <w:rPr>
          <w:color w:val="auto"/>
        </w:rPr>
      </w:pPr>
      <w:r>
        <w:rPr>
          <w:color w:val="auto"/>
        </w:rPr>
        <w:t>5</w:t>
      </w:r>
      <w:r>
        <w:rPr>
          <w:rFonts w:hint="eastAsia"/>
          <w:color w:val="auto"/>
        </w:rPr>
        <w:t>）生活污水</w:t>
      </w:r>
    </w:p>
    <w:p w14:paraId="32B22D04">
      <w:pPr>
        <w:pStyle w:val="128"/>
        <w:spacing w:line="328" w:lineRule="auto"/>
        <w:ind w:firstLine="480"/>
        <w:jc w:val="both"/>
        <w:rPr>
          <w:color w:val="auto"/>
        </w:rPr>
      </w:pPr>
      <w:r>
        <w:rPr>
          <w:rFonts w:hint="eastAsia"/>
          <w:color w:val="auto"/>
        </w:rPr>
        <w:t>经调查，施工人员生活污水排放依托各</w:t>
      </w:r>
      <w:r>
        <w:rPr>
          <w:rFonts w:hint="eastAsia" w:cs="宋体"/>
          <w:color w:val="auto"/>
        </w:rPr>
        <w:t>环保厕所</w:t>
      </w:r>
      <w:r>
        <w:rPr>
          <w:rFonts w:hint="eastAsia"/>
          <w:color w:val="auto"/>
        </w:rPr>
        <w:t>，定期清运，无外排。</w:t>
      </w:r>
    </w:p>
    <w:p w14:paraId="7B189471">
      <w:pPr>
        <w:pStyle w:val="6"/>
        <w:rPr>
          <w:color w:val="auto"/>
        </w:rPr>
      </w:pPr>
      <w:r>
        <w:rPr>
          <w:rFonts w:hint="eastAsia"/>
          <w:color w:val="auto"/>
        </w:rPr>
        <w:t>声</w:t>
      </w:r>
      <w:r>
        <w:rPr>
          <w:color w:val="auto"/>
        </w:rPr>
        <w:t>环境影响调查</w:t>
      </w:r>
    </w:p>
    <w:p w14:paraId="76C90C26">
      <w:pPr>
        <w:pStyle w:val="4"/>
        <w:ind w:firstLine="480"/>
        <w:rPr>
          <w:color w:val="auto"/>
          <w:sz w:val="21"/>
          <w:szCs w:val="21"/>
        </w:rPr>
      </w:pPr>
      <w:r>
        <w:rPr>
          <w:rFonts w:hint="eastAsia"/>
          <w:color w:val="auto"/>
        </w:rPr>
        <w:t>经调查</w:t>
      </w:r>
      <w:r>
        <w:rPr>
          <w:color w:val="auto"/>
        </w:rPr>
        <w:t>，本期工程</w:t>
      </w:r>
      <w:r>
        <w:rPr>
          <w:rFonts w:hint="eastAsia"/>
          <w:color w:val="auto"/>
          <w:szCs w:val="20"/>
        </w:rPr>
        <w:t>施工</w:t>
      </w:r>
      <w:r>
        <w:rPr>
          <w:color w:val="auto"/>
          <w:szCs w:val="20"/>
        </w:rPr>
        <w:t>机械运转噪声</w:t>
      </w:r>
      <w:r>
        <w:rPr>
          <w:color w:val="auto"/>
        </w:rPr>
        <w:t>，</w:t>
      </w:r>
      <w:r>
        <w:rPr>
          <w:rFonts w:hint="eastAsia"/>
          <w:color w:val="auto"/>
        </w:rPr>
        <w:t>施工期</w:t>
      </w:r>
      <w:r>
        <w:rPr>
          <w:color w:val="auto"/>
        </w:rPr>
        <w:t>间</w:t>
      </w:r>
      <w:r>
        <w:rPr>
          <w:rFonts w:hint="eastAsia"/>
          <w:color w:val="auto"/>
        </w:rPr>
        <w:t>加强了管理，按照规定操作机械设备，尽量采用了低噪声设备，制定了合理的运输线路，减少车辆不必要的鸣笛。噪声的</w:t>
      </w:r>
      <w:r>
        <w:rPr>
          <w:color w:val="auto"/>
        </w:rPr>
        <w:t>影响</w:t>
      </w:r>
      <w:r>
        <w:rPr>
          <w:rFonts w:hint="eastAsia"/>
          <w:color w:val="auto"/>
        </w:rPr>
        <w:t>已</w:t>
      </w:r>
      <w:r>
        <w:rPr>
          <w:color w:val="auto"/>
        </w:rPr>
        <w:t>随着</w:t>
      </w:r>
      <w:r>
        <w:rPr>
          <w:rFonts w:hint="eastAsia"/>
          <w:color w:val="auto"/>
        </w:rPr>
        <w:t>施工期</w:t>
      </w:r>
      <w:r>
        <w:rPr>
          <w:color w:val="auto"/>
        </w:rPr>
        <w:t>结束</w:t>
      </w:r>
      <w:r>
        <w:rPr>
          <w:rFonts w:hint="eastAsia"/>
          <w:color w:val="auto"/>
        </w:rPr>
        <w:t>而</w:t>
      </w:r>
      <w:r>
        <w:rPr>
          <w:color w:val="auto"/>
        </w:rPr>
        <w:t>消失，未对周围声环境产生不利影响</w:t>
      </w:r>
      <w:r>
        <w:rPr>
          <w:rFonts w:hint="eastAsia"/>
          <w:color w:val="auto"/>
        </w:rPr>
        <w:t>。</w:t>
      </w:r>
    </w:p>
    <w:p w14:paraId="0893B7A9">
      <w:pPr>
        <w:pStyle w:val="6"/>
        <w:rPr>
          <w:color w:val="auto"/>
        </w:rPr>
      </w:pPr>
      <w:r>
        <w:rPr>
          <w:rFonts w:hint="eastAsia"/>
          <w:color w:val="auto"/>
        </w:rPr>
        <w:t>固体废物环境</w:t>
      </w:r>
      <w:r>
        <w:rPr>
          <w:color w:val="auto"/>
        </w:rPr>
        <w:t>影响调查</w:t>
      </w:r>
    </w:p>
    <w:p w14:paraId="5627E9F4">
      <w:pPr>
        <w:spacing w:line="331" w:lineRule="auto"/>
        <w:ind w:firstLine="480" w:firstLineChars="200"/>
        <w:rPr>
          <w:rFonts w:ascii="宋体" w:hAnsi="宋体"/>
          <w:color w:val="auto"/>
          <w:sz w:val="24"/>
          <w:szCs w:val="24"/>
        </w:rPr>
      </w:pPr>
      <w:r>
        <w:rPr>
          <w:rFonts w:hint="eastAsia" w:ascii="宋体" w:hAnsi="宋体"/>
          <w:color w:val="auto"/>
          <w:sz w:val="24"/>
          <w:szCs w:val="24"/>
        </w:rPr>
        <w:t>本期工程</w:t>
      </w:r>
      <w:r>
        <w:rPr>
          <w:rFonts w:ascii="宋体" w:hAnsi="宋体"/>
          <w:color w:val="auto"/>
          <w:sz w:val="24"/>
          <w:szCs w:val="24"/>
        </w:rPr>
        <w:t>施工期</w:t>
      </w:r>
      <w:r>
        <w:rPr>
          <w:rFonts w:hint="eastAsia" w:ascii="宋体" w:hAnsi="宋体"/>
          <w:color w:val="auto"/>
          <w:sz w:val="24"/>
          <w:szCs w:val="24"/>
        </w:rPr>
        <w:t>间</w:t>
      </w:r>
      <w:r>
        <w:rPr>
          <w:rFonts w:ascii="宋体" w:hAnsi="宋体"/>
          <w:color w:val="auto"/>
          <w:sz w:val="24"/>
          <w:szCs w:val="24"/>
        </w:rPr>
        <w:t>产生的固体废物主要是</w:t>
      </w:r>
      <w:r>
        <w:rPr>
          <w:rFonts w:hint="eastAsia" w:ascii="宋体" w:hAnsi="宋体"/>
          <w:color w:val="auto"/>
          <w:sz w:val="24"/>
          <w:szCs w:val="24"/>
        </w:rPr>
        <w:t>钻井固废、施工废料及建筑垃圾、定向钻泥浆、废弃设备</w:t>
      </w:r>
      <w:r>
        <w:rPr>
          <w:rFonts w:ascii="宋体" w:hAnsi="宋体"/>
          <w:color w:val="auto"/>
          <w:sz w:val="24"/>
          <w:szCs w:val="24"/>
        </w:rPr>
        <w:t>和生活垃圾</w:t>
      </w:r>
      <w:r>
        <w:rPr>
          <w:rFonts w:hint="eastAsia" w:ascii="宋体" w:hAnsi="宋体"/>
          <w:color w:val="auto"/>
          <w:sz w:val="24"/>
          <w:szCs w:val="24"/>
        </w:rPr>
        <w:t>。</w:t>
      </w:r>
    </w:p>
    <w:p w14:paraId="2307CF12">
      <w:pPr>
        <w:pStyle w:val="4"/>
        <w:ind w:firstLine="480"/>
        <w:rPr>
          <w:color w:val="auto"/>
          <w:kern w:val="0"/>
        </w:rPr>
      </w:pPr>
      <w:r>
        <w:rPr>
          <w:rFonts w:hint="eastAsia"/>
          <w:color w:val="auto"/>
          <w:kern w:val="0"/>
        </w:rPr>
        <w:t>1）钻井固废</w:t>
      </w:r>
    </w:p>
    <w:p w14:paraId="2C69CD1E">
      <w:pPr>
        <w:pStyle w:val="4"/>
        <w:ind w:firstLine="480"/>
        <w:rPr>
          <w:color w:val="auto"/>
          <w:kern w:val="0"/>
        </w:rPr>
      </w:pPr>
      <w:r>
        <w:rPr>
          <w:rFonts w:hint="eastAsia"/>
          <w:color w:val="auto"/>
        </w:rPr>
        <w:t>本期工程采用了“泥浆</w:t>
      </w:r>
      <w:r>
        <w:rPr>
          <w:color w:val="auto"/>
        </w:rPr>
        <w:t>不落地</w:t>
      </w:r>
      <w:r>
        <w:rPr>
          <w:rFonts w:hint="eastAsia"/>
          <w:color w:val="auto"/>
        </w:rPr>
        <w:t>”工艺</w:t>
      </w:r>
      <w:r>
        <w:rPr>
          <w:color w:val="auto"/>
        </w:rPr>
        <w:t>，</w:t>
      </w:r>
      <w:r>
        <w:rPr>
          <w:rFonts w:hint="eastAsia"/>
          <w:color w:val="auto"/>
        </w:rPr>
        <w:t>钻井固废均按照《一般工业固体废物贮存和填埋污染控制标准》（GB 18599-20</w:t>
      </w:r>
      <w:r>
        <w:rPr>
          <w:color w:val="auto"/>
        </w:rPr>
        <w:t>20</w:t>
      </w:r>
      <w:r>
        <w:rPr>
          <w:rFonts w:hint="eastAsia"/>
          <w:color w:val="auto"/>
        </w:rPr>
        <w:t>）要求进行了管理，施工结束</w:t>
      </w:r>
      <w:r>
        <w:rPr>
          <w:color w:val="auto"/>
        </w:rPr>
        <w:t>后</w:t>
      </w:r>
      <w:r>
        <w:rPr>
          <w:rFonts w:hint="eastAsia"/>
          <w:color w:val="auto"/>
        </w:rPr>
        <w:t>分别由钻井施工单位委托“泥浆</w:t>
      </w:r>
      <w:r>
        <w:rPr>
          <w:color w:val="auto"/>
        </w:rPr>
        <w:t>不落地</w:t>
      </w:r>
      <w:r>
        <w:rPr>
          <w:rFonts w:hint="eastAsia"/>
          <w:color w:val="auto"/>
        </w:rPr>
        <w:t>”服务</w:t>
      </w:r>
      <w:r>
        <w:rPr>
          <w:color w:val="auto"/>
        </w:rPr>
        <w:t>单位</w:t>
      </w:r>
      <w:r>
        <w:rPr>
          <w:rFonts w:hint="eastAsia"/>
          <w:color w:val="auto"/>
        </w:rPr>
        <w:t>天正浚源环保科技有限公司、东营丰实钻井工程有限公司、山东胜兴特种材料有限公司拉运后进行固液分离，分离出的固相由东营市垦利区永安镇、山东天龙红木家具股份有限公司、山东法恩生物科技有限公司、东营成寨土石方工程有限公司进行</w:t>
      </w:r>
      <w:r>
        <w:rPr>
          <w:color w:val="auto"/>
        </w:rPr>
        <w:t>了</w:t>
      </w:r>
      <w:r>
        <w:rPr>
          <w:rFonts w:hint="eastAsia"/>
          <w:color w:val="auto"/>
        </w:rPr>
        <w:t>综合利用</w:t>
      </w:r>
      <w:r>
        <w:rPr>
          <w:color w:val="auto"/>
        </w:rPr>
        <w:t>。</w:t>
      </w:r>
      <w:r>
        <w:rPr>
          <w:rFonts w:hint="eastAsia"/>
          <w:color w:val="auto"/>
        </w:rPr>
        <w:t>验收调查期间，现场无</w:t>
      </w:r>
      <w:r>
        <w:rPr>
          <w:color w:val="auto"/>
        </w:rPr>
        <w:t>固废遗留</w:t>
      </w:r>
      <w:r>
        <w:rPr>
          <w:rFonts w:hint="eastAsia"/>
          <w:color w:val="auto"/>
        </w:rPr>
        <w:t>。</w:t>
      </w:r>
    </w:p>
    <w:p w14:paraId="3380E7E4">
      <w:pPr>
        <w:pStyle w:val="4"/>
        <w:ind w:firstLine="480"/>
        <w:rPr>
          <w:color w:val="auto"/>
        </w:rPr>
      </w:pPr>
      <w:r>
        <w:rPr>
          <w:rFonts w:hint="eastAsia"/>
          <w:color w:val="auto"/>
        </w:rPr>
        <w:t>“泥浆</w:t>
      </w:r>
      <w:r>
        <w:rPr>
          <w:color w:val="auto"/>
        </w:rPr>
        <w:t>不落地</w:t>
      </w:r>
      <w:r>
        <w:rPr>
          <w:rFonts w:hint="eastAsia"/>
          <w:color w:val="auto"/>
        </w:rPr>
        <w:t>”施工</w:t>
      </w:r>
      <w:r>
        <w:rPr>
          <w:color w:val="auto"/>
        </w:rPr>
        <w:t>单位</w:t>
      </w:r>
      <w:r>
        <w:rPr>
          <w:rFonts w:hint="eastAsia"/>
          <w:color w:val="auto"/>
        </w:rPr>
        <w:t>委托专业检测单位对泥饼进行了检测，根据监测结果，各项指标均满足《污水综合排放标准》（GB 8978-1996）中表1“第一类污染物最高允许排放浓度”、表4“第二类污染物最高允许排放浓度”一级标准，属于第</w:t>
      </w:r>
      <w:r>
        <w:rPr>
          <w:color w:val="auto"/>
        </w:rPr>
        <w:t>I类一般工业固体废物</w:t>
      </w:r>
      <w:r>
        <w:rPr>
          <w:rFonts w:hint="eastAsia"/>
          <w:color w:val="auto"/>
        </w:rPr>
        <w:t>。</w:t>
      </w:r>
    </w:p>
    <w:p w14:paraId="2B5A1244">
      <w:pPr>
        <w:pStyle w:val="4"/>
        <w:ind w:firstLine="480"/>
        <w:rPr>
          <w:color w:val="auto"/>
        </w:rPr>
      </w:pPr>
      <w:r>
        <w:rPr>
          <w:rFonts w:hint="eastAsia"/>
          <w:color w:val="auto"/>
        </w:rPr>
        <w:t>泥饼（固化泥浆）监测</w:t>
      </w:r>
      <w:r>
        <w:rPr>
          <w:color w:val="auto"/>
        </w:rPr>
        <w:t>报告详见附件9</w:t>
      </w:r>
      <w:r>
        <w:rPr>
          <w:rFonts w:hint="eastAsia"/>
          <w:color w:val="auto"/>
        </w:rPr>
        <w:t>，泥饼（固化泥浆）监测结果详见</w:t>
      </w:r>
      <w:r>
        <w:rPr>
          <w:color w:val="auto"/>
        </w:rPr>
        <w:fldChar w:fldCharType="begin"/>
      </w:r>
      <w:r>
        <w:instrText xml:space="preserve"> REF _Ref225241078 \h  \* MERGEFORMAT</w:instrText>
      </w:r>
      <w:r>
        <w:rPr>
          <w:color w:val="auto"/>
        </w:rPr>
        <w:fldChar w:fldCharType="separate"/>
      </w:r>
      <w:r>
        <w:rPr>
          <w:color w:val="auto"/>
        </w:rPr>
        <w:t>表 6.5</w:t>
      </w:r>
      <w:r>
        <w:rPr>
          <w:color w:val="auto"/>
        </w:rPr>
        <w:noBreakHyphen/>
      </w:r>
      <w:r>
        <w:rPr>
          <w:color w:val="auto"/>
        </w:rPr>
        <w:t>3</w:t>
      </w:r>
      <w:r>
        <w:rPr>
          <w:color w:val="auto"/>
        </w:rPr>
        <w:fldChar w:fldCharType="end"/>
      </w:r>
      <w:r>
        <w:rPr>
          <w:rFonts w:hint="eastAsia"/>
          <w:color w:val="auto"/>
        </w:rPr>
        <w:t>。</w:t>
      </w:r>
    </w:p>
    <w:p w14:paraId="2C006163">
      <w:pPr>
        <w:pStyle w:val="15"/>
        <w:spacing w:before="120"/>
        <w:rPr>
          <w:color w:val="auto"/>
        </w:rPr>
      </w:pPr>
      <w:bookmarkStart w:id="461" w:name="_Ref225241078"/>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6.5</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3</w:t>
      </w:r>
      <w:r>
        <w:rPr>
          <w:color w:val="auto"/>
        </w:rPr>
        <w:fldChar w:fldCharType="end"/>
      </w:r>
      <w:bookmarkEnd w:id="461"/>
      <w:r>
        <w:rPr>
          <w:color w:val="auto"/>
        </w:rPr>
        <w:t xml:space="preserve"> </w:t>
      </w:r>
      <w:r>
        <w:rPr>
          <w:rFonts w:hint="eastAsia"/>
          <w:color w:val="auto"/>
        </w:rPr>
        <w:t>泥饼（固化泥浆）监测结果</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1294"/>
        <w:gridCol w:w="905"/>
        <w:gridCol w:w="987"/>
        <w:gridCol w:w="989"/>
        <w:gridCol w:w="989"/>
        <w:gridCol w:w="1056"/>
        <w:gridCol w:w="989"/>
        <w:gridCol w:w="968"/>
      </w:tblGrid>
      <w:tr w14:paraId="26941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54" w:type="pct"/>
            <w:gridSpan w:val="2"/>
            <w:vAlign w:val="center"/>
          </w:tcPr>
          <w:p w14:paraId="7D24FCCC">
            <w:pPr>
              <w:pStyle w:val="81"/>
              <w:rPr>
                <w:rFonts w:hAnsi="宋体"/>
                <w:color w:val="auto"/>
                <w:kern w:val="0"/>
              </w:rPr>
            </w:pPr>
            <w:r>
              <w:rPr>
                <w:rFonts w:hint="eastAsia" w:hAnsi="宋体"/>
                <w:color w:val="auto"/>
                <w:kern w:val="0"/>
              </w:rPr>
              <w:t>项目</w:t>
            </w:r>
          </w:p>
        </w:tc>
        <w:tc>
          <w:tcPr>
            <w:tcW w:w="519" w:type="pct"/>
            <w:vAlign w:val="center"/>
          </w:tcPr>
          <w:p w14:paraId="36551D8A">
            <w:pPr>
              <w:pStyle w:val="81"/>
              <w:rPr>
                <w:rFonts w:hAnsi="宋体"/>
                <w:color w:val="auto"/>
                <w:kern w:val="0"/>
              </w:rPr>
            </w:pPr>
            <w:r>
              <w:rPr>
                <w:rFonts w:hint="eastAsia" w:hAnsi="宋体"/>
                <w:color w:val="auto"/>
                <w:kern w:val="0"/>
              </w:rPr>
              <w:t>pH（无量纲）</w:t>
            </w:r>
          </w:p>
        </w:tc>
        <w:tc>
          <w:tcPr>
            <w:tcW w:w="566" w:type="pct"/>
            <w:vAlign w:val="center"/>
          </w:tcPr>
          <w:p w14:paraId="055F5AEC">
            <w:pPr>
              <w:pStyle w:val="81"/>
              <w:rPr>
                <w:rFonts w:hAnsi="宋体"/>
                <w:color w:val="auto"/>
                <w:kern w:val="0"/>
              </w:rPr>
            </w:pPr>
            <w:r>
              <w:rPr>
                <w:rFonts w:hint="eastAsia" w:hAnsi="宋体"/>
                <w:color w:val="auto"/>
                <w:kern w:val="0"/>
              </w:rPr>
              <w:t>COD</w:t>
            </w:r>
            <w:r>
              <w:rPr>
                <w:rFonts w:hint="eastAsia" w:hAnsi="宋体"/>
                <w:color w:val="auto"/>
                <w:kern w:val="0"/>
                <w:vertAlign w:val="subscript"/>
              </w:rPr>
              <w:t>cr</w:t>
            </w:r>
          </w:p>
        </w:tc>
        <w:tc>
          <w:tcPr>
            <w:tcW w:w="567" w:type="pct"/>
            <w:vAlign w:val="center"/>
          </w:tcPr>
          <w:p w14:paraId="714287A5">
            <w:pPr>
              <w:pStyle w:val="81"/>
              <w:rPr>
                <w:rFonts w:hAnsi="宋体"/>
                <w:color w:val="auto"/>
                <w:kern w:val="0"/>
              </w:rPr>
            </w:pPr>
            <w:r>
              <w:rPr>
                <w:rFonts w:hint="eastAsia" w:hAnsi="宋体"/>
                <w:color w:val="auto"/>
                <w:kern w:val="0"/>
              </w:rPr>
              <w:t>六价铬</w:t>
            </w:r>
          </w:p>
        </w:tc>
        <w:tc>
          <w:tcPr>
            <w:tcW w:w="567" w:type="pct"/>
            <w:vAlign w:val="center"/>
          </w:tcPr>
          <w:p w14:paraId="2CF700D3">
            <w:pPr>
              <w:pStyle w:val="81"/>
              <w:rPr>
                <w:rFonts w:hAnsi="宋体"/>
                <w:color w:val="auto"/>
                <w:kern w:val="0"/>
              </w:rPr>
            </w:pPr>
            <w:r>
              <w:rPr>
                <w:rFonts w:hint="eastAsia" w:hAnsi="宋体"/>
                <w:color w:val="auto"/>
                <w:kern w:val="0"/>
              </w:rPr>
              <w:t>铅</w:t>
            </w:r>
          </w:p>
        </w:tc>
        <w:tc>
          <w:tcPr>
            <w:tcW w:w="605" w:type="pct"/>
            <w:vAlign w:val="center"/>
          </w:tcPr>
          <w:p w14:paraId="26C059AE">
            <w:pPr>
              <w:pStyle w:val="81"/>
              <w:rPr>
                <w:rFonts w:hAnsi="宋体"/>
                <w:color w:val="auto"/>
                <w:kern w:val="0"/>
              </w:rPr>
            </w:pPr>
            <w:r>
              <w:rPr>
                <w:rFonts w:hint="eastAsia" w:hAnsi="宋体"/>
                <w:color w:val="auto"/>
                <w:kern w:val="0"/>
              </w:rPr>
              <w:t>汞</w:t>
            </w:r>
          </w:p>
        </w:tc>
        <w:tc>
          <w:tcPr>
            <w:tcW w:w="567" w:type="pct"/>
            <w:vAlign w:val="center"/>
          </w:tcPr>
          <w:p w14:paraId="123ABF19">
            <w:pPr>
              <w:pStyle w:val="81"/>
              <w:rPr>
                <w:rFonts w:hAnsi="宋体"/>
                <w:color w:val="auto"/>
                <w:kern w:val="0"/>
              </w:rPr>
            </w:pPr>
            <w:r>
              <w:rPr>
                <w:rFonts w:hint="eastAsia" w:hAnsi="宋体"/>
                <w:color w:val="auto"/>
                <w:kern w:val="0"/>
              </w:rPr>
              <w:t>石油类</w:t>
            </w:r>
          </w:p>
        </w:tc>
        <w:tc>
          <w:tcPr>
            <w:tcW w:w="555" w:type="pct"/>
            <w:vMerge w:val="restart"/>
            <w:vAlign w:val="center"/>
          </w:tcPr>
          <w:p w14:paraId="237E3557">
            <w:pPr>
              <w:pStyle w:val="81"/>
              <w:rPr>
                <w:rFonts w:hAnsi="宋体"/>
                <w:color w:val="auto"/>
                <w:kern w:val="0"/>
              </w:rPr>
            </w:pPr>
            <w:r>
              <w:rPr>
                <w:rFonts w:hint="eastAsia" w:hAnsi="宋体"/>
                <w:color w:val="auto"/>
                <w:kern w:val="0"/>
              </w:rPr>
              <w:t>达标</w:t>
            </w:r>
            <w:r>
              <w:rPr>
                <w:rFonts w:hAnsi="宋体"/>
                <w:color w:val="auto"/>
                <w:kern w:val="0"/>
              </w:rPr>
              <w:t>性</w:t>
            </w:r>
          </w:p>
        </w:tc>
      </w:tr>
      <w:tr w14:paraId="3510F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12" w:type="pct"/>
            <w:vAlign w:val="center"/>
          </w:tcPr>
          <w:p w14:paraId="4931D367">
            <w:pPr>
              <w:pStyle w:val="81"/>
              <w:rPr>
                <w:rFonts w:hAnsi="宋体"/>
                <w:color w:val="auto"/>
                <w:kern w:val="0"/>
              </w:rPr>
            </w:pPr>
            <w:r>
              <w:rPr>
                <w:rFonts w:hint="eastAsia" w:hAnsi="宋体"/>
                <w:color w:val="auto"/>
                <w:kern w:val="0"/>
              </w:rPr>
              <w:t>序号</w:t>
            </w:r>
          </w:p>
        </w:tc>
        <w:tc>
          <w:tcPr>
            <w:tcW w:w="742" w:type="pct"/>
            <w:vAlign w:val="center"/>
          </w:tcPr>
          <w:p w14:paraId="4DBD3222">
            <w:pPr>
              <w:pStyle w:val="81"/>
              <w:rPr>
                <w:rFonts w:hAnsi="宋体"/>
                <w:color w:val="auto"/>
                <w:kern w:val="0"/>
              </w:rPr>
            </w:pPr>
            <w:r>
              <w:rPr>
                <w:rFonts w:hint="eastAsia" w:hAnsi="宋体"/>
                <w:color w:val="auto"/>
                <w:kern w:val="0"/>
              </w:rPr>
              <w:t>标准值（单位）</w:t>
            </w:r>
          </w:p>
        </w:tc>
        <w:tc>
          <w:tcPr>
            <w:tcW w:w="519" w:type="pct"/>
            <w:vAlign w:val="center"/>
          </w:tcPr>
          <w:p w14:paraId="06BE354D">
            <w:pPr>
              <w:pStyle w:val="81"/>
              <w:rPr>
                <w:rFonts w:hAnsi="宋体"/>
                <w:color w:val="auto"/>
                <w:kern w:val="0"/>
              </w:rPr>
            </w:pPr>
            <w:r>
              <w:rPr>
                <w:rFonts w:hint="eastAsia" w:hAnsi="宋体"/>
                <w:color w:val="auto"/>
                <w:kern w:val="0"/>
              </w:rPr>
              <w:t>6～9</w:t>
            </w:r>
          </w:p>
        </w:tc>
        <w:tc>
          <w:tcPr>
            <w:tcW w:w="566" w:type="pct"/>
            <w:vAlign w:val="center"/>
          </w:tcPr>
          <w:p w14:paraId="7152D308">
            <w:pPr>
              <w:pStyle w:val="81"/>
              <w:rPr>
                <w:rFonts w:hAnsi="宋体"/>
                <w:color w:val="auto"/>
                <w:kern w:val="0"/>
              </w:rPr>
            </w:pPr>
            <w:r>
              <w:rPr>
                <w:rFonts w:hint="eastAsia" w:hAnsi="宋体"/>
                <w:color w:val="auto"/>
                <w:kern w:val="0"/>
              </w:rPr>
              <w:t>≤100mg/L</w:t>
            </w:r>
          </w:p>
        </w:tc>
        <w:tc>
          <w:tcPr>
            <w:tcW w:w="567" w:type="pct"/>
            <w:vAlign w:val="center"/>
          </w:tcPr>
          <w:p w14:paraId="6BA9E19F">
            <w:pPr>
              <w:pStyle w:val="81"/>
              <w:rPr>
                <w:rFonts w:hAnsi="宋体"/>
                <w:color w:val="auto"/>
                <w:kern w:val="0"/>
              </w:rPr>
            </w:pPr>
            <w:r>
              <w:rPr>
                <w:rFonts w:hint="eastAsia" w:hAnsi="宋体"/>
                <w:color w:val="auto"/>
                <w:kern w:val="0"/>
              </w:rPr>
              <w:t>≤0</w:t>
            </w:r>
            <w:r>
              <w:rPr>
                <w:rFonts w:hAnsi="宋体"/>
                <w:color w:val="auto"/>
                <w:kern w:val="0"/>
              </w:rPr>
              <w:t>.5</w:t>
            </w:r>
            <w:r>
              <w:rPr>
                <w:rFonts w:hint="eastAsia" w:hAnsi="宋体"/>
                <w:color w:val="auto"/>
                <w:kern w:val="0"/>
              </w:rPr>
              <w:t>mg/L</w:t>
            </w:r>
          </w:p>
        </w:tc>
        <w:tc>
          <w:tcPr>
            <w:tcW w:w="567" w:type="pct"/>
            <w:vAlign w:val="center"/>
          </w:tcPr>
          <w:p w14:paraId="2D9585AF">
            <w:pPr>
              <w:pStyle w:val="81"/>
              <w:rPr>
                <w:rFonts w:hAnsi="宋体"/>
                <w:color w:val="auto"/>
                <w:kern w:val="0"/>
              </w:rPr>
            </w:pPr>
            <w:r>
              <w:rPr>
                <w:rFonts w:hint="eastAsia" w:hAnsi="宋体"/>
                <w:color w:val="auto"/>
                <w:kern w:val="0"/>
              </w:rPr>
              <w:t>≤1mg/L</w:t>
            </w:r>
          </w:p>
        </w:tc>
        <w:tc>
          <w:tcPr>
            <w:tcW w:w="605" w:type="pct"/>
            <w:vAlign w:val="center"/>
          </w:tcPr>
          <w:p w14:paraId="04816992">
            <w:pPr>
              <w:pStyle w:val="81"/>
              <w:rPr>
                <w:rFonts w:hAnsi="宋体"/>
                <w:color w:val="auto"/>
                <w:kern w:val="0"/>
              </w:rPr>
            </w:pPr>
            <w:r>
              <w:rPr>
                <w:rFonts w:hint="eastAsia" w:hAnsi="宋体"/>
                <w:color w:val="auto"/>
                <w:kern w:val="0"/>
              </w:rPr>
              <w:t>≤0</w:t>
            </w:r>
            <w:r>
              <w:rPr>
                <w:rFonts w:hAnsi="宋体"/>
                <w:color w:val="auto"/>
                <w:kern w:val="0"/>
              </w:rPr>
              <w:t>.05</w:t>
            </w:r>
            <w:r>
              <w:rPr>
                <w:rFonts w:hint="eastAsia" w:hAnsi="宋体"/>
                <w:color w:val="auto"/>
                <w:kern w:val="0"/>
              </w:rPr>
              <w:t>mg/L</w:t>
            </w:r>
          </w:p>
        </w:tc>
        <w:tc>
          <w:tcPr>
            <w:tcW w:w="567" w:type="pct"/>
            <w:vAlign w:val="center"/>
          </w:tcPr>
          <w:p w14:paraId="476C75F2">
            <w:pPr>
              <w:pStyle w:val="81"/>
              <w:rPr>
                <w:rFonts w:hAnsi="宋体"/>
                <w:color w:val="auto"/>
                <w:kern w:val="0"/>
              </w:rPr>
            </w:pPr>
            <w:r>
              <w:rPr>
                <w:rFonts w:hint="eastAsia" w:hAnsi="宋体"/>
                <w:color w:val="auto"/>
                <w:kern w:val="0"/>
              </w:rPr>
              <w:t>≤</w:t>
            </w:r>
            <w:r>
              <w:rPr>
                <w:rFonts w:hAnsi="宋体"/>
                <w:color w:val="auto"/>
                <w:kern w:val="0"/>
              </w:rPr>
              <w:t>5</w:t>
            </w:r>
            <w:r>
              <w:rPr>
                <w:rFonts w:hint="eastAsia" w:hAnsi="宋体"/>
                <w:color w:val="auto"/>
                <w:kern w:val="0"/>
              </w:rPr>
              <w:t>mg/L</w:t>
            </w:r>
          </w:p>
        </w:tc>
        <w:tc>
          <w:tcPr>
            <w:tcW w:w="555" w:type="pct"/>
            <w:vMerge w:val="continue"/>
            <w:vAlign w:val="center"/>
          </w:tcPr>
          <w:p w14:paraId="2160CBE8">
            <w:pPr>
              <w:pStyle w:val="81"/>
              <w:rPr>
                <w:rFonts w:hAnsi="宋体"/>
                <w:color w:val="auto"/>
                <w:kern w:val="0"/>
              </w:rPr>
            </w:pPr>
          </w:p>
        </w:tc>
      </w:tr>
      <w:tr w14:paraId="289C2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2" w:type="pct"/>
            <w:vAlign w:val="center"/>
          </w:tcPr>
          <w:p w14:paraId="1B8160A1">
            <w:pPr>
              <w:pStyle w:val="76"/>
              <w:numPr>
                <w:ilvl w:val="0"/>
                <w:numId w:val="30"/>
              </w:numPr>
              <w:rPr>
                <w:color w:val="auto"/>
              </w:rPr>
            </w:pPr>
            <w:bookmarkStart w:id="462" w:name="_Hlk225607241"/>
          </w:p>
        </w:tc>
        <w:tc>
          <w:tcPr>
            <w:tcW w:w="742" w:type="pct"/>
            <w:vAlign w:val="center"/>
          </w:tcPr>
          <w:p w14:paraId="748DF63F">
            <w:pPr>
              <w:pStyle w:val="81"/>
              <w:rPr>
                <w:rFonts w:hAnsi="宋体"/>
                <w:color w:val="auto"/>
                <w:kern w:val="0"/>
              </w:rPr>
            </w:pPr>
            <w:r>
              <w:rPr>
                <w:rFonts w:hint="eastAsia" w:hAnsi="宋体" w:cs="宋体"/>
                <w:color w:val="auto"/>
                <w:kern w:val="0"/>
              </w:rPr>
              <w:t>FJF163-X27</w:t>
            </w:r>
          </w:p>
        </w:tc>
        <w:tc>
          <w:tcPr>
            <w:tcW w:w="519" w:type="pct"/>
            <w:vAlign w:val="center"/>
          </w:tcPr>
          <w:p w14:paraId="7E6BB020">
            <w:pPr>
              <w:pStyle w:val="81"/>
              <w:rPr>
                <w:rFonts w:hAnsi="宋体"/>
                <w:color w:val="auto"/>
                <w:kern w:val="0"/>
              </w:rPr>
            </w:pPr>
            <w:r>
              <w:rPr>
                <w:rFonts w:hAnsi="宋体"/>
                <w:color w:val="auto"/>
                <w:kern w:val="0"/>
              </w:rPr>
              <w:t>6.9</w:t>
            </w:r>
          </w:p>
        </w:tc>
        <w:tc>
          <w:tcPr>
            <w:tcW w:w="566" w:type="pct"/>
            <w:vAlign w:val="center"/>
          </w:tcPr>
          <w:p w14:paraId="5D386351">
            <w:pPr>
              <w:pStyle w:val="81"/>
              <w:rPr>
                <w:rFonts w:hAnsi="宋体"/>
                <w:color w:val="auto"/>
                <w:kern w:val="0"/>
              </w:rPr>
            </w:pPr>
            <w:r>
              <w:rPr>
                <w:rFonts w:hAnsi="宋体"/>
                <w:color w:val="auto"/>
                <w:kern w:val="0"/>
              </w:rPr>
              <w:t>42</w:t>
            </w:r>
          </w:p>
        </w:tc>
        <w:tc>
          <w:tcPr>
            <w:tcW w:w="567" w:type="pct"/>
            <w:vAlign w:val="center"/>
          </w:tcPr>
          <w:p w14:paraId="4109A668">
            <w:pPr>
              <w:pStyle w:val="81"/>
              <w:rPr>
                <w:rFonts w:hAnsi="宋体"/>
                <w:color w:val="auto"/>
                <w:kern w:val="0"/>
              </w:rPr>
            </w:pPr>
            <w:bookmarkStart w:id="463" w:name="OLE_LINK58"/>
            <w:bookmarkStart w:id="464" w:name="OLE_LINK65"/>
            <w:r>
              <w:rPr>
                <w:rFonts w:hint="eastAsia" w:hAnsi="宋体"/>
                <w:color w:val="auto"/>
                <w:kern w:val="0"/>
              </w:rPr>
              <w:t>N</w:t>
            </w:r>
            <w:r>
              <w:rPr>
                <w:rFonts w:hAnsi="宋体"/>
                <w:color w:val="auto"/>
                <w:kern w:val="0"/>
              </w:rPr>
              <w:t>D</w:t>
            </w:r>
            <w:bookmarkEnd w:id="463"/>
            <w:bookmarkEnd w:id="464"/>
          </w:p>
        </w:tc>
        <w:tc>
          <w:tcPr>
            <w:tcW w:w="567" w:type="pct"/>
            <w:vAlign w:val="center"/>
          </w:tcPr>
          <w:p w14:paraId="2B6D9226">
            <w:pPr>
              <w:pStyle w:val="81"/>
              <w:rPr>
                <w:rFonts w:hAnsi="宋体"/>
                <w:color w:val="auto"/>
                <w:kern w:val="0"/>
              </w:rPr>
            </w:pPr>
            <w:r>
              <w:rPr>
                <w:rFonts w:hint="eastAsia" w:hAnsi="宋体"/>
                <w:color w:val="auto"/>
                <w:kern w:val="0"/>
              </w:rPr>
              <w:t>N</w:t>
            </w:r>
            <w:r>
              <w:rPr>
                <w:rFonts w:hAnsi="宋体"/>
                <w:color w:val="auto"/>
                <w:kern w:val="0"/>
              </w:rPr>
              <w:t>D</w:t>
            </w:r>
          </w:p>
        </w:tc>
        <w:tc>
          <w:tcPr>
            <w:tcW w:w="605" w:type="pct"/>
            <w:vAlign w:val="center"/>
          </w:tcPr>
          <w:p w14:paraId="3736EFC2">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16F7A3B3">
            <w:pPr>
              <w:pStyle w:val="81"/>
              <w:rPr>
                <w:rFonts w:hAnsi="宋体"/>
                <w:color w:val="auto"/>
                <w:kern w:val="0"/>
              </w:rPr>
            </w:pPr>
            <w:r>
              <w:rPr>
                <w:rFonts w:hint="eastAsia" w:hAnsi="宋体"/>
                <w:color w:val="auto"/>
                <w:kern w:val="0"/>
              </w:rPr>
              <w:t>N</w:t>
            </w:r>
            <w:r>
              <w:rPr>
                <w:rFonts w:hAnsi="宋体"/>
                <w:color w:val="auto"/>
                <w:kern w:val="0"/>
              </w:rPr>
              <w:t>D</w:t>
            </w:r>
          </w:p>
        </w:tc>
        <w:tc>
          <w:tcPr>
            <w:tcW w:w="555" w:type="pct"/>
            <w:vAlign w:val="center"/>
          </w:tcPr>
          <w:p w14:paraId="4D44EE37">
            <w:pPr>
              <w:pStyle w:val="81"/>
              <w:rPr>
                <w:rFonts w:hAnsi="宋体"/>
                <w:color w:val="auto"/>
                <w:kern w:val="0"/>
              </w:rPr>
            </w:pPr>
            <w:r>
              <w:rPr>
                <w:rFonts w:hint="eastAsia" w:hAnsi="宋体"/>
                <w:color w:val="auto"/>
                <w:kern w:val="0"/>
              </w:rPr>
              <w:t>达标</w:t>
            </w:r>
          </w:p>
        </w:tc>
      </w:tr>
      <w:tr w14:paraId="2DE21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2" w:type="pct"/>
            <w:vAlign w:val="center"/>
          </w:tcPr>
          <w:p w14:paraId="6C26FF66">
            <w:pPr>
              <w:pStyle w:val="76"/>
              <w:rPr>
                <w:color w:val="auto"/>
              </w:rPr>
            </w:pPr>
          </w:p>
        </w:tc>
        <w:tc>
          <w:tcPr>
            <w:tcW w:w="742" w:type="pct"/>
            <w:vAlign w:val="center"/>
          </w:tcPr>
          <w:p w14:paraId="4EE3707F">
            <w:pPr>
              <w:pStyle w:val="81"/>
              <w:rPr>
                <w:rFonts w:hAnsi="宋体"/>
                <w:color w:val="auto"/>
                <w:kern w:val="0"/>
              </w:rPr>
            </w:pPr>
            <w:r>
              <w:rPr>
                <w:rFonts w:hint="eastAsia" w:hAnsi="宋体" w:cs="宋体"/>
                <w:color w:val="auto"/>
                <w:kern w:val="0"/>
              </w:rPr>
              <w:t>FJF163-X18</w:t>
            </w:r>
          </w:p>
        </w:tc>
        <w:tc>
          <w:tcPr>
            <w:tcW w:w="519" w:type="pct"/>
            <w:vAlign w:val="center"/>
          </w:tcPr>
          <w:p w14:paraId="28CEED03">
            <w:pPr>
              <w:pStyle w:val="81"/>
              <w:rPr>
                <w:rFonts w:hAnsi="宋体"/>
                <w:color w:val="auto"/>
                <w:kern w:val="0"/>
              </w:rPr>
            </w:pPr>
            <w:r>
              <w:rPr>
                <w:rFonts w:hint="eastAsia" w:hAnsi="宋体"/>
                <w:color w:val="auto"/>
                <w:kern w:val="0"/>
              </w:rPr>
              <w:t>7</w:t>
            </w:r>
            <w:r>
              <w:rPr>
                <w:rFonts w:hAnsi="宋体"/>
                <w:color w:val="auto"/>
                <w:kern w:val="0"/>
              </w:rPr>
              <w:t>.1</w:t>
            </w:r>
          </w:p>
        </w:tc>
        <w:tc>
          <w:tcPr>
            <w:tcW w:w="566" w:type="pct"/>
            <w:vAlign w:val="center"/>
          </w:tcPr>
          <w:p w14:paraId="608C5735">
            <w:pPr>
              <w:pStyle w:val="81"/>
              <w:rPr>
                <w:rFonts w:hAnsi="宋体"/>
                <w:color w:val="auto"/>
                <w:kern w:val="0"/>
              </w:rPr>
            </w:pPr>
            <w:r>
              <w:rPr>
                <w:rFonts w:hAnsi="宋体"/>
                <w:color w:val="auto"/>
                <w:kern w:val="0"/>
              </w:rPr>
              <w:t>41</w:t>
            </w:r>
          </w:p>
        </w:tc>
        <w:tc>
          <w:tcPr>
            <w:tcW w:w="567" w:type="pct"/>
            <w:vAlign w:val="center"/>
          </w:tcPr>
          <w:p w14:paraId="3E0E53AC">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698395C9">
            <w:pPr>
              <w:pStyle w:val="81"/>
              <w:rPr>
                <w:rFonts w:hAnsi="宋体"/>
                <w:color w:val="auto"/>
                <w:kern w:val="0"/>
              </w:rPr>
            </w:pPr>
            <w:r>
              <w:rPr>
                <w:rFonts w:hint="eastAsia" w:hAnsi="宋体"/>
                <w:color w:val="auto"/>
                <w:kern w:val="0"/>
              </w:rPr>
              <w:t>N</w:t>
            </w:r>
            <w:r>
              <w:rPr>
                <w:rFonts w:hAnsi="宋体"/>
                <w:color w:val="auto"/>
                <w:kern w:val="0"/>
              </w:rPr>
              <w:t>D</w:t>
            </w:r>
          </w:p>
        </w:tc>
        <w:tc>
          <w:tcPr>
            <w:tcW w:w="605" w:type="pct"/>
            <w:vAlign w:val="center"/>
          </w:tcPr>
          <w:p w14:paraId="1F2B3F57">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5CB4D4CB">
            <w:pPr>
              <w:pStyle w:val="81"/>
              <w:rPr>
                <w:rFonts w:hAnsi="宋体"/>
                <w:color w:val="auto"/>
                <w:kern w:val="0"/>
              </w:rPr>
            </w:pPr>
            <w:r>
              <w:rPr>
                <w:rFonts w:hint="eastAsia" w:hAnsi="宋体"/>
                <w:color w:val="auto"/>
                <w:kern w:val="0"/>
              </w:rPr>
              <w:t>N</w:t>
            </w:r>
            <w:r>
              <w:rPr>
                <w:rFonts w:hAnsi="宋体"/>
                <w:color w:val="auto"/>
                <w:kern w:val="0"/>
              </w:rPr>
              <w:t>D</w:t>
            </w:r>
          </w:p>
        </w:tc>
        <w:tc>
          <w:tcPr>
            <w:tcW w:w="555" w:type="pct"/>
            <w:vAlign w:val="center"/>
          </w:tcPr>
          <w:p w14:paraId="5667EBE8">
            <w:pPr>
              <w:pStyle w:val="81"/>
              <w:rPr>
                <w:rFonts w:hAnsi="宋体"/>
                <w:color w:val="auto"/>
                <w:kern w:val="0"/>
              </w:rPr>
            </w:pPr>
            <w:r>
              <w:rPr>
                <w:rFonts w:hint="eastAsia" w:hAnsi="宋体"/>
                <w:color w:val="auto"/>
                <w:kern w:val="0"/>
              </w:rPr>
              <w:t>达标</w:t>
            </w:r>
          </w:p>
        </w:tc>
      </w:tr>
      <w:tr w14:paraId="3BA54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45DA33AC">
            <w:pPr>
              <w:pStyle w:val="76"/>
              <w:rPr>
                <w:color w:val="auto"/>
              </w:rPr>
            </w:pPr>
          </w:p>
        </w:tc>
        <w:tc>
          <w:tcPr>
            <w:tcW w:w="742" w:type="pct"/>
            <w:vAlign w:val="center"/>
          </w:tcPr>
          <w:p w14:paraId="467C25CA">
            <w:pPr>
              <w:pStyle w:val="81"/>
              <w:rPr>
                <w:rFonts w:hAnsi="宋体"/>
                <w:color w:val="auto"/>
              </w:rPr>
            </w:pPr>
            <w:r>
              <w:rPr>
                <w:rFonts w:hint="eastAsia" w:hAnsi="宋体" w:cs="宋体"/>
                <w:color w:val="auto"/>
                <w:kern w:val="0"/>
              </w:rPr>
              <w:t>FJF163-X17</w:t>
            </w:r>
          </w:p>
        </w:tc>
        <w:tc>
          <w:tcPr>
            <w:tcW w:w="519" w:type="pct"/>
            <w:vAlign w:val="center"/>
          </w:tcPr>
          <w:p w14:paraId="58B7A881">
            <w:pPr>
              <w:pStyle w:val="81"/>
              <w:rPr>
                <w:rFonts w:hAnsi="宋体"/>
                <w:color w:val="auto"/>
                <w:kern w:val="0"/>
              </w:rPr>
            </w:pPr>
            <w:r>
              <w:rPr>
                <w:rFonts w:hint="eastAsia" w:hAnsi="宋体"/>
                <w:color w:val="auto"/>
                <w:kern w:val="0"/>
              </w:rPr>
              <w:t>7</w:t>
            </w:r>
            <w:r>
              <w:rPr>
                <w:rFonts w:hAnsi="宋体"/>
                <w:color w:val="auto"/>
                <w:kern w:val="0"/>
              </w:rPr>
              <w:t>.4</w:t>
            </w:r>
          </w:p>
        </w:tc>
        <w:tc>
          <w:tcPr>
            <w:tcW w:w="566" w:type="pct"/>
            <w:vAlign w:val="center"/>
          </w:tcPr>
          <w:p w14:paraId="0E18EE13">
            <w:pPr>
              <w:pStyle w:val="81"/>
              <w:rPr>
                <w:rFonts w:hAnsi="宋体"/>
                <w:color w:val="auto"/>
                <w:kern w:val="0"/>
              </w:rPr>
            </w:pPr>
            <w:r>
              <w:rPr>
                <w:rFonts w:hAnsi="宋体"/>
                <w:color w:val="auto"/>
                <w:kern w:val="0"/>
              </w:rPr>
              <w:t>47</w:t>
            </w:r>
          </w:p>
        </w:tc>
        <w:tc>
          <w:tcPr>
            <w:tcW w:w="567" w:type="pct"/>
            <w:vAlign w:val="center"/>
          </w:tcPr>
          <w:p w14:paraId="4A1E770F">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3C25DE50">
            <w:pPr>
              <w:pStyle w:val="81"/>
              <w:rPr>
                <w:rFonts w:hAnsi="宋体"/>
                <w:color w:val="auto"/>
                <w:kern w:val="0"/>
              </w:rPr>
            </w:pPr>
            <w:r>
              <w:rPr>
                <w:rFonts w:hint="eastAsia" w:hAnsi="宋体"/>
                <w:color w:val="auto"/>
                <w:kern w:val="0"/>
              </w:rPr>
              <w:t>N</w:t>
            </w:r>
            <w:r>
              <w:rPr>
                <w:rFonts w:hAnsi="宋体"/>
                <w:color w:val="auto"/>
                <w:kern w:val="0"/>
              </w:rPr>
              <w:t>D</w:t>
            </w:r>
          </w:p>
        </w:tc>
        <w:tc>
          <w:tcPr>
            <w:tcW w:w="605" w:type="pct"/>
            <w:vAlign w:val="center"/>
          </w:tcPr>
          <w:p w14:paraId="49B3C8B5">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29E93D3A">
            <w:pPr>
              <w:pStyle w:val="81"/>
              <w:rPr>
                <w:rFonts w:hAnsi="宋体"/>
                <w:color w:val="auto"/>
                <w:kern w:val="0"/>
              </w:rPr>
            </w:pPr>
            <w:r>
              <w:rPr>
                <w:rFonts w:hAnsi="宋体"/>
                <w:color w:val="auto"/>
                <w:kern w:val="0"/>
              </w:rPr>
              <w:t>0.14</w:t>
            </w:r>
          </w:p>
        </w:tc>
        <w:tc>
          <w:tcPr>
            <w:tcW w:w="555" w:type="pct"/>
            <w:vAlign w:val="center"/>
          </w:tcPr>
          <w:p w14:paraId="7DF71586">
            <w:pPr>
              <w:pStyle w:val="81"/>
              <w:rPr>
                <w:rFonts w:hAnsi="宋体"/>
                <w:color w:val="auto"/>
                <w:kern w:val="0"/>
              </w:rPr>
            </w:pPr>
            <w:r>
              <w:rPr>
                <w:rFonts w:hint="eastAsia" w:hAnsi="宋体"/>
                <w:color w:val="auto"/>
                <w:kern w:val="0"/>
              </w:rPr>
              <w:t>达标</w:t>
            </w:r>
          </w:p>
        </w:tc>
      </w:tr>
      <w:bookmarkEnd w:id="462"/>
      <w:tr w14:paraId="6F747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0F73D31D">
            <w:pPr>
              <w:pStyle w:val="76"/>
              <w:rPr>
                <w:color w:val="auto"/>
              </w:rPr>
            </w:pPr>
          </w:p>
        </w:tc>
        <w:tc>
          <w:tcPr>
            <w:tcW w:w="742" w:type="pct"/>
            <w:vAlign w:val="center"/>
          </w:tcPr>
          <w:p w14:paraId="5EB059F9">
            <w:pPr>
              <w:pStyle w:val="81"/>
              <w:rPr>
                <w:rFonts w:hAnsi="宋体" w:cs="宋体"/>
                <w:color w:val="auto"/>
                <w:kern w:val="0"/>
              </w:rPr>
            </w:pPr>
            <w:r>
              <w:rPr>
                <w:rFonts w:hint="eastAsia" w:hAnsi="宋体" w:cs="宋体"/>
                <w:color w:val="auto"/>
                <w:kern w:val="0"/>
              </w:rPr>
              <w:t>FJF18-X16</w:t>
            </w:r>
          </w:p>
        </w:tc>
        <w:tc>
          <w:tcPr>
            <w:tcW w:w="519" w:type="pct"/>
            <w:vAlign w:val="center"/>
          </w:tcPr>
          <w:p w14:paraId="2A65AC61">
            <w:pPr>
              <w:pStyle w:val="81"/>
              <w:rPr>
                <w:rFonts w:hAnsi="宋体"/>
                <w:color w:val="auto"/>
                <w:kern w:val="0"/>
              </w:rPr>
            </w:pPr>
            <w:r>
              <w:rPr>
                <w:rFonts w:hint="eastAsia" w:hAnsi="宋体"/>
                <w:color w:val="auto"/>
                <w:kern w:val="0"/>
              </w:rPr>
              <w:t>8</w:t>
            </w:r>
            <w:r>
              <w:rPr>
                <w:rFonts w:hAnsi="宋体"/>
                <w:color w:val="auto"/>
                <w:kern w:val="0"/>
              </w:rPr>
              <w:t>.22</w:t>
            </w:r>
          </w:p>
        </w:tc>
        <w:tc>
          <w:tcPr>
            <w:tcW w:w="566" w:type="pct"/>
            <w:vAlign w:val="center"/>
          </w:tcPr>
          <w:p w14:paraId="3B0978D6">
            <w:pPr>
              <w:pStyle w:val="81"/>
              <w:rPr>
                <w:rFonts w:hAnsi="宋体"/>
                <w:color w:val="auto"/>
                <w:kern w:val="0"/>
              </w:rPr>
            </w:pPr>
            <w:r>
              <w:rPr>
                <w:rFonts w:hint="eastAsia" w:hAnsi="宋体"/>
                <w:color w:val="auto"/>
                <w:kern w:val="0"/>
              </w:rPr>
              <w:t>3</w:t>
            </w:r>
            <w:r>
              <w:rPr>
                <w:rFonts w:hAnsi="宋体"/>
                <w:color w:val="auto"/>
                <w:kern w:val="0"/>
              </w:rPr>
              <w:t>6</w:t>
            </w:r>
          </w:p>
        </w:tc>
        <w:tc>
          <w:tcPr>
            <w:tcW w:w="567" w:type="pct"/>
            <w:vAlign w:val="center"/>
          </w:tcPr>
          <w:p w14:paraId="7F190BF6">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279CC8D5">
            <w:pPr>
              <w:pStyle w:val="81"/>
              <w:rPr>
                <w:rFonts w:hAnsi="宋体"/>
                <w:color w:val="auto"/>
                <w:kern w:val="0"/>
              </w:rPr>
            </w:pPr>
            <w:r>
              <w:rPr>
                <w:rFonts w:hint="eastAsia" w:hAnsi="宋体"/>
                <w:color w:val="auto"/>
                <w:kern w:val="0"/>
              </w:rPr>
              <w:t>0</w:t>
            </w:r>
            <w:r>
              <w:rPr>
                <w:rFonts w:hAnsi="宋体"/>
                <w:color w:val="auto"/>
                <w:kern w:val="0"/>
              </w:rPr>
              <w:t>.18</w:t>
            </w:r>
          </w:p>
        </w:tc>
        <w:tc>
          <w:tcPr>
            <w:tcW w:w="605" w:type="pct"/>
            <w:vAlign w:val="center"/>
          </w:tcPr>
          <w:p w14:paraId="56FF35DB">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5AA21E91">
            <w:pPr>
              <w:pStyle w:val="81"/>
              <w:rPr>
                <w:rFonts w:hAnsi="宋体"/>
                <w:color w:val="auto"/>
                <w:kern w:val="0"/>
              </w:rPr>
            </w:pPr>
            <w:r>
              <w:rPr>
                <w:rFonts w:hint="eastAsia" w:hAnsi="宋体"/>
                <w:color w:val="auto"/>
                <w:kern w:val="0"/>
              </w:rPr>
              <w:t>0</w:t>
            </w:r>
            <w:r>
              <w:rPr>
                <w:rFonts w:hAnsi="宋体"/>
                <w:color w:val="auto"/>
                <w:kern w:val="0"/>
              </w:rPr>
              <w:t>.95</w:t>
            </w:r>
          </w:p>
        </w:tc>
        <w:tc>
          <w:tcPr>
            <w:tcW w:w="555" w:type="pct"/>
            <w:vAlign w:val="center"/>
          </w:tcPr>
          <w:p w14:paraId="301E09D2">
            <w:pPr>
              <w:pStyle w:val="81"/>
              <w:rPr>
                <w:rFonts w:hAnsi="宋体"/>
                <w:color w:val="auto"/>
                <w:kern w:val="0"/>
              </w:rPr>
            </w:pPr>
            <w:r>
              <w:rPr>
                <w:rFonts w:hint="eastAsia" w:hAnsi="宋体"/>
                <w:color w:val="auto"/>
                <w:kern w:val="0"/>
              </w:rPr>
              <w:t>达标</w:t>
            </w:r>
          </w:p>
        </w:tc>
      </w:tr>
      <w:tr w14:paraId="5242D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62B4421C">
            <w:pPr>
              <w:pStyle w:val="76"/>
              <w:rPr>
                <w:color w:val="auto"/>
              </w:rPr>
            </w:pPr>
          </w:p>
        </w:tc>
        <w:tc>
          <w:tcPr>
            <w:tcW w:w="742" w:type="pct"/>
            <w:vAlign w:val="center"/>
          </w:tcPr>
          <w:p w14:paraId="5DDF4DC5">
            <w:pPr>
              <w:pStyle w:val="81"/>
              <w:rPr>
                <w:rFonts w:hAnsi="宋体" w:cs="宋体"/>
                <w:color w:val="auto"/>
                <w:kern w:val="0"/>
              </w:rPr>
            </w:pPr>
            <w:r>
              <w:rPr>
                <w:rFonts w:hint="eastAsia" w:hAnsi="宋体" w:cs="宋体"/>
                <w:color w:val="auto"/>
                <w:kern w:val="0"/>
              </w:rPr>
              <w:t>FJF18-X27</w:t>
            </w:r>
          </w:p>
        </w:tc>
        <w:tc>
          <w:tcPr>
            <w:tcW w:w="519" w:type="pct"/>
            <w:vAlign w:val="center"/>
          </w:tcPr>
          <w:p w14:paraId="5AB23037">
            <w:pPr>
              <w:pStyle w:val="81"/>
              <w:rPr>
                <w:rFonts w:hAnsi="宋体"/>
                <w:color w:val="auto"/>
                <w:kern w:val="0"/>
              </w:rPr>
            </w:pPr>
            <w:r>
              <w:rPr>
                <w:rFonts w:hint="eastAsia" w:hAnsi="宋体"/>
                <w:color w:val="auto"/>
                <w:kern w:val="0"/>
              </w:rPr>
              <w:t>8</w:t>
            </w:r>
            <w:r>
              <w:rPr>
                <w:rFonts w:hAnsi="宋体"/>
                <w:color w:val="auto"/>
                <w:kern w:val="0"/>
              </w:rPr>
              <w:t>.12</w:t>
            </w:r>
          </w:p>
        </w:tc>
        <w:tc>
          <w:tcPr>
            <w:tcW w:w="566" w:type="pct"/>
            <w:vAlign w:val="center"/>
          </w:tcPr>
          <w:p w14:paraId="406EA87F">
            <w:pPr>
              <w:pStyle w:val="81"/>
              <w:rPr>
                <w:rFonts w:hAnsi="宋体"/>
                <w:color w:val="auto"/>
                <w:kern w:val="0"/>
              </w:rPr>
            </w:pPr>
            <w:r>
              <w:rPr>
                <w:rFonts w:hint="eastAsia" w:hAnsi="宋体"/>
                <w:color w:val="auto"/>
                <w:kern w:val="0"/>
              </w:rPr>
              <w:t>3</w:t>
            </w:r>
            <w:r>
              <w:rPr>
                <w:rFonts w:hAnsi="宋体"/>
                <w:color w:val="auto"/>
                <w:kern w:val="0"/>
              </w:rPr>
              <w:t>8</w:t>
            </w:r>
          </w:p>
        </w:tc>
        <w:tc>
          <w:tcPr>
            <w:tcW w:w="567" w:type="pct"/>
            <w:vAlign w:val="center"/>
          </w:tcPr>
          <w:p w14:paraId="5F76C5FE">
            <w:pPr>
              <w:pStyle w:val="81"/>
              <w:rPr>
                <w:rFonts w:hAnsi="宋体"/>
                <w:color w:val="auto"/>
                <w:kern w:val="0"/>
              </w:rPr>
            </w:pPr>
            <w:r>
              <w:rPr>
                <w:rFonts w:hint="eastAsia" w:hAnsi="宋体"/>
                <w:color w:val="auto"/>
                <w:kern w:val="0"/>
              </w:rPr>
              <w:t>0</w:t>
            </w:r>
            <w:r>
              <w:rPr>
                <w:rFonts w:hAnsi="宋体"/>
                <w:color w:val="auto"/>
                <w:kern w:val="0"/>
              </w:rPr>
              <w:t>.077</w:t>
            </w:r>
          </w:p>
        </w:tc>
        <w:tc>
          <w:tcPr>
            <w:tcW w:w="567" w:type="pct"/>
            <w:vAlign w:val="center"/>
          </w:tcPr>
          <w:p w14:paraId="2239BE02">
            <w:pPr>
              <w:pStyle w:val="81"/>
              <w:rPr>
                <w:rFonts w:hAnsi="宋体"/>
                <w:color w:val="auto"/>
                <w:kern w:val="0"/>
              </w:rPr>
            </w:pPr>
            <w:r>
              <w:rPr>
                <w:rFonts w:hint="eastAsia" w:hAnsi="宋体"/>
                <w:color w:val="auto"/>
                <w:kern w:val="0"/>
              </w:rPr>
              <w:t>0</w:t>
            </w:r>
            <w:r>
              <w:rPr>
                <w:rFonts w:hAnsi="宋体"/>
                <w:color w:val="auto"/>
                <w:kern w:val="0"/>
              </w:rPr>
              <w:t>.20</w:t>
            </w:r>
          </w:p>
        </w:tc>
        <w:tc>
          <w:tcPr>
            <w:tcW w:w="605" w:type="pct"/>
            <w:vAlign w:val="center"/>
          </w:tcPr>
          <w:p w14:paraId="3758CA56">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3A082C76">
            <w:pPr>
              <w:pStyle w:val="81"/>
              <w:rPr>
                <w:rFonts w:hAnsi="宋体"/>
                <w:color w:val="auto"/>
                <w:kern w:val="0"/>
              </w:rPr>
            </w:pPr>
            <w:r>
              <w:rPr>
                <w:rFonts w:hint="eastAsia" w:hAnsi="宋体"/>
                <w:color w:val="auto"/>
                <w:kern w:val="0"/>
              </w:rPr>
              <w:t>0</w:t>
            </w:r>
            <w:r>
              <w:rPr>
                <w:rFonts w:hAnsi="宋体"/>
                <w:color w:val="auto"/>
                <w:kern w:val="0"/>
              </w:rPr>
              <w:t>.94</w:t>
            </w:r>
          </w:p>
        </w:tc>
        <w:tc>
          <w:tcPr>
            <w:tcW w:w="555" w:type="pct"/>
            <w:vAlign w:val="center"/>
          </w:tcPr>
          <w:p w14:paraId="081A9DC1">
            <w:pPr>
              <w:pStyle w:val="81"/>
              <w:rPr>
                <w:rFonts w:hAnsi="宋体"/>
                <w:color w:val="auto"/>
                <w:kern w:val="0"/>
              </w:rPr>
            </w:pPr>
            <w:r>
              <w:rPr>
                <w:rFonts w:hint="eastAsia" w:hAnsi="宋体"/>
                <w:color w:val="auto"/>
                <w:kern w:val="0"/>
              </w:rPr>
              <w:t>达标</w:t>
            </w:r>
          </w:p>
        </w:tc>
      </w:tr>
      <w:tr w14:paraId="0E1CB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1FC6655E">
            <w:pPr>
              <w:pStyle w:val="76"/>
              <w:rPr>
                <w:color w:val="auto"/>
              </w:rPr>
            </w:pPr>
          </w:p>
        </w:tc>
        <w:tc>
          <w:tcPr>
            <w:tcW w:w="742" w:type="pct"/>
            <w:vAlign w:val="center"/>
          </w:tcPr>
          <w:p w14:paraId="6E32FC23">
            <w:pPr>
              <w:pStyle w:val="81"/>
              <w:rPr>
                <w:rFonts w:hAnsi="宋体" w:cs="宋体"/>
                <w:color w:val="auto"/>
                <w:kern w:val="0"/>
              </w:rPr>
            </w:pPr>
            <w:r>
              <w:rPr>
                <w:rFonts w:hint="eastAsia" w:hAnsi="宋体" w:cs="宋体"/>
                <w:color w:val="auto"/>
                <w:kern w:val="0"/>
              </w:rPr>
              <w:t>FJF18-X25</w:t>
            </w:r>
          </w:p>
        </w:tc>
        <w:tc>
          <w:tcPr>
            <w:tcW w:w="519" w:type="pct"/>
            <w:vAlign w:val="center"/>
          </w:tcPr>
          <w:p w14:paraId="421CF152">
            <w:pPr>
              <w:pStyle w:val="81"/>
              <w:rPr>
                <w:rFonts w:hAnsi="宋体"/>
                <w:color w:val="auto"/>
                <w:kern w:val="0"/>
              </w:rPr>
            </w:pPr>
            <w:r>
              <w:rPr>
                <w:rFonts w:hint="eastAsia" w:hAnsi="宋体"/>
                <w:color w:val="auto"/>
                <w:kern w:val="0"/>
              </w:rPr>
              <w:t>8</w:t>
            </w:r>
            <w:r>
              <w:rPr>
                <w:rFonts w:hAnsi="宋体"/>
                <w:color w:val="auto"/>
                <w:kern w:val="0"/>
              </w:rPr>
              <w:t>.24</w:t>
            </w:r>
          </w:p>
        </w:tc>
        <w:tc>
          <w:tcPr>
            <w:tcW w:w="566" w:type="pct"/>
            <w:vAlign w:val="center"/>
          </w:tcPr>
          <w:p w14:paraId="5D9EA50B">
            <w:pPr>
              <w:pStyle w:val="81"/>
              <w:rPr>
                <w:rFonts w:hAnsi="宋体"/>
                <w:color w:val="auto"/>
                <w:kern w:val="0"/>
              </w:rPr>
            </w:pPr>
            <w:r>
              <w:rPr>
                <w:rFonts w:hint="eastAsia" w:hAnsi="宋体"/>
                <w:color w:val="auto"/>
                <w:kern w:val="0"/>
              </w:rPr>
              <w:t>7</w:t>
            </w:r>
            <w:r>
              <w:rPr>
                <w:rFonts w:hAnsi="宋体"/>
                <w:color w:val="auto"/>
                <w:kern w:val="0"/>
              </w:rPr>
              <w:t>5</w:t>
            </w:r>
          </w:p>
        </w:tc>
        <w:tc>
          <w:tcPr>
            <w:tcW w:w="567" w:type="pct"/>
            <w:vAlign w:val="center"/>
          </w:tcPr>
          <w:p w14:paraId="57805D1D">
            <w:pPr>
              <w:pStyle w:val="81"/>
              <w:rPr>
                <w:rFonts w:hAnsi="宋体"/>
                <w:color w:val="auto"/>
                <w:kern w:val="0"/>
              </w:rPr>
            </w:pPr>
            <w:r>
              <w:rPr>
                <w:rFonts w:hint="eastAsia" w:hAnsi="宋体"/>
                <w:color w:val="auto"/>
                <w:kern w:val="0"/>
              </w:rPr>
              <w:t>0</w:t>
            </w:r>
            <w:r>
              <w:rPr>
                <w:rFonts w:hAnsi="宋体"/>
                <w:color w:val="auto"/>
                <w:kern w:val="0"/>
              </w:rPr>
              <w:t>.071</w:t>
            </w:r>
          </w:p>
        </w:tc>
        <w:tc>
          <w:tcPr>
            <w:tcW w:w="567" w:type="pct"/>
            <w:vAlign w:val="center"/>
          </w:tcPr>
          <w:p w14:paraId="4EDC432A">
            <w:pPr>
              <w:pStyle w:val="81"/>
              <w:rPr>
                <w:rFonts w:hAnsi="宋体"/>
                <w:color w:val="auto"/>
                <w:kern w:val="0"/>
              </w:rPr>
            </w:pPr>
            <w:r>
              <w:rPr>
                <w:rFonts w:hint="eastAsia" w:hAnsi="宋体"/>
                <w:color w:val="auto"/>
                <w:kern w:val="0"/>
              </w:rPr>
              <w:t>0</w:t>
            </w:r>
            <w:r>
              <w:rPr>
                <w:rFonts w:hAnsi="宋体"/>
                <w:color w:val="auto"/>
                <w:kern w:val="0"/>
              </w:rPr>
              <w:t>.20</w:t>
            </w:r>
          </w:p>
        </w:tc>
        <w:tc>
          <w:tcPr>
            <w:tcW w:w="605" w:type="pct"/>
            <w:vAlign w:val="center"/>
          </w:tcPr>
          <w:p w14:paraId="6F60460B">
            <w:pPr>
              <w:pStyle w:val="81"/>
              <w:rPr>
                <w:rFonts w:hAnsi="宋体"/>
                <w:color w:val="auto"/>
                <w:kern w:val="0"/>
              </w:rPr>
            </w:pPr>
            <w:bookmarkStart w:id="465" w:name="OLE_LINK51"/>
            <w:bookmarkStart w:id="466" w:name="OLE_LINK48"/>
            <w:r>
              <w:rPr>
                <w:rFonts w:hint="eastAsia" w:hAnsi="宋体"/>
                <w:color w:val="auto"/>
                <w:kern w:val="0"/>
              </w:rPr>
              <w:t>N</w:t>
            </w:r>
            <w:r>
              <w:rPr>
                <w:rFonts w:hAnsi="宋体"/>
                <w:color w:val="auto"/>
                <w:kern w:val="0"/>
              </w:rPr>
              <w:t>D</w:t>
            </w:r>
            <w:bookmarkEnd w:id="465"/>
            <w:bookmarkEnd w:id="466"/>
          </w:p>
        </w:tc>
        <w:tc>
          <w:tcPr>
            <w:tcW w:w="567" w:type="pct"/>
            <w:vAlign w:val="center"/>
          </w:tcPr>
          <w:p w14:paraId="7865EB71">
            <w:pPr>
              <w:pStyle w:val="81"/>
              <w:rPr>
                <w:rFonts w:hAnsi="宋体"/>
                <w:color w:val="auto"/>
                <w:kern w:val="0"/>
              </w:rPr>
            </w:pPr>
            <w:r>
              <w:rPr>
                <w:rFonts w:hint="eastAsia" w:hAnsi="宋体"/>
                <w:color w:val="auto"/>
                <w:kern w:val="0"/>
              </w:rPr>
              <w:t>0</w:t>
            </w:r>
            <w:r>
              <w:rPr>
                <w:rFonts w:hAnsi="宋体"/>
                <w:color w:val="auto"/>
                <w:kern w:val="0"/>
              </w:rPr>
              <w:t>.95</w:t>
            </w:r>
          </w:p>
        </w:tc>
        <w:tc>
          <w:tcPr>
            <w:tcW w:w="555" w:type="pct"/>
            <w:vAlign w:val="center"/>
          </w:tcPr>
          <w:p w14:paraId="6B4F9E61">
            <w:pPr>
              <w:pStyle w:val="81"/>
              <w:rPr>
                <w:rFonts w:hAnsi="宋体"/>
                <w:color w:val="auto"/>
                <w:kern w:val="0"/>
              </w:rPr>
            </w:pPr>
            <w:r>
              <w:rPr>
                <w:rFonts w:hint="eastAsia" w:hAnsi="宋体"/>
                <w:color w:val="auto"/>
                <w:kern w:val="0"/>
              </w:rPr>
              <w:t>达标</w:t>
            </w:r>
          </w:p>
        </w:tc>
      </w:tr>
      <w:tr w14:paraId="5B522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3B2D6FD6">
            <w:pPr>
              <w:pStyle w:val="76"/>
              <w:rPr>
                <w:color w:val="auto"/>
              </w:rPr>
            </w:pPr>
          </w:p>
        </w:tc>
        <w:tc>
          <w:tcPr>
            <w:tcW w:w="742" w:type="pct"/>
            <w:vAlign w:val="center"/>
          </w:tcPr>
          <w:p w14:paraId="142852AA">
            <w:pPr>
              <w:pStyle w:val="81"/>
              <w:rPr>
                <w:rFonts w:hAnsi="宋体" w:cs="宋体"/>
                <w:color w:val="auto"/>
                <w:kern w:val="0"/>
              </w:rPr>
            </w:pPr>
            <w:r>
              <w:rPr>
                <w:rFonts w:hint="eastAsia" w:hAnsi="宋体" w:cs="宋体"/>
                <w:color w:val="auto"/>
                <w:kern w:val="0"/>
              </w:rPr>
              <w:t>FJF18-X24</w:t>
            </w:r>
          </w:p>
        </w:tc>
        <w:tc>
          <w:tcPr>
            <w:tcW w:w="519" w:type="pct"/>
            <w:vAlign w:val="center"/>
          </w:tcPr>
          <w:p w14:paraId="2AA206D0">
            <w:pPr>
              <w:pStyle w:val="81"/>
              <w:rPr>
                <w:rFonts w:hAnsi="宋体"/>
                <w:color w:val="auto"/>
                <w:kern w:val="0"/>
              </w:rPr>
            </w:pPr>
            <w:r>
              <w:rPr>
                <w:rFonts w:hint="eastAsia" w:hAnsi="宋体"/>
                <w:color w:val="auto"/>
                <w:kern w:val="0"/>
              </w:rPr>
              <w:t>8</w:t>
            </w:r>
            <w:r>
              <w:rPr>
                <w:rFonts w:hAnsi="宋体"/>
                <w:color w:val="auto"/>
                <w:kern w:val="0"/>
              </w:rPr>
              <w:t>.11</w:t>
            </w:r>
          </w:p>
        </w:tc>
        <w:tc>
          <w:tcPr>
            <w:tcW w:w="566" w:type="pct"/>
            <w:vAlign w:val="center"/>
          </w:tcPr>
          <w:p w14:paraId="27E4D215">
            <w:pPr>
              <w:pStyle w:val="81"/>
              <w:rPr>
                <w:rFonts w:hAnsi="宋体"/>
                <w:color w:val="auto"/>
                <w:kern w:val="0"/>
              </w:rPr>
            </w:pPr>
            <w:r>
              <w:rPr>
                <w:rFonts w:hint="eastAsia" w:hAnsi="宋体"/>
                <w:color w:val="auto"/>
                <w:kern w:val="0"/>
              </w:rPr>
              <w:t>5</w:t>
            </w:r>
            <w:r>
              <w:rPr>
                <w:rFonts w:hAnsi="宋体"/>
                <w:color w:val="auto"/>
                <w:kern w:val="0"/>
              </w:rPr>
              <w:t>9</w:t>
            </w:r>
          </w:p>
        </w:tc>
        <w:tc>
          <w:tcPr>
            <w:tcW w:w="567" w:type="pct"/>
            <w:vAlign w:val="center"/>
          </w:tcPr>
          <w:p w14:paraId="7BB14667">
            <w:pPr>
              <w:pStyle w:val="81"/>
              <w:rPr>
                <w:rFonts w:hAnsi="宋体"/>
                <w:color w:val="auto"/>
                <w:kern w:val="0"/>
              </w:rPr>
            </w:pPr>
            <w:r>
              <w:rPr>
                <w:rFonts w:hint="eastAsia" w:hAnsi="宋体"/>
                <w:color w:val="auto"/>
                <w:kern w:val="0"/>
              </w:rPr>
              <w:t>0</w:t>
            </w:r>
            <w:r>
              <w:rPr>
                <w:rFonts w:hAnsi="宋体"/>
                <w:color w:val="auto"/>
                <w:kern w:val="0"/>
              </w:rPr>
              <w:t>.060</w:t>
            </w:r>
          </w:p>
        </w:tc>
        <w:tc>
          <w:tcPr>
            <w:tcW w:w="567" w:type="pct"/>
            <w:vAlign w:val="center"/>
          </w:tcPr>
          <w:p w14:paraId="2ACE9AD3">
            <w:pPr>
              <w:pStyle w:val="81"/>
              <w:rPr>
                <w:rFonts w:hAnsi="宋体"/>
                <w:color w:val="auto"/>
                <w:kern w:val="0"/>
              </w:rPr>
            </w:pPr>
            <w:r>
              <w:rPr>
                <w:rFonts w:hint="eastAsia" w:hAnsi="宋体"/>
                <w:color w:val="auto"/>
                <w:kern w:val="0"/>
              </w:rPr>
              <w:t>0</w:t>
            </w:r>
            <w:r>
              <w:rPr>
                <w:rFonts w:hAnsi="宋体"/>
                <w:color w:val="auto"/>
                <w:kern w:val="0"/>
              </w:rPr>
              <w:t>.16</w:t>
            </w:r>
          </w:p>
        </w:tc>
        <w:tc>
          <w:tcPr>
            <w:tcW w:w="605" w:type="pct"/>
            <w:vAlign w:val="center"/>
          </w:tcPr>
          <w:p w14:paraId="5AA64136">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591129ED">
            <w:pPr>
              <w:pStyle w:val="81"/>
              <w:rPr>
                <w:rFonts w:hAnsi="宋体"/>
                <w:color w:val="auto"/>
                <w:kern w:val="0"/>
              </w:rPr>
            </w:pPr>
            <w:r>
              <w:rPr>
                <w:rFonts w:hint="eastAsia" w:hAnsi="宋体"/>
                <w:color w:val="auto"/>
                <w:kern w:val="0"/>
              </w:rPr>
              <w:t>1</w:t>
            </w:r>
            <w:r>
              <w:rPr>
                <w:rFonts w:hAnsi="宋体"/>
                <w:color w:val="auto"/>
                <w:kern w:val="0"/>
              </w:rPr>
              <w:t>.06</w:t>
            </w:r>
          </w:p>
        </w:tc>
        <w:tc>
          <w:tcPr>
            <w:tcW w:w="555" w:type="pct"/>
            <w:vAlign w:val="center"/>
          </w:tcPr>
          <w:p w14:paraId="499F1350">
            <w:pPr>
              <w:pStyle w:val="81"/>
              <w:rPr>
                <w:rFonts w:hAnsi="宋体"/>
                <w:color w:val="auto"/>
                <w:kern w:val="0"/>
              </w:rPr>
            </w:pPr>
            <w:r>
              <w:rPr>
                <w:rFonts w:hint="eastAsia" w:hAnsi="宋体"/>
                <w:color w:val="auto"/>
                <w:kern w:val="0"/>
              </w:rPr>
              <w:t>达标</w:t>
            </w:r>
          </w:p>
        </w:tc>
      </w:tr>
      <w:tr w14:paraId="6B052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3863F9CF">
            <w:pPr>
              <w:pStyle w:val="76"/>
              <w:rPr>
                <w:color w:val="auto"/>
              </w:rPr>
            </w:pPr>
          </w:p>
        </w:tc>
        <w:tc>
          <w:tcPr>
            <w:tcW w:w="742" w:type="pct"/>
            <w:vAlign w:val="center"/>
          </w:tcPr>
          <w:p w14:paraId="66F14684">
            <w:pPr>
              <w:pStyle w:val="81"/>
              <w:rPr>
                <w:rFonts w:hAnsi="宋体" w:cs="宋体"/>
                <w:color w:val="auto"/>
                <w:kern w:val="0"/>
              </w:rPr>
            </w:pPr>
            <w:r>
              <w:rPr>
                <w:rFonts w:hint="eastAsia" w:hAnsi="宋体" w:cs="宋体"/>
                <w:color w:val="auto"/>
                <w:kern w:val="0"/>
              </w:rPr>
              <w:t>FJF18-X23</w:t>
            </w:r>
          </w:p>
        </w:tc>
        <w:tc>
          <w:tcPr>
            <w:tcW w:w="519" w:type="pct"/>
            <w:vAlign w:val="center"/>
          </w:tcPr>
          <w:p w14:paraId="6F2539DD">
            <w:pPr>
              <w:pStyle w:val="81"/>
              <w:rPr>
                <w:rFonts w:hAnsi="宋体"/>
                <w:color w:val="auto"/>
                <w:kern w:val="0"/>
              </w:rPr>
            </w:pPr>
            <w:r>
              <w:rPr>
                <w:rFonts w:hint="eastAsia" w:hAnsi="宋体"/>
                <w:color w:val="auto"/>
                <w:kern w:val="0"/>
              </w:rPr>
              <w:t>8</w:t>
            </w:r>
            <w:r>
              <w:rPr>
                <w:rFonts w:hAnsi="宋体"/>
                <w:color w:val="auto"/>
                <w:kern w:val="0"/>
              </w:rPr>
              <w:t>.21</w:t>
            </w:r>
          </w:p>
        </w:tc>
        <w:tc>
          <w:tcPr>
            <w:tcW w:w="566" w:type="pct"/>
            <w:vAlign w:val="center"/>
          </w:tcPr>
          <w:p w14:paraId="55871200">
            <w:pPr>
              <w:pStyle w:val="81"/>
              <w:rPr>
                <w:rFonts w:hAnsi="宋体"/>
                <w:color w:val="auto"/>
                <w:kern w:val="0"/>
              </w:rPr>
            </w:pPr>
            <w:r>
              <w:rPr>
                <w:rFonts w:hint="eastAsia" w:hAnsi="宋体"/>
                <w:color w:val="auto"/>
                <w:kern w:val="0"/>
              </w:rPr>
              <w:t>3</w:t>
            </w:r>
            <w:r>
              <w:rPr>
                <w:rFonts w:hAnsi="宋体"/>
                <w:color w:val="auto"/>
                <w:kern w:val="0"/>
              </w:rPr>
              <w:t>7</w:t>
            </w:r>
          </w:p>
        </w:tc>
        <w:tc>
          <w:tcPr>
            <w:tcW w:w="567" w:type="pct"/>
            <w:vAlign w:val="center"/>
          </w:tcPr>
          <w:p w14:paraId="71777AA6">
            <w:pPr>
              <w:pStyle w:val="81"/>
              <w:rPr>
                <w:rFonts w:hAnsi="宋体"/>
                <w:color w:val="auto"/>
                <w:kern w:val="0"/>
              </w:rPr>
            </w:pPr>
            <w:r>
              <w:rPr>
                <w:rFonts w:hint="eastAsia" w:hAnsi="宋体"/>
                <w:color w:val="auto"/>
                <w:kern w:val="0"/>
              </w:rPr>
              <w:t>0</w:t>
            </w:r>
            <w:r>
              <w:rPr>
                <w:rFonts w:hAnsi="宋体"/>
                <w:color w:val="auto"/>
                <w:kern w:val="0"/>
              </w:rPr>
              <w:t>.057</w:t>
            </w:r>
          </w:p>
        </w:tc>
        <w:tc>
          <w:tcPr>
            <w:tcW w:w="567" w:type="pct"/>
            <w:vAlign w:val="center"/>
          </w:tcPr>
          <w:p w14:paraId="5B41D6CE">
            <w:pPr>
              <w:pStyle w:val="81"/>
              <w:rPr>
                <w:rFonts w:hAnsi="宋体"/>
                <w:color w:val="auto"/>
                <w:kern w:val="0"/>
              </w:rPr>
            </w:pPr>
            <w:r>
              <w:rPr>
                <w:rFonts w:hint="eastAsia" w:hAnsi="宋体"/>
                <w:color w:val="auto"/>
                <w:kern w:val="0"/>
              </w:rPr>
              <w:t>0</w:t>
            </w:r>
            <w:r>
              <w:rPr>
                <w:rFonts w:hAnsi="宋体"/>
                <w:color w:val="auto"/>
                <w:kern w:val="0"/>
              </w:rPr>
              <w:t>.21</w:t>
            </w:r>
          </w:p>
        </w:tc>
        <w:tc>
          <w:tcPr>
            <w:tcW w:w="605" w:type="pct"/>
            <w:vAlign w:val="center"/>
          </w:tcPr>
          <w:p w14:paraId="2BBB0526">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75165244">
            <w:pPr>
              <w:pStyle w:val="81"/>
              <w:rPr>
                <w:rFonts w:hAnsi="宋体"/>
                <w:color w:val="auto"/>
                <w:kern w:val="0"/>
              </w:rPr>
            </w:pPr>
            <w:r>
              <w:rPr>
                <w:rFonts w:hint="eastAsia" w:hAnsi="宋体"/>
                <w:color w:val="auto"/>
                <w:kern w:val="0"/>
              </w:rPr>
              <w:t>0</w:t>
            </w:r>
            <w:r>
              <w:rPr>
                <w:rFonts w:hAnsi="宋体"/>
                <w:color w:val="auto"/>
                <w:kern w:val="0"/>
              </w:rPr>
              <w:t>.95</w:t>
            </w:r>
          </w:p>
        </w:tc>
        <w:tc>
          <w:tcPr>
            <w:tcW w:w="555" w:type="pct"/>
            <w:vAlign w:val="center"/>
          </w:tcPr>
          <w:p w14:paraId="54062D4E">
            <w:pPr>
              <w:pStyle w:val="81"/>
              <w:rPr>
                <w:rFonts w:hAnsi="宋体"/>
                <w:color w:val="auto"/>
                <w:kern w:val="0"/>
              </w:rPr>
            </w:pPr>
            <w:r>
              <w:rPr>
                <w:rFonts w:hint="eastAsia" w:hAnsi="宋体"/>
                <w:color w:val="auto"/>
                <w:kern w:val="0"/>
              </w:rPr>
              <w:t>达标</w:t>
            </w:r>
          </w:p>
        </w:tc>
      </w:tr>
      <w:tr w14:paraId="4DB5C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5C1D154E">
            <w:pPr>
              <w:pStyle w:val="76"/>
              <w:rPr>
                <w:color w:val="auto"/>
              </w:rPr>
            </w:pPr>
          </w:p>
        </w:tc>
        <w:tc>
          <w:tcPr>
            <w:tcW w:w="742" w:type="pct"/>
            <w:vAlign w:val="center"/>
          </w:tcPr>
          <w:p w14:paraId="4300EE37">
            <w:pPr>
              <w:pStyle w:val="81"/>
              <w:rPr>
                <w:rFonts w:hAnsi="宋体" w:cs="宋体"/>
                <w:color w:val="auto"/>
                <w:kern w:val="0"/>
              </w:rPr>
            </w:pPr>
            <w:r>
              <w:rPr>
                <w:rFonts w:hint="eastAsia" w:hAnsi="宋体" w:cs="宋体"/>
                <w:color w:val="auto"/>
                <w:kern w:val="0"/>
              </w:rPr>
              <w:t>FJF11-X123</w:t>
            </w:r>
          </w:p>
        </w:tc>
        <w:tc>
          <w:tcPr>
            <w:tcW w:w="519" w:type="pct"/>
            <w:vAlign w:val="center"/>
          </w:tcPr>
          <w:p w14:paraId="55469621">
            <w:pPr>
              <w:pStyle w:val="81"/>
              <w:rPr>
                <w:rFonts w:hAnsi="宋体"/>
                <w:color w:val="auto"/>
                <w:kern w:val="0"/>
              </w:rPr>
            </w:pPr>
            <w:r>
              <w:rPr>
                <w:rFonts w:hint="eastAsia" w:hAnsi="宋体"/>
                <w:color w:val="auto"/>
                <w:kern w:val="0"/>
              </w:rPr>
              <w:t>7</w:t>
            </w:r>
            <w:r>
              <w:rPr>
                <w:rFonts w:hAnsi="宋体"/>
                <w:color w:val="auto"/>
                <w:kern w:val="0"/>
              </w:rPr>
              <w:t>.1</w:t>
            </w:r>
          </w:p>
        </w:tc>
        <w:tc>
          <w:tcPr>
            <w:tcW w:w="566" w:type="pct"/>
            <w:vAlign w:val="center"/>
          </w:tcPr>
          <w:p w14:paraId="6EDFFA9F">
            <w:pPr>
              <w:pStyle w:val="81"/>
              <w:rPr>
                <w:rFonts w:hAnsi="宋体"/>
                <w:color w:val="auto"/>
                <w:kern w:val="0"/>
              </w:rPr>
            </w:pPr>
            <w:r>
              <w:rPr>
                <w:rFonts w:hint="eastAsia" w:hAnsi="宋体"/>
                <w:color w:val="auto"/>
                <w:kern w:val="0"/>
              </w:rPr>
              <w:t>2</w:t>
            </w:r>
            <w:r>
              <w:rPr>
                <w:rFonts w:hAnsi="宋体"/>
                <w:color w:val="auto"/>
                <w:kern w:val="0"/>
              </w:rPr>
              <w:t>7</w:t>
            </w:r>
          </w:p>
        </w:tc>
        <w:tc>
          <w:tcPr>
            <w:tcW w:w="567" w:type="pct"/>
            <w:vAlign w:val="center"/>
          </w:tcPr>
          <w:p w14:paraId="1F46A78F">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52B4620F">
            <w:pPr>
              <w:pStyle w:val="81"/>
              <w:rPr>
                <w:rFonts w:hAnsi="宋体"/>
                <w:color w:val="auto"/>
                <w:kern w:val="0"/>
              </w:rPr>
            </w:pPr>
            <w:r>
              <w:rPr>
                <w:rFonts w:hint="eastAsia" w:hAnsi="宋体"/>
                <w:color w:val="auto"/>
                <w:kern w:val="0"/>
              </w:rPr>
              <w:t>N</w:t>
            </w:r>
            <w:r>
              <w:rPr>
                <w:rFonts w:hAnsi="宋体"/>
                <w:color w:val="auto"/>
                <w:kern w:val="0"/>
              </w:rPr>
              <w:t>D</w:t>
            </w:r>
          </w:p>
        </w:tc>
        <w:tc>
          <w:tcPr>
            <w:tcW w:w="605" w:type="pct"/>
            <w:vAlign w:val="center"/>
          </w:tcPr>
          <w:p w14:paraId="29BEB50A">
            <w:pPr>
              <w:pStyle w:val="81"/>
              <w:rPr>
                <w:rFonts w:hAnsi="宋体"/>
                <w:color w:val="auto"/>
                <w:kern w:val="0"/>
              </w:rPr>
            </w:pPr>
            <w:bookmarkStart w:id="467" w:name="OLE_LINK52"/>
            <w:bookmarkStart w:id="468" w:name="OLE_LINK56"/>
            <w:r>
              <w:rPr>
                <w:rFonts w:hint="eastAsia" w:hAnsi="宋体"/>
                <w:color w:val="auto"/>
                <w:kern w:val="0"/>
              </w:rPr>
              <w:t>N</w:t>
            </w:r>
            <w:r>
              <w:rPr>
                <w:rFonts w:hAnsi="宋体"/>
                <w:color w:val="auto"/>
                <w:kern w:val="0"/>
              </w:rPr>
              <w:t>D</w:t>
            </w:r>
            <w:bookmarkEnd w:id="467"/>
            <w:bookmarkEnd w:id="468"/>
          </w:p>
        </w:tc>
        <w:tc>
          <w:tcPr>
            <w:tcW w:w="567" w:type="pct"/>
            <w:vAlign w:val="center"/>
          </w:tcPr>
          <w:p w14:paraId="33D91943">
            <w:pPr>
              <w:pStyle w:val="81"/>
              <w:rPr>
                <w:rFonts w:hAnsi="宋体"/>
                <w:color w:val="auto"/>
                <w:kern w:val="0"/>
              </w:rPr>
            </w:pPr>
            <w:r>
              <w:rPr>
                <w:rFonts w:hint="eastAsia" w:hAnsi="宋体"/>
                <w:color w:val="auto"/>
                <w:kern w:val="0"/>
              </w:rPr>
              <w:t>0</w:t>
            </w:r>
            <w:r>
              <w:rPr>
                <w:rFonts w:hAnsi="宋体"/>
                <w:color w:val="auto"/>
                <w:kern w:val="0"/>
              </w:rPr>
              <w:t>.10</w:t>
            </w:r>
          </w:p>
        </w:tc>
        <w:tc>
          <w:tcPr>
            <w:tcW w:w="555" w:type="pct"/>
            <w:vAlign w:val="center"/>
          </w:tcPr>
          <w:p w14:paraId="1624BC8E">
            <w:pPr>
              <w:pStyle w:val="81"/>
              <w:rPr>
                <w:rFonts w:hAnsi="宋体"/>
                <w:color w:val="auto"/>
                <w:kern w:val="0"/>
              </w:rPr>
            </w:pPr>
            <w:r>
              <w:rPr>
                <w:rFonts w:hint="eastAsia" w:hAnsi="宋体"/>
                <w:color w:val="auto"/>
                <w:kern w:val="0"/>
              </w:rPr>
              <w:t>达标</w:t>
            </w:r>
          </w:p>
        </w:tc>
      </w:tr>
      <w:tr w14:paraId="4EB55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26209CAD">
            <w:pPr>
              <w:pStyle w:val="76"/>
              <w:rPr>
                <w:color w:val="auto"/>
              </w:rPr>
            </w:pPr>
          </w:p>
        </w:tc>
        <w:tc>
          <w:tcPr>
            <w:tcW w:w="742" w:type="pct"/>
            <w:vAlign w:val="center"/>
          </w:tcPr>
          <w:p w14:paraId="6C427658">
            <w:pPr>
              <w:pStyle w:val="81"/>
              <w:rPr>
                <w:rFonts w:hAnsi="宋体" w:cs="宋体"/>
                <w:color w:val="auto"/>
                <w:kern w:val="0"/>
              </w:rPr>
            </w:pPr>
            <w:r>
              <w:rPr>
                <w:rFonts w:hint="eastAsia" w:hAnsi="宋体" w:cs="宋体"/>
                <w:color w:val="auto"/>
                <w:kern w:val="0"/>
              </w:rPr>
              <w:t>FJF11-X122</w:t>
            </w:r>
          </w:p>
        </w:tc>
        <w:tc>
          <w:tcPr>
            <w:tcW w:w="519" w:type="pct"/>
            <w:vAlign w:val="center"/>
          </w:tcPr>
          <w:p w14:paraId="6AD40ABC">
            <w:pPr>
              <w:pStyle w:val="81"/>
              <w:rPr>
                <w:rFonts w:hAnsi="宋体"/>
                <w:color w:val="auto"/>
                <w:kern w:val="0"/>
              </w:rPr>
            </w:pPr>
            <w:r>
              <w:rPr>
                <w:rFonts w:hint="eastAsia" w:hAnsi="宋体"/>
                <w:color w:val="auto"/>
                <w:kern w:val="0"/>
              </w:rPr>
              <w:t>7</w:t>
            </w:r>
            <w:r>
              <w:rPr>
                <w:rFonts w:hAnsi="宋体"/>
                <w:color w:val="auto"/>
                <w:kern w:val="0"/>
              </w:rPr>
              <w:t>.9</w:t>
            </w:r>
          </w:p>
        </w:tc>
        <w:tc>
          <w:tcPr>
            <w:tcW w:w="566" w:type="pct"/>
            <w:vAlign w:val="center"/>
          </w:tcPr>
          <w:p w14:paraId="77FCC394">
            <w:pPr>
              <w:pStyle w:val="81"/>
              <w:rPr>
                <w:rFonts w:hAnsi="宋体"/>
                <w:color w:val="auto"/>
                <w:kern w:val="0"/>
              </w:rPr>
            </w:pPr>
            <w:r>
              <w:rPr>
                <w:rFonts w:hint="eastAsia" w:hAnsi="宋体"/>
                <w:color w:val="auto"/>
                <w:kern w:val="0"/>
              </w:rPr>
              <w:t>5</w:t>
            </w:r>
            <w:r>
              <w:rPr>
                <w:rFonts w:hAnsi="宋体"/>
                <w:color w:val="auto"/>
                <w:kern w:val="0"/>
              </w:rPr>
              <w:t>6</w:t>
            </w:r>
          </w:p>
        </w:tc>
        <w:tc>
          <w:tcPr>
            <w:tcW w:w="567" w:type="pct"/>
            <w:vAlign w:val="center"/>
          </w:tcPr>
          <w:p w14:paraId="359DB8CC">
            <w:pPr>
              <w:pStyle w:val="81"/>
              <w:rPr>
                <w:rFonts w:hAnsi="宋体"/>
                <w:color w:val="auto"/>
                <w:kern w:val="0"/>
              </w:rPr>
            </w:pPr>
            <w:r>
              <w:rPr>
                <w:rFonts w:hint="eastAsia" w:hAnsi="宋体"/>
                <w:color w:val="auto"/>
                <w:kern w:val="0"/>
              </w:rPr>
              <w:t>0</w:t>
            </w:r>
            <w:r>
              <w:rPr>
                <w:rFonts w:hAnsi="宋体"/>
                <w:color w:val="auto"/>
                <w:kern w:val="0"/>
              </w:rPr>
              <w:t>.048</w:t>
            </w:r>
          </w:p>
        </w:tc>
        <w:tc>
          <w:tcPr>
            <w:tcW w:w="567" w:type="pct"/>
            <w:vAlign w:val="center"/>
          </w:tcPr>
          <w:p w14:paraId="67A1B0ED">
            <w:pPr>
              <w:pStyle w:val="81"/>
              <w:rPr>
                <w:rFonts w:hAnsi="宋体"/>
                <w:color w:val="auto"/>
                <w:kern w:val="0"/>
              </w:rPr>
            </w:pPr>
            <w:r>
              <w:rPr>
                <w:rFonts w:hint="eastAsia" w:hAnsi="宋体"/>
                <w:color w:val="auto"/>
                <w:kern w:val="0"/>
              </w:rPr>
              <w:t>0</w:t>
            </w:r>
            <w:r>
              <w:rPr>
                <w:rFonts w:hAnsi="宋体"/>
                <w:color w:val="auto"/>
                <w:kern w:val="0"/>
              </w:rPr>
              <w:t>.25</w:t>
            </w:r>
          </w:p>
        </w:tc>
        <w:tc>
          <w:tcPr>
            <w:tcW w:w="605" w:type="pct"/>
            <w:vAlign w:val="center"/>
          </w:tcPr>
          <w:p w14:paraId="0698CDB5">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1B6207B1">
            <w:pPr>
              <w:pStyle w:val="81"/>
              <w:rPr>
                <w:rFonts w:hAnsi="宋体"/>
                <w:color w:val="auto"/>
                <w:kern w:val="0"/>
              </w:rPr>
            </w:pPr>
            <w:r>
              <w:rPr>
                <w:rFonts w:hint="eastAsia" w:hAnsi="宋体"/>
                <w:color w:val="auto"/>
                <w:kern w:val="0"/>
              </w:rPr>
              <w:t>N</w:t>
            </w:r>
            <w:r>
              <w:rPr>
                <w:rFonts w:hAnsi="宋体"/>
                <w:color w:val="auto"/>
                <w:kern w:val="0"/>
              </w:rPr>
              <w:t>D</w:t>
            </w:r>
          </w:p>
        </w:tc>
        <w:tc>
          <w:tcPr>
            <w:tcW w:w="555" w:type="pct"/>
            <w:vAlign w:val="center"/>
          </w:tcPr>
          <w:p w14:paraId="0EEB15D5">
            <w:pPr>
              <w:pStyle w:val="81"/>
              <w:rPr>
                <w:rFonts w:hAnsi="宋体"/>
                <w:color w:val="auto"/>
                <w:kern w:val="0"/>
              </w:rPr>
            </w:pPr>
            <w:r>
              <w:rPr>
                <w:rFonts w:hint="eastAsia" w:hAnsi="宋体"/>
                <w:color w:val="auto"/>
                <w:kern w:val="0"/>
              </w:rPr>
              <w:t>达标</w:t>
            </w:r>
          </w:p>
        </w:tc>
      </w:tr>
      <w:tr w14:paraId="75FE6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71F47799">
            <w:pPr>
              <w:pStyle w:val="76"/>
              <w:rPr>
                <w:color w:val="auto"/>
              </w:rPr>
            </w:pPr>
          </w:p>
        </w:tc>
        <w:tc>
          <w:tcPr>
            <w:tcW w:w="742" w:type="pct"/>
            <w:vAlign w:val="center"/>
          </w:tcPr>
          <w:p w14:paraId="5737C92F">
            <w:pPr>
              <w:pStyle w:val="81"/>
              <w:rPr>
                <w:rFonts w:hAnsi="宋体" w:cs="宋体"/>
                <w:color w:val="auto"/>
                <w:kern w:val="0"/>
              </w:rPr>
            </w:pPr>
            <w:r>
              <w:rPr>
                <w:rFonts w:hint="eastAsia" w:hAnsi="宋体" w:cs="宋体"/>
                <w:color w:val="auto"/>
                <w:kern w:val="0"/>
              </w:rPr>
              <w:t>FJF11-X120</w:t>
            </w:r>
          </w:p>
        </w:tc>
        <w:tc>
          <w:tcPr>
            <w:tcW w:w="519" w:type="pct"/>
            <w:vAlign w:val="center"/>
          </w:tcPr>
          <w:p w14:paraId="4C7446D7">
            <w:pPr>
              <w:pStyle w:val="81"/>
              <w:rPr>
                <w:rFonts w:hAnsi="宋体"/>
                <w:color w:val="auto"/>
                <w:kern w:val="0"/>
              </w:rPr>
            </w:pPr>
            <w:r>
              <w:rPr>
                <w:rFonts w:hint="eastAsia" w:hAnsi="宋体"/>
                <w:color w:val="auto"/>
                <w:kern w:val="0"/>
              </w:rPr>
              <w:t>7</w:t>
            </w:r>
            <w:r>
              <w:rPr>
                <w:rFonts w:hAnsi="宋体"/>
                <w:color w:val="auto"/>
                <w:kern w:val="0"/>
              </w:rPr>
              <w:t>.7</w:t>
            </w:r>
          </w:p>
        </w:tc>
        <w:tc>
          <w:tcPr>
            <w:tcW w:w="566" w:type="pct"/>
            <w:vAlign w:val="center"/>
          </w:tcPr>
          <w:p w14:paraId="2D4B8EF7">
            <w:pPr>
              <w:pStyle w:val="81"/>
              <w:rPr>
                <w:rFonts w:hAnsi="宋体"/>
                <w:color w:val="auto"/>
                <w:kern w:val="0"/>
              </w:rPr>
            </w:pPr>
            <w:r>
              <w:rPr>
                <w:rFonts w:hint="eastAsia" w:hAnsi="宋体"/>
                <w:color w:val="auto"/>
                <w:kern w:val="0"/>
              </w:rPr>
              <w:t>5</w:t>
            </w:r>
            <w:r>
              <w:rPr>
                <w:rFonts w:hAnsi="宋体"/>
                <w:color w:val="auto"/>
                <w:kern w:val="0"/>
              </w:rPr>
              <w:t>4</w:t>
            </w:r>
          </w:p>
        </w:tc>
        <w:tc>
          <w:tcPr>
            <w:tcW w:w="567" w:type="pct"/>
            <w:vAlign w:val="center"/>
          </w:tcPr>
          <w:p w14:paraId="126BDB2E">
            <w:pPr>
              <w:pStyle w:val="81"/>
              <w:rPr>
                <w:rFonts w:hAnsi="宋体"/>
                <w:color w:val="auto"/>
                <w:kern w:val="0"/>
              </w:rPr>
            </w:pPr>
            <w:r>
              <w:rPr>
                <w:rFonts w:hint="eastAsia" w:hAnsi="宋体"/>
                <w:color w:val="auto"/>
                <w:kern w:val="0"/>
              </w:rPr>
              <w:t>0</w:t>
            </w:r>
            <w:r>
              <w:rPr>
                <w:rFonts w:hAnsi="宋体"/>
                <w:color w:val="auto"/>
                <w:kern w:val="0"/>
              </w:rPr>
              <w:t>.048</w:t>
            </w:r>
          </w:p>
        </w:tc>
        <w:tc>
          <w:tcPr>
            <w:tcW w:w="567" w:type="pct"/>
            <w:vAlign w:val="center"/>
          </w:tcPr>
          <w:p w14:paraId="7CAF140D">
            <w:pPr>
              <w:pStyle w:val="81"/>
              <w:rPr>
                <w:rFonts w:hAnsi="宋体"/>
                <w:color w:val="auto"/>
                <w:kern w:val="0"/>
              </w:rPr>
            </w:pPr>
            <w:r>
              <w:rPr>
                <w:rFonts w:hint="eastAsia" w:hAnsi="宋体"/>
                <w:color w:val="auto"/>
                <w:kern w:val="0"/>
              </w:rPr>
              <w:t>0</w:t>
            </w:r>
            <w:r>
              <w:rPr>
                <w:rFonts w:hAnsi="宋体"/>
                <w:color w:val="auto"/>
                <w:kern w:val="0"/>
              </w:rPr>
              <w:t>.28</w:t>
            </w:r>
          </w:p>
        </w:tc>
        <w:tc>
          <w:tcPr>
            <w:tcW w:w="605" w:type="pct"/>
            <w:vAlign w:val="center"/>
          </w:tcPr>
          <w:p w14:paraId="2818FAB2">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188816C5">
            <w:pPr>
              <w:pStyle w:val="81"/>
              <w:rPr>
                <w:rFonts w:hAnsi="宋体"/>
                <w:color w:val="auto"/>
                <w:kern w:val="0"/>
              </w:rPr>
            </w:pPr>
            <w:r>
              <w:rPr>
                <w:rFonts w:hint="eastAsia" w:hAnsi="宋体"/>
                <w:color w:val="auto"/>
                <w:kern w:val="0"/>
              </w:rPr>
              <w:t>N</w:t>
            </w:r>
            <w:r>
              <w:rPr>
                <w:rFonts w:hAnsi="宋体"/>
                <w:color w:val="auto"/>
                <w:kern w:val="0"/>
              </w:rPr>
              <w:t>D</w:t>
            </w:r>
          </w:p>
        </w:tc>
        <w:tc>
          <w:tcPr>
            <w:tcW w:w="555" w:type="pct"/>
            <w:vAlign w:val="center"/>
          </w:tcPr>
          <w:p w14:paraId="0F3E2794">
            <w:pPr>
              <w:pStyle w:val="81"/>
              <w:rPr>
                <w:rFonts w:hAnsi="宋体"/>
                <w:color w:val="auto"/>
                <w:kern w:val="0"/>
              </w:rPr>
            </w:pPr>
            <w:r>
              <w:rPr>
                <w:rFonts w:hint="eastAsia" w:hAnsi="宋体"/>
                <w:color w:val="auto"/>
                <w:kern w:val="0"/>
              </w:rPr>
              <w:t>达标</w:t>
            </w:r>
          </w:p>
        </w:tc>
      </w:tr>
      <w:tr w14:paraId="7052B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4A3ECCDD">
            <w:pPr>
              <w:pStyle w:val="76"/>
              <w:rPr>
                <w:color w:val="auto"/>
              </w:rPr>
            </w:pPr>
            <w:bookmarkStart w:id="469" w:name="_Hlk225607067"/>
          </w:p>
        </w:tc>
        <w:tc>
          <w:tcPr>
            <w:tcW w:w="742" w:type="pct"/>
            <w:vAlign w:val="center"/>
          </w:tcPr>
          <w:p w14:paraId="6A8CCECF">
            <w:pPr>
              <w:pStyle w:val="81"/>
              <w:rPr>
                <w:rFonts w:hAnsi="宋体" w:cs="宋体"/>
                <w:color w:val="auto"/>
                <w:kern w:val="0"/>
              </w:rPr>
            </w:pPr>
            <w:r>
              <w:rPr>
                <w:rFonts w:hint="eastAsia" w:hAnsi="宋体" w:cs="宋体"/>
                <w:color w:val="auto"/>
                <w:kern w:val="0"/>
              </w:rPr>
              <w:t>FJF11-X117</w:t>
            </w:r>
          </w:p>
        </w:tc>
        <w:tc>
          <w:tcPr>
            <w:tcW w:w="519" w:type="pct"/>
            <w:vAlign w:val="center"/>
          </w:tcPr>
          <w:p w14:paraId="4FE04F10">
            <w:pPr>
              <w:pStyle w:val="81"/>
              <w:rPr>
                <w:rFonts w:hAnsi="宋体"/>
                <w:color w:val="auto"/>
                <w:kern w:val="0"/>
              </w:rPr>
            </w:pPr>
            <w:r>
              <w:rPr>
                <w:rFonts w:hint="eastAsia" w:hAnsi="宋体"/>
                <w:color w:val="auto"/>
                <w:kern w:val="0"/>
              </w:rPr>
              <w:t>7</w:t>
            </w:r>
            <w:r>
              <w:rPr>
                <w:rFonts w:hAnsi="宋体"/>
                <w:color w:val="auto"/>
                <w:kern w:val="0"/>
              </w:rPr>
              <w:t>.7</w:t>
            </w:r>
          </w:p>
        </w:tc>
        <w:tc>
          <w:tcPr>
            <w:tcW w:w="566" w:type="pct"/>
            <w:vAlign w:val="center"/>
          </w:tcPr>
          <w:p w14:paraId="77700038">
            <w:pPr>
              <w:pStyle w:val="81"/>
              <w:rPr>
                <w:rFonts w:hAnsi="宋体"/>
                <w:color w:val="auto"/>
                <w:kern w:val="0"/>
              </w:rPr>
            </w:pPr>
            <w:r>
              <w:rPr>
                <w:rFonts w:hint="eastAsia" w:hAnsi="宋体"/>
                <w:color w:val="auto"/>
                <w:kern w:val="0"/>
              </w:rPr>
              <w:t>2</w:t>
            </w:r>
            <w:r>
              <w:rPr>
                <w:rFonts w:hAnsi="宋体"/>
                <w:color w:val="auto"/>
                <w:kern w:val="0"/>
              </w:rPr>
              <w:t>8</w:t>
            </w:r>
          </w:p>
        </w:tc>
        <w:tc>
          <w:tcPr>
            <w:tcW w:w="567" w:type="pct"/>
            <w:vAlign w:val="center"/>
          </w:tcPr>
          <w:p w14:paraId="706A90F5">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0CEAC66D">
            <w:pPr>
              <w:pStyle w:val="81"/>
              <w:rPr>
                <w:rFonts w:hAnsi="宋体"/>
                <w:color w:val="auto"/>
                <w:kern w:val="0"/>
              </w:rPr>
            </w:pPr>
            <w:r>
              <w:rPr>
                <w:rFonts w:hint="eastAsia" w:hAnsi="宋体"/>
                <w:color w:val="auto"/>
                <w:kern w:val="0"/>
              </w:rPr>
              <w:t>N</w:t>
            </w:r>
            <w:r>
              <w:rPr>
                <w:rFonts w:hAnsi="宋体"/>
                <w:color w:val="auto"/>
                <w:kern w:val="0"/>
              </w:rPr>
              <w:t>D</w:t>
            </w:r>
          </w:p>
        </w:tc>
        <w:tc>
          <w:tcPr>
            <w:tcW w:w="605" w:type="pct"/>
            <w:vAlign w:val="center"/>
          </w:tcPr>
          <w:p w14:paraId="486F6A5F">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505FC876">
            <w:pPr>
              <w:pStyle w:val="81"/>
              <w:rPr>
                <w:rFonts w:hAnsi="宋体"/>
                <w:color w:val="auto"/>
                <w:kern w:val="0"/>
              </w:rPr>
            </w:pPr>
            <w:r>
              <w:rPr>
                <w:rFonts w:hint="eastAsia" w:hAnsi="宋体"/>
                <w:color w:val="auto"/>
                <w:kern w:val="0"/>
              </w:rPr>
              <w:t>N</w:t>
            </w:r>
            <w:r>
              <w:rPr>
                <w:rFonts w:hAnsi="宋体"/>
                <w:color w:val="auto"/>
                <w:kern w:val="0"/>
              </w:rPr>
              <w:t>D</w:t>
            </w:r>
          </w:p>
        </w:tc>
        <w:tc>
          <w:tcPr>
            <w:tcW w:w="555" w:type="pct"/>
            <w:vAlign w:val="center"/>
          </w:tcPr>
          <w:p w14:paraId="403ED412">
            <w:pPr>
              <w:pStyle w:val="81"/>
              <w:rPr>
                <w:rFonts w:hAnsi="宋体"/>
                <w:color w:val="auto"/>
                <w:kern w:val="0"/>
              </w:rPr>
            </w:pPr>
            <w:r>
              <w:rPr>
                <w:rFonts w:hint="eastAsia" w:hAnsi="宋体"/>
                <w:color w:val="auto"/>
                <w:kern w:val="0"/>
              </w:rPr>
              <w:t>达标</w:t>
            </w:r>
          </w:p>
        </w:tc>
      </w:tr>
      <w:bookmarkEnd w:id="469"/>
      <w:tr w14:paraId="421F1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39876616">
            <w:pPr>
              <w:pStyle w:val="76"/>
              <w:rPr>
                <w:color w:val="auto"/>
              </w:rPr>
            </w:pPr>
            <w:bookmarkStart w:id="470" w:name="_Hlk225607142"/>
          </w:p>
        </w:tc>
        <w:tc>
          <w:tcPr>
            <w:tcW w:w="742" w:type="pct"/>
            <w:vAlign w:val="center"/>
          </w:tcPr>
          <w:p w14:paraId="17BF8A12">
            <w:pPr>
              <w:pStyle w:val="81"/>
              <w:rPr>
                <w:rFonts w:hAnsi="宋体" w:cs="宋体"/>
                <w:color w:val="auto"/>
                <w:kern w:val="0"/>
              </w:rPr>
            </w:pPr>
            <w:r>
              <w:rPr>
                <w:rFonts w:hint="eastAsia" w:hAnsi="宋体" w:cs="宋体"/>
                <w:color w:val="auto"/>
                <w:kern w:val="0"/>
              </w:rPr>
              <w:t>FJF11-X118</w:t>
            </w:r>
          </w:p>
        </w:tc>
        <w:tc>
          <w:tcPr>
            <w:tcW w:w="519" w:type="pct"/>
            <w:vAlign w:val="center"/>
          </w:tcPr>
          <w:p w14:paraId="2C432B8A">
            <w:pPr>
              <w:pStyle w:val="81"/>
              <w:rPr>
                <w:rFonts w:hAnsi="宋体"/>
                <w:color w:val="auto"/>
                <w:kern w:val="0"/>
              </w:rPr>
            </w:pPr>
            <w:r>
              <w:rPr>
                <w:rFonts w:hint="eastAsia" w:hAnsi="宋体"/>
                <w:color w:val="auto"/>
                <w:kern w:val="0"/>
              </w:rPr>
              <w:t>7</w:t>
            </w:r>
            <w:r>
              <w:rPr>
                <w:rFonts w:hAnsi="宋体"/>
                <w:color w:val="auto"/>
                <w:kern w:val="0"/>
              </w:rPr>
              <w:t>.8</w:t>
            </w:r>
          </w:p>
        </w:tc>
        <w:tc>
          <w:tcPr>
            <w:tcW w:w="566" w:type="pct"/>
            <w:vAlign w:val="center"/>
          </w:tcPr>
          <w:p w14:paraId="28B3BF02">
            <w:pPr>
              <w:pStyle w:val="81"/>
              <w:rPr>
                <w:rFonts w:hAnsi="宋体"/>
                <w:color w:val="auto"/>
                <w:kern w:val="0"/>
              </w:rPr>
            </w:pPr>
            <w:r>
              <w:rPr>
                <w:rFonts w:hint="eastAsia" w:hAnsi="宋体"/>
                <w:color w:val="auto"/>
                <w:kern w:val="0"/>
              </w:rPr>
              <w:t>5</w:t>
            </w:r>
            <w:r>
              <w:rPr>
                <w:rFonts w:hAnsi="宋体"/>
                <w:color w:val="auto"/>
                <w:kern w:val="0"/>
              </w:rPr>
              <w:t>4</w:t>
            </w:r>
          </w:p>
        </w:tc>
        <w:tc>
          <w:tcPr>
            <w:tcW w:w="567" w:type="pct"/>
            <w:vAlign w:val="center"/>
          </w:tcPr>
          <w:p w14:paraId="2870CE79">
            <w:pPr>
              <w:pStyle w:val="81"/>
              <w:rPr>
                <w:rFonts w:hAnsi="宋体"/>
                <w:color w:val="auto"/>
                <w:kern w:val="0"/>
              </w:rPr>
            </w:pPr>
            <w:r>
              <w:rPr>
                <w:rFonts w:hint="eastAsia" w:hAnsi="宋体"/>
                <w:color w:val="auto"/>
                <w:kern w:val="0"/>
              </w:rPr>
              <w:t>0</w:t>
            </w:r>
            <w:r>
              <w:rPr>
                <w:rFonts w:hAnsi="宋体"/>
                <w:color w:val="auto"/>
                <w:kern w:val="0"/>
              </w:rPr>
              <w:t>.046</w:t>
            </w:r>
          </w:p>
        </w:tc>
        <w:tc>
          <w:tcPr>
            <w:tcW w:w="567" w:type="pct"/>
            <w:vAlign w:val="center"/>
          </w:tcPr>
          <w:p w14:paraId="0F22BF3C">
            <w:pPr>
              <w:pStyle w:val="81"/>
              <w:rPr>
                <w:rFonts w:hAnsi="宋体"/>
                <w:color w:val="auto"/>
                <w:kern w:val="0"/>
              </w:rPr>
            </w:pPr>
            <w:r>
              <w:rPr>
                <w:rFonts w:hint="eastAsia" w:hAnsi="宋体"/>
                <w:color w:val="auto"/>
                <w:kern w:val="0"/>
              </w:rPr>
              <w:t>0</w:t>
            </w:r>
            <w:r>
              <w:rPr>
                <w:rFonts w:hAnsi="宋体"/>
                <w:color w:val="auto"/>
                <w:kern w:val="0"/>
              </w:rPr>
              <w:t>.33</w:t>
            </w:r>
          </w:p>
        </w:tc>
        <w:tc>
          <w:tcPr>
            <w:tcW w:w="605" w:type="pct"/>
            <w:vAlign w:val="center"/>
          </w:tcPr>
          <w:p w14:paraId="5BDEEA67">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4C57B4AA">
            <w:pPr>
              <w:pStyle w:val="81"/>
              <w:rPr>
                <w:rFonts w:hAnsi="宋体"/>
                <w:color w:val="auto"/>
                <w:kern w:val="0"/>
              </w:rPr>
            </w:pPr>
            <w:r>
              <w:rPr>
                <w:rFonts w:hint="eastAsia" w:hAnsi="宋体"/>
                <w:color w:val="auto"/>
                <w:kern w:val="0"/>
              </w:rPr>
              <w:t>N</w:t>
            </w:r>
            <w:r>
              <w:rPr>
                <w:rFonts w:hAnsi="宋体"/>
                <w:color w:val="auto"/>
                <w:kern w:val="0"/>
              </w:rPr>
              <w:t>D</w:t>
            </w:r>
          </w:p>
        </w:tc>
        <w:tc>
          <w:tcPr>
            <w:tcW w:w="555" w:type="pct"/>
            <w:vAlign w:val="center"/>
          </w:tcPr>
          <w:p w14:paraId="1DF33A42">
            <w:pPr>
              <w:pStyle w:val="81"/>
              <w:rPr>
                <w:rFonts w:hAnsi="宋体"/>
                <w:color w:val="auto"/>
                <w:kern w:val="0"/>
              </w:rPr>
            </w:pPr>
            <w:r>
              <w:rPr>
                <w:rFonts w:hint="eastAsia" w:hAnsi="宋体"/>
                <w:color w:val="auto"/>
                <w:kern w:val="0"/>
              </w:rPr>
              <w:t>达标</w:t>
            </w:r>
          </w:p>
        </w:tc>
      </w:tr>
      <w:bookmarkEnd w:id="470"/>
      <w:tr w14:paraId="53642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159B532D">
            <w:pPr>
              <w:pStyle w:val="76"/>
              <w:rPr>
                <w:color w:val="auto"/>
              </w:rPr>
            </w:pPr>
          </w:p>
        </w:tc>
        <w:tc>
          <w:tcPr>
            <w:tcW w:w="742" w:type="pct"/>
            <w:vAlign w:val="center"/>
          </w:tcPr>
          <w:p w14:paraId="0DFEADCE">
            <w:pPr>
              <w:pStyle w:val="81"/>
              <w:rPr>
                <w:rFonts w:hAnsi="宋体" w:cs="宋体"/>
                <w:color w:val="auto"/>
                <w:kern w:val="0"/>
              </w:rPr>
            </w:pPr>
            <w:r>
              <w:rPr>
                <w:rFonts w:hint="eastAsia" w:hAnsi="宋体" w:cs="宋体"/>
                <w:color w:val="auto"/>
                <w:kern w:val="0"/>
              </w:rPr>
              <w:t>FJF11-X115</w:t>
            </w:r>
          </w:p>
        </w:tc>
        <w:tc>
          <w:tcPr>
            <w:tcW w:w="519" w:type="pct"/>
            <w:vAlign w:val="center"/>
          </w:tcPr>
          <w:p w14:paraId="13514964">
            <w:pPr>
              <w:pStyle w:val="81"/>
              <w:rPr>
                <w:rFonts w:hAnsi="宋体"/>
                <w:color w:val="auto"/>
                <w:kern w:val="0"/>
              </w:rPr>
            </w:pPr>
            <w:r>
              <w:rPr>
                <w:rFonts w:hint="eastAsia" w:hAnsi="宋体"/>
                <w:color w:val="auto"/>
                <w:kern w:val="0"/>
              </w:rPr>
              <w:t>7</w:t>
            </w:r>
            <w:r>
              <w:rPr>
                <w:rFonts w:hAnsi="宋体"/>
                <w:color w:val="auto"/>
                <w:kern w:val="0"/>
              </w:rPr>
              <w:t>.5</w:t>
            </w:r>
          </w:p>
        </w:tc>
        <w:tc>
          <w:tcPr>
            <w:tcW w:w="566" w:type="pct"/>
            <w:vAlign w:val="center"/>
          </w:tcPr>
          <w:p w14:paraId="2F6594A2">
            <w:pPr>
              <w:pStyle w:val="81"/>
              <w:rPr>
                <w:rFonts w:hAnsi="宋体"/>
                <w:color w:val="auto"/>
                <w:kern w:val="0"/>
              </w:rPr>
            </w:pPr>
            <w:r>
              <w:rPr>
                <w:rFonts w:hint="eastAsia" w:hAnsi="宋体"/>
                <w:color w:val="auto"/>
                <w:kern w:val="0"/>
              </w:rPr>
              <w:t>5</w:t>
            </w:r>
            <w:r>
              <w:rPr>
                <w:rFonts w:hAnsi="宋体"/>
                <w:color w:val="auto"/>
                <w:kern w:val="0"/>
              </w:rPr>
              <w:t>4</w:t>
            </w:r>
          </w:p>
        </w:tc>
        <w:tc>
          <w:tcPr>
            <w:tcW w:w="567" w:type="pct"/>
            <w:vAlign w:val="center"/>
          </w:tcPr>
          <w:p w14:paraId="4382A84E">
            <w:pPr>
              <w:pStyle w:val="81"/>
              <w:rPr>
                <w:rFonts w:hAnsi="宋体"/>
                <w:color w:val="auto"/>
                <w:kern w:val="0"/>
              </w:rPr>
            </w:pPr>
            <w:r>
              <w:rPr>
                <w:rFonts w:hint="eastAsia" w:hAnsi="宋体"/>
                <w:color w:val="auto"/>
                <w:kern w:val="0"/>
              </w:rPr>
              <w:t>0</w:t>
            </w:r>
            <w:r>
              <w:rPr>
                <w:rFonts w:hAnsi="宋体"/>
                <w:color w:val="auto"/>
                <w:kern w:val="0"/>
              </w:rPr>
              <w:t>.046</w:t>
            </w:r>
          </w:p>
        </w:tc>
        <w:tc>
          <w:tcPr>
            <w:tcW w:w="567" w:type="pct"/>
            <w:vAlign w:val="center"/>
          </w:tcPr>
          <w:p w14:paraId="1137F46C">
            <w:pPr>
              <w:pStyle w:val="81"/>
              <w:rPr>
                <w:rFonts w:hAnsi="宋体"/>
                <w:color w:val="auto"/>
                <w:kern w:val="0"/>
              </w:rPr>
            </w:pPr>
            <w:r>
              <w:rPr>
                <w:rFonts w:hint="eastAsia" w:hAnsi="宋体"/>
                <w:color w:val="auto"/>
                <w:kern w:val="0"/>
              </w:rPr>
              <w:t>0</w:t>
            </w:r>
            <w:r>
              <w:rPr>
                <w:rFonts w:hAnsi="宋体"/>
                <w:color w:val="auto"/>
                <w:kern w:val="0"/>
              </w:rPr>
              <w:t>.22</w:t>
            </w:r>
          </w:p>
        </w:tc>
        <w:tc>
          <w:tcPr>
            <w:tcW w:w="605" w:type="pct"/>
            <w:vAlign w:val="center"/>
          </w:tcPr>
          <w:p w14:paraId="6A1FA0B6">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00D1885A">
            <w:pPr>
              <w:pStyle w:val="81"/>
              <w:rPr>
                <w:rFonts w:hAnsi="宋体"/>
                <w:color w:val="auto"/>
                <w:kern w:val="0"/>
              </w:rPr>
            </w:pPr>
            <w:r>
              <w:rPr>
                <w:rFonts w:hint="eastAsia" w:hAnsi="宋体"/>
                <w:color w:val="auto"/>
                <w:kern w:val="0"/>
              </w:rPr>
              <w:t>N</w:t>
            </w:r>
            <w:r>
              <w:rPr>
                <w:rFonts w:hAnsi="宋体"/>
                <w:color w:val="auto"/>
                <w:kern w:val="0"/>
              </w:rPr>
              <w:t>D</w:t>
            </w:r>
          </w:p>
        </w:tc>
        <w:tc>
          <w:tcPr>
            <w:tcW w:w="555" w:type="pct"/>
            <w:vAlign w:val="center"/>
          </w:tcPr>
          <w:p w14:paraId="58F6486C">
            <w:pPr>
              <w:pStyle w:val="81"/>
              <w:rPr>
                <w:rFonts w:hAnsi="宋体"/>
                <w:color w:val="auto"/>
                <w:kern w:val="0"/>
              </w:rPr>
            </w:pPr>
            <w:r>
              <w:rPr>
                <w:rFonts w:hint="eastAsia" w:hAnsi="宋体"/>
                <w:color w:val="auto"/>
                <w:kern w:val="0"/>
              </w:rPr>
              <w:t>达标</w:t>
            </w:r>
          </w:p>
        </w:tc>
      </w:tr>
      <w:tr w14:paraId="6047F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182D1190">
            <w:pPr>
              <w:pStyle w:val="76"/>
              <w:rPr>
                <w:color w:val="auto"/>
              </w:rPr>
            </w:pPr>
          </w:p>
        </w:tc>
        <w:tc>
          <w:tcPr>
            <w:tcW w:w="742" w:type="pct"/>
            <w:vAlign w:val="center"/>
          </w:tcPr>
          <w:p w14:paraId="7BFA05A1">
            <w:pPr>
              <w:pStyle w:val="81"/>
              <w:rPr>
                <w:rFonts w:hAnsi="宋体" w:cs="宋体"/>
                <w:color w:val="auto"/>
                <w:kern w:val="0"/>
              </w:rPr>
            </w:pPr>
            <w:r>
              <w:rPr>
                <w:rFonts w:hint="eastAsia" w:hAnsi="宋体" w:cs="宋体"/>
                <w:color w:val="auto"/>
                <w:kern w:val="0"/>
              </w:rPr>
              <w:t>FJF121-X95</w:t>
            </w:r>
          </w:p>
        </w:tc>
        <w:tc>
          <w:tcPr>
            <w:tcW w:w="519" w:type="pct"/>
            <w:vAlign w:val="center"/>
          </w:tcPr>
          <w:p w14:paraId="0554FADC">
            <w:pPr>
              <w:pStyle w:val="81"/>
              <w:rPr>
                <w:rFonts w:hAnsi="宋体"/>
                <w:color w:val="auto"/>
                <w:kern w:val="0"/>
              </w:rPr>
            </w:pPr>
            <w:r>
              <w:rPr>
                <w:rFonts w:hint="eastAsia" w:hAnsi="宋体"/>
                <w:color w:val="auto"/>
                <w:kern w:val="0"/>
              </w:rPr>
              <w:t>8</w:t>
            </w:r>
            <w:r>
              <w:rPr>
                <w:rFonts w:hAnsi="宋体"/>
                <w:color w:val="auto"/>
                <w:kern w:val="0"/>
              </w:rPr>
              <w:t>.37</w:t>
            </w:r>
          </w:p>
        </w:tc>
        <w:tc>
          <w:tcPr>
            <w:tcW w:w="566" w:type="pct"/>
            <w:vAlign w:val="center"/>
          </w:tcPr>
          <w:p w14:paraId="7A5FF9AD">
            <w:pPr>
              <w:pStyle w:val="81"/>
              <w:rPr>
                <w:rFonts w:hAnsi="宋体"/>
                <w:color w:val="auto"/>
                <w:kern w:val="0"/>
              </w:rPr>
            </w:pPr>
            <w:r>
              <w:rPr>
                <w:rFonts w:hint="eastAsia" w:hAnsi="宋体"/>
                <w:color w:val="auto"/>
                <w:kern w:val="0"/>
              </w:rPr>
              <w:t>9</w:t>
            </w:r>
            <w:r>
              <w:rPr>
                <w:rFonts w:hAnsi="宋体"/>
                <w:color w:val="auto"/>
                <w:kern w:val="0"/>
              </w:rPr>
              <w:t>1</w:t>
            </w:r>
          </w:p>
        </w:tc>
        <w:tc>
          <w:tcPr>
            <w:tcW w:w="567" w:type="pct"/>
            <w:vAlign w:val="center"/>
          </w:tcPr>
          <w:p w14:paraId="33E6D3C4">
            <w:pPr>
              <w:pStyle w:val="81"/>
              <w:rPr>
                <w:rFonts w:hAnsi="宋体"/>
                <w:color w:val="auto"/>
                <w:kern w:val="0"/>
              </w:rPr>
            </w:pPr>
            <w:r>
              <w:rPr>
                <w:rFonts w:hint="eastAsia" w:hAnsi="宋体"/>
                <w:color w:val="auto"/>
                <w:kern w:val="0"/>
              </w:rPr>
              <w:t>0</w:t>
            </w:r>
            <w:r>
              <w:rPr>
                <w:rFonts w:hAnsi="宋体"/>
                <w:color w:val="auto"/>
                <w:kern w:val="0"/>
              </w:rPr>
              <w:t>.065</w:t>
            </w:r>
          </w:p>
        </w:tc>
        <w:tc>
          <w:tcPr>
            <w:tcW w:w="567" w:type="pct"/>
            <w:vAlign w:val="center"/>
          </w:tcPr>
          <w:p w14:paraId="533EB612">
            <w:pPr>
              <w:pStyle w:val="81"/>
              <w:rPr>
                <w:rFonts w:hAnsi="宋体"/>
                <w:color w:val="auto"/>
                <w:kern w:val="0"/>
              </w:rPr>
            </w:pPr>
            <w:r>
              <w:rPr>
                <w:rFonts w:hint="eastAsia" w:hAnsi="宋体"/>
                <w:color w:val="auto"/>
                <w:kern w:val="0"/>
              </w:rPr>
              <w:t>0</w:t>
            </w:r>
            <w:r>
              <w:rPr>
                <w:rFonts w:hAnsi="宋体"/>
                <w:color w:val="auto"/>
                <w:kern w:val="0"/>
              </w:rPr>
              <w:t>.17</w:t>
            </w:r>
          </w:p>
        </w:tc>
        <w:tc>
          <w:tcPr>
            <w:tcW w:w="605" w:type="pct"/>
            <w:vAlign w:val="center"/>
          </w:tcPr>
          <w:p w14:paraId="43334149">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226245BB">
            <w:pPr>
              <w:pStyle w:val="81"/>
              <w:rPr>
                <w:rFonts w:hAnsi="宋体"/>
                <w:color w:val="auto"/>
                <w:kern w:val="0"/>
              </w:rPr>
            </w:pPr>
            <w:r>
              <w:rPr>
                <w:rFonts w:hint="eastAsia" w:hAnsi="宋体"/>
                <w:color w:val="auto"/>
                <w:kern w:val="0"/>
              </w:rPr>
              <w:t>1</w:t>
            </w:r>
            <w:r>
              <w:rPr>
                <w:rFonts w:hAnsi="宋体"/>
                <w:color w:val="auto"/>
                <w:kern w:val="0"/>
              </w:rPr>
              <w:t>.05</w:t>
            </w:r>
          </w:p>
        </w:tc>
        <w:tc>
          <w:tcPr>
            <w:tcW w:w="555" w:type="pct"/>
            <w:vAlign w:val="center"/>
          </w:tcPr>
          <w:p w14:paraId="1B51FE7E">
            <w:pPr>
              <w:pStyle w:val="81"/>
              <w:rPr>
                <w:rFonts w:hAnsi="宋体"/>
                <w:color w:val="auto"/>
                <w:kern w:val="0"/>
              </w:rPr>
            </w:pPr>
            <w:r>
              <w:rPr>
                <w:rFonts w:hint="eastAsia" w:hAnsi="宋体"/>
                <w:color w:val="auto"/>
                <w:kern w:val="0"/>
              </w:rPr>
              <w:t>达标</w:t>
            </w:r>
          </w:p>
        </w:tc>
      </w:tr>
      <w:tr w14:paraId="24ABA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09EAB2C8">
            <w:pPr>
              <w:pStyle w:val="76"/>
              <w:rPr>
                <w:color w:val="auto"/>
              </w:rPr>
            </w:pPr>
          </w:p>
        </w:tc>
        <w:tc>
          <w:tcPr>
            <w:tcW w:w="742" w:type="pct"/>
            <w:vAlign w:val="center"/>
          </w:tcPr>
          <w:p w14:paraId="0AF108E0">
            <w:pPr>
              <w:pStyle w:val="81"/>
              <w:rPr>
                <w:rFonts w:hAnsi="宋体" w:cs="宋体"/>
                <w:color w:val="auto"/>
                <w:kern w:val="0"/>
              </w:rPr>
            </w:pPr>
            <w:r>
              <w:rPr>
                <w:rFonts w:hint="eastAsia" w:hAnsi="宋体" w:cs="宋体"/>
                <w:color w:val="auto"/>
                <w:kern w:val="0"/>
              </w:rPr>
              <w:t>FJF121-X97</w:t>
            </w:r>
          </w:p>
        </w:tc>
        <w:tc>
          <w:tcPr>
            <w:tcW w:w="519" w:type="pct"/>
            <w:vAlign w:val="center"/>
          </w:tcPr>
          <w:p w14:paraId="2ED86A7F">
            <w:pPr>
              <w:pStyle w:val="81"/>
              <w:rPr>
                <w:rFonts w:hAnsi="宋体"/>
                <w:color w:val="auto"/>
                <w:kern w:val="0"/>
              </w:rPr>
            </w:pPr>
            <w:r>
              <w:rPr>
                <w:rFonts w:hint="eastAsia" w:hAnsi="宋体"/>
                <w:color w:val="auto"/>
                <w:kern w:val="0"/>
              </w:rPr>
              <w:t>8</w:t>
            </w:r>
            <w:r>
              <w:rPr>
                <w:rFonts w:hAnsi="宋体"/>
                <w:color w:val="auto"/>
                <w:kern w:val="0"/>
              </w:rPr>
              <w:t>.37</w:t>
            </w:r>
          </w:p>
        </w:tc>
        <w:tc>
          <w:tcPr>
            <w:tcW w:w="566" w:type="pct"/>
            <w:vAlign w:val="center"/>
          </w:tcPr>
          <w:p w14:paraId="3F0FC617">
            <w:pPr>
              <w:pStyle w:val="81"/>
              <w:rPr>
                <w:rFonts w:hAnsi="宋体"/>
                <w:color w:val="auto"/>
                <w:kern w:val="0"/>
              </w:rPr>
            </w:pPr>
            <w:r>
              <w:rPr>
                <w:rFonts w:hint="eastAsia" w:hAnsi="宋体"/>
                <w:color w:val="auto"/>
                <w:kern w:val="0"/>
              </w:rPr>
              <w:t>9</w:t>
            </w:r>
            <w:r>
              <w:rPr>
                <w:rFonts w:hAnsi="宋体"/>
                <w:color w:val="auto"/>
                <w:kern w:val="0"/>
              </w:rPr>
              <w:t>1</w:t>
            </w:r>
          </w:p>
        </w:tc>
        <w:tc>
          <w:tcPr>
            <w:tcW w:w="567" w:type="pct"/>
            <w:vAlign w:val="center"/>
          </w:tcPr>
          <w:p w14:paraId="0F8EFA0D">
            <w:pPr>
              <w:pStyle w:val="81"/>
              <w:rPr>
                <w:rFonts w:hAnsi="宋体"/>
                <w:color w:val="auto"/>
                <w:kern w:val="0"/>
              </w:rPr>
            </w:pPr>
            <w:r>
              <w:rPr>
                <w:rFonts w:hint="eastAsia" w:hAnsi="宋体"/>
                <w:color w:val="auto"/>
                <w:kern w:val="0"/>
              </w:rPr>
              <w:t>0</w:t>
            </w:r>
            <w:r>
              <w:rPr>
                <w:rFonts w:hAnsi="宋体"/>
                <w:color w:val="auto"/>
                <w:kern w:val="0"/>
              </w:rPr>
              <w:t>.065</w:t>
            </w:r>
          </w:p>
        </w:tc>
        <w:tc>
          <w:tcPr>
            <w:tcW w:w="567" w:type="pct"/>
            <w:vAlign w:val="center"/>
          </w:tcPr>
          <w:p w14:paraId="23865693">
            <w:pPr>
              <w:pStyle w:val="81"/>
              <w:rPr>
                <w:rFonts w:hAnsi="宋体"/>
                <w:color w:val="auto"/>
                <w:kern w:val="0"/>
              </w:rPr>
            </w:pPr>
            <w:r>
              <w:rPr>
                <w:rFonts w:hint="eastAsia" w:hAnsi="宋体"/>
                <w:color w:val="auto"/>
                <w:kern w:val="0"/>
              </w:rPr>
              <w:t>0</w:t>
            </w:r>
            <w:r>
              <w:rPr>
                <w:rFonts w:hAnsi="宋体"/>
                <w:color w:val="auto"/>
                <w:kern w:val="0"/>
              </w:rPr>
              <w:t>.17</w:t>
            </w:r>
          </w:p>
        </w:tc>
        <w:tc>
          <w:tcPr>
            <w:tcW w:w="605" w:type="pct"/>
            <w:vAlign w:val="center"/>
          </w:tcPr>
          <w:p w14:paraId="2F0D3560">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1CC9B618">
            <w:pPr>
              <w:pStyle w:val="81"/>
              <w:rPr>
                <w:rFonts w:hAnsi="宋体"/>
                <w:color w:val="auto"/>
                <w:kern w:val="0"/>
              </w:rPr>
            </w:pPr>
            <w:r>
              <w:rPr>
                <w:rFonts w:hint="eastAsia" w:hAnsi="宋体"/>
                <w:color w:val="auto"/>
                <w:kern w:val="0"/>
              </w:rPr>
              <w:t>1</w:t>
            </w:r>
            <w:r>
              <w:rPr>
                <w:rFonts w:hAnsi="宋体"/>
                <w:color w:val="auto"/>
                <w:kern w:val="0"/>
              </w:rPr>
              <w:t>.05</w:t>
            </w:r>
          </w:p>
        </w:tc>
        <w:tc>
          <w:tcPr>
            <w:tcW w:w="555" w:type="pct"/>
            <w:vAlign w:val="center"/>
          </w:tcPr>
          <w:p w14:paraId="09A13A71">
            <w:pPr>
              <w:pStyle w:val="81"/>
              <w:rPr>
                <w:rFonts w:hAnsi="宋体"/>
                <w:color w:val="auto"/>
                <w:kern w:val="0"/>
              </w:rPr>
            </w:pPr>
            <w:r>
              <w:rPr>
                <w:rFonts w:hint="eastAsia" w:hAnsi="宋体"/>
                <w:color w:val="auto"/>
                <w:kern w:val="0"/>
              </w:rPr>
              <w:t>达标</w:t>
            </w:r>
          </w:p>
        </w:tc>
      </w:tr>
    </w:tbl>
    <w:p w14:paraId="55F3D639">
      <w:pPr>
        <w:rPr>
          <w:color w:val="auto"/>
        </w:rPr>
      </w:pPr>
    </w:p>
    <w:p w14:paraId="5100A7D1">
      <w:pPr>
        <w:pStyle w:val="4"/>
        <w:ind w:firstLine="480"/>
        <w:rPr>
          <w:color w:val="auto"/>
        </w:rPr>
      </w:pPr>
      <w:r>
        <w:rPr>
          <w:color w:val="auto"/>
        </w:rPr>
        <w:t>2）</w:t>
      </w:r>
      <w:r>
        <w:rPr>
          <w:rFonts w:hint="eastAsia"/>
          <w:color w:val="auto"/>
        </w:rPr>
        <w:t>施工废料及建筑垃圾</w:t>
      </w:r>
    </w:p>
    <w:p w14:paraId="7D9AA142">
      <w:pPr>
        <w:pStyle w:val="4"/>
        <w:ind w:firstLine="480"/>
        <w:rPr>
          <w:color w:val="auto"/>
        </w:rPr>
      </w:pPr>
      <w:r>
        <w:rPr>
          <w:rFonts w:hint="eastAsia"/>
          <w:color w:val="auto"/>
        </w:rPr>
        <w:t>施工废料尽量回收利用，无法利用的已拉运至环卫部门指定地点处理，建筑垃圾用于井场及道路铺设</w:t>
      </w:r>
      <w:r>
        <w:rPr>
          <w:color w:val="auto"/>
        </w:rPr>
        <w:t>。</w:t>
      </w:r>
    </w:p>
    <w:p w14:paraId="1B0CE088">
      <w:pPr>
        <w:pStyle w:val="4"/>
        <w:numPr>
          <w:ilvl w:val="0"/>
          <w:numId w:val="31"/>
        </w:numPr>
        <w:ind w:firstLine="480"/>
        <w:rPr>
          <w:color w:val="auto"/>
        </w:rPr>
      </w:pPr>
      <w:r>
        <w:rPr>
          <w:rFonts w:hint="eastAsia"/>
          <w:color w:val="auto"/>
        </w:rPr>
        <w:t>定向钻泥浆</w:t>
      </w:r>
    </w:p>
    <w:p w14:paraId="5E4758A7">
      <w:pPr>
        <w:pStyle w:val="4"/>
        <w:ind w:firstLine="480"/>
        <w:rPr>
          <w:color w:val="auto"/>
        </w:rPr>
      </w:pPr>
      <w:r>
        <w:rPr>
          <w:rFonts w:hint="eastAsia"/>
          <w:color w:val="auto"/>
        </w:rPr>
        <w:t>经调查，定向钻穿越期间产生的泥浆已委托专业单位拉运处置，泥浆池回填，进行地貌和植被。</w:t>
      </w:r>
    </w:p>
    <w:p w14:paraId="661B7778">
      <w:pPr>
        <w:pStyle w:val="4"/>
        <w:numPr>
          <w:ilvl w:val="0"/>
          <w:numId w:val="31"/>
        </w:numPr>
        <w:ind w:firstLine="480"/>
        <w:rPr>
          <w:color w:val="auto"/>
        </w:rPr>
      </w:pPr>
      <w:r>
        <w:rPr>
          <w:rFonts w:hint="eastAsia"/>
          <w:color w:val="auto"/>
        </w:rPr>
        <w:t>废弃设备</w:t>
      </w:r>
    </w:p>
    <w:p w14:paraId="756A01F5">
      <w:pPr>
        <w:pStyle w:val="4"/>
        <w:ind w:firstLine="480"/>
        <w:rPr>
          <w:color w:val="auto"/>
        </w:rPr>
      </w:pPr>
      <w:bookmarkStart w:id="471" w:name="OLE_LINK383"/>
      <w:r>
        <w:rPr>
          <w:rFonts w:hint="eastAsia"/>
          <w:color w:val="auto"/>
        </w:rPr>
        <w:t>本期工程主要拆除旧加热炉、拉改输压减多功能罐等，已按照资产报废程序由胜利油田东胜精攻石油开发集团股份有限公司物资管理部门统一处理</w:t>
      </w:r>
      <w:bookmarkEnd w:id="471"/>
      <w:r>
        <w:rPr>
          <w:rFonts w:hint="eastAsia"/>
          <w:color w:val="auto"/>
        </w:rPr>
        <w:t>。</w:t>
      </w:r>
    </w:p>
    <w:p w14:paraId="258E0510">
      <w:pPr>
        <w:pStyle w:val="4"/>
        <w:ind w:firstLine="480"/>
        <w:rPr>
          <w:color w:val="auto"/>
        </w:rPr>
      </w:pPr>
      <w:r>
        <w:rPr>
          <w:rFonts w:hint="eastAsia"/>
          <w:color w:val="auto"/>
        </w:rPr>
        <w:t>5）生活</w:t>
      </w:r>
      <w:r>
        <w:rPr>
          <w:color w:val="auto"/>
        </w:rPr>
        <w:t>垃圾</w:t>
      </w:r>
    </w:p>
    <w:p w14:paraId="62CB6F95">
      <w:pPr>
        <w:pStyle w:val="4"/>
        <w:ind w:firstLine="480"/>
        <w:rPr>
          <w:color w:val="auto"/>
        </w:rPr>
      </w:pPr>
      <w:r>
        <w:rPr>
          <w:rFonts w:hint="eastAsia"/>
          <w:color w:val="auto"/>
        </w:rPr>
        <w:t>施工期间产生的生活垃圾均暂存于施工场地内临时垃圾桶中，后由施工单位统一拉运至市政部门指定地点处理，验收调查期间，现场未发现生活垃圾遗留。</w:t>
      </w:r>
    </w:p>
    <w:p w14:paraId="3967B450">
      <w:pPr>
        <w:pStyle w:val="5"/>
        <w:rPr>
          <w:color w:val="auto"/>
        </w:rPr>
      </w:pPr>
      <w:bookmarkStart w:id="472" w:name="_Toc231283644"/>
      <w:r>
        <w:rPr>
          <w:rFonts w:hint="eastAsia"/>
          <w:color w:val="auto"/>
        </w:rPr>
        <w:t>运营期</w:t>
      </w:r>
      <w:r>
        <w:rPr>
          <w:color w:val="auto"/>
        </w:rPr>
        <w:t>环境影响调查</w:t>
      </w:r>
      <w:bookmarkEnd w:id="472"/>
    </w:p>
    <w:p w14:paraId="34DF3621">
      <w:pPr>
        <w:pStyle w:val="6"/>
        <w:rPr>
          <w:color w:val="auto"/>
        </w:rPr>
      </w:pPr>
      <w:r>
        <w:rPr>
          <w:rFonts w:hint="eastAsia"/>
          <w:color w:val="auto"/>
        </w:rPr>
        <w:t>生态环境影响调查</w:t>
      </w:r>
    </w:p>
    <w:p w14:paraId="4F3A041D">
      <w:pPr>
        <w:pStyle w:val="4"/>
        <w:ind w:firstLine="480"/>
        <w:rPr>
          <w:color w:val="auto"/>
          <w:kern w:val="0"/>
        </w:rPr>
      </w:pPr>
      <w:r>
        <w:rPr>
          <w:rFonts w:hint="eastAsia"/>
          <w:color w:val="auto"/>
          <w:kern w:val="0"/>
        </w:rPr>
        <w:t>验收调查期间，钻井井场、管线施工区域已恢复地貌，正常工况下不会对周围生态环境造成不良影响。</w:t>
      </w:r>
    </w:p>
    <w:p w14:paraId="5FB1C17E">
      <w:pPr>
        <w:pStyle w:val="4"/>
        <w:ind w:firstLine="480"/>
        <w:rPr>
          <w:color w:val="auto"/>
          <w:kern w:val="0"/>
        </w:rPr>
      </w:pPr>
      <w:r>
        <w:rPr>
          <w:rFonts w:hint="eastAsia"/>
          <w:color w:val="auto"/>
          <w:kern w:val="0"/>
        </w:rPr>
        <w:t>为说明油井运营过程中对周围土壤环境的影响，本次验收调查期间对井场内（井口周边）及距井口分别为10m、20m、30m、50m处的土壤特征污染物石油烃（C</w:t>
      </w:r>
      <w:r>
        <w:rPr>
          <w:rFonts w:hint="eastAsia"/>
          <w:color w:val="auto"/>
          <w:kern w:val="0"/>
          <w:vertAlign w:val="subscript"/>
        </w:rPr>
        <w:t>10</w:t>
      </w:r>
      <w:r>
        <w:rPr>
          <w:rFonts w:hint="eastAsia"/>
          <w:color w:val="auto"/>
          <w:kern w:val="0"/>
        </w:rPr>
        <w:t>-C</w:t>
      </w:r>
      <w:r>
        <w:rPr>
          <w:rFonts w:hint="eastAsia"/>
          <w:color w:val="auto"/>
          <w:kern w:val="0"/>
          <w:vertAlign w:val="subscript"/>
        </w:rPr>
        <w:t>40</w:t>
      </w:r>
      <w:r>
        <w:rPr>
          <w:rFonts w:hint="eastAsia"/>
          <w:color w:val="auto"/>
          <w:kern w:val="0"/>
        </w:rPr>
        <w:t>）进行了监测。</w:t>
      </w:r>
    </w:p>
    <w:p w14:paraId="2DE657FA">
      <w:pPr>
        <w:pStyle w:val="4"/>
        <w:ind w:firstLine="480"/>
        <w:rPr>
          <w:color w:val="auto"/>
        </w:rPr>
      </w:pPr>
      <w:r>
        <w:rPr>
          <w:rFonts w:hint="eastAsia"/>
          <w:color w:val="auto"/>
          <w:kern w:val="0"/>
        </w:rPr>
        <w:t>根据监测结果，井场厂界内监测点石油烃（C</w:t>
      </w:r>
      <w:r>
        <w:rPr>
          <w:rFonts w:hint="eastAsia"/>
          <w:color w:val="auto"/>
          <w:kern w:val="0"/>
          <w:vertAlign w:val="subscript"/>
        </w:rPr>
        <w:t>10</w:t>
      </w:r>
      <w:r>
        <w:rPr>
          <w:rFonts w:hint="eastAsia"/>
          <w:color w:val="auto"/>
          <w:kern w:val="0"/>
        </w:rPr>
        <w:t>-C</w:t>
      </w:r>
      <w:r>
        <w:rPr>
          <w:rFonts w:hint="eastAsia"/>
          <w:color w:val="auto"/>
          <w:kern w:val="0"/>
          <w:vertAlign w:val="subscript"/>
        </w:rPr>
        <w:t>40</w:t>
      </w:r>
      <w:r>
        <w:rPr>
          <w:rFonts w:hint="eastAsia"/>
          <w:color w:val="auto"/>
          <w:kern w:val="0"/>
        </w:rPr>
        <w:t>）监测结果满足《土壤环境质量 建设用地土壤污染风险管控标准（试行）》（GB 36600-2018）中第二类用地筛选值标准，本期工程的建设与运行对周边土壤环境影响较轻</w:t>
      </w:r>
      <w:r>
        <w:rPr>
          <w:color w:val="auto"/>
        </w:rPr>
        <w:t>。</w:t>
      </w:r>
    </w:p>
    <w:p w14:paraId="6109DFE9">
      <w:pPr>
        <w:pStyle w:val="6"/>
        <w:rPr>
          <w:color w:val="auto"/>
        </w:rPr>
      </w:pPr>
      <w:r>
        <w:rPr>
          <w:rFonts w:hint="eastAsia"/>
          <w:color w:val="auto"/>
        </w:rPr>
        <w:t>大气</w:t>
      </w:r>
      <w:r>
        <w:rPr>
          <w:color w:val="auto"/>
        </w:rPr>
        <w:t>环境影响调查</w:t>
      </w:r>
    </w:p>
    <w:p w14:paraId="05CCBC93">
      <w:pPr>
        <w:pStyle w:val="4"/>
        <w:ind w:firstLine="480"/>
        <w:rPr>
          <w:snapToGrid w:val="0"/>
          <w:color w:val="auto"/>
        </w:rPr>
      </w:pPr>
      <w:r>
        <w:rPr>
          <w:snapToGrid w:val="0"/>
          <w:color w:val="auto"/>
        </w:rPr>
        <w:t>项目运营期产生的</w:t>
      </w:r>
      <w:r>
        <w:rPr>
          <w:rFonts w:hint="eastAsia"/>
          <w:snapToGrid w:val="0"/>
          <w:color w:val="auto"/>
        </w:rPr>
        <w:t>废气</w:t>
      </w:r>
      <w:r>
        <w:rPr>
          <w:snapToGrid w:val="0"/>
          <w:color w:val="auto"/>
        </w:rPr>
        <w:t>主要是</w:t>
      </w:r>
      <w:r>
        <w:rPr>
          <w:rFonts w:hint="eastAsia"/>
          <w:snapToGrid w:val="0"/>
          <w:color w:val="auto"/>
        </w:rPr>
        <w:t>采油井场无组织挥发的烃类废气（非甲烷总烃）及加热炉有组织废气、高青联合站加热炉有组织废气。</w:t>
      </w:r>
    </w:p>
    <w:p w14:paraId="66A21E38">
      <w:pPr>
        <w:pStyle w:val="4"/>
        <w:ind w:firstLine="480"/>
        <w:rPr>
          <w:color w:val="auto"/>
        </w:rPr>
      </w:pPr>
      <w:r>
        <w:rPr>
          <w:rFonts w:hint="eastAsia"/>
          <w:color w:val="auto"/>
        </w:rPr>
        <w:t>监测结果表明，运营期井场厂界非甲烷总烃满足《挥发性有机物排放标准 第7部分：其他行业》（DB37/ 2801.7-2019）表2中VOCs厂界监控点浓度限值（2.0mg/m</w:t>
      </w:r>
      <w:r>
        <w:rPr>
          <w:rFonts w:hint="eastAsia"/>
          <w:color w:val="auto"/>
          <w:vertAlign w:val="superscript"/>
        </w:rPr>
        <w:t>3</w:t>
      </w:r>
      <w:r>
        <w:rPr>
          <w:rFonts w:hint="eastAsia"/>
          <w:color w:val="auto"/>
        </w:rPr>
        <w:t>）要求，加热炉废气中的</w:t>
      </w:r>
      <w:r>
        <w:rPr>
          <w:rFonts w:hint="eastAsia"/>
          <w:snapToGrid w:val="0"/>
          <w:color w:val="auto"/>
        </w:rPr>
        <w:t>SO</w:t>
      </w:r>
      <w:r>
        <w:rPr>
          <w:rFonts w:hint="eastAsia"/>
          <w:snapToGrid w:val="0"/>
          <w:color w:val="auto"/>
          <w:vertAlign w:val="subscript"/>
        </w:rPr>
        <w:t>2</w:t>
      </w:r>
      <w:r>
        <w:rPr>
          <w:rFonts w:hint="eastAsia"/>
          <w:snapToGrid w:val="0"/>
          <w:color w:val="auto"/>
        </w:rPr>
        <w:t>、NO</w:t>
      </w:r>
      <w:r>
        <w:rPr>
          <w:rFonts w:hint="eastAsia"/>
          <w:snapToGrid w:val="0"/>
          <w:color w:val="auto"/>
          <w:vertAlign w:val="subscript"/>
        </w:rPr>
        <w:t>X</w:t>
      </w:r>
      <w:r>
        <w:rPr>
          <w:rFonts w:hint="eastAsia"/>
          <w:snapToGrid w:val="0"/>
          <w:color w:val="auto"/>
        </w:rPr>
        <w:t>和颗粒物能够满足</w:t>
      </w:r>
      <w:r>
        <w:rPr>
          <w:rFonts w:hint="eastAsia" w:cs="宋体"/>
          <w:color w:val="auto"/>
          <w:kern w:val="0"/>
        </w:rPr>
        <w:t>《锅炉大气污染物排放标准》（DB37/ 2374-2018）表2重点控制区要求</w:t>
      </w:r>
      <w:r>
        <w:rPr>
          <w:rFonts w:hint="eastAsia"/>
          <w:color w:val="auto"/>
        </w:rPr>
        <w:t>（SO</w:t>
      </w:r>
      <w:r>
        <w:rPr>
          <w:rFonts w:hint="eastAsia"/>
          <w:color w:val="auto"/>
          <w:vertAlign w:val="subscript"/>
        </w:rPr>
        <w:t>2</w:t>
      </w:r>
      <w:r>
        <w:rPr>
          <w:rFonts w:hint="eastAsia"/>
          <w:color w:val="auto"/>
        </w:rPr>
        <w:t>：50mg/m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：100mg/m</w:t>
      </w:r>
      <w:r>
        <w:rPr>
          <w:rFonts w:hint="eastAsia"/>
          <w:color w:val="auto"/>
          <w:vertAlign w:val="superscript"/>
        </w:rPr>
        <w:t>3</w:t>
      </w:r>
      <w:r>
        <w:rPr>
          <w:rFonts w:hint="eastAsia"/>
          <w:color w:val="auto"/>
        </w:rPr>
        <w:t>、</w:t>
      </w:r>
      <w:r>
        <w:rPr>
          <w:rFonts w:hint="eastAsia" w:cs="宋体"/>
          <w:color w:val="auto"/>
          <w:kern w:val="0"/>
        </w:rPr>
        <w:t>颗粒物</w:t>
      </w:r>
      <w:r>
        <w:rPr>
          <w:rFonts w:hint="eastAsia"/>
          <w:color w:val="auto"/>
        </w:rPr>
        <w:t>：10mg/m</w:t>
      </w:r>
      <w:r>
        <w:rPr>
          <w:rFonts w:hint="eastAsia"/>
          <w:color w:val="auto"/>
          <w:vertAlign w:val="superscript"/>
        </w:rPr>
        <w:t>3</w:t>
      </w:r>
      <w:r>
        <w:rPr>
          <w:rFonts w:hint="eastAsia"/>
          <w:color w:val="auto"/>
        </w:rPr>
        <w:t>）。</w:t>
      </w:r>
    </w:p>
    <w:p w14:paraId="500A4BE4">
      <w:pPr>
        <w:pStyle w:val="122"/>
        <w:spacing w:line="331" w:lineRule="auto"/>
        <w:ind w:firstLine="480"/>
        <w:rPr>
          <w:rFonts w:hAnsi="宋体"/>
          <w:color w:val="auto"/>
        </w:rPr>
      </w:pPr>
      <w:r>
        <w:rPr>
          <w:rFonts w:hint="eastAsia" w:hAnsi="宋体"/>
          <w:color w:val="auto"/>
        </w:rPr>
        <w:t>运营期对</w:t>
      </w:r>
      <w:r>
        <w:rPr>
          <w:rFonts w:hAnsi="宋体"/>
          <w:color w:val="auto"/>
        </w:rPr>
        <w:t>周边大气环境影响较轻。</w:t>
      </w:r>
    </w:p>
    <w:p w14:paraId="69D76AB4">
      <w:pPr>
        <w:pStyle w:val="6"/>
        <w:rPr>
          <w:color w:val="auto"/>
        </w:rPr>
      </w:pPr>
      <w:r>
        <w:rPr>
          <w:rFonts w:hint="eastAsia"/>
          <w:color w:val="auto"/>
        </w:rPr>
        <w:t>水</w:t>
      </w:r>
      <w:r>
        <w:rPr>
          <w:color w:val="auto"/>
        </w:rPr>
        <w:t>环境影响调查</w:t>
      </w:r>
    </w:p>
    <w:p w14:paraId="5FC1233D">
      <w:pPr>
        <w:pStyle w:val="143"/>
        <w:spacing w:line="331" w:lineRule="auto"/>
        <w:ind w:firstLine="480" w:firstLineChars="200"/>
        <w:rPr>
          <w:color w:val="auto"/>
        </w:rPr>
      </w:pPr>
      <w:r>
        <w:rPr>
          <w:rFonts w:hint="eastAsia"/>
          <w:color w:val="auto"/>
        </w:rPr>
        <w:t>1）地表水</w:t>
      </w:r>
      <w:r>
        <w:rPr>
          <w:color w:val="auto"/>
        </w:rPr>
        <w:t>环境影响调查</w:t>
      </w:r>
    </w:p>
    <w:p w14:paraId="22D2C780">
      <w:pPr>
        <w:pStyle w:val="143"/>
        <w:spacing w:line="331" w:lineRule="auto"/>
        <w:ind w:firstLine="480" w:firstLineChars="200"/>
        <w:rPr>
          <w:color w:val="auto"/>
        </w:rPr>
      </w:pPr>
      <w:r>
        <w:rPr>
          <w:rFonts w:hint="eastAsia"/>
          <w:color w:val="auto"/>
        </w:rPr>
        <w:t>本期工程运营期产生的废水主要有井下作业废水、采出水。</w:t>
      </w:r>
    </w:p>
    <w:p w14:paraId="68D7E5B6">
      <w:pPr>
        <w:pStyle w:val="4"/>
        <w:ind w:firstLine="480"/>
        <w:rPr>
          <w:color w:val="auto"/>
        </w:rPr>
      </w:pPr>
      <w:r>
        <w:rPr>
          <w:rFonts w:hint="eastAsia"/>
          <w:color w:val="auto"/>
        </w:rPr>
        <w:t>采出水、井下作业废水经依托的</w:t>
      </w:r>
      <w:bookmarkStart w:id="473" w:name="OLE_LINK90"/>
      <w:bookmarkStart w:id="474" w:name="OLE_LINK91"/>
      <w:r>
        <w:rPr>
          <w:rFonts w:hint="eastAsia"/>
          <w:color w:val="auto"/>
        </w:rPr>
        <w:t>高青联合站、滨博接转站</w:t>
      </w:r>
      <w:r>
        <w:rPr>
          <w:color w:val="auto"/>
        </w:rPr>
        <w:t>采出水处理</w:t>
      </w:r>
      <w:r>
        <w:rPr>
          <w:rFonts w:hint="eastAsia"/>
          <w:color w:val="auto"/>
        </w:rPr>
        <w:t>系统</w:t>
      </w:r>
      <w:bookmarkEnd w:id="473"/>
      <w:bookmarkEnd w:id="474"/>
      <w:r>
        <w:rPr>
          <w:color w:val="auto"/>
        </w:rPr>
        <w:t>处理满足</w:t>
      </w:r>
      <w:r>
        <w:rPr>
          <w:rFonts w:hint="eastAsia"/>
          <w:color w:val="auto"/>
        </w:rPr>
        <w:t>《碎屑岩油藏注水水质指标技术要求及分析方法》（</w:t>
      </w:r>
      <w:r>
        <w:rPr>
          <w:color w:val="auto"/>
        </w:rPr>
        <w:t>SY/T5329-2022）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回注</w:t>
      </w:r>
      <w:r>
        <w:rPr>
          <w:color w:val="auto"/>
        </w:rPr>
        <w:t>地层，用于油田注水开发，</w:t>
      </w:r>
      <w:r>
        <w:rPr>
          <w:rFonts w:hint="eastAsia"/>
          <w:color w:val="auto"/>
        </w:rPr>
        <w:t>未</w:t>
      </w:r>
      <w:r>
        <w:rPr>
          <w:color w:val="auto"/>
        </w:rPr>
        <w:t>外排</w:t>
      </w:r>
      <w:r>
        <w:rPr>
          <w:rFonts w:hint="eastAsia"/>
          <w:color w:val="auto"/>
        </w:rPr>
        <w:t>。运营期废水不会对周围地表水环境造成不利影响。</w:t>
      </w:r>
    </w:p>
    <w:p w14:paraId="4C9A7360">
      <w:pPr>
        <w:pStyle w:val="4"/>
        <w:ind w:firstLine="480"/>
        <w:rPr>
          <w:color w:val="auto"/>
        </w:rPr>
      </w:pPr>
      <w:r>
        <w:rPr>
          <w:rFonts w:hint="eastAsia"/>
          <w:color w:val="auto"/>
        </w:rPr>
        <w:t>高青联合站、滨博接转站</w:t>
      </w:r>
      <w:r>
        <w:rPr>
          <w:color w:val="auto"/>
        </w:rPr>
        <w:t>采出水处理</w:t>
      </w:r>
      <w:r>
        <w:rPr>
          <w:rFonts w:hint="eastAsia"/>
          <w:color w:val="auto"/>
        </w:rPr>
        <w:t>系统已制定了相关操作规程、管理制度，建立了运行记录、加药记录，并定期进行水质监测，回注水水质能够满足《碎屑岩油藏注水水质指标技术要求及分析方法》（SY/T5329-2022）中对应储层空气渗透率水质标准，目前运行正常。</w:t>
      </w:r>
    </w:p>
    <w:p w14:paraId="50EFCCAA">
      <w:pPr>
        <w:pStyle w:val="4"/>
        <w:ind w:firstLine="480"/>
        <w:rPr>
          <w:color w:val="auto"/>
        </w:rPr>
      </w:pPr>
      <w:r>
        <w:rPr>
          <w:rFonts w:hint="eastAsia"/>
          <w:color w:val="auto"/>
        </w:rPr>
        <w:t>2）</w:t>
      </w:r>
      <w:r>
        <w:rPr>
          <w:color w:val="auto"/>
        </w:rPr>
        <w:t>地下水环境影响调查</w:t>
      </w:r>
    </w:p>
    <w:p w14:paraId="5A053659">
      <w:pPr>
        <w:pStyle w:val="4"/>
        <w:ind w:firstLine="480"/>
        <w:rPr>
          <w:color w:val="auto"/>
        </w:rPr>
      </w:pPr>
      <w:r>
        <w:rPr>
          <w:rFonts w:hint="eastAsia"/>
          <w:color w:val="auto"/>
        </w:rPr>
        <w:t>本期工程正常工况</w:t>
      </w:r>
      <w:r>
        <w:rPr>
          <w:color w:val="auto"/>
        </w:rPr>
        <w:t>下</w:t>
      </w:r>
      <w:r>
        <w:rPr>
          <w:rFonts w:hint="eastAsia"/>
          <w:color w:val="auto"/>
        </w:rPr>
        <w:t>不会对地下水水质产生影响。验收</w:t>
      </w:r>
      <w:r>
        <w:rPr>
          <w:color w:val="auto"/>
        </w:rPr>
        <w:t>调查期间，</w:t>
      </w:r>
      <w:r>
        <w:rPr>
          <w:rFonts w:hint="eastAsia"/>
          <w:color w:val="auto"/>
        </w:rPr>
        <w:t>没有</w:t>
      </w:r>
      <w:r>
        <w:rPr>
          <w:color w:val="auto"/>
        </w:rPr>
        <w:t>发生管线泄漏</w:t>
      </w:r>
      <w:r>
        <w:rPr>
          <w:rFonts w:hint="eastAsia"/>
          <w:color w:val="auto"/>
        </w:rPr>
        <w:t>、井漏等</w:t>
      </w:r>
      <w:r>
        <w:rPr>
          <w:color w:val="auto"/>
        </w:rPr>
        <w:t>环境风险事故。</w:t>
      </w:r>
    </w:p>
    <w:p w14:paraId="04E78CD8">
      <w:pPr>
        <w:pStyle w:val="306"/>
        <w:ind w:firstLine="480"/>
        <w:rPr>
          <w:color w:val="auto"/>
          <w:kern w:val="2"/>
          <w:szCs w:val="24"/>
        </w:rPr>
      </w:pPr>
      <w:r>
        <w:rPr>
          <w:rFonts w:hint="eastAsia"/>
          <w:color w:val="auto"/>
        </w:rPr>
        <w:t>根据地下水检测结果表明</w:t>
      </w:r>
      <w:r>
        <w:rPr>
          <w:color w:val="auto"/>
        </w:rPr>
        <w:t>，</w:t>
      </w:r>
      <w:r>
        <w:rPr>
          <w:rStyle w:val="312"/>
          <w:rFonts w:hint="default"/>
          <w:color w:val="auto"/>
        </w:rPr>
        <w:t>地下水水质监测点的溶解性总固体、硫酸盐、氯化物、总硬度超标。地下水水质监测点的溶解性总固体、硫酸盐、氯化物、总硬度超标</w:t>
      </w:r>
      <w:r>
        <w:rPr>
          <w:rFonts w:hint="eastAsia"/>
          <w:color w:val="auto"/>
        </w:rPr>
        <w:t>主要与当地浅层地下水水文地质化学本底值偏高有关</w:t>
      </w:r>
      <w:r>
        <w:rPr>
          <w:rStyle w:val="312"/>
          <w:rFonts w:hint="default" w:cs="宋体"/>
          <w:color w:val="auto"/>
        </w:rPr>
        <w:t>。</w:t>
      </w:r>
      <w:r>
        <w:rPr>
          <w:rStyle w:val="312"/>
          <w:rFonts w:hint="default"/>
          <w:color w:val="auto"/>
        </w:rPr>
        <w:t>其余各项指标均满足《地下水质量标准》（GB/T 14848-2017）Ⅲ类标准，石油类满足参考执行《地表水环</w:t>
      </w:r>
      <w:r>
        <w:rPr>
          <w:rFonts w:hint="eastAsia"/>
          <w:color w:val="auto"/>
        </w:rPr>
        <w:t>境质量标准》（GB 3838-2002）</w:t>
      </w:r>
      <w:r>
        <w:rPr>
          <w:rStyle w:val="312"/>
          <w:rFonts w:hint="default"/>
          <w:color w:val="auto"/>
        </w:rPr>
        <w:t>中Ⅲ类标准限值要求。项目特征污染物石油类在各监测点均不超标，说明项目附近油气田开发未对地下水造成较大影响</w:t>
      </w:r>
      <w:r>
        <w:rPr>
          <w:rFonts w:hint="eastAsia"/>
          <w:color w:val="auto"/>
        </w:rPr>
        <w:t>。</w:t>
      </w:r>
    </w:p>
    <w:p w14:paraId="11D62F4A">
      <w:pPr>
        <w:pStyle w:val="6"/>
        <w:rPr>
          <w:color w:val="auto"/>
        </w:rPr>
      </w:pPr>
      <w:r>
        <w:rPr>
          <w:rFonts w:hint="eastAsia"/>
          <w:color w:val="auto"/>
        </w:rPr>
        <w:t>声</w:t>
      </w:r>
      <w:r>
        <w:rPr>
          <w:color w:val="auto"/>
        </w:rPr>
        <w:t>环境影响调查</w:t>
      </w:r>
    </w:p>
    <w:p w14:paraId="4E0979A1">
      <w:pPr>
        <w:pStyle w:val="4"/>
        <w:ind w:firstLine="480"/>
        <w:rPr>
          <w:snapToGrid w:val="0"/>
          <w:color w:val="auto"/>
        </w:rPr>
      </w:pPr>
      <w:r>
        <w:rPr>
          <w:rFonts w:hint="eastAsia"/>
          <w:snapToGrid w:val="0"/>
          <w:color w:val="auto"/>
        </w:rPr>
        <w:t>项目运营期主要</w:t>
      </w:r>
      <w:r>
        <w:rPr>
          <w:snapToGrid w:val="0"/>
          <w:color w:val="auto"/>
        </w:rPr>
        <w:t>噪声源是</w:t>
      </w:r>
      <w:r>
        <w:rPr>
          <w:rFonts w:hint="eastAsia"/>
          <w:snapToGrid w:val="0"/>
          <w:color w:val="auto"/>
        </w:rPr>
        <w:t>井场</w:t>
      </w:r>
      <w:r>
        <w:rPr>
          <w:snapToGrid w:val="0"/>
          <w:color w:val="auto"/>
        </w:rPr>
        <w:t>抽油机</w:t>
      </w:r>
      <w:r>
        <w:rPr>
          <w:rFonts w:hint="eastAsia"/>
          <w:snapToGrid w:val="0"/>
          <w:color w:val="auto"/>
        </w:rPr>
        <w:t>及井下</w:t>
      </w:r>
      <w:r>
        <w:rPr>
          <w:snapToGrid w:val="0"/>
          <w:color w:val="auto"/>
        </w:rPr>
        <w:t>作业</w:t>
      </w:r>
      <w:r>
        <w:rPr>
          <w:rFonts w:hint="eastAsia"/>
          <w:snapToGrid w:val="0"/>
          <w:color w:val="auto"/>
        </w:rPr>
        <w:t>通井机</w:t>
      </w:r>
      <w:r>
        <w:rPr>
          <w:snapToGrid w:val="0"/>
          <w:color w:val="auto"/>
        </w:rPr>
        <w:t>、机泵等。</w:t>
      </w:r>
      <w:r>
        <w:rPr>
          <w:rFonts w:hint="eastAsia"/>
          <w:snapToGrid w:val="0"/>
          <w:color w:val="auto"/>
        </w:rPr>
        <w:t>验收</w:t>
      </w:r>
      <w:r>
        <w:rPr>
          <w:snapToGrid w:val="0"/>
          <w:color w:val="auto"/>
        </w:rPr>
        <w:t>调查</w:t>
      </w:r>
      <w:r>
        <w:rPr>
          <w:rFonts w:hint="eastAsia"/>
          <w:snapToGrid w:val="0"/>
          <w:color w:val="auto"/>
        </w:rPr>
        <w:t>期间未</w:t>
      </w:r>
      <w:r>
        <w:rPr>
          <w:snapToGrid w:val="0"/>
          <w:color w:val="auto"/>
        </w:rPr>
        <w:t>进行井下作业，</w:t>
      </w:r>
      <w:r>
        <w:rPr>
          <w:rFonts w:hint="eastAsia"/>
          <w:snapToGrid w:val="0"/>
          <w:color w:val="auto"/>
        </w:rPr>
        <w:t>油井处于</w:t>
      </w:r>
      <w:r>
        <w:rPr>
          <w:snapToGrid w:val="0"/>
          <w:color w:val="auto"/>
        </w:rPr>
        <w:t>正常运行状态</w:t>
      </w:r>
      <w:r>
        <w:rPr>
          <w:rFonts w:hint="eastAsia"/>
          <w:snapToGrid w:val="0"/>
          <w:color w:val="auto"/>
        </w:rPr>
        <w:t>。</w:t>
      </w:r>
    </w:p>
    <w:p w14:paraId="5A8ACC01">
      <w:pPr>
        <w:pStyle w:val="122"/>
        <w:spacing w:line="331" w:lineRule="auto"/>
        <w:ind w:firstLine="480"/>
        <w:rPr>
          <w:rFonts w:hAnsi="宋体"/>
          <w:color w:val="auto"/>
        </w:rPr>
      </w:pPr>
      <w:r>
        <w:rPr>
          <w:rFonts w:hint="eastAsia" w:hAnsi="宋体"/>
          <w:color w:val="auto"/>
        </w:rPr>
        <w:t>根据</w:t>
      </w:r>
      <w:r>
        <w:rPr>
          <w:rFonts w:hAnsi="宋体"/>
          <w:color w:val="auto"/>
        </w:rPr>
        <w:t>监测结果，</w:t>
      </w:r>
      <w:r>
        <w:rPr>
          <w:rFonts w:hint="eastAsia" w:hAnsi="宋体"/>
          <w:color w:val="auto"/>
        </w:rPr>
        <w:t>井场</w:t>
      </w:r>
      <w:r>
        <w:rPr>
          <w:rFonts w:hAnsi="宋体"/>
          <w:color w:val="auto"/>
        </w:rPr>
        <w:t>厂界</w:t>
      </w:r>
      <w:r>
        <w:rPr>
          <w:rFonts w:hint="eastAsia" w:hAnsi="宋体"/>
          <w:color w:val="auto"/>
        </w:rPr>
        <w:t>噪声满足《工业企业厂界环境噪声排放标准》（GB 12348-2008）中的2类区排放限值（昼间60dB（A），夜间50dB（A）），表明油井</w:t>
      </w:r>
      <w:r>
        <w:rPr>
          <w:rFonts w:hAnsi="宋体"/>
          <w:color w:val="auto"/>
        </w:rPr>
        <w:t>的运行</w:t>
      </w:r>
      <w:r>
        <w:rPr>
          <w:rFonts w:hint="eastAsia" w:hAnsi="宋体"/>
          <w:color w:val="auto"/>
        </w:rPr>
        <w:t>对</w:t>
      </w:r>
      <w:r>
        <w:rPr>
          <w:rFonts w:hAnsi="宋体"/>
          <w:color w:val="auto"/>
        </w:rPr>
        <w:t>周边</w:t>
      </w:r>
      <w:r>
        <w:rPr>
          <w:rFonts w:hint="eastAsia" w:hAnsi="宋体"/>
          <w:color w:val="auto"/>
        </w:rPr>
        <w:t>声</w:t>
      </w:r>
      <w:r>
        <w:rPr>
          <w:rFonts w:hAnsi="宋体"/>
          <w:color w:val="auto"/>
        </w:rPr>
        <w:t>环境影响较轻</w:t>
      </w:r>
      <w:r>
        <w:rPr>
          <w:rFonts w:hint="eastAsia" w:hAnsi="宋体"/>
          <w:color w:val="auto"/>
        </w:rPr>
        <w:t>。</w:t>
      </w:r>
    </w:p>
    <w:p w14:paraId="23033F34">
      <w:pPr>
        <w:pStyle w:val="6"/>
        <w:rPr>
          <w:color w:val="auto"/>
        </w:rPr>
      </w:pPr>
      <w:r>
        <w:rPr>
          <w:rFonts w:hint="eastAsia"/>
          <w:color w:val="auto"/>
        </w:rPr>
        <w:t>固体废物环境</w:t>
      </w:r>
      <w:r>
        <w:rPr>
          <w:color w:val="auto"/>
        </w:rPr>
        <w:t>影响调查</w:t>
      </w:r>
    </w:p>
    <w:p w14:paraId="745FE2DE">
      <w:pPr>
        <w:pStyle w:val="4"/>
        <w:ind w:firstLine="480"/>
        <w:rPr>
          <w:color w:val="auto"/>
        </w:rPr>
      </w:pPr>
      <w:r>
        <w:rPr>
          <w:rFonts w:hint="eastAsia"/>
          <w:color w:val="auto"/>
        </w:rPr>
        <w:t>根据监测结果，井场厂界内监测点石油烃（C</w:t>
      </w:r>
      <w:r>
        <w:rPr>
          <w:rFonts w:hint="eastAsia"/>
          <w:color w:val="auto"/>
          <w:vertAlign w:val="subscript"/>
        </w:rPr>
        <w:t>10</w:t>
      </w:r>
      <w:r>
        <w:rPr>
          <w:rFonts w:hint="eastAsia"/>
          <w:color w:val="auto"/>
        </w:rPr>
        <w:t>-C</w:t>
      </w:r>
      <w:r>
        <w:rPr>
          <w:rFonts w:hint="eastAsia"/>
          <w:color w:val="auto"/>
          <w:vertAlign w:val="subscript"/>
        </w:rPr>
        <w:t>40</w:t>
      </w:r>
      <w:r>
        <w:rPr>
          <w:rFonts w:hint="eastAsia"/>
          <w:color w:val="auto"/>
        </w:rPr>
        <w:t>）监测结果满足《土壤环境质量 建设用地土壤污染风险管控标准（试行）》（GB 36600-2018）中第二类用地筛选值标准，本期工程的建设与运行对周边土壤环境影响较轻。</w:t>
      </w:r>
    </w:p>
    <w:p w14:paraId="5510D0FA">
      <w:pPr>
        <w:pStyle w:val="4"/>
        <w:ind w:firstLine="480"/>
        <w:rPr>
          <w:color w:val="auto"/>
        </w:rPr>
      </w:pPr>
      <w:r>
        <w:rPr>
          <w:rFonts w:hint="eastAsia"/>
          <w:color w:val="auto"/>
        </w:rPr>
        <w:t>本期工程运营期间产生的固体废物主要是</w:t>
      </w:r>
      <w:r>
        <w:rPr>
          <w:rFonts w:hint="eastAsia"/>
          <w:color w:val="auto"/>
          <w:kern w:val="0"/>
        </w:rPr>
        <w:t>落地油、</w:t>
      </w:r>
      <w:r>
        <w:rPr>
          <w:rFonts w:hint="eastAsia"/>
          <w:color w:val="auto"/>
        </w:rPr>
        <w:t>清罐底泥。</w:t>
      </w:r>
    </w:p>
    <w:p w14:paraId="6E7F69C3">
      <w:pPr>
        <w:pStyle w:val="4"/>
        <w:ind w:firstLine="480"/>
        <w:rPr>
          <w:color w:val="auto"/>
        </w:rPr>
      </w:pPr>
      <w:r>
        <w:rPr>
          <w:rFonts w:hint="eastAsia"/>
          <w:color w:val="auto"/>
          <w:kern w:val="0"/>
        </w:rPr>
        <w:t>验收调查期间，</w:t>
      </w:r>
      <w:bookmarkStart w:id="475" w:name="OLE_LINK98"/>
      <w:bookmarkStart w:id="476" w:name="OLE_LINK97"/>
      <w:r>
        <w:rPr>
          <w:rFonts w:hint="eastAsia" w:cs="宋体"/>
          <w:color w:val="auto"/>
          <w:kern w:val="0"/>
        </w:rPr>
        <w:t>运营期</w:t>
      </w:r>
      <w:r>
        <w:rPr>
          <w:rFonts w:hint="eastAsia"/>
          <w:color w:val="auto"/>
          <w:kern w:val="0"/>
        </w:rPr>
        <w:t>井下作业目前均采用船型围堰代替铺设防渗材料，无废弃防渗膜产生</w:t>
      </w:r>
      <w:bookmarkEnd w:id="475"/>
      <w:bookmarkEnd w:id="476"/>
      <w:r>
        <w:rPr>
          <w:rFonts w:hint="eastAsia"/>
          <w:color w:val="auto"/>
          <w:kern w:val="0"/>
        </w:rPr>
        <w:t>；本期工程暂未产生落地油及</w:t>
      </w:r>
      <w:r>
        <w:rPr>
          <w:rFonts w:hint="eastAsia"/>
          <w:color w:val="auto"/>
        </w:rPr>
        <w:t>清罐底泥。验收调查期间未产生危险废物，目前高青公司产生的落地油、浮油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w:t>
      </w:r>
      <w:r>
        <w:rPr>
          <w:rFonts w:hint="eastAsia"/>
          <w:color w:val="auto"/>
        </w:rPr>
        <w:t>。</w:t>
      </w:r>
    </w:p>
    <w:p w14:paraId="2DD87296">
      <w:pPr>
        <w:pStyle w:val="4"/>
        <w:ind w:firstLine="480"/>
        <w:rPr>
          <w:color w:val="auto"/>
        </w:rPr>
      </w:pPr>
      <w:r>
        <w:rPr>
          <w:rFonts w:hint="eastAsia" w:cs="宋体"/>
          <w:color w:val="auto"/>
          <w:kern w:val="0"/>
        </w:rPr>
        <w:t>其他危险废物未产生，产生后将</w:t>
      </w:r>
      <w:r>
        <w:rPr>
          <w:rFonts w:cs="宋体"/>
          <w:color w:val="auto"/>
          <w:kern w:val="0"/>
        </w:rPr>
        <w:t>委托有资质单位处置。同时</w:t>
      </w:r>
      <w:r>
        <w:rPr>
          <w:rFonts w:hint="eastAsia" w:cs="宋体"/>
          <w:color w:val="auto"/>
          <w:kern w:val="0"/>
        </w:rPr>
        <w:t>东胜公司</w:t>
      </w:r>
      <w:r>
        <w:rPr>
          <w:rFonts w:cs="宋体"/>
          <w:color w:val="auto"/>
          <w:kern w:val="0"/>
        </w:rPr>
        <w:t>已建立了相应的</w:t>
      </w:r>
      <w:r>
        <w:rPr>
          <w:rFonts w:hint="eastAsia" w:cs="宋体"/>
          <w:color w:val="auto"/>
          <w:kern w:val="0"/>
        </w:rPr>
        <w:t>危险废物</w:t>
      </w:r>
      <w:r>
        <w:rPr>
          <w:rFonts w:cs="宋体"/>
          <w:color w:val="auto"/>
          <w:kern w:val="0"/>
        </w:rPr>
        <w:t>管理制度，</w:t>
      </w:r>
      <w:r>
        <w:rPr>
          <w:rFonts w:hint="eastAsia" w:cs="宋体"/>
          <w:color w:val="auto"/>
          <w:kern w:val="0"/>
        </w:rPr>
        <w:t>危险废物</w:t>
      </w:r>
      <w:r>
        <w:rPr>
          <w:rFonts w:cs="宋体"/>
          <w:color w:val="auto"/>
          <w:kern w:val="0"/>
        </w:rPr>
        <w:t>的收集和管理由专人负责</w:t>
      </w:r>
      <w:r>
        <w:rPr>
          <w:rFonts w:hint="eastAsia"/>
          <w:color w:val="auto"/>
        </w:rPr>
        <w:t>。</w:t>
      </w:r>
    </w:p>
    <w:p w14:paraId="56538BBA">
      <w:pPr>
        <w:pStyle w:val="4"/>
        <w:ind w:firstLine="480"/>
        <w:rPr>
          <w:color w:val="auto"/>
        </w:rPr>
      </w:pPr>
      <w:r>
        <w:rPr>
          <w:rFonts w:hint="eastAsia"/>
          <w:color w:val="auto"/>
        </w:rPr>
        <w:t>综上</w:t>
      </w:r>
      <w:r>
        <w:rPr>
          <w:color w:val="auto"/>
        </w:rPr>
        <w:t>，运营期固废</w:t>
      </w:r>
      <w:r>
        <w:rPr>
          <w:rFonts w:hint="eastAsia"/>
          <w:color w:val="auto"/>
        </w:rPr>
        <w:t>的</w:t>
      </w:r>
      <w:r>
        <w:rPr>
          <w:color w:val="auto"/>
        </w:rPr>
        <w:t>产生和处置</w:t>
      </w:r>
      <w:r>
        <w:rPr>
          <w:rFonts w:hint="eastAsia"/>
          <w:color w:val="auto"/>
        </w:rPr>
        <w:t>对</w:t>
      </w:r>
      <w:r>
        <w:rPr>
          <w:color w:val="auto"/>
        </w:rPr>
        <w:t>周边环境影响较轻。</w:t>
      </w:r>
    </w:p>
    <w:p w14:paraId="3117BCE3">
      <w:pPr>
        <w:pStyle w:val="5"/>
        <w:rPr>
          <w:color w:val="auto"/>
        </w:rPr>
      </w:pPr>
      <w:bookmarkStart w:id="477" w:name="_Toc231283645"/>
      <w:r>
        <w:rPr>
          <w:rFonts w:hint="eastAsia"/>
          <w:color w:val="auto"/>
        </w:rPr>
        <w:t>社会影响调查</w:t>
      </w:r>
      <w:bookmarkEnd w:id="477"/>
    </w:p>
    <w:p w14:paraId="0D928B94">
      <w:pPr>
        <w:pStyle w:val="6"/>
        <w:rPr>
          <w:color w:val="auto"/>
        </w:rPr>
      </w:pPr>
      <w:r>
        <w:rPr>
          <w:rFonts w:hint="eastAsia"/>
          <w:color w:val="auto"/>
        </w:rPr>
        <w:t>工程占地及拆迁影响调查</w:t>
      </w:r>
    </w:p>
    <w:p w14:paraId="2273BC82">
      <w:pPr>
        <w:pStyle w:val="4"/>
        <w:ind w:firstLine="480"/>
        <w:rPr>
          <w:color w:val="auto"/>
        </w:rPr>
      </w:pPr>
      <w:r>
        <w:rPr>
          <w:rFonts w:hint="eastAsia"/>
          <w:color w:val="auto"/>
        </w:rPr>
        <w:t>经现场调查，本工程占用部分耕地，在施工过程中，对耕地采取了保护措施，施工结束后，做好了耕地的恢复工作。建设单位按照当地临时占地补偿的有关规定，对临时占地的实际经济损失和复耕后的潜在损失给予了补偿。对于永久占地，建设单位取得了自然资源部门的批准，在充分保护被征地者合法利益的原则下，切实做好了被征地者的补偿工作。</w:t>
      </w:r>
    </w:p>
    <w:p w14:paraId="51FFA2BE">
      <w:pPr>
        <w:pStyle w:val="4"/>
        <w:ind w:firstLine="480"/>
        <w:rPr>
          <w:color w:val="auto"/>
        </w:rPr>
      </w:pPr>
      <w:r>
        <w:rPr>
          <w:rFonts w:hint="eastAsia"/>
          <w:color w:val="auto"/>
        </w:rPr>
        <w:t>本项目环评阶段和实际验收阶段均不涉及居民拆迁，根据走访及建设单位实际运行情况调查，项目未发生纠纷事件。本项目也从保护周边居民安全角度出发，严格落实了设计对管道的埋深及壁厚、抽油机设备选型等要求，并确保了居民在施工及运行过程中不受影响。</w:t>
      </w:r>
    </w:p>
    <w:p w14:paraId="25C08373">
      <w:pPr>
        <w:pStyle w:val="4"/>
        <w:ind w:firstLine="480"/>
        <w:rPr>
          <w:color w:val="auto"/>
        </w:rPr>
      </w:pPr>
      <w:r>
        <w:rPr>
          <w:rFonts w:hint="eastAsia"/>
          <w:color w:val="auto"/>
        </w:rPr>
        <w:t>另外，建设单位对本项目的竣工及调试时间进行了网络公示，截止目前未收到公众投诉。说明本工程与居民沟通和耕地赔偿工作比较到位，没有因此而造成社会问题。</w:t>
      </w:r>
    </w:p>
    <w:p w14:paraId="309C4C0A">
      <w:pPr>
        <w:pStyle w:val="6"/>
        <w:rPr>
          <w:color w:val="auto"/>
          <w:kern w:val="0"/>
        </w:rPr>
      </w:pPr>
      <w:bookmarkStart w:id="478" w:name="_Toc220760780"/>
      <w:bookmarkStart w:id="479" w:name="_Toc220760696"/>
      <w:r>
        <w:rPr>
          <w:rFonts w:hint="eastAsia"/>
          <w:color w:val="auto"/>
          <w:kern w:val="0"/>
        </w:rPr>
        <w:t>文物保护影响调查</w:t>
      </w:r>
      <w:bookmarkEnd w:id="478"/>
      <w:bookmarkEnd w:id="479"/>
    </w:p>
    <w:p w14:paraId="14DFD645">
      <w:pPr>
        <w:pStyle w:val="4"/>
        <w:ind w:firstLine="480"/>
        <w:rPr>
          <w:color w:val="auto"/>
        </w:rPr>
        <w:sectPr>
          <w:pgSz w:w="11907" w:h="16839"/>
          <w:pgMar w:top="1418" w:right="1588" w:bottom="1418" w:left="1588" w:header="1134" w:footer="850" w:gutter="0"/>
          <w:cols w:space="720" w:num="1"/>
          <w:docGrid w:linePitch="312" w:charSpace="0"/>
        </w:sectPr>
      </w:pPr>
      <w:r>
        <w:rPr>
          <w:rFonts w:hint="eastAsia"/>
          <w:color w:val="auto"/>
        </w:rPr>
        <w:t>本项目环评阶段未涉及文物保护相关内容，本次验收阶段，通过资料调研，确认项目建设范围及影响区域内无不可移动文物、历史建筑等敏感目标，项目建设未对文物保护产生任何影响。</w:t>
      </w:r>
    </w:p>
    <w:p w14:paraId="5E74B562">
      <w:pPr>
        <w:pStyle w:val="3"/>
        <w:rPr>
          <w:color w:val="auto"/>
        </w:rPr>
      </w:pPr>
      <w:bookmarkStart w:id="480" w:name="_Toc231283646"/>
      <w:r>
        <w:rPr>
          <w:rFonts w:hint="eastAsia"/>
          <w:color w:val="auto"/>
        </w:rPr>
        <w:t>清洁生产调查</w:t>
      </w:r>
      <w:bookmarkEnd w:id="480"/>
    </w:p>
    <w:p w14:paraId="77C834F7">
      <w:pPr>
        <w:pStyle w:val="5"/>
        <w:rPr>
          <w:color w:val="auto"/>
        </w:rPr>
      </w:pPr>
      <w:bookmarkStart w:id="481" w:name="_Toc231283647"/>
      <w:r>
        <w:rPr>
          <w:rFonts w:hint="eastAsia"/>
          <w:color w:val="auto"/>
        </w:rPr>
        <w:t>实际清洁生产指标调查</w:t>
      </w:r>
      <w:bookmarkEnd w:id="481"/>
    </w:p>
    <w:p w14:paraId="7ED4C726">
      <w:pPr>
        <w:pStyle w:val="4"/>
        <w:ind w:firstLine="480"/>
        <w:rPr>
          <w:color w:val="auto"/>
        </w:rPr>
      </w:pPr>
      <w:r>
        <w:rPr>
          <w:rFonts w:hint="eastAsia"/>
          <w:color w:val="auto"/>
        </w:rPr>
        <w:t>根据《建设项目竣工环境保护验收技术规范</w:t>
      </w:r>
      <w:r>
        <w:rPr>
          <w:color w:val="auto"/>
        </w:rPr>
        <w:t xml:space="preserve"> </w:t>
      </w:r>
      <w:r>
        <w:rPr>
          <w:rFonts w:hint="eastAsia"/>
          <w:color w:val="auto"/>
        </w:rPr>
        <w:t>生态影响类》（</w:t>
      </w:r>
      <w:r>
        <w:rPr>
          <w:color w:val="auto"/>
        </w:rPr>
        <w:t>HJ/T 394-2007</w:t>
      </w:r>
      <w:r>
        <w:rPr>
          <w:rFonts w:hint="eastAsia"/>
          <w:color w:val="auto"/>
        </w:rPr>
        <w:t>）中6</w:t>
      </w:r>
      <w:r>
        <w:rPr>
          <w:color w:val="auto"/>
        </w:rPr>
        <w:t>.12</w:t>
      </w:r>
      <w:r>
        <w:rPr>
          <w:rFonts w:hint="eastAsia"/>
          <w:color w:val="auto"/>
        </w:rPr>
        <w:t>清洁生产调查要求：“</w:t>
      </w:r>
      <w:r>
        <w:rPr>
          <w:color w:val="auto"/>
        </w:rPr>
        <w:t>6.12.2 调查生产工艺与装备要求、资源与能源利用指标、污染物产生指标、废物回收利用指标、环</w:t>
      </w:r>
      <w:r>
        <w:rPr>
          <w:rFonts w:hint="eastAsia"/>
          <w:color w:val="auto"/>
        </w:rPr>
        <w:t>境管理要求等清洁生产指标的实际情况。”本次清洁生产调查内容具体如下：</w:t>
      </w:r>
    </w:p>
    <w:p w14:paraId="421DC36A">
      <w:pPr>
        <w:pStyle w:val="6"/>
        <w:rPr>
          <w:color w:val="auto"/>
        </w:rPr>
      </w:pPr>
      <w:r>
        <w:rPr>
          <w:rFonts w:hint="eastAsia"/>
          <w:color w:val="auto"/>
        </w:rPr>
        <w:t>生产工艺与装备指标</w:t>
      </w:r>
    </w:p>
    <w:p w14:paraId="167FFF96">
      <w:pPr>
        <w:pStyle w:val="4"/>
        <w:ind w:firstLine="480"/>
        <w:rPr>
          <w:color w:val="auto"/>
        </w:rPr>
      </w:pPr>
      <w:r>
        <w:rPr>
          <w:color w:val="auto"/>
        </w:rPr>
        <w:t>1）未采用国家明令禁止和淘汰的生产工艺、装备、产品、材料等。井身结构、井筒质量</w:t>
      </w:r>
      <w:r>
        <w:rPr>
          <w:rFonts w:hint="eastAsia"/>
          <w:color w:val="auto"/>
        </w:rPr>
        <w:t>、管道及抽油机选型等均</w:t>
      </w:r>
      <w:r>
        <w:rPr>
          <w:color w:val="auto"/>
        </w:rPr>
        <w:t>符合设计规范。</w:t>
      </w:r>
    </w:p>
    <w:p w14:paraId="5ABCFC62">
      <w:pPr>
        <w:pStyle w:val="4"/>
        <w:ind w:firstLine="480"/>
        <w:rPr>
          <w:color w:val="auto"/>
        </w:rPr>
      </w:pPr>
      <w:r>
        <w:rPr>
          <w:rFonts w:hint="eastAsia"/>
          <w:color w:val="auto"/>
        </w:rPr>
        <w:t>2）本期工程管线全密闭集输工艺。与火车、汽车等陆路运输原油方式相比，管道运输是一种物耗最少、废物减量化和效益最大化的先进的清洁的运输方式；油井井口安装油套连通装置，拉油井场采用顶部浸没式装车方式等，可最大程度减少无组织废气逸散。</w:t>
      </w:r>
    </w:p>
    <w:p w14:paraId="780E33F3">
      <w:pPr>
        <w:pStyle w:val="6"/>
        <w:rPr>
          <w:color w:val="auto"/>
        </w:rPr>
      </w:pPr>
      <w:r>
        <w:rPr>
          <w:rFonts w:hint="eastAsia"/>
          <w:color w:val="auto"/>
        </w:rPr>
        <w:t>资源与能源利用指标</w:t>
      </w:r>
    </w:p>
    <w:p w14:paraId="01DAA24A">
      <w:pPr>
        <w:pStyle w:val="4"/>
        <w:ind w:firstLine="480"/>
        <w:rPr>
          <w:color w:val="auto"/>
        </w:rPr>
      </w:pPr>
      <w:r>
        <w:rPr>
          <w:rFonts w:hint="eastAsia"/>
          <w:color w:val="auto"/>
        </w:rPr>
        <w:t>1）密闭管输方式井场，伴生气损耗率≤</w:t>
      </w:r>
      <w:r>
        <w:rPr>
          <w:color w:val="auto"/>
        </w:rPr>
        <w:t>0.5%。油井伴生气可用于依托站场加热炉燃料，属于清洁能源</w:t>
      </w:r>
      <w:r>
        <w:rPr>
          <w:rFonts w:hint="eastAsia"/>
          <w:color w:val="auto"/>
        </w:rPr>
        <w:t>；拉油井场采用顶部浸没式装车方式等，可最大程度减少无组织废气逸散。</w:t>
      </w:r>
    </w:p>
    <w:p w14:paraId="269CC3E6">
      <w:pPr>
        <w:pStyle w:val="4"/>
        <w:ind w:firstLine="480"/>
        <w:rPr>
          <w:color w:val="auto"/>
        </w:rPr>
      </w:pPr>
      <w:r>
        <w:rPr>
          <w:rFonts w:hint="eastAsia"/>
          <w:color w:val="auto"/>
        </w:rPr>
        <w:t>2）选用密闭性能好、能耗低的设备。选用的电动阀等都具有良好的密封性，具有效率高、寿命长、耗能低的特点。不但避免了阀门等设备由于密封不严造成的油品泄漏，还降低了能耗。</w:t>
      </w:r>
    </w:p>
    <w:p w14:paraId="323C6C39">
      <w:pPr>
        <w:pStyle w:val="4"/>
        <w:ind w:firstLine="480"/>
        <w:rPr>
          <w:color w:val="auto"/>
        </w:rPr>
      </w:pPr>
      <w:r>
        <w:rPr>
          <w:rFonts w:hint="eastAsia"/>
          <w:color w:val="auto"/>
        </w:rPr>
        <w:t>3）井场选用国家推荐低耗节能变压器。</w:t>
      </w:r>
    </w:p>
    <w:p w14:paraId="38E88144">
      <w:pPr>
        <w:pStyle w:val="6"/>
        <w:rPr>
          <w:color w:val="auto"/>
        </w:rPr>
      </w:pPr>
      <w:r>
        <w:rPr>
          <w:rFonts w:hint="eastAsia"/>
          <w:color w:val="auto"/>
        </w:rPr>
        <w:t>污染物产生指标</w:t>
      </w:r>
    </w:p>
    <w:p w14:paraId="7D9DAE3B">
      <w:pPr>
        <w:pStyle w:val="4"/>
        <w:ind w:firstLine="480"/>
        <w:rPr>
          <w:color w:val="auto"/>
        </w:rPr>
      </w:pPr>
      <w:r>
        <w:rPr>
          <w:rFonts w:hint="eastAsia"/>
          <w:color w:val="auto"/>
        </w:rPr>
        <w:t>1）</w:t>
      </w:r>
      <w:r>
        <w:rPr>
          <w:color w:val="auto"/>
        </w:rPr>
        <w:t>采</w:t>
      </w:r>
      <w:r>
        <w:rPr>
          <w:rFonts w:hint="eastAsia"/>
          <w:color w:val="auto"/>
        </w:rPr>
        <w:t>出</w:t>
      </w:r>
      <w:r>
        <w:rPr>
          <w:color w:val="auto"/>
        </w:rPr>
        <w:t>水经依托的</w:t>
      </w:r>
      <w:r>
        <w:rPr>
          <w:rFonts w:hint="eastAsia"/>
          <w:color w:val="auto"/>
        </w:rPr>
        <w:t>站场采出水处理系统</w:t>
      </w:r>
      <w:r>
        <w:rPr>
          <w:color w:val="auto"/>
        </w:rPr>
        <w:t>处理达标后，全部回注现役油藏</w:t>
      </w:r>
      <w:r>
        <w:rPr>
          <w:rFonts w:hint="eastAsia"/>
          <w:color w:val="auto"/>
        </w:rPr>
        <w:t>，</w:t>
      </w:r>
      <w:r>
        <w:rPr>
          <w:color w:val="auto"/>
        </w:rPr>
        <w:t>回用率、处理达标率均为100%。</w:t>
      </w:r>
    </w:p>
    <w:p w14:paraId="7E6EBBA2">
      <w:pPr>
        <w:pStyle w:val="4"/>
        <w:ind w:firstLine="480"/>
        <w:rPr>
          <w:color w:val="auto"/>
        </w:rPr>
      </w:pPr>
      <w:r>
        <w:rPr>
          <w:color w:val="auto"/>
        </w:rPr>
        <w:t>2</w:t>
      </w:r>
      <w:r>
        <w:rPr>
          <w:rFonts w:hint="eastAsia"/>
          <w:color w:val="auto"/>
        </w:rPr>
        <w:t>）管输井场采用密闭管输方式，伴生气损耗率≤</w:t>
      </w:r>
      <w:r>
        <w:rPr>
          <w:color w:val="auto"/>
        </w:rPr>
        <w:t>0.5%</w:t>
      </w:r>
      <w:r>
        <w:rPr>
          <w:rFonts w:hint="eastAsia"/>
          <w:color w:val="auto"/>
        </w:rPr>
        <w:t>，减少无组织废气排放；拉油井场采用顶部浸没式装车方式等，可最大程度减少无组织废气逸散。</w:t>
      </w:r>
    </w:p>
    <w:p w14:paraId="37AD1088">
      <w:pPr>
        <w:pStyle w:val="6"/>
        <w:rPr>
          <w:color w:val="auto"/>
        </w:rPr>
      </w:pPr>
      <w:r>
        <w:rPr>
          <w:rFonts w:hint="eastAsia"/>
          <w:color w:val="auto"/>
        </w:rPr>
        <w:t>废物回收利用指标</w:t>
      </w:r>
    </w:p>
    <w:p w14:paraId="2FF0D834">
      <w:pPr>
        <w:pStyle w:val="4"/>
        <w:ind w:firstLine="480"/>
        <w:rPr>
          <w:color w:val="auto"/>
        </w:rPr>
      </w:pPr>
      <w:r>
        <w:rPr>
          <w:rFonts w:hint="eastAsia"/>
          <w:color w:val="auto"/>
        </w:rPr>
        <w:t>施工期各类固废均得到有效处置，验收调查期间未产生危险废物，目前高青公司产生的落地油、浮油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w:t>
      </w:r>
      <w:r>
        <w:rPr>
          <w:rFonts w:hint="eastAsia"/>
          <w:color w:val="auto"/>
        </w:rPr>
        <w:t>。</w:t>
      </w:r>
    </w:p>
    <w:p w14:paraId="483381E5">
      <w:pPr>
        <w:pStyle w:val="6"/>
        <w:rPr>
          <w:color w:val="auto"/>
        </w:rPr>
      </w:pPr>
      <w:r>
        <w:rPr>
          <w:rFonts w:hint="eastAsia"/>
          <w:color w:val="auto"/>
        </w:rPr>
        <w:t>环境管理要求</w:t>
      </w:r>
    </w:p>
    <w:p w14:paraId="0CF289E0">
      <w:pPr>
        <w:pStyle w:val="4"/>
        <w:ind w:firstLine="480"/>
        <w:rPr>
          <w:color w:val="auto"/>
        </w:rPr>
      </w:pPr>
      <w:r>
        <w:rPr>
          <w:color w:val="auto"/>
        </w:rPr>
        <w:t>1）产业政策符合性</w:t>
      </w:r>
    </w:p>
    <w:p w14:paraId="7FA9355A">
      <w:pPr>
        <w:pStyle w:val="4"/>
        <w:ind w:firstLine="480"/>
        <w:rPr>
          <w:color w:val="auto"/>
        </w:rPr>
      </w:pPr>
      <w:r>
        <w:rPr>
          <w:rFonts w:hint="eastAsia"/>
          <w:color w:val="auto"/>
        </w:rPr>
        <w:t>未采用国家明令禁止和淘汰的生产工艺、装备、产品、材料等。</w:t>
      </w:r>
    </w:p>
    <w:p w14:paraId="48E7711C">
      <w:pPr>
        <w:pStyle w:val="4"/>
        <w:ind w:firstLine="480"/>
        <w:rPr>
          <w:color w:val="auto"/>
        </w:rPr>
      </w:pPr>
      <w:r>
        <w:rPr>
          <w:color w:val="auto"/>
        </w:rPr>
        <w:t>2）环境污染事故预防</w:t>
      </w:r>
    </w:p>
    <w:p w14:paraId="20E7B424">
      <w:pPr>
        <w:pStyle w:val="4"/>
        <w:ind w:firstLine="480"/>
        <w:rPr>
          <w:color w:val="auto"/>
        </w:rPr>
      </w:pPr>
      <w:r>
        <w:rPr>
          <w:rFonts w:hint="eastAsia"/>
          <w:color w:val="auto"/>
        </w:rPr>
        <w:t>按照国家相关规定要求，建立健全环境管理制度及污染事故防范措施，杜绝重大环境污染事故发生。</w:t>
      </w:r>
    </w:p>
    <w:p w14:paraId="18D8B366">
      <w:pPr>
        <w:pStyle w:val="4"/>
        <w:ind w:firstLine="480"/>
        <w:rPr>
          <w:color w:val="auto"/>
        </w:rPr>
      </w:pPr>
      <w:r>
        <w:rPr>
          <w:color w:val="auto"/>
        </w:rPr>
        <w:t>3）环境管理体系建设</w:t>
      </w:r>
    </w:p>
    <w:p w14:paraId="7CF07AB2">
      <w:pPr>
        <w:pStyle w:val="4"/>
        <w:ind w:firstLine="480"/>
        <w:rPr>
          <w:color w:val="auto"/>
        </w:rPr>
      </w:pPr>
      <w:r>
        <w:rPr>
          <w:rFonts w:hint="eastAsia"/>
          <w:color w:val="auto"/>
        </w:rPr>
        <w:t>（</w:t>
      </w:r>
      <w:r>
        <w:rPr>
          <w:color w:val="auto"/>
        </w:rPr>
        <w:t>1）</w:t>
      </w:r>
      <w:r>
        <w:rPr>
          <w:rFonts w:hint="eastAsia"/>
          <w:color w:val="auto"/>
        </w:rPr>
        <w:t>对能源资源消耗和污染物产生实行严格的定额管理，考核机制健全；建立并运行了健康、安全和环境（</w:t>
      </w:r>
      <w:r>
        <w:rPr>
          <w:color w:val="auto"/>
        </w:rPr>
        <w:t>HSE）管理体系。</w:t>
      </w:r>
    </w:p>
    <w:p w14:paraId="0074A705">
      <w:pPr>
        <w:pStyle w:val="4"/>
        <w:ind w:firstLine="480"/>
        <w:rPr>
          <w:color w:val="auto"/>
        </w:rPr>
      </w:pPr>
      <w:r>
        <w:rPr>
          <w:rFonts w:hint="eastAsia"/>
          <w:color w:val="auto"/>
        </w:rPr>
        <w:t>（</w:t>
      </w:r>
      <w:r>
        <w:rPr>
          <w:color w:val="auto"/>
        </w:rPr>
        <w:t>2）制订有清洁生产审核工作计划，对生产全流程定期开展清洁生产审核活动。</w:t>
      </w:r>
    </w:p>
    <w:p w14:paraId="08143E20">
      <w:pPr>
        <w:pStyle w:val="4"/>
        <w:ind w:firstLine="480"/>
        <w:rPr>
          <w:color w:val="auto"/>
        </w:rPr>
      </w:pPr>
      <w:r>
        <w:rPr>
          <w:rFonts w:hint="eastAsia"/>
          <w:color w:val="auto"/>
        </w:rPr>
        <w:t>（</w:t>
      </w:r>
      <w:r>
        <w:rPr>
          <w:color w:val="auto"/>
        </w:rPr>
        <w:t>3）按照相关法律法规要求，严格执行建设项目环保“三同时”制度及建设项目环境影响评价制度。</w:t>
      </w:r>
    </w:p>
    <w:p w14:paraId="6977061B">
      <w:pPr>
        <w:pStyle w:val="5"/>
        <w:rPr>
          <w:color w:val="auto"/>
        </w:rPr>
      </w:pPr>
      <w:bookmarkStart w:id="482" w:name="_Toc231283648"/>
      <w:bookmarkStart w:id="483" w:name="_Toc220760699"/>
      <w:bookmarkStart w:id="484" w:name="_Toc220760783"/>
      <w:r>
        <w:rPr>
          <w:rFonts w:hint="eastAsia"/>
          <w:color w:val="auto"/>
        </w:rPr>
        <w:t>实际清洁生产指标与环评报告的符合度</w:t>
      </w:r>
      <w:bookmarkEnd w:id="482"/>
      <w:bookmarkEnd w:id="483"/>
      <w:bookmarkEnd w:id="484"/>
    </w:p>
    <w:p w14:paraId="5E210798">
      <w:pPr>
        <w:pStyle w:val="4"/>
        <w:ind w:firstLine="480"/>
        <w:rPr>
          <w:color w:val="auto"/>
        </w:rPr>
      </w:pPr>
      <w:r>
        <w:rPr>
          <w:rFonts w:hint="eastAsia"/>
          <w:color w:val="auto"/>
        </w:rPr>
        <w:t>本次验收期间，采取先进的清洁生产工艺装备，采出液采用密闭管道集输、废水依托站场处理后回注，建立并运行了健康、安全和环境（</w:t>
      </w:r>
      <w:r>
        <w:rPr>
          <w:color w:val="auto"/>
        </w:rPr>
        <w:t>HSE）管理体系</w:t>
      </w:r>
      <w:r>
        <w:rPr>
          <w:rFonts w:hint="eastAsia"/>
          <w:color w:val="auto"/>
        </w:rPr>
        <w:t>，全部落实了环境影响评价文件中提到的清洁生产要求。</w:t>
      </w:r>
    </w:p>
    <w:p w14:paraId="054B05B5">
      <w:pPr>
        <w:pStyle w:val="5"/>
        <w:rPr>
          <w:color w:val="auto"/>
        </w:rPr>
      </w:pPr>
      <w:bookmarkStart w:id="485" w:name="_Toc220760784"/>
      <w:bookmarkStart w:id="486" w:name="_Toc220760700"/>
      <w:bookmarkStart w:id="487" w:name="_Toc231283649"/>
      <w:r>
        <w:rPr>
          <w:rFonts w:hint="eastAsia"/>
          <w:color w:val="auto"/>
        </w:rPr>
        <w:t>实际清洁生产水平</w:t>
      </w:r>
      <w:bookmarkEnd w:id="485"/>
      <w:bookmarkEnd w:id="486"/>
      <w:bookmarkEnd w:id="487"/>
    </w:p>
    <w:p w14:paraId="32E08F97">
      <w:pPr>
        <w:pStyle w:val="4"/>
        <w:ind w:firstLine="480"/>
        <w:rPr>
          <w:color w:val="auto"/>
        </w:rPr>
      </w:pPr>
      <w:r>
        <w:rPr>
          <w:rFonts w:hint="eastAsia"/>
          <w:color w:val="auto"/>
        </w:rPr>
        <w:t>本期工程所采用技术符合国家关于清洁生产的政策和法规等要求，在工艺与装备选型、资源与能源消耗、污染物产生及废物回用等方面所采取的措施均能够满足清洁生产的要求。</w:t>
      </w:r>
    </w:p>
    <w:p w14:paraId="26E143C0">
      <w:pPr>
        <w:pStyle w:val="4"/>
        <w:ind w:firstLine="480"/>
        <w:rPr>
          <w:color w:val="auto"/>
        </w:rPr>
        <w:sectPr>
          <w:pgSz w:w="11907" w:h="16839"/>
          <w:pgMar w:top="1418" w:right="1588" w:bottom="1418" w:left="1588" w:header="1134" w:footer="850" w:gutter="0"/>
          <w:cols w:space="720" w:num="1"/>
          <w:docGrid w:linePitch="312" w:charSpace="0"/>
        </w:sectPr>
      </w:pPr>
    </w:p>
    <w:p w14:paraId="0B0E095B">
      <w:pPr>
        <w:pStyle w:val="3"/>
        <w:rPr>
          <w:color w:val="auto"/>
        </w:rPr>
      </w:pPr>
      <w:bookmarkStart w:id="488" w:name="_Toc231283650"/>
      <w:r>
        <w:rPr>
          <w:rFonts w:hint="eastAsia"/>
          <w:color w:val="auto"/>
        </w:rPr>
        <w:t>环境风险事故防范及应急措施调查</w:t>
      </w:r>
      <w:bookmarkEnd w:id="488"/>
    </w:p>
    <w:p w14:paraId="2206F587">
      <w:pPr>
        <w:pStyle w:val="5"/>
        <w:rPr>
          <w:color w:val="auto"/>
        </w:rPr>
      </w:pPr>
      <w:bookmarkStart w:id="489" w:name="_Toc231283651"/>
      <w:r>
        <w:rPr>
          <w:rFonts w:hint="eastAsia"/>
          <w:color w:val="auto"/>
        </w:rPr>
        <w:t>环境风险调查</w:t>
      </w:r>
      <w:bookmarkEnd w:id="489"/>
    </w:p>
    <w:p w14:paraId="3DA49F45">
      <w:pPr>
        <w:pStyle w:val="4"/>
        <w:ind w:firstLine="480"/>
        <w:rPr>
          <w:color w:val="auto"/>
        </w:rPr>
      </w:pPr>
      <w:r>
        <w:rPr>
          <w:rFonts w:hint="eastAsia"/>
          <w:color w:val="auto"/>
        </w:rPr>
        <w:t>项目的环境风险因素主要是钻井期间的井喷事故、运营期集油管线泄漏事故对环境的影响。</w:t>
      </w:r>
    </w:p>
    <w:p w14:paraId="0C4E6329">
      <w:pPr>
        <w:pStyle w:val="4"/>
        <w:ind w:firstLine="480"/>
        <w:rPr>
          <w:color w:val="auto"/>
        </w:rPr>
      </w:pPr>
      <w:r>
        <w:rPr>
          <w:rFonts w:hint="eastAsia"/>
          <w:color w:val="auto"/>
        </w:rPr>
        <w:t>1）井喷事故</w:t>
      </w:r>
    </w:p>
    <w:p w14:paraId="49E64F1C">
      <w:pPr>
        <w:pStyle w:val="4"/>
        <w:ind w:firstLine="480"/>
        <w:rPr>
          <w:color w:val="auto"/>
        </w:rPr>
      </w:pPr>
      <w:r>
        <w:rPr>
          <w:rFonts w:hint="eastAsia"/>
          <w:color w:val="auto"/>
        </w:rPr>
        <w:t>在钻井过程中，当钻头钻开油层后，由于地层压力的突然增大，钻井泥浆开始湍动，并出现溢流，随之发生井喷，此时如能够及时关井，控制井口，并采取补救措施，如加重泥浆强行压井，平衡井内压力可使井喷得到控制。若井喷后，未能及时关井，失去对井口控制，大量油气将从井口喷射释放，这将使油气资源遭到破坏，并使周围自然环境受到污染。因此，井喷失控是钻井工程中性质严重、损失巨大的灾难性事故。</w:t>
      </w:r>
    </w:p>
    <w:p w14:paraId="0EC5A85A">
      <w:pPr>
        <w:pStyle w:val="4"/>
        <w:ind w:firstLine="480"/>
        <w:rPr>
          <w:color w:val="auto"/>
        </w:rPr>
      </w:pPr>
      <w:r>
        <w:rPr>
          <w:rFonts w:hint="eastAsia"/>
          <w:color w:val="auto"/>
        </w:rPr>
        <w:t>经调查，本期工程钻井作业过程中未发生井喷事故。</w:t>
      </w:r>
    </w:p>
    <w:p w14:paraId="04B213CA">
      <w:pPr>
        <w:pStyle w:val="4"/>
        <w:ind w:firstLine="480"/>
        <w:rPr>
          <w:color w:val="auto"/>
        </w:rPr>
      </w:pPr>
      <w:r>
        <w:rPr>
          <w:rFonts w:hint="eastAsia"/>
          <w:color w:val="auto"/>
        </w:rPr>
        <w:t>2）管线泄漏事故</w:t>
      </w:r>
    </w:p>
    <w:p w14:paraId="750DDFE8">
      <w:pPr>
        <w:pStyle w:val="4"/>
        <w:ind w:firstLine="480"/>
        <w:rPr>
          <w:color w:val="auto"/>
        </w:rPr>
      </w:pPr>
      <w:r>
        <w:rPr>
          <w:rFonts w:hint="eastAsia"/>
          <w:color w:val="auto"/>
        </w:rPr>
        <w:t>本期工程集油管线主要采用埋地敷设方式，集输过程中常见的事故有集油管线因腐蚀穿孔而造成采出液泄漏；冬季运行时管线因保温性能差等原因发生冻堵、管线破裂。管线泄漏事故发生时，其中的油气、天然气逐渐挥发进入大气，会对事故现场空气环境产生影响，局部大气中烃类浓度可能高出正常情况的数倍或更多，但不会超过井喷时因伴生气排放对大气的影响强度，更不会导致大气环境的明显恶化。</w:t>
      </w:r>
    </w:p>
    <w:p w14:paraId="0CD70495">
      <w:pPr>
        <w:pStyle w:val="4"/>
        <w:ind w:firstLine="480"/>
        <w:rPr>
          <w:color w:val="auto"/>
        </w:rPr>
      </w:pPr>
      <w:r>
        <w:rPr>
          <w:rFonts w:hint="eastAsia"/>
          <w:color w:val="auto"/>
        </w:rPr>
        <w:t>本期工程集油管线采用了防腐措施，能够对管线起到有效保护。在验收调查期间，未发生管线泄漏事故。</w:t>
      </w:r>
    </w:p>
    <w:p w14:paraId="0354B7BC">
      <w:pPr>
        <w:pStyle w:val="5"/>
        <w:rPr>
          <w:color w:val="auto"/>
        </w:rPr>
      </w:pPr>
      <w:bookmarkStart w:id="490" w:name="_Toc231283652"/>
      <w:r>
        <w:rPr>
          <w:rFonts w:hint="eastAsia"/>
          <w:color w:val="auto"/>
        </w:rPr>
        <w:t>环境风险防范措施调查</w:t>
      </w:r>
      <w:bookmarkEnd w:id="490"/>
    </w:p>
    <w:p w14:paraId="70D28380">
      <w:pPr>
        <w:pStyle w:val="4"/>
        <w:ind w:firstLine="480"/>
        <w:rPr>
          <w:color w:val="auto"/>
        </w:rPr>
      </w:pPr>
      <w:r>
        <w:rPr>
          <w:rFonts w:hint="eastAsia"/>
          <w:color w:val="auto"/>
        </w:rPr>
        <w:t>为消除事故隐患，针对上述风险事故，建设单位在工艺设计、设备选型、施工单位选择、施工监督管理等方面都采取了大量行之有效的措施。</w:t>
      </w:r>
    </w:p>
    <w:p w14:paraId="7A6DD47E">
      <w:pPr>
        <w:pStyle w:val="4"/>
        <w:ind w:firstLine="480"/>
        <w:rPr>
          <w:color w:val="auto"/>
        </w:rPr>
      </w:pPr>
      <w:r>
        <w:rPr>
          <w:rFonts w:hint="eastAsia"/>
          <w:color w:val="auto"/>
        </w:rPr>
        <w:t>1）井喷事故防范措施调查</w:t>
      </w:r>
    </w:p>
    <w:p w14:paraId="543E6428">
      <w:pPr>
        <w:pStyle w:val="4"/>
        <w:ind w:firstLine="480"/>
        <w:rPr>
          <w:color w:val="auto"/>
        </w:rPr>
      </w:pPr>
      <w:r>
        <w:rPr>
          <w:rFonts w:hint="eastAsia"/>
          <w:color w:val="auto"/>
        </w:rPr>
        <w:t>（1）钻进中遇有突然加快、蹩跳、放空、悬重增加、泵压下降等现象，会立即停钻观察并提出钻杆，根据实际情况采取了相应措施。</w:t>
      </w:r>
    </w:p>
    <w:p w14:paraId="5513EBBA">
      <w:pPr>
        <w:pStyle w:val="4"/>
        <w:ind w:firstLine="480"/>
        <w:rPr>
          <w:color w:val="auto"/>
        </w:rPr>
      </w:pPr>
      <w:r>
        <w:rPr>
          <w:rFonts w:hint="eastAsia"/>
          <w:color w:val="auto"/>
        </w:rPr>
        <w:t>（2）钻进中设置了专人观察记录泥浆出口管，发现泥浆液面升高、油气浸严重、泥浆密度降低、黏度升高等情况时，会立即停止钻进，及时汇报，并采取相应措施。</w:t>
      </w:r>
    </w:p>
    <w:p w14:paraId="153F257C">
      <w:pPr>
        <w:pStyle w:val="4"/>
        <w:ind w:firstLine="480"/>
        <w:rPr>
          <w:color w:val="auto"/>
        </w:rPr>
      </w:pPr>
      <w:r>
        <w:rPr>
          <w:rFonts w:hint="eastAsia"/>
          <w:color w:val="auto"/>
        </w:rPr>
        <w:t>（3）起钻过程中，在遇拔活塞，灌不进泥浆，立即停止起钻，接方钻杆灌泥浆或下钻到底，调整泥浆性能，达到不涌不漏，进出口平衡再起钻。</w:t>
      </w:r>
    </w:p>
    <w:p w14:paraId="20491B8A">
      <w:pPr>
        <w:pStyle w:val="4"/>
        <w:ind w:firstLine="480"/>
        <w:rPr>
          <w:color w:val="auto"/>
        </w:rPr>
      </w:pPr>
      <w:r>
        <w:rPr>
          <w:rFonts w:hint="eastAsia"/>
          <w:color w:val="auto"/>
        </w:rPr>
        <w:t>（4）下钻时控制速度，防止了压力激动造成井漏。采取分段循环，防止后效诱喷；下钻到底先顶通水眼，形成循环再提高排量，以防蹩漏地层中断循环，失去平衡，造成井喷。</w:t>
      </w:r>
    </w:p>
    <w:p w14:paraId="21279C4C">
      <w:pPr>
        <w:pStyle w:val="4"/>
        <w:ind w:firstLine="480"/>
        <w:rPr>
          <w:color w:val="auto"/>
        </w:rPr>
      </w:pPr>
      <w:r>
        <w:rPr>
          <w:rFonts w:hint="eastAsia"/>
          <w:color w:val="auto"/>
        </w:rPr>
        <w:t>（5）钻开油气层前，按设计储备了足够的泥浆和一定量的加重材料、处理剂。</w:t>
      </w:r>
    </w:p>
    <w:p w14:paraId="37DB0352">
      <w:pPr>
        <w:pStyle w:val="4"/>
        <w:ind w:firstLine="480"/>
        <w:rPr>
          <w:color w:val="auto"/>
        </w:rPr>
      </w:pPr>
      <w:r>
        <w:rPr>
          <w:rFonts w:hint="eastAsia"/>
          <w:color w:val="auto"/>
        </w:rPr>
        <w:t>（6）钻开油气层起钻，控制了起钻速度，全井用低速起钻，起完钻立即下钻，缩短了空井时间。</w:t>
      </w:r>
    </w:p>
    <w:p w14:paraId="15BD900F">
      <w:pPr>
        <w:pStyle w:val="4"/>
        <w:ind w:firstLine="480"/>
        <w:rPr>
          <w:color w:val="auto"/>
        </w:rPr>
      </w:pPr>
      <w:r>
        <w:rPr>
          <w:rFonts w:hint="eastAsia"/>
          <w:color w:val="auto"/>
        </w:rPr>
        <w:t>（7）完井后或中途电测起钻前，调整泥浆，充分循环达到进出口平衡，钻头起到套管鞋位置时停止起钻，观察若发现有溢流则下钻到底加重，达到密度合适均匀、性能稳定、溢流停止，方才起钻。</w:t>
      </w:r>
    </w:p>
    <w:p w14:paraId="5A5FBE22">
      <w:pPr>
        <w:pStyle w:val="4"/>
        <w:ind w:firstLine="480"/>
        <w:rPr>
          <w:color w:val="auto"/>
        </w:rPr>
      </w:pPr>
      <w:r>
        <w:rPr>
          <w:rFonts w:hint="eastAsia"/>
          <w:color w:val="auto"/>
        </w:rPr>
        <w:t>（8）完井电测时设置了专人观察井口，每测一趟灌满一次泥浆，发现溢流，停止电测作业，起出电缆或将电缆剁断，强行下钻，若电测时间过长，及时下钻通井。</w:t>
      </w:r>
    </w:p>
    <w:p w14:paraId="5C5E585B">
      <w:pPr>
        <w:pStyle w:val="4"/>
        <w:ind w:firstLine="480"/>
        <w:rPr>
          <w:color w:val="auto"/>
        </w:rPr>
      </w:pPr>
      <w:r>
        <w:rPr>
          <w:rFonts w:hint="eastAsia"/>
          <w:color w:val="auto"/>
        </w:rPr>
        <w:t>2）管线泄漏事故防范措施调查</w:t>
      </w:r>
    </w:p>
    <w:p w14:paraId="5BA590B5">
      <w:pPr>
        <w:pStyle w:val="4"/>
        <w:ind w:firstLine="480"/>
        <w:rPr>
          <w:color w:val="auto"/>
        </w:rPr>
      </w:pPr>
      <w:r>
        <w:rPr>
          <w:rFonts w:hint="eastAsia"/>
          <w:color w:val="auto"/>
        </w:rPr>
        <w:t>为尽量避免管线破裂事故的发生，减轻泄漏事故对环境的影响，采取了以下的安全环保措施：</w:t>
      </w:r>
    </w:p>
    <w:p w14:paraId="114A575B">
      <w:pPr>
        <w:pStyle w:val="4"/>
        <w:ind w:firstLine="480"/>
        <w:rPr>
          <w:color w:val="auto"/>
        </w:rPr>
      </w:pPr>
      <w:r>
        <w:rPr>
          <w:rFonts w:hint="eastAsia"/>
          <w:color w:val="auto"/>
        </w:rPr>
        <w:t>（1）管理措施</w:t>
      </w:r>
    </w:p>
    <w:p w14:paraId="16426D03">
      <w:pPr>
        <w:pStyle w:val="4"/>
        <w:ind w:firstLine="480"/>
        <w:rPr>
          <w:color w:val="auto"/>
        </w:rPr>
      </w:pPr>
      <w:r>
        <w:rPr>
          <w:rFonts w:hint="eastAsia"/>
          <w:color w:val="auto"/>
        </w:rPr>
        <w:t>①禁止在管线两侧20m～50m范围内进行各项施工活动时注意保护管线，减少由此可能造成的事故；</w:t>
      </w:r>
    </w:p>
    <w:p w14:paraId="0F07CB24">
      <w:pPr>
        <w:pStyle w:val="4"/>
        <w:ind w:firstLine="480"/>
        <w:rPr>
          <w:color w:val="auto"/>
        </w:rPr>
      </w:pPr>
      <w:r>
        <w:rPr>
          <w:rFonts w:hint="eastAsia"/>
          <w:color w:val="auto"/>
        </w:rPr>
        <w:t>②严禁在管道线路两侧50m范围内修筑大型工程，在10m范围内禁止种植乔木、灌木及其他深根植物；</w:t>
      </w:r>
    </w:p>
    <w:p w14:paraId="353390C1">
      <w:pPr>
        <w:pStyle w:val="4"/>
        <w:ind w:firstLine="480"/>
        <w:rPr>
          <w:color w:val="auto"/>
        </w:rPr>
      </w:pPr>
      <w:r>
        <w:rPr>
          <w:rFonts w:hint="eastAsia"/>
          <w:color w:val="auto"/>
        </w:rPr>
        <w:t>③加强自动控制系统的管理和控制，严格控制压力平衡；</w:t>
      </w:r>
    </w:p>
    <w:p w14:paraId="708E0647">
      <w:pPr>
        <w:pStyle w:val="4"/>
        <w:ind w:firstLine="480"/>
        <w:rPr>
          <w:color w:val="auto"/>
        </w:rPr>
      </w:pPr>
      <w:r>
        <w:rPr>
          <w:rFonts w:hint="eastAsia"/>
          <w:color w:val="auto"/>
        </w:rPr>
        <w:t>④按规定进行设备维修、保养，及时更换易损及老化部件。</w:t>
      </w:r>
    </w:p>
    <w:p w14:paraId="0CA4394B">
      <w:pPr>
        <w:pStyle w:val="4"/>
        <w:ind w:firstLine="480"/>
        <w:rPr>
          <w:color w:val="auto"/>
        </w:rPr>
      </w:pPr>
      <w:r>
        <w:rPr>
          <w:rFonts w:hint="eastAsia"/>
          <w:color w:val="auto"/>
        </w:rPr>
        <w:t>（2）加强防腐措施</w:t>
      </w:r>
    </w:p>
    <w:p w14:paraId="5A94EA23">
      <w:pPr>
        <w:pStyle w:val="4"/>
        <w:ind w:firstLine="480"/>
        <w:rPr>
          <w:color w:val="auto"/>
        </w:rPr>
      </w:pPr>
      <w:r>
        <w:rPr>
          <w:rFonts w:hint="eastAsia"/>
          <w:color w:val="auto"/>
        </w:rPr>
        <w:t>金属腐蚀的本质在于金属原子在腐蚀介质的作用下，失去电子变成离子而转移到腐蚀介质中，导致金属发生破坏。本期工程采用良好的绝缘涂层隔断金属表面与腐蚀介质的接触，阻止电子从金属表面流动腐蚀介质中，使金属免遭腐蚀。并根据埋地管线所处的不同环境，采用相应的涂层防腐体系。</w:t>
      </w:r>
    </w:p>
    <w:p w14:paraId="58BE6B47">
      <w:pPr>
        <w:pStyle w:val="4"/>
        <w:ind w:firstLine="480"/>
        <w:rPr>
          <w:color w:val="auto"/>
        </w:rPr>
      </w:pPr>
      <w:r>
        <w:rPr>
          <w:rFonts w:hint="eastAsia"/>
          <w:color w:val="auto"/>
        </w:rPr>
        <w:t>加强了施工质量监督，保证施工质量符合建设标准。经调查，地面工程施工期间，对管线、设备设施等进行了防腐检测、无损检测等工作，检测结果表明管线满足相关要求。</w:t>
      </w:r>
    </w:p>
    <w:p w14:paraId="27CF6AB0">
      <w:pPr>
        <w:pStyle w:val="5"/>
        <w:rPr>
          <w:color w:val="auto"/>
        </w:rPr>
      </w:pPr>
      <w:bookmarkStart w:id="491" w:name="_Toc231283653"/>
      <w:r>
        <w:rPr>
          <w:rFonts w:hint="eastAsia"/>
          <w:color w:val="auto"/>
        </w:rPr>
        <w:t>应急预案调查</w:t>
      </w:r>
      <w:bookmarkEnd w:id="491"/>
    </w:p>
    <w:p w14:paraId="129E3E31">
      <w:pPr>
        <w:pStyle w:val="4"/>
        <w:ind w:firstLine="480"/>
        <w:rPr>
          <w:color w:val="auto"/>
        </w:rPr>
      </w:pPr>
      <w:bookmarkStart w:id="492" w:name="_Hlk129356740"/>
      <w:r>
        <w:rPr>
          <w:rFonts w:hint="eastAsia"/>
          <w:color w:val="auto"/>
        </w:rPr>
        <w:t>项目纳入高青公司高青管理区、滨博管理区范围内，高青公司已制定突发环境事件应急预案，于202</w:t>
      </w:r>
      <w:r>
        <w:rPr>
          <w:color w:val="auto"/>
        </w:rPr>
        <w:t>4</w:t>
      </w:r>
      <w:r>
        <w:rPr>
          <w:rFonts w:hint="eastAsia"/>
          <w:color w:val="auto"/>
        </w:rPr>
        <w:t>年</w:t>
      </w:r>
      <w:r>
        <w:rPr>
          <w:color w:val="auto"/>
        </w:rPr>
        <w:t>12</w:t>
      </w:r>
      <w:r>
        <w:rPr>
          <w:rFonts w:hint="eastAsia"/>
          <w:color w:val="auto"/>
        </w:rPr>
        <w:t>月</w:t>
      </w:r>
      <w:r>
        <w:rPr>
          <w:color w:val="auto"/>
        </w:rPr>
        <w:t>10</w:t>
      </w:r>
      <w:r>
        <w:rPr>
          <w:rFonts w:hint="eastAsia"/>
          <w:color w:val="auto"/>
        </w:rPr>
        <w:t>日在淄博市生态环境局高青县分局完成备案，备案编号为</w:t>
      </w:r>
      <w:bookmarkStart w:id="493" w:name="OLE_LINK129"/>
      <w:r>
        <w:rPr>
          <w:rFonts w:hint="eastAsia"/>
          <w:color w:val="auto"/>
        </w:rPr>
        <w:t>3</w:t>
      </w:r>
      <w:r>
        <w:rPr>
          <w:color w:val="auto"/>
        </w:rPr>
        <w:t>70322-2024-090-M</w:t>
      </w:r>
      <w:bookmarkEnd w:id="493"/>
      <w:r>
        <w:rPr>
          <w:rFonts w:hint="eastAsia"/>
          <w:color w:val="auto"/>
        </w:rPr>
        <w:t>，预案中包括上述环境风险事故的相关内容。</w:t>
      </w:r>
    </w:p>
    <w:p w14:paraId="33A48D3A">
      <w:pPr>
        <w:pStyle w:val="4"/>
        <w:ind w:firstLine="480"/>
        <w:rPr>
          <w:color w:val="auto"/>
        </w:rPr>
      </w:pPr>
      <w:r>
        <w:rPr>
          <w:rFonts w:hint="eastAsia" w:cstheme="minorBidi"/>
          <w:color w:val="auto"/>
        </w:rPr>
        <w:t>随着区块滚动开发及产能扩大，建设单位</w:t>
      </w:r>
      <w:r>
        <w:rPr>
          <w:rFonts w:cstheme="minorBidi"/>
          <w:color w:val="auto"/>
        </w:rPr>
        <w:t>应对照</w:t>
      </w:r>
      <w:r>
        <w:rPr>
          <w:rFonts w:hint="eastAsia" w:cstheme="minorBidi"/>
          <w:color w:val="auto"/>
        </w:rPr>
        <w:t>《企业事业单位突发环境事件应急预案备案管理办法（试行）》（环发[2015]4号）相关规定，判断企业是否存在需要进行突发环境事件应急预案修订，如存在进行修订的情形，应及时组织人员对突发环境事件应急预案进行修订，修订后的突发环境事件应急预案发布之日起2</w:t>
      </w:r>
      <w:r>
        <w:rPr>
          <w:rFonts w:cstheme="minorBidi"/>
          <w:color w:val="auto"/>
        </w:rPr>
        <w:t>0个工作日内</w:t>
      </w:r>
      <w:r>
        <w:rPr>
          <w:rFonts w:hint="eastAsia" w:cstheme="minorBidi"/>
          <w:color w:val="auto"/>
        </w:rPr>
        <w:t>应完成变更备案。</w:t>
      </w:r>
    </w:p>
    <w:p w14:paraId="263FB8D7">
      <w:pPr>
        <w:pStyle w:val="4"/>
        <w:ind w:firstLine="480"/>
        <w:rPr>
          <w:color w:val="auto"/>
        </w:rPr>
      </w:pPr>
      <w:r>
        <w:rPr>
          <w:rFonts w:hint="eastAsia"/>
          <w:color w:val="auto"/>
        </w:rPr>
        <w:t>经调查，每季度对环境风险事故及应急措施进行一次培训和演练，该内容已纳入生产工作考核中。对各类专项预案分别演练，并上报高青公司，联合开展高青公司内、外部联动处置及保障单位的应急响应。应急演练</w:t>
      </w:r>
      <w:bookmarkEnd w:id="492"/>
      <w:r>
        <w:rPr>
          <w:rFonts w:hint="eastAsia"/>
          <w:color w:val="auto"/>
        </w:rPr>
        <w:t>照片见</w:t>
      </w:r>
      <w:r>
        <w:rPr>
          <w:color w:val="auto"/>
        </w:rPr>
        <w:fldChar w:fldCharType="begin"/>
      </w:r>
      <w:r>
        <w:rPr>
          <w:color w:val="auto"/>
        </w:rPr>
        <w:instrText xml:space="preserve"> </w:instrText>
      </w:r>
      <w:r>
        <w:rPr>
          <w:rFonts w:hint="eastAsia"/>
          <w:color w:val="auto"/>
        </w:rPr>
        <w:instrText xml:space="preserve">REF _Ref181440268 \h</w:instrText>
      </w:r>
      <w:r>
        <w:rPr>
          <w:color w:val="auto"/>
        </w:rPr>
        <w:instrText xml:space="preserve">  \* MERGEFORMAT </w:instrText>
      </w:r>
      <w:r>
        <w:rPr>
          <w:color w:val="auto"/>
        </w:rPr>
        <w:fldChar w:fldCharType="separate"/>
      </w:r>
      <w:r>
        <w:rPr>
          <w:rFonts w:cstheme="minorBidi"/>
          <w:color w:val="auto"/>
        </w:rPr>
        <w:t>图 8.3</w:t>
      </w:r>
      <w:r>
        <w:rPr>
          <w:rFonts w:cstheme="minorBidi"/>
          <w:color w:val="auto"/>
        </w:rPr>
        <w:noBreakHyphen/>
      </w:r>
      <w:r>
        <w:rPr>
          <w:rFonts w:cstheme="minorBidi"/>
          <w:color w:val="auto"/>
        </w:rPr>
        <w:t>1</w:t>
      </w:r>
      <w:r>
        <w:rPr>
          <w:color w:val="auto"/>
        </w:rPr>
        <w:fldChar w:fldCharType="end"/>
      </w:r>
      <w:r>
        <w:rPr>
          <w:rFonts w:hint="eastAsia"/>
          <w:color w:val="auto"/>
        </w:rPr>
        <w:t>。</w:t>
      </w:r>
    </w:p>
    <w:tbl>
      <w:tblPr>
        <w:tblStyle w:val="3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0"/>
        <w:gridCol w:w="4341"/>
      </w:tblGrid>
      <w:tr w14:paraId="74E4D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4506" w:type="dxa"/>
            <w:vAlign w:val="center"/>
          </w:tcPr>
          <w:p w14:paraId="5FAAFEFA">
            <w:pPr>
              <w:adjustRightInd w:val="0"/>
              <w:snapToGrid w:val="0"/>
              <w:jc w:val="center"/>
              <w:rPr>
                <w:rFonts w:hAnsi="Times New Roman" w:cstheme="minorBidi"/>
                <w:color w:val="auto"/>
              </w:rPr>
            </w:pPr>
            <w:r>
              <w:rPr>
                <w:rFonts w:hAnsi="Times New Roman" w:cstheme="minorBidi"/>
                <w:color w:val="auto"/>
              </w:rPr>
              <w:drawing>
                <wp:inline distT="0" distB="0" distL="0" distR="0">
                  <wp:extent cx="2884170" cy="2162175"/>
                  <wp:effectExtent l="0" t="0" r="0" b="9525"/>
                  <wp:docPr id="459578585" name="图片 459578585" descr="C:\Users\王银苹\AppData\Roaming\SinopecSoftCustom\LxResource\Images\0880806010b5fe9b9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5" name="图片 459578585" descr="C:\Users\王银苹\AppData\Roaming\SinopecSoftCustom\LxResource\Images\0880806010b5fe9b940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896234" cy="2171642"/>
                          </a:xfrm>
                          <a:prstGeom prst="rect">
                            <a:avLst/>
                          </a:prstGeom>
                          <a:noFill/>
                          <a:ln>
                            <a:noFill/>
                          </a:ln>
                        </pic:spPr>
                      </pic:pic>
                    </a:graphicData>
                  </a:graphic>
                </wp:inline>
              </w:drawing>
            </w:r>
          </w:p>
        </w:tc>
        <w:tc>
          <w:tcPr>
            <w:tcW w:w="4206" w:type="dxa"/>
            <w:vAlign w:val="center"/>
          </w:tcPr>
          <w:p w14:paraId="697AF294">
            <w:pPr>
              <w:adjustRightInd w:val="0"/>
              <w:snapToGrid w:val="0"/>
              <w:spacing w:before="100" w:beforeAutospacing="1" w:after="100" w:afterAutospacing="1"/>
              <w:rPr>
                <w:rFonts w:hAnsi="Times New Roman" w:cstheme="minorBidi"/>
                <w:color w:val="auto"/>
              </w:rPr>
            </w:pPr>
            <w:r>
              <w:rPr>
                <w:color w:val="auto"/>
              </w:rPr>
              <w:drawing>
                <wp:inline distT="0" distB="0" distL="0" distR="0">
                  <wp:extent cx="2856230" cy="2065020"/>
                  <wp:effectExtent l="0" t="0" r="1270" b="0"/>
                  <wp:docPr id="459578586" name="图片 459578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6" name="图片 459578586"/>
                          <pic:cNvPicPr>
                            <a:picLocks noChangeAspect="1"/>
                          </pic:cNvPicPr>
                        </pic:nvPicPr>
                        <pic:blipFill>
                          <a:blip r:embed="rId76"/>
                          <a:stretch>
                            <a:fillRect/>
                          </a:stretch>
                        </pic:blipFill>
                        <pic:spPr>
                          <a:xfrm>
                            <a:off x="0" y="0"/>
                            <a:ext cx="2875807" cy="2079039"/>
                          </a:xfrm>
                          <a:prstGeom prst="rect">
                            <a:avLst/>
                          </a:prstGeom>
                        </pic:spPr>
                      </pic:pic>
                    </a:graphicData>
                  </a:graphic>
                </wp:inline>
              </w:drawing>
            </w:r>
          </w:p>
        </w:tc>
      </w:tr>
    </w:tbl>
    <w:p w14:paraId="4E5152D0">
      <w:pPr>
        <w:adjustRightInd w:val="0"/>
        <w:snapToGrid w:val="0"/>
        <w:spacing w:before="120" w:beforeLines="50" w:line="360" w:lineRule="auto"/>
        <w:jc w:val="center"/>
        <w:rPr>
          <w:rFonts w:hAnsiTheme="majorHAnsi"/>
          <w:color w:val="auto"/>
          <w:szCs w:val="20"/>
        </w:rPr>
      </w:pPr>
      <w:bookmarkStart w:id="494" w:name="_Ref181440268"/>
      <w:r>
        <w:rPr>
          <w:rFonts w:hAnsiTheme="majorHAnsi" w:cstheme="majorBidi"/>
          <w:color w:val="auto"/>
          <w:szCs w:val="20"/>
        </w:rPr>
        <w:t xml:space="preserve">图 </w:t>
      </w:r>
      <w:r>
        <w:rPr>
          <w:rFonts w:hAnsiTheme="majorHAnsi" w:cstheme="majorBidi"/>
          <w:color w:val="auto"/>
          <w:szCs w:val="20"/>
        </w:rPr>
        <w:fldChar w:fldCharType="begin"/>
      </w:r>
      <w:r>
        <w:rPr>
          <w:rFonts w:hAnsiTheme="majorHAnsi" w:cstheme="majorBidi"/>
          <w:color w:val="auto"/>
          <w:szCs w:val="20"/>
        </w:rPr>
        <w:instrText xml:space="preserve"> STYLEREF 2 \s </w:instrText>
      </w:r>
      <w:r>
        <w:rPr>
          <w:rFonts w:hAnsiTheme="majorHAnsi" w:cstheme="majorBidi"/>
          <w:color w:val="auto"/>
          <w:szCs w:val="20"/>
        </w:rPr>
        <w:fldChar w:fldCharType="separate"/>
      </w:r>
      <w:r>
        <w:rPr>
          <w:rFonts w:hAnsiTheme="majorHAnsi" w:cstheme="majorBidi"/>
          <w:color w:val="auto"/>
          <w:szCs w:val="20"/>
        </w:rPr>
        <w:t>8.3</w:t>
      </w:r>
      <w:r>
        <w:rPr>
          <w:rFonts w:hAnsiTheme="majorHAnsi" w:cstheme="majorBidi"/>
          <w:color w:val="auto"/>
          <w:szCs w:val="20"/>
        </w:rPr>
        <w:fldChar w:fldCharType="end"/>
      </w:r>
      <w:r>
        <w:rPr>
          <w:rFonts w:hAnsiTheme="majorHAnsi" w:cstheme="majorBidi"/>
          <w:color w:val="auto"/>
          <w:szCs w:val="20"/>
        </w:rPr>
        <w:noBreakHyphen/>
      </w:r>
      <w:r>
        <w:rPr>
          <w:rFonts w:hAnsiTheme="majorHAnsi" w:cstheme="majorBidi"/>
          <w:color w:val="auto"/>
          <w:szCs w:val="20"/>
        </w:rPr>
        <w:fldChar w:fldCharType="begin"/>
      </w:r>
      <w:r>
        <w:rPr>
          <w:rFonts w:hAnsiTheme="majorHAnsi" w:cstheme="majorBidi"/>
          <w:color w:val="auto"/>
          <w:szCs w:val="20"/>
        </w:rPr>
        <w:instrText xml:space="preserve"> SEQ 图 \* ARABIC \s 2 </w:instrText>
      </w:r>
      <w:r>
        <w:rPr>
          <w:rFonts w:hAnsiTheme="majorHAnsi" w:cstheme="majorBidi"/>
          <w:color w:val="auto"/>
          <w:szCs w:val="20"/>
        </w:rPr>
        <w:fldChar w:fldCharType="separate"/>
      </w:r>
      <w:r>
        <w:rPr>
          <w:rFonts w:hAnsiTheme="majorHAnsi" w:cstheme="majorBidi"/>
          <w:color w:val="auto"/>
          <w:szCs w:val="20"/>
        </w:rPr>
        <w:t>1</w:t>
      </w:r>
      <w:r>
        <w:rPr>
          <w:rFonts w:hAnsiTheme="majorHAnsi" w:cstheme="majorBidi"/>
          <w:color w:val="auto"/>
          <w:szCs w:val="20"/>
        </w:rPr>
        <w:fldChar w:fldCharType="end"/>
      </w:r>
      <w:bookmarkEnd w:id="494"/>
      <w:r>
        <w:rPr>
          <w:rFonts w:hAnsiTheme="majorHAnsi" w:cstheme="majorBidi"/>
          <w:color w:val="auto"/>
          <w:szCs w:val="20"/>
        </w:rPr>
        <w:t xml:space="preserve"> </w:t>
      </w:r>
      <w:r>
        <w:rPr>
          <w:rFonts w:hint="eastAsia" w:hAnsiTheme="majorHAnsi" w:cstheme="majorBidi"/>
          <w:color w:val="auto"/>
          <w:szCs w:val="20"/>
        </w:rPr>
        <w:t>应急演练照片</w:t>
      </w:r>
    </w:p>
    <w:p w14:paraId="4B0C0163">
      <w:pPr>
        <w:keepNext/>
        <w:numPr>
          <w:ilvl w:val="1"/>
          <w:numId w:val="1"/>
        </w:numPr>
        <w:adjustRightInd w:val="0"/>
        <w:snapToGrid w:val="0"/>
        <w:spacing w:before="100" w:beforeAutospacing="1" w:line="360" w:lineRule="auto"/>
        <w:jc w:val="left"/>
        <w:outlineLvl w:val="1"/>
        <w:rPr>
          <w:rFonts w:ascii="黑体" w:hAnsi="黑体" w:eastAsia="黑体" w:cstheme="majorBidi"/>
          <w:bCs/>
          <w:color w:val="auto"/>
          <w:sz w:val="28"/>
          <w:szCs w:val="32"/>
        </w:rPr>
      </w:pPr>
      <w:bookmarkStart w:id="495" w:name="_Toc231283654"/>
      <w:r>
        <w:rPr>
          <w:rFonts w:hint="eastAsia" w:ascii="黑体" w:hAnsi="黑体" w:eastAsia="黑体" w:cstheme="majorBidi"/>
          <w:bCs/>
          <w:color w:val="auto"/>
          <w:sz w:val="28"/>
          <w:szCs w:val="32"/>
        </w:rPr>
        <w:t>应急物资调查</w:t>
      </w:r>
      <w:bookmarkEnd w:id="495"/>
    </w:p>
    <w:p w14:paraId="1533EBDE">
      <w:pPr>
        <w:pStyle w:val="4"/>
        <w:ind w:firstLine="480"/>
        <w:rPr>
          <w:color w:val="auto"/>
        </w:rPr>
      </w:pPr>
      <w:r>
        <w:rPr>
          <w:rFonts w:hint="eastAsia"/>
          <w:color w:val="auto"/>
        </w:rPr>
        <w:t>本项目生产</w:t>
      </w:r>
      <w:r>
        <w:rPr>
          <w:color w:val="auto"/>
        </w:rPr>
        <w:t>设施的</w:t>
      </w:r>
      <w:r>
        <w:rPr>
          <w:rFonts w:hint="eastAsia"/>
          <w:color w:val="auto"/>
        </w:rPr>
        <w:t>日常</w:t>
      </w:r>
      <w:r>
        <w:rPr>
          <w:color w:val="auto"/>
        </w:rPr>
        <w:t>运行管理</w:t>
      </w:r>
      <w:r>
        <w:rPr>
          <w:rFonts w:hint="eastAsia"/>
          <w:color w:val="auto"/>
        </w:rPr>
        <w:t>由高青公司高青管理区、滨博管理区负责，发生突发环境事件时优先采用管理区内部应急物资，当内部物资无法满足应急处置时，由采油厂统一调配全厂应急物资，</w:t>
      </w:r>
      <w:r>
        <w:rPr>
          <w:color w:val="auto"/>
        </w:rPr>
        <w:t>应</w:t>
      </w:r>
      <w:r>
        <w:rPr>
          <w:rFonts w:hint="eastAsia"/>
          <w:color w:val="auto"/>
        </w:rPr>
        <w:t>急救援物资与装备保障配置情况详见</w:t>
      </w:r>
      <w:r>
        <w:rPr>
          <w:color w:val="auto"/>
        </w:rPr>
        <w:fldChar w:fldCharType="begin"/>
      </w:r>
      <w:r>
        <w:instrText xml:space="preserve"> REF _Ref225251596 \h  \* MERGEFORMAT</w:instrText>
      </w:r>
      <w:r>
        <w:rPr>
          <w:color w:val="auto"/>
        </w:rPr>
        <w:fldChar w:fldCharType="separate"/>
      </w:r>
      <w:r>
        <w:rPr>
          <w:color w:val="auto"/>
        </w:rPr>
        <w:t>表 8.3</w:t>
      </w:r>
      <w:r>
        <w:rPr>
          <w:color w:val="auto"/>
        </w:rPr>
        <w:noBreakHyphen/>
      </w:r>
      <w:r>
        <w:rPr>
          <w:color w:val="auto"/>
        </w:rPr>
        <w:t>1</w:t>
      </w:r>
      <w:r>
        <w:rPr>
          <w:color w:val="auto"/>
        </w:rPr>
        <w:fldChar w:fldCharType="end"/>
      </w:r>
      <w:r>
        <w:rPr>
          <w:rFonts w:hint="eastAsia"/>
          <w:color w:val="auto"/>
        </w:rPr>
        <w:t>。</w:t>
      </w:r>
    </w:p>
    <w:p w14:paraId="0B8C34B1">
      <w:pPr>
        <w:pStyle w:val="15"/>
        <w:spacing w:before="120"/>
        <w:rPr>
          <w:color w:val="auto"/>
        </w:rPr>
      </w:pPr>
      <w:bookmarkStart w:id="496" w:name="_Ref225251596"/>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8.3</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496"/>
      <w:r>
        <w:rPr>
          <w:color w:val="auto"/>
        </w:rPr>
        <w:t xml:space="preserve"> </w:t>
      </w:r>
      <w:r>
        <w:rPr>
          <w:rFonts w:hint="eastAsia"/>
          <w:color w:val="auto"/>
        </w:rPr>
        <w:t>应急物资配置情况</w:t>
      </w:r>
    </w:p>
    <w:tbl>
      <w:tblPr>
        <w:tblStyle w:val="308"/>
        <w:tblW w:w="5000" w:type="pct"/>
        <w:tblInd w:w="0" w:type="dxa"/>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12"/>
        <w:gridCol w:w="2213"/>
        <w:gridCol w:w="762"/>
        <w:gridCol w:w="2262"/>
        <w:gridCol w:w="567"/>
        <w:gridCol w:w="2205"/>
      </w:tblGrid>
      <w:tr w14:paraId="7209B8B8">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78B4D67A">
            <w:pPr>
              <w:pStyle w:val="81"/>
              <w:rPr>
                <w:rFonts w:eastAsia="Times New Roman"/>
                <w:color w:val="auto"/>
                <w:kern w:val="0"/>
              </w:rPr>
            </w:pPr>
            <w:r>
              <w:rPr>
                <w:rFonts w:hint="eastAsia" w:eastAsia="Times New Roman"/>
                <w:color w:val="auto"/>
              </w:rPr>
              <w:t>序号</w:t>
            </w:r>
          </w:p>
        </w:tc>
        <w:tc>
          <w:tcPr>
            <w:tcW w:w="1269" w:type="pct"/>
            <w:vAlign w:val="center"/>
          </w:tcPr>
          <w:p w14:paraId="1A00F323">
            <w:pPr>
              <w:pStyle w:val="81"/>
              <w:rPr>
                <w:rFonts w:eastAsia="Times New Roman"/>
                <w:color w:val="auto"/>
              </w:rPr>
            </w:pPr>
            <w:r>
              <w:rPr>
                <w:rFonts w:hint="eastAsia" w:eastAsia="Times New Roman"/>
                <w:color w:val="auto"/>
              </w:rPr>
              <w:t>名称</w:t>
            </w:r>
          </w:p>
        </w:tc>
        <w:tc>
          <w:tcPr>
            <w:tcW w:w="437" w:type="pct"/>
            <w:vAlign w:val="center"/>
          </w:tcPr>
          <w:p w14:paraId="01126223">
            <w:pPr>
              <w:pStyle w:val="81"/>
              <w:rPr>
                <w:rFonts w:eastAsia="Times New Roman"/>
                <w:color w:val="auto"/>
              </w:rPr>
            </w:pPr>
            <w:r>
              <w:rPr>
                <w:rFonts w:hint="eastAsia" w:eastAsia="Times New Roman"/>
                <w:color w:val="auto"/>
                <w:spacing w:val="7"/>
              </w:rPr>
              <w:t>单位</w:t>
            </w:r>
          </w:p>
        </w:tc>
        <w:tc>
          <w:tcPr>
            <w:tcW w:w="1296" w:type="pct"/>
            <w:vAlign w:val="center"/>
          </w:tcPr>
          <w:p w14:paraId="0168DA00">
            <w:pPr>
              <w:pStyle w:val="81"/>
              <w:rPr>
                <w:rFonts w:eastAsia="Times New Roman"/>
                <w:color w:val="auto"/>
              </w:rPr>
            </w:pPr>
            <w:r>
              <w:rPr>
                <w:rFonts w:hint="eastAsia" w:eastAsia="Times New Roman"/>
                <w:color w:val="auto"/>
                <w:spacing w:val="3"/>
              </w:rPr>
              <w:t>型号</w:t>
            </w:r>
          </w:p>
        </w:tc>
        <w:tc>
          <w:tcPr>
            <w:tcW w:w="325" w:type="pct"/>
            <w:vAlign w:val="center"/>
          </w:tcPr>
          <w:p w14:paraId="04636938">
            <w:pPr>
              <w:pStyle w:val="81"/>
              <w:rPr>
                <w:rFonts w:eastAsia="Times New Roman"/>
                <w:color w:val="auto"/>
              </w:rPr>
            </w:pPr>
            <w:r>
              <w:rPr>
                <w:rFonts w:hint="eastAsia" w:eastAsia="Times New Roman"/>
                <w:color w:val="auto"/>
              </w:rPr>
              <w:t>数量</w:t>
            </w:r>
          </w:p>
        </w:tc>
        <w:tc>
          <w:tcPr>
            <w:tcW w:w="1264" w:type="pct"/>
            <w:vAlign w:val="center"/>
          </w:tcPr>
          <w:p w14:paraId="05598247">
            <w:pPr>
              <w:pStyle w:val="81"/>
              <w:rPr>
                <w:rFonts w:eastAsia="Times New Roman"/>
                <w:color w:val="auto"/>
              </w:rPr>
            </w:pPr>
            <w:r>
              <w:rPr>
                <w:rFonts w:hint="eastAsia" w:eastAsia="Times New Roman"/>
                <w:color w:val="auto"/>
                <w:spacing w:val="9"/>
              </w:rPr>
              <w:t>设置位置</w:t>
            </w:r>
          </w:p>
        </w:tc>
      </w:tr>
      <w:tr w14:paraId="3C9AF24E">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78BE280A">
            <w:pPr>
              <w:pStyle w:val="81"/>
              <w:rPr>
                <w:rFonts w:eastAsia="Times New Roman" w:cs="Arial"/>
                <w:color w:val="auto"/>
              </w:rPr>
            </w:pPr>
            <w:r>
              <w:rPr>
                <w:rFonts w:eastAsia="Times New Roman"/>
                <w:color w:val="auto"/>
              </w:rPr>
              <w:t>1</w:t>
            </w:r>
          </w:p>
        </w:tc>
        <w:tc>
          <w:tcPr>
            <w:tcW w:w="1269" w:type="pct"/>
            <w:vAlign w:val="center"/>
          </w:tcPr>
          <w:p w14:paraId="08B2E359">
            <w:pPr>
              <w:pStyle w:val="81"/>
              <w:rPr>
                <w:rFonts w:eastAsia="Times New Roman"/>
                <w:color w:val="auto"/>
              </w:rPr>
            </w:pPr>
            <w:r>
              <w:rPr>
                <w:rFonts w:hint="eastAsia" w:eastAsia="Times New Roman"/>
                <w:color w:val="auto"/>
              </w:rPr>
              <w:t>雨鞋</w:t>
            </w:r>
          </w:p>
        </w:tc>
        <w:tc>
          <w:tcPr>
            <w:tcW w:w="437" w:type="pct"/>
            <w:vAlign w:val="center"/>
          </w:tcPr>
          <w:p w14:paraId="43A46276">
            <w:pPr>
              <w:pStyle w:val="81"/>
              <w:rPr>
                <w:rFonts w:eastAsia="Times New Roman"/>
                <w:color w:val="auto"/>
              </w:rPr>
            </w:pPr>
            <w:r>
              <w:rPr>
                <w:rFonts w:hint="eastAsia" w:eastAsia="Times New Roman"/>
                <w:color w:val="auto"/>
                <w:spacing w:val="1"/>
              </w:rPr>
              <w:t>双</w:t>
            </w:r>
          </w:p>
        </w:tc>
        <w:tc>
          <w:tcPr>
            <w:tcW w:w="1296" w:type="pct"/>
            <w:vAlign w:val="center"/>
          </w:tcPr>
          <w:p w14:paraId="6D442850">
            <w:pPr>
              <w:pStyle w:val="81"/>
              <w:rPr>
                <w:rFonts w:eastAsia="Times New Roman" w:cs="Arial"/>
                <w:color w:val="auto"/>
              </w:rPr>
            </w:pPr>
          </w:p>
        </w:tc>
        <w:tc>
          <w:tcPr>
            <w:tcW w:w="325" w:type="pct"/>
            <w:vAlign w:val="center"/>
          </w:tcPr>
          <w:p w14:paraId="395F4483">
            <w:pPr>
              <w:pStyle w:val="81"/>
              <w:rPr>
                <w:rFonts w:eastAsia="Times New Roman"/>
                <w:color w:val="auto"/>
              </w:rPr>
            </w:pPr>
            <w:r>
              <w:rPr>
                <w:rFonts w:eastAsia="Times New Roman"/>
                <w:color w:val="auto"/>
                <w:spacing w:val="-11"/>
              </w:rPr>
              <w:t>15</w:t>
            </w:r>
          </w:p>
        </w:tc>
        <w:tc>
          <w:tcPr>
            <w:tcW w:w="1264" w:type="pct"/>
            <w:vAlign w:val="center"/>
          </w:tcPr>
          <w:p w14:paraId="724A6593">
            <w:pPr>
              <w:pStyle w:val="81"/>
              <w:rPr>
                <w:rFonts w:eastAsia="Times New Roman"/>
                <w:color w:val="auto"/>
              </w:rPr>
            </w:pPr>
            <w:r>
              <w:rPr>
                <w:rFonts w:hint="eastAsia" w:eastAsia="Times New Roman"/>
                <w:color w:val="auto"/>
                <w:spacing w:val="9"/>
              </w:rPr>
              <w:t>滨博管理区应急库房</w:t>
            </w:r>
          </w:p>
        </w:tc>
      </w:tr>
      <w:tr w14:paraId="79FDF3E4">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1237A67">
            <w:pPr>
              <w:pStyle w:val="81"/>
              <w:rPr>
                <w:rFonts w:eastAsia="Times New Roman" w:cs="Arial"/>
                <w:color w:val="auto"/>
              </w:rPr>
            </w:pPr>
            <w:r>
              <w:rPr>
                <w:rFonts w:eastAsia="Times New Roman"/>
                <w:color w:val="auto"/>
              </w:rPr>
              <w:t>2</w:t>
            </w:r>
          </w:p>
        </w:tc>
        <w:tc>
          <w:tcPr>
            <w:tcW w:w="1269" w:type="pct"/>
            <w:vAlign w:val="center"/>
          </w:tcPr>
          <w:p w14:paraId="6C30A482">
            <w:pPr>
              <w:pStyle w:val="81"/>
              <w:rPr>
                <w:rFonts w:eastAsia="Times New Roman"/>
                <w:color w:val="auto"/>
              </w:rPr>
            </w:pPr>
            <w:r>
              <w:rPr>
                <w:rFonts w:hint="eastAsia" w:eastAsia="Times New Roman"/>
                <w:color w:val="auto"/>
              </w:rPr>
              <w:t>雨衣</w:t>
            </w:r>
          </w:p>
        </w:tc>
        <w:tc>
          <w:tcPr>
            <w:tcW w:w="437" w:type="pct"/>
            <w:vAlign w:val="center"/>
          </w:tcPr>
          <w:p w14:paraId="0F1C6448">
            <w:pPr>
              <w:pStyle w:val="81"/>
              <w:rPr>
                <w:rFonts w:eastAsia="Times New Roman"/>
                <w:color w:val="auto"/>
              </w:rPr>
            </w:pPr>
            <w:r>
              <w:rPr>
                <w:rFonts w:hint="eastAsia" w:eastAsia="Times New Roman"/>
                <w:color w:val="auto"/>
              </w:rPr>
              <w:t>套</w:t>
            </w:r>
          </w:p>
        </w:tc>
        <w:tc>
          <w:tcPr>
            <w:tcW w:w="1296" w:type="pct"/>
            <w:vAlign w:val="center"/>
          </w:tcPr>
          <w:p w14:paraId="60857149">
            <w:pPr>
              <w:pStyle w:val="81"/>
              <w:rPr>
                <w:rFonts w:eastAsia="Times New Roman" w:cs="Arial"/>
                <w:color w:val="auto"/>
              </w:rPr>
            </w:pPr>
          </w:p>
        </w:tc>
        <w:tc>
          <w:tcPr>
            <w:tcW w:w="325" w:type="pct"/>
            <w:vAlign w:val="center"/>
          </w:tcPr>
          <w:p w14:paraId="5F593390">
            <w:pPr>
              <w:pStyle w:val="81"/>
              <w:rPr>
                <w:rFonts w:eastAsia="Times New Roman"/>
                <w:color w:val="auto"/>
              </w:rPr>
            </w:pPr>
            <w:r>
              <w:rPr>
                <w:rFonts w:eastAsia="Times New Roman"/>
                <w:color w:val="auto"/>
                <w:spacing w:val="-11"/>
              </w:rPr>
              <w:t>15</w:t>
            </w:r>
          </w:p>
        </w:tc>
        <w:tc>
          <w:tcPr>
            <w:tcW w:w="1264" w:type="pct"/>
            <w:vAlign w:val="center"/>
          </w:tcPr>
          <w:p w14:paraId="7D640604">
            <w:pPr>
              <w:pStyle w:val="81"/>
              <w:rPr>
                <w:rFonts w:eastAsia="Times New Roman"/>
                <w:color w:val="auto"/>
              </w:rPr>
            </w:pPr>
            <w:r>
              <w:rPr>
                <w:rFonts w:hint="eastAsia" w:eastAsia="Times New Roman"/>
                <w:color w:val="auto"/>
                <w:spacing w:val="9"/>
              </w:rPr>
              <w:t>滨博管理区应急库房</w:t>
            </w:r>
          </w:p>
        </w:tc>
      </w:tr>
      <w:tr w14:paraId="46371FF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2A628CAF">
            <w:pPr>
              <w:pStyle w:val="81"/>
              <w:rPr>
                <w:rFonts w:eastAsia="Times New Roman" w:cs="Arial"/>
                <w:color w:val="auto"/>
              </w:rPr>
            </w:pPr>
            <w:r>
              <w:rPr>
                <w:rFonts w:eastAsia="Times New Roman"/>
                <w:color w:val="auto"/>
              </w:rPr>
              <w:t>3</w:t>
            </w:r>
          </w:p>
        </w:tc>
        <w:tc>
          <w:tcPr>
            <w:tcW w:w="1269" w:type="pct"/>
            <w:vAlign w:val="center"/>
          </w:tcPr>
          <w:p w14:paraId="602F6EAC">
            <w:pPr>
              <w:pStyle w:val="81"/>
              <w:rPr>
                <w:rFonts w:eastAsia="Times New Roman"/>
                <w:color w:val="auto"/>
              </w:rPr>
            </w:pPr>
            <w:r>
              <w:rPr>
                <w:rFonts w:hint="eastAsia" w:eastAsia="Times New Roman"/>
                <w:color w:val="auto"/>
                <w:spacing w:val="8"/>
              </w:rPr>
              <w:t>安全帽</w:t>
            </w:r>
          </w:p>
        </w:tc>
        <w:tc>
          <w:tcPr>
            <w:tcW w:w="437" w:type="pct"/>
            <w:vAlign w:val="center"/>
          </w:tcPr>
          <w:p w14:paraId="49796303">
            <w:pPr>
              <w:pStyle w:val="81"/>
              <w:rPr>
                <w:rFonts w:eastAsia="Times New Roman"/>
                <w:color w:val="auto"/>
              </w:rPr>
            </w:pPr>
            <w:r>
              <w:rPr>
                <w:rFonts w:hint="eastAsia" w:eastAsia="Times New Roman"/>
                <w:color w:val="auto"/>
              </w:rPr>
              <w:t>个</w:t>
            </w:r>
          </w:p>
        </w:tc>
        <w:tc>
          <w:tcPr>
            <w:tcW w:w="1296" w:type="pct"/>
            <w:vAlign w:val="center"/>
          </w:tcPr>
          <w:p w14:paraId="4EDEDE9B">
            <w:pPr>
              <w:pStyle w:val="81"/>
              <w:rPr>
                <w:rFonts w:eastAsia="Times New Roman" w:cs="Arial"/>
                <w:color w:val="auto"/>
              </w:rPr>
            </w:pPr>
          </w:p>
        </w:tc>
        <w:tc>
          <w:tcPr>
            <w:tcW w:w="325" w:type="pct"/>
            <w:vAlign w:val="center"/>
          </w:tcPr>
          <w:p w14:paraId="7CACC4D8">
            <w:pPr>
              <w:pStyle w:val="81"/>
              <w:rPr>
                <w:rFonts w:eastAsia="Times New Roman"/>
                <w:color w:val="auto"/>
              </w:rPr>
            </w:pPr>
            <w:r>
              <w:rPr>
                <w:rFonts w:eastAsia="Times New Roman"/>
                <w:color w:val="auto"/>
              </w:rPr>
              <w:t>2</w:t>
            </w:r>
          </w:p>
        </w:tc>
        <w:tc>
          <w:tcPr>
            <w:tcW w:w="1264" w:type="pct"/>
            <w:vAlign w:val="center"/>
          </w:tcPr>
          <w:p w14:paraId="1E5E3877">
            <w:pPr>
              <w:pStyle w:val="81"/>
              <w:rPr>
                <w:rFonts w:eastAsia="Times New Roman"/>
                <w:color w:val="auto"/>
              </w:rPr>
            </w:pPr>
            <w:r>
              <w:rPr>
                <w:rFonts w:hint="eastAsia" w:eastAsia="Times New Roman"/>
                <w:color w:val="auto"/>
                <w:spacing w:val="9"/>
              </w:rPr>
              <w:t>滨博管理区应急库房</w:t>
            </w:r>
          </w:p>
        </w:tc>
      </w:tr>
      <w:tr w14:paraId="6D453882">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42C95643">
            <w:pPr>
              <w:pStyle w:val="81"/>
              <w:rPr>
                <w:rFonts w:eastAsia="Times New Roman" w:cs="Arial"/>
                <w:color w:val="auto"/>
              </w:rPr>
            </w:pPr>
            <w:r>
              <w:rPr>
                <w:rFonts w:eastAsia="Times New Roman"/>
                <w:color w:val="auto"/>
              </w:rPr>
              <w:t>4</w:t>
            </w:r>
          </w:p>
        </w:tc>
        <w:tc>
          <w:tcPr>
            <w:tcW w:w="1269" w:type="pct"/>
            <w:vAlign w:val="center"/>
          </w:tcPr>
          <w:p w14:paraId="4CD69EA6">
            <w:pPr>
              <w:pStyle w:val="81"/>
              <w:rPr>
                <w:rFonts w:eastAsia="Times New Roman"/>
                <w:color w:val="auto"/>
              </w:rPr>
            </w:pPr>
            <w:r>
              <w:rPr>
                <w:rFonts w:hint="eastAsia" w:eastAsia="Times New Roman"/>
                <w:color w:val="auto"/>
                <w:spacing w:val="8"/>
              </w:rPr>
              <w:t>安全带</w:t>
            </w:r>
          </w:p>
        </w:tc>
        <w:tc>
          <w:tcPr>
            <w:tcW w:w="437" w:type="pct"/>
            <w:vAlign w:val="center"/>
          </w:tcPr>
          <w:p w14:paraId="266BAA61">
            <w:pPr>
              <w:pStyle w:val="81"/>
              <w:rPr>
                <w:rFonts w:eastAsia="Times New Roman"/>
                <w:color w:val="auto"/>
              </w:rPr>
            </w:pPr>
            <w:r>
              <w:rPr>
                <w:rFonts w:hint="eastAsia" w:eastAsia="Times New Roman"/>
                <w:color w:val="auto"/>
                <w:spacing w:val="4"/>
              </w:rPr>
              <w:t>条</w:t>
            </w:r>
          </w:p>
        </w:tc>
        <w:tc>
          <w:tcPr>
            <w:tcW w:w="1296" w:type="pct"/>
            <w:vAlign w:val="center"/>
          </w:tcPr>
          <w:p w14:paraId="615EDA63">
            <w:pPr>
              <w:pStyle w:val="81"/>
              <w:rPr>
                <w:rFonts w:eastAsia="Times New Roman" w:cs="Arial"/>
                <w:color w:val="auto"/>
              </w:rPr>
            </w:pPr>
          </w:p>
        </w:tc>
        <w:tc>
          <w:tcPr>
            <w:tcW w:w="325" w:type="pct"/>
            <w:vAlign w:val="center"/>
          </w:tcPr>
          <w:p w14:paraId="08D9DAAB">
            <w:pPr>
              <w:pStyle w:val="81"/>
              <w:rPr>
                <w:rFonts w:eastAsia="Times New Roman"/>
                <w:color w:val="auto"/>
              </w:rPr>
            </w:pPr>
            <w:r>
              <w:rPr>
                <w:rFonts w:eastAsia="Times New Roman"/>
                <w:color w:val="auto"/>
              </w:rPr>
              <w:t>3</w:t>
            </w:r>
          </w:p>
        </w:tc>
        <w:tc>
          <w:tcPr>
            <w:tcW w:w="1264" w:type="pct"/>
            <w:vAlign w:val="center"/>
          </w:tcPr>
          <w:p w14:paraId="153E29AB">
            <w:pPr>
              <w:pStyle w:val="81"/>
              <w:rPr>
                <w:rFonts w:eastAsia="Times New Roman"/>
                <w:color w:val="auto"/>
              </w:rPr>
            </w:pPr>
            <w:r>
              <w:rPr>
                <w:rFonts w:hint="eastAsia" w:eastAsia="Times New Roman"/>
                <w:color w:val="auto"/>
                <w:spacing w:val="9"/>
              </w:rPr>
              <w:t>滨博管理区应急库房</w:t>
            </w:r>
          </w:p>
        </w:tc>
      </w:tr>
      <w:tr w14:paraId="14A897CB">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286F9DBA">
            <w:pPr>
              <w:pStyle w:val="81"/>
              <w:rPr>
                <w:rFonts w:eastAsia="Times New Roman" w:cs="Arial"/>
                <w:color w:val="auto"/>
              </w:rPr>
            </w:pPr>
            <w:r>
              <w:rPr>
                <w:rFonts w:eastAsia="Times New Roman"/>
                <w:color w:val="auto"/>
              </w:rPr>
              <w:t>5</w:t>
            </w:r>
          </w:p>
        </w:tc>
        <w:tc>
          <w:tcPr>
            <w:tcW w:w="1269" w:type="pct"/>
            <w:vAlign w:val="center"/>
          </w:tcPr>
          <w:p w14:paraId="1D8C4CDD">
            <w:pPr>
              <w:pStyle w:val="81"/>
              <w:rPr>
                <w:rFonts w:eastAsia="Times New Roman"/>
                <w:color w:val="auto"/>
              </w:rPr>
            </w:pPr>
            <w:r>
              <w:rPr>
                <w:rFonts w:hint="eastAsia" w:eastAsia="Times New Roman"/>
                <w:color w:val="auto"/>
                <w:spacing w:val="8"/>
              </w:rPr>
              <w:t>绝缘手套</w:t>
            </w:r>
          </w:p>
        </w:tc>
        <w:tc>
          <w:tcPr>
            <w:tcW w:w="437" w:type="pct"/>
            <w:vAlign w:val="center"/>
          </w:tcPr>
          <w:p w14:paraId="439987D8">
            <w:pPr>
              <w:pStyle w:val="81"/>
              <w:rPr>
                <w:rFonts w:eastAsia="Times New Roman"/>
                <w:color w:val="auto"/>
              </w:rPr>
            </w:pPr>
            <w:r>
              <w:rPr>
                <w:rFonts w:hint="eastAsia" w:eastAsia="Times New Roman"/>
                <w:color w:val="auto"/>
              </w:rPr>
              <w:t>只</w:t>
            </w:r>
          </w:p>
        </w:tc>
        <w:tc>
          <w:tcPr>
            <w:tcW w:w="1296" w:type="pct"/>
            <w:vAlign w:val="center"/>
          </w:tcPr>
          <w:p w14:paraId="12B67776">
            <w:pPr>
              <w:pStyle w:val="81"/>
              <w:rPr>
                <w:rFonts w:eastAsia="Times New Roman" w:cs="Arial"/>
                <w:color w:val="auto"/>
              </w:rPr>
            </w:pPr>
          </w:p>
        </w:tc>
        <w:tc>
          <w:tcPr>
            <w:tcW w:w="325" w:type="pct"/>
            <w:vAlign w:val="center"/>
          </w:tcPr>
          <w:p w14:paraId="7C013DD7">
            <w:pPr>
              <w:pStyle w:val="81"/>
              <w:rPr>
                <w:rFonts w:eastAsia="Times New Roman"/>
                <w:color w:val="auto"/>
              </w:rPr>
            </w:pPr>
            <w:r>
              <w:rPr>
                <w:rFonts w:eastAsia="Times New Roman"/>
                <w:color w:val="auto"/>
              </w:rPr>
              <w:t>4</w:t>
            </w:r>
          </w:p>
        </w:tc>
        <w:tc>
          <w:tcPr>
            <w:tcW w:w="1264" w:type="pct"/>
            <w:vAlign w:val="center"/>
          </w:tcPr>
          <w:p w14:paraId="352D8371">
            <w:pPr>
              <w:pStyle w:val="81"/>
              <w:rPr>
                <w:rFonts w:eastAsia="Times New Roman"/>
                <w:color w:val="auto"/>
              </w:rPr>
            </w:pPr>
            <w:r>
              <w:rPr>
                <w:rFonts w:hint="eastAsia" w:eastAsia="Times New Roman"/>
                <w:color w:val="auto"/>
                <w:spacing w:val="9"/>
              </w:rPr>
              <w:t>滨博管理区应急库房</w:t>
            </w:r>
          </w:p>
        </w:tc>
      </w:tr>
      <w:tr w14:paraId="0EED125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240BFEFA">
            <w:pPr>
              <w:pStyle w:val="81"/>
              <w:rPr>
                <w:rFonts w:eastAsia="Times New Roman" w:cs="Arial"/>
                <w:color w:val="auto"/>
              </w:rPr>
            </w:pPr>
            <w:r>
              <w:rPr>
                <w:rFonts w:eastAsia="Times New Roman"/>
                <w:color w:val="auto"/>
              </w:rPr>
              <w:t>6</w:t>
            </w:r>
          </w:p>
        </w:tc>
        <w:tc>
          <w:tcPr>
            <w:tcW w:w="1269" w:type="pct"/>
            <w:vAlign w:val="center"/>
          </w:tcPr>
          <w:p w14:paraId="18D2A086">
            <w:pPr>
              <w:pStyle w:val="81"/>
              <w:rPr>
                <w:rFonts w:eastAsia="Times New Roman"/>
                <w:color w:val="auto"/>
              </w:rPr>
            </w:pPr>
            <w:r>
              <w:rPr>
                <w:rFonts w:hint="eastAsia" w:eastAsia="Times New Roman"/>
                <w:color w:val="auto"/>
                <w:spacing w:val="8"/>
              </w:rPr>
              <w:t>绝缘靴</w:t>
            </w:r>
          </w:p>
        </w:tc>
        <w:tc>
          <w:tcPr>
            <w:tcW w:w="437" w:type="pct"/>
            <w:vAlign w:val="center"/>
          </w:tcPr>
          <w:p w14:paraId="2D5461C0">
            <w:pPr>
              <w:pStyle w:val="81"/>
              <w:rPr>
                <w:rFonts w:eastAsia="Times New Roman"/>
                <w:color w:val="auto"/>
              </w:rPr>
            </w:pPr>
            <w:r>
              <w:rPr>
                <w:rFonts w:hint="eastAsia" w:eastAsia="Times New Roman"/>
                <w:color w:val="auto"/>
              </w:rPr>
              <w:t>只</w:t>
            </w:r>
          </w:p>
        </w:tc>
        <w:tc>
          <w:tcPr>
            <w:tcW w:w="1296" w:type="pct"/>
            <w:vAlign w:val="center"/>
          </w:tcPr>
          <w:p w14:paraId="7A49FEDD">
            <w:pPr>
              <w:pStyle w:val="81"/>
              <w:rPr>
                <w:rFonts w:eastAsia="Times New Roman" w:cs="Arial"/>
                <w:color w:val="auto"/>
              </w:rPr>
            </w:pPr>
          </w:p>
        </w:tc>
        <w:tc>
          <w:tcPr>
            <w:tcW w:w="325" w:type="pct"/>
            <w:vAlign w:val="center"/>
          </w:tcPr>
          <w:p w14:paraId="63B1F327">
            <w:pPr>
              <w:pStyle w:val="81"/>
              <w:rPr>
                <w:rFonts w:eastAsia="Times New Roman"/>
                <w:color w:val="auto"/>
              </w:rPr>
            </w:pPr>
            <w:r>
              <w:rPr>
                <w:rFonts w:eastAsia="Times New Roman"/>
                <w:color w:val="auto"/>
              </w:rPr>
              <w:t>2</w:t>
            </w:r>
          </w:p>
        </w:tc>
        <w:tc>
          <w:tcPr>
            <w:tcW w:w="1264" w:type="pct"/>
            <w:vAlign w:val="center"/>
          </w:tcPr>
          <w:p w14:paraId="6C663F52">
            <w:pPr>
              <w:pStyle w:val="81"/>
              <w:rPr>
                <w:rFonts w:eastAsia="Times New Roman"/>
                <w:color w:val="auto"/>
              </w:rPr>
            </w:pPr>
            <w:r>
              <w:rPr>
                <w:rFonts w:hint="eastAsia" w:eastAsia="Times New Roman"/>
                <w:color w:val="auto"/>
                <w:spacing w:val="9"/>
              </w:rPr>
              <w:t>滨博管理区应急库房</w:t>
            </w:r>
          </w:p>
        </w:tc>
      </w:tr>
      <w:tr w14:paraId="558F6DE9">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0CCC24AC">
            <w:pPr>
              <w:pStyle w:val="81"/>
              <w:rPr>
                <w:rFonts w:eastAsia="Times New Roman" w:cs="Arial"/>
                <w:color w:val="auto"/>
              </w:rPr>
            </w:pPr>
            <w:r>
              <w:rPr>
                <w:rFonts w:eastAsia="Times New Roman"/>
                <w:color w:val="auto"/>
              </w:rPr>
              <w:t>7</w:t>
            </w:r>
          </w:p>
        </w:tc>
        <w:tc>
          <w:tcPr>
            <w:tcW w:w="1269" w:type="pct"/>
            <w:vAlign w:val="center"/>
          </w:tcPr>
          <w:p w14:paraId="1E110E57">
            <w:pPr>
              <w:pStyle w:val="81"/>
              <w:rPr>
                <w:rFonts w:eastAsia="Times New Roman"/>
                <w:color w:val="auto"/>
              </w:rPr>
            </w:pPr>
            <w:r>
              <w:rPr>
                <w:rFonts w:hint="eastAsia" w:eastAsia="Times New Roman"/>
                <w:color w:val="auto"/>
                <w:spacing w:val="13"/>
              </w:rPr>
              <w:t>令克棒</w:t>
            </w:r>
            <w:r>
              <w:rPr>
                <w:rFonts w:eastAsia="Times New Roman" w:cs="Arial"/>
                <w:color w:val="auto"/>
                <w:spacing w:val="13"/>
              </w:rPr>
              <w:t>(</w:t>
            </w:r>
            <w:r>
              <w:rPr>
                <w:rFonts w:hint="eastAsia" w:eastAsia="Times New Roman"/>
                <w:color w:val="auto"/>
                <w:spacing w:val="13"/>
              </w:rPr>
              <w:t>绝缘杆）</w:t>
            </w:r>
          </w:p>
        </w:tc>
        <w:tc>
          <w:tcPr>
            <w:tcW w:w="437" w:type="pct"/>
            <w:vAlign w:val="center"/>
          </w:tcPr>
          <w:p w14:paraId="0B1507D0">
            <w:pPr>
              <w:pStyle w:val="81"/>
              <w:rPr>
                <w:rFonts w:eastAsia="Times New Roman"/>
                <w:color w:val="auto"/>
              </w:rPr>
            </w:pPr>
            <w:r>
              <w:rPr>
                <w:rFonts w:hint="eastAsia" w:eastAsia="Times New Roman"/>
                <w:color w:val="auto"/>
              </w:rPr>
              <w:t>套</w:t>
            </w:r>
          </w:p>
        </w:tc>
        <w:tc>
          <w:tcPr>
            <w:tcW w:w="1296" w:type="pct"/>
            <w:vAlign w:val="center"/>
          </w:tcPr>
          <w:p w14:paraId="50DBE0C5">
            <w:pPr>
              <w:pStyle w:val="81"/>
              <w:rPr>
                <w:rFonts w:eastAsia="Times New Roman" w:cs="Arial"/>
                <w:color w:val="auto"/>
              </w:rPr>
            </w:pPr>
            <w:r>
              <w:rPr>
                <w:rFonts w:eastAsia="Times New Roman"/>
                <w:color w:val="auto"/>
                <w:spacing w:val="-6"/>
              </w:rPr>
              <w:t>10kV</w:t>
            </w:r>
          </w:p>
        </w:tc>
        <w:tc>
          <w:tcPr>
            <w:tcW w:w="325" w:type="pct"/>
            <w:vAlign w:val="center"/>
          </w:tcPr>
          <w:p w14:paraId="58A1D2FB">
            <w:pPr>
              <w:pStyle w:val="81"/>
              <w:rPr>
                <w:rFonts w:eastAsia="Times New Roman"/>
                <w:color w:val="auto"/>
              </w:rPr>
            </w:pPr>
            <w:r>
              <w:rPr>
                <w:rFonts w:eastAsia="Times New Roman"/>
                <w:color w:val="auto"/>
              </w:rPr>
              <w:t>1</w:t>
            </w:r>
          </w:p>
        </w:tc>
        <w:tc>
          <w:tcPr>
            <w:tcW w:w="1264" w:type="pct"/>
            <w:vAlign w:val="center"/>
          </w:tcPr>
          <w:p w14:paraId="01F1A377">
            <w:pPr>
              <w:pStyle w:val="81"/>
              <w:rPr>
                <w:rFonts w:eastAsia="Times New Roman"/>
                <w:color w:val="auto"/>
              </w:rPr>
            </w:pPr>
            <w:r>
              <w:rPr>
                <w:rFonts w:hint="eastAsia" w:eastAsia="Times New Roman"/>
                <w:color w:val="auto"/>
                <w:spacing w:val="9"/>
              </w:rPr>
              <w:t>滨博管理区应急库房</w:t>
            </w:r>
          </w:p>
        </w:tc>
      </w:tr>
      <w:tr w14:paraId="44CB9D6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52D4C44A">
            <w:pPr>
              <w:pStyle w:val="81"/>
              <w:rPr>
                <w:rFonts w:eastAsia="Times New Roman" w:cs="Arial"/>
                <w:color w:val="auto"/>
              </w:rPr>
            </w:pPr>
            <w:r>
              <w:rPr>
                <w:rFonts w:eastAsia="Times New Roman"/>
                <w:color w:val="auto"/>
              </w:rPr>
              <w:t>8</w:t>
            </w:r>
          </w:p>
        </w:tc>
        <w:tc>
          <w:tcPr>
            <w:tcW w:w="1269" w:type="pct"/>
            <w:vAlign w:val="center"/>
          </w:tcPr>
          <w:p w14:paraId="52FACA9F">
            <w:pPr>
              <w:pStyle w:val="81"/>
              <w:rPr>
                <w:rFonts w:eastAsia="Times New Roman"/>
                <w:color w:val="auto"/>
              </w:rPr>
            </w:pPr>
            <w:r>
              <w:rPr>
                <w:rFonts w:hint="eastAsia" w:eastAsia="Times New Roman"/>
                <w:color w:val="auto"/>
                <w:spacing w:val="3"/>
              </w:rPr>
              <w:t>电工工具</w:t>
            </w:r>
          </w:p>
        </w:tc>
        <w:tc>
          <w:tcPr>
            <w:tcW w:w="437" w:type="pct"/>
            <w:vAlign w:val="center"/>
          </w:tcPr>
          <w:p w14:paraId="70767B57">
            <w:pPr>
              <w:pStyle w:val="81"/>
              <w:rPr>
                <w:rFonts w:eastAsia="Times New Roman"/>
                <w:color w:val="auto"/>
              </w:rPr>
            </w:pPr>
            <w:r>
              <w:rPr>
                <w:rFonts w:hint="eastAsia" w:eastAsia="Times New Roman"/>
                <w:color w:val="auto"/>
              </w:rPr>
              <w:t>套</w:t>
            </w:r>
          </w:p>
        </w:tc>
        <w:tc>
          <w:tcPr>
            <w:tcW w:w="1296" w:type="pct"/>
            <w:vAlign w:val="center"/>
          </w:tcPr>
          <w:p w14:paraId="5B035381">
            <w:pPr>
              <w:pStyle w:val="81"/>
              <w:rPr>
                <w:rFonts w:eastAsia="Times New Roman" w:cs="Arial"/>
                <w:color w:val="auto"/>
              </w:rPr>
            </w:pPr>
          </w:p>
        </w:tc>
        <w:tc>
          <w:tcPr>
            <w:tcW w:w="325" w:type="pct"/>
            <w:vAlign w:val="center"/>
          </w:tcPr>
          <w:p w14:paraId="198C5FA0">
            <w:pPr>
              <w:pStyle w:val="81"/>
              <w:rPr>
                <w:rFonts w:eastAsia="Times New Roman"/>
                <w:color w:val="auto"/>
              </w:rPr>
            </w:pPr>
            <w:r>
              <w:rPr>
                <w:rFonts w:eastAsia="Times New Roman"/>
                <w:color w:val="auto"/>
              </w:rPr>
              <w:t>1</w:t>
            </w:r>
          </w:p>
        </w:tc>
        <w:tc>
          <w:tcPr>
            <w:tcW w:w="1264" w:type="pct"/>
            <w:vAlign w:val="center"/>
          </w:tcPr>
          <w:p w14:paraId="73666F45">
            <w:pPr>
              <w:pStyle w:val="81"/>
              <w:rPr>
                <w:rFonts w:eastAsia="Times New Roman"/>
                <w:color w:val="auto"/>
              </w:rPr>
            </w:pPr>
            <w:r>
              <w:rPr>
                <w:rFonts w:hint="eastAsia" w:eastAsia="Times New Roman"/>
                <w:color w:val="auto"/>
                <w:spacing w:val="9"/>
              </w:rPr>
              <w:t>滨博管理区应急库房</w:t>
            </w:r>
          </w:p>
        </w:tc>
      </w:tr>
      <w:tr w14:paraId="75700F24">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028A209C">
            <w:pPr>
              <w:pStyle w:val="81"/>
              <w:rPr>
                <w:rFonts w:eastAsia="Times New Roman" w:cs="Arial"/>
                <w:color w:val="auto"/>
              </w:rPr>
            </w:pPr>
            <w:r>
              <w:rPr>
                <w:rFonts w:eastAsia="Times New Roman"/>
                <w:color w:val="auto"/>
              </w:rPr>
              <w:t>9</w:t>
            </w:r>
          </w:p>
        </w:tc>
        <w:tc>
          <w:tcPr>
            <w:tcW w:w="1269" w:type="pct"/>
            <w:vAlign w:val="center"/>
          </w:tcPr>
          <w:p w14:paraId="0EEFA2C2">
            <w:pPr>
              <w:pStyle w:val="81"/>
              <w:rPr>
                <w:rFonts w:eastAsia="Times New Roman"/>
                <w:color w:val="auto"/>
              </w:rPr>
            </w:pPr>
            <w:r>
              <w:rPr>
                <w:rFonts w:hint="eastAsia" w:eastAsia="Times New Roman"/>
                <w:color w:val="auto"/>
                <w:spacing w:val="8"/>
              </w:rPr>
              <w:t>套筒扳手</w:t>
            </w:r>
          </w:p>
        </w:tc>
        <w:tc>
          <w:tcPr>
            <w:tcW w:w="437" w:type="pct"/>
            <w:vAlign w:val="center"/>
          </w:tcPr>
          <w:p w14:paraId="62CB9378">
            <w:pPr>
              <w:pStyle w:val="81"/>
              <w:rPr>
                <w:rFonts w:eastAsia="Times New Roman"/>
                <w:color w:val="auto"/>
              </w:rPr>
            </w:pPr>
            <w:r>
              <w:rPr>
                <w:rFonts w:hint="eastAsia" w:eastAsia="Times New Roman"/>
                <w:color w:val="auto"/>
              </w:rPr>
              <w:t>套</w:t>
            </w:r>
          </w:p>
        </w:tc>
        <w:tc>
          <w:tcPr>
            <w:tcW w:w="1296" w:type="pct"/>
            <w:vAlign w:val="center"/>
          </w:tcPr>
          <w:p w14:paraId="7E1C504E">
            <w:pPr>
              <w:pStyle w:val="81"/>
              <w:rPr>
                <w:rFonts w:eastAsia="Times New Roman" w:cs="Arial"/>
                <w:color w:val="auto"/>
              </w:rPr>
            </w:pPr>
          </w:p>
        </w:tc>
        <w:tc>
          <w:tcPr>
            <w:tcW w:w="325" w:type="pct"/>
            <w:vAlign w:val="center"/>
          </w:tcPr>
          <w:p w14:paraId="1E333147">
            <w:pPr>
              <w:pStyle w:val="81"/>
              <w:rPr>
                <w:rFonts w:eastAsia="Times New Roman"/>
                <w:color w:val="auto"/>
              </w:rPr>
            </w:pPr>
            <w:r>
              <w:rPr>
                <w:rFonts w:eastAsia="Times New Roman"/>
                <w:color w:val="auto"/>
              </w:rPr>
              <w:t>1</w:t>
            </w:r>
          </w:p>
        </w:tc>
        <w:tc>
          <w:tcPr>
            <w:tcW w:w="1264" w:type="pct"/>
            <w:vAlign w:val="center"/>
          </w:tcPr>
          <w:p w14:paraId="0502AA9F">
            <w:pPr>
              <w:pStyle w:val="81"/>
              <w:rPr>
                <w:rFonts w:eastAsia="Times New Roman"/>
                <w:color w:val="auto"/>
              </w:rPr>
            </w:pPr>
            <w:r>
              <w:rPr>
                <w:rFonts w:hint="eastAsia" w:eastAsia="Times New Roman"/>
                <w:color w:val="auto"/>
                <w:spacing w:val="9"/>
              </w:rPr>
              <w:t>滨博管理区应急库房</w:t>
            </w:r>
          </w:p>
        </w:tc>
      </w:tr>
      <w:tr w14:paraId="55298567">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27F71E68">
            <w:pPr>
              <w:pStyle w:val="81"/>
              <w:rPr>
                <w:rFonts w:eastAsia="Times New Roman" w:cs="Arial"/>
                <w:color w:val="auto"/>
              </w:rPr>
            </w:pPr>
            <w:r>
              <w:rPr>
                <w:rFonts w:eastAsia="Times New Roman"/>
                <w:color w:val="auto"/>
                <w:spacing w:val="-11"/>
              </w:rPr>
              <w:t>10</w:t>
            </w:r>
          </w:p>
        </w:tc>
        <w:tc>
          <w:tcPr>
            <w:tcW w:w="1269" w:type="pct"/>
            <w:vAlign w:val="center"/>
          </w:tcPr>
          <w:p w14:paraId="77023BF8">
            <w:pPr>
              <w:pStyle w:val="81"/>
              <w:rPr>
                <w:rFonts w:eastAsia="Times New Roman"/>
                <w:color w:val="auto"/>
              </w:rPr>
            </w:pPr>
            <w:r>
              <w:rPr>
                <w:rFonts w:hint="eastAsia" w:eastAsia="Times New Roman"/>
                <w:color w:val="auto"/>
                <w:spacing w:val="5"/>
              </w:rPr>
              <w:t>冲击电钻</w:t>
            </w:r>
          </w:p>
        </w:tc>
        <w:tc>
          <w:tcPr>
            <w:tcW w:w="437" w:type="pct"/>
            <w:vAlign w:val="center"/>
          </w:tcPr>
          <w:p w14:paraId="2A6071C2">
            <w:pPr>
              <w:pStyle w:val="81"/>
              <w:rPr>
                <w:rFonts w:eastAsia="Times New Roman"/>
                <w:color w:val="auto"/>
              </w:rPr>
            </w:pPr>
            <w:r>
              <w:rPr>
                <w:rFonts w:hint="eastAsia" w:eastAsia="Times New Roman"/>
                <w:color w:val="auto"/>
              </w:rPr>
              <w:t>个</w:t>
            </w:r>
          </w:p>
        </w:tc>
        <w:tc>
          <w:tcPr>
            <w:tcW w:w="1296" w:type="pct"/>
            <w:vAlign w:val="center"/>
          </w:tcPr>
          <w:p w14:paraId="6E0AB754">
            <w:pPr>
              <w:pStyle w:val="81"/>
              <w:rPr>
                <w:rFonts w:eastAsia="Times New Roman" w:cs="Arial"/>
                <w:color w:val="auto"/>
              </w:rPr>
            </w:pPr>
          </w:p>
        </w:tc>
        <w:tc>
          <w:tcPr>
            <w:tcW w:w="325" w:type="pct"/>
            <w:vAlign w:val="center"/>
          </w:tcPr>
          <w:p w14:paraId="5DFFB272">
            <w:pPr>
              <w:pStyle w:val="81"/>
              <w:rPr>
                <w:rFonts w:eastAsia="Times New Roman"/>
                <w:color w:val="auto"/>
              </w:rPr>
            </w:pPr>
            <w:r>
              <w:rPr>
                <w:rFonts w:eastAsia="Times New Roman"/>
                <w:color w:val="auto"/>
              </w:rPr>
              <w:t>1</w:t>
            </w:r>
          </w:p>
        </w:tc>
        <w:tc>
          <w:tcPr>
            <w:tcW w:w="1264" w:type="pct"/>
            <w:vAlign w:val="center"/>
          </w:tcPr>
          <w:p w14:paraId="12CC1A24">
            <w:pPr>
              <w:pStyle w:val="81"/>
              <w:rPr>
                <w:rFonts w:eastAsia="Times New Roman"/>
                <w:color w:val="auto"/>
              </w:rPr>
            </w:pPr>
            <w:r>
              <w:rPr>
                <w:rFonts w:hint="eastAsia" w:eastAsia="Times New Roman"/>
                <w:color w:val="auto"/>
                <w:spacing w:val="9"/>
              </w:rPr>
              <w:t>滨博管理区应急库房</w:t>
            </w:r>
          </w:p>
        </w:tc>
      </w:tr>
      <w:tr w14:paraId="3F395D2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D3135BA">
            <w:pPr>
              <w:pStyle w:val="81"/>
              <w:rPr>
                <w:rFonts w:eastAsia="Times New Roman" w:cs="Arial"/>
                <w:color w:val="auto"/>
              </w:rPr>
            </w:pPr>
            <w:r>
              <w:rPr>
                <w:rFonts w:eastAsia="Times New Roman"/>
                <w:color w:val="auto"/>
                <w:spacing w:val="-11"/>
              </w:rPr>
              <w:t>11</w:t>
            </w:r>
          </w:p>
        </w:tc>
        <w:tc>
          <w:tcPr>
            <w:tcW w:w="1269" w:type="pct"/>
            <w:vAlign w:val="center"/>
          </w:tcPr>
          <w:p w14:paraId="5B002E6E">
            <w:pPr>
              <w:pStyle w:val="81"/>
              <w:rPr>
                <w:rFonts w:eastAsia="Times New Roman"/>
                <w:color w:val="auto"/>
              </w:rPr>
            </w:pPr>
            <w:r>
              <w:rPr>
                <w:rFonts w:hint="eastAsia" w:eastAsia="Times New Roman"/>
                <w:color w:val="auto"/>
              </w:rPr>
              <w:t>铁锨</w:t>
            </w:r>
          </w:p>
        </w:tc>
        <w:tc>
          <w:tcPr>
            <w:tcW w:w="437" w:type="pct"/>
            <w:vAlign w:val="center"/>
          </w:tcPr>
          <w:p w14:paraId="58C8FC10">
            <w:pPr>
              <w:pStyle w:val="81"/>
              <w:rPr>
                <w:rFonts w:eastAsia="Times New Roman"/>
                <w:color w:val="auto"/>
              </w:rPr>
            </w:pPr>
            <w:r>
              <w:rPr>
                <w:rFonts w:hint="eastAsia" w:eastAsia="Times New Roman"/>
                <w:color w:val="auto"/>
                <w:spacing w:val="4"/>
              </w:rPr>
              <w:t>把</w:t>
            </w:r>
          </w:p>
        </w:tc>
        <w:tc>
          <w:tcPr>
            <w:tcW w:w="1296" w:type="pct"/>
            <w:vAlign w:val="center"/>
          </w:tcPr>
          <w:p w14:paraId="2B169BBB">
            <w:pPr>
              <w:pStyle w:val="81"/>
              <w:rPr>
                <w:rFonts w:eastAsia="Times New Roman" w:cs="Arial"/>
                <w:color w:val="auto"/>
              </w:rPr>
            </w:pPr>
          </w:p>
        </w:tc>
        <w:tc>
          <w:tcPr>
            <w:tcW w:w="325" w:type="pct"/>
            <w:vAlign w:val="center"/>
          </w:tcPr>
          <w:p w14:paraId="151B3918">
            <w:pPr>
              <w:pStyle w:val="81"/>
              <w:rPr>
                <w:rFonts w:eastAsia="Times New Roman"/>
                <w:color w:val="auto"/>
              </w:rPr>
            </w:pPr>
            <w:r>
              <w:rPr>
                <w:rFonts w:eastAsia="Times New Roman"/>
                <w:color w:val="auto"/>
                <w:spacing w:val="-11"/>
              </w:rPr>
              <w:t>10</w:t>
            </w:r>
          </w:p>
        </w:tc>
        <w:tc>
          <w:tcPr>
            <w:tcW w:w="1264" w:type="pct"/>
            <w:vAlign w:val="center"/>
          </w:tcPr>
          <w:p w14:paraId="0DBCA7D4">
            <w:pPr>
              <w:pStyle w:val="81"/>
              <w:rPr>
                <w:rFonts w:eastAsia="Times New Roman"/>
                <w:color w:val="auto"/>
              </w:rPr>
            </w:pPr>
            <w:r>
              <w:rPr>
                <w:rFonts w:hint="eastAsia" w:eastAsia="Times New Roman"/>
                <w:color w:val="auto"/>
                <w:spacing w:val="9"/>
              </w:rPr>
              <w:t>滨博管理区应急库房</w:t>
            </w:r>
          </w:p>
        </w:tc>
      </w:tr>
      <w:tr w14:paraId="255AC0E5">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1008E804">
            <w:pPr>
              <w:pStyle w:val="81"/>
              <w:rPr>
                <w:rFonts w:eastAsia="Times New Roman" w:cs="Arial"/>
                <w:color w:val="auto"/>
              </w:rPr>
            </w:pPr>
            <w:r>
              <w:rPr>
                <w:rFonts w:eastAsia="Times New Roman"/>
                <w:color w:val="auto"/>
                <w:spacing w:val="-11"/>
              </w:rPr>
              <w:t>12</w:t>
            </w:r>
          </w:p>
        </w:tc>
        <w:tc>
          <w:tcPr>
            <w:tcW w:w="1269" w:type="pct"/>
            <w:vAlign w:val="center"/>
          </w:tcPr>
          <w:p w14:paraId="26C232E6">
            <w:pPr>
              <w:pStyle w:val="81"/>
              <w:rPr>
                <w:rFonts w:eastAsia="Times New Roman"/>
                <w:color w:val="auto"/>
              </w:rPr>
            </w:pPr>
            <w:r>
              <w:rPr>
                <w:rFonts w:hint="eastAsia" w:eastAsia="Times New Roman"/>
                <w:color w:val="auto"/>
                <w:spacing w:val="9"/>
              </w:rPr>
              <w:t>水龙带（带接头）</w:t>
            </w:r>
          </w:p>
        </w:tc>
        <w:tc>
          <w:tcPr>
            <w:tcW w:w="437" w:type="pct"/>
            <w:vAlign w:val="center"/>
          </w:tcPr>
          <w:p w14:paraId="1158A634">
            <w:pPr>
              <w:pStyle w:val="81"/>
              <w:rPr>
                <w:rFonts w:eastAsia="Times New Roman"/>
                <w:color w:val="auto"/>
              </w:rPr>
            </w:pPr>
            <w:r>
              <w:rPr>
                <w:rFonts w:hint="eastAsia" w:eastAsia="Times New Roman"/>
                <w:color w:val="auto"/>
                <w:spacing w:val="4"/>
              </w:rPr>
              <w:t>条</w:t>
            </w:r>
          </w:p>
        </w:tc>
        <w:tc>
          <w:tcPr>
            <w:tcW w:w="1296" w:type="pct"/>
            <w:vAlign w:val="center"/>
          </w:tcPr>
          <w:p w14:paraId="3022459F">
            <w:pPr>
              <w:pStyle w:val="81"/>
              <w:rPr>
                <w:rFonts w:eastAsia="Times New Roman" w:cs="Arial"/>
                <w:color w:val="auto"/>
              </w:rPr>
            </w:pPr>
            <w:r>
              <w:rPr>
                <w:rFonts w:eastAsia="Times New Roman"/>
                <w:color w:val="auto"/>
                <w:spacing w:val="-8"/>
              </w:rPr>
              <w:t>25m</w:t>
            </w:r>
          </w:p>
        </w:tc>
        <w:tc>
          <w:tcPr>
            <w:tcW w:w="325" w:type="pct"/>
            <w:vAlign w:val="center"/>
          </w:tcPr>
          <w:p w14:paraId="131F0B4B">
            <w:pPr>
              <w:pStyle w:val="81"/>
              <w:rPr>
                <w:rFonts w:eastAsia="Times New Roman"/>
                <w:color w:val="auto"/>
              </w:rPr>
            </w:pPr>
            <w:r>
              <w:rPr>
                <w:rFonts w:eastAsia="Times New Roman"/>
                <w:color w:val="auto"/>
              </w:rPr>
              <w:t>2</w:t>
            </w:r>
          </w:p>
        </w:tc>
        <w:tc>
          <w:tcPr>
            <w:tcW w:w="1264" w:type="pct"/>
            <w:vAlign w:val="center"/>
          </w:tcPr>
          <w:p w14:paraId="0F9881D7">
            <w:pPr>
              <w:pStyle w:val="81"/>
              <w:rPr>
                <w:rFonts w:eastAsia="Times New Roman"/>
                <w:color w:val="auto"/>
              </w:rPr>
            </w:pPr>
            <w:r>
              <w:rPr>
                <w:rFonts w:hint="eastAsia" w:eastAsia="Times New Roman"/>
                <w:color w:val="auto"/>
                <w:spacing w:val="9"/>
              </w:rPr>
              <w:t>滨博管理区应急库房</w:t>
            </w:r>
          </w:p>
        </w:tc>
      </w:tr>
      <w:tr w14:paraId="2A9A1888">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A269598">
            <w:pPr>
              <w:pStyle w:val="81"/>
              <w:rPr>
                <w:rFonts w:eastAsia="Times New Roman" w:cs="Arial"/>
                <w:color w:val="auto"/>
              </w:rPr>
            </w:pPr>
            <w:r>
              <w:rPr>
                <w:rFonts w:eastAsia="Times New Roman"/>
                <w:color w:val="auto"/>
                <w:spacing w:val="-11"/>
              </w:rPr>
              <w:t>13</w:t>
            </w:r>
          </w:p>
        </w:tc>
        <w:tc>
          <w:tcPr>
            <w:tcW w:w="1269" w:type="pct"/>
            <w:vAlign w:val="center"/>
          </w:tcPr>
          <w:p w14:paraId="79F61FD6">
            <w:pPr>
              <w:pStyle w:val="81"/>
              <w:rPr>
                <w:rFonts w:eastAsia="Times New Roman"/>
                <w:color w:val="auto"/>
              </w:rPr>
            </w:pPr>
            <w:r>
              <w:rPr>
                <w:rFonts w:hint="eastAsia" w:eastAsia="Times New Roman"/>
                <w:color w:val="auto"/>
              </w:rPr>
              <w:t>消防毯</w:t>
            </w:r>
          </w:p>
        </w:tc>
        <w:tc>
          <w:tcPr>
            <w:tcW w:w="437" w:type="pct"/>
            <w:vAlign w:val="center"/>
          </w:tcPr>
          <w:p w14:paraId="3776D531">
            <w:pPr>
              <w:pStyle w:val="81"/>
              <w:rPr>
                <w:rFonts w:eastAsia="Times New Roman"/>
                <w:color w:val="auto"/>
              </w:rPr>
            </w:pPr>
            <w:r>
              <w:rPr>
                <w:rFonts w:hint="eastAsia" w:eastAsia="Times New Roman"/>
                <w:color w:val="auto"/>
                <w:spacing w:val="4"/>
              </w:rPr>
              <w:t>条</w:t>
            </w:r>
          </w:p>
        </w:tc>
        <w:tc>
          <w:tcPr>
            <w:tcW w:w="1296" w:type="pct"/>
            <w:vAlign w:val="center"/>
          </w:tcPr>
          <w:p w14:paraId="0E13C243">
            <w:pPr>
              <w:pStyle w:val="81"/>
              <w:rPr>
                <w:rFonts w:eastAsia="Times New Roman" w:cs="Arial"/>
                <w:color w:val="auto"/>
              </w:rPr>
            </w:pPr>
            <w:r>
              <w:rPr>
                <w:rFonts w:eastAsia="Times New Roman" w:cs="Arial"/>
                <w:color w:val="auto"/>
                <w:spacing w:val="-8"/>
              </w:rPr>
              <w:t>1.5m</w:t>
            </w:r>
            <w:r>
              <w:rPr>
                <w:rFonts w:hint="eastAsia" w:eastAsia="Times New Roman"/>
                <w:color w:val="auto"/>
                <w:spacing w:val="-8"/>
              </w:rPr>
              <w:t>×</w:t>
            </w:r>
            <w:r>
              <w:rPr>
                <w:rFonts w:eastAsia="Times New Roman" w:cs="Arial"/>
                <w:color w:val="auto"/>
                <w:spacing w:val="-8"/>
              </w:rPr>
              <w:t>1.5m</w:t>
            </w:r>
          </w:p>
        </w:tc>
        <w:tc>
          <w:tcPr>
            <w:tcW w:w="325" w:type="pct"/>
            <w:vAlign w:val="center"/>
          </w:tcPr>
          <w:p w14:paraId="5D983B94">
            <w:pPr>
              <w:pStyle w:val="81"/>
              <w:rPr>
                <w:rFonts w:eastAsia="Times New Roman" w:cs="Arial"/>
                <w:color w:val="auto"/>
              </w:rPr>
            </w:pPr>
            <w:r>
              <w:rPr>
                <w:rFonts w:eastAsia="Times New Roman"/>
                <w:color w:val="auto"/>
              </w:rPr>
              <w:t>2</w:t>
            </w:r>
          </w:p>
        </w:tc>
        <w:tc>
          <w:tcPr>
            <w:tcW w:w="1264" w:type="pct"/>
            <w:vAlign w:val="center"/>
          </w:tcPr>
          <w:p w14:paraId="50F9F577">
            <w:pPr>
              <w:pStyle w:val="81"/>
              <w:rPr>
                <w:rFonts w:eastAsia="Times New Roman"/>
                <w:color w:val="auto"/>
              </w:rPr>
            </w:pPr>
            <w:r>
              <w:rPr>
                <w:rFonts w:hint="eastAsia" w:eastAsia="Times New Roman"/>
                <w:color w:val="auto"/>
                <w:spacing w:val="9"/>
              </w:rPr>
              <w:t>滨博管理区应急库房</w:t>
            </w:r>
          </w:p>
        </w:tc>
      </w:tr>
      <w:tr w14:paraId="4F737359">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9DCC926">
            <w:pPr>
              <w:pStyle w:val="81"/>
              <w:rPr>
                <w:rFonts w:eastAsia="Times New Roman" w:cs="Arial"/>
                <w:color w:val="auto"/>
              </w:rPr>
            </w:pPr>
            <w:r>
              <w:rPr>
                <w:rFonts w:eastAsia="Times New Roman"/>
                <w:color w:val="auto"/>
                <w:spacing w:val="-11"/>
              </w:rPr>
              <w:t>14</w:t>
            </w:r>
          </w:p>
        </w:tc>
        <w:tc>
          <w:tcPr>
            <w:tcW w:w="1269" w:type="pct"/>
            <w:vAlign w:val="center"/>
          </w:tcPr>
          <w:p w14:paraId="24EC14C1">
            <w:pPr>
              <w:pStyle w:val="81"/>
              <w:rPr>
                <w:rFonts w:eastAsia="Times New Roman"/>
                <w:color w:val="auto"/>
              </w:rPr>
            </w:pPr>
            <w:r>
              <w:rPr>
                <w:rFonts w:hint="eastAsia" w:eastAsia="Times New Roman"/>
                <w:color w:val="auto"/>
              </w:rPr>
              <w:t>消防钩</w:t>
            </w:r>
          </w:p>
        </w:tc>
        <w:tc>
          <w:tcPr>
            <w:tcW w:w="437" w:type="pct"/>
            <w:vAlign w:val="center"/>
          </w:tcPr>
          <w:p w14:paraId="6D71FDDF">
            <w:pPr>
              <w:pStyle w:val="81"/>
              <w:rPr>
                <w:rFonts w:eastAsia="Times New Roman"/>
                <w:color w:val="auto"/>
              </w:rPr>
            </w:pPr>
            <w:r>
              <w:rPr>
                <w:rFonts w:hint="eastAsia" w:eastAsia="Times New Roman"/>
                <w:color w:val="auto"/>
                <w:spacing w:val="4"/>
              </w:rPr>
              <w:t>把</w:t>
            </w:r>
          </w:p>
        </w:tc>
        <w:tc>
          <w:tcPr>
            <w:tcW w:w="1296" w:type="pct"/>
            <w:vAlign w:val="center"/>
          </w:tcPr>
          <w:p w14:paraId="4072ADE4">
            <w:pPr>
              <w:pStyle w:val="81"/>
              <w:rPr>
                <w:rFonts w:eastAsia="Times New Roman" w:cs="Arial"/>
                <w:color w:val="auto"/>
              </w:rPr>
            </w:pPr>
          </w:p>
        </w:tc>
        <w:tc>
          <w:tcPr>
            <w:tcW w:w="325" w:type="pct"/>
            <w:vAlign w:val="center"/>
          </w:tcPr>
          <w:p w14:paraId="011D9F1B">
            <w:pPr>
              <w:pStyle w:val="81"/>
              <w:rPr>
                <w:rFonts w:eastAsia="Times New Roman"/>
                <w:color w:val="auto"/>
              </w:rPr>
            </w:pPr>
            <w:r>
              <w:rPr>
                <w:rFonts w:eastAsia="Times New Roman"/>
                <w:color w:val="auto"/>
              </w:rPr>
              <w:t>7</w:t>
            </w:r>
          </w:p>
        </w:tc>
        <w:tc>
          <w:tcPr>
            <w:tcW w:w="1264" w:type="pct"/>
            <w:vAlign w:val="center"/>
          </w:tcPr>
          <w:p w14:paraId="24B349A3">
            <w:pPr>
              <w:pStyle w:val="81"/>
              <w:rPr>
                <w:rFonts w:eastAsia="Times New Roman"/>
                <w:color w:val="auto"/>
              </w:rPr>
            </w:pPr>
            <w:r>
              <w:rPr>
                <w:rFonts w:hint="eastAsia" w:eastAsia="Times New Roman"/>
                <w:color w:val="auto"/>
                <w:spacing w:val="9"/>
              </w:rPr>
              <w:t>滨博管理区应急库房</w:t>
            </w:r>
          </w:p>
        </w:tc>
      </w:tr>
      <w:tr w14:paraId="7E86835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13BA64F7">
            <w:pPr>
              <w:pStyle w:val="81"/>
              <w:rPr>
                <w:rFonts w:eastAsia="Times New Roman" w:cs="Arial"/>
                <w:color w:val="auto"/>
              </w:rPr>
            </w:pPr>
            <w:r>
              <w:rPr>
                <w:rFonts w:eastAsia="Times New Roman"/>
                <w:color w:val="auto"/>
                <w:spacing w:val="-11"/>
              </w:rPr>
              <w:t>15</w:t>
            </w:r>
          </w:p>
        </w:tc>
        <w:tc>
          <w:tcPr>
            <w:tcW w:w="1269" w:type="pct"/>
            <w:vAlign w:val="center"/>
          </w:tcPr>
          <w:p w14:paraId="36443CE5">
            <w:pPr>
              <w:pStyle w:val="81"/>
              <w:rPr>
                <w:rFonts w:eastAsia="Times New Roman"/>
                <w:color w:val="auto"/>
              </w:rPr>
            </w:pPr>
            <w:r>
              <w:rPr>
                <w:rFonts w:hint="eastAsia" w:eastAsia="Times New Roman"/>
                <w:color w:val="auto"/>
              </w:rPr>
              <w:t>消防锨</w:t>
            </w:r>
          </w:p>
        </w:tc>
        <w:tc>
          <w:tcPr>
            <w:tcW w:w="437" w:type="pct"/>
            <w:vAlign w:val="center"/>
          </w:tcPr>
          <w:p w14:paraId="6BB5AA61">
            <w:pPr>
              <w:pStyle w:val="81"/>
              <w:rPr>
                <w:rFonts w:eastAsia="Times New Roman"/>
                <w:color w:val="auto"/>
              </w:rPr>
            </w:pPr>
            <w:r>
              <w:rPr>
                <w:rFonts w:hint="eastAsia" w:eastAsia="Times New Roman"/>
                <w:color w:val="auto"/>
                <w:spacing w:val="4"/>
              </w:rPr>
              <w:t>把</w:t>
            </w:r>
          </w:p>
        </w:tc>
        <w:tc>
          <w:tcPr>
            <w:tcW w:w="1296" w:type="pct"/>
            <w:vAlign w:val="center"/>
          </w:tcPr>
          <w:p w14:paraId="77A7D00C">
            <w:pPr>
              <w:pStyle w:val="81"/>
              <w:rPr>
                <w:rFonts w:eastAsia="Times New Roman" w:cs="Arial"/>
                <w:color w:val="auto"/>
              </w:rPr>
            </w:pPr>
          </w:p>
        </w:tc>
        <w:tc>
          <w:tcPr>
            <w:tcW w:w="325" w:type="pct"/>
            <w:vAlign w:val="center"/>
          </w:tcPr>
          <w:p w14:paraId="0C36CC24">
            <w:pPr>
              <w:pStyle w:val="81"/>
              <w:rPr>
                <w:rFonts w:eastAsia="Times New Roman"/>
                <w:color w:val="auto"/>
              </w:rPr>
            </w:pPr>
            <w:r>
              <w:rPr>
                <w:rFonts w:eastAsia="Times New Roman"/>
                <w:color w:val="auto"/>
                <w:spacing w:val="-11"/>
              </w:rPr>
              <w:t>10</w:t>
            </w:r>
          </w:p>
        </w:tc>
        <w:tc>
          <w:tcPr>
            <w:tcW w:w="1264" w:type="pct"/>
            <w:vAlign w:val="center"/>
          </w:tcPr>
          <w:p w14:paraId="263D4604">
            <w:pPr>
              <w:pStyle w:val="81"/>
              <w:rPr>
                <w:rFonts w:eastAsia="Times New Roman"/>
                <w:color w:val="auto"/>
              </w:rPr>
            </w:pPr>
            <w:r>
              <w:rPr>
                <w:rFonts w:hint="eastAsia" w:eastAsia="Times New Roman"/>
                <w:color w:val="auto"/>
                <w:spacing w:val="9"/>
              </w:rPr>
              <w:t>滨博管理区应急库房</w:t>
            </w:r>
          </w:p>
        </w:tc>
      </w:tr>
      <w:tr w14:paraId="727BF528">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1DB46218">
            <w:pPr>
              <w:pStyle w:val="81"/>
              <w:rPr>
                <w:rFonts w:eastAsia="Times New Roman" w:cs="Arial"/>
                <w:color w:val="auto"/>
              </w:rPr>
            </w:pPr>
            <w:r>
              <w:rPr>
                <w:rFonts w:eastAsia="Times New Roman"/>
                <w:color w:val="auto"/>
                <w:spacing w:val="-11"/>
              </w:rPr>
              <w:t>16</w:t>
            </w:r>
          </w:p>
        </w:tc>
        <w:tc>
          <w:tcPr>
            <w:tcW w:w="1269" w:type="pct"/>
            <w:vAlign w:val="center"/>
          </w:tcPr>
          <w:p w14:paraId="2199A518">
            <w:pPr>
              <w:pStyle w:val="81"/>
              <w:rPr>
                <w:rFonts w:eastAsia="Times New Roman"/>
                <w:color w:val="auto"/>
              </w:rPr>
            </w:pPr>
            <w:r>
              <w:rPr>
                <w:rFonts w:hint="eastAsia" w:eastAsia="Times New Roman"/>
                <w:color w:val="auto"/>
              </w:rPr>
              <w:t>消防桶</w:t>
            </w:r>
          </w:p>
        </w:tc>
        <w:tc>
          <w:tcPr>
            <w:tcW w:w="437" w:type="pct"/>
            <w:vAlign w:val="center"/>
          </w:tcPr>
          <w:p w14:paraId="12E395E7">
            <w:pPr>
              <w:pStyle w:val="81"/>
              <w:rPr>
                <w:rFonts w:eastAsia="Times New Roman"/>
                <w:color w:val="auto"/>
              </w:rPr>
            </w:pPr>
            <w:r>
              <w:rPr>
                <w:rFonts w:hint="eastAsia" w:eastAsia="Times New Roman"/>
                <w:color w:val="auto"/>
              </w:rPr>
              <w:t>只</w:t>
            </w:r>
          </w:p>
        </w:tc>
        <w:tc>
          <w:tcPr>
            <w:tcW w:w="1296" w:type="pct"/>
            <w:vAlign w:val="center"/>
          </w:tcPr>
          <w:p w14:paraId="31A347D6">
            <w:pPr>
              <w:pStyle w:val="81"/>
              <w:rPr>
                <w:rFonts w:eastAsia="Times New Roman" w:cs="Arial"/>
                <w:color w:val="auto"/>
              </w:rPr>
            </w:pPr>
          </w:p>
        </w:tc>
        <w:tc>
          <w:tcPr>
            <w:tcW w:w="325" w:type="pct"/>
            <w:vAlign w:val="center"/>
          </w:tcPr>
          <w:p w14:paraId="30E20D35">
            <w:pPr>
              <w:pStyle w:val="81"/>
              <w:rPr>
                <w:rFonts w:eastAsia="Times New Roman"/>
                <w:color w:val="auto"/>
              </w:rPr>
            </w:pPr>
            <w:r>
              <w:rPr>
                <w:rFonts w:eastAsia="Times New Roman"/>
                <w:color w:val="auto"/>
              </w:rPr>
              <w:t>5</w:t>
            </w:r>
          </w:p>
        </w:tc>
        <w:tc>
          <w:tcPr>
            <w:tcW w:w="1264" w:type="pct"/>
            <w:vAlign w:val="center"/>
          </w:tcPr>
          <w:p w14:paraId="13D26491">
            <w:pPr>
              <w:pStyle w:val="81"/>
              <w:rPr>
                <w:rFonts w:eastAsia="Times New Roman"/>
                <w:color w:val="auto"/>
              </w:rPr>
            </w:pPr>
            <w:r>
              <w:rPr>
                <w:rFonts w:hint="eastAsia" w:eastAsia="Times New Roman"/>
                <w:color w:val="auto"/>
                <w:spacing w:val="9"/>
              </w:rPr>
              <w:t>滨博管理区应急库房</w:t>
            </w:r>
          </w:p>
        </w:tc>
      </w:tr>
      <w:tr w14:paraId="6F57ECD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0A29763C">
            <w:pPr>
              <w:pStyle w:val="81"/>
              <w:rPr>
                <w:rFonts w:eastAsia="Times New Roman" w:cs="Arial"/>
                <w:color w:val="auto"/>
              </w:rPr>
            </w:pPr>
            <w:r>
              <w:rPr>
                <w:rFonts w:eastAsia="Times New Roman"/>
                <w:color w:val="auto"/>
                <w:spacing w:val="-11"/>
              </w:rPr>
              <w:t>17</w:t>
            </w:r>
          </w:p>
        </w:tc>
        <w:tc>
          <w:tcPr>
            <w:tcW w:w="1269" w:type="pct"/>
            <w:vAlign w:val="center"/>
          </w:tcPr>
          <w:p w14:paraId="3ED7D1D7">
            <w:pPr>
              <w:pStyle w:val="81"/>
              <w:rPr>
                <w:rFonts w:eastAsia="Times New Roman"/>
                <w:color w:val="auto"/>
              </w:rPr>
            </w:pPr>
            <w:r>
              <w:rPr>
                <w:rFonts w:hint="eastAsia" w:eastAsia="Times New Roman"/>
                <w:color w:val="auto"/>
              </w:rPr>
              <w:t>消防斧</w:t>
            </w:r>
          </w:p>
        </w:tc>
        <w:tc>
          <w:tcPr>
            <w:tcW w:w="437" w:type="pct"/>
            <w:vAlign w:val="center"/>
          </w:tcPr>
          <w:p w14:paraId="76A2719B">
            <w:pPr>
              <w:pStyle w:val="81"/>
              <w:rPr>
                <w:rFonts w:eastAsia="Times New Roman"/>
                <w:color w:val="auto"/>
              </w:rPr>
            </w:pPr>
            <w:r>
              <w:rPr>
                <w:rFonts w:hint="eastAsia" w:eastAsia="Times New Roman"/>
                <w:color w:val="auto"/>
                <w:spacing w:val="4"/>
              </w:rPr>
              <w:t>把</w:t>
            </w:r>
          </w:p>
        </w:tc>
        <w:tc>
          <w:tcPr>
            <w:tcW w:w="1296" w:type="pct"/>
            <w:vAlign w:val="center"/>
          </w:tcPr>
          <w:p w14:paraId="57A487B4">
            <w:pPr>
              <w:pStyle w:val="81"/>
              <w:rPr>
                <w:rFonts w:eastAsia="Times New Roman" w:cs="Arial"/>
                <w:color w:val="auto"/>
              </w:rPr>
            </w:pPr>
          </w:p>
        </w:tc>
        <w:tc>
          <w:tcPr>
            <w:tcW w:w="325" w:type="pct"/>
            <w:vAlign w:val="center"/>
          </w:tcPr>
          <w:p w14:paraId="039FFBF5">
            <w:pPr>
              <w:pStyle w:val="81"/>
              <w:rPr>
                <w:rFonts w:eastAsia="Times New Roman"/>
                <w:color w:val="auto"/>
              </w:rPr>
            </w:pPr>
            <w:r>
              <w:rPr>
                <w:rFonts w:eastAsia="Times New Roman"/>
                <w:color w:val="auto"/>
              </w:rPr>
              <w:t>2</w:t>
            </w:r>
          </w:p>
        </w:tc>
        <w:tc>
          <w:tcPr>
            <w:tcW w:w="1264" w:type="pct"/>
            <w:vAlign w:val="center"/>
          </w:tcPr>
          <w:p w14:paraId="425CC908">
            <w:pPr>
              <w:pStyle w:val="81"/>
              <w:rPr>
                <w:rFonts w:eastAsia="Times New Roman"/>
                <w:color w:val="auto"/>
              </w:rPr>
            </w:pPr>
            <w:r>
              <w:rPr>
                <w:rFonts w:hint="eastAsia" w:eastAsia="Times New Roman"/>
                <w:color w:val="auto"/>
                <w:spacing w:val="9"/>
              </w:rPr>
              <w:t>滨博管理区应急库房</w:t>
            </w:r>
          </w:p>
        </w:tc>
      </w:tr>
      <w:tr w14:paraId="7E5EC33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05F4AF27">
            <w:pPr>
              <w:pStyle w:val="81"/>
              <w:rPr>
                <w:rFonts w:eastAsia="Times New Roman" w:cs="Arial"/>
                <w:color w:val="auto"/>
              </w:rPr>
            </w:pPr>
            <w:r>
              <w:rPr>
                <w:rFonts w:eastAsia="Times New Roman"/>
                <w:color w:val="auto"/>
                <w:spacing w:val="-11"/>
              </w:rPr>
              <w:t>18</w:t>
            </w:r>
          </w:p>
        </w:tc>
        <w:tc>
          <w:tcPr>
            <w:tcW w:w="1269" w:type="pct"/>
            <w:vAlign w:val="center"/>
          </w:tcPr>
          <w:p w14:paraId="5C144A00">
            <w:pPr>
              <w:pStyle w:val="81"/>
              <w:rPr>
                <w:rFonts w:eastAsia="Times New Roman"/>
                <w:color w:val="auto"/>
              </w:rPr>
            </w:pPr>
            <w:r>
              <w:rPr>
                <w:rFonts w:hint="eastAsia" w:eastAsia="Times New Roman"/>
                <w:color w:val="auto"/>
                <w:spacing w:val="5"/>
              </w:rPr>
              <w:t>钢锯</w:t>
            </w:r>
          </w:p>
        </w:tc>
        <w:tc>
          <w:tcPr>
            <w:tcW w:w="437" w:type="pct"/>
            <w:vAlign w:val="center"/>
          </w:tcPr>
          <w:p w14:paraId="6DE3A980">
            <w:pPr>
              <w:pStyle w:val="81"/>
              <w:rPr>
                <w:rFonts w:eastAsia="Times New Roman"/>
                <w:color w:val="auto"/>
              </w:rPr>
            </w:pPr>
            <w:r>
              <w:rPr>
                <w:rFonts w:hint="eastAsia" w:eastAsia="Times New Roman"/>
                <w:color w:val="auto"/>
                <w:spacing w:val="4"/>
              </w:rPr>
              <w:t>把</w:t>
            </w:r>
          </w:p>
        </w:tc>
        <w:tc>
          <w:tcPr>
            <w:tcW w:w="1296" w:type="pct"/>
            <w:vAlign w:val="center"/>
          </w:tcPr>
          <w:p w14:paraId="60B36893">
            <w:pPr>
              <w:pStyle w:val="81"/>
              <w:rPr>
                <w:rFonts w:eastAsia="Times New Roman" w:cs="Arial"/>
                <w:color w:val="auto"/>
              </w:rPr>
            </w:pPr>
          </w:p>
        </w:tc>
        <w:tc>
          <w:tcPr>
            <w:tcW w:w="325" w:type="pct"/>
            <w:vAlign w:val="center"/>
          </w:tcPr>
          <w:p w14:paraId="6CF3F733">
            <w:pPr>
              <w:pStyle w:val="81"/>
              <w:rPr>
                <w:rFonts w:eastAsia="Times New Roman"/>
                <w:color w:val="auto"/>
              </w:rPr>
            </w:pPr>
            <w:r>
              <w:rPr>
                <w:rFonts w:eastAsia="Times New Roman"/>
                <w:color w:val="auto"/>
              </w:rPr>
              <w:t>1</w:t>
            </w:r>
          </w:p>
        </w:tc>
        <w:tc>
          <w:tcPr>
            <w:tcW w:w="1264" w:type="pct"/>
            <w:vAlign w:val="center"/>
          </w:tcPr>
          <w:p w14:paraId="4634A6A2">
            <w:pPr>
              <w:pStyle w:val="81"/>
              <w:rPr>
                <w:rFonts w:eastAsia="Times New Roman"/>
                <w:color w:val="auto"/>
              </w:rPr>
            </w:pPr>
            <w:r>
              <w:rPr>
                <w:rFonts w:hint="eastAsia" w:eastAsia="Times New Roman"/>
                <w:color w:val="auto"/>
                <w:spacing w:val="9"/>
              </w:rPr>
              <w:t>滨博管理区应急库房</w:t>
            </w:r>
          </w:p>
        </w:tc>
      </w:tr>
      <w:tr w14:paraId="1D2B286F">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4E122D6">
            <w:pPr>
              <w:pStyle w:val="81"/>
              <w:rPr>
                <w:rFonts w:eastAsia="Times New Roman" w:cs="Arial"/>
                <w:color w:val="auto"/>
              </w:rPr>
            </w:pPr>
            <w:r>
              <w:rPr>
                <w:rFonts w:eastAsia="Times New Roman"/>
                <w:color w:val="auto"/>
                <w:spacing w:val="-11"/>
              </w:rPr>
              <w:t>19</w:t>
            </w:r>
          </w:p>
        </w:tc>
        <w:tc>
          <w:tcPr>
            <w:tcW w:w="1269" w:type="pct"/>
            <w:vAlign w:val="center"/>
          </w:tcPr>
          <w:p w14:paraId="7D3ABC57">
            <w:pPr>
              <w:pStyle w:val="81"/>
              <w:rPr>
                <w:rFonts w:eastAsia="Times New Roman"/>
                <w:color w:val="auto"/>
              </w:rPr>
            </w:pPr>
            <w:r>
              <w:rPr>
                <w:rFonts w:hint="eastAsia" w:eastAsia="Times New Roman"/>
                <w:color w:val="auto"/>
                <w:spacing w:val="8"/>
              </w:rPr>
              <w:t>铜管钳</w:t>
            </w:r>
          </w:p>
        </w:tc>
        <w:tc>
          <w:tcPr>
            <w:tcW w:w="437" w:type="pct"/>
            <w:vAlign w:val="center"/>
          </w:tcPr>
          <w:p w14:paraId="16C3AD2D">
            <w:pPr>
              <w:pStyle w:val="81"/>
              <w:rPr>
                <w:rFonts w:eastAsia="Times New Roman"/>
                <w:color w:val="auto"/>
              </w:rPr>
            </w:pPr>
            <w:r>
              <w:rPr>
                <w:rFonts w:hint="eastAsia" w:eastAsia="Times New Roman"/>
                <w:color w:val="auto"/>
              </w:rPr>
              <w:t>套</w:t>
            </w:r>
          </w:p>
        </w:tc>
        <w:tc>
          <w:tcPr>
            <w:tcW w:w="1296" w:type="pct"/>
            <w:vAlign w:val="center"/>
          </w:tcPr>
          <w:p w14:paraId="36CDDB75">
            <w:pPr>
              <w:pStyle w:val="81"/>
              <w:rPr>
                <w:rFonts w:eastAsia="Times New Roman"/>
                <w:color w:val="auto"/>
              </w:rPr>
            </w:pPr>
            <w:r>
              <w:rPr>
                <w:rFonts w:eastAsia="Times New Roman" w:cs="Arial"/>
                <w:color w:val="auto"/>
                <w:spacing w:val="-10"/>
              </w:rPr>
              <w:t>14</w:t>
            </w:r>
            <w:r>
              <w:rPr>
                <w:rFonts w:hint="eastAsia" w:eastAsia="Times New Roman"/>
                <w:color w:val="auto"/>
                <w:spacing w:val="-10"/>
              </w:rPr>
              <w:t>吋</w:t>
            </w:r>
          </w:p>
        </w:tc>
        <w:tc>
          <w:tcPr>
            <w:tcW w:w="325" w:type="pct"/>
            <w:vAlign w:val="center"/>
          </w:tcPr>
          <w:p w14:paraId="50708807">
            <w:pPr>
              <w:pStyle w:val="81"/>
              <w:rPr>
                <w:rFonts w:eastAsia="Times New Roman" w:cs="Arial"/>
                <w:color w:val="auto"/>
              </w:rPr>
            </w:pPr>
            <w:r>
              <w:rPr>
                <w:rFonts w:eastAsia="Times New Roman"/>
                <w:color w:val="auto"/>
              </w:rPr>
              <w:t>2</w:t>
            </w:r>
          </w:p>
        </w:tc>
        <w:tc>
          <w:tcPr>
            <w:tcW w:w="1264" w:type="pct"/>
            <w:vAlign w:val="center"/>
          </w:tcPr>
          <w:p w14:paraId="4E894429">
            <w:pPr>
              <w:pStyle w:val="81"/>
              <w:rPr>
                <w:rFonts w:eastAsia="Times New Roman"/>
                <w:color w:val="auto"/>
              </w:rPr>
            </w:pPr>
            <w:r>
              <w:rPr>
                <w:rFonts w:hint="eastAsia" w:eastAsia="Times New Roman"/>
                <w:color w:val="auto"/>
                <w:spacing w:val="9"/>
              </w:rPr>
              <w:t>滨博管理区应急库房</w:t>
            </w:r>
          </w:p>
        </w:tc>
      </w:tr>
      <w:tr w14:paraId="7C3A7345">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48B7F726">
            <w:pPr>
              <w:pStyle w:val="81"/>
              <w:rPr>
                <w:rFonts w:eastAsia="Times New Roman" w:cs="Arial"/>
                <w:color w:val="auto"/>
              </w:rPr>
            </w:pPr>
            <w:r>
              <w:rPr>
                <w:rFonts w:eastAsia="Times New Roman"/>
                <w:color w:val="auto"/>
                <w:spacing w:val="-8"/>
              </w:rPr>
              <w:t>20</w:t>
            </w:r>
          </w:p>
        </w:tc>
        <w:tc>
          <w:tcPr>
            <w:tcW w:w="1269" w:type="pct"/>
            <w:vAlign w:val="center"/>
          </w:tcPr>
          <w:p w14:paraId="00F59567">
            <w:pPr>
              <w:pStyle w:val="81"/>
              <w:rPr>
                <w:rFonts w:eastAsia="Times New Roman"/>
                <w:color w:val="auto"/>
              </w:rPr>
            </w:pPr>
            <w:r>
              <w:rPr>
                <w:rFonts w:hint="eastAsia" w:eastAsia="Times New Roman"/>
                <w:color w:val="auto"/>
              </w:rPr>
              <w:t>扳手</w:t>
            </w:r>
          </w:p>
        </w:tc>
        <w:tc>
          <w:tcPr>
            <w:tcW w:w="437" w:type="pct"/>
            <w:vAlign w:val="center"/>
          </w:tcPr>
          <w:p w14:paraId="4908BCF2">
            <w:pPr>
              <w:pStyle w:val="81"/>
              <w:rPr>
                <w:rFonts w:eastAsia="Times New Roman"/>
                <w:color w:val="auto"/>
              </w:rPr>
            </w:pPr>
            <w:r>
              <w:rPr>
                <w:rFonts w:hint="eastAsia" w:eastAsia="Times New Roman"/>
                <w:color w:val="auto"/>
              </w:rPr>
              <w:t>套</w:t>
            </w:r>
          </w:p>
        </w:tc>
        <w:tc>
          <w:tcPr>
            <w:tcW w:w="1296" w:type="pct"/>
            <w:vAlign w:val="center"/>
          </w:tcPr>
          <w:p w14:paraId="062F44CF">
            <w:pPr>
              <w:pStyle w:val="81"/>
              <w:rPr>
                <w:rFonts w:eastAsia="Times New Roman" w:cs="Arial"/>
                <w:color w:val="auto"/>
              </w:rPr>
            </w:pPr>
            <w:r>
              <w:rPr>
                <w:rFonts w:eastAsia="Times New Roman"/>
                <w:color w:val="auto"/>
                <w:spacing w:val="-18"/>
              </w:rPr>
              <w:t>450mm</w:t>
            </w:r>
          </w:p>
        </w:tc>
        <w:tc>
          <w:tcPr>
            <w:tcW w:w="325" w:type="pct"/>
            <w:vAlign w:val="center"/>
          </w:tcPr>
          <w:p w14:paraId="484F06CA">
            <w:pPr>
              <w:pStyle w:val="81"/>
              <w:rPr>
                <w:rFonts w:eastAsia="Times New Roman"/>
                <w:color w:val="auto"/>
              </w:rPr>
            </w:pPr>
            <w:r>
              <w:rPr>
                <w:rFonts w:eastAsia="Times New Roman"/>
                <w:color w:val="auto"/>
              </w:rPr>
              <w:t>1</w:t>
            </w:r>
          </w:p>
        </w:tc>
        <w:tc>
          <w:tcPr>
            <w:tcW w:w="1264" w:type="pct"/>
            <w:vAlign w:val="center"/>
          </w:tcPr>
          <w:p w14:paraId="4DCFF94A">
            <w:pPr>
              <w:pStyle w:val="81"/>
              <w:rPr>
                <w:rFonts w:eastAsia="Times New Roman"/>
                <w:color w:val="auto"/>
              </w:rPr>
            </w:pPr>
            <w:r>
              <w:rPr>
                <w:rFonts w:hint="eastAsia" w:eastAsia="Times New Roman"/>
                <w:color w:val="auto"/>
                <w:spacing w:val="9"/>
              </w:rPr>
              <w:t>滨博管理区应急库房</w:t>
            </w:r>
          </w:p>
        </w:tc>
      </w:tr>
      <w:tr w14:paraId="26E051A5">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155612CC">
            <w:pPr>
              <w:pStyle w:val="81"/>
              <w:rPr>
                <w:rFonts w:eastAsia="Times New Roman" w:cs="Arial"/>
                <w:color w:val="auto"/>
              </w:rPr>
            </w:pPr>
            <w:r>
              <w:rPr>
                <w:rFonts w:eastAsia="Times New Roman"/>
                <w:color w:val="auto"/>
                <w:spacing w:val="-8"/>
              </w:rPr>
              <w:t>21</w:t>
            </w:r>
          </w:p>
        </w:tc>
        <w:tc>
          <w:tcPr>
            <w:tcW w:w="1269" w:type="pct"/>
            <w:vAlign w:val="center"/>
          </w:tcPr>
          <w:p w14:paraId="0D6E4630">
            <w:pPr>
              <w:pStyle w:val="81"/>
              <w:rPr>
                <w:rFonts w:eastAsia="Times New Roman"/>
                <w:color w:val="auto"/>
              </w:rPr>
            </w:pPr>
            <w:r>
              <w:rPr>
                <w:rFonts w:hint="eastAsia" w:eastAsia="Times New Roman"/>
                <w:color w:val="auto"/>
              </w:rPr>
              <w:t>棕绳</w:t>
            </w:r>
          </w:p>
        </w:tc>
        <w:tc>
          <w:tcPr>
            <w:tcW w:w="437" w:type="pct"/>
            <w:vAlign w:val="center"/>
          </w:tcPr>
          <w:p w14:paraId="57A5ADA1">
            <w:pPr>
              <w:pStyle w:val="81"/>
              <w:rPr>
                <w:rFonts w:eastAsia="Times New Roman"/>
                <w:color w:val="auto"/>
              </w:rPr>
            </w:pPr>
            <w:r>
              <w:rPr>
                <w:rFonts w:hint="eastAsia" w:eastAsia="Times New Roman"/>
                <w:color w:val="auto"/>
                <w:spacing w:val="4"/>
              </w:rPr>
              <w:t>米</w:t>
            </w:r>
          </w:p>
        </w:tc>
        <w:tc>
          <w:tcPr>
            <w:tcW w:w="1296" w:type="pct"/>
            <w:vAlign w:val="center"/>
          </w:tcPr>
          <w:p w14:paraId="7BFFAF18">
            <w:pPr>
              <w:pStyle w:val="81"/>
              <w:rPr>
                <w:rFonts w:eastAsia="Times New Roman" w:cs="Arial"/>
                <w:color w:val="auto"/>
              </w:rPr>
            </w:pPr>
          </w:p>
        </w:tc>
        <w:tc>
          <w:tcPr>
            <w:tcW w:w="325" w:type="pct"/>
            <w:vAlign w:val="center"/>
          </w:tcPr>
          <w:p w14:paraId="5BC6471E">
            <w:pPr>
              <w:pStyle w:val="81"/>
              <w:rPr>
                <w:rFonts w:eastAsia="Times New Roman"/>
                <w:color w:val="auto"/>
              </w:rPr>
            </w:pPr>
            <w:r>
              <w:rPr>
                <w:rFonts w:eastAsia="Times New Roman"/>
                <w:color w:val="auto"/>
                <w:spacing w:val="-7"/>
              </w:rPr>
              <w:t>50</w:t>
            </w:r>
          </w:p>
        </w:tc>
        <w:tc>
          <w:tcPr>
            <w:tcW w:w="1264" w:type="pct"/>
            <w:vAlign w:val="center"/>
          </w:tcPr>
          <w:p w14:paraId="0721EB83">
            <w:pPr>
              <w:pStyle w:val="81"/>
              <w:rPr>
                <w:rFonts w:eastAsia="Times New Roman"/>
                <w:color w:val="auto"/>
              </w:rPr>
            </w:pPr>
            <w:r>
              <w:rPr>
                <w:rFonts w:hint="eastAsia" w:eastAsia="Times New Roman"/>
                <w:color w:val="auto"/>
                <w:spacing w:val="9"/>
              </w:rPr>
              <w:t>滨博管理区应急库房</w:t>
            </w:r>
          </w:p>
        </w:tc>
      </w:tr>
      <w:tr w14:paraId="598225E2">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9B57F28">
            <w:pPr>
              <w:pStyle w:val="81"/>
              <w:rPr>
                <w:rFonts w:eastAsia="Times New Roman" w:cs="Arial"/>
                <w:color w:val="auto"/>
              </w:rPr>
            </w:pPr>
            <w:r>
              <w:rPr>
                <w:rFonts w:eastAsia="Times New Roman"/>
                <w:color w:val="auto"/>
                <w:spacing w:val="-8"/>
              </w:rPr>
              <w:t>22</w:t>
            </w:r>
          </w:p>
        </w:tc>
        <w:tc>
          <w:tcPr>
            <w:tcW w:w="1269" w:type="pct"/>
            <w:vAlign w:val="center"/>
          </w:tcPr>
          <w:p w14:paraId="2F702AED">
            <w:pPr>
              <w:pStyle w:val="81"/>
              <w:rPr>
                <w:rFonts w:eastAsia="Times New Roman"/>
                <w:color w:val="auto"/>
              </w:rPr>
            </w:pPr>
            <w:r>
              <w:rPr>
                <w:rFonts w:hint="eastAsia" w:eastAsia="Times New Roman"/>
                <w:color w:val="auto"/>
                <w:spacing w:val="4"/>
              </w:rPr>
              <w:t>大锤</w:t>
            </w:r>
          </w:p>
        </w:tc>
        <w:tc>
          <w:tcPr>
            <w:tcW w:w="437" w:type="pct"/>
            <w:vAlign w:val="center"/>
          </w:tcPr>
          <w:p w14:paraId="56D75891">
            <w:pPr>
              <w:pStyle w:val="81"/>
              <w:rPr>
                <w:rFonts w:eastAsia="Times New Roman"/>
                <w:color w:val="auto"/>
              </w:rPr>
            </w:pPr>
            <w:r>
              <w:rPr>
                <w:rFonts w:hint="eastAsia" w:eastAsia="Times New Roman"/>
                <w:color w:val="auto"/>
                <w:spacing w:val="4"/>
              </w:rPr>
              <w:t>把</w:t>
            </w:r>
          </w:p>
        </w:tc>
        <w:tc>
          <w:tcPr>
            <w:tcW w:w="1296" w:type="pct"/>
            <w:vAlign w:val="center"/>
          </w:tcPr>
          <w:p w14:paraId="0D7ADA36">
            <w:pPr>
              <w:pStyle w:val="81"/>
              <w:rPr>
                <w:rFonts w:eastAsia="Times New Roman" w:cs="Arial"/>
                <w:color w:val="auto"/>
              </w:rPr>
            </w:pPr>
          </w:p>
        </w:tc>
        <w:tc>
          <w:tcPr>
            <w:tcW w:w="325" w:type="pct"/>
            <w:vAlign w:val="center"/>
          </w:tcPr>
          <w:p w14:paraId="6810CA61">
            <w:pPr>
              <w:pStyle w:val="81"/>
              <w:rPr>
                <w:rFonts w:eastAsia="Times New Roman"/>
                <w:color w:val="auto"/>
              </w:rPr>
            </w:pPr>
            <w:r>
              <w:rPr>
                <w:rFonts w:eastAsia="Times New Roman"/>
                <w:color w:val="auto"/>
              </w:rPr>
              <w:t>1</w:t>
            </w:r>
          </w:p>
        </w:tc>
        <w:tc>
          <w:tcPr>
            <w:tcW w:w="1264" w:type="pct"/>
            <w:vAlign w:val="center"/>
          </w:tcPr>
          <w:p w14:paraId="33976669">
            <w:pPr>
              <w:pStyle w:val="81"/>
              <w:rPr>
                <w:rFonts w:eastAsia="Times New Roman"/>
                <w:color w:val="auto"/>
              </w:rPr>
            </w:pPr>
            <w:r>
              <w:rPr>
                <w:rFonts w:hint="eastAsia" w:eastAsia="Times New Roman"/>
                <w:color w:val="auto"/>
                <w:spacing w:val="9"/>
              </w:rPr>
              <w:t>滨博管理区应急库房</w:t>
            </w:r>
          </w:p>
        </w:tc>
      </w:tr>
      <w:tr w14:paraId="5F129246">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A137E9D">
            <w:pPr>
              <w:pStyle w:val="81"/>
              <w:rPr>
                <w:rFonts w:eastAsia="Times New Roman" w:cs="Arial"/>
                <w:color w:val="auto"/>
              </w:rPr>
            </w:pPr>
            <w:r>
              <w:rPr>
                <w:rFonts w:eastAsia="Times New Roman"/>
                <w:color w:val="auto"/>
                <w:spacing w:val="-8"/>
              </w:rPr>
              <w:t>23</w:t>
            </w:r>
          </w:p>
        </w:tc>
        <w:tc>
          <w:tcPr>
            <w:tcW w:w="1269" w:type="pct"/>
            <w:vAlign w:val="center"/>
          </w:tcPr>
          <w:p w14:paraId="685630DB">
            <w:pPr>
              <w:pStyle w:val="81"/>
              <w:rPr>
                <w:rFonts w:eastAsia="Times New Roman"/>
                <w:color w:val="auto"/>
              </w:rPr>
            </w:pPr>
            <w:r>
              <w:rPr>
                <w:rFonts w:hint="eastAsia" w:eastAsia="Times New Roman"/>
                <w:color w:val="auto"/>
                <w:spacing w:val="8"/>
              </w:rPr>
              <w:t>警戒线</w:t>
            </w:r>
          </w:p>
        </w:tc>
        <w:tc>
          <w:tcPr>
            <w:tcW w:w="437" w:type="pct"/>
            <w:vAlign w:val="center"/>
          </w:tcPr>
          <w:p w14:paraId="4C6A71C5">
            <w:pPr>
              <w:pStyle w:val="81"/>
              <w:rPr>
                <w:rFonts w:eastAsia="Times New Roman"/>
                <w:color w:val="auto"/>
              </w:rPr>
            </w:pPr>
            <w:r>
              <w:rPr>
                <w:rFonts w:hint="eastAsia" w:eastAsia="Times New Roman"/>
                <w:color w:val="auto"/>
                <w:spacing w:val="3"/>
              </w:rPr>
              <w:t>盒</w:t>
            </w:r>
          </w:p>
        </w:tc>
        <w:tc>
          <w:tcPr>
            <w:tcW w:w="1296" w:type="pct"/>
            <w:vAlign w:val="center"/>
          </w:tcPr>
          <w:p w14:paraId="4BE33974">
            <w:pPr>
              <w:pStyle w:val="81"/>
              <w:rPr>
                <w:rFonts w:eastAsia="Times New Roman" w:cs="Arial"/>
                <w:color w:val="auto"/>
              </w:rPr>
            </w:pPr>
          </w:p>
        </w:tc>
        <w:tc>
          <w:tcPr>
            <w:tcW w:w="325" w:type="pct"/>
            <w:vAlign w:val="center"/>
          </w:tcPr>
          <w:p w14:paraId="3FCE939C">
            <w:pPr>
              <w:pStyle w:val="81"/>
              <w:rPr>
                <w:rFonts w:eastAsia="Times New Roman"/>
                <w:color w:val="auto"/>
              </w:rPr>
            </w:pPr>
            <w:r>
              <w:rPr>
                <w:rFonts w:eastAsia="Times New Roman"/>
                <w:color w:val="auto"/>
              </w:rPr>
              <w:t>4</w:t>
            </w:r>
          </w:p>
        </w:tc>
        <w:tc>
          <w:tcPr>
            <w:tcW w:w="1264" w:type="pct"/>
            <w:vAlign w:val="center"/>
          </w:tcPr>
          <w:p w14:paraId="6D82ED4D">
            <w:pPr>
              <w:pStyle w:val="81"/>
              <w:rPr>
                <w:rFonts w:eastAsia="Times New Roman"/>
                <w:color w:val="auto"/>
              </w:rPr>
            </w:pPr>
            <w:r>
              <w:rPr>
                <w:rFonts w:hint="eastAsia" w:eastAsia="Times New Roman"/>
                <w:color w:val="auto"/>
                <w:spacing w:val="9"/>
              </w:rPr>
              <w:t>滨博管理区应急库房</w:t>
            </w:r>
          </w:p>
        </w:tc>
      </w:tr>
      <w:tr w14:paraId="0E3FDCF4">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1B38D34B">
            <w:pPr>
              <w:pStyle w:val="81"/>
              <w:rPr>
                <w:rFonts w:eastAsia="Times New Roman" w:cs="Arial"/>
                <w:color w:val="auto"/>
              </w:rPr>
            </w:pPr>
            <w:r>
              <w:rPr>
                <w:rFonts w:eastAsia="Times New Roman"/>
                <w:color w:val="auto"/>
                <w:spacing w:val="-8"/>
              </w:rPr>
              <w:t>24</w:t>
            </w:r>
          </w:p>
        </w:tc>
        <w:tc>
          <w:tcPr>
            <w:tcW w:w="1269" w:type="pct"/>
            <w:vAlign w:val="center"/>
          </w:tcPr>
          <w:p w14:paraId="5058DE44">
            <w:pPr>
              <w:pStyle w:val="81"/>
              <w:rPr>
                <w:rFonts w:eastAsia="Times New Roman"/>
                <w:color w:val="auto"/>
              </w:rPr>
            </w:pPr>
            <w:r>
              <w:rPr>
                <w:rFonts w:hint="eastAsia" w:eastAsia="Times New Roman"/>
                <w:color w:val="auto"/>
                <w:spacing w:val="5"/>
              </w:rPr>
              <w:t>喊话器</w:t>
            </w:r>
          </w:p>
        </w:tc>
        <w:tc>
          <w:tcPr>
            <w:tcW w:w="437" w:type="pct"/>
            <w:vAlign w:val="center"/>
          </w:tcPr>
          <w:p w14:paraId="49A1E263">
            <w:pPr>
              <w:pStyle w:val="81"/>
              <w:rPr>
                <w:rFonts w:eastAsia="Times New Roman"/>
                <w:color w:val="auto"/>
              </w:rPr>
            </w:pPr>
            <w:r>
              <w:rPr>
                <w:rFonts w:hint="eastAsia" w:eastAsia="Times New Roman"/>
                <w:color w:val="auto"/>
              </w:rPr>
              <w:t>个</w:t>
            </w:r>
          </w:p>
        </w:tc>
        <w:tc>
          <w:tcPr>
            <w:tcW w:w="1296" w:type="pct"/>
            <w:vAlign w:val="center"/>
          </w:tcPr>
          <w:p w14:paraId="3AAB4D09">
            <w:pPr>
              <w:pStyle w:val="81"/>
              <w:rPr>
                <w:rFonts w:eastAsia="Times New Roman" w:cs="Arial"/>
                <w:color w:val="auto"/>
              </w:rPr>
            </w:pPr>
          </w:p>
        </w:tc>
        <w:tc>
          <w:tcPr>
            <w:tcW w:w="325" w:type="pct"/>
            <w:vAlign w:val="center"/>
          </w:tcPr>
          <w:p w14:paraId="66D54921">
            <w:pPr>
              <w:pStyle w:val="81"/>
              <w:rPr>
                <w:rFonts w:eastAsia="Times New Roman"/>
                <w:color w:val="auto"/>
              </w:rPr>
            </w:pPr>
            <w:r>
              <w:rPr>
                <w:rFonts w:eastAsia="Times New Roman"/>
                <w:color w:val="auto"/>
              </w:rPr>
              <w:t>2</w:t>
            </w:r>
          </w:p>
        </w:tc>
        <w:tc>
          <w:tcPr>
            <w:tcW w:w="1264" w:type="pct"/>
            <w:vAlign w:val="center"/>
          </w:tcPr>
          <w:p w14:paraId="5B492330">
            <w:pPr>
              <w:pStyle w:val="81"/>
              <w:rPr>
                <w:rFonts w:eastAsia="Times New Roman"/>
                <w:color w:val="auto"/>
              </w:rPr>
            </w:pPr>
            <w:r>
              <w:rPr>
                <w:rFonts w:hint="eastAsia" w:eastAsia="Times New Roman"/>
                <w:color w:val="auto"/>
                <w:spacing w:val="9"/>
              </w:rPr>
              <w:t>滨博管理区应急库房</w:t>
            </w:r>
          </w:p>
        </w:tc>
      </w:tr>
      <w:tr w14:paraId="2AF143F4">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A675E94">
            <w:pPr>
              <w:pStyle w:val="81"/>
              <w:rPr>
                <w:rFonts w:eastAsia="Times New Roman" w:cs="Arial"/>
                <w:color w:val="auto"/>
              </w:rPr>
            </w:pPr>
            <w:r>
              <w:rPr>
                <w:rFonts w:eastAsia="Times New Roman"/>
                <w:color w:val="auto"/>
                <w:spacing w:val="-8"/>
              </w:rPr>
              <w:t>25</w:t>
            </w:r>
          </w:p>
        </w:tc>
        <w:tc>
          <w:tcPr>
            <w:tcW w:w="1269" w:type="pct"/>
            <w:vAlign w:val="center"/>
          </w:tcPr>
          <w:p w14:paraId="723313E6">
            <w:pPr>
              <w:pStyle w:val="81"/>
              <w:rPr>
                <w:rFonts w:eastAsia="Times New Roman"/>
                <w:color w:val="auto"/>
              </w:rPr>
            </w:pPr>
            <w:r>
              <w:rPr>
                <w:rFonts w:hint="eastAsia" w:eastAsia="Times New Roman"/>
                <w:color w:val="auto"/>
              </w:rPr>
              <w:t>编织袋</w:t>
            </w:r>
          </w:p>
        </w:tc>
        <w:tc>
          <w:tcPr>
            <w:tcW w:w="437" w:type="pct"/>
            <w:vAlign w:val="center"/>
          </w:tcPr>
          <w:p w14:paraId="49AE249D">
            <w:pPr>
              <w:pStyle w:val="81"/>
              <w:rPr>
                <w:rFonts w:eastAsia="Times New Roman"/>
                <w:color w:val="auto"/>
              </w:rPr>
            </w:pPr>
            <w:r>
              <w:rPr>
                <w:rFonts w:hint="eastAsia" w:eastAsia="Times New Roman"/>
                <w:color w:val="auto"/>
                <w:spacing w:val="4"/>
              </w:rPr>
              <w:t>条</w:t>
            </w:r>
          </w:p>
        </w:tc>
        <w:tc>
          <w:tcPr>
            <w:tcW w:w="1296" w:type="pct"/>
            <w:vAlign w:val="center"/>
          </w:tcPr>
          <w:p w14:paraId="2E471C66">
            <w:pPr>
              <w:pStyle w:val="81"/>
              <w:rPr>
                <w:rFonts w:eastAsia="Times New Roman"/>
                <w:color w:val="auto"/>
              </w:rPr>
            </w:pPr>
            <w:r>
              <w:rPr>
                <w:rFonts w:hint="eastAsia" w:eastAsia="Times New Roman"/>
                <w:color w:val="auto"/>
                <w:spacing w:val="8"/>
              </w:rPr>
              <w:t>带内袋</w:t>
            </w:r>
          </w:p>
        </w:tc>
        <w:tc>
          <w:tcPr>
            <w:tcW w:w="325" w:type="pct"/>
            <w:vAlign w:val="center"/>
          </w:tcPr>
          <w:p w14:paraId="404857BE">
            <w:pPr>
              <w:pStyle w:val="81"/>
              <w:rPr>
                <w:rFonts w:eastAsia="Times New Roman" w:cs="Arial"/>
                <w:color w:val="auto"/>
              </w:rPr>
            </w:pPr>
            <w:r>
              <w:rPr>
                <w:rFonts w:eastAsia="Times New Roman"/>
                <w:color w:val="auto"/>
                <w:spacing w:val="-8"/>
              </w:rPr>
              <w:t>200</w:t>
            </w:r>
          </w:p>
        </w:tc>
        <w:tc>
          <w:tcPr>
            <w:tcW w:w="1264" w:type="pct"/>
            <w:vAlign w:val="center"/>
          </w:tcPr>
          <w:p w14:paraId="618234D8">
            <w:pPr>
              <w:pStyle w:val="81"/>
              <w:rPr>
                <w:rFonts w:eastAsia="Times New Roman"/>
                <w:color w:val="auto"/>
              </w:rPr>
            </w:pPr>
            <w:r>
              <w:rPr>
                <w:rFonts w:hint="eastAsia" w:eastAsia="Times New Roman"/>
                <w:color w:val="auto"/>
                <w:spacing w:val="9"/>
              </w:rPr>
              <w:t>滨博管理区应急库房</w:t>
            </w:r>
          </w:p>
        </w:tc>
      </w:tr>
      <w:tr w14:paraId="28F7D93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7746CD5B">
            <w:pPr>
              <w:pStyle w:val="81"/>
              <w:rPr>
                <w:rFonts w:eastAsia="Times New Roman" w:cs="Arial"/>
                <w:color w:val="auto"/>
              </w:rPr>
            </w:pPr>
            <w:r>
              <w:rPr>
                <w:rFonts w:eastAsia="Times New Roman"/>
                <w:color w:val="auto"/>
                <w:spacing w:val="-8"/>
              </w:rPr>
              <w:t>26</w:t>
            </w:r>
          </w:p>
        </w:tc>
        <w:tc>
          <w:tcPr>
            <w:tcW w:w="1269" w:type="pct"/>
            <w:vAlign w:val="center"/>
          </w:tcPr>
          <w:p w14:paraId="2989DA55">
            <w:pPr>
              <w:pStyle w:val="81"/>
              <w:rPr>
                <w:rFonts w:eastAsia="Times New Roman"/>
                <w:color w:val="auto"/>
              </w:rPr>
            </w:pPr>
            <w:r>
              <w:rPr>
                <w:rFonts w:hint="eastAsia" w:eastAsia="Times New Roman"/>
                <w:color w:val="auto"/>
                <w:spacing w:val="7"/>
              </w:rPr>
              <w:t>管线卡子</w:t>
            </w:r>
          </w:p>
        </w:tc>
        <w:tc>
          <w:tcPr>
            <w:tcW w:w="437" w:type="pct"/>
            <w:vAlign w:val="center"/>
          </w:tcPr>
          <w:p w14:paraId="28E710B3">
            <w:pPr>
              <w:pStyle w:val="81"/>
              <w:rPr>
                <w:rFonts w:eastAsia="Times New Roman"/>
                <w:color w:val="auto"/>
              </w:rPr>
            </w:pPr>
            <w:r>
              <w:rPr>
                <w:rFonts w:hint="eastAsia" w:eastAsia="Times New Roman"/>
                <w:color w:val="auto"/>
              </w:rPr>
              <w:t>套</w:t>
            </w:r>
          </w:p>
        </w:tc>
        <w:tc>
          <w:tcPr>
            <w:tcW w:w="1296" w:type="pct"/>
            <w:vAlign w:val="center"/>
          </w:tcPr>
          <w:p w14:paraId="3C957C7D">
            <w:pPr>
              <w:pStyle w:val="81"/>
              <w:rPr>
                <w:rFonts w:eastAsia="Times New Roman" w:cs="Arial"/>
                <w:color w:val="auto"/>
              </w:rPr>
            </w:pPr>
            <w:r>
              <w:rPr>
                <w:rFonts w:hint="eastAsia" w:eastAsia="Times New Roman"/>
                <w:color w:val="auto"/>
                <w:spacing w:val="2"/>
              </w:rPr>
              <w:t>Φ</w:t>
            </w:r>
            <w:r>
              <w:rPr>
                <w:rFonts w:eastAsia="Times New Roman" w:cs="Arial"/>
                <w:color w:val="auto"/>
                <w:spacing w:val="2"/>
              </w:rPr>
              <w:t>65</w:t>
            </w:r>
          </w:p>
        </w:tc>
        <w:tc>
          <w:tcPr>
            <w:tcW w:w="325" w:type="pct"/>
            <w:vAlign w:val="center"/>
          </w:tcPr>
          <w:p w14:paraId="44AAA558">
            <w:pPr>
              <w:pStyle w:val="81"/>
              <w:rPr>
                <w:rFonts w:eastAsia="Times New Roman" w:cs="Arial"/>
                <w:color w:val="auto"/>
              </w:rPr>
            </w:pPr>
            <w:r>
              <w:rPr>
                <w:rFonts w:eastAsia="Times New Roman"/>
                <w:color w:val="auto"/>
              </w:rPr>
              <w:t>5</w:t>
            </w:r>
          </w:p>
        </w:tc>
        <w:tc>
          <w:tcPr>
            <w:tcW w:w="1264" w:type="pct"/>
            <w:vAlign w:val="center"/>
          </w:tcPr>
          <w:p w14:paraId="001538B6">
            <w:pPr>
              <w:pStyle w:val="81"/>
              <w:rPr>
                <w:rFonts w:eastAsia="Times New Roman"/>
                <w:color w:val="auto"/>
              </w:rPr>
            </w:pPr>
            <w:r>
              <w:rPr>
                <w:rFonts w:hint="eastAsia" w:eastAsia="Times New Roman"/>
                <w:color w:val="auto"/>
                <w:spacing w:val="9"/>
              </w:rPr>
              <w:t>滨博管理区应急库房</w:t>
            </w:r>
          </w:p>
        </w:tc>
      </w:tr>
      <w:tr w14:paraId="4BCBF04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78B55195">
            <w:pPr>
              <w:pStyle w:val="81"/>
              <w:rPr>
                <w:rFonts w:eastAsia="Times New Roman" w:cs="Arial"/>
                <w:color w:val="auto"/>
              </w:rPr>
            </w:pPr>
            <w:r>
              <w:rPr>
                <w:rFonts w:eastAsia="Times New Roman"/>
                <w:color w:val="auto"/>
                <w:spacing w:val="-8"/>
              </w:rPr>
              <w:t>27</w:t>
            </w:r>
          </w:p>
        </w:tc>
        <w:tc>
          <w:tcPr>
            <w:tcW w:w="1269" w:type="pct"/>
            <w:vAlign w:val="center"/>
          </w:tcPr>
          <w:p w14:paraId="6663E7D8">
            <w:pPr>
              <w:pStyle w:val="81"/>
              <w:rPr>
                <w:rFonts w:eastAsia="Times New Roman"/>
                <w:color w:val="auto"/>
              </w:rPr>
            </w:pPr>
            <w:r>
              <w:rPr>
                <w:rFonts w:hint="eastAsia" w:eastAsia="Times New Roman"/>
                <w:color w:val="auto"/>
                <w:spacing w:val="7"/>
              </w:rPr>
              <w:t>管线卡子</w:t>
            </w:r>
          </w:p>
        </w:tc>
        <w:tc>
          <w:tcPr>
            <w:tcW w:w="437" w:type="pct"/>
            <w:vAlign w:val="center"/>
          </w:tcPr>
          <w:p w14:paraId="53446D9A">
            <w:pPr>
              <w:pStyle w:val="81"/>
              <w:rPr>
                <w:rFonts w:eastAsia="Times New Roman"/>
                <w:color w:val="auto"/>
              </w:rPr>
            </w:pPr>
            <w:r>
              <w:rPr>
                <w:rFonts w:hint="eastAsia" w:eastAsia="Times New Roman"/>
                <w:color w:val="auto"/>
              </w:rPr>
              <w:t>套</w:t>
            </w:r>
          </w:p>
        </w:tc>
        <w:tc>
          <w:tcPr>
            <w:tcW w:w="1296" w:type="pct"/>
            <w:vAlign w:val="center"/>
          </w:tcPr>
          <w:p w14:paraId="0D1AC440">
            <w:pPr>
              <w:pStyle w:val="81"/>
              <w:rPr>
                <w:rFonts w:eastAsia="Times New Roman" w:cs="Arial"/>
                <w:color w:val="auto"/>
              </w:rPr>
            </w:pPr>
            <w:r>
              <w:rPr>
                <w:rFonts w:hint="eastAsia" w:eastAsia="Times New Roman"/>
                <w:color w:val="auto"/>
                <w:spacing w:val="2"/>
              </w:rPr>
              <w:t>Φ</w:t>
            </w:r>
            <w:r>
              <w:rPr>
                <w:rFonts w:eastAsia="Times New Roman" w:cs="Arial"/>
                <w:color w:val="auto"/>
                <w:spacing w:val="2"/>
              </w:rPr>
              <w:t>89</w:t>
            </w:r>
          </w:p>
        </w:tc>
        <w:tc>
          <w:tcPr>
            <w:tcW w:w="325" w:type="pct"/>
            <w:vAlign w:val="center"/>
          </w:tcPr>
          <w:p w14:paraId="42E6310E">
            <w:pPr>
              <w:pStyle w:val="81"/>
              <w:rPr>
                <w:rFonts w:eastAsia="Times New Roman" w:cs="Arial"/>
                <w:color w:val="auto"/>
              </w:rPr>
            </w:pPr>
            <w:r>
              <w:rPr>
                <w:rFonts w:eastAsia="Times New Roman"/>
                <w:color w:val="auto"/>
              </w:rPr>
              <w:t>5</w:t>
            </w:r>
          </w:p>
        </w:tc>
        <w:tc>
          <w:tcPr>
            <w:tcW w:w="1264" w:type="pct"/>
            <w:vAlign w:val="center"/>
          </w:tcPr>
          <w:p w14:paraId="6E20CF6D">
            <w:pPr>
              <w:pStyle w:val="81"/>
              <w:rPr>
                <w:rFonts w:eastAsia="Times New Roman"/>
                <w:color w:val="auto"/>
              </w:rPr>
            </w:pPr>
            <w:r>
              <w:rPr>
                <w:rFonts w:hint="eastAsia" w:eastAsia="Times New Roman"/>
                <w:color w:val="auto"/>
                <w:spacing w:val="9"/>
              </w:rPr>
              <w:t>滨博管理区应急库房</w:t>
            </w:r>
          </w:p>
        </w:tc>
      </w:tr>
      <w:tr w14:paraId="12B07660">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0CB1F06">
            <w:pPr>
              <w:pStyle w:val="81"/>
              <w:rPr>
                <w:rFonts w:eastAsia="Times New Roman" w:cs="Arial"/>
                <w:color w:val="auto"/>
              </w:rPr>
            </w:pPr>
            <w:r>
              <w:rPr>
                <w:rFonts w:eastAsia="Times New Roman"/>
                <w:color w:val="auto"/>
                <w:spacing w:val="-8"/>
              </w:rPr>
              <w:t>28</w:t>
            </w:r>
          </w:p>
        </w:tc>
        <w:tc>
          <w:tcPr>
            <w:tcW w:w="1269" w:type="pct"/>
            <w:vAlign w:val="center"/>
          </w:tcPr>
          <w:p w14:paraId="3D8112B1">
            <w:pPr>
              <w:pStyle w:val="81"/>
              <w:rPr>
                <w:rFonts w:eastAsia="Times New Roman"/>
                <w:color w:val="auto"/>
              </w:rPr>
            </w:pPr>
            <w:r>
              <w:rPr>
                <w:rFonts w:hint="eastAsia" w:eastAsia="Times New Roman"/>
                <w:color w:val="auto"/>
                <w:spacing w:val="7"/>
              </w:rPr>
              <w:t>管线卡子</w:t>
            </w:r>
          </w:p>
        </w:tc>
        <w:tc>
          <w:tcPr>
            <w:tcW w:w="437" w:type="pct"/>
            <w:vAlign w:val="center"/>
          </w:tcPr>
          <w:p w14:paraId="61F71EAA">
            <w:pPr>
              <w:pStyle w:val="81"/>
              <w:rPr>
                <w:rFonts w:eastAsia="Times New Roman"/>
                <w:color w:val="auto"/>
              </w:rPr>
            </w:pPr>
            <w:r>
              <w:rPr>
                <w:rFonts w:hint="eastAsia" w:eastAsia="Times New Roman"/>
                <w:color w:val="auto"/>
              </w:rPr>
              <w:t>套</w:t>
            </w:r>
          </w:p>
        </w:tc>
        <w:tc>
          <w:tcPr>
            <w:tcW w:w="1296" w:type="pct"/>
            <w:vAlign w:val="center"/>
          </w:tcPr>
          <w:p w14:paraId="0E59FE91">
            <w:pPr>
              <w:pStyle w:val="81"/>
              <w:rPr>
                <w:rFonts w:eastAsia="Times New Roman" w:cs="Arial"/>
                <w:color w:val="auto"/>
              </w:rPr>
            </w:pPr>
            <w:r>
              <w:rPr>
                <w:rFonts w:hint="eastAsia" w:eastAsia="Times New Roman"/>
                <w:color w:val="auto"/>
                <w:spacing w:val="-1"/>
              </w:rPr>
              <w:t>Φ</w:t>
            </w:r>
            <w:r>
              <w:rPr>
                <w:rFonts w:eastAsia="Times New Roman" w:cs="Arial"/>
                <w:color w:val="auto"/>
                <w:spacing w:val="-1"/>
              </w:rPr>
              <w:t>159</w:t>
            </w:r>
          </w:p>
        </w:tc>
        <w:tc>
          <w:tcPr>
            <w:tcW w:w="325" w:type="pct"/>
            <w:vAlign w:val="center"/>
          </w:tcPr>
          <w:p w14:paraId="21EE620C">
            <w:pPr>
              <w:pStyle w:val="81"/>
              <w:rPr>
                <w:rFonts w:eastAsia="Times New Roman" w:cs="Arial"/>
                <w:color w:val="auto"/>
              </w:rPr>
            </w:pPr>
            <w:r>
              <w:rPr>
                <w:rFonts w:eastAsia="Times New Roman"/>
                <w:color w:val="auto"/>
              </w:rPr>
              <w:t>5</w:t>
            </w:r>
          </w:p>
        </w:tc>
        <w:tc>
          <w:tcPr>
            <w:tcW w:w="1264" w:type="pct"/>
            <w:vAlign w:val="center"/>
          </w:tcPr>
          <w:p w14:paraId="04308F23">
            <w:pPr>
              <w:pStyle w:val="81"/>
              <w:rPr>
                <w:rFonts w:eastAsia="Times New Roman"/>
                <w:color w:val="auto"/>
              </w:rPr>
            </w:pPr>
            <w:r>
              <w:rPr>
                <w:rFonts w:hint="eastAsia" w:eastAsia="Times New Roman"/>
                <w:color w:val="auto"/>
                <w:spacing w:val="9"/>
              </w:rPr>
              <w:t>滨博管理区应急库房</w:t>
            </w:r>
          </w:p>
        </w:tc>
      </w:tr>
      <w:tr w14:paraId="39CBE497">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52480E52">
            <w:pPr>
              <w:pStyle w:val="81"/>
              <w:rPr>
                <w:rFonts w:eastAsia="Times New Roman" w:cs="Arial"/>
                <w:color w:val="auto"/>
              </w:rPr>
            </w:pPr>
            <w:r>
              <w:rPr>
                <w:rFonts w:eastAsia="Times New Roman"/>
                <w:color w:val="auto"/>
                <w:spacing w:val="-8"/>
              </w:rPr>
              <w:t>29</w:t>
            </w:r>
          </w:p>
        </w:tc>
        <w:tc>
          <w:tcPr>
            <w:tcW w:w="1269" w:type="pct"/>
            <w:vAlign w:val="center"/>
          </w:tcPr>
          <w:p w14:paraId="7C009DC0">
            <w:pPr>
              <w:pStyle w:val="81"/>
              <w:rPr>
                <w:rFonts w:eastAsia="Times New Roman"/>
                <w:color w:val="auto"/>
              </w:rPr>
            </w:pPr>
            <w:r>
              <w:rPr>
                <w:rFonts w:hint="eastAsia" w:eastAsia="Times New Roman"/>
                <w:color w:val="auto"/>
                <w:spacing w:val="8"/>
              </w:rPr>
              <w:t>棉手套</w:t>
            </w:r>
          </w:p>
        </w:tc>
        <w:tc>
          <w:tcPr>
            <w:tcW w:w="437" w:type="pct"/>
            <w:vAlign w:val="center"/>
          </w:tcPr>
          <w:p w14:paraId="125126F6">
            <w:pPr>
              <w:pStyle w:val="81"/>
              <w:rPr>
                <w:rFonts w:eastAsia="Times New Roman"/>
                <w:color w:val="auto"/>
              </w:rPr>
            </w:pPr>
            <w:r>
              <w:rPr>
                <w:rFonts w:hint="eastAsia" w:eastAsia="Times New Roman"/>
                <w:color w:val="auto"/>
              </w:rPr>
              <w:t>副</w:t>
            </w:r>
          </w:p>
        </w:tc>
        <w:tc>
          <w:tcPr>
            <w:tcW w:w="1296" w:type="pct"/>
            <w:vAlign w:val="center"/>
          </w:tcPr>
          <w:p w14:paraId="5354A175">
            <w:pPr>
              <w:pStyle w:val="81"/>
              <w:rPr>
                <w:rFonts w:eastAsia="Times New Roman" w:cs="Arial"/>
                <w:color w:val="auto"/>
              </w:rPr>
            </w:pPr>
          </w:p>
        </w:tc>
        <w:tc>
          <w:tcPr>
            <w:tcW w:w="325" w:type="pct"/>
            <w:vAlign w:val="center"/>
          </w:tcPr>
          <w:p w14:paraId="39DCE964">
            <w:pPr>
              <w:pStyle w:val="81"/>
              <w:rPr>
                <w:rFonts w:eastAsia="Times New Roman"/>
                <w:color w:val="auto"/>
              </w:rPr>
            </w:pPr>
            <w:r>
              <w:rPr>
                <w:rFonts w:eastAsia="Times New Roman"/>
                <w:color w:val="auto"/>
              </w:rPr>
              <w:t>6</w:t>
            </w:r>
          </w:p>
        </w:tc>
        <w:tc>
          <w:tcPr>
            <w:tcW w:w="1264" w:type="pct"/>
            <w:vAlign w:val="center"/>
          </w:tcPr>
          <w:p w14:paraId="5CADA444">
            <w:pPr>
              <w:pStyle w:val="81"/>
              <w:rPr>
                <w:rFonts w:eastAsia="Times New Roman"/>
                <w:color w:val="auto"/>
              </w:rPr>
            </w:pPr>
            <w:r>
              <w:rPr>
                <w:rFonts w:hint="eastAsia" w:eastAsia="Times New Roman"/>
                <w:color w:val="auto"/>
                <w:spacing w:val="9"/>
              </w:rPr>
              <w:t>滨博管理区应急库房</w:t>
            </w:r>
          </w:p>
        </w:tc>
      </w:tr>
      <w:tr w14:paraId="2769698E">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70DB8D0">
            <w:pPr>
              <w:pStyle w:val="81"/>
              <w:rPr>
                <w:rFonts w:eastAsia="Times New Roman" w:cs="Arial"/>
                <w:color w:val="auto"/>
              </w:rPr>
            </w:pPr>
            <w:r>
              <w:rPr>
                <w:rFonts w:eastAsia="Times New Roman"/>
                <w:color w:val="auto"/>
                <w:spacing w:val="-7"/>
              </w:rPr>
              <w:t>30</w:t>
            </w:r>
          </w:p>
        </w:tc>
        <w:tc>
          <w:tcPr>
            <w:tcW w:w="1269" w:type="pct"/>
            <w:vAlign w:val="center"/>
          </w:tcPr>
          <w:p w14:paraId="5A689C15">
            <w:pPr>
              <w:pStyle w:val="81"/>
              <w:rPr>
                <w:rFonts w:eastAsia="Times New Roman"/>
                <w:color w:val="auto"/>
              </w:rPr>
            </w:pPr>
            <w:r>
              <w:rPr>
                <w:rFonts w:hint="eastAsia" w:eastAsia="Times New Roman"/>
                <w:color w:val="auto"/>
              </w:rPr>
              <w:t>铁丝</w:t>
            </w:r>
          </w:p>
        </w:tc>
        <w:tc>
          <w:tcPr>
            <w:tcW w:w="437" w:type="pct"/>
            <w:vAlign w:val="center"/>
          </w:tcPr>
          <w:p w14:paraId="79F037F8">
            <w:pPr>
              <w:pStyle w:val="81"/>
              <w:rPr>
                <w:rFonts w:eastAsia="Times New Roman"/>
                <w:color w:val="auto"/>
              </w:rPr>
            </w:pPr>
            <w:r>
              <w:rPr>
                <w:rFonts w:hint="eastAsia" w:eastAsia="Times New Roman"/>
                <w:color w:val="auto"/>
                <w:spacing w:val="7"/>
              </w:rPr>
              <w:t>公斤</w:t>
            </w:r>
          </w:p>
        </w:tc>
        <w:tc>
          <w:tcPr>
            <w:tcW w:w="1296" w:type="pct"/>
            <w:vAlign w:val="center"/>
          </w:tcPr>
          <w:p w14:paraId="1AB722F3">
            <w:pPr>
              <w:pStyle w:val="81"/>
              <w:rPr>
                <w:rFonts w:eastAsia="Times New Roman" w:cs="Arial"/>
                <w:color w:val="auto"/>
              </w:rPr>
            </w:pPr>
          </w:p>
        </w:tc>
        <w:tc>
          <w:tcPr>
            <w:tcW w:w="325" w:type="pct"/>
            <w:vAlign w:val="center"/>
          </w:tcPr>
          <w:p w14:paraId="5E918989">
            <w:pPr>
              <w:pStyle w:val="81"/>
              <w:rPr>
                <w:rFonts w:eastAsia="Times New Roman"/>
                <w:color w:val="auto"/>
              </w:rPr>
            </w:pPr>
            <w:r>
              <w:rPr>
                <w:rFonts w:eastAsia="Times New Roman"/>
                <w:color w:val="auto"/>
                <w:spacing w:val="-11"/>
              </w:rPr>
              <w:t>10</w:t>
            </w:r>
          </w:p>
        </w:tc>
        <w:tc>
          <w:tcPr>
            <w:tcW w:w="1264" w:type="pct"/>
            <w:vAlign w:val="center"/>
          </w:tcPr>
          <w:p w14:paraId="26BAF16C">
            <w:pPr>
              <w:pStyle w:val="81"/>
              <w:rPr>
                <w:rFonts w:eastAsia="Times New Roman"/>
                <w:color w:val="auto"/>
              </w:rPr>
            </w:pPr>
            <w:r>
              <w:rPr>
                <w:rFonts w:hint="eastAsia" w:eastAsia="Times New Roman"/>
                <w:color w:val="auto"/>
                <w:spacing w:val="9"/>
              </w:rPr>
              <w:t>滨博管理区应急库房</w:t>
            </w:r>
          </w:p>
        </w:tc>
      </w:tr>
      <w:tr w14:paraId="544B1120">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0F87E14">
            <w:pPr>
              <w:pStyle w:val="81"/>
              <w:rPr>
                <w:rFonts w:eastAsia="Times New Roman" w:cs="Arial"/>
                <w:color w:val="auto"/>
              </w:rPr>
            </w:pPr>
            <w:r>
              <w:rPr>
                <w:rFonts w:eastAsia="Times New Roman"/>
                <w:color w:val="auto"/>
                <w:spacing w:val="-7"/>
              </w:rPr>
              <w:t>31</w:t>
            </w:r>
          </w:p>
        </w:tc>
        <w:tc>
          <w:tcPr>
            <w:tcW w:w="1269" w:type="pct"/>
            <w:vAlign w:val="center"/>
          </w:tcPr>
          <w:p w14:paraId="4E147338">
            <w:pPr>
              <w:pStyle w:val="81"/>
              <w:rPr>
                <w:rFonts w:eastAsia="Times New Roman"/>
                <w:color w:val="auto"/>
              </w:rPr>
            </w:pPr>
            <w:r>
              <w:rPr>
                <w:rFonts w:hint="eastAsia" w:eastAsia="Times New Roman"/>
                <w:color w:val="auto"/>
                <w:spacing w:val="4"/>
              </w:rPr>
              <w:t>吸油毡</w:t>
            </w:r>
          </w:p>
        </w:tc>
        <w:tc>
          <w:tcPr>
            <w:tcW w:w="437" w:type="pct"/>
            <w:vAlign w:val="center"/>
          </w:tcPr>
          <w:p w14:paraId="4EDCB2DA">
            <w:pPr>
              <w:pStyle w:val="81"/>
              <w:rPr>
                <w:rFonts w:eastAsia="Times New Roman"/>
                <w:color w:val="auto"/>
              </w:rPr>
            </w:pPr>
            <w:r>
              <w:rPr>
                <w:rFonts w:hint="eastAsia" w:eastAsia="Times New Roman"/>
                <w:color w:val="auto"/>
                <w:spacing w:val="7"/>
              </w:rPr>
              <w:t>公斤</w:t>
            </w:r>
          </w:p>
        </w:tc>
        <w:tc>
          <w:tcPr>
            <w:tcW w:w="1296" w:type="pct"/>
            <w:vAlign w:val="center"/>
          </w:tcPr>
          <w:p w14:paraId="28C79494">
            <w:pPr>
              <w:pStyle w:val="81"/>
              <w:rPr>
                <w:rFonts w:eastAsia="Times New Roman" w:cs="Arial"/>
                <w:color w:val="auto"/>
              </w:rPr>
            </w:pPr>
            <w:r>
              <w:rPr>
                <w:rFonts w:eastAsia="Times New Roman"/>
                <w:color w:val="auto"/>
                <w:spacing w:val="-17"/>
                <w:w w:val="90"/>
              </w:rPr>
              <w:t>60m</w:t>
            </w:r>
            <w:r>
              <w:rPr>
                <w:rFonts w:eastAsia="Times New Roman"/>
                <w:color w:val="auto"/>
                <w:spacing w:val="1"/>
                <w:position w:val="9"/>
              </w:rPr>
              <w:t>2</w:t>
            </w:r>
          </w:p>
        </w:tc>
        <w:tc>
          <w:tcPr>
            <w:tcW w:w="325" w:type="pct"/>
            <w:vAlign w:val="center"/>
          </w:tcPr>
          <w:p w14:paraId="41064483">
            <w:pPr>
              <w:pStyle w:val="81"/>
              <w:rPr>
                <w:rFonts w:eastAsia="Times New Roman"/>
                <w:color w:val="auto"/>
              </w:rPr>
            </w:pPr>
            <w:r>
              <w:rPr>
                <w:rFonts w:eastAsia="Times New Roman"/>
                <w:color w:val="auto"/>
                <w:spacing w:val="-10"/>
              </w:rPr>
              <w:t>120</w:t>
            </w:r>
          </w:p>
        </w:tc>
        <w:tc>
          <w:tcPr>
            <w:tcW w:w="1264" w:type="pct"/>
            <w:vAlign w:val="center"/>
          </w:tcPr>
          <w:p w14:paraId="2608E0C7">
            <w:pPr>
              <w:pStyle w:val="81"/>
              <w:rPr>
                <w:rFonts w:eastAsia="Times New Roman"/>
                <w:color w:val="auto"/>
              </w:rPr>
            </w:pPr>
            <w:r>
              <w:rPr>
                <w:rFonts w:hint="eastAsia" w:eastAsia="Times New Roman"/>
                <w:color w:val="auto"/>
                <w:spacing w:val="9"/>
              </w:rPr>
              <w:t>滨博管理区应急库房</w:t>
            </w:r>
          </w:p>
        </w:tc>
      </w:tr>
      <w:tr w14:paraId="2B55300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099E29B6">
            <w:pPr>
              <w:pStyle w:val="81"/>
              <w:rPr>
                <w:rFonts w:eastAsia="Times New Roman" w:cs="Arial"/>
                <w:color w:val="auto"/>
              </w:rPr>
            </w:pPr>
            <w:r>
              <w:rPr>
                <w:rFonts w:eastAsia="Times New Roman"/>
                <w:color w:val="auto"/>
                <w:spacing w:val="-7"/>
              </w:rPr>
              <w:t>32</w:t>
            </w:r>
          </w:p>
        </w:tc>
        <w:tc>
          <w:tcPr>
            <w:tcW w:w="1269" w:type="pct"/>
            <w:vAlign w:val="center"/>
          </w:tcPr>
          <w:p w14:paraId="569FED31">
            <w:pPr>
              <w:pStyle w:val="81"/>
              <w:rPr>
                <w:rFonts w:eastAsia="Times New Roman"/>
                <w:color w:val="auto"/>
              </w:rPr>
            </w:pPr>
            <w:r>
              <w:rPr>
                <w:rFonts w:hint="eastAsia" w:eastAsia="Times New Roman"/>
                <w:color w:val="auto"/>
                <w:spacing w:val="3"/>
              </w:rPr>
              <w:t>毛毡</w:t>
            </w:r>
          </w:p>
        </w:tc>
        <w:tc>
          <w:tcPr>
            <w:tcW w:w="437" w:type="pct"/>
            <w:vAlign w:val="center"/>
          </w:tcPr>
          <w:p w14:paraId="0C2B1E3C">
            <w:pPr>
              <w:pStyle w:val="81"/>
              <w:rPr>
                <w:rFonts w:eastAsia="Times New Roman"/>
                <w:color w:val="auto"/>
              </w:rPr>
            </w:pPr>
            <w:r>
              <w:rPr>
                <w:rFonts w:hint="eastAsia" w:eastAsia="Times New Roman"/>
                <w:color w:val="auto"/>
                <w:spacing w:val="4"/>
              </w:rPr>
              <w:t>捆</w:t>
            </w:r>
          </w:p>
        </w:tc>
        <w:tc>
          <w:tcPr>
            <w:tcW w:w="1296" w:type="pct"/>
            <w:vAlign w:val="center"/>
          </w:tcPr>
          <w:p w14:paraId="27B7AA5B">
            <w:pPr>
              <w:pStyle w:val="81"/>
              <w:rPr>
                <w:rFonts w:eastAsia="Times New Roman" w:cs="Arial"/>
                <w:color w:val="auto"/>
              </w:rPr>
            </w:pPr>
          </w:p>
        </w:tc>
        <w:tc>
          <w:tcPr>
            <w:tcW w:w="325" w:type="pct"/>
            <w:vAlign w:val="center"/>
          </w:tcPr>
          <w:p w14:paraId="57E26842">
            <w:pPr>
              <w:pStyle w:val="81"/>
              <w:rPr>
                <w:rFonts w:eastAsia="Times New Roman"/>
                <w:color w:val="auto"/>
              </w:rPr>
            </w:pPr>
            <w:r>
              <w:rPr>
                <w:rFonts w:eastAsia="Times New Roman"/>
                <w:color w:val="auto"/>
              </w:rPr>
              <w:t>4</w:t>
            </w:r>
          </w:p>
        </w:tc>
        <w:tc>
          <w:tcPr>
            <w:tcW w:w="1264" w:type="pct"/>
            <w:vAlign w:val="center"/>
          </w:tcPr>
          <w:p w14:paraId="5363DA33">
            <w:pPr>
              <w:pStyle w:val="81"/>
              <w:rPr>
                <w:rFonts w:eastAsia="Times New Roman"/>
                <w:color w:val="auto"/>
              </w:rPr>
            </w:pPr>
            <w:r>
              <w:rPr>
                <w:rFonts w:hint="eastAsia" w:eastAsia="Times New Roman"/>
                <w:color w:val="auto"/>
                <w:spacing w:val="9"/>
              </w:rPr>
              <w:t>滨博管理区应急库房</w:t>
            </w:r>
          </w:p>
        </w:tc>
      </w:tr>
      <w:tr w14:paraId="686C2C20">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79B2A26D">
            <w:pPr>
              <w:pStyle w:val="81"/>
              <w:rPr>
                <w:rFonts w:eastAsia="Times New Roman" w:cs="Arial"/>
                <w:color w:val="auto"/>
              </w:rPr>
            </w:pPr>
            <w:r>
              <w:rPr>
                <w:rFonts w:eastAsia="Times New Roman"/>
                <w:color w:val="auto"/>
                <w:spacing w:val="-7"/>
              </w:rPr>
              <w:t>33</w:t>
            </w:r>
          </w:p>
        </w:tc>
        <w:tc>
          <w:tcPr>
            <w:tcW w:w="1269" w:type="pct"/>
            <w:vAlign w:val="center"/>
          </w:tcPr>
          <w:p w14:paraId="2376E2BB">
            <w:pPr>
              <w:pStyle w:val="81"/>
              <w:rPr>
                <w:rFonts w:eastAsia="Times New Roman"/>
                <w:color w:val="auto"/>
              </w:rPr>
            </w:pPr>
            <w:r>
              <w:rPr>
                <w:rFonts w:hint="eastAsia" w:eastAsia="Times New Roman"/>
                <w:color w:val="auto"/>
                <w:spacing w:val="1"/>
              </w:rPr>
              <w:t>帆布</w:t>
            </w:r>
          </w:p>
        </w:tc>
        <w:tc>
          <w:tcPr>
            <w:tcW w:w="437" w:type="pct"/>
            <w:vAlign w:val="center"/>
          </w:tcPr>
          <w:p w14:paraId="63A048F3">
            <w:pPr>
              <w:pStyle w:val="81"/>
              <w:rPr>
                <w:rFonts w:eastAsia="Times New Roman"/>
                <w:color w:val="auto"/>
              </w:rPr>
            </w:pPr>
            <w:r>
              <w:rPr>
                <w:rFonts w:hint="eastAsia" w:eastAsia="Times New Roman"/>
                <w:color w:val="auto"/>
                <w:spacing w:val="8"/>
              </w:rPr>
              <w:t>平方米</w:t>
            </w:r>
          </w:p>
        </w:tc>
        <w:tc>
          <w:tcPr>
            <w:tcW w:w="1296" w:type="pct"/>
            <w:vAlign w:val="center"/>
          </w:tcPr>
          <w:p w14:paraId="67C8716D">
            <w:pPr>
              <w:pStyle w:val="81"/>
              <w:rPr>
                <w:rFonts w:eastAsia="Times New Roman" w:cs="Arial"/>
                <w:color w:val="auto"/>
              </w:rPr>
            </w:pPr>
          </w:p>
        </w:tc>
        <w:tc>
          <w:tcPr>
            <w:tcW w:w="325" w:type="pct"/>
            <w:vAlign w:val="center"/>
          </w:tcPr>
          <w:p w14:paraId="67F3D36E">
            <w:pPr>
              <w:pStyle w:val="81"/>
              <w:rPr>
                <w:rFonts w:eastAsia="Times New Roman"/>
                <w:color w:val="auto"/>
              </w:rPr>
            </w:pPr>
            <w:r>
              <w:rPr>
                <w:rFonts w:eastAsia="Times New Roman"/>
                <w:color w:val="auto"/>
                <w:spacing w:val="-7"/>
              </w:rPr>
              <w:t>50</w:t>
            </w:r>
          </w:p>
        </w:tc>
        <w:tc>
          <w:tcPr>
            <w:tcW w:w="1264" w:type="pct"/>
            <w:vAlign w:val="center"/>
          </w:tcPr>
          <w:p w14:paraId="507063EE">
            <w:pPr>
              <w:pStyle w:val="81"/>
              <w:rPr>
                <w:rFonts w:eastAsia="Times New Roman"/>
                <w:color w:val="auto"/>
              </w:rPr>
            </w:pPr>
            <w:r>
              <w:rPr>
                <w:rFonts w:hint="eastAsia" w:eastAsia="Times New Roman"/>
                <w:color w:val="auto"/>
                <w:spacing w:val="9"/>
              </w:rPr>
              <w:t>滨博管理区应急库房</w:t>
            </w:r>
          </w:p>
        </w:tc>
      </w:tr>
      <w:tr w14:paraId="3F10D5B9">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19C3358B">
            <w:pPr>
              <w:pStyle w:val="81"/>
              <w:rPr>
                <w:rFonts w:eastAsia="Times New Roman" w:cs="Arial"/>
                <w:color w:val="auto"/>
              </w:rPr>
            </w:pPr>
            <w:r>
              <w:rPr>
                <w:rFonts w:eastAsia="Times New Roman"/>
                <w:color w:val="auto"/>
                <w:spacing w:val="-7"/>
              </w:rPr>
              <w:t>34</w:t>
            </w:r>
          </w:p>
        </w:tc>
        <w:tc>
          <w:tcPr>
            <w:tcW w:w="1269" w:type="pct"/>
            <w:vAlign w:val="center"/>
          </w:tcPr>
          <w:p w14:paraId="23EAEEA8">
            <w:pPr>
              <w:pStyle w:val="81"/>
              <w:rPr>
                <w:rFonts w:eastAsia="Times New Roman"/>
                <w:color w:val="auto"/>
              </w:rPr>
            </w:pPr>
            <w:r>
              <w:rPr>
                <w:rFonts w:hint="eastAsia" w:eastAsia="Times New Roman"/>
                <w:color w:val="auto"/>
                <w:spacing w:val="8"/>
              </w:rPr>
              <w:t>排污泵</w:t>
            </w:r>
          </w:p>
        </w:tc>
        <w:tc>
          <w:tcPr>
            <w:tcW w:w="437" w:type="pct"/>
            <w:vAlign w:val="center"/>
          </w:tcPr>
          <w:p w14:paraId="2CE003CC">
            <w:pPr>
              <w:pStyle w:val="81"/>
              <w:rPr>
                <w:rFonts w:eastAsia="Times New Roman"/>
                <w:color w:val="auto"/>
              </w:rPr>
            </w:pPr>
            <w:r>
              <w:rPr>
                <w:rFonts w:hint="eastAsia" w:eastAsia="Times New Roman"/>
                <w:color w:val="auto"/>
              </w:rPr>
              <w:t>台</w:t>
            </w:r>
          </w:p>
        </w:tc>
        <w:tc>
          <w:tcPr>
            <w:tcW w:w="1296" w:type="pct"/>
            <w:vAlign w:val="center"/>
          </w:tcPr>
          <w:p w14:paraId="5A58E572">
            <w:pPr>
              <w:pStyle w:val="81"/>
              <w:rPr>
                <w:rFonts w:eastAsia="Times New Roman" w:cs="Arial"/>
                <w:color w:val="auto"/>
              </w:rPr>
            </w:pPr>
            <w:r>
              <w:rPr>
                <w:rFonts w:eastAsia="Times New Roman"/>
                <w:color w:val="auto"/>
                <w:spacing w:val="-9"/>
              </w:rPr>
              <w:t>380V60-120M</w:t>
            </w:r>
            <w:r>
              <w:rPr>
                <w:rFonts w:eastAsia="Times New Roman"/>
                <w:color w:val="auto"/>
                <w:spacing w:val="-9"/>
                <w:vertAlign w:val="superscript"/>
              </w:rPr>
              <w:t>3</w:t>
            </w:r>
            <w:r>
              <w:rPr>
                <w:rFonts w:eastAsia="Times New Roman"/>
                <w:color w:val="auto"/>
                <w:spacing w:val="-9"/>
              </w:rPr>
              <w:t>/H20-30M11</w:t>
            </w:r>
            <w:r>
              <w:rPr>
                <w:rFonts w:hint="eastAsia" w:eastAsia="Times New Roman"/>
                <w:color w:val="auto"/>
                <w:spacing w:val="-9"/>
              </w:rPr>
              <w:t>kW</w:t>
            </w:r>
          </w:p>
        </w:tc>
        <w:tc>
          <w:tcPr>
            <w:tcW w:w="325" w:type="pct"/>
            <w:vAlign w:val="center"/>
          </w:tcPr>
          <w:p w14:paraId="0A713317">
            <w:pPr>
              <w:pStyle w:val="81"/>
              <w:rPr>
                <w:rFonts w:eastAsia="Times New Roman"/>
                <w:color w:val="auto"/>
              </w:rPr>
            </w:pPr>
            <w:r>
              <w:rPr>
                <w:rFonts w:eastAsia="Times New Roman"/>
                <w:color w:val="auto"/>
              </w:rPr>
              <w:t>1</w:t>
            </w:r>
          </w:p>
        </w:tc>
        <w:tc>
          <w:tcPr>
            <w:tcW w:w="1264" w:type="pct"/>
            <w:vMerge w:val="restart"/>
            <w:vAlign w:val="center"/>
          </w:tcPr>
          <w:p w14:paraId="691D5758">
            <w:pPr>
              <w:pStyle w:val="81"/>
              <w:rPr>
                <w:rFonts w:eastAsia="Times New Roman"/>
                <w:color w:val="auto"/>
              </w:rPr>
            </w:pPr>
            <w:r>
              <w:rPr>
                <w:rFonts w:hint="eastAsia" w:eastAsia="Times New Roman"/>
                <w:color w:val="auto"/>
                <w:spacing w:val="9"/>
              </w:rPr>
              <w:t>滨博管理区应急库房</w:t>
            </w:r>
          </w:p>
        </w:tc>
      </w:tr>
      <w:tr w14:paraId="3EABA67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1EA41907">
            <w:pPr>
              <w:pStyle w:val="81"/>
              <w:rPr>
                <w:rFonts w:eastAsia="Times New Roman" w:cs="Arial"/>
                <w:color w:val="auto"/>
              </w:rPr>
            </w:pPr>
            <w:r>
              <w:rPr>
                <w:rFonts w:eastAsia="Times New Roman"/>
                <w:color w:val="auto"/>
                <w:spacing w:val="-7"/>
              </w:rPr>
              <w:t>35</w:t>
            </w:r>
          </w:p>
        </w:tc>
        <w:tc>
          <w:tcPr>
            <w:tcW w:w="1269" w:type="pct"/>
            <w:vAlign w:val="center"/>
          </w:tcPr>
          <w:p w14:paraId="3C3D523E">
            <w:pPr>
              <w:pStyle w:val="81"/>
              <w:rPr>
                <w:rFonts w:eastAsia="Times New Roman"/>
                <w:color w:val="auto"/>
              </w:rPr>
            </w:pPr>
            <w:r>
              <w:rPr>
                <w:rFonts w:hint="eastAsia" w:eastAsia="Times New Roman"/>
                <w:color w:val="auto"/>
                <w:spacing w:val="9"/>
              </w:rPr>
              <w:t>有衬里消防水带</w:t>
            </w:r>
          </w:p>
        </w:tc>
        <w:tc>
          <w:tcPr>
            <w:tcW w:w="437" w:type="pct"/>
            <w:vAlign w:val="center"/>
          </w:tcPr>
          <w:p w14:paraId="7745AB52">
            <w:pPr>
              <w:pStyle w:val="81"/>
              <w:rPr>
                <w:rFonts w:eastAsia="Times New Roman"/>
                <w:color w:val="auto"/>
              </w:rPr>
            </w:pPr>
            <w:r>
              <w:rPr>
                <w:rFonts w:hint="eastAsia" w:eastAsia="Times New Roman"/>
                <w:color w:val="auto"/>
                <w:spacing w:val="4"/>
              </w:rPr>
              <w:t>条</w:t>
            </w:r>
          </w:p>
        </w:tc>
        <w:tc>
          <w:tcPr>
            <w:tcW w:w="1296" w:type="pct"/>
            <w:vAlign w:val="center"/>
          </w:tcPr>
          <w:p w14:paraId="37152F0A">
            <w:pPr>
              <w:pStyle w:val="81"/>
              <w:rPr>
                <w:rFonts w:eastAsia="Times New Roman" w:cs="Arial"/>
                <w:color w:val="auto"/>
              </w:rPr>
            </w:pPr>
            <w:r>
              <w:rPr>
                <w:rFonts w:eastAsia="Times New Roman" w:cs="Arial"/>
                <w:color w:val="auto"/>
                <w:spacing w:val="7"/>
              </w:rPr>
              <w:t>8-</w:t>
            </w:r>
            <w:r>
              <w:rPr>
                <w:rFonts w:hint="eastAsia" w:eastAsia="Times New Roman"/>
                <w:color w:val="auto"/>
                <w:spacing w:val="7"/>
              </w:rPr>
              <w:t>Φ</w:t>
            </w:r>
            <w:r>
              <w:rPr>
                <w:rFonts w:eastAsia="Times New Roman" w:cs="Arial"/>
                <w:color w:val="auto"/>
                <w:spacing w:val="7"/>
              </w:rPr>
              <w:t>100-20M</w:t>
            </w:r>
          </w:p>
        </w:tc>
        <w:tc>
          <w:tcPr>
            <w:tcW w:w="325" w:type="pct"/>
            <w:vAlign w:val="center"/>
          </w:tcPr>
          <w:p w14:paraId="48962B22">
            <w:pPr>
              <w:pStyle w:val="81"/>
              <w:rPr>
                <w:rFonts w:eastAsia="Times New Roman" w:cs="Arial"/>
                <w:color w:val="auto"/>
              </w:rPr>
            </w:pPr>
            <w:r>
              <w:rPr>
                <w:rFonts w:eastAsia="Times New Roman"/>
                <w:color w:val="auto"/>
              </w:rPr>
              <w:t>4</w:t>
            </w:r>
          </w:p>
        </w:tc>
        <w:tc>
          <w:tcPr>
            <w:tcW w:w="1264" w:type="pct"/>
            <w:vMerge w:val="continue"/>
            <w:vAlign w:val="center"/>
          </w:tcPr>
          <w:p w14:paraId="02E145D1">
            <w:pPr>
              <w:pStyle w:val="81"/>
              <w:rPr>
                <w:rFonts w:eastAsia="Times New Roman"/>
                <w:color w:val="auto"/>
              </w:rPr>
            </w:pPr>
          </w:p>
        </w:tc>
      </w:tr>
      <w:tr w14:paraId="0D9A515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410FF6FB">
            <w:pPr>
              <w:pStyle w:val="81"/>
              <w:rPr>
                <w:rFonts w:eastAsia="Times New Roman"/>
                <w:color w:val="auto"/>
              </w:rPr>
            </w:pPr>
            <w:r>
              <w:rPr>
                <w:rFonts w:eastAsia="Times New Roman"/>
                <w:color w:val="auto"/>
                <w:spacing w:val="-7"/>
              </w:rPr>
              <w:t>36</w:t>
            </w:r>
          </w:p>
        </w:tc>
        <w:tc>
          <w:tcPr>
            <w:tcW w:w="1269" w:type="pct"/>
            <w:vAlign w:val="center"/>
          </w:tcPr>
          <w:p w14:paraId="13429DE6">
            <w:pPr>
              <w:pStyle w:val="81"/>
              <w:rPr>
                <w:rFonts w:eastAsia="Times New Roman"/>
                <w:color w:val="auto"/>
              </w:rPr>
            </w:pPr>
            <w:r>
              <w:rPr>
                <w:rFonts w:hint="eastAsia" w:eastAsia="Times New Roman"/>
                <w:color w:val="auto"/>
                <w:spacing w:val="8"/>
              </w:rPr>
              <w:t>汽油机水泵</w:t>
            </w:r>
          </w:p>
        </w:tc>
        <w:tc>
          <w:tcPr>
            <w:tcW w:w="437" w:type="pct"/>
            <w:vAlign w:val="center"/>
          </w:tcPr>
          <w:p w14:paraId="756910DA">
            <w:pPr>
              <w:pStyle w:val="81"/>
              <w:rPr>
                <w:rFonts w:eastAsia="Times New Roman"/>
                <w:color w:val="auto"/>
              </w:rPr>
            </w:pPr>
            <w:r>
              <w:rPr>
                <w:rFonts w:hint="eastAsia" w:eastAsia="Times New Roman"/>
                <w:color w:val="auto"/>
              </w:rPr>
              <w:t>台</w:t>
            </w:r>
          </w:p>
        </w:tc>
        <w:tc>
          <w:tcPr>
            <w:tcW w:w="1296" w:type="pct"/>
            <w:vAlign w:val="center"/>
          </w:tcPr>
          <w:p w14:paraId="51618AB2">
            <w:pPr>
              <w:pStyle w:val="81"/>
              <w:rPr>
                <w:rFonts w:eastAsia="Times New Roman" w:cs="Arial"/>
                <w:color w:val="auto"/>
              </w:rPr>
            </w:pPr>
            <w:r>
              <w:rPr>
                <w:rFonts w:eastAsia="Times New Roman" w:cs="Arial"/>
                <w:color w:val="auto"/>
                <w:spacing w:val="-4"/>
              </w:rPr>
              <w:t>100mm(</w:t>
            </w:r>
            <w:r>
              <w:rPr>
                <w:rFonts w:hint="eastAsia" w:eastAsia="Times New Roman"/>
                <w:color w:val="auto"/>
                <w:spacing w:val="-4"/>
              </w:rPr>
              <w:t>进出口水径）扬程</w:t>
            </w:r>
            <w:r>
              <w:rPr>
                <w:rFonts w:eastAsia="Times New Roman" w:cs="Arial"/>
                <w:color w:val="auto"/>
                <w:spacing w:val="-4"/>
              </w:rPr>
              <w:t>25m</w:t>
            </w:r>
            <w:r>
              <w:rPr>
                <w:rFonts w:hint="eastAsia" w:eastAsia="Times New Roman"/>
                <w:color w:val="auto"/>
                <w:spacing w:val="-5"/>
              </w:rPr>
              <w:t>吸程</w:t>
            </w:r>
            <w:r>
              <w:rPr>
                <w:rFonts w:eastAsia="Times New Roman" w:cs="Arial"/>
                <w:color w:val="auto"/>
                <w:spacing w:val="-5"/>
              </w:rPr>
              <w:t>8</w:t>
            </w:r>
            <w:r>
              <w:rPr>
                <w:rFonts w:eastAsia="Times New Roman"/>
                <w:color w:val="auto"/>
              </w:rPr>
              <w:t>1600L/min</w:t>
            </w:r>
          </w:p>
        </w:tc>
        <w:tc>
          <w:tcPr>
            <w:tcW w:w="325" w:type="pct"/>
            <w:vAlign w:val="center"/>
          </w:tcPr>
          <w:p w14:paraId="48FBC574">
            <w:pPr>
              <w:pStyle w:val="81"/>
              <w:rPr>
                <w:rFonts w:eastAsia="Times New Roman"/>
                <w:color w:val="auto"/>
              </w:rPr>
            </w:pPr>
            <w:r>
              <w:rPr>
                <w:rFonts w:eastAsia="Times New Roman"/>
                <w:color w:val="auto"/>
              </w:rPr>
              <w:t>1</w:t>
            </w:r>
          </w:p>
        </w:tc>
        <w:tc>
          <w:tcPr>
            <w:tcW w:w="1264" w:type="pct"/>
            <w:vMerge w:val="continue"/>
            <w:vAlign w:val="center"/>
          </w:tcPr>
          <w:p w14:paraId="52A77AA7">
            <w:pPr>
              <w:pStyle w:val="81"/>
              <w:rPr>
                <w:rFonts w:eastAsia="Times New Roman"/>
                <w:color w:val="auto"/>
              </w:rPr>
            </w:pPr>
          </w:p>
        </w:tc>
      </w:tr>
      <w:tr w14:paraId="25678066">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5EA42FB0">
            <w:pPr>
              <w:pStyle w:val="81"/>
              <w:rPr>
                <w:rFonts w:eastAsia="Times New Roman"/>
                <w:color w:val="auto"/>
              </w:rPr>
            </w:pPr>
            <w:r>
              <w:rPr>
                <w:rFonts w:eastAsia="Times New Roman"/>
                <w:color w:val="auto"/>
                <w:spacing w:val="-7"/>
              </w:rPr>
              <w:t>37</w:t>
            </w:r>
          </w:p>
        </w:tc>
        <w:tc>
          <w:tcPr>
            <w:tcW w:w="1269" w:type="pct"/>
            <w:vAlign w:val="center"/>
          </w:tcPr>
          <w:p w14:paraId="5155CD58">
            <w:pPr>
              <w:pStyle w:val="81"/>
              <w:rPr>
                <w:rFonts w:eastAsia="Times New Roman"/>
                <w:color w:val="auto"/>
              </w:rPr>
            </w:pPr>
            <w:r>
              <w:rPr>
                <w:rFonts w:hint="eastAsia" w:eastAsia="Times New Roman"/>
                <w:color w:val="auto"/>
                <w:spacing w:val="8"/>
              </w:rPr>
              <w:t>灭火器</w:t>
            </w:r>
          </w:p>
        </w:tc>
        <w:tc>
          <w:tcPr>
            <w:tcW w:w="437" w:type="pct"/>
            <w:vAlign w:val="center"/>
          </w:tcPr>
          <w:p w14:paraId="153295DA">
            <w:pPr>
              <w:pStyle w:val="81"/>
              <w:rPr>
                <w:rFonts w:eastAsia="Times New Roman"/>
                <w:color w:val="auto"/>
              </w:rPr>
            </w:pPr>
            <w:r>
              <w:rPr>
                <w:rFonts w:hint="eastAsia" w:eastAsia="Times New Roman"/>
                <w:color w:val="auto"/>
              </w:rPr>
              <w:t>个</w:t>
            </w:r>
          </w:p>
        </w:tc>
        <w:tc>
          <w:tcPr>
            <w:tcW w:w="1296" w:type="pct"/>
            <w:vAlign w:val="center"/>
          </w:tcPr>
          <w:p w14:paraId="669D7B13">
            <w:pPr>
              <w:pStyle w:val="81"/>
              <w:rPr>
                <w:rFonts w:eastAsia="Times New Roman" w:cs="Arial"/>
                <w:color w:val="auto"/>
              </w:rPr>
            </w:pPr>
            <w:r>
              <w:rPr>
                <w:rFonts w:eastAsia="Times New Roman"/>
                <w:color w:val="auto"/>
                <w:spacing w:val="-14"/>
                <w:w w:val="96"/>
              </w:rPr>
              <w:t>MFT/ABC35</w:t>
            </w:r>
          </w:p>
        </w:tc>
        <w:tc>
          <w:tcPr>
            <w:tcW w:w="325" w:type="pct"/>
            <w:vAlign w:val="center"/>
          </w:tcPr>
          <w:p w14:paraId="69A41CD8">
            <w:pPr>
              <w:pStyle w:val="81"/>
              <w:rPr>
                <w:rFonts w:eastAsia="Times New Roman"/>
                <w:color w:val="auto"/>
              </w:rPr>
            </w:pPr>
            <w:r>
              <w:rPr>
                <w:rFonts w:eastAsia="Times New Roman"/>
                <w:color w:val="auto"/>
              </w:rPr>
              <w:t>2</w:t>
            </w:r>
          </w:p>
        </w:tc>
        <w:tc>
          <w:tcPr>
            <w:tcW w:w="1264" w:type="pct"/>
            <w:vMerge w:val="continue"/>
            <w:vAlign w:val="center"/>
          </w:tcPr>
          <w:p w14:paraId="34C3C39F">
            <w:pPr>
              <w:pStyle w:val="81"/>
              <w:rPr>
                <w:rFonts w:eastAsia="Times New Roman"/>
                <w:color w:val="auto"/>
              </w:rPr>
            </w:pPr>
          </w:p>
        </w:tc>
      </w:tr>
      <w:tr w14:paraId="75843E30">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005F6062">
            <w:pPr>
              <w:pStyle w:val="81"/>
              <w:rPr>
                <w:rFonts w:eastAsia="Times New Roman"/>
                <w:color w:val="auto"/>
              </w:rPr>
            </w:pPr>
            <w:r>
              <w:rPr>
                <w:rFonts w:eastAsia="Times New Roman"/>
                <w:color w:val="auto"/>
                <w:spacing w:val="-7"/>
              </w:rPr>
              <w:t>38</w:t>
            </w:r>
          </w:p>
        </w:tc>
        <w:tc>
          <w:tcPr>
            <w:tcW w:w="1269" w:type="pct"/>
            <w:vAlign w:val="center"/>
          </w:tcPr>
          <w:p w14:paraId="5149054B">
            <w:pPr>
              <w:pStyle w:val="81"/>
              <w:rPr>
                <w:rFonts w:eastAsia="Times New Roman"/>
                <w:color w:val="auto"/>
              </w:rPr>
            </w:pPr>
            <w:r>
              <w:rPr>
                <w:rFonts w:hint="eastAsia" w:eastAsia="Times New Roman"/>
                <w:color w:val="auto"/>
                <w:spacing w:val="8"/>
              </w:rPr>
              <w:t>灭火器</w:t>
            </w:r>
          </w:p>
        </w:tc>
        <w:tc>
          <w:tcPr>
            <w:tcW w:w="437" w:type="pct"/>
            <w:vAlign w:val="center"/>
          </w:tcPr>
          <w:p w14:paraId="6E7D37C0">
            <w:pPr>
              <w:pStyle w:val="81"/>
              <w:rPr>
                <w:rFonts w:eastAsia="Times New Roman"/>
                <w:color w:val="auto"/>
              </w:rPr>
            </w:pPr>
            <w:r>
              <w:rPr>
                <w:rFonts w:hint="eastAsia" w:eastAsia="Times New Roman"/>
                <w:color w:val="auto"/>
              </w:rPr>
              <w:t>个</w:t>
            </w:r>
          </w:p>
        </w:tc>
        <w:tc>
          <w:tcPr>
            <w:tcW w:w="1296" w:type="pct"/>
            <w:vAlign w:val="center"/>
          </w:tcPr>
          <w:p w14:paraId="2289BED5">
            <w:pPr>
              <w:pStyle w:val="81"/>
              <w:rPr>
                <w:rFonts w:eastAsia="Times New Roman" w:cs="Arial"/>
                <w:color w:val="auto"/>
              </w:rPr>
            </w:pPr>
            <w:r>
              <w:rPr>
                <w:rFonts w:eastAsia="Times New Roman"/>
                <w:color w:val="auto"/>
                <w:spacing w:val="-11"/>
              </w:rPr>
              <w:t>MT/3</w:t>
            </w:r>
          </w:p>
        </w:tc>
        <w:tc>
          <w:tcPr>
            <w:tcW w:w="325" w:type="pct"/>
            <w:vAlign w:val="center"/>
          </w:tcPr>
          <w:p w14:paraId="7C0A9D2F">
            <w:pPr>
              <w:pStyle w:val="81"/>
              <w:rPr>
                <w:rFonts w:eastAsia="Times New Roman"/>
                <w:color w:val="auto"/>
              </w:rPr>
            </w:pPr>
            <w:r>
              <w:rPr>
                <w:rFonts w:eastAsia="Times New Roman"/>
                <w:color w:val="auto"/>
              </w:rPr>
              <w:t>2</w:t>
            </w:r>
          </w:p>
        </w:tc>
        <w:tc>
          <w:tcPr>
            <w:tcW w:w="1264" w:type="pct"/>
            <w:vMerge w:val="continue"/>
            <w:vAlign w:val="center"/>
          </w:tcPr>
          <w:p w14:paraId="2918D13F">
            <w:pPr>
              <w:pStyle w:val="81"/>
              <w:rPr>
                <w:rFonts w:eastAsia="Times New Roman"/>
                <w:color w:val="auto"/>
              </w:rPr>
            </w:pPr>
          </w:p>
        </w:tc>
      </w:tr>
      <w:tr w14:paraId="1714A33B">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4BA1D6A8">
            <w:pPr>
              <w:pStyle w:val="81"/>
              <w:rPr>
                <w:rFonts w:eastAsia="Times New Roman"/>
                <w:color w:val="auto"/>
              </w:rPr>
            </w:pPr>
            <w:r>
              <w:rPr>
                <w:rFonts w:eastAsia="Times New Roman"/>
                <w:color w:val="auto"/>
                <w:spacing w:val="-7"/>
              </w:rPr>
              <w:t>39</w:t>
            </w:r>
          </w:p>
        </w:tc>
        <w:tc>
          <w:tcPr>
            <w:tcW w:w="1269" w:type="pct"/>
            <w:vAlign w:val="center"/>
          </w:tcPr>
          <w:p w14:paraId="35E809B6">
            <w:pPr>
              <w:pStyle w:val="81"/>
              <w:rPr>
                <w:rFonts w:eastAsia="Times New Roman"/>
                <w:color w:val="auto"/>
              </w:rPr>
            </w:pPr>
            <w:r>
              <w:rPr>
                <w:rFonts w:hint="eastAsia" w:eastAsia="Times New Roman"/>
                <w:color w:val="auto"/>
              </w:rPr>
              <w:t>编织袋</w:t>
            </w:r>
          </w:p>
        </w:tc>
        <w:tc>
          <w:tcPr>
            <w:tcW w:w="437" w:type="pct"/>
            <w:vAlign w:val="center"/>
          </w:tcPr>
          <w:p w14:paraId="59BF43C1">
            <w:pPr>
              <w:pStyle w:val="81"/>
              <w:rPr>
                <w:rFonts w:eastAsia="Times New Roman"/>
                <w:color w:val="auto"/>
              </w:rPr>
            </w:pPr>
            <w:r>
              <w:rPr>
                <w:rFonts w:hint="eastAsia" w:eastAsia="Times New Roman"/>
                <w:color w:val="auto"/>
                <w:spacing w:val="4"/>
              </w:rPr>
              <w:t>条</w:t>
            </w:r>
          </w:p>
        </w:tc>
        <w:tc>
          <w:tcPr>
            <w:tcW w:w="1296" w:type="pct"/>
            <w:vAlign w:val="center"/>
          </w:tcPr>
          <w:p w14:paraId="465C4EE6">
            <w:pPr>
              <w:pStyle w:val="81"/>
              <w:rPr>
                <w:rFonts w:eastAsia="Times New Roman" w:cs="Arial"/>
                <w:color w:val="auto"/>
              </w:rPr>
            </w:pPr>
          </w:p>
        </w:tc>
        <w:tc>
          <w:tcPr>
            <w:tcW w:w="325" w:type="pct"/>
            <w:vAlign w:val="center"/>
          </w:tcPr>
          <w:p w14:paraId="09553EE9">
            <w:pPr>
              <w:pStyle w:val="81"/>
              <w:rPr>
                <w:rFonts w:eastAsia="Times New Roman"/>
                <w:color w:val="auto"/>
              </w:rPr>
            </w:pPr>
            <w:r>
              <w:rPr>
                <w:rFonts w:eastAsia="Times New Roman"/>
                <w:color w:val="auto"/>
                <w:spacing w:val="-8"/>
              </w:rPr>
              <w:t>2000</w:t>
            </w:r>
          </w:p>
        </w:tc>
        <w:tc>
          <w:tcPr>
            <w:tcW w:w="1264" w:type="pct"/>
            <w:vAlign w:val="center"/>
          </w:tcPr>
          <w:p w14:paraId="737C393A">
            <w:pPr>
              <w:pStyle w:val="81"/>
              <w:rPr>
                <w:rFonts w:eastAsia="Times New Roman"/>
                <w:color w:val="auto"/>
              </w:rPr>
            </w:pPr>
            <w:r>
              <w:rPr>
                <w:rFonts w:hint="eastAsia" w:eastAsia="Times New Roman"/>
                <w:color w:val="auto"/>
                <w:spacing w:val="8"/>
              </w:rPr>
              <w:t>高青管理区应急库房</w:t>
            </w:r>
          </w:p>
        </w:tc>
      </w:tr>
      <w:tr w14:paraId="3E2C8470">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BAD1F35">
            <w:pPr>
              <w:pStyle w:val="81"/>
              <w:rPr>
                <w:rFonts w:eastAsia="Times New Roman" w:cs="Arial"/>
                <w:color w:val="auto"/>
              </w:rPr>
            </w:pPr>
            <w:r>
              <w:rPr>
                <w:rFonts w:eastAsia="Times New Roman"/>
                <w:color w:val="auto"/>
                <w:spacing w:val="-7"/>
              </w:rPr>
              <w:t>40</w:t>
            </w:r>
          </w:p>
        </w:tc>
        <w:tc>
          <w:tcPr>
            <w:tcW w:w="1269" w:type="pct"/>
            <w:vAlign w:val="center"/>
          </w:tcPr>
          <w:p w14:paraId="652E2B08">
            <w:pPr>
              <w:pStyle w:val="81"/>
              <w:rPr>
                <w:rFonts w:eastAsia="Times New Roman"/>
                <w:color w:val="auto"/>
              </w:rPr>
            </w:pPr>
            <w:r>
              <w:rPr>
                <w:rFonts w:hint="eastAsia" w:eastAsia="Times New Roman"/>
                <w:color w:val="auto"/>
                <w:spacing w:val="13"/>
              </w:rPr>
              <w:t>铁锨</w:t>
            </w:r>
            <w:r>
              <w:rPr>
                <w:rFonts w:eastAsia="Times New Roman" w:cs="Arial"/>
                <w:color w:val="auto"/>
                <w:spacing w:val="13"/>
              </w:rPr>
              <w:t>(</w:t>
            </w:r>
            <w:r>
              <w:rPr>
                <w:rFonts w:hint="eastAsia" w:eastAsia="Times New Roman"/>
                <w:color w:val="auto"/>
                <w:spacing w:val="13"/>
              </w:rPr>
              <w:t>消防锨)</w:t>
            </w:r>
          </w:p>
        </w:tc>
        <w:tc>
          <w:tcPr>
            <w:tcW w:w="437" w:type="pct"/>
            <w:vAlign w:val="center"/>
          </w:tcPr>
          <w:p w14:paraId="63C6D4FC">
            <w:pPr>
              <w:pStyle w:val="81"/>
              <w:rPr>
                <w:rFonts w:eastAsia="Times New Roman"/>
                <w:color w:val="auto"/>
              </w:rPr>
            </w:pPr>
            <w:r>
              <w:rPr>
                <w:rFonts w:hint="eastAsia" w:eastAsia="Times New Roman"/>
                <w:color w:val="auto"/>
                <w:spacing w:val="4"/>
              </w:rPr>
              <w:t>把</w:t>
            </w:r>
          </w:p>
        </w:tc>
        <w:tc>
          <w:tcPr>
            <w:tcW w:w="1296" w:type="pct"/>
            <w:vAlign w:val="center"/>
          </w:tcPr>
          <w:p w14:paraId="59964B27">
            <w:pPr>
              <w:pStyle w:val="81"/>
              <w:rPr>
                <w:rFonts w:eastAsia="Times New Roman" w:cs="Arial"/>
                <w:color w:val="auto"/>
              </w:rPr>
            </w:pPr>
          </w:p>
        </w:tc>
        <w:tc>
          <w:tcPr>
            <w:tcW w:w="325" w:type="pct"/>
            <w:vAlign w:val="center"/>
          </w:tcPr>
          <w:p w14:paraId="739AC2F0">
            <w:pPr>
              <w:pStyle w:val="81"/>
              <w:rPr>
                <w:rFonts w:eastAsia="Times New Roman"/>
                <w:color w:val="auto"/>
              </w:rPr>
            </w:pPr>
            <w:r>
              <w:rPr>
                <w:rFonts w:eastAsia="Times New Roman"/>
                <w:color w:val="auto"/>
                <w:spacing w:val="-7"/>
              </w:rPr>
              <w:t>30</w:t>
            </w:r>
          </w:p>
        </w:tc>
        <w:tc>
          <w:tcPr>
            <w:tcW w:w="1264" w:type="pct"/>
            <w:vAlign w:val="center"/>
          </w:tcPr>
          <w:p w14:paraId="3D31C7F0">
            <w:pPr>
              <w:pStyle w:val="81"/>
              <w:rPr>
                <w:rFonts w:eastAsia="Times New Roman"/>
                <w:color w:val="auto"/>
              </w:rPr>
            </w:pPr>
            <w:r>
              <w:rPr>
                <w:rFonts w:hint="eastAsia" w:eastAsia="Times New Roman"/>
                <w:color w:val="auto"/>
                <w:spacing w:val="8"/>
              </w:rPr>
              <w:t>高青管理区应急库房</w:t>
            </w:r>
          </w:p>
        </w:tc>
      </w:tr>
      <w:tr w14:paraId="1DCF02F4">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9A6C811">
            <w:pPr>
              <w:pStyle w:val="81"/>
              <w:rPr>
                <w:rFonts w:eastAsia="Times New Roman" w:cs="Arial"/>
                <w:color w:val="auto"/>
              </w:rPr>
            </w:pPr>
            <w:r>
              <w:rPr>
                <w:rFonts w:eastAsia="Times New Roman"/>
                <w:color w:val="auto"/>
                <w:spacing w:val="-7"/>
              </w:rPr>
              <w:t>41</w:t>
            </w:r>
          </w:p>
        </w:tc>
        <w:tc>
          <w:tcPr>
            <w:tcW w:w="1269" w:type="pct"/>
            <w:vAlign w:val="center"/>
          </w:tcPr>
          <w:p w14:paraId="18651B1A">
            <w:pPr>
              <w:pStyle w:val="81"/>
              <w:rPr>
                <w:rFonts w:eastAsia="Times New Roman"/>
                <w:color w:val="auto"/>
              </w:rPr>
            </w:pPr>
            <w:r>
              <w:rPr>
                <w:rFonts w:hint="eastAsia" w:eastAsia="Times New Roman"/>
                <w:color w:val="auto"/>
                <w:spacing w:val="5"/>
              </w:rPr>
              <w:t>电动潜水泵</w:t>
            </w:r>
          </w:p>
        </w:tc>
        <w:tc>
          <w:tcPr>
            <w:tcW w:w="437" w:type="pct"/>
            <w:vAlign w:val="center"/>
          </w:tcPr>
          <w:p w14:paraId="47322C83">
            <w:pPr>
              <w:pStyle w:val="81"/>
              <w:rPr>
                <w:rFonts w:eastAsia="Times New Roman"/>
                <w:color w:val="auto"/>
              </w:rPr>
            </w:pPr>
            <w:r>
              <w:rPr>
                <w:rFonts w:hint="eastAsia" w:eastAsia="Times New Roman"/>
                <w:color w:val="auto"/>
              </w:rPr>
              <w:t>台</w:t>
            </w:r>
          </w:p>
        </w:tc>
        <w:tc>
          <w:tcPr>
            <w:tcW w:w="1296" w:type="pct"/>
            <w:vAlign w:val="center"/>
          </w:tcPr>
          <w:p w14:paraId="4A5C7CEA">
            <w:pPr>
              <w:pStyle w:val="81"/>
              <w:rPr>
                <w:rFonts w:eastAsia="Times New Roman" w:cs="Arial"/>
                <w:color w:val="auto"/>
              </w:rPr>
            </w:pPr>
          </w:p>
        </w:tc>
        <w:tc>
          <w:tcPr>
            <w:tcW w:w="325" w:type="pct"/>
            <w:vAlign w:val="center"/>
          </w:tcPr>
          <w:p w14:paraId="5387CD00">
            <w:pPr>
              <w:pStyle w:val="81"/>
              <w:rPr>
                <w:rFonts w:eastAsia="Times New Roman"/>
                <w:color w:val="auto"/>
              </w:rPr>
            </w:pPr>
            <w:r>
              <w:rPr>
                <w:rFonts w:eastAsia="Times New Roman"/>
                <w:color w:val="auto"/>
              </w:rPr>
              <w:t>7</w:t>
            </w:r>
          </w:p>
        </w:tc>
        <w:tc>
          <w:tcPr>
            <w:tcW w:w="1264" w:type="pct"/>
            <w:vAlign w:val="center"/>
          </w:tcPr>
          <w:p w14:paraId="010E76A5">
            <w:pPr>
              <w:pStyle w:val="81"/>
              <w:rPr>
                <w:rFonts w:eastAsia="Times New Roman"/>
                <w:color w:val="auto"/>
              </w:rPr>
            </w:pPr>
            <w:r>
              <w:rPr>
                <w:rFonts w:hint="eastAsia" w:eastAsia="Times New Roman"/>
                <w:color w:val="auto"/>
                <w:spacing w:val="8"/>
              </w:rPr>
              <w:t>高青管理区应急库房</w:t>
            </w:r>
          </w:p>
        </w:tc>
      </w:tr>
      <w:tr w14:paraId="4357F00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85C0B5E">
            <w:pPr>
              <w:pStyle w:val="81"/>
              <w:rPr>
                <w:rFonts w:eastAsia="Times New Roman" w:cs="Arial"/>
                <w:color w:val="auto"/>
              </w:rPr>
            </w:pPr>
            <w:r>
              <w:rPr>
                <w:rFonts w:eastAsia="Times New Roman"/>
                <w:color w:val="auto"/>
                <w:spacing w:val="-7"/>
              </w:rPr>
              <w:t>42</w:t>
            </w:r>
          </w:p>
        </w:tc>
        <w:tc>
          <w:tcPr>
            <w:tcW w:w="1269" w:type="pct"/>
            <w:vAlign w:val="center"/>
          </w:tcPr>
          <w:p w14:paraId="5AEA4614">
            <w:pPr>
              <w:pStyle w:val="81"/>
              <w:rPr>
                <w:rFonts w:eastAsia="Times New Roman"/>
                <w:color w:val="auto"/>
              </w:rPr>
            </w:pPr>
            <w:r>
              <w:rPr>
                <w:rFonts w:hint="eastAsia" w:eastAsia="Times New Roman"/>
                <w:color w:val="auto"/>
                <w:spacing w:val="7"/>
              </w:rPr>
              <w:t>汽油水泵</w:t>
            </w:r>
          </w:p>
        </w:tc>
        <w:tc>
          <w:tcPr>
            <w:tcW w:w="437" w:type="pct"/>
            <w:vAlign w:val="center"/>
          </w:tcPr>
          <w:p w14:paraId="7060D3A5">
            <w:pPr>
              <w:pStyle w:val="81"/>
              <w:rPr>
                <w:rFonts w:eastAsia="Times New Roman"/>
                <w:color w:val="auto"/>
              </w:rPr>
            </w:pPr>
            <w:r>
              <w:rPr>
                <w:rFonts w:hint="eastAsia" w:eastAsia="Times New Roman"/>
                <w:color w:val="auto"/>
              </w:rPr>
              <w:t>台</w:t>
            </w:r>
          </w:p>
        </w:tc>
        <w:tc>
          <w:tcPr>
            <w:tcW w:w="1296" w:type="pct"/>
            <w:vAlign w:val="center"/>
          </w:tcPr>
          <w:p w14:paraId="23AA882F">
            <w:pPr>
              <w:pStyle w:val="81"/>
              <w:rPr>
                <w:rFonts w:eastAsia="Times New Roman" w:cs="Arial"/>
                <w:color w:val="auto"/>
              </w:rPr>
            </w:pPr>
          </w:p>
        </w:tc>
        <w:tc>
          <w:tcPr>
            <w:tcW w:w="325" w:type="pct"/>
            <w:vAlign w:val="center"/>
          </w:tcPr>
          <w:p w14:paraId="6C3B3DB2">
            <w:pPr>
              <w:pStyle w:val="81"/>
              <w:rPr>
                <w:rFonts w:eastAsia="Times New Roman"/>
                <w:color w:val="auto"/>
              </w:rPr>
            </w:pPr>
            <w:r>
              <w:rPr>
                <w:rFonts w:eastAsia="Times New Roman"/>
                <w:color w:val="auto"/>
              </w:rPr>
              <w:t>2</w:t>
            </w:r>
          </w:p>
        </w:tc>
        <w:tc>
          <w:tcPr>
            <w:tcW w:w="1264" w:type="pct"/>
            <w:vAlign w:val="center"/>
          </w:tcPr>
          <w:p w14:paraId="4A5E8881">
            <w:pPr>
              <w:pStyle w:val="81"/>
              <w:rPr>
                <w:rFonts w:eastAsia="Times New Roman"/>
                <w:color w:val="auto"/>
              </w:rPr>
            </w:pPr>
            <w:r>
              <w:rPr>
                <w:rFonts w:hint="eastAsia" w:eastAsia="Times New Roman"/>
                <w:color w:val="auto"/>
                <w:spacing w:val="8"/>
              </w:rPr>
              <w:t>高青管理区应急库房</w:t>
            </w:r>
          </w:p>
        </w:tc>
      </w:tr>
      <w:tr w14:paraId="5B31D604">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7996AFE4">
            <w:pPr>
              <w:pStyle w:val="81"/>
              <w:rPr>
                <w:rFonts w:eastAsia="Times New Roman" w:cs="Arial"/>
                <w:color w:val="auto"/>
              </w:rPr>
            </w:pPr>
            <w:r>
              <w:rPr>
                <w:rFonts w:eastAsia="Times New Roman"/>
                <w:color w:val="auto"/>
                <w:spacing w:val="-7"/>
              </w:rPr>
              <w:t>43</w:t>
            </w:r>
          </w:p>
        </w:tc>
        <w:tc>
          <w:tcPr>
            <w:tcW w:w="1269" w:type="pct"/>
            <w:vAlign w:val="center"/>
          </w:tcPr>
          <w:p w14:paraId="48BBF71F">
            <w:pPr>
              <w:pStyle w:val="81"/>
              <w:rPr>
                <w:rFonts w:eastAsia="Times New Roman"/>
                <w:color w:val="auto"/>
              </w:rPr>
            </w:pPr>
            <w:r>
              <w:rPr>
                <w:rFonts w:hint="eastAsia" w:eastAsia="Times New Roman"/>
                <w:color w:val="auto"/>
              </w:rPr>
              <w:t>抬筐</w:t>
            </w:r>
          </w:p>
        </w:tc>
        <w:tc>
          <w:tcPr>
            <w:tcW w:w="437" w:type="pct"/>
            <w:vAlign w:val="center"/>
          </w:tcPr>
          <w:p w14:paraId="4A2EDF4A">
            <w:pPr>
              <w:pStyle w:val="81"/>
              <w:rPr>
                <w:rFonts w:eastAsia="Times New Roman"/>
                <w:color w:val="auto"/>
              </w:rPr>
            </w:pPr>
            <w:r>
              <w:rPr>
                <w:rFonts w:hint="eastAsia" w:eastAsia="Times New Roman"/>
                <w:color w:val="auto"/>
              </w:rPr>
              <w:t>个</w:t>
            </w:r>
          </w:p>
        </w:tc>
        <w:tc>
          <w:tcPr>
            <w:tcW w:w="1296" w:type="pct"/>
            <w:vAlign w:val="center"/>
          </w:tcPr>
          <w:p w14:paraId="1A33D05A">
            <w:pPr>
              <w:pStyle w:val="81"/>
              <w:rPr>
                <w:rFonts w:eastAsia="Times New Roman" w:cs="Arial"/>
                <w:color w:val="auto"/>
              </w:rPr>
            </w:pPr>
          </w:p>
        </w:tc>
        <w:tc>
          <w:tcPr>
            <w:tcW w:w="325" w:type="pct"/>
            <w:vAlign w:val="center"/>
          </w:tcPr>
          <w:p w14:paraId="189739A7">
            <w:pPr>
              <w:pStyle w:val="81"/>
              <w:rPr>
                <w:rFonts w:eastAsia="Times New Roman"/>
                <w:color w:val="auto"/>
              </w:rPr>
            </w:pPr>
            <w:r>
              <w:rPr>
                <w:rFonts w:eastAsia="Times New Roman"/>
                <w:color w:val="auto"/>
                <w:spacing w:val="-11"/>
              </w:rPr>
              <w:t>16</w:t>
            </w:r>
          </w:p>
        </w:tc>
        <w:tc>
          <w:tcPr>
            <w:tcW w:w="1264" w:type="pct"/>
            <w:vAlign w:val="center"/>
          </w:tcPr>
          <w:p w14:paraId="4D678DFE">
            <w:pPr>
              <w:pStyle w:val="81"/>
              <w:rPr>
                <w:rFonts w:eastAsia="Times New Roman"/>
                <w:color w:val="auto"/>
              </w:rPr>
            </w:pPr>
            <w:r>
              <w:rPr>
                <w:rFonts w:hint="eastAsia" w:eastAsia="Times New Roman"/>
                <w:color w:val="auto"/>
                <w:spacing w:val="8"/>
              </w:rPr>
              <w:t>高青管理区应急库房</w:t>
            </w:r>
          </w:p>
        </w:tc>
      </w:tr>
      <w:tr w14:paraId="00E4A16A">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41ECCCA3">
            <w:pPr>
              <w:pStyle w:val="81"/>
              <w:rPr>
                <w:rFonts w:eastAsia="Times New Roman" w:cs="Arial"/>
                <w:color w:val="auto"/>
              </w:rPr>
            </w:pPr>
            <w:r>
              <w:rPr>
                <w:rFonts w:eastAsia="Times New Roman"/>
                <w:color w:val="auto"/>
                <w:spacing w:val="-4"/>
                <w:w w:val="97"/>
              </w:rPr>
              <w:t>44</w:t>
            </w:r>
          </w:p>
        </w:tc>
        <w:tc>
          <w:tcPr>
            <w:tcW w:w="1269" w:type="pct"/>
            <w:vAlign w:val="center"/>
          </w:tcPr>
          <w:p w14:paraId="16D68F7C">
            <w:pPr>
              <w:pStyle w:val="81"/>
              <w:rPr>
                <w:rFonts w:eastAsia="Times New Roman"/>
                <w:color w:val="auto"/>
              </w:rPr>
            </w:pPr>
            <w:r>
              <w:rPr>
                <w:rFonts w:hint="eastAsia" w:eastAsia="Times New Roman"/>
                <w:color w:val="auto"/>
                <w:spacing w:val="8"/>
              </w:rPr>
              <w:t>安全带</w:t>
            </w:r>
          </w:p>
        </w:tc>
        <w:tc>
          <w:tcPr>
            <w:tcW w:w="437" w:type="pct"/>
            <w:vAlign w:val="center"/>
          </w:tcPr>
          <w:p w14:paraId="64ABA54B">
            <w:pPr>
              <w:pStyle w:val="81"/>
              <w:rPr>
                <w:rFonts w:eastAsia="Times New Roman"/>
                <w:color w:val="auto"/>
              </w:rPr>
            </w:pPr>
            <w:r>
              <w:rPr>
                <w:rFonts w:hint="eastAsia" w:eastAsia="Times New Roman"/>
                <w:color w:val="auto"/>
              </w:rPr>
              <w:t>套</w:t>
            </w:r>
          </w:p>
        </w:tc>
        <w:tc>
          <w:tcPr>
            <w:tcW w:w="1296" w:type="pct"/>
            <w:vAlign w:val="center"/>
          </w:tcPr>
          <w:p w14:paraId="398F20A6">
            <w:pPr>
              <w:pStyle w:val="81"/>
              <w:rPr>
                <w:rFonts w:eastAsia="Times New Roman" w:cs="Arial"/>
                <w:color w:val="auto"/>
              </w:rPr>
            </w:pPr>
          </w:p>
        </w:tc>
        <w:tc>
          <w:tcPr>
            <w:tcW w:w="325" w:type="pct"/>
            <w:vAlign w:val="center"/>
          </w:tcPr>
          <w:p w14:paraId="6E624327">
            <w:pPr>
              <w:pStyle w:val="81"/>
              <w:rPr>
                <w:rFonts w:eastAsia="Times New Roman"/>
                <w:color w:val="auto"/>
              </w:rPr>
            </w:pPr>
            <w:r>
              <w:rPr>
                <w:rFonts w:eastAsia="Times New Roman"/>
                <w:color w:val="auto"/>
              </w:rPr>
              <w:t>1</w:t>
            </w:r>
          </w:p>
        </w:tc>
        <w:tc>
          <w:tcPr>
            <w:tcW w:w="1264" w:type="pct"/>
            <w:vAlign w:val="center"/>
          </w:tcPr>
          <w:p w14:paraId="64654148">
            <w:pPr>
              <w:pStyle w:val="81"/>
              <w:rPr>
                <w:rFonts w:eastAsia="Times New Roman"/>
                <w:color w:val="auto"/>
              </w:rPr>
            </w:pPr>
            <w:r>
              <w:rPr>
                <w:rFonts w:hint="eastAsia" w:eastAsia="Times New Roman"/>
                <w:color w:val="auto"/>
                <w:spacing w:val="8"/>
              </w:rPr>
              <w:t>高青管理区应急库房</w:t>
            </w:r>
          </w:p>
        </w:tc>
      </w:tr>
      <w:tr w14:paraId="674E826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A63F9BA">
            <w:pPr>
              <w:pStyle w:val="81"/>
              <w:rPr>
                <w:rFonts w:eastAsia="Times New Roman" w:cs="Arial"/>
                <w:color w:val="auto"/>
              </w:rPr>
            </w:pPr>
            <w:r>
              <w:rPr>
                <w:rFonts w:eastAsia="Times New Roman"/>
                <w:color w:val="auto"/>
                <w:spacing w:val="-7"/>
              </w:rPr>
              <w:t>45</w:t>
            </w:r>
          </w:p>
        </w:tc>
        <w:tc>
          <w:tcPr>
            <w:tcW w:w="1269" w:type="pct"/>
            <w:vAlign w:val="center"/>
          </w:tcPr>
          <w:p w14:paraId="13C036BA">
            <w:pPr>
              <w:pStyle w:val="81"/>
              <w:rPr>
                <w:rFonts w:eastAsia="Times New Roman"/>
                <w:color w:val="auto"/>
              </w:rPr>
            </w:pPr>
            <w:r>
              <w:rPr>
                <w:rFonts w:hint="eastAsia" w:eastAsia="Times New Roman"/>
                <w:color w:val="auto"/>
                <w:spacing w:val="8"/>
              </w:rPr>
              <w:t>救生衣</w:t>
            </w:r>
          </w:p>
        </w:tc>
        <w:tc>
          <w:tcPr>
            <w:tcW w:w="437" w:type="pct"/>
            <w:vAlign w:val="center"/>
          </w:tcPr>
          <w:p w14:paraId="3F25E0AE">
            <w:pPr>
              <w:pStyle w:val="81"/>
              <w:rPr>
                <w:rFonts w:eastAsia="Times New Roman"/>
                <w:color w:val="auto"/>
              </w:rPr>
            </w:pPr>
            <w:r>
              <w:rPr>
                <w:rFonts w:hint="eastAsia" w:eastAsia="Times New Roman"/>
                <w:color w:val="auto"/>
                <w:spacing w:val="4"/>
              </w:rPr>
              <w:t>件</w:t>
            </w:r>
          </w:p>
        </w:tc>
        <w:tc>
          <w:tcPr>
            <w:tcW w:w="1296" w:type="pct"/>
            <w:vAlign w:val="center"/>
          </w:tcPr>
          <w:p w14:paraId="2DCB8C50">
            <w:pPr>
              <w:pStyle w:val="81"/>
              <w:rPr>
                <w:rFonts w:eastAsia="Times New Roman" w:cs="Arial"/>
                <w:color w:val="auto"/>
              </w:rPr>
            </w:pPr>
          </w:p>
        </w:tc>
        <w:tc>
          <w:tcPr>
            <w:tcW w:w="325" w:type="pct"/>
            <w:vAlign w:val="center"/>
          </w:tcPr>
          <w:p w14:paraId="169DAC13">
            <w:pPr>
              <w:pStyle w:val="81"/>
              <w:rPr>
                <w:rFonts w:eastAsia="Times New Roman"/>
                <w:color w:val="auto"/>
              </w:rPr>
            </w:pPr>
            <w:r>
              <w:rPr>
                <w:rFonts w:eastAsia="Times New Roman"/>
                <w:color w:val="auto"/>
                <w:spacing w:val="-11"/>
              </w:rPr>
              <w:t>10</w:t>
            </w:r>
          </w:p>
        </w:tc>
        <w:tc>
          <w:tcPr>
            <w:tcW w:w="1264" w:type="pct"/>
            <w:vAlign w:val="center"/>
          </w:tcPr>
          <w:p w14:paraId="311E925E">
            <w:pPr>
              <w:pStyle w:val="81"/>
              <w:rPr>
                <w:rFonts w:eastAsia="Times New Roman"/>
                <w:color w:val="auto"/>
              </w:rPr>
            </w:pPr>
            <w:r>
              <w:rPr>
                <w:rFonts w:hint="eastAsia" w:eastAsia="Times New Roman"/>
                <w:color w:val="auto"/>
                <w:spacing w:val="8"/>
              </w:rPr>
              <w:t>高青管理区应急库房</w:t>
            </w:r>
          </w:p>
        </w:tc>
      </w:tr>
      <w:tr w14:paraId="2B4033BB">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73E18E1F">
            <w:pPr>
              <w:pStyle w:val="81"/>
              <w:rPr>
                <w:rFonts w:eastAsia="Times New Roman" w:cs="Arial"/>
                <w:color w:val="auto"/>
              </w:rPr>
            </w:pPr>
            <w:r>
              <w:rPr>
                <w:rFonts w:eastAsia="Times New Roman"/>
                <w:color w:val="auto"/>
                <w:spacing w:val="-7"/>
              </w:rPr>
              <w:t>46</w:t>
            </w:r>
          </w:p>
        </w:tc>
        <w:tc>
          <w:tcPr>
            <w:tcW w:w="1269" w:type="pct"/>
            <w:vAlign w:val="center"/>
          </w:tcPr>
          <w:p w14:paraId="5611CF3F">
            <w:pPr>
              <w:pStyle w:val="81"/>
              <w:rPr>
                <w:rFonts w:eastAsia="Times New Roman"/>
                <w:color w:val="auto"/>
              </w:rPr>
            </w:pPr>
            <w:r>
              <w:rPr>
                <w:rFonts w:hint="eastAsia" w:eastAsia="Times New Roman"/>
                <w:color w:val="auto"/>
                <w:spacing w:val="8"/>
              </w:rPr>
              <w:t>水龙带</w:t>
            </w:r>
          </w:p>
        </w:tc>
        <w:tc>
          <w:tcPr>
            <w:tcW w:w="437" w:type="pct"/>
            <w:vAlign w:val="center"/>
          </w:tcPr>
          <w:p w14:paraId="5CA1D87B">
            <w:pPr>
              <w:pStyle w:val="81"/>
              <w:rPr>
                <w:rFonts w:eastAsia="Times New Roman"/>
                <w:color w:val="auto"/>
              </w:rPr>
            </w:pPr>
            <w:r>
              <w:rPr>
                <w:rFonts w:hint="eastAsia" w:eastAsia="Times New Roman"/>
                <w:color w:val="auto"/>
                <w:spacing w:val="2"/>
              </w:rPr>
              <w:t>盘</w:t>
            </w:r>
          </w:p>
        </w:tc>
        <w:tc>
          <w:tcPr>
            <w:tcW w:w="1296" w:type="pct"/>
            <w:vAlign w:val="center"/>
          </w:tcPr>
          <w:p w14:paraId="18D1EB0E">
            <w:pPr>
              <w:pStyle w:val="81"/>
              <w:rPr>
                <w:rFonts w:eastAsia="Times New Roman" w:cs="Arial"/>
                <w:color w:val="auto"/>
              </w:rPr>
            </w:pPr>
          </w:p>
        </w:tc>
        <w:tc>
          <w:tcPr>
            <w:tcW w:w="325" w:type="pct"/>
            <w:vAlign w:val="center"/>
          </w:tcPr>
          <w:p w14:paraId="6C7FF6E0">
            <w:pPr>
              <w:pStyle w:val="81"/>
              <w:rPr>
                <w:rFonts w:eastAsia="Times New Roman"/>
                <w:color w:val="auto"/>
              </w:rPr>
            </w:pPr>
            <w:r>
              <w:rPr>
                <w:rFonts w:eastAsia="Times New Roman"/>
                <w:color w:val="auto"/>
              </w:rPr>
              <w:t>2</w:t>
            </w:r>
          </w:p>
        </w:tc>
        <w:tc>
          <w:tcPr>
            <w:tcW w:w="1264" w:type="pct"/>
            <w:vAlign w:val="center"/>
          </w:tcPr>
          <w:p w14:paraId="01FC40A0">
            <w:pPr>
              <w:pStyle w:val="81"/>
              <w:rPr>
                <w:rFonts w:eastAsia="Times New Roman"/>
                <w:color w:val="auto"/>
              </w:rPr>
            </w:pPr>
            <w:r>
              <w:rPr>
                <w:rFonts w:hint="eastAsia" w:eastAsia="Times New Roman"/>
                <w:color w:val="auto"/>
                <w:spacing w:val="8"/>
              </w:rPr>
              <w:t>高青管理区应急库房</w:t>
            </w:r>
          </w:p>
        </w:tc>
      </w:tr>
      <w:tr w14:paraId="012DFD47">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2F1A26C4">
            <w:pPr>
              <w:pStyle w:val="81"/>
              <w:rPr>
                <w:rFonts w:eastAsia="Times New Roman" w:cs="Arial"/>
                <w:color w:val="auto"/>
              </w:rPr>
            </w:pPr>
            <w:r>
              <w:rPr>
                <w:rFonts w:eastAsia="Times New Roman"/>
                <w:color w:val="auto"/>
                <w:spacing w:val="-7"/>
              </w:rPr>
              <w:t>47</w:t>
            </w:r>
          </w:p>
        </w:tc>
        <w:tc>
          <w:tcPr>
            <w:tcW w:w="1269" w:type="pct"/>
            <w:vAlign w:val="center"/>
          </w:tcPr>
          <w:p w14:paraId="38322738">
            <w:pPr>
              <w:pStyle w:val="81"/>
              <w:rPr>
                <w:rFonts w:eastAsia="Times New Roman"/>
                <w:color w:val="auto"/>
              </w:rPr>
            </w:pPr>
            <w:r>
              <w:rPr>
                <w:rFonts w:hint="eastAsia" w:eastAsia="Times New Roman"/>
                <w:color w:val="auto"/>
                <w:spacing w:val="2"/>
              </w:rPr>
              <w:t>围油栏</w:t>
            </w:r>
          </w:p>
        </w:tc>
        <w:tc>
          <w:tcPr>
            <w:tcW w:w="437" w:type="pct"/>
            <w:vAlign w:val="center"/>
          </w:tcPr>
          <w:p w14:paraId="1155BB7D">
            <w:pPr>
              <w:pStyle w:val="81"/>
              <w:rPr>
                <w:rFonts w:eastAsia="Times New Roman"/>
                <w:color w:val="auto"/>
              </w:rPr>
            </w:pPr>
            <w:r>
              <w:rPr>
                <w:rFonts w:hint="eastAsia" w:eastAsia="Times New Roman"/>
                <w:color w:val="auto"/>
              </w:rPr>
              <w:t>套</w:t>
            </w:r>
          </w:p>
        </w:tc>
        <w:tc>
          <w:tcPr>
            <w:tcW w:w="1296" w:type="pct"/>
            <w:vAlign w:val="center"/>
          </w:tcPr>
          <w:p w14:paraId="2A9DBD67">
            <w:pPr>
              <w:pStyle w:val="81"/>
              <w:rPr>
                <w:rFonts w:eastAsia="Times New Roman" w:cs="Arial"/>
                <w:color w:val="auto"/>
              </w:rPr>
            </w:pPr>
          </w:p>
        </w:tc>
        <w:tc>
          <w:tcPr>
            <w:tcW w:w="325" w:type="pct"/>
            <w:vAlign w:val="center"/>
          </w:tcPr>
          <w:p w14:paraId="2F5493D0">
            <w:pPr>
              <w:pStyle w:val="81"/>
              <w:rPr>
                <w:rFonts w:eastAsia="Times New Roman"/>
                <w:color w:val="auto"/>
              </w:rPr>
            </w:pPr>
            <w:r>
              <w:rPr>
                <w:rFonts w:eastAsia="Times New Roman"/>
                <w:color w:val="auto"/>
                <w:spacing w:val="-11"/>
              </w:rPr>
              <w:t>10</w:t>
            </w:r>
          </w:p>
        </w:tc>
        <w:tc>
          <w:tcPr>
            <w:tcW w:w="1264" w:type="pct"/>
            <w:vAlign w:val="center"/>
          </w:tcPr>
          <w:p w14:paraId="3123F1FE">
            <w:pPr>
              <w:pStyle w:val="81"/>
              <w:rPr>
                <w:rFonts w:eastAsia="Times New Roman"/>
                <w:color w:val="auto"/>
              </w:rPr>
            </w:pPr>
            <w:r>
              <w:rPr>
                <w:rFonts w:hint="eastAsia" w:eastAsia="Times New Roman"/>
                <w:color w:val="auto"/>
                <w:spacing w:val="8"/>
              </w:rPr>
              <w:t>高青管理区应急库房</w:t>
            </w:r>
          </w:p>
        </w:tc>
      </w:tr>
      <w:tr w14:paraId="6F5D25BE">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1CCDF13">
            <w:pPr>
              <w:pStyle w:val="81"/>
              <w:rPr>
                <w:rFonts w:eastAsia="Times New Roman" w:cs="Arial"/>
                <w:color w:val="auto"/>
              </w:rPr>
            </w:pPr>
            <w:r>
              <w:rPr>
                <w:rFonts w:eastAsia="Times New Roman"/>
                <w:color w:val="auto"/>
                <w:spacing w:val="-7"/>
              </w:rPr>
              <w:t>48</w:t>
            </w:r>
          </w:p>
        </w:tc>
        <w:tc>
          <w:tcPr>
            <w:tcW w:w="1269" w:type="pct"/>
            <w:vAlign w:val="center"/>
          </w:tcPr>
          <w:p w14:paraId="3FDE2F11">
            <w:pPr>
              <w:pStyle w:val="81"/>
              <w:rPr>
                <w:rFonts w:eastAsia="Times New Roman"/>
                <w:color w:val="auto"/>
              </w:rPr>
            </w:pPr>
            <w:r>
              <w:rPr>
                <w:rFonts w:hint="eastAsia" w:eastAsia="Times New Roman"/>
                <w:color w:val="auto"/>
              </w:rPr>
              <w:t>扳手</w:t>
            </w:r>
          </w:p>
        </w:tc>
        <w:tc>
          <w:tcPr>
            <w:tcW w:w="437" w:type="pct"/>
            <w:vAlign w:val="center"/>
          </w:tcPr>
          <w:p w14:paraId="07D8DF35">
            <w:pPr>
              <w:pStyle w:val="81"/>
              <w:rPr>
                <w:rFonts w:eastAsia="Times New Roman"/>
                <w:color w:val="auto"/>
              </w:rPr>
            </w:pPr>
            <w:r>
              <w:rPr>
                <w:rFonts w:hint="eastAsia" w:eastAsia="Times New Roman"/>
                <w:color w:val="auto"/>
              </w:rPr>
              <w:t>个</w:t>
            </w:r>
          </w:p>
        </w:tc>
        <w:tc>
          <w:tcPr>
            <w:tcW w:w="1296" w:type="pct"/>
            <w:vAlign w:val="center"/>
          </w:tcPr>
          <w:p w14:paraId="2880FFB2">
            <w:pPr>
              <w:pStyle w:val="81"/>
              <w:rPr>
                <w:rFonts w:eastAsia="Times New Roman" w:cs="Arial"/>
                <w:color w:val="auto"/>
              </w:rPr>
            </w:pPr>
            <w:r>
              <w:rPr>
                <w:rFonts w:eastAsia="Times New Roman"/>
                <w:color w:val="auto"/>
                <w:spacing w:val="-18"/>
              </w:rPr>
              <w:t>375mm</w:t>
            </w:r>
          </w:p>
        </w:tc>
        <w:tc>
          <w:tcPr>
            <w:tcW w:w="325" w:type="pct"/>
            <w:vAlign w:val="center"/>
          </w:tcPr>
          <w:p w14:paraId="0C0E2776">
            <w:pPr>
              <w:pStyle w:val="81"/>
              <w:rPr>
                <w:rFonts w:eastAsia="Times New Roman"/>
                <w:color w:val="auto"/>
              </w:rPr>
            </w:pPr>
            <w:r>
              <w:rPr>
                <w:rFonts w:eastAsia="Times New Roman"/>
                <w:color w:val="auto"/>
              </w:rPr>
              <w:t>2</w:t>
            </w:r>
          </w:p>
        </w:tc>
        <w:tc>
          <w:tcPr>
            <w:tcW w:w="1264" w:type="pct"/>
            <w:vAlign w:val="center"/>
          </w:tcPr>
          <w:p w14:paraId="7D6B0370">
            <w:pPr>
              <w:pStyle w:val="81"/>
              <w:rPr>
                <w:rFonts w:eastAsia="Times New Roman"/>
                <w:color w:val="auto"/>
              </w:rPr>
            </w:pPr>
            <w:r>
              <w:rPr>
                <w:rFonts w:hint="eastAsia" w:eastAsia="Times New Roman"/>
                <w:color w:val="auto"/>
                <w:spacing w:val="8"/>
              </w:rPr>
              <w:t>高青管理区应急库房</w:t>
            </w:r>
          </w:p>
        </w:tc>
      </w:tr>
      <w:tr w14:paraId="48C3039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43DE6B30">
            <w:pPr>
              <w:pStyle w:val="81"/>
              <w:rPr>
                <w:rFonts w:eastAsia="Times New Roman" w:cs="Arial"/>
                <w:color w:val="auto"/>
              </w:rPr>
            </w:pPr>
            <w:r>
              <w:rPr>
                <w:rFonts w:eastAsia="Times New Roman"/>
                <w:color w:val="auto"/>
                <w:spacing w:val="-7"/>
              </w:rPr>
              <w:t>49</w:t>
            </w:r>
          </w:p>
        </w:tc>
        <w:tc>
          <w:tcPr>
            <w:tcW w:w="1269" w:type="pct"/>
            <w:vAlign w:val="center"/>
          </w:tcPr>
          <w:p w14:paraId="51E816A3">
            <w:pPr>
              <w:pStyle w:val="81"/>
              <w:rPr>
                <w:rFonts w:eastAsia="Times New Roman"/>
                <w:color w:val="auto"/>
              </w:rPr>
            </w:pPr>
            <w:r>
              <w:rPr>
                <w:rFonts w:hint="eastAsia" w:eastAsia="Times New Roman"/>
                <w:color w:val="auto"/>
              </w:rPr>
              <w:t>编织绳</w:t>
            </w:r>
          </w:p>
        </w:tc>
        <w:tc>
          <w:tcPr>
            <w:tcW w:w="437" w:type="pct"/>
            <w:vAlign w:val="center"/>
          </w:tcPr>
          <w:p w14:paraId="4C0D3CC9">
            <w:pPr>
              <w:pStyle w:val="81"/>
              <w:rPr>
                <w:rFonts w:eastAsia="Times New Roman"/>
                <w:color w:val="auto"/>
              </w:rPr>
            </w:pPr>
            <w:r>
              <w:rPr>
                <w:rFonts w:hint="eastAsia" w:eastAsia="Times New Roman"/>
                <w:color w:val="auto"/>
                <w:spacing w:val="4"/>
              </w:rPr>
              <w:t>捆</w:t>
            </w:r>
          </w:p>
        </w:tc>
        <w:tc>
          <w:tcPr>
            <w:tcW w:w="1296" w:type="pct"/>
            <w:vAlign w:val="center"/>
          </w:tcPr>
          <w:p w14:paraId="29D050C2">
            <w:pPr>
              <w:pStyle w:val="81"/>
              <w:rPr>
                <w:rFonts w:eastAsia="Times New Roman" w:cs="Arial"/>
                <w:color w:val="auto"/>
              </w:rPr>
            </w:pPr>
          </w:p>
        </w:tc>
        <w:tc>
          <w:tcPr>
            <w:tcW w:w="325" w:type="pct"/>
            <w:vAlign w:val="center"/>
          </w:tcPr>
          <w:p w14:paraId="5D766B61">
            <w:pPr>
              <w:pStyle w:val="81"/>
              <w:rPr>
                <w:rFonts w:eastAsia="Times New Roman"/>
                <w:color w:val="auto"/>
              </w:rPr>
            </w:pPr>
            <w:r>
              <w:rPr>
                <w:rFonts w:eastAsia="Times New Roman"/>
                <w:color w:val="auto"/>
                <w:spacing w:val="-8"/>
              </w:rPr>
              <w:t>2000</w:t>
            </w:r>
          </w:p>
        </w:tc>
        <w:tc>
          <w:tcPr>
            <w:tcW w:w="1264" w:type="pct"/>
            <w:vAlign w:val="center"/>
          </w:tcPr>
          <w:p w14:paraId="63EF469A">
            <w:pPr>
              <w:pStyle w:val="81"/>
              <w:rPr>
                <w:rFonts w:eastAsia="Times New Roman"/>
                <w:color w:val="auto"/>
              </w:rPr>
            </w:pPr>
            <w:r>
              <w:rPr>
                <w:rFonts w:hint="eastAsia" w:eastAsia="Times New Roman"/>
                <w:color w:val="auto"/>
                <w:spacing w:val="8"/>
              </w:rPr>
              <w:t>高青管理区应急库房</w:t>
            </w:r>
          </w:p>
        </w:tc>
      </w:tr>
      <w:tr w14:paraId="10FCDB6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48E5FB0B">
            <w:pPr>
              <w:pStyle w:val="81"/>
              <w:rPr>
                <w:rFonts w:eastAsia="Times New Roman" w:cs="Arial"/>
                <w:color w:val="auto"/>
              </w:rPr>
            </w:pPr>
            <w:r>
              <w:rPr>
                <w:rFonts w:eastAsia="Times New Roman"/>
                <w:color w:val="auto"/>
                <w:spacing w:val="-7"/>
              </w:rPr>
              <w:t>50</w:t>
            </w:r>
          </w:p>
        </w:tc>
        <w:tc>
          <w:tcPr>
            <w:tcW w:w="1269" w:type="pct"/>
            <w:vAlign w:val="center"/>
          </w:tcPr>
          <w:p w14:paraId="30CD8759">
            <w:pPr>
              <w:pStyle w:val="81"/>
              <w:rPr>
                <w:rFonts w:eastAsia="Times New Roman"/>
                <w:color w:val="auto"/>
              </w:rPr>
            </w:pPr>
            <w:r>
              <w:rPr>
                <w:rFonts w:hint="eastAsia" w:eastAsia="Times New Roman"/>
                <w:color w:val="auto"/>
                <w:spacing w:val="7"/>
              </w:rPr>
              <w:t>麻袋</w:t>
            </w:r>
          </w:p>
        </w:tc>
        <w:tc>
          <w:tcPr>
            <w:tcW w:w="437" w:type="pct"/>
            <w:vAlign w:val="center"/>
          </w:tcPr>
          <w:p w14:paraId="0A147F31">
            <w:pPr>
              <w:pStyle w:val="81"/>
              <w:rPr>
                <w:rFonts w:eastAsia="Times New Roman"/>
                <w:color w:val="auto"/>
              </w:rPr>
            </w:pPr>
            <w:r>
              <w:rPr>
                <w:rFonts w:hint="eastAsia" w:eastAsia="Times New Roman"/>
                <w:color w:val="auto"/>
                <w:spacing w:val="4"/>
              </w:rPr>
              <w:t>条</w:t>
            </w:r>
          </w:p>
        </w:tc>
        <w:tc>
          <w:tcPr>
            <w:tcW w:w="1296" w:type="pct"/>
            <w:vAlign w:val="center"/>
          </w:tcPr>
          <w:p w14:paraId="773D1741">
            <w:pPr>
              <w:pStyle w:val="81"/>
              <w:rPr>
                <w:rFonts w:eastAsia="Times New Roman" w:cs="Arial"/>
                <w:color w:val="auto"/>
              </w:rPr>
            </w:pPr>
          </w:p>
        </w:tc>
        <w:tc>
          <w:tcPr>
            <w:tcW w:w="325" w:type="pct"/>
            <w:vAlign w:val="center"/>
          </w:tcPr>
          <w:p w14:paraId="31639A7C">
            <w:pPr>
              <w:pStyle w:val="81"/>
              <w:rPr>
                <w:rFonts w:eastAsia="Times New Roman"/>
                <w:color w:val="auto"/>
              </w:rPr>
            </w:pPr>
            <w:r>
              <w:rPr>
                <w:rFonts w:eastAsia="Times New Roman"/>
                <w:color w:val="auto"/>
                <w:spacing w:val="-7"/>
              </w:rPr>
              <w:t>50</w:t>
            </w:r>
          </w:p>
        </w:tc>
        <w:tc>
          <w:tcPr>
            <w:tcW w:w="1264" w:type="pct"/>
            <w:vAlign w:val="center"/>
          </w:tcPr>
          <w:p w14:paraId="53E74762">
            <w:pPr>
              <w:pStyle w:val="81"/>
              <w:rPr>
                <w:rFonts w:eastAsia="Times New Roman"/>
                <w:color w:val="auto"/>
              </w:rPr>
            </w:pPr>
            <w:r>
              <w:rPr>
                <w:rFonts w:hint="eastAsia" w:eastAsia="Times New Roman"/>
                <w:color w:val="auto"/>
                <w:spacing w:val="8"/>
              </w:rPr>
              <w:t>高青管理区应急库房</w:t>
            </w:r>
          </w:p>
        </w:tc>
      </w:tr>
      <w:tr w14:paraId="67EB8F80">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50C6A3E">
            <w:pPr>
              <w:pStyle w:val="81"/>
              <w:rPr>
                <w:rFonts w:eastAsia="Times New Roman" w:cs="Arial"/>
                <w:color w:val="auto"/>
              </w:rPr>
            </w:pPr>
            <w:r>
              <w:rPr>
                <w:rFonts w:eastAsia="Times New Roman"/>
                <w:color w:val="auto"/>
                <w:spacing w:val="-7"/>
              </w:rPr>
              <w:t>51</w:t>
            </w:r>
          </w:p>
        </w:tc>
        <w:tc>
          <w:tcPr>
            <w:tcW w:w="1269" w:type="pct"/>
            <w:vAlign w:val="center"/>
          </w:tcPr>
          <w:p w14:paraId="62BC9C0D">
            <w:pPr>
              <w:pStyle w:val="81"/>
              <w:rPr>
                <w:rFonts w:eastAsia="Times New Roman"/>
                <w:color w:val="auto"/>
              </w:rPr>
            </w:pPr>
            <w:r>
              <w:rPr>
                <w:rFonts w:hint="eastAsia" w:eastAsia="Times New Roman"/>
                <w:color w:val="auto"/>
                <w:spacing w:val="4"/>
              </w:rPr>
              <w:t>大锤</w:t>
            </w:r>
          </w:p>
        </w:tc>
        <w:tc>
          <w:tcPr>
            <w:tcW w:w="437" w:type="pct"/>
            <w:vAlign w:val="center"/>
          </w:tcPr>
          <w:p w14:paraId="67FFA925">
            <w:pPr>
              <w:pStyle w:val="81"/>
              <w:rPr>
                <w:rFonts w:eastAsia="Times New Roman"/>
                <w:color w:val="auto"/>
              </w:rPr>
            </w:pPr>
            <w:r>
              <w:rPr>
                <w:rFonts w:hint="eastAsia" w:eastAsia="Times New Roman"/>
                <w:color w:val="auto"/>
                <w:spacing w:val="4"/>
              </w:rPr>
              <w:t>把</w:t>
            </w:r>
          </w:p>
        </w:tc>
        <w:tc>
          <w:tcPr>
            <w:tcW w:w="1296" w:type="pct"/>
            <w:vAlign w:val="center"/>
          </w:tcPr>
          <w:p w14:paraId="1374A49C">
            <w:pPr>
              <w:pStyle w:val="81"/>
              <w:rPr>
                <w:rFonts w:eastAsia="Times New Roman" w:cs="Arial"/>
                <w:color w:val="auto"/>
              </w:rPr>
            </w:pPr>
          </w:p>
        </w:tc>
        <w:tc>
          <w:tcPr>
            <w:tcW w:w="325" w:type="pct"/>
            <w:vAlign w:val="center"/>
          </w:tcPr>
          <w:p w14:paraId="16A72190">
            <w:pPr>
              <w:pStyle w:val="81"/>
              <w:rPr>
                <w:rFonts w:eastAsia="Times New Roman"/>
                <w:color w:val="auto"/>
              </w:rPr>
            </w:pPr>
            <w:r>
              <w:rPr>
                <w:rFonts w:eastAsia="Times New Roman"/>
                <w:color w:val="auto"/>
              </w:rPr>
              <w:t>5</w:t>
            </w:r>
          </w:p>
        </w:tc>
        <w:tc>
          <w:tcPr>
            <w:tcW w:w="1264" w:type="pct"/>
            <w:vAlign w:val="center"/>
          </w:tcPr>
          <w:p w14:paraId="20A3EDCD">
            <w:pPr>
              <w:pStyle w:val="81"/>
              <w:rPr>
                <w:rFonts w:eastAsia="Times New Roman"/>
                <w:color w:val="auto"/>
              </w:rPr>
            </w:pPr>
            <w:r>
              <w:rPr>
                <w:rFonts w:hint="eastAsia" w:eastAsia="Times New Roman"/>
                <w:color w:val="auto"/>
                <w:spacing w:val="8"/>
              </w:rPr>
              <w:t>高青管理区应急库房</w:t>
            </w:r>
          </w:p>
        </w:tc>
      </w:tr>
      <w:tr w14:paraId="6EB898F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D3FE334">
            <w:pPr>
              <w:pStyle w:val="81"/>
              <w:rPr>
                <w:rFonts w:eastAsia="Times New Roman" w:cs="Arial"/>
                <w:color w:val="auto"/>
              </w:rPr>
            </w:pPr>
            <w:r>
              <w:rPr>
                <w:rFonts w:eastAsia="Times New Roman"/>
                <w:color w:val="auto"/>
                <w:spacing w:val="-7"/>
              </w:rPr>
              <w:t>52</w:t>
            </w:r>
          </w:p>
        </w:tc>
        <w:tc>
          <w:tcPr>
            <w:tcW w:w="1269" w:type="pct"/>
            <w:vAlign w:val="center"/>
          </w:tcPr>
          <w:p w14:paraId="7520177D">
            <w:pPr>
              <w:pStyle w:val="81"/>
              <w:rPr>
                <w:rFonts w:eastAsia="Times New Roman"/>
                <w:color w:val="auto"/>
              </w:rPr>
            </w:pPr>
            <w:r>
              <w:rPr>
                <w:rFonts w:hint="eastAsia" w:eastAsia="Times New Roman"/>
                <w:color w:val="auto"/>
                <w:spacing w:val="8"/>
              </w:rPr>
              <w:t>安全帽专用灯</w:t>
            </w:r>
          </w:p>
        </w:tc>
        <w:tc>
          <w:tcPr>
            <w:tcW w:w="437" w:type="pct"/>
            <w:vAlign w:val="center"/>
          </w:tcPr>
          <w:p w14:paraId="21243F6E">
            <w:pPr>
              <w:pStyle w:val="81"/>
              <w:rPr>
                <w:rFonts w:eastAsia="Times New Roman"/>
                <w:color w:val="auto"/>
              </w:rPr>
            </w:pPr>
            <w:r>
              <w:rPr>
                <w:rFonts w:hint="eastAsia" w:eastAsia="Times New Roman"/>
                <w:color w:val="auto"/>
              </w:rPr>
              <w:t>个</w:t>
            </w:r>
          </w:p>
        </w:tc>
        <w:tc>
          <w:tcPr>
            <w:tcW w:w="1296" w:type="pct"/>
            <w:vAlign w:val="center"/>
          </w:tcPr>
          <w:p w14:paraId="0C26ADDF">
            <w:pPr>
              <w:pStyle w:val="81"/>
              <w:rPr>
                <w:rFonts w:eastAsia="Times New Roman" w:cs="Arial"/>
                <w:color w:val="auto"/>
              </w:rPr>
            </w:pPr>
          </w:p>
        </w:tc>
        <w:tc>
          <w:tcPr>
            <w:tcW w:w="325" w:type="pct"/>
            <w:vAlign w:val="center"/>
          </w:tcPr>
          <w:p w14:paraId="6631BDE6">
            <w:pPr>
              <w:pStyle w:val="81"/>
              <w:rPr>
                <w:rFonts w:eastAsia="Times New Roman"/>
                <w:color w:val="auto"/>
              </w:rPr>
            </w:pPr>
            <w:r>
              <w:rPr>
                <w:rFonts w:eastAsia="Times New Roman"/>
                <w:color w:val="auto"/>
              </w:rPr>
              <w:t>4</w:t>
            </w:r>
          </w:p>
        </w:tc>
        <w:tc>
          <w:tcPr>
            <w:tcW w:w="1264" w:type="pct"/>
            <w:vAlign w:val="center"/>
          </w:tcPr>
          <w:p w14:paraId="2A0C4484">
            <w:pPr>
              <w:pStyle w:val="81"/>
              <w:rPr>
                <w:rFonts w:eastAsia="Times New Roman"/>
                <w:color w:val="auto"/>
              </w:rPr>
            </w:pPr>
            <w:r>
              <w:rPr>
                <w:rFonts w:hint="eastAsia" w:eastAsia="Times New Roman"/>
                <w:color w:val="auto"/>
                <w:spacing w:val="8"/>
              </w:rPr>
              <w:t>高青管理区应急库房</w:t>
            </w:r>
          </w:p>
        </w:tc>
      </w:tr>
      <w:tr w14:paraId="64DF1E2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5A3E6785">
            <w:pPr>
              <w:pStyle w:val="81"/>
              <w:rPr>
                <w:rFonts w:eastAsia="Times New Roman" w:cs="Arial"/>
                <w:color w:val="auto"/>
              </w:rPr>
            </w:pPr>
            <w:r>
              <w:rPr>
                <w:rFonts w:eastAsia="Times New Roman"/>
                <w:color w:val="auto"/>
                <w:spacing w:val="-7"/>
              </w:rPr>
              <w:t>53</w:t>
            </w:r>
          </w:p>
        </w:tc>
        <w:tc>
          <w:tcPr>
            <w:tcW w:w="1269" w:type="pct"/>
            <w:vAlign w:val="center"/>
          </w:tcPr>
          <w:p w14:paraId="2439BB54">
            <w:pPr>
              <w:pStyle w:val="81"/>
              <w:rPr>
                <w:rFonts w:eastAsia="Times New Roman"/>
                <w:color w:val="auto"/>
              </w:rPr>
            </w:pPr>
            <w:r>
              <w:rPr>
                <w:rFonts w:hint="eastAsia" w:eastAsia="Times New Roman"/>
                <w:color w:val="auto"/>
              </w:rPr>
              <w:t>防爆照明灯</w:t>
            </w:r>
          </w:p>
        </w:tc>
        <w:tc>
          <w:tcPr>
            <w:tcW w:w="437" w:type="pct"/>
            <w:vAlign w:val="center"/>
          </w:tcPr>
          <w:p w14:paraId="7D025127">
            <w:pPr>
              <w:pStyle w:val="81"/>
              <w:rPr>
                <w:rFonts w:eastAsia="Times New Roman"/>
                <w:color w:val="auto"/>
              </w:rPr>
            </w:pPr>
            <w:r>
              <w:rPr>
                <w:rFonts w:hint="eastAsia" w:eastAsia="Times New Roman"/>
                <w:color w:val="auto"/>
              </w:rPr>
              <w:t>个</w:t>
            </w:r>
          </w:p>
        </w:tc>
        <w:tc>
          <w:tcPr>
            <w:tcW w:w="1296" w:type="pct"/>
            <w:vAlign w:val="center"/>
          </w:tcPr>
          <w:p w14:paraId="30C31198">
            <w:pPr>
              <w:pStyle w:val="81"/>
              <w:rPr>
                <w:rFonts w:eastAsia="Times New Roman" w:cs="Arial"/>
                <w:color w:val="auto"/>
              </w:rPr>
            </w:pPr>
          </w:p>
        </w:tc>
        <w:tc>
          <w:tcPr>
            <w:tcW w:w="325" w:type="pct"/>
            <w:vAlign w:val="center"/>
          </w:tcPr>
          <w:p w14:paraId="57AC9112">
            <w:pPr>
              <w:pStyle w:val="81"/>
              <w:rPr>
                <w:rFonts w:eastAsia="Times New Roman"/>
                <w:color w:val="auto"/>
              </w:rPr>
            </w:pPr>
            <w:r>
              <w:rPr>
                <w:rFonts w:eastAsia="Times New Roman"/>
                <w:color w:val="auto"/>
                <w:spacing w:val="-11"/>
              </w:rPr>
              <w:t>10</w:t>
            </w:r>
          </w:p>
        </w:tc>
        <w:tc>
          <w:tcPr>
            <w:tcW w:w="1264" w:type="pct"/>
            <w:vAlign w:val="center"/>
          </w:tcPr>
          <w:p w14:paraId="7F2EA824">
            <w:pPr>
              <w:pStyle w:val="81"/>
              <w:rPr>
                <w:rFonts w:eastAsia="Times New Roman"/>
                <w:color w:val="auto"/>
              </w:rPr>
            </w:pPr>
            <w:r>
              <w:rPr>
                <w:rFonts w:hint="eastAsia" w:eastAsia="Times New Roman"/>
                <w:color w:val="auto"/>
                <w:spacing w:val="8"/>
              </w:rPr>
              <w:t>高青管理区应急库房</w:t>
            </w:r>
          </w:p>
        </w:tc>
      </w:tr>
      <w:tr w14:paraId="7CF88252">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052AD4D">
            <w:pPr>
              <w:pStyle w:val="81"/>
              <w:rPr>
                <w:rFonts w:eastAsia="Times New Roman" w:cs="Arial"/>
                <w:color w:val="auto"/>
              </w:rPr>
            </w:pPr>
            <w:r>
              <w:rPr>
                <w:rFonts w:eastAsia="Times New Roman"/>
                <w:color w:val="auto"/>
                <w:spacing w:val="-7"/>
              </w:rPr>
              <w:t>54</w:t>
            </w:r>
          </w:p>
        </w:tc>
        <w:tc>
          <w:tcPr>
            <w:tcW w:w="1269" w:type="pct"/>
            <w:vAlign w:val="center"/>
          </w:tcPr>
          <w:p w14:paraId="2DFC49DB">
            <w:pPr>
              <w:pStyle w:val="81"/>
              <w:rPr>
                <w:rFonts w:eastAsia="Times New Roman"/>
                <w:color w:val="auto"/>
              </w:rPr>
            </w:pPr>
            <w:r>
              <w:rPr>
                <w:rFonts w:hint="eastAsia" w:eastAsia="Times New Roman"/>
                <w:color w:val="auto"/>
                <w:spacing w:val="9"/>
              </w:rPr>
              <w:t>移动升降照明灯</w:t>
            </w:r>
          </w:p>
        </w:tc>
        <w:tc>
          <w:tcPr>
            <w:tcW w:w="437" w:type="pct"/>
            <w:vAlign w:val="center"/>
          </w:tcPr>
          <w:p w14:paraId="2E7984FF">
            <w:pPr>
              <w:pStyle w:val="81"/>
              <w:rPr>
                <w:rFonts w:eastAsia="Times New Roman"/>
                <w:color w:val="auto"/>
              </w:rPr>
            </w:pPr>
            <w:r>
              <w:rPr>
                <w:rFonts w:hint="eastAsia" w:eastAsia="Times New Roman"/>
                <w:color w:val="auto"/>
              </w:rPr>
              <w:t>个</w:t>
            </w:r>
          </w:p>
        </w:tc>
        <w:tc>
          <w:tcPr>
            <w:tcW w:w="1296" w:type="pct"/>
            <w:vAlign w:val="center"/>
          </w:tcPr>
          <w:p w14:paraId="235481A7">
            <w:pPr>
              <w:pStyle w:val="81"/>
              <w:rPr>
                <w:rFonts w:eastAsia="Times New Roman" w:cs="Arial"/>
                <w:color w:val="auto"/>
              </w:rPr>
            </w:pPr>
          </w:p>
        </w:tc>
        <w:tc>
          <w:tcPr>
            <w:tcW w:w="325" w:type="pct"/>
            <w:vAlign w:val="center"/>
          </w:tcPr>
          <w:p w14:paraId="0FC80F99">
            <w:pPr>
              <w:pStyle w:val="81"/>
              <w:rPr>
                <w:rFonts w:eastAsia="Times New Roman"/>
                <w:color w:val="auto"/>
              </w:rPr>
            </w:pPr>
            <w:r>
              <w:rPr>
                <w:rFonts w:eastAsia="Times New Roman"/>
                <w:color w:val="auto"/>
              </w:rPr>
              <w:t>1</w:t>
            </w:r>
          </w:p>
        </w:tc>
        <w:tc>
          <w:tcPr>
            <w:tcW w:w="1264" w:type="pct"/>
            <w:vAlign w:val="center"/>
          </w:tcPr>
          <w:p w14:paraId="34B087B2">
            <w:pPr>
              <w:pStyle w:val="81"/>
              <w:rPr>
                <w:rFonts w:eastAsia="Times New Roman"/>
                <w:color w:val="auto"/>
              </w:rPr>
            </w:pPr>
            <w:r>
              <w:rPr>
                <w:rFonts w:hint="eastAsia" w:eastAsia="Times New Roman"/>
                <w:color w:val="auto"/>
                <w:spacing w:val="8"/>
              </w:rPr>
              <w:t>高青管理区应急库房</w:t>
            </w:r>
          </w:p>
        </w:tc>
      </w:tr>
      <w:tr w14:paraId="593B82F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27C016DC">
            <w:pPr>
              <w:pStyle w:val="81"/>
              <w:rPr>
                <w:rFonts w:eastAsia="Times New Roman" w:cs="Arial"/>
                <w:color w:val="auto"/>
              </w:rPr>
            </w:pPr>
            <w:r>
              <w:rPr>
                <w:rFonts w:eastAsia="Times New Roman"/>
                <w:color w:val="auto"/>
                <w:spacing w:val="-7"/>
              </w:rPr>
              <w:t>55</w:t>
            </w:r>
          </w:p>
        </w:tc>
        <w:tc>
          <w:tcPr>
            <w:tcW w:w="1269" w:type="pct"/>
            <w:vAlign w:val="center"/>
          </w:tcPr>
          <w:p w14:paraId="552424E0">
            <w:pPr>
              <w:pStyle w:val="81"/>
              <w:rPr>
                <w:rFonts w:eastAsia="Times New Roman"/>
                <w:color w:val="auto"/>
              </w:rPr>
            </w:pPr>
            <w:r>
              <w:rPr>
                <w:rFonts w:hint="eastAsia" w:eastAsia="Times New Roman"/>
                <w:color w:val="auto"/>
                <w:spacing w:val="7"/>
              </w:rPr>
              <w:t>连体雨衣</w:t>
            </w:r>
          </w:p>
        </w:tc>
        <w:tc>
          <w:tcPr>
            <w:tcW w:w="437" w:type="pct"/>
            <w:vAlign w:val="center"/>
          </w:tcPr>
          <w:p w14:paraId="087AF5AE">
            <w:pPr>
              <w:pStyle w:val="81"/>
              <w:rPr>
                <w:rFonts w:eastAsia="Times New Roman"/>
                <w:color w:val="auto"/>
              </w:rPr>
            </w:pPr>
            <w:r>
              <w:rPr>
                <w:rFonts w:hint="eastAsia" w:eastAsia="Times New Roman"/>
                <w:color w:val="auto"/>
              </w:rPr>
              <w:t>套</w:t>
            </w:r>
          </w:p>
        </w:tc>
        <w:tc>
          <w:tcPr>
            <w:tcW w:w="1296" w:type="pct"/>
            <w:vAlign w:val="center"/>
          </w:tcPr>
          <w:p w14:paraId="235D95C3">
            <w:pPr>
              <w:pStyle w:val="81"/>
              <w:rPr>
                <w:rFonts w:eastAsia="Times New Roman" w:cs="Arial"/>
                <w:color w:val="auto"/>
              </w:rPr>
            </w:pPr>
          </w:p>
        </w:tc>
        <w:tc>
          <w:tcPr>
            <w:tcW w:w="325" w:type="pct"/>
            <w:vAlign w:val="center"/>
          </w:tcPr>
          <w:p w14:paraId="7B7DDC03">
            <w:pPr>
              <w:pStyle w:val="81"/>
              <w:rPr>
                <w:rFonts w:eastAsia="Times New Roman"/>
                <w:color w:val="auto"/>
              </w:rPr>
            </w:pPr>
            <w:r>
              <w:rPr>
                <w:rFonts w:eastAsia="Times New Roman"/>
                <w:color w:val="auto"/>
              </w:rPr>
              <w:t>1</w:t>
            </w:r>
          </w:p>
        </w:tc>
        <w:tc>
          <w:tcPr>
            <w:tcW w:w="1264" w:type="pct"/>
            <w:vAlign w:val="center"/>
          </w:tcPr>
          <w:p w14:paraId="0D17C833">
            <w:pPr>
              <w:pStyle w:val="81"/>
              <w:rPr>
                <w:rFonts w:eastAsia="Times New Roman"/>
                <w:color w:val="auto"/>
              </w:rPr>
            </w:pPr>
            <w:r>
              <w:rPr>
                <w:rFonts w:hint="eastAsia" w:eastAsia="Times New Roman"/>
                <w:color w:val="auto"/>
                <w:spacing w:val="8"/>
              </w:rPr>
              <w:t>高青管理区应急库房</w:t>
            </w:r>
          </w:p>
        </w:tc>
      </w:tr>
      <w:tr w14:paraId="4CEA2F76">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5D542068">
            <w:pPr>
              <w:pStyle w:val="81"/>
              <w:rPr>
                <w:rFonts w:eastAsia="Times New Roman" w:cs="Arial"/>
                <w:color w:val="auto"/>
              </w:rPr>
            </w:pPr>
            <w:r>
              <w:rPr>
                <w:rFonts w:eastAsia="Times New Roman"/>
                <w:color w:val="auto"/>
                <w:spacing w:val="-7"/>
              </w:rPr>
              <w:t>56</w:t>
            </w:r>
          </w:p>
        </w:tc>
        <w:tc>
          <w:tcPr>
            <w:tcW w:w="1269" w:type="pct"/>
            <w:vAlign w:val="center"/>
          </w:tcPr>
          <w:p w14:paraId="2D02CA99">
            <w:pPr>
              <w:pStyle w:val="81"/>
              <w:rPr>
                <w:rFonts w:eastAsia="Times New Roman"/>
                <w:color w:val="auto"/>
              </w:rPr>
            </w:pPr>
            <w:r>
              <w:rPr>
                <w:rFonts w:hint="eastAsia" w:eastAsia="Times New Roman"/>
                <w:color w:val="auto"/>
                <w:spacing w:val="9"/>
              </w:rPr>
              <w:t>套管四通阀门抢喷装置</w:t>
            </w:r>
          </w:p>
        </w:tc>
        <w:tc>
          <w:tcPr>
            <w:tcW w:w="437" w:type="pct"/>
            <w:vAlign w:val="center"/>
          </w:tcPr>
          <w:p w14:paraId="3AD00C3C">
            <w:pPr>
              <w:pStyle w:val="81"/>
              <w:rPr>
                <w:rFonts w:eastAsia="Times New Roman"/>
                <w:color w:val="auto"/>
              </w:rPr>
            </w:pPr>
            <w:r>
              <w:rPr>
                <w:rFonts w:hint="eastAsia" w:eastAsia="Times New Roman"/>
                <w:color w:val="auto"/>
              </w:rPr>
              <w:t>套</w:t>
            </w:r>
          </w:p>
        </w:tc>
        <w:tc>
          <w:tcPr>
            <w:tcW w:w="1296" w:type="pct"/>
            <w:vAlign w:val="center"/>
          </w:tcPr>
          <w:p w14:paraId="4BEE3CD4">
            <w:pPr>
              <w:pStyle w:val="81"/>
              <w:rPr>
                <w:rFonts w:eastAsia="Times New Roman" w:cs="Arial"/>
                <w:color w:val="auto"/>
              </w:rPr>
            </w:pPr>
            <w:r>
              <w:rPr>
                <w:rFonts w:eastAsia="Times New Roman"/>
                <w:color w:val="auto"/>
                <w:spacing w:val="-7"/>
              </w:rPr>
              <w:t>QPST/65-25S</w:t>
            </w:r>
          </w:p>
        </w:tc>
        <w:tc>
          <w:tcPr>
            <w:tcW w:w="325" w:type="pct"/>
            <w:vAlign w:val="center"/>
          </w:tcPr>
          <w:p w14:paraId="5DAF67C8">
            <w:pPr>
              <w:pStyle w:val="81"/>
              <w:rPr>
                <w:rFonts w:eastAsia="Times New Roman"/>
                <w:color w:val="auto"/>
              </w:rPr>
            </w:pPr>
            <w:r>
              <w:rPr>
                <w:rFonts w:eastAsia="Times New Roman"/>
                <w:color w:val="auto"/>
              </w:rPr>
              <w:t>1</w:t>
            </w:r>
          </w:p>
        </w:tc>
        <w:tc>
          <w:tcPr>
            <w:tcW w:w="1264" w:type="pct"/>
            <w:vAlign w:val="center"/>
          </w:tcPr>
          <w:p w14:paraId="787C225F">
            <w:pPr>
              <w:pStyle w:val="81"/>
              <w:rPr>
                <w:rFonts w:eastAsia="Times New Roman"/>
                <w:color w:val="auto"/>
              </w:rPr>
            </w:pPr>
            <w:r>
              <w:rPr>
                <w:rFonts w:hint="eastAsia" w:eastAsia="Times New Roman"/>
                <w:color w:val="auto"/>
                <w:spacing w:val="8"/>
              </w:rPr>
              <w:t>高青管理区应急库房</w:t>
            </w:r>
          </w:p>
        </w:tc>
      </w:tr>
      <w:tr w14:paraId="7B7C3CDA">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5C60BDC0">
            <w:pPr>
              <w:pStyle w:val="81"/>
              <w:rPr>
                <w:rFonts w:eastAsia="Times New Roman" w:cs="Arial"/>
                <w:color w:val="auto"/>
              </w:rPr>
            </w:pPr>
            <w:r>
              <w:rPr>
                <w:rFonts w:eastAsia="Times New Roman"/>
                <w:color w:val="auto"/>
                <w:spacing w:val="-7"/>
              </w:rPr>
              <w:t>57</w:t>
            </w:r>
          </w:p>
        </w:tc>
        <w:tc>
          <w:tcPr>
            <w:tcW w:w="1269" w:type="pct"/>
            <w:vAlign w:val="center"/>
          </w:tcPr>
          <w:p w14:paraId="5B9CE2D0">
            <w:pPr>
              <w:pStyle w:val="81"/>
              <w:rPr>
                <w:rFonts w:eastAsia="Times New Roman"/>
                <w:color w:val="auto"/>
              </w:rPr>
            </w:pPr>
            <w:r>
              <w:rPr>
                <w:rFonts w:hint="eastAsia" w:eastAsia="Times New Roman"/>
                <w:color w:val="auto"/>
                <w:spacing w:val="9"/>
              </w:rPr>
              <w:t>套管四通阀门抢喷装置</w:t>
            </w:r>
          </w:p>
        </w:tc>
        <w:tc>
          <w:tcPr>
            <w:tcW w:w="437" w:type="pct"/>
            <w:vAlign w:val="center"/>
          </w:tcPr>
          <w:p w14:paraId="3FDCF0E0">
            <w:pPr>
              <w:pStyle w:val="81"/>
              <w:rPr>
                <w:rFonts w:eastAsia="Times New Roman"/>
                <w:color w:val="auto"/>
              </w:rPr>
            </w:pPr>
            <w:r>
              <w:rPr>
                <w:rFonts w:hint="eastAsia" w:eastAsia="Times New Roman"/>
                <w:color w:val="auto"/>
              </w:rPr>
              <w:t>套</w:t>
            </w:r>
          </w:p>
        </w:tc>
        <w:tc>
          <w:tcPr>
            <w:tcW w:w="1296" w:type="pct"/>
            <w:vAlign w:val="center"/>
          </w:tcPr>
          <w:p w14:paraId="41A0B765">
            <w:pPr>
              <w:pStyle w:val="81"/>
              <w:rPr>
                <w:rFonts w:eastAsia="Times New Roman" w:cs="Arial"/>
                <w:color w:val="auto"/>
              </w:rPr>
            </w:pPr>
            <w:r>
              <w:rPr>
                <w:rFonts w:eastAsia="Times New Roman"/>
                <w:color w:val="auto"/>
                <w:spacing w:val="-7"/>
              </w:rPr>
              <w:t>QPST/65-25D</w:t>
            </w:r>
          </w:p>
        </w:tc>
        <w:tc>
          <w:tcPr>
            <w:tcW w:w="325" w:type="pct"/>
            <w:vAlign w:val="center"/>
          </w:tcPr>
          <w:p w14:paraId="2D23966B">
            <w:pPr>
              <w:pStyle w:val="81"/>
              <w:rPr>
                <w:rFonts w:eastAsia="Times New Roman"/>
                <w:color w:val="auto"/>
              </w:rPr>
            </w:pPr>
            <w:r>
              <w:rPr>
                <w:rFonts w:eastAsia="Times New Roman"/>
                <w:color w:val="auto"/>
              </w:rPr>
              <w:t>1</w:t>
            </w:r>
          </w:p>
        </w:tc>
        <w:tc>
          <w:tcPr>
            <w:tcW w:w="1264" w:type="pct"/>
            <w:vAlign w:val="center"/>
          </w:tcPr>
          <w:p w14:paraId="21AE74B0">
            <w:pPr>
              <w:pStyle w:val="81"/>
              <w:rPr>
                <w:rFonts w:eastAsia="Times New Roman"/>
                <w:color w:val="auto"/>
              </w:rPr>
            </w:pPr>
            <w:r>
              <w:rPr>
                <w:rFonts w:hint="eastAsia" w:eastAsia="Times New Roman"/>
                <w:color w:val="auto"/>
                <w:spacing w:val="8"/>
              </w:rPr>
              <w:t>高青管理区应急库房</w:t>
            </w:r>
          </w:p>
        </w:tc>
      </w:tr>
      <w:tr w14:paraId="1C86E8C5">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50A179FC">
            <w:pPr>
              <w:pStyle w:val="81"/>
              <w:rPr>
                <w:rFonts w:eastAsia="Times New Roman" w:cs="Arial"/>
                <w:color w:val="auto"/>
              </w:rPr>
            </w:pPr>
            <w:r>
              <w:rPr>
                <w:rFonts w:eastAsia="Times New Roman"/>
                <w:color w:val="auto"/>
                <w:spacing w:val="-7"/>
              </w:rPr>
              <w:t>58</w:t>
            </w:r>
          </w:p>
        </w:tc>
        <w:tc>
          <w:tcPr>
            <w:tcW w:w="1269" w:type="pct"/>
            <w:vAlign w:val="center"/>
          </w:tcPr>
          <w:p w14:paraId="1AA13016">
            <w:pPr>
              <w:pStyle w:val="81"/>
              <w:rPr>
                <w:rFonts w:eastAsia="Times New Roman"/>
                <w:color w:val="auto"/>
              </w:rPr>
            </w:pPr>
            <w:r>
              <w:rPr>
                <w:rFonts w:hint="eastAsia" w:eastAsia="Times New Roman"/>
                <w:color w:val="auto"/>
                <w:spacing w:val="14"/>
              </w:rPr>
              <w:t>抢喷装置</w:t>
            </w:r>
            <w:r>
              <w:rPr>
                <w:rFonts w:eastAsia="Times New Roman" w:cs="Arial"/>
                <w:color w:val="auto"/>
                <w:spacing w:val="14"/>
              </w:rPr>
              <w:t>\</w:t>
            </w:r>
            <w:r>
              <w:rPr>
                <w:rFonts w:hint="eastAsia" w:eastAsia="Times New Roman"/>
                <w:color w:val="auto"/>
                <w:spacing w:val="14"/>
              </w:rPr>
              <w:t>通用</w:t>
            </w:r>
          </w:p>
        </w:tc>
        <w:tc>
          <w:tcPr>
            <w:tcW w:w="437" w:type="pct"/>
            <w:vAlign w:val="center"/>
          </w:tcPr>
          <w:p w14:paraId="54714F9D">
            <w:pPr>
              <w:pStyle w:val="81"/>
              <w:rPr>
                <w:rFonts w:eastAsia="Times New Roman"/>
                <w:color w:val="auto"/>
              </w:rPr>
            </w:pPr>
            <w:r>
              <w:rPr>
                <w:rFonts w:hint="eastAsia" w:eastAsia="Times New Roman"/>
                <w:color w:val="auto"/>
              </w:rPr>
              <w:t>套</w:t>
            </w:r>
          </w:p>
        </w:tc>
        <w:tc>
          <w:tcPr>
            <w:tcW w:w="1296" w:type="pct"/>
            <w:vAlign w:val="center"/>
          </w:tcPr>
          <w:p w14:paraId="24A3CB3E">
            <w:pPr>
              <w:pStyle w:val="81"/>
              <w:rPr>
                <w:rFonts w:eastAsia="Times New Roman" w:cs="Arial"/>
                <w:color w:val="auto"/>
              </w:rPr>
            </w:pPr>
            <w:r>
              <w:rPr>
                <w:rFonts w:eastAsia="Times New Roman"/>
                <w:color w:val="auto"/>
                <w:spacing w:val="-10"/>
              </w:rPr>
              <w:t>HK-4F</w:t>
            </w:r>
          </w:p>
        </w:tc>
        <w:tc>
          <w:tcPr>
            <w:tcW w:w="325" w:type="pct"/>
            <w:vAlign w:val="center"/>
          </w:tcPr>
          <w:p w14:paraId="492318E9">
            <w:pPr>
              <w:pStyle w:val="81"/>
              <w:rPr>
                <w:rFonts w:eastAsia="Times New Roman"/>
                <w:color w:val="auto"/>
              </w:rPr>
            </w:pPr>
            <w:r>
              <w:rPr>
                <w:rFonts w:eastAsia="Times New Roman"/>
                <w:color w:val="auto"/>
              </w:rPr>
              <w:t>1</w:t>
            </w:r>
          </w:p>
        </w:tc>
        <w:tc>
          <w:tcPr>
            <w:tcW w:w="1264" w:type="pct"/>
            <w:vAlign w:val="center"/>
          </w:tcPr>
          <w:p w14:paraId="3DA7FB78">
            <w:pPr>
              <w:pStyle w:val="81"/>
              <w:rPr>
                <w:rFonts w:eastAsia="Times New Roman"/>
                <w:color w:val="auto"/>
              </w:rPr>
            </w:pPr>
            <w:r>
              <w:rPr>
                <w:rFonts w:hint="eastAsia" w:eastAsia="Times New Roman"/>
                <w:color w:val="auto"/>
                <w:spacing w:val="8"/>
              </w:rPr>
              <w:t>高青管理区应急库房</w:t>
            </w:r>
          </w:p>
        </w:tc>
      </w:tr>
      <w:tr w14:paraId="3FDA1F70">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4B6FE508">
            <w:pPr>
              <w:pStyle w:val="81"/>
              <w:rPr>
                <w:rFonts w:eastAsia="Times New Roman" w:cs="Arial"/>
                <w:color w:val="auto"/>
              </w:rPr>
            </w:pPr>
            <w:r>
              <w:rPr>
                <w:rFonts w:eastAsia="Times New Roman"/>
                <w:color w:val="auto"/>
                <w:spacing w:val="-7"/>
              </w:rPr>
              <w:t>59</w:t>
            </w:r>
          </w:p>
        </w:tc>
        <w:tc>
          <w:tcPr>
            <w:tcW w:w="1269" w:type="pct"/>
            <w:vAlign w:val="center"/>
          </w:tcPr>
          <w:p w14:paraId="735ABC5D">
            <w:pPr>
              <w:pStyle w:val="81"/>
              <w:rPr>
                <w:rFonts w:eastAsia="Times New Roman"/>
                <w:color w:val="auto"/>
              </w:rPr>
            </w:pPr>
            <w:r>
              <w:rPr>
                <w:rFonts w:hint="eastAsia" w:eastAsia="Times New Roman"/>
                <w:color w:val="auto"/>
                <w:spacing w:val="14"/>
              </w:rPr>
              <w:t>抢喷装置</w:t>
            </w:r>
            <w:r>
              <w:rPr>
                <w:rFonts w:eastAsia="Times New Roman" w:cs="Arial"/>
                <w:color w:val="auto"/>
                <w:spacing w:val="14"/>
              </w:rPr>
              <w:t>\</w:t>
            </w:r>
            <w:r>
              <w:rPr>
                <w:rFonts w:hint="eastAsia" w:eastAsia="Times New Roman"/>
                <w:color w:val="auto"/>
                <w:spacing w:val="14"/>
              </w:rPr>
              <w:t>通用</w:t>
            </w:r>
          </w:p>
        </w:tc>
        <w:tc>
          <w:tcPr>
            <w:tcW w:w="437" w:type="pct"/>
            <w:vAlign w:val="center"/>
          </w:tcPr>
          <w:p w14:paraId="5B10AF5C">
            <w:pPr>
              <w:pStyle w:val="81"/>
              <w:rPr>
                <w:rFonts w:eastAsia="Times New Roman"/>
                <w:color w:val="auto"/>
              </w:rPr>
            </w:pPr>
            <w:r>
              <w:rPr>
                <w:rFonts w:hint="eastAsia" w:eastAsia="Times New Roman"/>
                <w:color w:val="auto"/>
              </w:rPr>
              <w:t>套</w:t>
            </w:r>
          </w:p>
        </w:tc>
        <w:tc>
          <w:tcPr>
            <w:tcW w:w="1296" w:type="pct"/>
            <w:vAlign w:val="center"/>
          </w:tcPr>
          <w:p w14:paraId="42DB1857">
            <w:pPr>
              <w:pStyle w:val="81"/>
              <w:rPr>
                <w:rFonts w:eastAsia="Times New Roman" w:cs="Arial"/>
                <w:color w:val="auto"/>
              </w:rPr>
            </w:pPr>
            <w:r>
              <w:rPr>
                <w:rFonts w:eastAsia="Times New Roman"/>
                <w:color w:val="auto"/>
                <w:spacing w:val="-10"/>
              </w:rPr>
              <w:t>HK-4A</w:t>
            </w:r>
          </w:p>
        </w:tc>
        <w:tc>
          <w:tcPr>
            <w:tcW w:w="325" w:type="pct"/>
            <w:vAlign w:val="center"/>
          </w:tcPr>
          <w:p w14:paraId="4481AD35">
            <w:pPr>
              <w:pStyle w:val="81"/>
              <w:rPr>
                <w:rFonts w:eastAsia="Times New Roman"/>
                <w:color w:val="auto"/>
              </w:rPr>
            </w:pPr>
            <w:r>
              <w:rPr>
                <w:rFonts w:eastAsia="Times New Roman"/>
                <w:color w:val="auto"/>
              </w:rPr>
              <w:t>1</w:t>
            </w:r>
          </w:p>
        </w:tc>
        <w:tc>
          <w:tcPr>
            <w:tcW w:w="1264" w:type="pct"/>
            <w:vAlign w:val="center"/>
          </w:tcPr>
          <w:p w14:paraId="7132A142">
            <w:pPr>
              <w:pStyle w:val="81"/>
              <w:rPr>
                <w:rFonts w:eastAsia="Times New Roman"/>
                <w:color w:val="auto"/>
              </w:rPr>
            </w:pPr>
            <w:r>
              <w:rPr>
                <w:rFonts w:hint="eastAsia" w:eastAsia="Times New Roman"/>
                <w:color w:val="auto"/>
                <w:spacing w:val="8"/>
              </w:rPr>
              <w:t>高青管理区应急库房</w:t>
            </w:r>
          </w:p>
        </w:tc>
      </w:tr>
      <w:tr w14:paraId="4658A4C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330CF168">
            <w:pPr>
              <w:pStyle w:val="81"/>
              <w:rPr>
                <w:rFonts w:eastAsia="Times New Roman" w:cs="Arial"/>
                <w:color w:val="auto"/>
              </w:rPr>
            </w:pPr>
            <w:r>
              <w:rPr>
                <w:rFonts w:eastAsia="Times New Roman"/>
                <w:color w:val="auto"/>
                <w:spacing w:val="-10"/>
              </w:rPr>
              <w:t>60</w:t>
            </w:r>
          </w:p>
        </w:tc>
        <w:tc>
          <w:tcPr>
            <w:tcW w:w="1269" w:type="pct"/>
            <w:vAlign w:val="center"/>
          </w:tcPr>
          <w:p w14:paraId="347E2B53">
            <w:pPr>
              <w:pStyle w:val="81"/>
              <w:rPr>
                <w:rFonts w:eastAsia="Times New Roman"/>
                <w:color w:val="auto"/>
              </w:rPr>
            </w:pPr>
            <w:r>
              <w:rPr>
                <w:rFonts w:hint="eastAsia" w:eastAsia="Times New Roman"/>
                <w:color w:val="auto"/>
                <w:spacing w:val="14"/>
              </w:rPr>
              <w:t>抢喷装置</w:t>
            </w:r>
            <w:r>
              <w:rPr>
                <w:rFonts w:eastAsia="Times New Roman" w:cs="Arial"/>
                <w:color w:val="auto"/>
                <w:spacing w:val="14"/>
              </w:rPr>
              <w:t>\</w:t>
            </w:r>
            <w:r>
              <w:rPr>
                <w:rFonts w:hint="eastAsia" w:eastAsia="Times New Roman"/>
                <w:color w:val="auto"/>
                <w:spacing w:val="14"/>
              </w:rPr>
              <w:t>通用</w:t>
            </w:r>
          </w:p>
        </w:tc>
        <w:tc>
          <w:tcPr>
            <w:tcW w:w="437" w:type="pct"/>
            <w:vAlign w:val="center"/>
          </w:tcPr>
          <w:p w14:paraId="21E394AA">
            <w:pPr>
              <w:pStyle w:val="81"/>
              <w:rPr>
                <w:rFonts w:eastAsia="Times New Roman"/>
                <w:color w:val="auto"/>
              </w:rPr>
            </w:pPr>
            <w:r>
              <w:rPr>
                <w:rFonts w:hint="eastAsia" w:eastAsia="Times New Roman"/>
                <w:color w:val="auto"/>
              </w:rPr>
              <w:t>套</w:t>
            </w:r>
          </w:p>
        </w:tc>
        <w:tc>
          <w:tcPr>
            <w:tcW w:w="1296" w:type="pct"/>
            <w:vAlign w:val="center"/>
          </w:tcPr>
          <w:p w14:paraId="03804E64">
            <w:pPr>
              <w:pStyle w:val="81"/>
              <w:rPr>
                <w:rFonts w:eastAsia="Times New Roman" w:cs="Arial"/>
                <w:color w:val="auto"/>
              </w:rPr>
            </w:pPr>
            <w:r>
              <w:rPr>
                <w:rFonts w:eastAsia="Times New Roman"/>
                <w:color w:val="auto"/>
                <w:spacing w:val="-10"/>
              </w:rPr>
              <w:t>HK-4D</w:t>
            </w:r>
          </w:p>
        </w:tc>
        <w:tc>
          <w:tcPr>
            <w:tcW w:w="325" w:type="pct"/>
            <w:vAlign w:val="center"/>
          </w:tcPr>
          <w:p w14:paraId="2682B5CE">
            <w:pPr>
              <w:pStyle w:val="81"/>
              <w:rPr>
                <w:rFonts w:eastAsia="Times New Roman"/>
                <w:color w:val="auto"/>
              </w:rPr>
            </w:pPr>
            <w:r>
              <w:rPr>
                <w:rFonts w:eastAsia="Times New Roman"/>
                <w:color w:val="auto"/>
              </w:rPr>
              <w:t>1</w:t>
            </w:r>
          </w:p>
        </w:tc>
        <w:tc>
          <w:tcPr>
            <w:tcW w:w="1264" w:type="pct"/>
            <w:vAlign w:val="center"/>
          </w:tcPr>
          <w:p w14:paraId="37943183">
            <w:pPr>
              <w:pStyle w:val="81"/>
              <w:rPr>
                <w:rFonts w:eastAsia="Times New Roman"/>
                <w:color w:val="auto"/>
              </w:rPr>
            </w:pPr>
            <w:r>
              <w:rPr>
                <w:rFonts w:hint="eastAsia" w:eastAsia="Times New Roman"/>
                <w:color w:val="auto"/>
                <w:spacing w:val="8"/>
              </w:rPr>
              <w:t>高青管理区应急库房</w:t>
            </w:r>
          </w:p>
        </w:tc>
      </w:tr>
      <w:tr w14:paraId="4CB2014F">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6D9EB74D">
            <w:pPr>
              <w:pStyle w:val="81"/>
              <w:rPr>
                <w:rFonts w:eastAsia="Times New Roman" w:cs="Arial"/>
                <w:color w:val="auto"/>
              </w:rPr>
            </w:pPr>
            <w:r>
              <w:rPr>
                <w:rFonts w:eastAsia="Times New Roman"/>
                <w:color w:val="auto"/>
                <w:spacing w:val="-10"/>
              </w:rPr>
              <w:t>61</w:t>
            </w:r>
          </w:p>
        </w:tc>
        <w:tc>
          <w:tcPr>
            <w:tcW w:w="1269" w:type="pct"/>
            <w:vAlign w:val="center"/>
          </w:tcPr>
          <w:p w14:paraId="2F5B78B0">
            <w:pPr>
              <w:pStyle w:val="81"/>
              <w:rPr>
                <w:rFonts w:eastAsia="Times New Roman"/>
                <w:color w:val="auto"/>
              </w:rPr>
            </w:pPr>
            <w:r>
              <w:rPr>
                <w:rFonts w:hint="eastAsia" w:eastAsia="Times New Roman"/>
                <w:color w:val="auto"/>
                <w:spacing w:val="4"/>
              </w:rPr>
              <w:t>防爆手电</w:t>
            </w:r>
          </w:p>
        </w:tc>
        <w:tc>
          <w:tcPr>
            <w:tcW w:w="437" w:type="pct"/>
            <w:vAlign w:val="center"/>
          </w:tcPr>
          <w:p w14:paraId="37F44884">
            <w:pPr>
              <w:pStyle w:val="81"/>
              <w:rPr>
                <w:rFonts w:eastAsia="Times New Roman"/>
                <w:color w:val="auto"/>
              </w:rPr>
            </w:pPr>
            <w:r>
              <w:rPr>
                <w:rFonts w:hint="eastAsia" w:eastAsia="Times New Roman"/>
                <w:color w:val="auto"/>
              </w:rPr>
              <w:t>个</w:t>
            </w:r>
          </w:p>
        </w:tc>
        <w:tc>
          <w:tcPr>
            <w:tcW w:w="1296" w:type="pct"/>
            <w:vAlign w:val="center"/>
          </w:tcPr>
          <w:p w14:paraId="279CDDBC">
            <w:pPr>
              <w:pStyle w:val="81"/>
              <w:rPr>
                <w:rFonts w:eastAsia="Times New Roman" w:cs="Arial"/>
                <w:color w:val="auto"/>
              </w:rPr>
            </w:pPr>
          </w:p>
        </w:tc>
        <w:tc>
          <w:tcPr>
            <w:tcW w:w="325" w:type="pct"/>
            <w:vAlign w:val="center"/>
          </w:tcPr>
          <w:p w14:paraId="7BFCE9ED">
            <w:pPr>
              <w:pStyle w:val="81"/>
              <w:rPr>
                <w:rFonts w:eastAsia="Times New Roman"/>
                <w:color w:val="auto"/>
              </w:rPr>
            </w:pPr>
            <w:r>
              <w:rPr>
                <w:rFonts w:eastAsia="Times New Roman"/>
                <w:color w:val="auto"/>
              </w:rPr>
              <w:t>2</w:t>
            </w:r>
          </w:p>
        </w:tc>
        <w:tc>
          <w:tcPr>
            <w:tcW w:w="1264" w:type="pct"/>
            <w:vAlign w:val="center"/>
          </w:tcPr>
          <w:p w14:paraId="10717C29">
            <w:pPr>
              <w:pStyle w:val="81"/>
              <w:rPr>
                <w:rFonts w:eastAsia="Times New Roman"/>
                <w:color w:val="auto"/>
              </w:rPr>
            </w:pPr>
            <w:r>
              <w:rPr>
                <w:rFonts w:hint="eastAsia" w:eastAsia="Times New Roman"/>
                <w:color w:val="auto"/>
                <w:spacing w:val="8"/>
              </w:rPr>
              <w:t>高青管理区应急库房</w:t>
            </w:r>
          </w:p>
        </w:tc>
      </w:tr>
      <w:tr w14:paraId="6464E928">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48570973">
            <w:pPr>
              <w:pStyle w:val="81"/>
              <w:rPr>
                <w:rFonts w:eastAsia="Times New Roman" w:cs="Arial"/>
                <w:color w:val="auto"/>
              </w:rPr>
            </w:pPr>
            <w:r>
              <w:rPr>
                <w:rFonts w:eastAsia="Times New Roman"/>
                <w:color w:val="auto"/>
                <w:spacing w:val="-10"/>
              </w:rPr>
              <w:t>62</w:t>
            </w:r>
          </w:p>
        </w:tc>
        <w:tc>
          <w:tcPr>
            <w:tcW w:w="1269" w:type="pct"/>
            <w:vAlign w:val="center"/>
          </w:tcPr>
          <w:p w14:paraId="2A7FFC5C">
            <w:pPr>
              <w:pStyle w:val="81"/>
              <w:rPr>
                <w:rFonts w:eastAsia="Times New Roman"/>
                <w:color w:val="auto"/>
              </w:rPr>
            </w:pPr>
            <w:r>
              <w:rPr>
                <w:rFonts w:hint="eastAsia" w:eastAsia="Times New Roman"/>
                <w:color w:val="auto"/>
                <w:spacing w:val="9"/>
              </w:rPr>
              <w:t>正压式消防空气呼吸器</w:t>
            </w:r>
          </w:p>
        </w:tc>
        <w:tc>
          <w:tcPr>
            <w:tcW w:w="437" w:type="pct"/>
            <w:vAlign w:val="center"/>
          </w:tcPr>
          <w:p w14:paraId="6BA95EFE">
            <w:pPr>
              <w:pStyle w:val="81"/>
              <w:rPr>
                <w:rFonts w:eastAsia="Times New Roman"/>
                <w:color w:val="auto"/>
              </w:rPr>
            </w:pPr>
            <w:r>
              <w:rPr>
                <w:rFonts w:hint="eastAsia" w:eastAsia="Times New Roman"/>
                <w:color w:val="auto"/>
              </w:rPr>
              <w:t>台</w:t>
            </w:r>
          </w:p>
        </w:tc>
        <w:tc>
          <w:tcPr>
            <w:tcW w:w="1296" w:type="pct"/>
            <w:vAlign w:val="center"/>
          </w:tcPr>
          <w:p w14:paraId="00A13C41">
            <w:pPr>
              <w:pStyle w:val="81"/>
              <w:rPr>
                <w:rFonts w:eastAsia="Times New Roman" w:cs="Arial"/>
                <w:color w:val="auto"/>
              </w:rPr>
            </w:pPr>
          </w:p>
        </w:tc>
        <w:tc>
          <w:tcPr>
            <w:tcW w:w="325" w:type="pct"/>
            <w:vAlign w:val="center"/>
          </w:tcPr>
          <w:p w14:paraId="262F3A16">
            <w:pPr>
              <w:pStyle w:val="81"/>
              <w:rPr>
                <w:rFonts w:eastAsia="Times New Roman"/>
                <w:color w:val="auto"/>
              </w:rPr>
            </w:pPr>
            <w:r>
              <w:rPr>
                <w:rFonts w:eastAsia="Times New Roman"/>
                <w:color w:val="auto"/>
              </w:rPr>
              <w:t>7</w:t>
            </w:r>
          </w:p>
        </w:tc>
        <w:tc>
          <w:tcPr>
            <w:tcW w:w="1264" w:type="pct"/>
            <w:vAlign w:val="center"/>
          </w:tcPr>
          <w:p w14:paraId="10D21669">
            <w:pPr>
              <w:pStyle w:val="81"/>
              <w:rPr>
                <w:rFonts w:eastAsia="Times New Roman"/>
                <w:color w:val="auto"/>
              </w:rPr>
            </w:pPr>
            <w:r>
              <w:rPr>
                <w:rFonts w:hint="eastAsia" w:eastAsia="Times New Roman"/>
                <w:color w:val="auto"/>
                <w:spacing w:val="8"/>
              </w:rPr>
              <w:t>高青管理区应急库房</w:t>
            </w:r>
          </w:p>
        </w:tc>
      </w:tr>
      <w:tr w14:paraId="4F6552A2">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2ED2E252">
            <w:pPr>
              <w:pStyle w:val="81"/>
              <w:rPr>
                <w:rFonts w:eastAsia="Times New Roman" w:cs="Arial"/>
                <w:color w:val="auto"/>
              </w:rPr>
            </w:pPr>
            <w:r>
              <w:rPr>
                <w:rFonts w:eastAsia="Times New Roman"/>
                <w:color w:val="auto"/>
                <w:spacing w:val="-10"/>
              </w:rPr>
              <w:t>63</w:t>
            </w:r>
          </w:p>
        </w:tc>
        <w:tc>
          <w:tcPr>
            <w:tcW w:w="1269" w:type="pct"/>
            <w:vAlign w:val="center"/>
          </w:tcPr>
          <w:p w14:paraId="21526FE5">
            <w:pPr>
              <w:pStyle w:val="81"/>
              <w:rPr>
                <w:rFonts w:eastAsia="Times New Roman"/>
                <w:color w:val="auto"/>
              </w:rPr>
            </w:pPr>
            <w:r>
              <w:rPr>
                <w:rFonts w:hint="eastAsia" w:eastAsia="Times New Roman"/>
                <w:color w:val="auto"/>
                <w:spacing w:val="9"/>
              </w:rPr>
              <w:t>手提式干粉灭火器</w:t>
            </w:r>
          </w:p>
        </w:tc>
        <w:tc>
          <w:tcPr>
            <w:tcW w:w="437" w:type="pct"/>
            <w:vAlign w:val="center"/>
          </w:tcPr>
          <w:p w14:paraId="232E5328">
            <w:pPr>
              <w:pStyle w:val="81"/>
              <w:rPr>
                <w:rFonts w:eastAsia="Times New Roman"/>
                <w:color w:val="auto"/>
              </w:rPr>
            </w:pPr>
            <w:r>
              <w:rPr>
                <w:rFonts w:hint="eastAsia" w:eastAsia="Times New Roman"/>
                <w:color w:val="auto"/>
              </w:rPr>
              <w:t>个</w:t>
            </w:r>
          </w:p>
        </w:tc>
        <w:tc>
          <w:tcPr>
            <w:tcW w:w="1296" w:type="pct"/>
            <w:vAlign w:val="center"/>
          </w:tcPr>
          <w:p w14:paraId="7C00C1DD">
            <w:pPr>
              <w:pStyle w:val="81"/>
              <w:rPr>
                <w:rFonts w:eastAsia="Times New Roman" w:cs="Arial"/>
                <w:color w:val="auto"/>
              </w:rPr>
            </w:pPr>
          </w:p>
        </w:tc>
        <w:tc>
          <w:tcPr>
            <w:tcW w:w="325" w:type="pct"/>
            <w:vAlign w:val="center"/>
          </w:tcPr>
          <w:p w14:paraId="2658636A">
            <w:pPr>
              <w:pStyle w:val="81"/>
              <w:rPr>
                <w:rFonts w:eastAsia="Times New Roman"/>
                <w:color w:val="auto"/>
              </w:rPr>
            </w:pPr>
            <w:r>
              <w:rPr>
                <w:rFonts w:eastAsia="Times New Roman"/>
                <w:color w:val="auto"/>
              </w:rPr>
              <w:t>2</w:t>
            </w:r>
          </w:p>
        </w:tc>
        <w:tc>
          <w:tcPr>
            <w:tcW w:w="1264" w:type="pct"/>
            <w:vAlign w:val="center"/>
          </w:tcPr>
          <w:p w14:paraId="384782A1">
            <w:pPr>
              <w:pStyle w:val="81"/>
              <w:rPr>
                <w:rFonts w:eastAsia="Times New Roman"/>
                <w:color w:val="auto"/>
              </w:rPr>
            </w:pPr>
            <w:r>
              <w:rPr>
                <w:rFonts w:hint="eastAsia" w:eastAsia="Times New Roman"/>
                <w:color w:val="auto"/>
                <w:spacing w:val="8"/>
              </w:rPr>
              <w:t>高青管理区应急库房</w:t>
            </w:r>
          </w:p>
        </w:tc>
      </w:tr>
      <w:tr w14:paraId="7610F5A8">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vAlign w:val="center"/>
          </w:tcPr>
          <w:p w14:paraId="2F1A88DD">
            <w:pPr>
              <w:pStyle w:val="81"/>
              <w:rPr>
                <w:rFonts w:eastAsia="Times New Roman" w:cs="Arial"/>
                <w:color w:val="auto"/>
              </w:rPr>
            </w:pPr>
            <w:r>
              <w:rPr>
                <w:rFonts w:eastAsia="Times New Roman"/>
                <w:color w:val="auto"/>
                <w:spacing w:val="-10"/>
              </w:rPr>
              <w:t>64</w:t>
            </w:r>
          </w:p>
        </w:tc>
        <w:tc>
          <w:tcPr>
            <w:tcW w:w="1269" w:type="pct"/>
            <w:vAlign w:val="center"/>
          </w:tcPr>
          <w:p w14:paraId="0FC1F389">
            <w:pPr>
              <w:pStyle w:val="81"/>
              <w:rPr>
                <w:rFonts w:eastAsia="Times New Roman"/>
                <w:color w:val="auto"/>
              </w:rPr>
            </w:pPr>
            <w:r>
              <w:rPr>
                <w:rFonts w:hint="eastAsia" w:eastAsia="Times New Roman"/>
                <w:color w:val="auto"/>
              </w:rPr>
              <w:t>防滑单手套</w:t>
            </w:r>
          </w:p>
        </w:tc>
        <w:tc>
          <w:tcPr>
            <w:tcW w:w="437" w:type="pct"/>
            <w:vAlign w:val="center"/>
          </w:tcPr>
          <w:p w14:paraId="5ECEA8D2">
            <w:pPr>
              <w:pStyle w:val="81"/>
              <w:rPr>
                <w:rFonts w:eastAsia="Times New Roman"/>
                <w:color w:val="auto"/>
              </w:rPr>
            </w:pPr>
            <w:r>
              <w:rPr>
                <w:rFonts w:hint="eastAsia" w:eastAsia="Times New Roman"/>
                <w:color w:val="auto"/>
                <w:spacing w:val="4"/>
              </w:rPr>
              <w:t>付</w:t>
            </w:r>
          </w:p>
        </w:tc>
        <w:tc>
          <w:tcPr>
            <w:tcW w:w="1296" w:type="pct"/>
            <w:vAlign w:val="center"/>
          </w:tcPr>
          <w:p w14:paraId="7BC44D91">
            <w:pPr>
              <w:pStyle w:val="81"/>
              <w:rPr>
                <w:rFonts w:eastAsia="Times New Roman" w:cs="Arial"/>
                <w:color w:val="auto"/>
              </w:rPr>
            </w:pPr>
          </w:p>
        </w:tc>
        <w:tc>
          <w:tcPr>
            <w:tcW w:w="325" w:type="pct"/>
            <w:vAlign w:val="center"/>
          </w:tcPr>
          <w:p w14:paraId="78967A4D">
            <w:pPr>
              <w:pStyle w:val="81"/>
              <w:rPr>
                <w:rFonts w:eastAsia="Times New Roman"/>
                <w:color w:val="auto"/>
              </w:rPr>
            </w:pPr>
            <w:r>
              <w:rPr>
                <w:rFonts w:eastAsia="Times New Roman"/>
                <w:color w:val="auto"/>
                <w:spacing w:val="-8"/>
              </w:rPr>
              <w:t>20</w:t>
            </w:r>
          </w:p>
        </w:tc>
        <w:tc>
          <w:tcPr>
            <w:tcW w:w="1264" w:type="pct"/>
            <w:vAlign w:val="center"/>
          </w:tcPr>
          <w:p w14:paraId="2CE50656">
            <w:pPr>
              <w:pStyle w:val="81"/>
              <w:rPr>
                <w:rFonts w:eastAsia="Times New Roman"/>
                <w:color w:val="auto"/>
              </w:rPr>
            </w:pPr>
            <w:r>
              <w:rPr>
                <w:rFonts w:hint="eastAsia" w:eastAsia="Times New Roman"/>
                <w:color w:val="auto"/>
                <w:spacing w:val="8"/>
              </w:rPr>
              <w:t>高青管理区应急库房</w:t>
            </w:r>
          </w:p>
        </w:tc>
      </w:tr>
    </w:tbl>
    <w:p w14:paraId="0EB23E9E">
      <w:pPr>
        <w:rPr>
          <w:color w:val="auto"/>
        </w:rPr>
        <w:sectPr>
          <w:pgSz w:w="11907" w:h="16839"/>
          <w:pgMar w:top="1418" w:right="1588" w:bottom="1418" w:left="1588" w:header="1134" w:footer="850" w:gutter="0"/>
          <w:cols w:space="720" w:num="1"/>
          <w:docGrid w:linePitch="312" w:charSpace="0"/>
        </w:sectPr>
      </w:pPr>
    </w:p>
    <w:p w14:paraId="152F179E">
      <w:pPr>
        <w:pStyle w:val="3"/>
        <w:rPr>
          <w:color w:val="auto"/>
        </w:rPr>
      </w:pPr>
      <w:bookmarkStart w:id="497" w:name="_Toc231283655"/>
      <w:r>
        <w:rPr>
          <w:rFonts w:hint="eastAsia"/>
          <w:color w:val="auto"/>
        </w:rPr>
        <w:t>环境管理状况调查及监测计划落实情况调查</w:t>
      </w:r>
      <w:bookmarkEnd w:id="497"/>
    </w:p>
    <w:p w14:paraId="2A6407EA">
      <w:pPr>
        <w:pStyle w:val="5"/>
        <w:ind w:left="170"/>
        <w:rPr>
          <w:rFonts w:hAnsi="黑体"/>
          <w:color w:val="auto"/>
        </w:rPr>
      </w:pPr>
      <w:bookmarkStart w:id="498" w:name="_Toc231283656"/>
      <w:bookmarkStart w:id="499" w:name="_Toc220483645"/>
      <w:bookmarkStart w:id="500" w:name="_Toc215162220"/>
      <w:bookmarkStart w:id="501" w:name="_Toc219990105"/>
      <w:r>
        <w:rPr>
          <w:rFonts w:hint="eastAsia" w:hAnsi="黑体"/>
          <w:color w:val="auto"/>
        </w:rPr>
        <w:t>“三同时”制度执行情况调查</w:t>
      </w:r>
      <w:bookmarkEnd w:id="498"/>
      <w:bookmarkEnd w:id="499"/>
      <w:bookmarkEnd w:id="500"/>
      <w:bookmarkEnd w:id="501"/>
    </w:p>
    <w:p w14:paraId="3E4460D0">
      <w:pPr>
        <w:pStyle w:val="4"/>
        <w:ind w:firstLine="480"/>
        <w:rPr>
          <w:color w:val="auto"/>
        </w:rPr>
      </w:pPr>
      <w:r>
        <w:rPr>
          <w:color w:val="auto"/>
        </w:rPr>
        <w:t>1</w:t>
      </w:r>
      <w:r>
        <w:rPr>
          <w:rFonts w:hint="eastAsia"/>
          <w:color w:val="auto"/>
        </w:rPr>
        <w:t>）20</w:t>
      </w:r>
      <w:r>
        <w:rPr>
          <w:color w:val="auto"/>
        </w:rPr>
        <w:t>24</w:t>
      </w:r>
      <w:r>
        <w:rPr>
          <w:rFonts w:hint="eastAsia"/>
          <w:color w:val="auto"/>
        </w:rPr>
        <w:t>年</w:t>
      </w:r>
      <w:r>
        <w:rPr>
          <w:color w:val="auto"/>
        </w:rPr>
        <w:t>5</w:t>
      </w:r>
      <w:r>
        <w:rPr>
          <w:rFonts w:hint="eastAsia"/>
          <w:color w:val="auto"/>
        </w:rPr>
        <w:t>月，森诺科技有限公司编制完成《大芦湖油田产能建设项目（2023-2025年）环境影响报告书》；</w:t>
      </w:r>
    </w:p>
    <w:p w14:paraId="0E3FF04C">
      <w:pPr>
        <w:pStyle w:val="4"/>
        <w:ind w:firstLine="480"/>
        <w:rPr>
          <w:color w:val="auto"/>
        </w:rPr>
      </w:pPr>
      <w:r>
        <w:rPr>
          <w:color w:val="auto"/>
        </w:rPr>
        <w:t>2</w:t>
      </w:r>
      <w:r>
        <w:rPr>
          <w:rFonts w:hint="eastAsia"/>
          <w:color w:val="auto"/>
        </w:rPr>
        <w:t>）20</w:t>
      </w:r>
      <w:r>
        <w:rPr>
          <w:color w:val="auto"/>
        </w:rPr>
        <w:t>24</w:t>
      </w:r>
      <w:r>
        <w:rPr>
          <w:rFonts w:hint="eastAsia"/>
          <w:color w:val="auto"/>
        </w:rPr>
        <w:t>年</w:t>
      </w:r>
      <w:r>
        <w:rPr>
          <w:color w:val="auto"/>
        </w:rPr>
        <w:t>5</w:t>
      </w:r>
      <w:r>
        <w:rPr>
          <w:rFonts w:hint="eastAsia"/>
          <w:color w:val="auto"/>
        </w:rPr>
        <w:t>月</w:t>
      </w:r>
      <w:r>
        <w:rPr>
          <w:color w:val="auto"/>
        </w:rPr>
        <w:t>27</w:t>
      </w:r>
      <w:r>
        <w:rPr>
          <w:rFonts w:hint="eastAsia"/>
          <w:color w:val="auto"/>
        </w:rPr>
        <w:t>日，淄博市生态环境局高青分局以“高环审[20</w:t>
      </w:r>
      <w:r>
        <w:rPr>
          <w:color w:val="auto"/>
        </w:rPr>
        <w:t>24</w:t>
      </w:r>
      <w:r>
        <w:rPr>
          <w:rFonts w:hint="eastAsia"/>
          <w:color w:val="auto"/>
        </w:rPr>
        <w:t>]</w:t>
      </w:r>
      <w:r>
        <w:rPr>
          <w:color w:val="auto"/>
        </w:rPr>
        <w:t>12</w:t>
      </w:r>
      <w:r>
        <w:rPr>
          <w:rFonts w:hint="eastAsia"/>
          <w:color w:val="auto"/>
        </w:rPr>
        <w:t>号”文对本项目环境影响报告书予以批复；</w:t>
      </w:r>
    </w:p>
    <w:p w14:paraId="537E7995">
      <w:pPr>
        <w:pStyle w:val="4"/>
        <w:ind w:firstLine="480"/>
        <w:rPr>
          <w:color w:val="auto"/>
        </w:rPr>
      </w:pPr>
      <w:r>
        <w:rPr>
          <w:color w:val="auto"/>
        </w:rPr>
        <w:t>3) 2024年9</w:t>
      </w:r>
      <w:r>
        <w:rPr>
          <w:rFonts w:hint="eastAsia"/>
          <w:color w:val="auto"/>
        </w:rPr>
        <w:t>月</w:t>
      </w:r>
      <w:r>
        <w:rPr>
          <w:color w:val="auto"/>
        </w:rPr>
        <w:t>3</w:t>
      </w:r>
      <w:r>
        <w:rPr>
          <w:rFonts w:hint="eastAsia"/>
          <w:color w:val="auto"/>
        </w:rPr>
        <w:t>日，本期工程开工建设，施工单位主要为胜利石油工程有限公司黄河钻井总公司、胜利油田长城钻井技术有限责任公司；</w:t>
      </w:r>
    </w:p>
    <w:p w14:paraId="5096B37A">
      <w:pPr>
        <w:pStyle w:val="4"/>
        <w:ind w:firstLine="480"/>
        <w:rPr>
          <w:color w:val="auto"/>
        </w:rPr>
      </w:pPr>
      <w:r>
        <w:rPr>
          <w:rFonts w:hint="eastAsia"/>
          <w:color w:val="auto"/>
        </w:rPr>
        <w:t>4）2</w:t>
      </w:r>
      <w:r>
        <w:rPr>
          <w:color w:val="auto"/>
        </w:rPr>
        <w:t>025年12</w:t>
      </w:r>
      <w:r>
        <w:rPr>
          <w:rFonts w:hint="eastAsia"/>
          <w:color w:val="auto"/>
        </w:rPr>
        <w:t>月</w:t>
      </w:r>
      <w:r>
        <w:rPr>
          <w:color w:val="auto"/>
        </w:rPr>
        <w:t>29日，</w:t>
      </w:r>
      <w:r>
        <w:rPr>
          <w:rFonts w:hint="eastAsia"/>
          <w:color w:val="auto"/>
        </w:rPr>
        <w:t>本期工程竣工；</w:t>
      </w:r>
      <w:r>
        <w:rPr>
          <w:color w:val="auto"/>
        </w:rPr>
        <w:t>202</w:t>
      </w:r>
      <w:r>
        <w:rPr>
          <w:rFonts w:hint="eastAsia"/>
          <w:color w:val="auto"/>
        </w:rPr>
        <w:t>6</w:t>
      </w:r>
      <w:r>
        <w:rPr>
          <w:color w:val="auto"/>
        </w:rPr>
        <w:t>年</w:t>
      </w:r>
      <w:r>
        <w:rPr>
          <w:rFonts w:hint="eastAsia"/>
          <w:color w:val="auto"/>
        </w:rPr>
        <w:t>1</w:t>
      </w:r>
      <w:r>
        <w:rPr>
          <w:color w:val="auto"/>
        </w:rPr>
        <w:t>月</w:t>
      </w:r>
      <w:r>
        <w:rPr>
          <w:rFonts w:hint="eastAsia"/>
          <w:color w:val="auto"/>
        </w:rPr>
        <w:t>5</w:t>
      </w:r>
      <w:r>
        <w:rPr>
          <w:color w:val="auto"/>
        </w:rPr>
        <w:t>日，</w:t>
      </w:r>
      <w:r>
        <w:rPr>
          <w:rFonts w:hint="eastAsia"/>
          <w:color w:val="auto"/>
        </w:rPr>
        <w:t>高青公司</w:t>
      </w:r>
      <w:r>
        <w:rPr>
          <w:color w:val="auto"/>
        </w:rPr>
        <w:t>进行了自查，项目具备竣工环保验收条件</w:t>
      </w:r>
    </w:p>
    <w:p w14:paraId="0C39A612">
      <w:pPr>
        <w:pStyle w:val="4"/>
        <w:ind w:firstLine="480"/>
        <w:rPr>
          <w:color w:val="auto"/>
        </w:rPr>
      </w:pPr>
      <w:r>
        <w:rPr>
          <w:rFonts w:hint="eastAsia"/>
          <w:color w:val="auto"/>
        </w:rPr>
        <w:t>综上，本期工程履行了相关环境保护手续，本期工程实现了环保设施与主体工程同时设计、同时施工、同时投入使用，工程建设至验收调查期间无环保投诉及处罚记录，符合“三同时”制度要求。</w:t>
      </w:r>
    </w:p>
    <w:p w14:paraId="46D836E5">
      <w:pPr>
        <w:pStyle w:val="5"/>
        <w:rPr>
          <w:color w:val="auto"/>
        </w:rPr>
      </w:pPr>
      <w:bookmarkStart w:id="502" w:name="_Toc220483646"/>
      <w:bookmarkStart w:id="503" w:name="_Toc219990106"/>
      <w:bookmarkStart w:id="504" w:name="_Toc231283657"/>
      <w:bookmarkStart w:id="505" w:name="_Toc215162221"/>
      <w:r>
        <w:rPr>
          <w:rFonts w:hint="eastAsia"/>
          <w:color w:val="auto"/>
        </w:rPr>
        <w:t>环境管理机构设置及环境管理制度</w:t>
      </w:r>
      <w:bookmarkEnd w:id="502"/>
      <w:bookmarkEnd w:id="503"/>
      <w:bookmarkEnd w:id="504"/>
      <w:bookmarkEnd w:id="505"/>
    </w:p>
    <w:p w14:paraId="534C9D86">
      <w:pPr>
        <w:pStyle w:val="4"/>
        <w:ind w:firstLine="480"/>
        <w:rPr>
          <w:color w:val="auto"/>
        </w:rPr>
      </w:pPr>
      <w:r>
        <w:rPr>
          <w:rFonts w:hint="eastAsia"/>
          <w:color w:val="auto"/>
        </w:rPr>
        <w:t>建设单位安全（QHSE）管理部负责全厂环保专业技术综合管理，机关各业务部门按各自环保管理职责负责分管业务范围内的环保管理。采油厂所属各单位、直属单位按采油厂环保管理实施细则负责本单位环保管理。</w:t>
      </w:r>
    </w:p>
    <w:p w14:paraId="5032C53A">
      <w:pPr>
        <w:pStyle w:val="4"/>
        <w:ind w:firstLine="480"/>
        <w:rPr>
          <w:color w:val="auto"/>
        </w:rPr>
      </w:pPr>
      <w:r>
        <w:rPr>
          <w:rFonts w:hint="eastAsia"/>
          <w:color w:val="auto"/>
        </w:rPr>
        <w:t>施工期，项目管理部门设置专门的环保岗位，配备环保专业人员负责监督各项环保措施的落实及环保工程的检查和预验收，负责协调与环保、土地等部门的关系，以及负责有关环保文件、技术资料的收集建档。由项目经理部委托工程监理单位，监督设计单位和施工单位具体落实设计中环保工程和环境影响报告书提出环保措施的实施。</w:t>
      </w:r>
    </w:p>
    <w:p w14:paraId="0CB807E7">
      <w:pPr>
        <w:pStyle w:val="4"/>
        <w:ind w:firstLine="480"/>
        <w:rPr>
          <w:color w:val="auto"/>
        </w:rPr>
      </w:pPr>
      <w:r>
        <w:rPr>
          <w:rFonts w:hint="eastAsia"/>
          <w:color w:val="auto"/>
        </w:rPr>
        <w:t>运营期，由建设单位安全（QHSE）管理部统一负责本期工程的环保管理工作，在井区内设置专职环保员，负责环保文件和技术资料的归档，协助进行环保工程的验收，负责调试期间的环境监测、事故防范和外部协调工作。</w:t>
      </w:r>
    </w:p>
    <w:p w14:paraId="79A80D5E">
      <w:pPr>
        <w:pStyle w:val="5"/>
        <w:rPr>
          <w:color w:val="auto"/>
        </w:rPr>
      </w:pPr>
      <w:bookmarkStart w:id="506" w:name="_Toc231283658"/>
      <w:r>
        <w:rPr>
          <w:rFonts w:hint="eastAsia"/>
          <w:color w:val="auto"/>
        </w:rPr>
        <w:t>监测情况落实情况调查</w:t>
      </w:r>
      <w:bookmarkEnd w:id="506"/>
    </w:p>
    <w:p w14:paraId="4E717F87">
      <w:pPr>
        <w:pStyle w:val="4"/>
        <w:ind w:firstLine="480"/>
        <w:rPr>
          <w:rFonts w:cstheme="minorBidi"/>
          <w:color w:val="auto"/>
        </w:rPr>
      </w:pPr>
      <w:r>
        <w:rPr>
          <w:rFonts w:hint="eastAsia" w:cstheme="minorBidi"/>
          <w:color w:val="auto"/>
        </w:rPr>
        <w:t>根据原环评中监测计划要求，本次验收期间废气、噪声、土壤、地下水等监测计划均已落实，后期建设单位将按照计划严格执行，环境监测计划见</w:t>
      </w:r>
      <w:r>
        <w:rPr>
          <w:rFonts w:cstheme="minorBidi"/>
          <w:color w:val="auto"/>
        </w:rPr>
        <w:fldChar w:fldCharType="begin"/>
      </w:r>
      <w:r>
        <w:instrText xml:space="preserve"> REF _Ref225271363 \h  \* MERGEFORMAT</w:instrText>
      </w:r>
      <w:r>
        <w:rPr>
          <w:rFonts w:cstheme="minorBidi"/>
          <w:color w:val="auto"/>
        </w:rPr>
        <w:fldChar w:fldCharType="separate"/>
      </w:r>
      <w:r>
        <w:rPr>
          <w:color w:val="auto"/>
        </w:rPr>
        <w:t>表 9.3</w:t>
      </w:r>
      <w:r>
        <w:rPr>
          <w:color w:val="auto"/>
        </w:rPr>
        <w:noBreakHyphen/>
      </w:r>
      <w:r>
        <w:rPr>
          <w:color w:val="auto"/>
        </w:rPr>
        <w:t>1</w:t>
      </w:r>
      <w:r>
        <w:rPr>
          <w:rFonts w:cstheme="minorBidi"/>
          <w:color w:val="auto"/>
        </w:rPr>
        <w:fldChar w:fldCharType="end"/>
      </w:r>
      <w:r>
        <w:rPr>
          <w:rFonts w:hint="eastAsia" w:cstheme="minorBidi"/>
          <w:color w:val="auto"/>
        </w:rPr>
        <w:t>。</w:t>
      </w:r>
    </w:p>
    <w:p w14:paraId="0F3BE0D7">
      <w:pPr>
        <w:pStyle w:val="4"/>
        <w:ind w:firstLine="480"/>
        <w:rPr>
          <w:rFonts w:cstheme="minorBidi"/>
          <w:color w:val="auto"/>
        </w:rPr>
        <w:sectPr>
          <w:pgSz w:w="11907" w:h="16839"/>
          <w:pgMar w:top="1418" w:right="1588" w:bottom="1418" w:left="1588" w:header="1134" w:footer="850" w:gutter="0"/>
          <w:cols w:space="720" w:num="1"/>
          <w:docGrid w:linePitch="312" w:charSpace="0"/>
        </w:sectPr>
      </w:pPr>
    </w:p>
    <w:p w14:paraId="34C1F786">
      <w:pPr>
        <w:pStyle w:val="15"/>
        <w:spacing w:before="120"/>
        <w:rPr>
          <w:rFonts w:cstheme="minorBidi"/>
          <w:color w:val="auto"/>
        </w:rPr>
      </w:pPr>
      <w:bookmarkStart w:id="507" w:name="_Ref225271363"/>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9.3</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507"/>
      <w:r>
        <w:rPr>
          <w:color w:val="auto"/>
        </w:rPr>
        <w:t xml:space="preserve"> </w:t>
      </w:r>
      <w:r>
        <w:rPr>
          <w:rFonts w:hint="eastAsia"/>
          <w:color w:val="auto"/>
        </w:rPr>
        <w:t>环境监测计划表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1509"/>
        <w:gridCol w:w="1148"/>
        <w:gridCol w:w="1092"/>
        <w:gridCol w:w="1686"/>
        <w:gridCol w:w="1476"/>
        <w:gridCol w:w="1610"/>
        <w:gridCol w:w="1518"/>
        <w:gridCol w:w="1687"/>
        <w:gridCol w:w="1508"/>
      </w:tblGrid>
      <w:tr w14:paraId="0BF89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restart"/>
            <w:vAlign w:val="center"/>
          </w:tcPr>
          <w:p w14:paraId="00DDEC7C">
            <w:pPr>
              <w:pStyle w:val="81"/>
              <w:rPr>
                <w:rFonts w:hAnsi="宋体"/>
                <w:color w:val="auto"/>
              </w:rPr>
            </w:pPr>
            <w:r>
              <w:rPr>
                <w:rFonts w:hint="eastAsia" w:hAnsi="宋体"/>
                <w:color w:val="auto"/>
              </w:rPr>
              <w:t>监测类别</w:t>
            </w:r>
          </w:p>
        </w:tc>
        <w:tc>
          <w:tcPr>
            <w:tcW w:w="1992" w:type="pct"/>
            <w:gridSpan w:val="4"/>
            <w:vAlign w:val="center"/>
          </w:tcPr>
          <w:p w14:paraId="5BFDDACF">
            <w:pPr>
              <w:pStyle w:val="81"/>
              <w:rPr>
                <w:rFonts w:hAnsi="宋体"/>
                <w:color w:val="auto"/>
              </w:rPr>
            </w:pPr>
            <w:r>
              <w:rPr>
                <w:rFonts w:hint="eastAsia" w:hAnsi="宋体"/>
                <w:color w:val="auto"/>
              </w:rPr>
              <w:t>环评报告中监测计划要求</w:t>
            </w:r>
          </w:p>
        </w:tc>
        <w:tc>
          <w:tcPr>
            <w:tcW w:w="2169" w:type="pct"/>
            <w:gridSpan w:val="4"/>
            <w:vAlign w:val="center"/>
          </w:tcPr>
          <w:p w14:paraId="5550C6CA">
            <w:pPr>
              <w:widowControl/>
              <w:jc w:val="center"/>
              <w:rPr>
                <w:rFonts w:ascii="宋体" w:hAnsi="宋体"/>
                <w:color w:val="auto"/>
              </w:rPr>
            </w:pPr>
            <w:r>
              <w:rPr>
                <w:rFonts w:hint="eastAsia" w:ascii="宋体" w:hAnsi="宋体"/>
                <w:color w:val="auto"/>
              </w:rPr>
              <w:t>实际验收落实情况</w:t>
            </w:r>
          </w:p>
        </w:tc>
        <w:tc>
          <w:tcPr>
            <w:tcW w:w="553" w:type="pct"/>
            <w:vMerge w:val="restart"/>
            <w:vAlign w:val="center"/>
          </w:tcPr>
          <w:p w14:paraId="1E7EE1D9">
            <w:pPr>
              <w:widowControl/>
              <w:jc w:val="center"/>
              <w:rPr>
                <w:rFonts w:ascii="宋体" w:hAnsi="宋体"/>
                <w:color w:val="auto"/>
              </w:rPr>
            </w:pPr>
            <w:r>
              <w:rPr>
                <w:rFonts w:hint="eastAsia" w:ascii="宋体" w:hAnsi="宋体"/>
                <w:color w:val="auto"/>
              </w:rPr>
              <w:t>落实情况</w:t>
            </w:r>
          </w:p>
        </w:tc>
      </w:tr>
      <w:tr w14:paraId="5710A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continue"/>
            <w:vAlign w:val="center"/>
          </w:tcPr>
          <w:p w14:paraId="3991EF4A">
            <w:pPr>
              <w:pStyle w:val="81"/>
              <w:rPr>
                <w:rFonts w:hAnsi="宋体"/>
                <w:color w:val="auto"/>
              </w:rPr>
            </w:pPr>
          </w:p>
        </w:tc>
        <w:tc>
          <w:tcPr>
            <w:tcW w:w="554" w:type="pct"/>
            <w:vAlign w:val="center"/>
          </w:tcPr>
          <w:p w14:paraId="7C7C1E3E">
            <w:pPr>
              <w:pStyle w:val="81"/>
              <w:rPr>
                <w:rFonts w:hAnsi="宋体"/>
                <w:color w:val="auto"/>
              </w:rPr>
            </w:pPr>
            <w:r>
              <w:rPr>
                <w:rFonts w:hint="eastAsia" w:hAnsi="宋体"/>
                <w:color w:val="auto"/>
              </w:rPr>
              <w:t>监测项目</w:t>
            </w:r>
          </w:p>
        </w:tc>
        <w:tc>
          <w:tcPr>
            <w:tcW w:w="425" w:type="pct"/>
            <w:vAlign w:val="center"/>
          </w:tcPr>
          <w:p w14:paraId="4FF172A2">
            <w:pPr>
              <w:pStyle w:val="81"/>
              <w:rPr>
                <w:rFonts w:hAnsi="宋体"/>
                <w:color w:val="auto"/>
              </w:rPr>
            </w:pPr>
            <w:r>
              <w:rPr>
                <w:rFonts w:hint="eastAsia" w:hAnsi="宋体"/>
                <w:color w:val="auto"/>
              </w:rPr>
              <w:t>监测布点</w:t>
            </w:r>
          </w:p>
        </w:tc>
        <w:tc>
          <w:tcPr>
            <w:tcW w:w="405" w:type="pct"/>
            <w:vAlign w:val="center"/>
          </w:tcPr>
          <w:p w14:paraId="74A14BB5">
            <w:pPr>
              <w:pStyle w:val="81"/>
              <w:rPr>
                <w:rFonts w:hAnsi="宋体"/>
                <w:color w:val="auto"/>
              </w:rPr>
            </w:pPr>
            <w:r>
              <w:rPr>
                <w:rFonts w:hint="eastAsia" w:hAnsi="宋体"/>
                <w:color w:val="auto"/>
              </w:rPr>
              <w:t>监测频次</w:t>
            </w:r>
          </w:p>
        </w:tc>
        <w:tc>
          <w:tcPr>
            <w:tcW w:w="608" w:type="pct"/>
            <w:vAlign w:val="center"/>
          </w:tcPr>
          <w:p w14:paraId="37647E03">
            <w:pPr>
              <w:pStyle w:val="81"/>
              <w:rPr>
                <w:rFonts w:hAnsi="宋体"/>
                <w:color w:val="auto"/>
              </w:rPr>
            </w:pPr>
            <w:r>
              <w:rPr>
                <w:rFonts w:hint="eastAsia" w:hAnsi="宋体"/>
                <w:color w:val="auto"/>
              </w:rPr>
              <w:t>执行标准</w:t>
            </w:r>
          </w:p>
        </w:tc>
        <w:tc>
          <w:tcPr>
            <w:tcW w:w="456" w:type="pct"/>
            <w:vAlign w:val="center"/>
          </w:tcPr>
          <w:p w14:paraId="589EA949">
            <w:pPr>
              <w:widowControl/>
              <w:jc w:val="center"/>
              <w:rPr>
                <w:rFonts w:ascii="宋体" w:hAnsi="宋体"/>
                <w:color w:val="auto"/>
                <w:kern w:val="0"/>
                <w:szCs w:val="20"/>
              </w:rPr>
            </w:pPr>
            <w:r>
              <w:rPr>
                <w:rFonts w:hint="eastAsia" w:ascii="宋体" w:hAnsi="宋体"/>
                <w:color w:val="auto"/>
              </w:rPr>
              <w:t>监测项目</w:t>
            </w:r>
          </w:p>
        </w:tc>
        <w:tc>
          <w:tcPr>
            <w:tcW w:w="599" w:type="pct"/>
            <w:vAlign w:val="center"/>
          </w:tcPr>
          <w:p w14:paraId="21AF97A2">
            <w:pPr>
              <w:widowControl/>
              <w:jc w:val="center"/>
              <w:rPr>
                <w:rFonts w:ascii="宋体" w:hAnsi="宋体"/>
                <w:color w:val="auto"/>
                <w:kern w:val="0"/>
                <w:szCs w:val="20"/>
              </w:rPr>
            </w:pPr>
            <w:r>
              <w:rPr>
                <w:rFonts w:hint="eastAsia" w:ascii="宋体" w:hAnsi="宋体"/>
                <w:color w:val="auto"/>
              </w:rPr>
              <w:t>监测布点</w:t>
            </w:r>
          </w:p>
        </w:tc>
        <w:tc>
          <w:tcPr>
            <w:tcW w:w="557" w:type="pct"/>
            <w:vAlign w:val="center"/>
          </w:tcPr>
          <w:p w14:paraId="4A279F4C">
            <w:pPr>
              <w:widowControl/>
              <w:jc w:val="center"/>
              <w:rPr>
                <w:rFonts w:ascii="宋体" w:hAnsi="宋体"/>
                <w:color w:val="auto"/>
                <w:kern w:val="0"/>
                <w:szCs w:val="20"/>
              </w:rPr>
            </w:pPr>
            <w:r>
              <w:rPr>
                <w:rFonts w:hint="eastAsia" w:ascii="宋体" w:hAnsi="宋体"/>
                <w:color w:val="auto"/>
              </w:rPr>
              <w:t>监测频次</w:t>
            </w:r>
          </w:p>
        </w:tc>
        <w:tc>
          <w:tcPr>
            <w:tcW w:w="557" w:type="pct"/>
            <w:vAlign w:val="center"/>
          </w:tcPr>
          <w:p w14:paraId="3E7EABD0">
            <w:pPr>
              <w:widowControl/>
              <w:jc w:val="center"/>
              <w:rPr>
                <w:rFonts w:ascii="宋体" w:hAnsi="宋体"/>
                <w:color w:val="auto"/>
                <w:kern w:val="0"/>
                <w:szCs w:val="20"/>
              </w:rPr>
            </w:pPr>
            <w:r>
              <w:rPr>
                <w:rFonts w:hint="eastAsia" w:ascii="宋体" w:hAnsi="宋体"/>
                <w:color w:val="auto"/>
              </w:rPr>
              <w:t>执行标准</w:t>
            </w:r>
          </w:p>
        </w:tc>
        <w:tc>
          <w:tcPr>
            <w:tcW w:w="553" w:type="pct"/>
            <w:vMerge w:val="continue"/>
            <w:vAlign w:val="center"/>
          </w:tcPr>
          <w:p w14:paraId="094DB049">
            <w:pPr>
              <w:widowControl/>
              <w:jc w:val="center"/>
              <w:rPr>
                <w:rFonts w:ascii="宋体" w:hAnsi="宋体"/>
                <w:color w:val="auto"/>
              </w:rPr>
            </w:pPr>
          </w:p>
        </w:tc>
      </w:tr>
      <w:tr w14:paraId="2B024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restart"/>
            <w:vAlign w:val="center"/>
          </w:tcPr>
          <w:p w14:paraId="508D7064">
            <w:pPr>
              <w:pStyle w:val="81"/>
              <w:rPr>
                <w:rFonts w:hAnsi="宋体"/>
                <w:color w:val="auto"/>
              </w:rPr>
            </w:pPr>
            <w:r>
              <w:rPr>
                <w:rFonts w:hint="eastAsia" w:hAnsi="宋体"/>
                <w:color w:val="auto"/>
              </w:rPr>
              <w:t>大气环境</w:t>
            </w:r>
          </w:p>
        </w:tc>
        <w:tc>
          <w:tcPr>
            <w:tcW w:w="554" w:type="pct"/>
            <w:vAlign w:val="center"/>
          </w:tcPr>
          <w:p w14:paraId="483E0CA1">
            <w:pPr>
              <w:pStyle w:val="81"/>
              <w:rPr>
                <w:rFonts w:hAnsi="宋体"/>
                <w:color w:val="auto"/>
              </w:rPr>
            </w:pPr>
            <w:r>
              <w:rPr>
                <w:rFonts w:hint="eastAsia" w:hAnsi="宋体"/>
                <w:color w:val="auto"/>
              </w:rPr>
              <w:t>非甲烷总烃、硫化氢</w:t>
            </w:r>
          </w:p>
        </w:tc>
        <w:tc>
          <w:tcPr>
            <w:tcW w:w="425" w:type="pct"/>
            <w:vAlign w:val="center"/>
          </w:tcPr>
          <w:p w14:paraId="11BF51CC">
            <w:pPr>
              <w:pStyle w:val="81"/>
              <w:rPr>
                <w:rFonts w:hAnsi="宋体"/>
                <w:color w:val="auto"/>
              </w:rPr>
            </w:pPr>
            <w:r>
              <w:rPr>
                <w:rFonts w:hint="eastAsia" w:hAnsi="宋体"/>
                <w:color w:val="auto"/>
              </w:rPr>
              <w:t>井场边界</w:t>
            </w:r>
          </w:p>
        </w:tc>
        <w:tc>
          <w:tcPr>
            <w:tcW w:w="405" w:type="pct"/>
            <w:vAlign w:val="center"/>
          </w:tcPr>
          <w:p w14:paraId="275AAE60">
            <w:pPr>
              <w:pStyle w:val="81"/>
              <w:rPr>
                <w:rFonts w:hAnsi="宋体"/>
                <w:color w:val="auto"/>
              </w:rPr>
            </w:pPr>
            <w:r>
              <w:rPr>
                <w:rFonts w:hint="eastAsia" w:hAnsi="宋体"/>
                <w:color w:val="auto"/>
              </w:rPr>
              <w:t>1次/季度</w:t>
            </w:r>
          </w:p>
        </w:tc>
        <w:tc>
          <w:tcPr>
            <w:tcW w:w="608" w:type="pct"/>
            <w:vAlign w:val="center"/>
          </w:tcPr>
          <w:p w14:paraId="2569E66A">
            <w:pPr>
              <w:adjustRightInd w:val="0"/>
              <w:snapToGrid w:val="0"/>
              <w:jc w:val="center"/>
              <w:textAlignment w:val="center"/>
              <w:rPr>
                <w:rFonts w:ascii="宋体" w:hAnsi="宋体"/>
                <w:color w:val="auto"/>
              </w:rPr>
            </w:pPr>
            <w:r>
              <w:rPr>
                <w:rFonts w:hint="eastAsia" w:ascii="宋体" w:hAnsi="宋体"/>
                <w:color w:val="auto"/>
              </w:rPr>
              <w:t>《挥发性有机物排放标准 第7部分：其他行业》（DB37/ 2801.7-2019）中表2厂界监控点浓度限值（VOCs：2.0mg/m</w:t>
            </w:r>
            <w:r>
              <w:rPr>
                <w:rFonts w:hint="eastAsia" w:ascii="宋体" w:hAnsi="宋体"/>
                <w:color w:val="auto"/>
                <w:vertAlign w:val="superscript"/>
              </w:rPr>
              <w:t>3</w:t>
            </w:r>
            <w:r>
              <w:rPr>
                <w:rFonts w:hint="eastAsia" w:ascii="宋体" w:hAnsi="宋体"/>
                <w:color w:val="auto"/>
              </w:rPr>
              <w:t>）、</w:t>
            </w:r>
          </w:p>
          <w:p w14:paraId="7A677DC1">
            <w:pPr>
              <w:pStyle w:val="81"/>
              <w:rPr>
                <w:rFonts w:hAnsi="宋体"/>
                <w:color w:val="auto"/>
              </w:rPr>
            </w:pPr>
            <w:r>
              <w:rPr>
                <w:rFonts w:hint="eastAsia" w:hAnsi="宋体"/>
                <w:color w:val="auto"/>
              </w:rPr>
              <w:t>《</w:t>
            </w:r>
            <w:r>
              <w:rPr>
                <w:rFonts w:hint="eastAsia" w:hAnsi="宋体"/>
                <w:bCs/>
                <w:color w:val="auto"/>
              </w:rPr>
              <w:t>恶臭污染物排放标准</w:t>
            </w:r>
            <w:r>
              <w:rPr>
                <w:rFonts w:hint="eastAsia" w:hAnsi="宋体"/>
                <w:color w:val="auto"/>
              </w:rPr>
              <w:t>》（GB14554-93）表1中“二级新扩改建”厂界标准值要求（0.06mg/m</w:t>
            </w:r>
            <w:r>
              <w:rPr>
                <w:rFonts w:hint="eastAsia" w:hAnsi="宋体"/>
                <w:color w:val="auto"/>
                <w:vertAlign w:val="superscript"/>
              </w:rPr>
              <w:t>3</w:t>
            </w:r>
            <w:r>
              <w:rPr>
                <w:rFonts w:hint="eastAsia" w:hAnsi="宋体"/>
                <w:color w:val="auto"/>
              </w:rPr>
              <w:t>）</w:t>
            </w:r>
          </w:p>
        </w:tc>
        <w:tc>
          <w:tcPr>
            <w:tcW w:w="456" w:type="pct"/>
            <w:vAlign w:val="center"/>
          </w:tcPr>
          <w:p w14:paraId="60A5A018">
            <w:pPr>
              <w:widowControl/>
              <w:jc w:val="center"/>
              <w:rPr>
                <w:rFonts w:ascii="宋体" w:hAnsi="宋体"/>
                <w:color w:val="auto"/>
                <w:kern w:val="0"/>
                <w:szCs w:val="20"/>
              </w:rPr>
            </w:pPr>
            <w:r>
              <w:rPr>
                <w:rFonts w:hint="eastAsia" w:ascii="宋体" w:hAnsi="宋体"/>
                <w:color w:val="auto"/>
              </w:rPr>
              <w:t>非甲烷总烃、硫化氢</w:t>
            </w:r>
          </w:p>
        </w:tc>
        <w:tc>
          <w:tcPr>
            <w:tcW w:w="599" w:type="pct"/>
            <w:vAlign w:val="center"/>
          </w:tcPr>
          <w:p w14:paraId="52523644">
            <w:pPr>
              <w:widowControl/>
              <w:jc w:val="center"/>
              <w:rPr>
                <w:rFonts w:ascii="宋体" w:hAnsi="宋体"/>
                <w:color w:val="auto"/>
                <w:kern w:val="0"/>
                <w:szCs w:val="20"/>
              </w:rPr>
            </w:pPr>
            <w:r>
              <w:rPr>
                <w:rFonts w:hint="eastAsia" w:ascii="宋体" w:hAnsi="宋体"/>
                <w:color w:val="auto"/>
              </w:rPr>
              <w:t>井场边界</w:t>
            </w:r>
          </w:p>
        </w:tc>
        <w:tc>
          <w:tcPr>
            <w:tcW w:w="557" w:type="pct"/>
            <w:vAlign w:val="center"/>
          </w:tcPr>
          <w:p w14:paraId="24058A42">
            <w:pPr>
              <w:widowControl/>
              <w:jc w:val="center"/>
              <w:rPr>
                <w:rFonts w:ascii="宋体" w:hAnsi="宋体"/>
                <w:color w:val="auto"/>
                <w:kern w:val="0"/>
                <w:szCs w:val="20"/>
              </w:rPr>
            </w:pPr>
            <w:r>
              <w:rPr>
                <w:rFonts w:hint="eastAsia" w:ascii="宋体" w:hAnsi="宋体"/>
                <w:color w:val="auto"/>
                <w:szCs w:val="22"/>
              </w:rPr>
              <w:t>验收期间按照相关规范要求，厂界连续监测</w:t>
            </w:r>
            <w:r>
              <w:rPr>
                <w:rFonts w:ascii="宋体" w:hAnsi="宋体"/>
                <w:color w:val="auto"/>
                <w:szCs w:val="22"/>
              </w:rPr>
              <w:t>2d，</w:t>
            </w:r>
            <w:r>
              <w:rPr>
                <w:rFonts w:hint="eastAsia" w:ascii="宋体" w:hAnsi="宋体"/>
                <w:color w:val="auto"/>
                <w:szCs w:val="22"/>
              </w:rPr>
              <w:t>后续建设单位按照监测计划落实</w:t>
            </w:r>
          </w:p>
        </w:tc>
        <w:tc>
          <w:tcPr>
            <w:tcW w:w="557" w:type="pct"/>
            <w:vAlign w:val="center"/>
          </w:tcPr>
          <w:p w14:paraId="6920E45F">
            <w:pPr>
              <w:widowControl/>
              <w:jc w:val="center"/>
              <w:rPr>
                <w:rFonts w:ascii="宋体" w:hAnsi="宋体"/>
                <w:color w:val="auto"/>
                <w:kern w:val="0"/>
                <w:szCs w:val="20"/>
              </w:rPr>
            </w:pPr>
            <w:r>
              <w:rPr>
                <w:rFonts w:hint="eastAsia" w:ascii="宋体" w:hAnsi="宋体"/>
                <w:color w:val="auto"/>
              </w:rPr>
              <w:t>《挥发性有机物排放标准 第7部分：其他行业》（DB37/ 2801.7-2019）中表2厂界监控点浓度限值（VOCs：2.0mg/m</w:t>
            </w:r>
            <w:r>
              <w:rPr>
                <w:rFonts w:hint="eastAsia" w:ascii="宋体" w:hAnsi="宋体"/>
                <w:color w:val="auto"/>
                <w:vertAlign w:val="superscript"/>
              </w:rPr>
              <w:t>3</w:t>
            </w:r>
            <w:r>
              <w:rPr>
                <w:rFonts w:hint="eastAsia" w:ascii="宋体" w:hAnsi="宋体"/>
                <w:color w:val="auto"/>
              </w:rPr>
              <w:t>）；《</w:t>
            </w:r>
            <w:r>
              <w:rPr>
                <w:rFonts w:hint="eastAsia" w:ascii="宋体" w:hAnsi="宋体"/>
                <w:bCs/>
                <w:color w:val="auto"/>
              </w:rPr>
              <w:t>恶臭污染物排放标准</w:t>
            </w:r>
            <w:r>
              <w:rPr>
                <w:rFonts w:hint="eastAsia" w:ascii="宋体" w:hAnsi="宋体"/>
                <w:color w:val="auto"/>
              </w:rPr>
              <w:t>》（GB14554-93）表1中“二级新扩改建”厂界标准值要求（0.06mg/m</w:t>
            </w:r>
            <w:r>
              <w:rPr>
                <w:rFonts w:hint="eastAsia" w:ascii="宋体" w:hAnsi="宋体"/>
                <w:color w:val="auto"/>
                <w:vertAlign w:val="superscript"/>
              </w:rPr>
              <w:t>3</w:t>
            </w:r>
            <w:r>
              <w:rPr>
                <w:rFonts w:hint="eastAsia" w:ascii="宋体" w:hAnsi="宋体"/>
                <w:color w:val="auto"/>
              </w:rPr>
              <w:t>）</w:t>
            </w:r>
          </w:p>
        </w:tc>
        <w:tc>
          <w:tcPr>
            <w:tcW w:w="553" w:type="pct"/>
            <w:vAlign w:val="center"/>
          </w:tcPr>
          <w:p w14:paraId="71D1111D">
            <w:pPr>
              <w:widowControl/>
              <w:jc w:val="center"/>
              <w:rPr>
                <w:rFonts w:ascii="宋体" w:hAnsi="宋体"/>
                <w:color w:val="auto"/>
              </w:rPr>
            </w:pPr>
            <w:r>
              <w:rPr>
                <w:rFonts w:hint="eastAsia" w:ascii="宋体" w:hAnsi="宋体"/>
                <w:color w:val="auto"/>
              </w:rPr>
              <w:t>已落实</w:t>
            </w:r>
          </w:p>
        </w:tc>
      </w:tr>
      <w:tr w14:paraId="13D20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continue"/>
            <w:vAlign w:val="center"/>
          </w:tcPr>
          <w:p w14:paraId="304517E6">
            <w:pPr>
              <w:widowControl/>
              <w:jc w:val="center"/>
              <w:rPr>
                <w:rFonts w:ascii="宋体" w:hAnsi="宋体"/>
                <w:color w:val="auto"/>
              </w:rPr>
            </w:pPr>
          </w:p>
        </w:tc>
        <w:tc>
          <w:tcPr>
            <w:tcW w:w="554" w:type="pct"/>
            <w:vAlign w:val="center"/>
          </w:tcPr>
          <w:p w14:paraId="4E668C2A">
            <w:pPr>
              <w:pStyle w:val="81"/>
              <w:rPr>
                <w:rFonts w:hAnsi="宋体"/>
                <w:color w:val="auto"/>
              </w:rPr>
            </w:pPr>
            <w:r>
              <w:rPr>
                <w:rFonts w:hint="eastAsia" w:hAnsi="宋体"/>
                <w:color w:val="auto"/>
              </w:rPr>
              <w:t>二氧化硫、氮氧化物、颗粒物、林格曼黑度</w:t>
            </w:r>
          </w:p>
        </w:tc>
        <w:tc>
          <w:tcPr>
            <w:tcW w:w="425" w:type="pct"/>
            <w:vAlign w:val="center"/>
          </w:tcPr>
          <w:p w14:paraId="78280B4E">
            <w:pPr>
              <w:pStyle w:val="81"/>
              <w:rPr>
                <w:rFonts w:hAnsi="宋体"/>
                <w:color w:val="auto"/>
              </w:rPr>
            </w:pPr>
            <w:r>
              <w:rPr>
                <w:rFonts w:hint="eastAsia" w:hAnsi="宋体"/>
                <w:color w:val="auto"/>
              </w:rPr>
              <w:t>加热炉、多功能罐排气筒</w:t>
            </w:r>
          </w:p>
        </w:tc>
        <w:tc>
          <w:tcPr>
            <w:tcW w:w="405" w:type="pct"/>
            <w:vAlign w:val="center"/>
          </w:tcPr>
          <w:p w14:paraId="4216D962">
            <w:pPr>
              <w:widowControl/>
              <w:jc w:val="center"/>
              <w:rPr>
                <w:rFonts w:ascii="宋体" w:hAnsi="宋体"/>
                <w:color w:val="auto"/>
              </w:rPr>
            </w:pPr>
            <w:r>
              <w:rPr>
                <w:rFonts w:hint="eastAsia" w:ascii="宋体" w:hAnsi="宋体"/>
                <w:color w:val="auto"/>
              </w:rPr>
              <w:t>1次/年</w:t>
            </w:r>
          </w:p>
        </w:tc>
        <w:tc>
          <w:tcPr>
            <w:tcW w:w="608" w:type="pct"/>
            <w:vAlign w:val="center"/>
          </w:tcPr>
          <w:p w14:paraId="17E8B0E4">
            <w:pPr>
              <w:adjustRightInd w:val="0"/>
              <w:snapToGrid w:val="0"/>
              <w:jc w:val="center"/>
              <w:textAlignment w:val="center"/>
              <w:rPr>
                <w:rFonts w:ascii="宋体" w:hAnsi="宋体"/>
                <w:color w:val="auto"/>
              </w:rPr>
            </w:pPr>
            <w:r>
              <w:rPr>
                <w:rFonts w:hint="eastAsia" w:ascii="宋体" w:hAnsi="宋体"/>
                <w:color w:val="auto"/>
              </w:rPr>
              <w:t>锅炉执行《锅炉大气污染物排放标准》（DB37/ 2374-2018）表2重点控制区</w:t>
            </w:r>
          </w:p>
          <w:p w14:paraId="65F11B7D">
            <w:pPr>
              <w:pStyle w:val="81"/>
              <w:rPr>
                <w:rFonts w:hAnsi="宋体"/>
                <w:color w:val="auto"/>
              </w:rPr>
            </w:pPr>
            <w:r>
              <w:rPr>
                <w:rFonts w:hint="eastAsia" w:hAnsi="宋体"/>
                <w:color w:val="auto"/>
              </w:rPr>
              <w:t>多功能罐执行《区域性大气污染物综合排放标准》（DB37/ 2376-2019）中表1重点控制区的标准限值</w:t>
            </w:r>
          </w:p>
        </w:tc>
        <w:tc>
          <w:tcPr>
            <w:tcW w:w="456" w:type="pct"/>
            <w:vAlign w:val="center"/>
          </w:tcPr>
          <w:p w14:paraId="1940DB4B">
            <w:pPr>
              <w:widowControl/>
              <w:jc w:val="center"/>
              <w:rPr>
                <w:rFonts w:ascii="宋体" w:hAnsi="宋体"/>
                <w:color w:val="auto"/>
                <w:kern w:val="0"/>
                <w:szCs w:val="20"/>
              </w:rPr>
            </w:pPr>
            <w:r>
              <w:rPr>
                <w:rFonts w:hint="eastAsia" w:ascii="宋体" w:hAnsi="宋体"/>
                <w:color w:val="auto"/>
              </w:rPr>
              <w:t>SO</w:t>
            </w:r>
            <w:r>
              <w:rPr>
                <w:rFonts w:hint="eastAsia" w:ascii="宋体" w:hAnsi="宋体"/>
                <w:color w:val="auto"/>
                <w:vertAlign w:val="subscript"/>
              </w:rPr>
              <w:t>2</w:t>
            </w:r>
            <w:r>
              <w:rPr>
                <w:rFonts w:hint="eastAsia" w:ascii="宋体" w:hAnsi="宋体"/>
                <w:color w:val="auto"/>
              </w:rPr>
              <w:t>、烟尘、NO</w:t>
            </w:r>
            <w:r>
              <w:rPr>
                <w:rFonts w:hint="eastAsia" w:ascii="宋体" w:hAnsi="宋体"/>
                <w:color w:val="auto"/>
                <w:vertAlign w:val="subscript"/>
              </w:rPr>
              <w:t>X</w:t>
            </w:r>
          </w:p>
        </w:tc>
        <w:tc>
          <w:tcPr>
            <w:tcW w:w="599" w:type="pct"/>
            <w:vAlign w:val="center"/>
          </w:tcPr>
          <w:p w14:paraId="27691F6B">
            <w:pPr>
              <w:widowControl/>
              <w:jc w:val="center"/>
              <w:rPr>
                <w:rFonts w:ascii="宋体" w:hAnsi="宋体"/>
                <w:color w:val="auto"/>
                <w:kern w:val="0"/>
                <w:szCs w:val="20"/>
              </w:rPr>
            </w:pPr>
            <w:r>
              <w:rPr>
                <w:rFonts w:hint="eastAsia" w:ascii="宋体" w:hAnsi="宋体"/>
                <w:color w:val="auto"/>
                <w:kern w:val="0"/>
                <w:szCs w:val="20"/>
              </w:rPr>
              <w:t>燃气水套炉排气筒出口</w:t>
            </w:r>
          </w:p>
        </w:tc>
        <w:tc>
          <w:tcPr>
            <w:tcW w:w="557" w:type="pct"/>
            <w:vAlign w:val="center"/>
          </w:tcPr>
          <w:p w14:paraId="4E459C09">
            <w:pPr>
              <w:widowControl/>
              <w:jc w:val="center"/>
              <w:rPr>
                <w:rFonts w:ascii="宋体" w:hAnsi="宋体"/>
                <w:color w:val="auto"/>
                <w:kern w:val="0"/>
                <w:szCs w:val="20"/>
              </w:rPr>
            </w:pPr>
            <w:bookmarkStart w:id="508" w:name="OLE_LINK110"/>
            <w:bookmarkStart w:id="509" w:name="OLE_LINK111"/>
            <w:r>
              <w:rPr>
                <w:rFonts w:hint="eastAsia" w:ascii="宋体" w:hAnsi="宋体"/>
                <w:color w:val="auto"/>
                <w:szCs w:val="22"/>
              </w:rPr>
              <w:t>验收期间按照相关规范要求，排气筒连续监测</w:t>
            </w:r>
            <w:r>
              <w:rPr>
                <w:rFonts w:ascii="宋体" w:hAnsi="宋体"/>
                <w:color w:val="auto"/>
                <w:szCs w:val="22"/>
              </w:rPr>
              <w:t>2d，</w:t>
            </w:r>
            <w:r>
              <w:rPr>
                <w:rFonts w:hint="eastAsia" w:ascii="宋体" w:hAnsi="宋体"/>
                <w:color w:val="auto"/>
                <w:szCs w:val="22"/>
              </w:rPr>
              <w:t>后续建设单位按照监测计划落实</w:t>
            </w:r>
            <w:bookmarkEnd w:id="508"/>
            <w:bookmarkEnd w:id="509"/>
          </w:p>
        </w:tc>
        <w:tc>
          <w:tcPr>
            <w:tcW w:w="557" w:type="pct"/>
            <w:vAlign w:val="center"/>
          </w:tcPr>
          <w:p w14:paraId="47F86E1D">
            <w:pPr>
              <w:widowControl/>
              <w:jc w:val="center"/>
              <w:rPr>
                <w:rFonts w:ascii="宋体" w:hAnsi="宋体"/>
                <w:color w:val="auto"/>
                <w:kern w:val="0"/>
                <w:szCs w:val="20"/>
              </w:rPr>
            </w:pPr>
            <w:r>
              <w:rPr>
                <w:rFonts w:hint="eastAsia" w:ascii="宋体" w:hAnsi="宋体" w:cs="宋体"/>
                <w:color w:val="auto"/>
                <w:kern w:val="0"/>
              </w:rPr>
              <w:t>《锅炉大气污染物排放标准》（DB37/ 2374-2018）表2重点控制区要求</w:t>
            </w:r>
            <w:r>
              <w:rPr>
                <w:rFonts w:hint="eastAsia" w:ascii="宋体" w:hAnsi="宋体"/>
                <w:color w:val="auto"/>
              </w:rPr>
              <w:t>（SO</w:t>
            </w:r>
            <w:r>
              <w:rPr>
                <w:rFonts w:hint="eastAsia" w:ascii="宋体" w:hAnsi="宋体"/>
                <w:color w:val="auto"/>
                <w:vertAlign w:val="subscript"/>
              </w:rPr>
              <w:t>2</w:t>
            </w:r>
            <w:r>
              <w:rPr>
                <w:rFonts w:hint="eastAsia" w:ascii="宋体" w:hAnsi="宋体"/>
                <w:color w:val="auto"/>
              </w:rPr>
              <w:t>：50mg/m</w:t>
            </w:r>
            <w:r>
              <w:rPr>
                <w:rFonts w:hint="eastAsia" w:ascii="宋体" w:hAnsi="宋体"/>
                <w:color w:val="auto"/>
                <w:vertAlign w:val="superscript"/>
              </w:rPr>
              <w:t>3</w:t>
            </w:r>
            <w:r>
              <w:rPr>
                <w:rFonts w:hint="eastAsia" w:ascii="宋体" w:hAnsi="宋体"/>
                <w:color w:val="auto"/>
              </w:rPr>
              <w:t>、NO</w:t>
            </w:r>
            <w:r>
              <w:rPr>
                <w:rFonts w:hint="eastAsia" w:ascii="宋体" w:hAnsi="宋体"/>
                <w:color w:val="auto"/>
                <w:vertAlign w:val="subscript"/>
              </w:rPr>
              <w:t>X</w:t>
            </w:r>
            <w:r>
              <w:rPr>
                <w:rFonts w:hint="eastAsia" w:ascii="宋体" w:hAnsi="宋体"/>
                <w:color w:val="auto"/>
              </w:rPr>
              <w:t>：100mg/m</w:t>
            </w:r>
            <w:r>
              <w:rPr>
                <w:rFonts w:hint="eastAsia" w:ascii="宋体" w:hAnsi="宋体"/>
                <w:color w:val="auto"/>
                <w:vertAlign w:val="superscript"/>
              </w:rPr>
              <w:t>3</w:t>
            </w:r>
            <w:r>
              <w:rPr>
                <w:rFonts w:hint="eastAsia" w:ascii="宋体" w:hAnsi="宋体"/>
                <w:color w:val="auto"/>
              </w:rPr>
              <w:t>、</w:t>
            </w:r>
            <w:r>
              <w:rPr>
                <w:rFonts w:hint="eastAsia" w:ascii="宋体" w:hAnsi="宋体" w:cs="宋体"/>
                <w:color w:val="auto"/>
                <w:kern w:val="0"/>
              </w:rPr>
              <w:t>颗粒物</w:t>
            </w:r>
            <w:r>
              <w:rPr>
                <w:rFonts w:hint="eastAsia" w:ascii="宋体" w:hAnsi="宋体"/>
                <w:color w:val="auto"/>
              </w:rPr>
              <w:t>：10mg/m</w:t>
            </w:r>
            <w:r>
              <w:rPr>
                <w:rFonts w:hint="eastAsia" w:ascii="宋体" w:hAnsi="宋体"/>
                <w:color w:val="auto"/>
                <w:vertAlign w:val="superscript"/>
              </w:rPr>
              <w:t>3</w:t>
            </w:r>
            <w:r>
              <w:rPr>
                <w:rFonts w:hint="eastAsia" w:ascii="宋体" w:hAnsi="宋体"/>
                <w:color w:val="auto"/>
              </w:rPr>
              <w:t>）</w:t>
            </w:r>
          </w:p>
        </w:tc>
        <w:tc>
          <w:tcPr>
            <w:tcW w:w="553" w:type="pct"/>
            <w:vAlign w:val="center"/>
          </w:tcPr>
          <w:p w14:paraId="4D38AEDC">
            <w:pPr>
              <w:widowControl/>
              <w:jc w:val="center"/>
              <w:rPr>
                <w:rFonts w:ascii="宋体" w:hAnsi="宋体"/>
                <w:color w:val="auto"/>
                <w:kern w:val="0"/>
              </w:rPr>
            </w:pPr>
            <w:r>
              <w:rPr>
                <w:rFonts w:hint="eastAsia" w:ascii="宋体" w:hAnsi="宋体"/>
                <w:color w:val="auto"/>
                <w:kern w:val="0"/>
              </w:rPr>
              <w:t>已落实</w:t>
            </w:r>
          </w:p>
        </w:tc>
      </w:tr>
      <w:tr w14:paraId="493E8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Align w:val="center"/>
          </w:tcPr>
          <w:p w14:paraId="48AFE7FB">
            <w:pPr>
              <w:pStyle w:val="81"/>
              <w:rPr>
                <w:rFonts w:hAnsi="宋体"/>
                <w:color w:val="auto"/>
              </w:rPr>
            </w:pPr>
            <w:r>
              <w:rPr>
                <w:rFonts w:hint="eastAsia" w:hAnsi="宋体"/>
                <w:color w:val="auto"/>
              </w:rPr>
              <w:t>地下水环境</w:t>
            </w:r>
          </w:p>
        </w:tc>
        <w:tc>
          <w:tcPr>
            <w:tcW w:w="554" w:type="pct"/>
            <w:vAlign w:val="center"/>
          </w:tcPr>
          <w:p w14:paraId="7B442FD1">
            <w:pPr>
              <w:pStyle w:val="81"/>
              <w:rPr>
                <w:rFonts w:hAnsi="宋体"/>
                <w:color w:val="auto"/>
              </w:rPr>
            </w:pPr>
            <w:r>
              <w:rPr>
                <w:rFonts w:hint="eastAsia" w:hAnsi="宋体"/>
                <w:color w:val="auto"/>
              </w:rPr>
              <w:t>地下水位、水质（监测指标为《地下水质量标准》（GB/T 14848-2017）中常规项目（除微生物指标、放射性指标外）和石油类）</w:t>
            </w:r>
          </w:p>
        </w:tc>
        <w:tc>
          <w:tcPr>
            <w:tcW w:w="425" w:type="pct"/>
            <w:vAlign w:val="center"/>
          </w:tcPr>
          <w:p w14:paraId="15CE0266">
            <w:pPr>
              <w:pStyle w:val="81"/>
              <w:rPr>
                <w:rFonts w:hAnsi="宋体"/>
                <w:color w:val="auto"/>
              </w:rPr>
            </w:pPr>
            <w:r>
              <w:rPr>
                <w:rFonts w:hint="eastAsia" w:hAnsi="宋体"/>
                <w:color w:val="auto"/>
              </w:rPr>
              <w:t>共布设20个监测点，点位布置见地下水环境监测与管理</w:t>
            </w:r>
          </w:p>
        </w:tc>
        <w:tc>
          <w:tcPr>
            <w:tcW w:w="405" w:type="pct"/>
            <w:vAlign w:val="center"/>
          </w:tcPr>
          <w:p w14:paraId="115E1C70">
            <w:pPr>
              <w:pStyle w:val="81"/>
              <w:rPr>
                <w:rFonts w:hAnsi="宋体"/>
                <w:color w:val="auto"/>
              </w:rPr>
            </w:pPr>
            <w:r>
              <w:rPr>
                <w:rFonts w:hint="eastAsia" w:hAnsi="宋体"/>
                <w:color w:val="auto"/>
              </w:rPr>
              <w:t>井场内半年1次，井场外1年1次</w:t>
            </w:r>
          </w:p>
        </w:tc>
        <w:tc>
          <w:tcPr>
            <w:tcW w:w="608" w:type="pct"/>
            <w:vAlign w:val="center"/>
          </w:tcPr>
          <w:p w14:paraId="5A04CE3D">
            <w:pPr>
              <w:pStyle w:val="81"/>
              <w:rPr>
                <w:rFonts w:hAnsi="宋体"/>
                <w:color w:val="auto"/>
              </w:rPr>
            </w:pPr>
            <w:r>
              <w:rPr>
                <w:rFonts w:hint="eastAsia" w:hAnsi="宋体"/>
                <w:color w:val="auto"/>
              </w:rPr>
              <w:t>《地下水质量标准》（GB/T 14848-2017）Ⅲ类标准、石油类参照《地表水环境质量标准》（GB 3838-2002）</w:t>
            </w:r>
          </w:p>
        </w:tc>
        <w:tc>
          <w:tcPr>
            <w:tcW w:w="456" w:type="pct"/>
            <w:vAlign w:val="center"/>
          </w:tcPr>
          <w:p w14:paraId="4F2BA3DE">
            <w:pPr>
              <w:widowControl/>
              <w:jc w:val="center"/>
              <w:rPr>
                <w:rFonts w:ascii="宋体" w:hAnsi="宋体"/>
                <w:color w:val="auto"/>
                <w:kern w:val="0"/>
                <w:szCs w:val="20"/>
              </w:rPr>
            </w:pPr>
            <w:r>
              <w:rPr>
                <w:rFonts w:ascii="宋体" w:hAnsi="宋体"/>
                <w:color w:val="auto"/>
              </w:rPr>
              <w:t>色度、嗅和味、浊度、肉眼可见物、pH、总硬度、溶解性总固体、硫酸盐、氯化物、铁、锰、铜、锌、挥发酚、阴离子表面活性剂、高锰酸盐指数（耗氧量）、氨氮、硫化物、钠、亚硝酸盐氮、氰化物、氟化物、汞、砷、镉、铬（六价）、铅、三氯甲烷、四氯化碳、苯、甲苯、钡、石油类</w:t>
            </w:r>
            <w:r>
              <w:rPr>
                <w:rFonts w:hint="eastAsia" w:ascii="宋体" w:hAnsi="宋体"/>
                <w:color w:val="auto"/>
              </w:rPr>
              <w:t>共</w:t>
            </w:r>
            <w:r>
              <w:rPr>
                <w:rFonts w:ascii="宋体" w:hAnsi="宋体"/>
                <w:color w:val="auto"/>
              </w:rPr>
              <w:t>33</w:t>
            </w:r>
            <w:r>
              <w:rPr>
                <w:rFonts w:hint="eastAsia" w:ascii="宋体" w:hAnsi="宋体"/>
                <w:color w:val="auto"/>
              </w:rPr>
              <w:t>项</w:t>
            </w:r>
          </w:p>
        </w:tc>
        <w:tc>
          <w:tcPr>
            <w:tcW w:w="599" w:type="pct"/>
            <w:vAlign w:val="center"/>
          </w:tcPr>
          <w:p w14:paraId="26ACB40A">
            <w:pPr>
              <w:widowControl/>
              <w:jc w:val="center"/>
              <w:rPr>
                <w:rFonts w:ascii="宋体" w:hAnsi="宋体"/>
                <w:color w:val="auto"/>
                <w:kern w:val="0"/>
                <w:szCs w:val="20"/>
              </w:rPr>
            </w:pPr>
            <w:r>
              <w:rPr>
                <w:rFonts w:hint="eastAsia" w:ascii="宋体" w:hAnsi="宋体"/>
                <w:color w:val="auto"/>
              </w:rPr>
              <w:t>井场、上游及下游</w:t>
            </w:r>
          </w:p>
        </w:tc>
        <w:tc>
          <w:tcPr>
            <w:tcW w:w="557" w:type="pct"/>
            <w:vAlign w:val="center"/>
          </w:tcPr>
          <w:p w14:paraId="2498204B">
            <w:pPr>
              <w:widowControl/>
              <w:jc w:val="center"/>
              <w:rPr>
                <w:rFonts w:ascii="宋体" w:hAnsi="宋体"/>
                <w:color w:val="auto"/>
                <w:kern w:val="0"/>
                <w:szCs w:val="20"/>
              </w:rPr>
            </w:pPr>
            <w:r>
              <w:rPr>
                <w:rFonts w:hint="eastAsia" w:ascii="宋体" w:hAnsi="宋体"/>
                <w:color w:val="auto"/>
                <w:szCs w:val="22"/>
              </w:rPr>
              <w:t>验收期间按照相关规范要求，于井场上游、项目周围、下游布设3个监测点，连续监测</w:t>
            </w:r>
            <w:r>
              <w:rPr>
                <w:rFonts w:ascii="宋体" w:hAnsi="宋体"/>
                <w:color w:val="auto"/>
                <w:szCs w:val="22"/>
              </w:rPr>
              <w:t>2d，</w:t>
            </w:r>
            <w:r>
              <w:rPr>
                <w:rFonts w:hint="eastAsia" w:ascii="宋体" w:hAnsi="宋体"/>
                <w:color w:val="auto"/>
                <w:szCs w:val="22"/>
              </w:rPr>
              <w:t>每个点位取样2次，后续建设单位按照监测计划落实</w:t>
            </w:r>
          </w:p>
        </w:tc>
        <w:tc>
          <w:tcPr>
            <w:tcW w:w="557" w:type="pct"/>
            <w:vAlign w:val="center"/>
          </w:tcPr>
          <w:p w14:paraId="3F63317A">
            <w:pPr>
              <w:widowControl/>
              <w:jc w:val="center"/>
              <w:rPr>
                <w:rFonts w:ascii="宋体" w:hAnsi="宋体"/>
                <w:color w:val="auto"/>
                <w:kern w:val="0"/>
                <w:szCs w:val="20"/>
              </w:rPr>
            </w:pPr>
            <w:r>
              <w:rPr>
                <w:rFonts w:hint="eastAsia" w:ascii="宋体" w:hAnsi="宋体"/>
                <w:color w:val="auto"/>
              </w:rPr>
              <w:t>《地下水质量标准》（GB/T 14848-2017）Ⅲ类标准、石油类参照</w:t>
            </w:r>
            <w:r>
              <w:rPr>
                <w:rFonts w:hint="eastAsia"/>
                <w:color w:val="auto"/>
              </w:rPr>
              <w:t>《地表水环境质量标准》（GB 3838-2002）中的Ⅲ类标准</w:t>
            </w:r>
          </w:p>
        </w:tc>
        <w:tc>
          <w:tcPr>
            <w:tcW w:w="553" w:type="pct"/>
            <w:vAlign w:val="center"/>
          </w:tcPr>
          <w:p w14:paraId="08F32288">
            <w:pPr>
              <w:widowControl/>
              <w:jc w:val="center"/>
              <w:rPr>
                <w:rFonts w:ascii="宋体" w:hAnsi="宋体"/>
                <w:color w:val="auto"/>
              </w:rPr>
            </w:pPr>
            <w:r>
              <w:rPr>
                <w:rFonts w:hint="eastAsia" w:ascii="宋体" w:hAnsi="宋体"/>
                <w:color w:val="auto"/>
                <w:kern w:val="0"/>
              </w:rPr>
              <w:t>已落实</w:t>
            </w:r>
          </w:p>
        </w:tc>
      </w:tr>
      <w:tr w14:paraId="6B170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Align w:val="center"/>
          </w:tcPr>
          <w:p w14:paraId="03E4E78F">
            <w:pPr>
              <w:pStyle w:val="81"/>
              <w:rPr>
                <w:rFonts w:hAnsi="宋体"/>
                <w:color w:val="auto"/>
              </w:rPr>
            </w:pPr>
            <w:r>
              <w:rPr>
                <w:rFonts w:hint="eastAsia" w:hAnsi="宋体"/>
                <w:color w:val="auto"/>
              </w:rPr>
              <w:t>声环境</w:t>
            </w:r>
          </w:p>
        </w:tc>
        <w:tc>
          <w:tcPr>
            <w:tcW w:w="554" w:type="pct"/>
            <w:vAlign w:val="center"/>
          </w:tcPr>
          <w:p w14:paraId="6F5A4BF1">
            <w:pPr>
              <w:pStyle w:val="81"/>
              <w:rPr>
                <w:rFonts w:hAnsi="宋体"/>
                <w:color w:val="auto"/>
              </w:rPr>
            </w:pPr>
            <w:r>
              <w:rPr>
                <w:rFonts w:hint="eastAsia" w:hAnsi="宋体"/>
                <w:color w:val="auto"/>
              </w:rPr>
              <w:t>等效连续A声级</w:t>
            </w:r>
          </w:p>
        </w:tc>
        <w:tc>
          <w:tcPr>
            <w:tcW w:w="425" w:type="pct"/>
            <w:vAlign w:val="center"/>
          </w:tcPr>
          <w:p w14:paraId="48811780">
            <w:pPr>
              <w:pStyle w:val="81"/>
              <w:rPr>
                <w:rFonts w:hAnsi="宋体"/>
                <w:color w:val="auto"/>
              </w:rPr>
            </w:pPr>
            <w:r>
              <w:rPr>
                <w:rFonts w:hint="eastAsia" w:hAnsi="宋体"/>
                <w:color w:val="auto"/>
              </w:rPr>
              <w:t>井场边界</w:t>
            </w:r>
          </w:p>
        </w:tc>
        <w:tc>
          <w:tcPr>
            <w:tcW w:w="405" w:type="pct"/>
            <w:vAlign w:val="center"/>
          </w:tcPr>
          <w:p w14:paraId="027AAF59">
            <w:pPr>
              <w:pStyle w:val="81"/>
              <w:rPr>
                <w:rFonts w:hAnsi="宋体"/>
                <w:color w:val="auto"/>
              </w:rPr>
            </w:pPr>
            <w:r>
              <w:rPr>
                <w:rFonts w:hint="eastAsia" w:hAnsi="宋体"/>
                <w:color w:val="auto"/>
              </w:rPr>
              <w:t>每年1次，每次监测1天，分昼间和夜间</w:t>
            </w:r>
          </w:p>
        </w:tc>
        <w:tc>
          <w:tcPr>
            <w:tcW w:w="608" w:type="pct"/>
            <w:vAlign w:val="center"/>
          </w:tcPr>
          <w:p w14:paraId="76D7B5B3">
            <w:pPr>
              <w:pStyle w:val="81"/>
              <w:rPr>
                <w:rFonts w:hAnsi="宋体"/>
                <w:color w:val="auto"/>
              </w:rPr>
            </w:pPr>
            <w:r>
              <w:rPr>
                <w:rFonts w:hint="eastAsia" w:hAnsi="宋体"/>
                <w:color w:val="auto"/>
              </w:rPr>
              <w:t>《工业企业厂界环境噪声排放标准》（GB 12348-2008）2类</w:t>
            </w:r>
          </w:p>
        </w:tc>
        <w:tc>
          <w:tcPr>
            <w:tcW w:w="456" w:type="pct"/>
            <w:vAlign w:val="center"/>
          </w:tcPr>
          <w:p w14:paraId="65175212">
            <w:pPr>
              <w:widowControl/>
              <w:jc w:val="center"/>
              <w:rPr>
                <w:rFonts w:ascii="宋体" w:hAnsi="宋体"/>
                <w:color w:val="auto"/>
                <w:kern w:val="0"/>
                <w:szCs w:val="20"/>
              </w:rPr>
            </w:pPr>
            <w:r>
              <w:rPr>
                <w:rFonts w:hint="eastAsia" w:ascii="宋体" w:hAnsi="宋体"/>
                <w:color w:val="auto"/>
              </w:rPr>
              <w:t>等效连续A声级</w:t>
            </w:r>
          </w:p>
        </w:tc>
        <w:tc>
          <w:tcPr>
            <w:tcW w:w="599" w:type="pct"/>
            <w:vAlign w:val="center"/>
          </w:tcPr>
          <w:p w14:paraId="57C19FE0">
            <w:pPr>
              <w:widowControl/>
              <w:jc w:val="center"/>
              <w:rPr>
                <w:rFonts w:ascii="宋体" w:hAnsi="宋体"/>
                <w:color w:val="auto"/>
                <w:kern w:val="0"/>
                <w:szCs w:val="20"/>
              </w:rPr>
            </w:pPr>
            <w:r>
              <w:rPr>
                <w:rFonts w:hint="eastAsia" w:ascii="宋体" w:hAnsi="宋体"/>
                <w:color w:val="auto"/>
              </w:rPr>
              <w:t>井场边界</w:t>
            </w:r>
          </w:p>
        </w:tc>
        <w:tc>
          <w:tcPr>
            <w:tcW w:w="557" w:type="pct"/>
            <w:vAlign w:val="center"/>
          </w:tcPr>
          <w:p w14:paraId="2EA1472B">
            <w:pPr>
              <w:widowControl/>
              <w:jc w:val="center"/>
              <w:rPr>
                <w:rFonts w:ascii="宋体" w:hAnsi="宋体"/>
                <w:color w:val="auto"/>
                <w:kern w:val="0"/>
                <w:szCs w:val="20"/>
              </w:rPr>
            </w:pPr>
            <w:r>
              <w:rPr>
                <w:rFonts w:hint="eastAsia" w:ascii="宋体" w:hAnsi="宋体"/>
                <w:color w:val="auto"/>
                <w:szCs w:val="22"/>
              </w:rPr>
              <w:t>验收期间按照相关规范要求，厂界连续监测</w:t>
            </w:r>
            <w:r>
              <w:rPr>
                <w:rFonts w:ascii="宋体" w:hAnsi="宋体"/>
                <w:color w:val="auto"/>
                <w:szCs w:val="22"/>
              </w:rPr>
              <w:t>2d，</w:t>
            </w:r>
            <w:r>
              <w:rPr>
                <w:rFonts w:hint="eastAsia" w:ascii="宋体" w:hAnsi="宋体"/>
                <w:color w:val="auto"/>
                <w:szCs w:val="22"/>
              </w:rPr>
              <w:t>分昼间和夜间；后续建设单位按照监测计划落实</w:t>
            </w:r>
          </w:p>
        </w:tc>
        <w:tc>
          <w:tcPr>
            <w:tcW w:w="557" w:type="pct"/>
            <w:vAlign w:val="center"/>
          </w:tcPr>
          <w:p w14:paraId="52F84694">
            <w:pPr>
              <w:widowControl/>
              <w:jc w:val="center"/>
              <w:rPr>
                <w:rFonts w:ascii="宋体" w:hAnsi="宋体"/>
                <w:color w:val="auto"/>
                <w:kern w:val="0"/>
                <w:szCs w:val="20"/>
              </w:rPr>
            </w:pPr>
            <w:r>
              <w:rPr>
                <w:rFonts w:hint="eastAsia" w:ascii="宋体" w:hAnsi="宋体"/>
                <w:color w:val="auto"/>
              </w:rPr>
              <w:t>《工业企业厂界环境噪声排放标准》（GB 12348-2008）2类</w:t>
            </w:r>
          </w:p>
        </w:tc>
        <w:tc>
          <w:tcPr>
            <w:tcW w:w="553" w:type="pct"/>
            <w:vAlign w:val="center"/>
          </w:tcPr>
          <w:p w14:paraId="3BCC69CE">
            <w:pPr>
              <w:widowControl/>
              <w:jc w:val="center"/>
              <w:rPr>
                <w:rFonts w:ascii="宋体" w:hAnsi="宋体"/>
                <w:color w:val="auto"/>
              </w:rPr>
            </w:pPr>
            <w:r>
              <w:rPr>
                <w:rFonts w:hint="eastAsia" w:ascii="宋体" w:hAnsi="宋体"/>
                <w:color w:val="auto"/>
                <w:kern w:val="0"/>
              </w:rPr>
              <w:t>已落实</w:t>
            </w:r>
          </w:p>
        </w:tc>
      </w:tr>
      <w:tr w14:paraId="4D7F1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Align w:val="center"/>
          </w:tcPr>
          <w:p w14:paraId="3716AFE0">
            <w:pPr>
              <w:pStyle w:val="81"/>
              <w:rPr>
                <w:rFonts w:hAnsi="宋体"/>
                <w:color w:val="auto"/>
              </w:rPr>
            </w:pPr>
            <w:r>
              <w:rPr>
                <w:rFonts w:hint="eastAsia" w:hAnsi="宋体"/>
                <w:color w:val="auto"/>
              </w:rPr>
              <w:t>固体废物</w:t>
            </w:r>
          </w:p>
        </w:tc>
        <w:tc>
          <w:tcPr>
            <w:tcW w:w="554" w:type="pct"/>
            <w:vAlign w:val="center"/>
          </w:tcPr>
          <w:p w14:paraId="0CA9861D">
            <w:pPr>
              <w:pStyle w:val="81"/>
              <w:rPr>
                <w:rFonts w:hAnsi="宋体"/>
                <w:color w:val="auto"/>
              </w:rPr>
            </w:pPr>
            <w:r>
              <w:rPr>
                <w:rFonts w:hint="eastAsia" w:hAnsi="宋体"/>
                <w:color w:val="auto"/>
              </w:rPr>
              <w:t>固废的产生量、堆放量、堆放地点和利用量</w:t>
            </w:r>
          </w:p>
        </w:tc>
        <w:tc>
          <w:tcPr>
            <w:tcW w:w="425" w:type="pct"/>
            <w:vAlign w:val="center"/>
          </w:tcPr>
          <w:p w14:paraId="58B60018">
            <w:pPr>
              <w:pStyle w:val="81"/>
              <w:rPr>
                <w:rFonts w:hAnsi="宋体"/>
                <w:color w:val="auto"/>
              </w:rPr>
            </w:pPr>
            <w:bookmarkStart w:id="510" w:name="OLE_LINK290"/>
            <w:bookmarkStart w:id="511" w:name="OLE_LINK289"/>
            <w:r>
              <w:rPr>
                <w:rFonts w:hint="eastAsia" w:hAnsi="宋体"/>
                <w:color w:val="auto"/>
              </w:rPr>
              <w:t>滨博采油管理区油泥砂贮存池和高青联合站油泥砂贮存池</w:t>
            </w:r>
            <w:bookmarkEnd w:id="510"/>
            <w:bookmarkEnd w:id="511"/>
          </w:p>
        </w:tc>
        <w:tc>
          <w:tcPr>
            <w:tcW w:w="405" w:type="pct"/>
            <w:vAlign w:val="center"/>
          </w:tcPr>
          <w:p w14:paraId="28B968D3">
            <w:pPr>
              <w:pStyle w:val="81"/>
              <w:rPr>
                <w:rFonts w:hAnsi="宋体"/>
                <w:color w:val="auto"/>
              </w:rPr>
            </w:pPr>
            <w:r>
              <w:rPr>
                <w:rFonts w:hint="eastAsia" w:hAnsi="宋体"/>
                <w:color w:val="auto"/>
              </w:rPr>
              <w:t>随产随记</w:t>
            </w:r>
          </w:p>
        </w:tc>
        <w:tc>
          <w:tcPr>
            <w:tcW w:w="608" w:type="pct"/>
            <w:vAlign w:val="center"/>
          </w:tcPr>
          <w:p w14:paraId="3BC85E52">
            <w:pPr>
              <w:pStyle w:val="81"/>
              <w:rPr>
                <w:rFonts w:hAnsi="宋体"/>
                <w:color w:val="auto"/>
              </w:rPr>
            </w:pPr>
            <w:r>
              <w:rPr>
                <w:rFonts w:hint="eastAsia" w:hAnsi="宋体"/>
                <w:color w:val="auto"/>
              </w:rPr>
              <w:t>建立台账</w:t>
            </w:r>
          </w:p>
        </w:tc>
        <w:tc>
          <w:tcPr>
            <w:tcW w:w="456" w:type="pct"/>
            <w:vAlign w:val="center"/>
          </w:tcPr>
          <w:p w14:paraId="66AACD29">
            <w:pPr>
              <w:widowControl/>
              <w:jc w:val="center"/>
              <w:rPr>
                <w:rFonts w:ascii="宋体" w:hAnsi="宋体"/>
                <w:color w:val="auto"/>
                <w:kern w:val="0"/>
                <w:szCs w:val="20"/>
              </w:rPr>
            </w:pPr>
            <w:r>
              <w:rPr>
                <w:rFonts w:hint="eastAsia" w:ascii="宋体" w:hAnsi="宋体"/>
                <w:color w:val="auto"/>
              </w:rPr>
              <w:t>固废的产生量、堆放量、堆放地点和利用量</w:t>
            </w:r>
          </w:p>
        </w:tc>
        <w:tc>
          <w:tcPr>
            <w:tcW w:w="599" w:type="pct"/>
            <w:vAlign w:val="center"/>
          </w:tcPr>
          <w:p w14:paraId="19C7E2F2">
            <w:pPr>
              <w:widowControl/>
              <w:jc w:val="center"/>
              <w:rPr>
                <w:rFonts w:ascii="宋体" w:hAnsi="宋体"/>
                <w:color w:val="auto"/>
                <w:kern w:val="0"/>
                <w:szCs w:val="20"/>
              </w:rPr>
            </w:pPr>
            <w:r>
              <w:rPr>
                <w:rFonts w:hint="eastAsia" w:ascii="宋体" w:hAnsi="宋体"/>
                <w:color w:val="auto"/>
              </w:rPr>
              <w:t>滨博采油管理区油泥砂贮存池和高青联合站油泥砂贮存池</w:t>
            </w:r>
          </w:p>
        </w:tc>
        <w:tc>
          <w:tcPr>
            <w:tcW w:w="557" w:type="pct"/>
            <w:vAlign w:val="center"/>
          </w:tcPr>
          <w:p w14:paraId="6AA054F5">
            <w:pPr>
              <w:widowControl/>
              <w:jc w:val="center"/>
              <w:rPr>
                <w:rFonts w:ascii="宋体" w:hAnsi="宋体"/>
                <w:color w:val="auto"/>
                <w:kern w:val="0"/>
                <w:szCs w:val="20"/>
              </w:rPr>
            </w:pPr>
            <w:r>
              <w:rPr>
                <w:rFonts w:hint="eastAsia" w:ascii="宋体" w:hAnsi="宋体"/>
                <w:color w:val="auto"/>
                <w:kern w:val="0"/>
                <w:szCs w:val="20"/>
              </w:rPr>
              <w:t>验收监测期间未产生危险废物，产生后将随产随记，委托有资质单位处置</w:t>
            </w:r>
          </w:p>
        </w:tc>
        <w:tc>
          <w:tcPr>
            <w:tcW w:w="557" w:type="pct"/>
            <w:vAlign w:val="center"/>
          </w:tcPr>
          <w:p w14:paraId="6BB9868B">
            <w:pPr>
              <w:widowControl/>
              <w:jc w:val="center"/>
              <w:rPr>
                <w:rFonts w:ascii="宋体" w:hAnsi="宋体"/>
                <w:color w:val="auto"/>
                <w:kern w:val="0"/>
                <w:szCs w:val="20"/>
              </w:rPr>
            </w:pPr>
            <w:r>
              <w:rPr>
                <w:rFonts w:hint="eastAsia" w:ascii="宋体" w:hAnsi="宋体"/>
                <w:color w:val="auto"/>
              </w:rPr>
              <w:t>建立台账</w:t>
            </w:r>
          </w:p>
        </w:tc>
        <w:tc>
          <w:tcPr>
            <w:tcW w:w="553" w:type="pct"/>
            <w:vAlign w:val="center"/>
          </w:tcPr>
          <w:p w14:paraId="7C1C3ACB">
            <w:pPr>
              <w:widowControl/>
              <w:jc w:val="center"/>
              <w:rPr>
                <w:rFonts w:ascii="宋体" w:hAnsi="宋体"/>
                <w:color w:val="auto"/>
              </w:rPr>
            </w:pPr>
            <w:r>
              <w:rPr>
                <w:rFonts w:hint="eastAsia" w:ascii="宋体" w:hAnsi="宋体"/>
                <w:color w:val="auto"/>
                <w:kern w:val="0"/>
              </w:rPr>
              <w:t>已落实</w:t>
            </w:r>
          </w:p>
        </w:tc>
      </w:tr>
      <w:tr w14:paraId="15A7C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restart"/>
            <w:vAlign w:val="center"/>
          </w:tcPr>
          <w:p w14:paraId="0386CC94">
            <w:pPr>
              <w:pStyle w:val="81"/>
              <w:rPr>
                <w:rFonts w:hAnsi="宋体"/>
                <w:color w:val="auto"/>
              </w:rPr>
            </w:pPr>
            <w:r>
              <w:rPr>
                <w:rFonts w:hint="eastAsia" w:hAnsi="宋体"/>
                <w:color w:val="auto"/>
              </w:rPr>
              <w:t>土壤环境</w:t>
            </w:r>
          </w:p>
        </w:tc>
        <w:tc>
          <w:tcPr>
            <w:tcW w:w="554" w:type="pct"/>
            <w:vAlign w:val="center"/>
          </w:tcPr>
          <w:p w14:paraId="5100FB3E">
            <w:pPr>
              <w:pStyle w:val="81"/>
              <w:rPr>
                <w:rFonts w:hAnsi="宋体"/>
                <w:color w:val="auto"/>
              </w:rPr>
            </w:pPr>
            <w:r>
              <w:rPr>
                <w:rFonts w:hint="eastAsia" w:hAnsi="宋体"/>
                <w:color w:val="auto"/>
              </w:rPr>
              <w:t>《土壤环境质量 建设用地土壤污染风险管控标准（试行）》（GB 36600-2018）45项和石油烃（C</w:t>
            </w:r>
            <w:r>
              <w:rPr>
                <w:rFonts w:hint="eastAsia" w:hAnsi="宋体"/>
                <w:color w:val="auto"/>
                <w:vertAlign w:val="subscript"/>
              </w:rPr>
              <w:t>10</w:t>
            </w:r>
            <w:r>
              <w:rPr>
                <w:rFonts w:hint="eastAsia" w:hAnsi="宋体"/>
                <w:color w:val="auto"/>
              </w:rPr>
              <w:t>-C</w:t>
            </w:r>
            <w:r>
              <w:rPr>
                <w:rFonts w:hint="eastAsia" w:hAnsi="宋体"/>
                <w:color w:val="auto"/>
                <w:vertAlign w:val="subscript"/>
              </w:rPr>
              <w:t>40</w:t>
            </w:r>
            <w:r>
              <w:rPr>
                <w:rFonts w:hint="eastAsia" w:hAnsi="宋体"/>
                <w:color w:val="auto"/>
              </w:rPr>
              <w:t>）</w:t>
            </w:r>
          </w:p>
        </w:tc>
        <w:tc>
          <w:tcPr>
            <w:tcW w:w="425" w:type="pct"/>
            <w:vAlign w:val="center"/>
          </w:tcPr>
          <w:p w14:paraId="2FE2761B">
            <w:pPr>
              <w:pStyle w:val="81"/>
              <w:rPr>
                <w:rFonts w:hAnsi="宋体"/>
                <w:color w:val="auto"/>
              </w:rPr>
            </w:pPr>
            <w:r>
              <w:rPr>
                <w:rFonts w:hint="eastAsia" w:hAnsi="宋体"/>
                <w:color w:val="auto"/>
              </w:rPr>
              <w:t>开发区块建设用地</w:t>
            </w:r>
          </w:p>
        </w:tc>
        <w:tc>
          <w:tcPr>
            <w:tcW w:w="405" w:type="pct"/>
            <w:vAlign w:val="center"/>
          </w:tcPr>
          <w:p w14:paraId="1992CEB5">
            <w:pPr>
              <w:pStyle w:val="81"/>
              <w:rPr>
                <w:rFonts w:hAnsi="宋体"/>
                <w:color w:val="auto"/>
              </w:rPr>
            </w:pPr>
            <w:r>
              <w:rPr>
                <w:rFonts w:hint="eastAsia" w:hAnsi="宋体"/>
                <w:color w:val="auto"/>
              </w:rPr>
              <w:t>1次/1a</w:t>
            </w:r>
          </w:p>
        </w:tc>
        <w:tc>
          <w:tcPr>
            <w:tcW w:w="608" w:type="pct"/>
            <w:vAlign w:val="center"/>
          </w:tcPr>
          <w:p w14:paraId="6C80A71F">
            <w:pPr>
              <w:pStyle w:val="81"/>
              <w:rPr>
                <w:rFonts w:hAnsi="宋体"/>
                <w:color w:val="auto"/>
              </w:rPr>
            </w:pPr>
            <w:r>
              <w:rPr>
                <w:rFonts w:hint="eastAsia" w:hAnsi="宋体"/>
                <w:color w:val="auto"/>
              </w:rPr>
              <w:t>《土壤环境质量 建设用地土壤污染风险管控标准（试行）》（GB 36600-2018）</w:t>
            </w:r>
          </w:p>
        </w:tc>
        <w:tc>
          <w:tcPr>
            <w:tcW w:w="456" w:type="pct"/>
            <w:vAlign w:val="center"/>
          </w:tcPr>
          <w:p w14:paraId="4D5152A9">
            <w:pPr>
              <w:widowControl/>
              <w:jc w:val="center"/>
              <w:rPr>
                <w:rFonts w:ascii="宋体" w:hAnsi="宋体"/>
                <w:color w:val="auto"/>
              </w:rPr>
            </w:pPr>
            <w:r>
              <w:rPr>
                <w:rFonts w:hint="eastAsia" w:ascii="宋体" w:hAnsi="宋体"/>
                <w:color w:val="auto"/>
              </w:rPr>
              <w:t>《土壤环境质量 建设用地土壤污染风险管控标准（试行）》（GB 36600-2018）45项和石油烃（C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hint="eastAsia" w:ascii="宋体" w:hAnsi="宋体"/>
                <w:color w:val="auto"/>
              </w:rPr>
              <w:t>）</w:t>
            </w:r>
          </w:p>
        </w:tc>
        <w:tc>
          <w:tcPr>
            <w:tcW w:w="599" w:type="pct"/>
            <w:vAlign w:val="center"/>
          </w:tcPr>
          <w:p w14:paraId="772A1D2B">
            <w:pPr>
              <w:widowControl/>
              <w:jc w:val="center"/>
              <w:rPr>
                <w:rFonts w:ascii="宋体" w:hAnsi="宋体"/>
                <w:color w:val="auto"/>
              </w:rPr>
            </w:pPr>
            <w:r>
              <w:rPr>
                <w:rFonts w:hint="eastAsia" w:ascii="宋体" w:hAnsi="宋体"/>
                <w:color w:val="auto"/>
                <w:szCs w:val="22"/>
              </w:rPr>
              <w:t>典型井场内</w:t>
            </w:r>
            <w:r>
              <w:rPr>
                <w:rFonts w:hint="eastAsia" w:ascii="宋体" w:hAnsi="宋体"/>
                <w:color w:val="auto"/>
              </w:rPr>
              <w:t>设置1个土壤监测点</w:t>
            </w:r>
          </w:p>
        </w:tc>
        <w:tc>
          <w:tcPr>
            <w:tcW w:w="557" w:type="pct"/>
            <w:vMerge w:val="restart"/>
            <w:vAlign w:val="center"/>
          </w:tcPr>
          <w:p w14:paraId="513F1171">
            <w:pPr>
              <w:widowControl/>
              <w:jc w:val="center"/>
              <w:rPr>
                <w:rFonts w:ascii="宋体" w:hAnsi="宋体"/>
                <w:color w:val="auto"/>
                <w:kern w:val="0"/>
                <w:szCs w:val="20"/>
              </w:rPr>
            </w:pPr>
            <w:r>
              <w:rPr>
                <w:rFonts w:hint="eastAsia" w:ascii="宋体" w:hAnsi="宋体"/>
                <w:color w:val="auto"/>
                <w:szCs w:val="22"/>
              </w:rPr>
              <w:t>验收期间按照相关规范要求，监测1次；后续建设单位按照监测计划落实</w:t>
            </w:r>
          </w:p>
        </w:tc>
        <w:tc>
          <w:tcPr>
            <w:tcW w:w="557" w:type="pct"/>
            <w:vAlign w:val="center"/>
          </w:tcPr>
          <w:p w14:paraId="7A7FBB7B">
            <w:pPr>
              <w:widowControl/>
              <w:jc w:val="center"/>
              <w:rPr>
                <w:rFonts w:ascii="宋体" w:hAnsi="宋体"/>
                <w:color w:val="auto"/>
              </w:rPr>
            </w:pPr>
            <w:r>
              <w:rPr>
                <w:rFonts w:hint="eastAsia" w:ascii="宋体" w:hAnsi="宋体"/>
                <w:color w:val="auto"/>
              </w:rPr>
              <w:t>《土壤环境质量 建设用地土壤污染风险管控标准（试行）》（GB 36600-2018）</w:t>
            </w:r>
          </w:p>
        </w:tc>
        <w:tc>
          <w:tcPr>
            <w:tcW w:w="553" w:type="pct"/>
            <w:vAlign w:val="center"/>
          </w:tcPr>
          <w:p w14:paraId="23C9ABF0">
            <w:pPr>
              <w:widowControl/>
              <w:jc w:val="center"/>
              <w:rPr>
                <w:rFonts w:ascii="宋体" w:hAnsi="宋体"/>
                <w:color w:val="auto"/>
                <w:kern w:val="0"/>
              </w:rPr>
            </w:pPr>
            <w:r>
              <w:rPr>
                <w:rFonts w:hint="eastAsia" w:ascii="宋体" w:hAnsi="宋体"/>
                <w:color w:val="auto"/>
                <w:kern w:val="0"/>
              </w:rPr>
              <w:t>已落实</w:t>
            </w:r>
          </w:p>
        </w:tc>
      </w:tr>
      <w:tr w14:paraId="5F895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continue"/>
            <w:vAlign w:val="center"/>
          </w:tcPr>
          <w:p w14:paraId="6BAF5707">
            <w:pPr>
              <w:pStyle w:val="81"/>
              <w:rPr>
                <w:rFonts w:hAnsi="宋体"/>
                <w:color w:val="auto"/>
              </w:rPr>
            </w:pPr>
          </w:p>
        </w:tc>
        <w:tc>
          <w:tcPr>
            <w:tcW w:w="554" w:type="pct"/>
            <w:vAlign w:val="center"/>
          </w:tcPr>
          <w:p w14:paraId="4E73CD9A">
            <w:pPr>
              <w:adjustRightInd w:val="0"/>
              <w:snapToGrid w:val="0"/>
              <w:jc w:val="center"/>
              <w:textAlignment w:val="center"/>
              <w:rPr>
                <w:rFonts w:ascii="宋体" w:hAnsi="宋体"/>
                <w:color w:val="auto"/>
              </w:rPr>
            </w:pPr>
            <w:r>
              <w:rPr>
                <w:rFonts w:hint="eastAsia" w:ascii="宋体" w:hAnsi="宋体"/>
                <w:color w:val="auto"/>
              </w:rPr>
              <w:t>石油烃</w:t>
            </w:r>
          </w:p>
          <w:p w14:paraId="06BBE776">
            <w:pPr>
              <w:pStyle w:val="81"/>
              <w:rPr>
                <w:rFonts w:hAnsi="宋体"/>
                <w:color w:val="auto"/>
              </w:rPr>
            </w:pPr>
            <w:r>
              <w:rPr>
                <w:rFonts w:hint="eastAsia" w:hAnsi="宋体"/>
                <w:color w:val="auto"/>
              </w:rPr>
              <w:t>（C</w:t>
            </w:r>
            <w:r>
              <w:rPr>
                <w:rFonts w:hint="eastAsia" w:hAnsi="宋体"/>
                <w:color w:val="auto"/>
                <w:vertAlign w:val="subscript"/>
              </w:rPr>
              <w:t>10</w:t>
            </w:r>
            <w:r>
              <w:rPr>
                <w:rFonts w:hint="eastAsia" w:hAnsi="宋体"/>
                <w:color w:val="auto"/>
              </w:rPr>
              <w:t>-C</w:t>
            </w:r>
            <w:r>
              <w:rPr>
                <w:rFonts w:hint="eastAsia" w:hAnsi="宋体"/>
                <w:color w:val="auto"/>
                <w:vertAlign w:val="subscript"/>
              </w:rPr>
              <w:t>40</w:t>
            </w:r>
            <w:r>
              <w:rPr>
                <w:rFonts w:hint="eastAsia" w:hAnsi="宋体"/>
                <w:color w:val="auto"/>
              </w:rPr>
              <w:t>）</w:t>
            </w:r>
          </w:p>
        </w:tc>
        <w:tc>
          <w:tcPr>
            <w:tcW w:w="425" w:type="pct"/>
            <w:vAlign w:val="center"/>
          </w:tcPr>
          <w:p w14:paraId="792D787E">
            <w:pPr>
              <w:pStyle w:val="81"/>
              <w:rPr>
                <w:rFonts w:hAnsi="宋体"/>
                <w:color w:val="auto"/>
              </w:rPr>
            </w:pPr>
            <w:r>
              <w:rPr>
                <w:rFonts w:hint="eastAsia" w:hAnsi="宋体"/>
                <w:color w:val="auto"/>
              </w:rPr>
              <w:t>井场外周围农田</w:t>
            </w:r>
          </w:p>
        </w:tc>
        <w:tc>
          <w:tcPr>
            <w:tcW w:w="405" w:type="pct"/>
            <w:vAlign w:val="center"/>
          </w:tcPr>
          <w:p w14:paraId="1DA1E317">
            <w:pPr>
              <w:pStyle w:val="81"/>
              <w:rPr>
                <w:rFonts w:hAnsi="宋体"/>
                <w:color w:val="auto"/>
              </w:rPr>
            </w:pPr>
            <w:r>
              <w:rPr>
                <w:rFonts w:hint="eastAsia" w:hAnsi="宋体"/>
                <w:color w:val="auto"/>
              </w:rPr>
              <w:t>1次/3a</w:t>
            </w:r>
          </w:p>
        </w:tc>
        <w:tc>
          <w:tcPr>
            <w:tcW w:w="608" w:type="pct"/>
            <w:vAlign w:val="center"/>
          </w:tcPr>
          <w:p w14:paraId="568ECCE8">
            <w:pPr>
              <w:pStyle w:val="81"/>
              <w:rPr>
                <w:rFonts w:hAnsi="宋体"/>
                <w:color w:val="auto"/>
              </w:rPr>
            </w:pPr>
            <w:r>
              <w:rPr>
                <w:rFonts w:hint="eastAsia" w:hAnsi="宋体"/>
                <w:color w:val="auto"/>
              </w:rPr>
              <w:t>参考《土壤环境质量 建设用地土壤污染风险管控标准（试行）》（GB 36600-2018）</w:t>
            </w:r>
          </w:p>
        </w:tc>
        <w:tc>
          <w:tcPr>
            <w:tcW w:w="456" w:type="pct"/>
            <w:vAlign w:val="center"/>
          </w:tcPr>
          <w:p w14:paraId="7669746E">
            <w:pPr>
              <w:adjustRightInd w:val="0"/>
              <w:snapToGrid w:val="0"/>
              <w:jc w:val="center"/>
              <w:textAlignment w:val="center"/>
              <w:rPr>
                <w:rFonts w:ascii="宋体" w:hAnsi="宋体"/>
                <w:color w:val="auto"/>
              </w:rPr>
            </w:pPr>
            <w:r>
              <w:rPr>
                <w:rFonts w:hint="eastAsia" w:ascii="宋体" w:hAnsi="宋体"/>
                <w:color w:val="auto"/>
              </w:rPr>
              <w:t>石油烃</w:t>
            </w:r>
          </w:p>
          <w:p w14:paraId="16061F77">
            <w:pPr>
              <w:widowControl/>
              <w:jc w:val="center"/>
              <w:rPr>
                <w:rFonts w:ascii="宋体" w:hAnsi="宋体"/>
                <w:color w:val="auto"/>
              </w:rPr>
            </w:pPr>
            <w:r>
              <w:rPr>
                <w:rFonts w:hint="eastAsia" w:ascii="宋体" w:hAnsi="宋体"/>
                <w:color w:val="auto"/>
              </w:rPr>
              <w:t>（C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hint="eastAsia" w:ascii="宋体" w:hAnsi="宋体"/>
                <w:color w:val="auto"/>
              </w:rPr>
              <w:t>）</w:t>
            </w:r>
          </w:p>
        </w:tc>
        <w:tc>
          <w:tcPr>
            <w:tcW w:w="599" w:type="pct"/>
            <w:vAlign w:val="center"/>
          </w:tcPr>
          <w:p w14:paraId="06BD82CC">
            <w:pPr>
              <w:widowControl/>
              <w:jc w:val="center"/>
              <w:rPr>
                <w:rFonts w:ascii="宋体" w:hAnsi="宋体"/>
                <w:color w:val="auto"/>
              </w:rPr>
            </w:pPr>
            <w:r>
              <w:rPr>
                <w:rFonts w:hint="eastAsia" w:ascii="宋体" w:hAnsi="宋体"/>
                <w:color w:val="auto"/>
                <w:szCs w:val="22"/>
              </w:rPr>
              <w:t>井场外</w:t>
            </w:r>
            <w:r>
              <w:rPr>
                <w:rFonts w:ascii="宋体" w:hAnsi="宋体"/>
                <w:color w:val="auto"/>
              </w:rPr>
              <w:t>10m、20m、30m、50m</w:t>
            </w:r>
            <w:r>
              <w:rPr>
                <w:rFonts w:hint="eastAsia" w:ascii="宋体" w:hAnsi="宋体"/>
                <w:color w:val="auto"/>
              </w:rPr>
              <w:t>基本农田</w:t>
            </w:r>
            <w:r>
              <w:rPr>
                <w:rFonts w:ascii="宋体" w:hAnsi="宋体"/>
                <w:color w:val="auto"/>
              </w:rPr>
              <w:t>处</w:t>
            </w:r>
            <w:r>
              <w:rPr>
                <w:rFonts w:hint="eastAsia" w:ascii="宋体" w:hAnsi="宋体"/>
                <w:color w:val="auto"/>
              </w:rPr>
              <w:t>各设置1个土壤监测点</w:t>
            </w:r>
          </w:p>
        </w:tc>
        <w:tc>
          <w:tcPr>
            <w:tcW w:w="557" w:type="pct"/>
            <w:vMerge w:val="continue"/>
            <w:vAlign w:val="center"/>
          </w:tcPr>
          <w:p w14:paraId="41734B8D">
            <w:pPr>
              <w:widowControl/>
              <w:jc w:val="center"/>
              <w:rPr>
                <w:rFonts w:ascii="宋体" w:hAnsi="宋体"/>
                <w:color w:val="auto"/>
                <w:kern w:val="0"/>
                <w:szCs w:val="20"/>
              </w:rPr>
            </w:pPr>
          </w:p>
        </w:tc>
        <w:tc>
          <w:tcPr>
            <w:tcW w:w="557" w:type="pct"/>
            <w:vAlign w:val="center"/>
          </w:tcPr>
          <w:p w14:paraId="36558CE1">
            <w:pPr>
              <w:widowControl/>
              <w:jc w:val="center"/>
              <w:rPr>
                <w:rFonts w:ascii="宋体" w:hAnsi="宋体"/>
                <w:color w:val="auto"/>
              </w:rPr>
            </w:pPr>
            <w:r>
              <w:rPr>
                <w:rFonts w:hint="eastAsia" w:ascii="宋体" w:hAnsi="宋体"/>
                <w:color w:val="auto"/>
              </w:rPr>
              <w:t>《土壤环境质量 农用地土壤污染风险管控标准（试行）》（GB 15618-2018）</w:t>
            </w:r>
          </w:p>
        </w:tc>
        <w:tc>
          <w:tcPr>
            <w:tcW w:w="553" w:type="pct"/>
            <w:vAlign w:val="center"/>
          </w:tcPr>
          <w:p w14:paraId="57EAE450">
            <w:pPr>
              <w:widowControl/>
              <w:jc w:val="center"/>
              <w:rPr>
                <w:rFonts w:ascii="宋体" w:hAnsi="宋体"/>
                <w:color w:val="auto"/>
                <w:kern w:val="0"/>
              </w:rPr>
            </w:pPr>
            <w:r>
              <w:rPr>
                <w:rFonts w:hint="eastAsia" w:ascii="宋体" w:hAnsi="宋体"/>
                <w:color w:val="auto"/>
                <w:kern w:val="0"/>
              </w:rPr>
              <w:t>已落实</w:t>
            </w:r>
          </w:p>
        </w:tc>
      </w:tr>
      <w:tr w14:paraId="4C9AE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restart"/>
            <w:vAlign w:val="center"/>
          </w:tcPr>
          <w:p w14:paraId="755DDFAA">
            <w:pPr>
              <w:pStyle w:val="81"/>
              <w:rPr>
                <w:rFonts w:hAnsi="宋体"/>
                <w:color w:val="auto"/>
              </w:rPr>
            </w:pPr>
            <w:r>
              <w:rPr>
                <w:rFonts w:hint="eastAsia" w:hAnsi="宋体"/>
                <w:color w:val="auto"/>
              </w:rPr>
              <w:t>生态环境</w:t>
            </w:r>
          </w:p>
        </w:tc>
        <w:tc>
          <w:tcPr>
            <w:tcW w:w="554" w:type="pct"/>
            <w:vMerge w:val="restart"/>
            <w:vAlign w:val="center"/>
          </w:tcPr>
          <w:p w14:paraId="26E05CC2">
            <w:pPr>
              <w:adjustRightInd w:val="0"/>
              <w:snapToGrid w:val="0"/>
              <w:jc w:val="center"/>
              <w:textAlignment w:val="center"/>
              <w:rPr>
                <w:rFonts w:ascii="宋体" w:hAnsi="宋体"/>
                <w:color w:val="auto"/>
              </w:rPr>
            </w:pPr>
            <w:bookmarkStart w:id="512" w:name="OLE_LINK298"/>
            <w:bookmarkStart w:id="513" w:name="OLE_LINK297"/>
            <w:r>
              <w:rPr>
                <w:rFonts w:hint="eastAsia" w:ascii="宋体" w:hAnsi="宋体"/>
                <w:color w:val="auto"/>
              </w:rPr>
              <w:t>植物群落及分布、生境质量、生态修复效果等</w:t>
            </w:r>
            <w:bookmarkEnd w:id="512"/>
            <w:bookmarkEnd w:id="513"/>
          </w:p>
        </w:tc>
        <w:tc>
          <w:tcPr>
            <w:tcW w:w="425" w:type="pct"/>
            <w:vAlign w:val="center"/>
          </w:tcPr>
          <w:p w14:paraId="61113F1C">
            <w:pPr>
              <w:pStyle w:val="81"/>
              <w:rPr>
                <w:rFonts w:hAnsi="宋体"/>
                <w:color w:val="auto"/>
              </w:rPr>
            </w:pPr>
            <w:bookmarkStart w:id="514" w:name="OLE_LINK302"/>
            <w:bookmarkStart w:id="515" w:name="OLE_LINK301"/>
            <w:r>
              <w:rPr>
                <w:rFonts w:hint="eastAsia" w:hAnsi="宋体"/>
                <w:color w:val="auto"/>
              </w:rPr>
              <w:t>樊121-斜105</w:t>
            </w:r>
            <w:bookmarkEnd w:id="514"/>
            <w:bookmarkEnd w:id="515"/>
            <w:r>
              <w:rPr>
                <w:rFonts w:hint="eastAsia" w:hAnsi="宋体"/>
                <w:color w:val="auto"/>
              </w:rPr>
              <w:t>所在位置</w:t>
            </w:r>
          </w:p>
        </w:tc>
        <w:tc>
          <w:tcPr>
            <w:tcW w:w="405" w:type="pct"/>
            <w:vAlign w:val="center"/>
          </w:tcPr>
          <w:p w14:paraId="18AE6DF4">
            <w:pPr>
              <w:pStyle w:val="81"/>
              <w:rPr>
                <w:rFonts w:hAnsi="宋体"/>
                <w:color w:val="auto"/>
              </w:rPr>
            </w:pPr>
            <w:r>
              <w:rPr>
                <w:rFonts w:hint="eastAsia" w:hAnsi="宋体"/>
                <w:color w:val="auto"/>
              </w:rPr>
              <w:t>1次/3a</w:t>
            </w:r>
          </w:p>
        </w:tc>
        <w:tc>
          <w:tcPr>
            <w:tcW w:w="608" w:type="pct"/>
            <w:vMerge w:val="restart"/>
            <w:vAlign w:val="center"/>
          </w:tcPr>
          <w:p w14:paraId="1D4DD331">
            <w:pPr>
              <w:pStyle w:val="81"/>
              <w:rPr>
                <w:rFonts w:hAnsi="宋体"/>
                <w:color w:val="auto"/>
              </w:rPr>
            </w:pPr>
            <w:bookmarkStart w:id="516" w:name="OLE_LINK300"/>
            <w:bookmarkStart w:id="517" w:name="OLE_LINK299"/>
            <w:r>
              <w:rPr>
                <w:rFonts w:hint="eastAsia" w:hAnsi="宋体"/>
                <w:color w:val="auto"/>
              </w:rPr>
              <w:t>参考《生物多样性观测技术导则 陆生维管植物（HJ 710.1-2014）》</w:t>
            </w:r>
            <w:bookmarkEnd w:id="516"/>
            <w:bookmarkEnd w:id="517"/>
          </w:p>
        </w:tc>
        <w:tc>
          <w:tcPr>
            <w:tcW w:w="456" w:type="pct"/>
            <w:vMerge w:val="restart"/>
            <w:vAlign w:val="center"/>
          </w:tcPr>
          <w:p w14:paraId="54D72617">
            <w:pPr>
              <w:widowControl/>
              <w:jc w:val="center"/>
              <w:rPr>
                <w:rFonts w:ascii="宋体" w:hAnsi="宋体"/>
                <w:color w:val="auto"/>
              </w:rPr>
            </w:pPr>
            <w:r>
              <w:rPr>
                <w:rFonts w:hint="eastAsia" w:ascii="宋体" w:hAnsi="宋体"/>
                <w:color w:val="auto"/>
              </w:rPr>
              <w:t>植物群落及分布、生境质量、生态修复效果等</w:t>
            </w:r>
          </w:p>
        </w:tc>
        <w:tc>
          <w:tcPr>
            <w:tcW w:w="599" w:type="pct"/>
            <w:vAlign w:val="center"/>
          </w:tcPr>
          <w:p w14:paraId="21824CBF">
            <w:pPr>
              <w:widowControl/>
              <w:jc w:val="center"/>
              <w:rPr>
                <w:rFonts w:ascii="宋体" w:hAnsi="宋体"/>
                <w:color w:val="auto"/>
              </w:rPr>
            </w:pPr>
            <w:r>
              <w:rPr>
                <w:rFonts w:hint="eastAsia" w:ascii="宋体" w:hAnsi="宋体"/>
                <w:color w:val="auto"/>
              </w:rPr>
              <w:t>本期工程中樊121-斜105未实施</w:t>
            </w:r>
          </w:p>
        </w:tc>
        <w:tc>
          <w:tcPr>
            <w:tcW w:w="557" w:type="pct"/>
            <w:vMerge w:val="restart"/>
            <w:vAlign w:val="center"/>
          </w:tcPr>
          <w:p w14:paraId="36730A48">
            <w:pPr>
              <w:widowControl/>
              <w:jc w:val="center"/>
              <w:rPr>
                <w:rFonts w:ascii="宋体" w:hAnsi="宋体"/>
                <w:color w:val="auto"/>
                <w:kern w:val="0"/>
                <w:szCs w:val="20"/>
              </w:rPr>
            </w:pPr>
            <w:r>
              <w:rPr>
                <w:rFonts w:hint="eastAsia" w:ascii="宋体" w:hAnsi="宋体"/>
                <w:color w:val="auto"/>
                <w:kern w:val="0"/>
                <w:szCs w:val="20"/>
              </w:rPr>
              <w:t>/</w:t>
            </w:r>
          </w:p>
        </w:tc>
        <w:tc>
          <w:tcPr>
            <w:tcW w:w="557" w:type="pct"/>
            <w:vMerge w:val="restart"/>
            <w:vAlign w:val="center"/>
          </w:tcPr>
          <w:p w14:paraId="19B8D592">
            <w:pPr>
              <w:widowControl/>
              <w:jc w:val="center"/>
              <w:rPr>
                <w:rFonts w:ascii="宋体" w:hAnsi="宋体"/>
                <w:color w:val="auto"/>
              </w:rPr>
            </w:pPr>
            <w:r>
              <w:rPr>
                <w:rFonts w:hint="eastAsia" w:ascii="宋体" w:hAnsi="宋体"/>
                <w:color w:val="auto"/>
              </w:rPr>
              <w:t>/</w:t>
            </w:r>
          </w:p>
        </w:tc>
        <w:tc>
          <w:tcPr>
            <w:tcW w:w="553" w:type="pct"/>
            <w:vMerge w:val="restart"/>
            <w:vAlign w:val="center"/>
          </w:tcPr>
          <w:p w14:paraId="54805970">
            <w:pPr>
              <w:widowControl/>
              <w:jc w:val="center"/>
              <w:rPr>
                <w:rFonts w:ascii="宋体" w:hAnsi="宋体"/>
                <w:color w:val="auto"/>
                <w:kern w:val="0"/>
              </w:rPr>
            </w:pPr>
            <w:r>
              <w:rPr>
                <w:rFonts w:hint="eastAsia" w:ascii="宋体" w:hAnsi="宋体"/>
                <w:color w:val="auto"/>
                <w:kern w:val="0"/>
              </w:rPr>
              <w:t>已落实</w:t>
            </w:r>
          </w:p>
        </w:tc>
      </w:tr>
      <w:tr w14:paraId="0B54B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continue"/>
            <w:vAlign w:val="center"/>
          </w:tcPr>
          <w:p w14:paraId="1226C501">
            <w:pPr>
              <w:pStyle w:val="81"/>
              <w:rPr>
                <w:rFonts w:hAnsi="宋体"/>
                <w:color w:val="auto"/>
              </w:rPr>
            </w:pPr>
          </w:p>
        </w:tc>
        <w:tc>
          <w:tcPr>
            <w:tcW w:w="554" w:type="pct"/>
            <w:vMerge w:val="continue"/>
            <w:vAlign w:val="center"/>
          </w:tcPr>
          <w:p w14:paraId="6463F108">
            <w:pPr>
              <w:adjustRightInd w:val="0"/>
              <w:snapToGrid w:val="0"/>
              <w:jc w:val="center"/>
              <w:textAlignment w:val="center"/>
              <w:rPr>
                <w:rFonts w:ascii="宋体" w:hAnsi="宋体"/>
                <w:color w:val="auto"/>
              </w:rPr>
            </w:pPr>
          </w:p>
        </w:tc>
        <w:tc>
          <w:tcPr>
            <w:tcW w:w="425" w:type="pct"/>
            <w:vAlign w:val="center"/>
          </w:tcPr>
          <w:p w14:paraId="6AF713B9">
            <w:pPr>
              <w:pStyle w:val="81"/>
              <w:rPr>
                <w:rFonts w:hAnsi="宋体"/>
                <w:color w:val="auto"/>
              </w:rPr>
            </w:pPr>
            <w:r>
              <w:rPr>
                <w:rFonts w:hint="eastAsia" w:hAnsi="宋体"/>
                <w:color w:val="auto"/>
              </w:rPr>
              <w:t>引黄干渠林地</w:t>
            </w:r>
          </w:p>
        </w:tc>
        <w:tc>
          <w:tcPr>
            <w:tcW w:w="405" w:type="pct"/>
            <w:vAlign w:val="center"/>
          </w:tcPr>
          <w:p w14:paraId="35C2562B">
            <w:pPr>
              <w:pStyle w:val="81"/>
              <w:rPr>
                <w:rFonts w:hAnsi="宋体"/>
                <w:color w:val="auto"/>
              </w:rPr>
            </w:pPr>
            <w:r>
              <w:rPr>
                <w:rFonts w:hint="eastAsia" w:hAnsi="宋体"/>
                <w:color w:val="auto"/>
              </w:rPr>
              <w:t>1次/3a</w:t>
            </w:r>
          </w:p>
        </w:tc>
        <w:tc>
          <w:tcPr>
            <w:tcW w:w="608" w:type="pct"/>
            <w:vMerge w:val="continue"/>
            <w:vAlign w:val="center"/>
          </w:tcPr>
          <w:p w14:paraId="3C6004D0">
            <w:pPr>
              <w:pStyle w:val="81"/>
              <w:rPr>
                <w:rFonts w:hAnsi="宋体"/>
                <w:color w:val="auto"/>
              </w:rPr>
            </w:pPr>
          </w:p>
        </w:tc>
        <w:tc>
          <w:tcPr>
            <w:tcW w:w="456" w:type="pct"/>
            <w:vMerge w:val="continue"/>
            <w:vAlign w:val="center"/>
          </w:tcPr>
          <w:p w14:paraId="438D0EAE">
            <w:pPr>
              <w:widowControl/>
              <w:jc w:val="center"/>
              <w:rPr>
                <w:rFonts w:ascii="宋体" w:hAnsi="宋体"/>
                <w:color w:val="auto"/>
              </w:rPr>
            </w:pPr>
          </w:p>
        </w:tc>
        <w:tc>
          <w:tcPr>
            <w:tcW w:w="599" w:type="pct"/>
            <w:vAlign w:val="center"/>
          </w:tcPr>
          <w:p w14:paraId="16131A21">
            <w:pPr>
              <w:widowControl/>
              <w:jc w:val="center"/>
              <w:rPr>
                <w:rFonts w:ascii="宋体" w:hAnsi="宋体"/>
                <w:color w:val="auto"/>
              </w:rPr>
            </w:pPr>
            <w:r>
              <w:rPr>
                <w:rFonts w:hint="eastAsia" w:ascii="宋体" w:hAnsi="宋体"/>
                <w:color w:val="auto"/>
              </w:rPr>
              <w:t>本期工程未涉及引黄干渠</w:t>
            </w:r>
          </w:p>
        </w:tc>
        <w:tc>
          <w:tcPr>
            <w:tcW w:w="557" w:type="pct"/>
            <w:vMerge w:val="continue"/>
            <w:vAlign w:val="center"/>
          </w:tcPr>
          <w:p w14:paraId="28FD3519">
            <w:pPr>
              <w:widowControl/>
              <w:jc w:val="center"/>
              <w:rPr>
                <w:rFonts w:ascii="宋体" w:hAnsi="宋体"/>
                <w:color w:val="auto"/>
                <w:kern w:val="0"/>
                <w:szCs w:val="20"/>
              </w:rPr>
            </w:pPr>
          </w:p>
        </w:tc>
        <w:tc>
          <w:tcPr>
            <w:tcW w:w="557" w:type="pct"/>
            <w:vMerge w:val="continue"/>
            <w:vAlign w:val="center"/>
          </w:tcPr>
          <w:p w14:paraId="0FF33157">
            <w:pPr>
              <w:widowControl/>
              <w:jc w:val="center"/>
              <w:rPr>
                <w:rFonts w:ascii="宋体" w:hAnsi="宋体"/>
                <w:color w:val="auto"/>
              </w:rPr>
            </w:pPr>
          </w:p>
        </w:tc>
        <w:tc>
          <w:tcPr>
            <w:tcW w:w="553" w:type="pct"/>
            <w:vMerge w:val="continue"/>
            <w:vAlign w:val="center"/>
          </w:tcPr>
          <w:p w14:paraId="749DD711">
            <w:pPr>
              <w:widowControl/>
              <w:jc w:val="center"/>
              <w:rPr>
                <w:rFonts w:ascii="宋体" w:hAnsi="宋体"/>
                <w:color w:val="auto"/>
                <w:kern w:val="0"/>
              </w:rPr>
            </w:pPr>
          </w:p>
        </w:tc>
      </w:tr>
    </w:tbl>
    <w:p w14:paraId="0296C0E3">
      <w:pPr>
        <w:pStyle w:val="4"/>
        <w:ind w:firstLine="480"/>
        <w:rPr>
          <w:color w:val="auto"/>
        </w:rPr>
        <w:sectPr>
          <w:pgSz w:w="16839" w:h="11907" w:orient="landscape"/>
          <w:pgMar w:top="1588" w:right="1418" w:bottom="1588" w:left="1418" w:header="1134" w:footer="850" w:gutter="0"/>
          <w:cols w:space="720" w:num="1"/>
          <w:docGrid w:linePitch="312" w:charSpace="0"/>
        </w:sectPr>
      </w:pPr>
    </w:p>
    <w:p w14:paraId="39329B7A">
      <w:pPr>
        <w:pStyle w:val="5"/>
        <w:rPr>
          <w:color w:val="auto"/>
        </w:rPr>
      </w:pPr>
      <w:bookmarkStart w:id="518" w:name="_Toc231283659"/>
      <w:r>
        <w:rPr>
          <w:rFonts w:hint="eastAsia"/>
          <w:color w:val="auto"/>
        </w:rPr>
        <w:t>排污许可调查</w:t>
      </w:r>
      <w:bookmarkEnd w:id="518"/>
    </w:p>
    <w:p w14:paraId="43553102">
      <w:pPr>
        <w:pStyle w:val="4"/>
        <w:ind w:firstLine="496"/>
        <w:rPr>
          <w:color w:val="auto"/>
        </w:rPr>
      </w:pPr>
      <w:r>
        <w:rPr>
          <w:rFonts w:hint="eastAsia" w:cs="宋体"/>
          <w:color w:val="auto"/>
          <w:spacing w:val="4"/>
        </w:rPr>
        <w:t>胜利油田高青石油开发有限责任公司已于</w:t>
      </w:r>
      <w:r>
        <w:rPr>
          <w:color w:val="auto"/>
        </w:rPr>
        <w:t>2026年3月10日</w:t>
      </w:r>
      <w:r>
        <w:rPr>
          <w:rFonts w:cs="宋体"/>
          <w:color w:val="auto"/>
          <w:spacing w:val="4"/>
        </w:rPr>
        <w:t>取得排污许可</w:t>
      </w:r>
      <w:r>
        <w:rPr>
          <w:rFonts w:hint="eastAsia" w:cs="宋体"/>
          <w:color w:val="auto"/>
          <w:spacing w:val="4"/>
        </w:rPr>
        <w:t>登记回执</w:t>
      </w:r>
      <w:r>
        <w:rPr>
          <w:rFonts w:cs="宋体"/>
          <w:color w:val="auto"/>
          <w:spacing w:val="4"/>
        </w:rPr>
        <w:t>，编号</w:t>
      </w:r>
      <w:r>
        <w:rPr>
          <w:rFonts w:hint="eastAsia" w:cs="宋体"/>
          <w:color w:val="auto"/>
          <w:spacing w:val="4"/>
        </w:rPr>
        <w:t>为</w:t>
      </w:r>
      <w:r>
        <w:rPr>
          <w:rFonts w:cs="宋体"/>
          <w:color w:val="auto"/>
          <w:spacing w:val="4"/>
        </w:rPr>
        <w:t>913703221672516964001X</w:t>
      </w:r>
      <w:r>
        <w:rPr>
          <w:rFonts w:hint="eastAsia" w:cs="宋体"/>
          <w:color w:val="auto"/>
          <w:spacing w:val="4"/>
        </w:rPr>
        <w:t>，</w:t>
      </w:r>
      <w:r>
        <w:rPr>
          <w:rFonts w:hint="eastAsia"/>
          <w:color w:val="auto"/>
        </w:rPr>
        <w:t>有效期自</w:t>
      </w:r>
      <w:r>
        <w:rPr>
          <w:color w:val="auto"/>
        </w:rPr>
        <w:t>2026年3月10日至2031年3月9日止</w:t>
      </w:r>
      <w:r>
        <w:rPr>
          <w:rFonts w:hint="eastAsia" w:cs="宋体"/>
          <w:color w:val="auto"/>
          <w:spacing w:val="4"/>
        </w:rPr>
        <w:t>，经调查，本期工程新建加热炉及拆旧燃气多功能罐已于排污许可手续中更新</w:t>
      </w:r>
      <w:r>
        <w:rPr>
          <w:rFonts w:hint="eastAsia"/>
          <w:color w:val="auto"/>
        </w:rPr>
        <w:t>。</w:t>
      </w:r>
    </w:p>
    <w:p w14:paraId="0F657D35">
      <w:pPr>
        <w:pStyle w:val="5"/>
        <w:rPr>
          <w:color w:val="auto"/>
        </w:rPr>
      </w:pPr>
      <w:bookmarkStart w:id="519" w:name="_Toc231283660"/>
      <w:r>
        <w:rPr>
          <w:rFonts w:hint="eastAsia"/>
          <w:color w:val="auto"/>
        </w:rPr>
        <w:t>主要污染物排放总量核算</w:t>
      </w:r>
      <w:bookmarkEnd w:id="519"/>
    </w:p>
    <w:p w14:paraId="4BBE05FC">
      <w:pPr>
        <w:pStyle w:val="4"/>
        <w:ind w:firstLine="480"/>
        <w:rPr>
          <w:color w:val="auto"/>
        </w:rPr>
      </w:pPr>
      <w:r>
        <w:rPr>
          <w:rFonts w:hint="eastAsia"/>
          <w:color w:val="auto"/>
        </w:rPr>
        <w:t>环评阶段：</w:t>
      </w:r>
      <w:bookmarkStart w:id="520" w:name="OLE_LINK304"/>
      <w:bookmarkStart w:id="521" w:name="OLE_LINK303"/>
      <w:r>
        <w:rPr>
          <w:rFonts w:hint="eastAsia"/>
          <w:color w:val="auto"/>
        </w:rPr>
        <w:t>SO</w:t>
      </w:r>
      <w:r>
        <w:rPr>
          <w:rFonts w:hint="eastAsia"/>
          <w:color w:val="auto"/>
          <w:vertAlign w:val="subscript"/>
        </w:rPr>
        <w:t>2</w:t>
      </w:r>
      <w:r>
        <w:rPr>
          <w:rFonts w:hint="eastAsia"/>
          <w:color w:val="auto"/>
        </w:rPr>
        <w:t>排放量为0.105t/a，NO</w:t>
      </w:r>
      <w:r>
        <w:rPr>
          <w:rFonts w:hint="eastAsia"/>
          <w:color w:val="auto"/>
          <w:vertAlign w:val="subscript"/>
        </w:rPr>
        <w:t>X</w:t>
      </w:r>
      <w:r>
        <w:rPr>
          <w:rFonts w:hint="eastAsia"/>
          <w:color w:val="auto"/>
        </w:rPr>
        <w:t>排放量为1.615t/a，颗粒物排放量为0.139t/a，非甲烷总烃排放量为1.149t/a</w:t>
      </w:r>
      <w:bookmarkEnd w:id="520"/>
      <w:bookmarkEnd w:id="521"/>
      <w:r>
        <w:rPr>
          <w:rFonts w:hint="eastAsia"/>
          <w:color w:val="auto"/>
        </w:rPr>
        <w:t>。</w:t>
      </w:r>
    </w:p>
    <w:p w14:paraId="21937BD7">
      <w:pPr>
        <w:pStyle w:val="4"/>
        <w:ind w:firstLine="480"/>
        <w:rPr>
          <w:color w:val="auto"/>
        </w:rPr>
        <w:sectPr>
          <w:pgSz w:w="11907" w:h="16839"/>
          <w:pgMar w:top="1418" w:right="1588" w:bottom="1418" w:left="1588" w:header="1134" w:footer="850" w:gutter="0"/>
          <w:cols w:space="720" w:num="1"/>
          <w:docGrid w:linePitch="312" w:charSpace="0"/>
        </w:sectPr>
      </w:pPr>
      <w:r>
        <w:rPr>
          <w:rFonts w:hint="eastAsia"/>
          <w:color w:val="auto"/>
        </w:rPr>
        <w:t>本期工程验收阶段：</w:t>
      </w:r>
      <w:r>
        <w:rPr>
          <w:rFonts w:hint="eastAsia"/>
          <w:color w:val="auto"/>
        </w:rPr>
        <w:t>SO</w:t>
      </w:r>
      <w:r>
        <w:rPr>
          <w:rFonts w:hint="eastAsia"/>
          <w:color w:val="auto"/>
          <w:vertAlign w:val="subscript"/>
        </w:rPr>
        <w:t>2</w:t>
      </w:r>
      <w:r>
        <w:rPr>
          <w:rFonts w:hint="eastAsia"/>
          <w:color w:val="auto"/>
        </w:rPr>
        <w:t>排放量为0.012t/a，NO</w:t>
      </w:r>
      <w:r>
        <w:rPr>
          <w:rFonts w:hint="eastAsia"/>
          <w:color w:val="auto"/>
          <w:vertAlign w:val="subscript"/>
        </w:rPr>
        <w:t>X</w:t>
      </w:r>
      <w:r>
        <w:rPr>
          <w:rFonts w:hint="eastAsia"/>
          <w:color w:val="auto"/>
        </w:rPr>
        <w:t>排放量为0.257t/a，颗粒物排放量为0.027t/a</w:t>
      </w:r>
      <w:r>
        <w:rPr>
          <w:rFonts w:hint="eastAsia"/>
          <w:color w:val="auto"/>
        </w:rPr>
        <w:t>，非甲烷总烃排放量为</w:t>
      </w:r>
      <w:r>
        <w:rPr>
          <w:color w:val="auto"/>
        </w:rPr>
        <w:t>0.331t/a</w:t>
      </w:r>
      <w:r>
        <w:rPr>
          <w:rFonts w:hint="eastAsia"/>
          <w:color w:val="auto"/>
        </w:rPr>
        <w:t>，小于环评阶段排放量。</w:t>
      </w:r>
    </w:p>
    <w:p w14:paraId="5123B0DB">
      <w:pPr>
        <w:pStyle w:val="3"/>
        <w:ind w:left="113"/>
        <w:rPr>
          <w:rFonts w:hAnsi="黑体"/>
          <w:color w:val="auto"/>
        </w:rPr>
      </w:pPr>
      <w:bookmarkStart w:id="522" w:name="_Toc215162224"/>
      <w:bookmarkStart w:id="523" w:name="_Toc219990109"/>
      <w:bookmarkStart w:id="524" w:name="_Toc220483649"/>
      <w:bookmarkStart w:id="525" w:name="_Toc231283661"/>
      <w:r>
        <w:rPr>
          <w:rFonts w:hint="eastAsia" w:hAnsi="黑体"/>
          <w:color w:val="auto"/>
        </w:rPr>
        <w:t>公众参与调查</w:t>
      </w:r>
      <w:bookmarkEnd w:id="522"/>
      <w:bookmarkEnd w:id="523"/>
      <w:bookmarkEnd w:id="524"/>
      <w:bookmarkEnd w:id="525"/>
    </w:p>
    <w:p w14:paraId="3252D31A">
      <w:pPr>
        <w:keepNext/>
        <w:numPr>
          <w:ilvl w:val="1"/>
          <w:numId w:val="1"/>
        </w:numPr>
        <w:adjustRightInd w:val="0"/>
        <w:snapToGrid w:val="0"/>
        <w:spacing w:before="100" w:beforeAutospacing="1" w:line="360" w:lineRule="auto"/>
        <w:jc w:val="left"/>
        <w:outlineLvl w:val="1"/>
        <w:rPr>
          <w:rFonts w:ascii="黑体" w:eastAsia="黑体" w:hAnsiTheme="majorHAnsi" w:cstheme="majorBidi"/>
          <w:bCs/>
          <w:color w:val="auto"/>
          <w:sz w:val="28"/>
          <w:szCs w:val="32"/>
        </w:rPr>
      </w:pPr>
      <w:bookmarkStart w:id="526" w:name="_Toc215162225"/>
      <w:bookmarkStart w:id="527" w:name="_Toc155802267"/>
      <w:bookmarkStart w:id="528" w:name="_Toc219990110"/>
      <w:bookmarkStart w:id="529" w:name="_Toc231283662"/>
      <w:bookmarkStart w:id="530" w:name="_Toc149138857"/>
      <w:bookmarkStart w:id="531" w:name="_Toc220483650"/>
      <w:r>
        <w:rPr>
          <w:rFonts w:hint="eastAsia" w:ascii="黑体" w:eastAsia="黑体" w:hAnsiTheme="majorHAnsi" w:cstheme="majorBidi"/>
          <w:bCs/>
          <w:color w:val="auto"/>
          <w:sz w:val="28"/>
          <w:szCs w:val="32"/>
        </w:rPr>
        <w:t>调查目的</w:t>
      </w:r>
      <w:bookmarkEnd w:id="526"/>
      <w:bookmarkEnd w:id="527"/>
      <w:bookmarkEnd w:id="528"/>
      <w:bookmarkEnd w:id="529"/>
      <w:bookmarkEnd w:id="530"/>
      <w:bookmarkEnd w:id="531"/>
    </w:p>
    <w:p w14:paraId="03480846">
      <w:pPr>
        <w:pStyle w:val="4"/>
        <w:ind w:firstLine="480"/>
        <w:rPr>
          <w:color w:val="auto"/>
        </w:rPr>
      </w:pPr>
      <w:r>
        <w:rPr>
          <w:rFonts w:hint="eastAsia"/>
          <w:color w:val="auto"/>
        </w:rPr>
        <w:t>根据《建设项目竣工环境保护验收技术规范</w:t>
      </w:r>
      <w:r>
        <w:rPr>
          <w:color w:val="auto"/>
        </w:rPr>
        <w:t xml:space="preserve"> 生态影响类》(HJ/T394-2007)的要求，在本项目竣工环境保护验收调查时，开展了公众意见调查。其目的就是了解建设项目在不同时期存在的环境影响，发现工程前期和施工期曾经存在的及目前可能遗留的环境问题，有助于明确和分析运行期公众关心的环境问题，为改进已有环境保护措施和提出补救措施提供依据</w:t>
      </w:r>
      <w:r>
        <w:rPr>
          <w:rFonts w:hint="eastAsia"/>
          <w:color w:val="auto"/>
        </w:rPr>
        <w:t>。</w:t>
      </w:r>
    </w:p>
    <w:p w14:paraId="04D77EE5">
      <w:pPr>
        <w:keepNext/>
        <w:numPr>
          <w:ilvl w:val="1"/>
          <w:numId w:val="1"/>
        </w:numPr>
        <w:adjustRightInd w:val="0"/>
        <w:snapToGrid w:val="0"/>
        <w:spacing w:before="100" w:beforeAutospacing="1" w:line="360" w:lineRule="auto"/>
        <w:jc w:val="left"/>
        <w:outlineLvl w:val="1"/>
        <w:rPr>
          <w:rFonts w:ascii="黑体" w:eastAsia="黑体" w:hAnsiTheme="majorHAnsi" w:cstheme="majorBidi"/>
          <w:bCs/>
          <w:color w:val="auto"/>
          <w:sz w:val="28"/>
          <w:szCs w:val="32"/>
        </w:rPr>
      </w:pPr>
      <w:bookmarkStart w:id="532" w:name="_Toc215162226"/>
      <w:bookmarkStart w:id="533" w:name="_Toc220483651"/>
      <w:bookmarkStart w:id="534" w:name="_Toc155802268"/>
      <w:bookmarkStart w:id="535" w:name="_Toc149138858"/>
      <w:bookmarkStart w:id="536" w:name="_Toc231283663"/>
      <w:bookmarkStart w:id="537" w:name="_Toc219990111"/>
      <w:r>
        <w:rPr>
          <w:rFonts w:hint="eastAsia" w:ascii="黑体" w:eastAsia="黑体" w:hAnsiTheme="majorHAnsi" w:cstheme="majorBidi"/>
          <w:bCs/>
          <w:color w:val="auto"/>
          <w:sz w:val="28"/>
          <w:szCs w:val="32"/>
        </w:rPr>
        <w:t>调查方法</w:t>
      </w:r>
      <w:bookmarkEnd w:id="532"/>
      <w:bookmarkEnd w:id="533"/>
      <w:bookmarkEnd w:id="534"/>
      <w:bookmarkEnd w:id="535"/>
      <w:bookmarkEnd w:id="536"/>
      <w:bookmarkEnd w:id="537"/>
    </w:p>
    <w:p w14:paraId="284226A9">
      <w:pPr>
        <w:pStyle w:val="4"/>
        <w:ind w:firstLine="480"/>
        <w:rPr>
          <w:color w:val="auto"/>
        </w:rPr>
      </w:pPr>
      <w:r>
        <w:rPr>
          <w:rFonts w:hint="eastAsia"/>
          <w:color w:val="auto"/>
        </w:rPr>
        <w:t>本期工程竣工环境保护验收调查的公众意见调查工作采用网络公示方式进行，</w:t>
      </w:r>
      <w:r>
        <w:rPr>
          <w:color w:val="auto"/>
        </w:rPr>
        <w:t>在中国石化胜利油田网站（http://slof.sinopec.com/slof/）对本期工程的竣工日期</w:t>
      </w:r>
      <w:r>
        <w:rPr>
          <w:rFonts w:hint="eastAsia"/>
          <w:color w:val="auto"/>
        </w:rPr>
        <w:t>、</w:t>
      </w:r>
      <w:r>
        <w:rPr>
          <w:color w:val="auto"/>
        </w:rPr>
        <w:t>调试起止日期进行了网上公示</w:t>
      </w:r>
      <w:r>
        <w:rPr>
          <w:rFonts w:hint="eastAsia"/>
          <w:color w:val="auto"/>
        </w:rPr>
        <w:t>。</w:t>
      </w:r>
    </w:p>
    <w:p w14:paraId="7024E840">
      <w:pPr>
        <w:keepNext/>
        <w:numPr>
          <w:ilvl w:val="1"/>
          <w:numId w:val="1"/>
        </w:numPr>
        <w:adjustRightInd w:val="0"/>
        <w:snapToGrid w:val="0"/>
        <w:spacing w:before="100" w:beforeAutospacing="1" w:line="360" w:lineRule="auto"/>
        <w:jc w:val="left"/>
        <w:outlineLvl w:val="1"/>
        <w:rPr>
          <w:rFonts w:ascii="黑体" w:eastAsia="黑体" w:hAnsiTheme="majorHAnsi" w:cstheme="majorBidi"/>
          <w:bCs/>
          <w:color w:val="auto"/>
          <w:sz w:val="28"/>
          <w:szCs w:val="32"/>
        </w:rPr>
      </w:pPr>
      <w:bookmarkStart w:id="538" w:name="_Toc231283664"/>
      <w:r>
        <w:rPr>
          <w:rFonts w:hint="eastAsia" w:ascii="黑体" w:eastAsia="黑体" w:hAnsiTheme="majorHAnsi" w:cstheme="majorBidi"/>
          <w:bCs/>
          <w:color w:val="auto"/>
          <w:sz w:val="28"/>
          <w:szCs w:val="32"/>
        </w:rPr>
        <w:t>调查结果</w:t>
      </w:r>
      <w:bookmarkEnd w:id="538"/>
    </w:p>
    <w:p w14:paraId="0DFA28DD">
      <w:pPr>
        <w:pStyle w:val="4"/>
        <w:ind w:firstLine="480"/>
        <w:rPr>
          <w:color w:val="auto"/>
        </w:rPr>
      </w:pPr>
      <w:r>
        <w:rPr>
          <w:rFonts w:hint="eastAsia"/>
          <w:color w:val="auto"/>
        </w:rPr>
        <w:t>自本期工程开工至今，没有收到任何有关环境污染的投诉，也没有污染事故发生。</w:t>
      </w:r>
    </w:p>
    <w:p w14:paraId="0C2A34BF">
      <w:pPr>
        <w:pStyle w:val="4"/>
        <w:ind w:firstLine="480"/>
        <w:rPr>
          <w:color w:val="auto"/>
        </w:rPr>
        <w:sectPr>
          <w:pgSz w:w="11907" w:h="16839"/>
          <w:pgMar w:top="1418" w:right="1588" w:bottom="1418" w:left="1588" w:header="1134" w:footer="850" w:gutter="0"/>
          <w:cols w:space="720" w:num="1"/>
          <w:docGrid w:linePitch="312" w:charSpace="0"/>
        </w:sectPr>
      </w:pPr>
    </w:p>
    <w:p w14:paraId="13D3F0F8">
      <w:pPr>
        <w:pStyle w:val="3"/>
        <w:rPr>
          <w:color w:val="auto"/>
        </w:rPr>
      </w:pPr>
      <w:bookmarkStart w:id="539" w:name="_Toc231283665"/>
      <w:r>
        <w:rPr>
          <w:rFonts w:hint="eastAsia"/>
          <w:color w:val="auto"/>
        </w:rPr>
        <w:t>验收</w:t>
      </w:r>
      <w:r>
        <w:rPr>
          <w:color w:val="auto"/>
        </w:rPr>
        <w:t>调查结论</w:t>
      </w:r>
      <w:bookmarkEnd w:id="539"/>
    </w:p>
    <w:p w14:paraId="079B49BB">
      <w:pPr>
        <w:pStyle w:val="5"/>
        <w:rPr>
          <w:color w:val="auto"/>
        </w:rPr>
      </w:pPr>
      <w:bookmarkStart w:id="540" w:name="_Toc231283666"/>
      <w:r>
        <w:rPr>
          <w:rFonts w:hint="eastAsia"/>
          <w:color w:val="auto"/>
        </w:rPr>
        <w:t>工程调查结论</w:t>
      </w:r>
      <w:bookmarkEnd w:id="540"/>
    </w:p>
    <w:p w14:paraId="19610414">
      <w:pPr>
        <w:pStyle w:val="4"/>
        <w:ind w:firstLine="480"/>
        <w:rPr>
          <w:rFonts w:cs="宋体"/>
          <w:color w:val="auto"/>
          <w:spacing w:val="4"/>
        </w:rPr>
      </w:pPr>
      <w:r>
        <w:rPr>
          <w:rFonts w:hint="eastAsia"/>
          <w:color w:val="auto"/>
        </w:rPr>
        <w:t>本项目滚动开发工程共部署24口井，其中探井转开发井8口，新钻井</w:t>
      </w:r>
      <w:r>
        <w:rPr>
          <w:color w:val="auto"/>
        </w:rPr>
        <w:t>16口（油井9口、注水井7口）</w:t>
      </w:r>
      <w:r>
        <w:rPr>
          <w:rFonts w:hint="eastAsia"/>
          <w:color w:val="auto"/>
        </w:rPr>
        <w:t>，</w:t>
      </w:r>
      <w:r>
        <w:rPr>
          <w:color w:val="auto"/>
        </w:rPr>
        <w:t>分布于</w:t>
      </w:r>
      <w:r>
        <w:rPr>
          <w:rFonts w:hint="eastAsia"/>
          <w:color w:val="auto"/>
        </w:rPr>
        <w:t>11</w:t>
      </w:r>
      <w:r>
        <w:rPr>
          <w:color w:val="auto"/>
        </w:rPr>
        <w:t>座新建井场中</w:t>
      </w:r>
      <w:r>
        <w:rPr>
          <w:rFonts w:hint="eastAsia"/>
          <w:color w:val="auto"/>
        </w:rPr>
        <w:t>；</w:t>
      </w:r>
      <w:r>
        <w:rPr>
          <w:color w:val="auto"/>
        </w:rPr>
        <w:t>新建</w:t>
      </w:r>
      <w:r>
        <w:rPr>
          <w:rFonts w:hint="eastAsia"/>
          <w:color w:val="auto"/>
        </w:rPr>
        <w:t>了9座游梁式抽油机；</w:t>
      </w:r>
      <w:r>
        <w:rPr>
          <w:color w:val="auto"/>
        </w:rPr>
        <w:t>新建</w:t>
      </w:r>
      <w:r>
        <w:rPr>
          <w:rFonts w:hint="eastAsia"/>
          <w:color w:val="auto"/>
        </w:rPr>
        <w:t>了16</w:t>
      </w:r>
      <w:r>
        <w:rPr>
          <w:color w:val="auto"/>
        </w:rPr>
        <w:t>套</w:t>
      </w:r>
      <w:r>
        <w:rPr>
          <w:rFonts w:hint="eastAsia"/>
          <w:color w:val="auto"/>
        </w:rPr>
        <w:t>采油</w:t>
      </w:r>
      <w:r>
        <w:rPr>
          <w:color w:val="auto"/>
        </w:rPr>
        <w:t>井口装置</w:t>
      </w:r>
      <w:r>
        <w:rPr>
          <w:rFonts w:hint="eastAsia"/>
          <w:color w:val="auto"/>
        </w:rPr>
        <w:t>，7套注水井口装置；</w:t>
      </w:r>
      <w:r>
        <w:rPr>
          <w:rFonts w:hint="eastAsia"/>
          <w:snapToGrid w:val="0"/>
          <w:color w:val="auto"/>
        </w:rPr>
        <w:t>新建了</w:t>
      </w:r>
      <w:r>
        <w:rPr>
          <w:rFonts w:hint="eastAsia"/>
          <w:color w:val="auto"/>
          <w:kern w:val="0"/>
        </w:rPr>
        <w:t>φ6</w:t>
      </w:r>
      <w:r>
        <w:rPr>
          <w:color w:val="auto"/>
          <w:kern w:val="0"/>
        </w:rPr>
        <w:t>0×4mm</w:t>
      </w:r>
      <w:r>
        <w:rPr>
          <w:rFonts w:hint="eastAsia"/>
          <w:color w:val="auto"/>
          <w:kern w:val="0"/>
        </w:rPr>
        <w:t>单井集油管线共</w:t>
      </w:r>
      <w:r>
        <w:rPr>
          <w:color w:val="auto"/>
          <w:kern w:val="0"/>
        </w:rPr>
        <w:t>0.8km</w:t>
      </w:r>
      <w:r>
        <w:rPr>
          <w:rFonts w:hint="eastAsia"/>
          <w:color w:val="auto"/>
          <w:kern w:val="0"/>
        </w:rPr>
        <w:t>，新建了φ</w:t>
      </w:r>
      <w:r>
        <w:rPr>
          <w:color w:val="auto"/>
          <w:kern w:val="0"/>
        </w:rPr>
        <w:t>114×5mm</w:t>
      </w:r>
      <w:r>
        <w:rPr>
          <w:rFonts w:hint="eastAsia"/>
          <w:color w:val="auto"/>
          <w:kern w:val="0"/>
        </w:rPr>
        <w:t>集油支线共4</w:t>
      </w:r>
      <w:r>
        <w:rPr>
          <w:color w:val="auto"/>
          <w:kern w:val="0"/>
        </w:rPr>
        <w:t>.02km</w:t>
      </w:r>
      <w:r>
        <w:rPr>
          <w:rFonts w:hint="eastAsia"/>
          <w:color w:val="auto"/>
        </w:rPr>
        <w:t>；新建了φ76×11mm单井注水管线共0.05km，新建了DN150注水管线共2.2km，新建了DN110注水管线共0.5km，合计2.75km；新建了9台40m</w:t>
      </w:r>
      <w:r>
        <w:rPr>
          <w:rFonts w:hint="eastAsia"/>
          <w:color w:val="auto"/>
          <w:vertAlign w:val="superscript"/>
        </w:rPr>
        <w:t>3</w:t>
      </w:r>
      <w:r>
        <w:rPr>
          <w:rFonts w:hint="eastAsia"/>
          <w:color w:val="auto"/>
        </w:rPr>
        <w:t>多功能罐（电加热），燃气水套炉4座；高青管理区地面系统优化建设工程实施了樊101、高21、樊18共3个区块集输系统改造；樊101块、樊121块、高21块、樊18区块、樊26区块、樊11区块等6个区块注水系统改造，</w:t>
      </w:r>
      <w:r>
        <w:rPr>
          <w:color w:val="auto"/>
        </w:rPr>
        <w:t>配套建设供配电、自控及道路等工程。</w:t>
      </w:r>
      <w:r>
        <w:rPr>
          <w:rFonts w:cs="宋体"/>
          <w:color w:val="auto"/>
          <w:spacing w:val="4"/>
        </w:rPr>
        <w:t>实际总投资为</w:t>
      </w:r>
      <w:r>
        <w:rPr>
          <w:rFonts w:hint="eastAsia" w:cs="宋体"/>
          <w:color w:val="auto"/>
          <w:spacing w:val="4"/>
        </w:rPr>
        <w:t>38353万元，实际</w:t>
      </w:r>
      <w:r>
        <w:rPr>
          <w:rFonts w:cs="宋体"/>
          <w:color w:val="auto"/>
          <w:spacing w:val="4"/>
        </w:rPr>
        <w:t>环保投资346万元</w:t>
      </w:r>
      <w:r>
        <w:rPr>
          <w:rFonts w:hint="eastAsia"/>
          <w:color w:val="auto"/>
        </w:rPr>
        <w:t>。</w:t>
      </w:r>
    </w:p>
    <w:p w14:paraId="62B30D9C">
      <w:pPr>
        <w:pStyle w:val="14"/>
        <w:tabs>
          <w:tab w:val="left" w:pos="1330"/>
        </w:tabs>
        <w:adjustRightInd w:val="0"/>
        <w:spacing w:line="331" w:lineRule="auto"/>
        <w:ind w:firstLine="480" w:firstLineChars="200"/>
        <w:rPr>
          <w:rFonts w:ascii="宋体" w:hAnsi="宋体"/>
          <w:color w:val="auto"/>
          <w:spacing w:val="0"/>
        </w:rPr>
      </w:pPr>
      <w:r>
        <w:rPr>
          <w:rFonts w:hint="eastAsia" w:ascii="宋体" w:hAnsi="宋体"/>
          <w:color w:val="auto"/>
          <w:spacing w:val="0"/>
        </w:rPr>
        <w:t>本期工程</w:t>
      </w:r>
      <w:r>
        <w:rPr>
          <w:rFonts w:ascii="宋体" w:hAnsi="宋体"/>
          <w:color w:val="auto"/>
          <w:spacing w:val="0"/>
        </w:rPr>
        <w:t>于2024年9</w:t>
      </w:r>
      <w:r>
        <w:rPr>
          <w:rFonts w:hint="eastAsia" w:ascii="宋体" w:hAnsi="宋体"/>
          <w:color w:val="auto"/>
          <w:spacing w:val="0"/>
        </w:rPr>
        <w:t>月</w:t>
      </w:r>
      <w:r>
        <w:rPr>
          <w:rFonts w:ascii="宋体" w:hAnsi="宋体"/>
          <w:color w:val="auto"/>
          <w:spacing w:val="0"/>
        </w:rPr>
        <w:t>3</w:t>
      </w:r>
      <w:r>
        <w:rPr>
          <w:rFonts w:hint="eastAsia" w:ascii="宋体" w:hAnsi="宋体"/>
          <w:color w:val="auto"/>
          <w:spacing w:val="0"/>
        </w:rPr>
        <w:t>日</w:t>
      </w:r>
      <w:r>
        <w:rPr>
          <w:rFonts w:ascii="宋体" w:hAnsi="宋体"/>
          <w:color w:val="auto"/>
          <w:spacing w:val="0"/>
        </w:rPr>
        <w:t>开工建设</w:t>
      </w:r>
      <w:r>
        <w:rPr>
          <w:rFonts w:hint="eastAsia" w:ascii="宋体" w:hAnsi="宋体"/>
          <w:color w:val="auto"/>
          <w:spacing w:val="0"/>
        </w:rPr>
        <w:t>，202</w:t>
      </w:r>
      <w:r>
        <w:rPr>
          <w:rFonts w:ascii="宋体" w:hAnsi="宋体"/>
          <w:color w:val="auto"/>
          <w:spacing w:val="0"/>
        </w:rPr>
        <w:t>5</w:t>
      </w:r>
      <w:r>
        <w:rPr>
          <w:rFonts w:hint="eastAsia" w:ascii="宋体" w:hAnsi="宋体"/>
          <w:color w:val="auto"/>
          <w:spacing w:val="0"/>
        </w:rPr>
        <w:t>年</w:t>
      </w:r>
      <w:r>
        <w:rPr>
          <w:rFonts w:ascii="宋体" w:hAnsi="宋体"/>
          <w:color w:val="auto"/>
          <w:spacing w:val="0"/>
        </w:rPr>
        <w:t>12</w:t>
      </w:r>
      <w:r>
        <w:rPr>
          <w:rFonts w:hint="eastAsia" w:ascii="宋体" w:hAnsi="宋体"/>
          <w:color w:val="auto"/>
          <w:spacing w:val="0"/>
        </w:rPr>
        <w:t>月</w:t>
      </w:r>
      <w:r>
        <w:rPr>
          <w:rFonts w:ascii="宋体" w:hAnsi="宋体"/>
          <w:color w:val="auto"/>
          <w:spacing w:val="0"/>
        </w:rPr>
        <w:t>29</w:t>
      </w:r>
      <w:r>
        <w:rPr>
          <w:rFonts w:hint="eastAsia" w:ascii="宋体" w:hAnsi="宋体"/>
          <w:color w:val="auto"/>
          <w:spacing w:val="0"/>
        </w:rPr>
        <w:t>日</w:t>
      </w:r>
      <w:r>
        <w:rPr>
          <w:rFonts w:ascii="宋体" w:hAnsi="宋体"/>
          <w:color w:val="auto"/>
          <w:spacing w:val="0"/>
        </w:rPr>
        <w:t>全部建设完成。截至</w:t>
      </w:r>
      <w:r>
        <w:rPr>
          <w:rFonts w:hint="eastAsia" w:ascii="宋体" w:hAnsi="宋体"/>
          <w:color w:val="auto"/>
          <w:spacing w:val="0"/>
        </w:rPr>
        <w:t>目前</w:t>
      </w:r>
      <w:r>
        <w:rPr>
          <w:rFonts w:ascii="宋体" w:hAnsi="宋体"/>
          <w:color w:val="auto"/>
          <w:spacing w:val="0"/>
        </w:rPr>
        <w:t>，</w:t>
      </w:r>
      <w:r>
        <w:rPr>
          <w:rFonts w:hint="eastAsia" w:ascii="宋体" w:hAnsi="宋体"/>
          <w:color w:val="auto"/>
          <w:spacing w:val="0"/>
        </w:rPr>
        <w:t>本项目运行工况稳定</w:t>
      </w:r>
      <w:r>
        <w:rPr>
          <w:rFonts w:ascii="宋体" w:hAnsi="宋体"/>
          <w:color w:val="auto"/>
          <w:spacing w:val="0"/>
        </w:rPr>
        <w:t>。</w:t>
      </w:r>
      <w:r>
        <w:rPr>
          <w:rFonts w:hint="eastAsia" w:ascii="宋体" w:hAnsi="宋体"/>
          <w:color w:val="auto"/>
          <w:spacing w:val="0"/>
        </w:rPr>
        <w:t>验收</w:t>
      </w:r>
      <w:r>
        <w:rPr>
          <w:rFonts w:ascii="宋体" w:hAnsi="宋体"/>
          <w:color w:val="auto"/>
          <w:spacing w:val="0"/>
        </w:rPr>
        <w:t>调查期间，</w:t>
      </w:r>
      <w:r>
        <w:rPr>
          <w:rFonts w:hint="eastAsia" w:ascii="宋体" w:hAnsi="宋体"/>
          <w:color w:val="auto"/>
          <w:spacing w:val="0"/>
        </w:rPr>
        <w:t>本项目</w:t>
      </w:r>
      <w:r>
        <w:rPr>
          <w:rFonts w:ascii="宋体" w:hAnsi="宋体"/>
          <w:color w:val="auto"/>
          <w:spacing w:val="0"/>
        </w:rPr>
        <w:t>环境保护</w:t>
      </w:r>
      <w:r>
        <w:rPr>
          <w:rFonts w:hint="eastAsia" w:ascii="宋体" w:hAnsi="宋体"/>
          <w:color w:val="auto"/>
          <w:spacing w:val="0"/>
        </w:rPr>
        <w:t>设施及</w:t>
      </w:r>
      <w:r>
        <w:rPr>
          <w:rFonts w:ascii="宋体" w:hAnsi="宋体"/>
          <w:color w:val="auto"/>
          <w:spacing w:val="0"/>
        </w:rPr>
        <w:t>依托工程运行正常</w:t>
      </w:r>
      <w:r>
        <w:rPr>
          <w:rFonts w:hint="eastAsia" w:ascii="宋体" w:hAnsi="宋体"/>
          <w:color w:val="auto"/>
          <w:spacing w:val="0"/>
        </w:rPr>
        <w:t>，</w:t>
      </w:r>
      <w:r>
        <w:rPr>
          <w:rFonts w:ascii="宋体" w:hAnsi="宋体"/>
          <w:color w:val="auto"/>
          <w:spacing w:val="0"/>
        </w:rPr>
        <w:t>具备验收条件。</w:t>
      </w:r>
    </w:p>
    <w:p w14:paraId="0FBB927C">
      <w:pPr>
        <w:pStyle w:val="128"/>
        <w:widowControl w:val="0"/>
        <w:spacing w:line="331" w:lineRule="auto"/>
        <w:ind w:firstLine="480"/>
        <w:jc w:val="both"/>
        <w:rPr>
          <w:color w:val="auto"/>
        </w:rPr>
      </w:pPr>
      <w:r>
        <w:rPr>
          <w:rFonts w:hint="eastAsia"/>
          <w:snapToGrid w:val="0"/>
          <w:color w:val="auto"/>
        </w:rPr>
        <w:t>经现场调查，实际</w:t>
      </w:r>
      <w:r>
        <w:rPr>
          <w:snapToGrid w:val="0"/>
          <w:color w:val="auto"/>
        </w:rPr>
        <w:t>建设内容与</w:t>
      </w:r>
      <w:r>
        <w:rPr>
          <w:rFonts w:hint="eastAsia"/>
          <w:snapToGrid w:val="0"/>
          <w:color w:val="auto"/>
        </w:rPr>
        <w:t>环评批复及报告书中的工程内容存在少量</w:t>
      </w:r>
      <w:r>
        <w:rPr>
          <w:snapToGrid w:val="0"/>
          <w:color w:val="auto"/>
        </w:rPr>
        <w:t>变动，</w:t>
      </w:r>
      <w:r>
        <w:rPr>
          <w:rFonts w:hint="eastAsia"/>
          <w:snapToGrid w:val="0"/>
          <w:color w:val="auto"/>
        </w:rPr>
        <w:t>经过</w:t>
      </w:r>
      <w:r>
        <w:rPr>
          <w:snapToGrid w:val="0"/>
          <w:color w:val="auto"/>
        </w:rPr>
        <w:t>分析，</w:t>
      </w:r>
      <w:r>
        <w:rPr>
          <w:rFonts w:hint="eastAsia" w:cs="宋体"/>
          <w:color w:val="auto"/>
          <w:spacing w:val="4"/>
          <w:szCs w:val="24"/>
        </w:rPr>
        <w:t>不属于</w:t>
      </w:r>
      <w:r>
        <w:rPr>
          <w:rFonts w:hint="eastAsia"/>
          <w:snapToGrid w:val="0"/>
          <w:color w:val="auto"/>
        </w:rPr>
        <w:t>《关于印发环评管理中部分行业建设项目重大变动清单的通知》（环办[2015]52号）、《关于进一步加强石油天然气行业环境影响评价管理的通知》（环办环评函[2019]910号）中的重大变动。</w:t>
      </w:r>
    </w:p>
    <w:p w14:paraId="35BD90BA">
      <w:pPr>
        <w:pStyle w:val="4"/>
        <w:ind w:firstLine="480"/>
        <w:rPr>
          <w:snapToGrid w:val="0"/>
          <w:color w:val="auto"/>
          <w:lang w:val="zh-CN"/>
        </w:rPr>
      </w:pPr>
      <w:r>
        <w:rPr>
          <w:snapToGrid w:val="0"/>
          <w:color w:val="auto"/>
          <w:lang w:val="zh-CN"/>
        </w:rPr>
        <w:t>通过对</w:t>
      </w:r>
      <w:r>
        <w:rPr>
          <w:rFonts w:hint="eastAsia"/>
          <w:snapToGrid w:val="0"/>
          <w:color w:val="auto"/>
          <w:lang w:val="zh-CN"/>
        </w:rPr>
        <w:t>高青</w:t>
      </w:r>
      <w:r>
        <w:rPr>
          <w:rFonts w:hint="eastAsia"/>
          <w:color w:val="auto"/>
          <w:lang w:val="zh-CN"/>
        </w:rPr>
        <w:t>公司</w:t>
      </w:r>
      <w:r>
        <w:rPr>
          <w:rFonts w:hint="eastAsia"/>
          <w:color w:val="auto"/>
        </w:rPr>
        <w:t>“大芦湖油田产能建设项目（2023-2025年）（一期）”</w:t>
      </w:r>
      <w:r>
        <w:rPr>
          <w:snapToGrid w:val="0"/>
          <w:color w:val="auto"/>
          <w:lang w:val="zh-CN"/>
        </w:rPr>
        <w:t>环境保护制度执行情况、环境保护措施落实情况的调查，以及</w:t>
      </w:r>
      <w:r>
        <w:rPr>
          <w:rFonts w:hint="eastAsia"/>
          <w:snapToGrid w:val="0"/>
          <w:color w:val="auto"/>
          <w:lang w:val="zh-CN"/>
        </w:rPr>
        <w:t>本期工程</w:t>
      </w:r>
      <w:r>
        <w:rPr>
          <w:snapToGrid w:val="0"/>
          <w:color w:val="auto"/>
          <w:lang w:val="zh-CN"/>
        </w:rPr>
        <w:t>的建设及运行对环境影响</w:t>
      </w:r>
      <w:r>
        <w:rPr>
          <w:rFonts w:hint="eastAsia"/>
          <w:snapToGrid w:val="0"/>
          <w:color w:val="auto"/>
          <w:lang w:val="zh-CN"/>
        </w:rPr>
        <w:t>的监测</w:t>
      </w:r>
      <w:r>
        <w:rPr>
          <w:snapToGrid w:val="0"/>
          <w:color w:val="auto"/>
          <w:lang w:val="zh-CN"/>
        </w:rPr>
        <w:t>结果的分析与评价，从环境保护角度对项目提出如下调查结论和建议。</w:t>
      </w:r>
    </w:p>
    <w:p w14:paraId="242ABC16">
      <w:pPr>
        <w:pStyle w:val="5"/>
        <w:rPr>
          <w:color w:val="auto"/>
        </w:rPr>
      </w:pPr>
      <w:bookmarkStart w:id="541" w:name="_Toc231283667"/>
      <w:bookmarkStart w:id="542" w:name="_Toc437957506"/>
      <w:bookmarkStart w:id="543" w:name="_Toc214272085"/>
      <w:bookmarkStart w:id="544" w:name="_Toc377743477"/>
      <w:bookmarkStart w:id="545" w:name="_Toc240769401"/>
      <w:r>
        <w:rPr>
          <w:rFonts w:hint="eastAsia"/>
          <w:color w:val="auto"/>
        </w:rPr>
        <w:t>工程</w:t>
      </w:r>
      <w:r>
        <w:rPr>
          <w:color w:val="auto"/>
        </w:rPr>
        <w:t>建设对环境的影响</w:t>
      </w:r>
      <w:bookmarkEnd w:id="541"/>
    </w:p>
    <w:bookmarkEnd w:id="542"/>
    <w:bookmarkEnd w:id="543"/>
    <w:bookmarkEnd w:id="544"/>
    <w:bookmarkEnd w:id="545"/>
    <w:p w14:paraId="20A2D7DB">
      <w:pPr>
        <w:pStyle w:val="6"/>
        <w:rPr>
          <w:color w:val="auto"/>
        </w:rPr>
      </w:pPr>
      <w:bookmarkStart w:id="546" w:name="OLE_LINK20"/>
      <w:r>
        <w:rPr>
          <w:color w:val="auto"/>
        </w:rPr>
        <w:t>生态影响</w:t>
      </w:r>
    </w:p>
    <w:p w14:paraId="5E57F51D">
      <w:pPr>
        <w:pStyle w:val="4"/>
        <w:ind w:firstLine="480"/>
        <w:rPr>
          <w:color w:val="auto"/>
        </w:rPr>
      </w:pPr>
      <w:r>
        <w:rPr>
          <w:rFonts w:hint="eastAsia"/>
          <w:color w:val="auto"/>
        </w:rPr>
        <w:t>据统计</w:t>
      </w:r>
      <w:r>
        <w:rPr>
          <w:color w:val="auto"/>
        </w:rPr>
        <w:t>，</w:t>
      </w:r>
      <w:r>
        <w:rPr>
          <w:rFonts w:hint="eastAsia"/>
          <w:color w:val="auto"/>
        </w:rPr>
        <w:t>本项目</w:t>
      </w:r>
      <w:r>
        <w:rPr>
          <w:color w:val="auto"/>
        </w:rPr>
        <w:t>占地类型主要为未利用地</w:t>
      </w:r>
      <w:r>
        <w:rPr>
          <w:rFonts w:hint="eastAsia"/>
          <w:color w:val="auto"/>
        </w:rPr>
        <w:t>、</w:t>
      </w:r>
      <w:r>
        <w:rPr>
          <w:color w:val="auto"/>
        </w:rPr>
        <w:t>工矿仓储用地</w:t>
      </w:r>
      <w:r>
        <w:rPr>
          <w:rFonts w:hint="eastAsia"/>
          <w:color w:val="auto"/>
        </w:rPr>
        <w:t>、草地、农田等</w:t>
      </w:r>
      <w:r>
        <w:rPr>
          <w:color w:val="auto"/>
        </w:rPr>
        <w:t>，</w:t>
      </w:r>
      <w:r>
        <w:rPr>
          <w:rFonts w:hint="eastAsia"/>
          <w:color w:val="auto"/>
        </w:rPr>
        <w:t>随着施工的结束，临时占地已进行了</w:t>
      </w:r>
      <w:r>
        <w:rPr>
          <w:color w:val="auto"/>
        </w:rPr>
        <w:t>地貌恢复</w:t>
      </w:r>
      <w:r>
        <w:rPr>
          <w:rFonts w:hint="eastAsia"/>
          <w:color w:val="auto"/>
          <w:lang w:val="en-GB"/>
        </w:rPr>
        <w:t>，</w:t>
      </w:r>
      <w:r>
        <w:rPr>
          <w:color w:val="auto"/>
          <w:lang w:val="en-GB"/>
        </w:rPr>
        <w:t>未改变土地利用性质</w:t>
      </w:r>
      <w:r>
        <w:rPr>
          <w:color w:val="auto"/>
        </w:rPr>
        <w:t>，</w:t>
      </w:r>
      <w:r>
        <w:rPr>
          <w:rFonts w:hint="eastAsia"/>
          <w:color w:val="auto"/>
        </w:rPr>
        <w:t>对生态环境</w:t>
      </w:r>
      <w:r>
        <w:rPr>
          <w:color w:val="auto"/>
        </w:rPr>
        <w:t>的影响</w:t>
      </w:r>
      <w:r>
        <w:rPr>
          <w:rFonts w:hint="eastAsia"/>
          <w:color w:val="auto"/>
        </w:rPr>
        <w:t>较小。</w:t>
      </w:r>
    </w:p>
    <w:p w14:paraId="19ABE945">
      <w:pPr>
        <w:pStyle w:val="4"/>
        <w:ind w:firstLine="480"/>
        <w:rPr>
          <w:color w:val="auto"/>
        </w:rPr>
      </w:pPr>
      <w:r>
        <w:rPr>
          <w:rFonts w:hint="eastAsia"/>
          <w:snapToGrid w:val="0"/>
          <w:color w:val="auto"/>
        </w:rPr>
        <w:t>本项目钻井</w:t>
      </w:r>
      <w:r>
        <w:rPr>
          <w:snapToGrid w:val="0"/>
          <w:color w:val="auto"/>
        </w:rPr>
        <w:t>期间采用了</w:t>
      </w:r>
      <w:r>
        <w:rPr>
          <w:rFonts w:hint="eastAsia"/>
          <w:snapToGrid w:val="0"/>
          <w:color w:val="auto"/>
        </w:rPr>
        <w:t>“泥浆不落地”工艺。</w:t>
      </w:r>
      <w:r>
        <w:rPr>
          <w:rFonts w:hint="eastAsia"/>
          <w:color w:val="auto"/>
        </w:rPr>
        <w:t>根据</w:t>
      </w:r>
      <w:r>
        <w:rPr>
          <w:color w:val="auto"/>
        </w:rPr>
        <w:t>监测结果，</w:t>
      </w:r>
      <w:r>
        <w:rPr>
          <w:rFonts w:hint="eastAsia"/>
          <w:color w:val="auto"/>
        </w:rPr>
        <w:t>井场</w:t>
      </w:r>
      <w:r>
        <w:rPr>
          <w:color w:val="auto"/>
        </w:rPr>
        <w:t>内</w:t>
      </w:r>
      <w:r>
        <w:rPr>
          <w:rFonts w:hint="eastAsia"/>
          <w:color w:val="auto"/>
        </w:rPr>
        <w:t>监测</w:t>
      </w:r>
      <w:r>
        <w:rPr>
          <w:color w:val="auto"/>
        </w:rPr>
        <w:t>点位</w:t>
      </w:r>
      <w:r>
        <w:rPr>
          <w:rFonts w:hint="eastAsia"/>
          <w:color w:val="auto"/>
        </w:rPr>
        <w:t>均</w:t>
      </w:r>
      <w:r>
        <w:rPr>
          <w:color w:val="auto"/>
        </w:rPr>
        <w:t>满足</w:t>
      </w:r>
      <w:r>
        <w:rPr>
          <w:rFonts w:hint="eastAsia"/>
          <w:color w:val="auto"/>
        </w:rPr>
        <w:t>《土壤环境质量 建设用地土壤污染风险管控标准（试行）》（GB 36600-2018）中第二类用地</w:t>
      </w:r>
      <w:r>
        <w:rPr>
          <w:color w:val="auto"/>
        </w:rPr>
        <w:t>筛选值</w:t>
      </w:r>
      <w:r>
        <w:rPr>
          <w:rFonts w:hint="eastAsia"/>
          <w:color w:val="auto"/>
        </w:rPr>
        <w:t>标准，本项目</w:t>
      </w:r>
      <w:r>
        <w:rPr>
          <w:color w:val="auto"/>
        </w:rPr>
        <w:t>的建设与运行</w:t>
      </w:r>
      <w:r>
        <w:rPr>
          <w:rFonts w:hint="eastAsia"/>
          <w:color w:val="auto"/>
        </w:rPr>
        <w:t>对</w:t>
      </w:r>
      <w:r>
        <w:rPr>
          <w:color w:val="auto"/>
        </w:rPr>
        <w:t>周边土壤环境影响较轻</w:t>
      </w:r>
      <w:r>
        <w:rPr>
          <w:rFonts w:hint="eastAsia"/>
          <w:snapToGrid w:val="0"/>
          <w:color w:val="auto"/>
        </w:rPr>
        <w:t>。</w:t>
      </w:r>
    </w:p>
    <w:p w14:paraId="75A175FD">
      <w:pPr>
        <w:pStyle w:val="6"/>
        <w:rPr>
          <w:color w:val="auto"/>
        </w:rPr>
      </w:pPr>
      <w:r>
        <w:rPr>
          <w:color w:val="auto"/>
        </w:rPr>
        <w:t>大气环境影响</w:t>
      </w:r>
    </w:p>
    <w:p w14:paraId="0A5E3532">
      <w:pPr>
        <w:pStyle w:val="4"/>
        <w:ind w:firstLine="480"/>
        <w:rPr>
          <w:snapToGrid w:val="0"/>
          <w:color w:val="auto"/>
        </w:rPr>
      </w:pPr>
      <w:r>
        <w:rPr>
          <w:snapToGrid w:val="0"/>
          <w:color w:val="auto"/>
        </w:rPr>
        <w:t>通过现场调查，建设单位在施工期及运营期均采取了必要的大气污染防治措施，项目施工期及</w:t>
      </w:r>
      <w:r>
        <w:rPr>
          <w:rFonts w:hint="eastAsia"/>
          <w:snapToGrid w:val="0"/>
          <w:color w:val="auto"/>
        </w:rPr>
        <w:t>调试</w:t>
      </w:r>
      <w:r>
        <w:rPr>
          <w:snapToGrid w:val="0"/>
          <w:color w:val="auto"/>
        </w:rPr>
        <w:t>期间</w:t>
      </w:r>
      <w:r>
        <w:rPr>
          <w:rFonts w:hint="eastAsia"/>
          <w:snapToGrid w:val="0"/>
          <w:color w:val="auto"/>
        </w:rPr>
        <w:t>未</w:t>
      </w:r>
      <w:r>
        <w:rPr>
          <w:snapToGrid w:val="0"/>
          <w:color w:val="auto"/>
        </w:rPr>
        <w:t>大气环境</w:t>
      </w:r>
      <w:r>
        <w:rPr>
          <w:rFonts w:hint="eastAsia"/>
          <w:snapToGrid w:val="0"/>
          <w:color w:val="auto"/>
        </w:rPr>
        <w:t>造成</w:t>
      </w:r>
      <w:r>
        <w:rPr>
          <w:snapToGrid w:val="0"/>
          <w:color w:val="auto"/>
        </w:rPr>
        <w:t>不利影响。</w:t>
      </w:r>
    </w:p>
    <w:p w14:paraId="791DA3D4">
      <w:pPr>
        <w:pStyle w:val="4"/>
        <w:ind w:firstLine="480"/>
        <w:rPr>
          <w:snapToGrid w:val="0"/>
          <w:color w:val="auto"/>
        </w:rPr>
      </w:pPr>
      <w:r>
        <w:rPr>
          <w:rFonts w:hint="eastAsia" w:cs="宋体"/>
          <w:color w:val="auto"/>
        </w:rPr>
        <w:t>施工期采取</w:t>
      </w:r>
      <w:r>
        <w:rPr>
          <w:rFonts w:cs="宋体"/>
          <w:color w:val="auto"/>
        </w:rPr>
        <w:t>了</w:t>
      </w:r>
      <w:r>
        <w:rPr>
          <w:rFonts w:hint="eastAsia" w:cs="宋体"/>
          <w:color w:val="auto"/>
        </w:rPr>
        <w:t>施工区域道路、场地定期洒水抑尘，或控制车辆装载量并采取密闭或者遮盖等</w:t>
      </w:r>
      <w:r>
        <w:rPr>
          <w:rFonts w:cs="宋体"/>
          <w:color w:val="auto"/>
        </w:rPr>
        <w:t>措施</w:t>
      </w:r>
      <w:r>
        <w:rPr>
          <w:rFonts w:hint="eastAsia" w:cs="宋体"/>
          <w:color w:val="auto"/>
        </w:rPr>
        <w:t>。采用了符合国家标准的汽油</w:t>
      </w:r>
      <w:r>
        <w:rPr>
          <w:rFonts w:cs="宋体"/>
          <w:color w:val="auto"/>
        </w:rPr>
        <w:t>、柴油</w:t>
      </w:r>
      <w:r>
        <w:rPr>
          <w:rFonts w:hint="eastAsia" w:cs="宋体"/>
          <w:color w:val="auto"/>
        </w:rPr>
        <w:t>与合格的施工机械、车辆，减轻</w:t>
      </w:r>
      <w:r>
        <w:rPr>
          <w:rFonts w:cs="宋体"/>
          <w:color w:val="auto"/>
        </w:rPr>
        <w:t>了</w:t>
      </w:r>
      <w:r>
        <w:rPr>
          <w:rFonts w:hint="eastAsia" w:cs="宋体"/>
          <w:color w:val="auto"/>
        </w:rPr>
        <w:t>废</w:t>
      </w:r>
      <w:r>
        <w:rPr>
          <w:rFonts w:cs="宋体"/>
          <w:color w:val="auto"/>
        </w:rPr>
        <w:t>气</w:t>
      </w:r>
      <w:r>
        <w:rPr>
          <w:rFonts w:hint="eastAsia" w:cs="宋体"/>
          <w:color w:val="auto"/>
        </w:rPr>
        <w:t>排放</w:t>
      </w:r>
      <w:r>
        <w:rPr>
          <w:rFonts w:cs="宋体"/>
          <w:color w:val="auto"/>
        </w:rPr>
        <w:t>对周边环境的</w:t>
      </w:r>
      <w:r>
        <w:rPr>
          <w:rFonts w:hint="eastAsia" w:cs="宋体"/>
          <w:color w:val="auto"/>
        </w:rPr>
        <w:t>影响。</w:t>
      </w:r>
    </w:p>
    <w:p w14:paraId="4231CD53">
      <w:pPr>
        <w:pStyle w:val="4"/>
        <w:ind w:firstLine="480"/>
        <w:rPr>
          <w:color w:val="auto"/>
        </w:rPr>
      </w:pPr>
      <w:r>
        <w:rPr>
          <w:rFonts w:hint="eastAsia"/>
          <w:snapToGrid w:val="0"/>
          <w:color w:val="auto"/>
        </w:rPr>
        <w:t>根据验收调查</w:t>
      </w:r>
      <w:r>
        <w:rPr>
          <w:snapToGrid w:val="0"/>
          <w:color w:val="auto"/>
        </w:rPr>
        <w:t>期间</w:t>
      </w:r>
      <w:r>
        <w:rPr>
          <w:rFonts w:hint="eastAsia"/>
          <w:snapToGrid w:val="0"/>
          <w:color w:val="auto"/>
        </w:rPr>
        <w:t>监测</w:t>
      </w:r>
      <w:r>
        <w:rPr>
          <w:snapToGrid w:val="0"/>
          <w:color w:val="auto"/>
        </w:rPr>
        <w:t>结果</w:t>
      </w:r>
      <w:r>
        <w:rPr>
          <w:color w:val="auto"/>
        </w:rPr>
        <w:t>，</w:t>
      </w:r>
      <w:r>
        <w:rPr>
          <w:rFonts w:hint="eastAsia"/>
          <w:snapToGrid w:val="0"/>
          <w:color w:val="auto"/>
        </w:rPr>
        <w:t>厂界无组织</w:t>
      </w:r>
      <w:r>
        <w:rPr>
          <w:snapToGrid w:val="0"/>
          <w:color w:val="auto"/>
        </w:rPr>
        <w:t>挥发</w:t>
      </w:r>
      <w:r>
        <w:rPr>
          <w:color w:val="auto"/>
        </w:rPr>
        <w:t>非甲烷总烃</w:t>
      </w:r>
      <w:r>
        <w:rPr>
          <w:color w:val="auto"/>
          <w:kern w:val="0"/>
          <w:szCs w:val="20"/>
        </w:rPr>
        <w:t>浓度</w:t>
      </w:r>
      <w:r>
        <w:rPr>
          <w:rFonts w:hint="eastAsia"/>
          <w:color w:val="auto"/>
          <w:kern w:val="0"/>
          <w:szCs w:val="20"/>
        </w:rPr>
        <w:t>满足</w:t>
      </w:r>
      <w:r>
        <w:rPr>
          <w:rFonts w:hint="eastAsia"/>
          <w:color w:val="auto"/>
        </w:rPr>
        <w:t>《挥发性有机物排放标准 第7部分：其他行业》（DB37/ 2801.7-2019）表2中VOCs厂界监控点浓度限值（2.0mg/m</w:t>
      </w:r>
      <w:r>
        <w:rPr>
          <w:rFonts w:hint="eastAsia"/>
          <w:color w:val="auto"/>
          <w:vertAlign w:val="superscript"/>
        </w:rPr>
        <w:t>3</w:t>
      </w:r>
      <w:r>
        <w:rPr>
          <w:rFonts w:hint="eastAsia"/>
          <w:color w:val="auto"/>
        </w:rPr>
        <w:t>）要求</w:t>
      </w:r>
      <w:r>
        <w:rPr>
          <w:rFonts w:hint="eastAsia"/>
          <w:snapToGrid w:val="0"/>
          <w:color w:val="auto"/>
        </w:rPr>
        <w:t>，硫化氢浓度满足</w:t>
      </w:r>
      <w:r>
        <w:rPr>
          <w:rFonts w:hint="eastAsia"/>
          <w:color w:val="auto"/>
        </w:rPr>
        <w:t>《恶臭污染物排放标准》（GB 14554-1993）厂界标准（0</w:t>
      </w:r>
      <w:r>
        <w:rPr>
          <w:color w:val="auto"/>
        </w:rPr>
        <w:t>.06</w:t>
      </w:r>
      <w:r>
        <w:rPr>
          <w:rFonts w:hint="eastAsia"/>
          <w:color w:val="auto"/>
        </w:rPr>
        <w:t xml:space="preserve"> mg/m</w:t>
      </w:r>
      <w:r>
        <w:rPr>
          <w:rFonts w:hint="eastAsia"/>
          <w:color w:val="auto"/>
          <w:vertAlign w:val="superscript"/>
        </w:rPr>
        <w:t>3</w:t>
      </w:r>
      <w:r>
        <w:rPr>
          <w:rFonts w:hint="eastAsia"/>
          <w:color w:val="auto"/>
        </w:rPr>
        <w:t>）；加热炉废气中的</w:t>
      </w:r>
      <w:r>
        <w:rPr>
          <w:rFonts w:hint="eastAsia"/>
          <w:snapToGrid w:val="0"/>
          <w:color w:val="auto"/>
        </w:rPr>
        <w:t>SO</w:t>
      </w:r>
      <w:r>
        <w:rPr>
          <w:rFonts w:hint="eastAsia"/>
          <w:snapToGrid w:val="0"/>
          <w:color w:val="auto"/>
          <w:vertAlign w:val="subscript"/>
        </w:rPr>
        <w:t>2</w:t>
      </w:r>
      <w:r>
        <w:rPr>
          <w:rFonts w:hint="eastAsia"/>
          <w:snapToGrid w:val="0"/>
          <w:color w:val="auto"/>
        </w:rPr>
        <w:t>、NO</w:t>
      </w:r>
      <w:r>
        <w:rPr>
          <w:rFonts w:hint="eastAsia"/>
          <w:snapToGrid w:val="0"/>
          <w:color w:val="auto"/>
          <w:vertAlign w:val="subscript"/>
        </w:rPr>
        <w:t>X</w:t>
      </w:r>
      <w:r>
        <w:rPr>
          <w:rFonts w:hint="eastAsia"/>
          <w:snapToGrid w:val="0"/>
          <w:color w:val="auto"/>
        </w:rPr>
        <w:t>和颗粒物能够满足</w:t>
      </w:r>
      <w:r>
        <w:rPr>
          <w:rFonts w:hint="eastAsia" w:cs="宋体"/>
          <w:color w:val="auto"/>
          <w:kern w:val="0"/>
        </w:rPr>
        <w:t>《锅炉大气污染物排放标准》（DB37/ 2374-2018）表2重点控制区要求</w:t>
      </w:r>
      <w:r>
        <w:rPr>
          <w:rFonts w:hint="eastAsia"/>
          <w:color w:val="auto"/>
        </w:rPr>
        <w:t>（SO</w:t>
      </w:r>
      <w:r>
        <w:rPr>
          <w:rFonts w:hint="eastAsia"/>
          <w:color w:val="auto"/>
          <w:vertAlign w:val="subscript"/>
        </w:rPr>
        <w:t>2</w:t>
      </w:r>
      <w:r>
        <w:rPr>
          <w:rFonts w:hint="eastAsia"/>
          <w:color w:val="auto"/>
        </w:rPr>
        <w:t>：50mg/m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：100mg/m</w:t>
      </w:r>
      <w:r>
        <w:rPr>
          <w:rFonts w:hint="eastAsia"/>
          <w:color w:val="auto"/>
          <w:vertAlign w:val="superscript"/>
        </w:rPr>
        <w:t>3</w:t>
      </w:r>
      <w:r>
        <w:rPr>
          <w:rFonts w:hint="eastAsia"/>
          <w:color w:val="auto"/>
        </w:rPr>
        <w:t>、</w:t>
      </w:r>
      <w:r>
        <w:rPr>
          <w:rFonts w:hint="eastAsia" w:cs="宋体"/>
          <w:color w:val="auto"/>
          <w:kern w:val="0"/>
        </w:rPr>
        <w:t>颗粒物</w:t>
      </w:r>
      <w:r>
        <w:rPr>
          <w:rFonts w:hint="eastAsia"/>
          <w:color w:val="auto"/>
        </w:rPr>
        <w:t>：10mg/m</w:t>
      </w:r>
      <w:r>
        <w:rPr>
          <w:rFonts w:hint="eastAsia"/>
          <w:color w:val="auto"/>
          <w:vertAlign w:val="superscript"/>
        </w:rPr>
        <w:t>3</w:t>
      </w:r>
      <w:r>
        <w:rPr>
          <w:rFonts w:hint="eastAsia"/>
          <w:color w:val="auto"/>
        </w:rPr>
        <w:t>）。</w:t>
      </w:r>
      <w:r>
        <w:rPr>
          <w:color w:val="auto"/>
        </w:rPr>
        <w:t xml:space="preserve"> </w:t>
      </w:r>
    </w:p>
    <w:p w14:paraId="414BEF20">
      <w:pPr>
        <w:pStyle w:val="4"/>
        <w:ind w:firstLine="480"/>
        <w:rPr>
          <w:snapToGrid w:val="0"/>
          <w:color w:val="auto"/>
        </w:rPr>
      </w:pPr>
      <w:r>
        <w:rPr>
          <w:snapToGrid w:val="0"/>
          <w:color w:val="auto"/>
        </w:rPr>
        <w:t>验收调查结果表明，</w:t>
      </w:r>
      <w:r>
        <w:rPr>
          <w:rFonts w:hint="eastAsia"/>
          <w:snapToGrid w:val="0"/>
          <w:color w:val="auto"/>
        </w:rPr>
        <w:t>本期工程</w:t>
      </w:r>
      <w:r>
        <w:rPr>
          <w:snapToGrid w:val="0"/>
          <w:color w:val="auto"/>
        </w:rPr>
        <w:t>对周围大气环境影响较小。</w:t>
      </w:r>
    </w:p>
    <w:p w14:paraId="11B5BD92">
      <w:pPr>
        <w:pStyle w:val="6"/>
        <w:rPr>
          <w:color w:val="auto"/>
        </w:rPr>
      </w:pPr>
      <w:r>
        <w:rPr>
          <w:color w:val="auto"/>
        </w:rPr>
        <w:t>地表水环境影响</w:t>
      </w:r>
    </w:p>
    <w:p w14:paraId="08CFD37C">
      <w:pPr>
        <w:pStyle w:val="4"/>
        <w:ind w:firstLine="480"/>
        <w:rPr>
          <w:color w:val="auto"/>
        </w:rPr>
      </w:pPr>
      <w:r>
        <w:rPr>
          <w:rFonts w:hint="eastAsia"/>
          <w:color w:val="auto"/>
        </w:rPr>
        <w:t>本期工程施工期间产生的废水包括钻井废水、施工作业废液、管道试压废水、旧管道清洗废水和生活污水。</w:t>
      </w:r>
    </w:p>
    <w:p w14:paraId="2BEA4E2F">
      <w:pPr>
        <w:pStyle w:val="149"/>
        <w:ind w:firstLine="480"/>
        <w:rPr>
          <w:rFonts w:cs="宋体"/>
          <w:color w:val="auto"/>
        </w:rPr>
      </w:pPr>
      <w:r>
        <w:rPr>
          <w:rFonts w:hint="eastAsia" w:cs="宋体"/>
          <w:color w:val="auto"/>
        </w:rPr>
        <w:t>经调查</w:t>
      </w:r>
      <w:r>
        <w:rPr>
          <w:rFonts w:cs="宋体"/>
          <w:color w:val="auto"/>
        </w:rPr>
        <w:t>，</w:t>
      </w:r>
      <w:r>
        <w:rPr>
          <w:color w:val="auto"/>
        </w:rPr>
        <w:t>钻井废水</w:t>
      </w:r>
      <w:r>
        <w:rPr>
          <w:rFonts w:hint="eastAsia"/>
          <w:color w:val="auto"/>
        </w:rPr>
        <w:t>随钻井固废一同委托天正浚源环保科技有限公司、东营丰实钻井工程有限公司、山东胜兴特种材料有限公司进行无害化处置；施工</w:t>
      </w:r>
      <w:r>
        <w:rPr>
          <w:color w:val="auto"/>
        </w:rPr>
        <w:t>作业</w:t>
      </w:r>
      <w:r>
        <w:rPr>
          <w:rFonts w:hint="eastAsia"/>
          <w:color w:val="auto"/>
        </w:rPr>
        <w:t>废液已通过罐车拉运至高青联合站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管道试压废水在施工过程中进行了循环利用，管道试压废水产生量较少，试压结束后已用于施工场地洒水降尘，未外排至施工场地外环境；旧管道清洗废水经收集后罐车拉运送高青联合站处理，</w:t>
      </w:r>
      <w:r>
        <w:rPr>
          <w:color w:val="auto"/>
        </w:rPr>
        <w:t>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已全部回注地层，用于油田注水开发，未外排；施工人员生活污水排至周边站场已有</w:t>
      </w:r>
      <w:r>
        <w:rPr>
          <w:rFonts w:hint="eastAsia" w:cs="宋体"/>
          <w:color w:val="auto"/>
        </w:rPr>
        <w:t>环保厕所</w:t>
      </w:r>
      <w:r>
        <w:rPr>
          <w:rFonts w:hint="eastAsia"/>
          <w:color w:val="auto"/>
        </w:rPr>
        <w:t>内，由东胜公司定期拉运，无外排</w:t>
      </w:r>
      <w:r>
        <w:rPr>
          <w:rFonts w:hint="eastAsia" w:cs="宋体"/>
          <w:color w:val="auto"/>
        </w:rPr>
        <w:t>。</w:t>
      </w:r>
      <w:r>
        <w:rPr>
          <w:color w:val="auto"/>
        </w:rPr>
        <w:t>施工期间的</w:t>
      </w:r>
      <w:r>
        <w:rPr>
          <w:rFonts w:hint="eastAsia"/>
          <w:color w:val="auto"/>
        </w:rPr>
        <w:t>所有</w:t>
      </w:r>
      <w:r>
        <w:rPr>
          <w:color w:val="auto"/>
        </w:rPr>
        <w:t>废水</w:t>
      </w:r>
      <w:r>
        <w:rPr>
          <w:rFonts w:hint="eastAsia"/>
          <w:color w:val="auto"/>
        </w:rPr>
        <w:t>均已</w:t>
      </w:r>
      <w:r>
        <w:rPr>
          <w:color w:val="auto"/>
        </w:rPr>
        <w:t>得到了有效处理，</w:t>
      </w:r>
      <w:r>
        <w:rPr>
          <w:rFonts w:hint="eastAsia"/>
          <w:color w:val="auto"/>
        </w:rPr>
        <w:t>未对</w:t>
      </w:r>
      <w:r>
        <w:rPr>
          <w:color w:val="auto"/>
        </w:rPr>
        <w:t>周围</w:t>
      </w:r>
      <w:r>
        <w:rPr>
          <w:rFonts w:hint="eastAsia"/>
          <w:color w:val="auto"/>
        </w:rPr>
        <w:t>地表</w:t>
      </w:r>
      <w:r>
        <w:rPr>
          <w:color w:val="auto"/>
        </w:rPr>
        <w:t>水环境</w:t>
      </w:r>
      <w:r>
        <w:rPr>
          <w:rFonts w:hint="eastAsia"/>
          <w:color w:val="auto"/>
        </w:rPr>
        <w:t>和</w:t>
      </w:r>
      <w:r>
        <w:rPr>
          <w:color w:val="auto"/>
        </w:rPr>
        <w:t>地下水造成不利影响</w:t>
      </w:r>
      <w:r>
        <w:rPr>
          <w:rFonts w:hint="eastAsia" w:cs="宋体"/>
          <w:color w:val="auto"/>
        </w:rPr>
        <w:t>。</w:t>
      </w:r>
    </w:p>
    <w:p w14:paraId="46F83707">
      <w:pPr>
        <w:pStyle w:val="4"/>
        <w:ind w:firstLine="480"/>
        <w:rPr>
          <w:color w:val="auto"/>
        </w:rPr>
      </w:pPr>
      <w:r>
        <w:rPr>
          <w:rFonts w:hint="eastAsia"/>
          <w:color w:val="auto"/>
        </w:rPr>
        <w:t>本期工程运营期产生的废水主要有井下作业废水、采出水。</w:t>
      </w:r>
      <w:r>
        <w:rPr>
          <w:rFonts w:hint="eastAsia"/>
          <w:color w:val="auto"/>
          <w:kern w:val="0"/>
        </w:rPr>
        <w:t>验收调查期间未开展井下作业，</w:t>
      </w:r>
      <w:r>
        <w:rPr>
          <w:rFonts w:hint="eastAsia"/>
          <w:color w:val="auto"/>
        </w:rPr>
        <w:t>后期井下作业废水</w:t>
      </w:r>
      <w:bookmarkStart w:id="547" w:name="OLE_LINK127"/>
      <w:r>
        <w:rPr>
          <w:rFonts w:hint="eastAsia"/>
          <w:color w:val="auto"/>
        </w:rPr>
        <w:t>经收集后由罐车拉运至</w:t>
      </w:r>
      <w:r>
        <w:rPr>
          <w:rFonts w:hint="eastAsia"/>
          <w:color w:val="auto"/>
          <w:kern w:val="0"/>
        </w:rPr>
        <w:t>高青联合站、滨博接转站内污水处理系统处理达标后回注地层，用于油田注水开发</w:t>
      </w:r>
      <w:r>
        <w:rPr>
          <w:rFonts w:hint="eastAsia"/>
          <w:color w:val="auto"/>
        </w:rPr>
        <w:t>，无外排</w:t>
      </w:r>
      <w:bookmarkEnd w:id="547"/>
      <w:r>
        <w:rPr>
          <w:rFonts w:hint="eastAsia"/>
          <w:color w:val="auto"/>
        </w:rPr>
        <w:t>；采出水输送至高青联合站、滨博接转站采出水处理系统处理达标后，回注地层用于油田注水开发，无外排。</w:t>
      </w:r>
    </w:p>
    <w:p w14:paraId="41AF3F7A">
      <w:pPr>
        <w:pStyle w:val="149"/>
        <w:ind w:firstLine="480"/>
        <w:rPr>
          <w:color w:val="auto"/>
        </w:rPr>
      </w:pPr>
      <w:r>
        <w:rPr>
          <w:color w:val="auto"/>
        </w:rPr>
        <w:t>验收调查期间，</w:t>
      </w:r>
      <w:r>
        <w:rPr>
          <w:rFonts w:hint="eastAsia"/>
          <w:color w:val="auto"/>
        </w:rPr>
        <w:t>本期工程</w:t>
      </w:r>
      <w:r>
        <w:rPr>
          <w:color w:val="auto"/>
        </w:rPr>
        <w:t>的建设与运行</w:t>
      </w:r>
      <w:r>
        <w:rPr>
          <w:rFonts w:hint="eastAsia"/>
          <w:color w:val="auto"/>
        </w:rPr>
        <w:t>未对</w:t>
      </w:r>
      <w:r>
        <w:rPr>
          <w:color w:val="auto"/>
        </w:rPr>
        <w:t>周围环境造成不利影响</w:t>
      </w:r>
      <w:r>
        <w:rPr>
          <w:rFonts w:hint="eastAsia"/>
          <w:color w:val="auto"/>
        </w:rPr>
        <w:t>。</w:t>
      </w:r>
    </w:p>
    <w:p w14:paraId="65039021">
      <w:pPr>
        <w:pStyle w:val="6"/>
        <w:rPr>
          <w:color w:val="auto"/>
        </w:rPr>
      </w:pPr>
      <w:r>
        <w:rPr>
          <w:color w:val="auto"/>
        </w:rPr>
        <w:t>声环境影响</w:t>
      </w:r>
    </w:p>
    <w:p w14:paraId="3D2789B4">
      <w:pPr>
        <w:pStyle w:val="4"/>
        <w:ind w:firstLine="480"/>
        <w:rPr>
          <w:color w:val="auto"/>
        </w:rPr>
      </w:pPr>
      <w:r>
        <w:rPr>
          <w:rFonts w:hint="eastAsia"/>
          <w:color w:val="auto"/>
        </w:rPr>
        <w:t>经</w:t>
      </w:r>
      <w:r>
        <w:rPr>
          <w:color w:val="auto"/>
        </w:rPr>
        <w:t>调查，项目</w:t>
      </w:r>
      <w:r>
        <w:rPr>
          <w:rFonts w:hint="eastAsia"/>
          <w:color w:val="auto"/>
        </w:rPr>
        <w:t>施工</w:t>
      </w:r>
      <w:r>
        <w:rPr>
          <w:color w:val="auto"/>
        </w:rPr>
        <w:t>期间</w:t>
      </w:r>
      <w:r>
        <w:rPr>
          <w:rFonts w:hint="eastAsia"/>
          <w:color w:val="auto"/>
        </w:rPr>
        <w:t>选用了低噪声</w:t>
      </w:r>
      <w:r>
        <w:rPr>
          <w:color w:val="auto"/>
        </w:rPr>
        <w:t>设备，有效降低了施工噪声对</w:t>
      </w:r>
      <w:r>
        <w:rPr>
          <w:rFonts w:hint="eastAsia"/>
          <w:color w:val="auto"/>
        </w:rPr>
        <w:t>周围环境</w:t>
      </w:r>
      <w:r>
        <w:rPr>
          <w:color w:val="auto"/>
        </w:rPr>
        <w:t>的影响</w:t>
      </w:r>
      <w:r>
        <w:rPr>
          <w:rFonts w:hint="eastAsia"/>
          <w:color w:val="auto"/>
        </w:rPr>
        <w:t>，</w:t>
      </w:r>
      <w:r>
        <w:rPr>
          <w:color w:val="auto"/>
        </w:rPr>
        <w:t>未收到</w:t>
      </w:r>
      <w:r>
        <w:rPr>
          <w:rFonts w:hint="eastAsia"/>
          <w:color w:val="auto"/>
        </w:rPr>
        <w:t>噪声</w:t>
      </w:r>
      <w:r>
        <w:rPr>
          <w:color w:val="auto"/>
        </w:rPr>
        <w:t>投诉。</w:t>
      </w:r>
    </w:p>
    <w:p w14:paraId="76A2A8A4">
      <w:pPr>
        <w:pStyle w:val="4"/>
        <w:ind w:firstLine="480"/>
        <w:rPr>
          <w:color w:val="auto"/>
        </w:rPr>
      </w:pPr>
      <w:r>
        <w:rPr>
          <w:rFonts w:hint="eastAsia"/>
          <w:color w:val="auto"/>
        </w:rPr>
        <w:t>验收调查期间</w:t>
      </w:r>
      <w:r>
        <w:rPr>
          <w:color w:val="auto"/>
        </w:rPr>
        <w:t>，</w:t>
      </w:r>
      <w:r>
        <w:rPr>
          <w:rFonts w:hint="eastAsia"/>
          <w:color w:val="auto"/>
        </w:rPr>
        <w:t>未进行</w:t>
      </w:r>
      <w:r>
        <w:rPr>
          <w:color w:val="auto"/>
        </w:rPr>
        <w:t>井下作业，油井正常</w:t>
      </w:r>
      <w:r>
        <w:rPr>
          <w:rFonts w:hint="eastAsia"/>
          <w:color w:val="auto"/>
        </w:rPr>
        <w:t>运行。根据</w:t>
      </w:r>
      <w:r>
        <w:rPr>
          <w:color w:val="auto"/>
        </w:rPr>
        <w:t>监测结果，采油井场</w:t>
      </w:r>
      <w:r>
        <w:rPr>
          <w:rFonts w:hint="eastAsia"/>
          <w:color w:val="auto"/>
        </w:rPr>
        <w:t>厂界昼间</w:t>
      </w:r>
      <w:r>
        <w:rPr>
          <w:color w:val="auto"/>
        </w:rPr>
        <w:t>、</w:t>
      </w:r>
      <w:r>
        <w:rPr>
          <w:rFonts w:hint="eastAsia"/>
          <w:color w:val="auto"/>
        </w:rPr>
        <w:t>夜间噪声满足《工业企业厂界环境噪声排放标准》（GB 12348-2008）2类</w:t>
      </w:r>
      <w:r>
        <w:rPr>
          <w:color w:val="auto"/>
        </w:rPr>
        <w:t>区标准</w:t>
      </w:r>
      <w:r>
        <w:rPr>
          <w:rFonts w:hint="eastAsia"/>
          <w:color w:val="auto"/>
        </w:rPr>
        <w:t>，本期工程</w:t>
      </w:r>
      <w:r>
        <w:rPr>
          <w:color w:val="auto"/>
        </w:rPr>
        <w:t>的建设与运行</w:t>
      </w:r>
      <w:r>
        <w:rPr>
          <w:rFonts w:hint="eastAsia"/>
          <w:color w:val="auto"/>
        </w:rPr>
        <w:t>未对周边声</w:t>
      </w:r>
      <w:r>
        <w:rPr>
          <w:color w:val="auto"/>
        </w:rPr>
        <w:t>环境造成不利影响</w:t>
      </w:r>
      <w:r>
        <w:rPr>
          <w:rFonts w:hint="eastAsia"/>
          <w:color w:val="auto"/>
        </w:rPr>
        <w:t>。</w:t>
      </w:r>
    </w:p>
    <w:p w14:paraId="15F70395">
      <w:pPr>
        <w:pStyle w:val="6"/>
        <w:rPr>
          <w:color w:val="auto"/>
        </w:rPr>
      </w:pPr>
      <w:r>
        <w:rPr>
          <w:color w:val="auto"/>
        </w:rPr>
        <w:t>固体废物环境影响</w:t>
      </w:r>
    </w:p>
    <w:p w14:paraId="02242CF2">
      <w:pPr>
        <w:pStyle w:val="4"/>
        <w:ind w:firstLine="480"/>
        <w:rPr>
          <w:color w:val="auto"/>
        </w:rPr>
      </w:pPr>
      <w:r>
        <w:rPr>
          <w:rFonts w:hint="eastAsia"/>
          <w:color w:val="auto"/>
        </w:rPr>
        <w:t>本期工程</w:t>
      </w:r>
      <w:r>
        <w:rPr>
          <w:color w:val="auto"/>
        </w:rPr>
        <w:t>施工期</w:t>
      </w:r>
      <w:r>
        <w:rPr>
          <w:rFonts w:hint="eastAsia"/>
          <w:color w:val="auto"/>
        </w:rPr>
        <w:t>间</w:t>
      </w:r>
      <w:r>
        <w:rPr>
          <w:color w:val="auto"/>
        </w:rPr>
        <w:t>产生的固体废物主要是</w:t>
      </w:r>
      <w:r>
        <w:rPr>
          <w:rFonts w:hint="eastAsia"/>
          <w:color w:val="auto"/>
        </w:rPr>
        <w:t>泥饼、</w:t>
      </w:r>
      <w:r>
        <w:rPr>
          <w:color w:val="auto"/>
        </w:rPr>
        <w:t>施工</w:t>
      </w:r>
      <w:r>
        <w:rPr>
          <w:rFonts w:hint="eastAsia"/>
          <w:color w:val="auto"/>
        </w:rPr>
        <w:t>废料及建筑垃圾、定向钻泥浆和</w:t>
      </w:r>
      <w:r>
        <w:rPr>
          <w:color w:val="auto"/>
        </w:rPr>
        <w:t>生活垃圾</w:t>
      </w:r>
      <w:r>
        <w:rPr>
          <w:rFonts w:hint="eastAsia"/>
          <w:color w:val="auto"/>
        </w:rPr>
        <w:t>。钻井固废全部采用泥浆不落地工艺，已交由天正浚源环保科技有限公司、东营丰实钻井工程有限公司、山东胜兴特种材料有限公司拉运后进行固液分离，分离出的固相由东营市垦利区永安镇、山东天龙红木家具股份有限公司、山东法恩生物科技有限公司、东营成寨土石方工程有限公司进行</w:t>
      </w:r>
      <w:r>
        <w:rPr>
          <w:color w:val="auto"/>
        </w:rPr>
        <w:t>了</w:t>
      </w:r>
      <w:r>
        <w:rPr>
          <w:rFonts w:hint="eastAsia"/>
          <w:color w:val="auto"/>
        </w:rPr>
        <w:t>综合利用</w:t>
      </w:r>
      <w:r>
        <w:rPr>
          <w:color w:val="auto"/>
        </w:rPr>
        <w:t>。</w:t>
      </w:r>
      <w:r>
        <w:rPr>
          <w:rFonts w:hint="eastAsia"/>
          <w:color w:val="auto"/>
        </w:rPr>
        <w:t>验收调查期间，现场无</w:t>
      </w:r>
      <w:r>
        <w:rPr>
          <w:color w:val="auto"/>
        </w:rPr>
        <w:t>固废遗留</w:t>
      </w:r>
      <w:r>
        <w:rPr>
          <w:rFonts w:hint="eastAsia"/>
          <w:color w:val="auto"/>
        </w:rPr>
        <w:t>；施工废料尽量回收利用后，剩余部分由当地环卫部门进行了清运处理，施工现场已恢复平整，无乱堆乱放现象；定向钻穿越期间产生的泥浆已委托专业单位拉运处置，泥浆池回填，进行地貌和植被恢复；生活垃圾贮存在井场的垃圾收集设施内，定期拉运至环卫部门指定的地点，由环卫部门统一处理，未对周围环境产生不利影响。</w:t>
      </w:r>
    </w:p>
    <w:p w14:paraId="3D62ADD3">
      <w:pPr>
        <w:pStyle w:val="4"/>
        <w:ind w:firstLine="480"/>
        <w:rPr>
          <w:color w:val="auto"/>
        </w:rPr>
      </w:pPr>
      <w:r>
        <w:rPr>
          <w:rFonts w:hint="eastAsia"/>
          <w:color w:val="auto"/>
        </w:rPr>
        <w:t>本期工程运营期间产生的固体废物主要是</w:t>
      </w:r>
      <w:r>
        <w:rPr>
          <w:rFonts w:hint="eastAsia"/>
          <w:color w:val="auto"/>
          <w:kern w:val="0"/>
        </w:rPr>
        <w:t>落地油</w:t>
      </w:r>
      <w:r>
        <w:rPr>
          <w:rFonts w:hint="eastAsia" w:cs="宋体"/>
          <w:color w:val="auto"/>
          <w:kern w:val="0"/>
        </w:rPr>
        <w:t>。</w:t>
      </w:r>
      <w:r>
        <w:rPr>
          <w:rFonts w:hint="eastAsia"/>
          <w:color w:val="auto"/>
          <w:kern w:val="0"/>
        </w:rPr>
        <w:t>验收调查期间，</w:t>
      </w:r>
      <w:r>
        <w:rPr>
          <w:rFonts w:hint="eastAsia" w:cs="宋体"/>
          <w:color w:val="auto"/>
          <w:kern w:val="0"/>
        </w:rPr>
        <w:t>运营期</w:t>
      </w:r>
      <w:r>
        <w:rPr>
          <w:rFonts w:hint="eastAsia"/>
          <w:color w:val="auto"/>
          <w:kern w:val="0"/>
        </w:rPr>
        <w:t>井下作业目前均采用船型围堰代替铺设防渗材料，无废弃防渗膜产生；本期工程暂未产生落地油，后期若产生，则随产随清，</w:t>
      </w:r>
      <w:r>
        <w:rPr>
          <w:rFonts w:hint="eastAsia" w:cs="宋体"/>
          <w:color w:val="auto"/>
          <w:kern w:val="0"/>
        </w:rPr>
        <w:t>委托滨州市瑞峰环保科技有限公司处置</w:t>
      </w:r>
      <w:r>
        <w:rPr>
          <w:rFonts w:hint="eastAsia"/>
          <w:color w:val="auto"/>
        </w:rPr>
        <w:t>。</w:t>
      </w:r>
    </w:p>
    <w:p w14:paraId="1963E0F7">
      <w:pPr>
        <w:pStyle w:val="4"/>
        <w:ind w:firstLine="480"/>
        <w:rPr>
          <w:color w:val="auto"/>
        </w:rPr>
      </w:pPr>
      <w:r>
        <w:rPr>
          <w:rFonts w:hint="eastAsia"/>
          <w:color w:val="auto"/>
        </w:rPr>
        <w:t>综上</w:t>
      </w:r>
      <w:r>
        <w:rPr>
          <w:color w:val="auto"/>
        </w:rPr>
        <w:t>，运营期固废</w:t>
      </w:r>
      <w:r>
        <w:rPr>
          <w:rFonts w:hint="eastAsia"/>
          <w:color w:val="auto"/>
        </w:rPr>
        <w:t>的</w:t>
      </w:r>
      <w:r>
        <w:rPr>
          <w:color w:val="auto"/>
        </w:rPr>
        <w:t>产生和处置</w:t>
      </w:r>
      <w:r>
        <w:rPr>
          <w:rFonts w:hint="eastAsia"/>
          <w:color w:val="auto"/>
        </w:rPr>
        <w:t>对</w:t>
      </w:r>
      <w:r>
        <w:rPr>
          <w:color w:val="auto"/>
        </w:rPr>
        <w:t>周边环境影响较轻。</w:t>
      </w:r>
    </w:p>
    <w:p w14:paraId="73765D1A">
      <w:pPr>
        <w:pStyle w:val="6"/>
        <w:rPr>
          <w:color w:val="auto"/>
        </w:rPr>
      </w:pPr>
      <w:r>
        <w:rPr>
          <w:rFonts w:hint="eastAsia"/>
          <w:color w:val="auto"/>
        </w:rPr>
        <w:t>主要污染物</w:t>
      </w:r>
      <w:r>
        <w:rPr>
          <w:color w:val="auto"/>
        </w:rPr>
        <w:t>排放</w:t>
      </w:r>
      <w:r>
        <w:rPr>
          <w:rFonts w:hint="eastAsia"/>
          <w:color w:val="auto"/>
        </w:rPr>
        <w:t>总量控制</w:t>
      </w:r>
    </w:p>
    <w:p w14:paraId="5C453122">
      <w:pPr>
        <w:pStyle w:val="4"/>
        <w:ind w:firstLine="480"/>
        <w:rPr>
          <w:color w:val="auto"/>
        </w:rPr>
      </w:pPr>
      <w:r>
        <w:rPr>
          <w:rFonts w:hint="eastAsia"/>
          <w:color w:val="auto"/>
        </w:rPr>
        <w:t>环评阶段：SO</w:t>
      </w:r>
      <w:r>
        <w:rPr>
          <w:rFonts w:hint="eastAsia"/>
          <w:color w:val="auto"/>
          <w:vertAlign w:val="subscript"/>
        </w:rPr>
        <w:t>2</w:t>
      </w:r>
      <w:r>
        <w:rPr>
          <w:rFonts w:hint="eastAsia"/>
          <w:color w:val="auto"/>
        </w:rPr>
        <w:t>排放量为0.105t/a，NO</w:t>
      </w:r>
      <w:r>
        <w:rPr>
          <w:rFonts w:hint="eastAsia"/>
          <w:color w:val="auto"/>
          <w:vertAlign w:val="subscript"/>
        </w:rPr>
        <w:t>X</w:t>
      </w:r>
      <w:r>
        <w:rPr>
          <w:rFonts w:hint="eastAsia"/>
          <w:color w:val="auto"/>
        </w:rPr>
        <w:t>排放量为1.615t/a，颗粒物排放量为0.139t/a，非甲烷总烃排放量为1.149t/a。</w:t>
      </w:r>
    </w:p>
    <w:p w14:paraId="4D9D800C">
      <w:pPr>
        <w:pStyle w:val="4"/>
        <w:ind w:firstLine="480"/>
        <w:rPr>
          <w:color w:val="auto"/>
        </w:rPr>
        <w:sectPr>
          <w:pgSz w:w="11907" w:h="16839"/>
          <w:pgMar w:top="1418" w:right="1588" w:bottom="1418" w:left="1588" w:header="1134" w:footer="850" w:gutter="0"/>
          <w:cols w:space="720" w:num="1"/>
          <w:docGrid w:linePitch="312" w:charSpace="0"/>
        </w:sectPr>
      </w:pPr>
      <w:r>
        <w:rPr>
          <w:rFonts w:hint="eastAsia"/>
          <w:color w:val="auto"/>
        </w:rPr>
        <w:t>本期工程验收阶段：</w:t>
      </w:r>
      <w:r>
        <w:rPr>
          <w:rFonts w:hint="eastAsia"/>
          <w:color w:val="auto"/>
        </w:rPr>
        <w:t xml:space="preserve"> SO</w:t>
      </w:r>
      <w:r>
        <w:rPr>
          <w:rFonts w:hint="eastAsia"/>
          <w:color w:val="auto"/>
          <w:vertAlign w:val="subscript"/>
        </w:rPr>
        <w:t>2</w:t>
      </w:r>
      <w:r>
        <w:rPr>
          <w:rFonts w:hint="eastAsia"/>
          <w:color w:val="auto"/>
        </w:rPr>
        <w:t>排放量为</w:t>
      </w:r>
      <w:r>
        <w:rPr>
          <w:color w:val="auto"/>
        </w:rPr>
        <w:t>0.012t/a</w:t>
      </w:r>
      <w:r>
        <w:rPr>
          <w:rFonts w:hint="eastAsia"/>
          <w:color w:val="auto"/>
        </w:rPr>
        <w:t>，NO</w:t>
      </w:r>
      <w:r>
        <w:rPr>
          <w:rFonts w:hint="eastAsia"/>
          <w:color w:val="auto"/>
          <w:vertAlign w:val="subscript"/>
        </w:rPr>
        <w:t>X</w:t>
      </w:r>
      <w:r>
        <w:rPr>
          <w:rFonts w:hint="eastAsia"/>
          <w:color w:val="auto"/>
        </w:rPr>
        <w:t>排放量为</w:t>
      </w:r>
      <w:r>
        <w:rPr>
          <w:color w:val="auto"/>
        </w:rPr>
        <w:t>0.257t/a</w:t>
      </w:r>
      <w:r>
        <w:rPr>
          <w:rFonts w:hint="eastAsia"/>
          <w:color w:val="auto"/>
        </w:rPr>
        <w:t>，颗粒物排放量为</w:t>
      </w:r>
      <w:r>
        <w:rPr>
          <w:color w:val="auto"/>
        </w:rPr>
        <w:t>0.027t/a</w:t>
      </w:r>
      <w:r>
        <w:rPr>
          <w:rFonts w:hint="eastAsia"/>
          <w:color w:val="auto"/>
        </w:rPr>
        <w:t>，非甲烷总烃排放量为</w:t>
      </w:r>
      <w:r>
        <w:rPr>
          <w:color w:val="auto"/>
        </w:rPr>
        <w:t>0.331t/a</w:t>
      </w:r>
      <w:r>
        <w:rPr>
          <w:rFonts w:hint="eastAsia"/>
          <w:color w:val="auto"/>
        </w:rPr>
        <w:t>，小于环评阶段排放量。</w:t>
      </w:r>
    </w:p>
    <w:p w14:paraId="082E0671">
      <w:pPr>
        <w:pStyle w:val="6"/>
        <w:rPr>
          <w:color w:val="auto"/>
        </w:rPr>
      </w:pPr>
      <w:r>
        <w:rPr>
          <w:color w:val="auto"/>
        </w:rPr>
        <w:t>环境风险防范与应急措施调查</w:t>
      </w:r>
    </w:p>
    <w:p w14:paraId="2D6C1309">
      <w:pPr>
        <w:pStyle w:val="4"/>
        <w:ind w:firstLine="480"/>
        <w:rPr>
          <w:color w:val="auto"/>
        </w:rPr>
      </w:pPr>
      <w:r>
        <w:rPr>
          <w:color w:val="auto"/>
        </w:rPr>
        <w:t>针对油田开发存在的各种风险事故，</w:t>
      </w:r>
      <w:r>
        <w:rPr>
          <w:rFonts w:hint="eastAsia"/>
          <w:color w:val="auto"/>
        </w:rPr>
        <w:t>东胜公司</w:t>
      </w:r>
      <w:r>
        <w:rPr>
          <w:color w:val="auto"/>
        </w:rPr>
        <w:t>在工艺设计、设备选型、施工监督管理等各环节方面都采取了大量行之有效的防范措施</w:t>
      </w:r>
      <w:r>
        <w:rPr>
          <w:rFonts w:hint="eastAsia"/>
          <w:color w:val="auto"/>
        </w:rPr>
        <w:t>。</w:t>
      </w:r>
      <w:r>
        <w:rPr>
          <w:rStyle w:val="140"/>
          <w:rFonts w:hint="eastAsia"/>
          <w:color w:val="auto"/>
          <w:szCs w:val="24"/>
        </w:rPr>
        <w:t>东胜公司制定了突发环境事件应急预案，包括突发环境事件综合应急预案、专项应急预案和现场处置方案。</w:t>
      </w:r>
      <w:r>
        <w:rPr>
          <w:rStyle w:val="312"/>
          <w:rFonts w:hint="default"/>
          <w:color w:val="auto"/>
          <w:kern w:val="0"/>
        </w:rPr>
        <w:t>该预案已取得</w:t>
      </w:r>
      <w:r>
        <w:rPr>
          <w:rFonts w:hint="eastAsia"/>
          <w:color w:val="auto"/>
        </w:rPr>
        <w:t>淄博市生态环境局取得了</w:t>
      </w:r>
      <w:r>
        <w:rPr>
          <w:rStyle w:val="312"/>
          <w:rFonts w:hint="default"/>
          <w:color w:val="auto"/>
          <w:kern w:val="0"/>
        </w:rPr>
        <w:t>备案，备案编号</w:t>
      </w:r>
      <w:r>
        <w:rPr>
          <w:rFonts w:hint="eastAsia"/>
          <w:color w:val="auto"/>
        </w:rPr>
        <w:t>3</w:t>
      </w:r>
      <w:r>
        <w:rPr>
          <w:color w:val="auto"/>
        </w:rPr>
        <w:t>70322-2024-090-M</w:t>
      </w:r>
      <w:r>
        <w:rPr>
          <w:rStyle w:val="312"/>
          <w:rFonts w:hint="default"/>
          <w:color w:val="auto"/>
          <w:kern w:val="0"/>
        </w:rPr>
        <w:t>，预案中包含井喷、原油管线等环境风险事故的应急处置措施。</w:t>
      </w:r>
    </w:p>
    <w:p w14:paraId="13233560">
      <w:pPr>
        <w:pStyle w:val="4"/>
        <w:ind w:firstLine="480"/>
        <w:rPr>
          <w:color w:val="auto"/>
        </w:rPr>
      </w:pPr>
      <w:r>
        <w:rPr>
          <w:color w:val="auto"/>
        </w:rPr>
        <w:t>从现场调查的情况看，</w:t>
      </w:r>
      <w:r>
        <w:rPr>
          <w:rFonts w:hint="eastAsia"/>
          <w:color w:val="auto"/>
        </w:rPr>
        <w:t>值班人员</w:t>
      </w:r>
      <w:r>
        <w:rPr>
          <w:color w:val="auto"/>
        </w:rPr>
        <w:t>工作纪律都比较严明，工作人员持证上岗，外来人员进入</w:t>
      </w:r>
      <w:r>
        <w:rPr>
          <w:rFonts w:hint="eastAsia"/>
          <w:color w:val="auto"/>
        </w:rPr>
        <w:t>井场</w:t>
      </w:r>
      <w:r>
        <w:rPr>
          <w:color w:val="auto"/>
        </w:rPr>
        <w:t>都必须经上级部门批准，且应进行详细登记记录，</w:t>
      </w:r>
      <w:r>
        <w:rPr>
          <w:rFonts w:hint="eastAsia"/>
          <w:color w:val="auto"/>
        </w:rPr>
        <w:t>井场</w:t>
      </w:r>
      <w:r>
        <w:rPr>
          <w:color w:val="auto"/>
        </w:rPr>
        <w:t>制定了巡检制度，有专人对各设备的工作状态进行检查。</w:t>
      </w:r>
    </w:p>
    <w:p w14:paraId="70457B74">
      <w:pPr>
        <w:pStyle w:val="4"/>
        <w:ind w:firstLine="480"/>
        <w:rPr>
          <w:color w:val="auto"/>
        </w:rPr>
      </w:pPr>
      <w:r>
        <w:rPr>
          <w:color w:val="auto"/>
        </w:rPr>
        <w:t>项目</w:t>
      </w:r>
      <w:r>
        <w:rPr>
          <w:rFonts w:hint="eastAsia"/>
          <w:color w:val="auto"/>
        </w:rPr>
        <w:t>调试</w:t>
      </w:r>
      <w:r>
        <w:rPr>
          <w:color w:val="auto"/>
        </w:rPr>
        <w:t>过程中</w:t>
      </w:r>
      <w:r>
        <w:rPr>
          <w:rFonts w:hint="eastAsia"/>
          <w:color w:val="auto"/>
        </w:rPr>
        <w:t>，</w:t>
      </w:r>
      <w:r>
        <w:rPr>
          <w:color w:val="auto"/>
        </w:rPr>
        <w:t>未发生过对生态环境影响较大的火灾、爆炸及管线</w:t>
      </w:r>
      <w:r>
        <w:rPr>
          <w:rFonts w:hint="eastAsia"/>
          <w:color w:val="auto"/>
        </w:rPr>
        <w:t>泄漏</w:t>
      </w:r>
      <w:r>
        <w:rPr>
          <w:color w:val="auto"/>
        </w:rPr>
        <w:t>等风险事故，说明建设单位采取的环境风险防范措施是较为有效的。</w:t>
      </w:r>
    </w:p>
    <w:bookmarkEnd w:id="546"/>
    <w:p w14:paraId="2C5D1CAB">
      <w:pPr>
        <w:pStyle w:val="6"/>
        <w:rPr>
          <w:color w:val="auto"/>
        </w:rPr>
      </w:pPr>
      <w:r>
        <w:rPr>
          <w:color w:val="auto"/>
        </w:rPr>
        <w:t>公众意见调查</w:t>
      </w:r>
    </w:p>
    <w:p w14:paraId="64863925">
      <w:pPr>
        <w:pStyle w:val="4"/>
        <w:ind w:firstLine="480"/>
        <w:rPr>
          <w:color w:val="auto"/>
        </w:rPr>
      </w:pPr>
      <w:r>
        <w:rPr>
          <w:rFonts w:hint="eastAsia"/>
          <w:color w:val="auto"/>
        </w:rPr>
        <w:t>项目施工期</w:t>
      </w:r>
      <w:r>
        <w:rPr>
          <w:color w:val="auto"/>
        </w:rPr>
        <w:t>和</w:t>
      </w:r>
      <w:r>
        <w:rPr>
          <w:rFonts w:hint="eastAsia"/>
          <w:color w:val="auto"/>
        </w:rPr>
        <w:t>调试期间</w:t>
      </w:r>
      <w:r>
        <w:rPr>
          <w:color w:val="auto"/>
        </w:rPr>
        <w:t>，</w:t>
      </w:r>
      <w:r>
        <w:rPr>
          <w:rFonts w:hint="eastAsia"/>
          <w:snapToGrid w:val="0"/>
          <w:color w:val="auto"/>
        </w:rPr>
        <w:t>未收到任何环保</w:t>
      </w:r>
      <w:r>
        <w:rPr>
          <w:snapToGrid w:val="0"/>
          <w:color w:val="auto"/>
        </w:rPr>
        <w:t>投诉</w:t>
      </w:r>
      <w:r>
        <w:rPr>
          <w:color w:val="auto"/>
        </w:rPr>
        <w:t>。</w:t>
      </w:r>
    </w:p>
    <w:p w14:paraId="05B35FF4">
      <w:pPr>
        <w:pStyle w:val="5"/>
        <w:rPr>
          <w:color w:val="auto"/>
        </w:rPr>
      </w:pPr>
      <w:bookmarkStart w:id="548" w:name="_Toc231283668"/>
      <w:r>
        <w:rPr>
          <w:rFonts w:hint="eastAsia"/>
          <w:color w:val="auto"/>
        </w:rPr>
        <w:t>环境</w:t>
      </w:r>
      <w:r>
        <w:rPr>
          <w:color w:val="auto"/>
        </w:rPr>
        <w:t>保护</w:t>
      </w:r>
      <w:r>
        <w:rPr>
          <w:rFonts w:hint="eastAsia"/>
          <w:color w:val="auto"/>
        </w:rPr>
        <w:t>设施调试运行</w:t>
      </w:r>
      <w:r>
        <w:rPr>
          <w:color w:val="auto"/>
        </w:rPr>
        <w:t>效果</w:t>
      </w:r>
      <w:bookmarkEnd w:id="548"/>
    </w:p>
    <w:p w14:paraId="4A9B4D04">
      <w:pPr>
        <w:pStyle w:val="6"/>
        <w:rPr>
          <w:color w:val="auto"/>
        </w:rPr>
      </w:pPr>
      <w:r>
        <w:rPr>
          <w:rFonts w:hint="eastAsia"/>
          <w:color w:val="auto"/>
        </w:rPr>
        <w:t>生态保护</w:t>
      </w:r>
      <w:r>
        <w:rPr>
          <w:color w:val="auto"/>
        </w:rPr>
        <w:t>工程</w:t>
      </w:r>
      <w:r>
        <w:rPr>
          <w:rFonts w:hint="eastAsia"/>
          <w:color w:val="auto"/>
        </w:rPr>
        <w:t>和</w:t>
      </w:r>
      <w:r>
        <w:rPr>
          <w:color w:val="auto"/>
        </w:rPr>
        <w:t>设施</w:t>
      </w:r>
      <w:r>
        <w:rPr>
          <w:rFonts w:hint="eastAsia"/>
          <w:color w:val="auto"/>
        </w:rPr>
        <w:t>实施</w:t>
      </w:r>
      <w:r>
        <w:rPr>
          <w:color w:val="auto"/>
        </w:rPr>
        <w:t>运行</w:t>
      </w:r>
      <w:r>
        <w:rPr>
          <w:rFonts w:hint="eastAsia"/>
          <w:color w:val="auto"/>
        </w:rPr>
        <w:t>效果</w:t>
      </w:r>
    </w:p>
    <w:p w14:paraId="27D23FD6">
      <w:pPr>
        <w:pStyle w:val="4"/>
        <w:ind w:firstLine="480"/>
        <w:rPr>
          <w:color w:val="auto"/>
        </w:rPr>
      </w:pPr>
      <w:r>
        <w:rPr>
          <w:rFonts w:hint="eastAsia"/>
          <w:color w:val="auto"/>
        </w:rPr>
        <w:t>项目采取的生态保护工程和措施主要有：</w:t>
      </w:r>
    </w:p>
    <w:p w14:paraId="711E69CE">
      <w:pPr>
        <w:pStyle w:val="4"/>
        <w:ind w:firstLine="480"/>
        <w:rPr>
          <w:color w:val="auto"/>
        </w:rPr>
      </w:pPr>
      <w:r>
        <w:rPr>
          <w:color w:val="auto"/>
        </w:rPr>
        <w:t>1）施工作业带场地清理时剥离的表层土壤进行了集中堆放，并对其采取了拦挡、土工布遮盖、修建临时土质排水沟等临时防护措施，未发生乱堆和水土流失等现象；</w:t>
      </w:r>
    </w:p>
    <w:p w14:paraId="013EA172">
      <w:pPr>
        <w:pStyle w:val="4"/>
        <w:ind w:firstLine="480"/>
        <w:rPr>
          <w:color w:val="auto"/>
        </w:rPr>
      </w:pPr>
      <w:r>
        <w:rPr>
          <w:color w:val="auto"/>
        </w:rPr>
        <w:t>2）管线敷设时严格控制了施工作业带宽度，按照“分层剥离、分层开挖、分层堆放、循序分层回填”进行了管沟开挖和土壤回填，并及时进行了原地貌和植被的恢复；</w:t>
      </w:r>
    </w:p>
    <w:p w14:paraId="690B450C">
      <w:pPr>
        <w:pStyle w:val="4"/>
        <w:ind w:firstLine="480"/>
        <w:rPr>
          <w:color w:val="auto"/>
        </w:rPr>
      </w:pPr>
      <w:r>
        <w:rPr>
          <w:color w:val="auto"/>
        </w:rPr>
        <w:t>3）施工过程中产生的固体废物均得到了妥善处置，不存在乱堆乱弃现象，钻井固废</w:t>
      </w:r>
      <w:r>
        <w:rPr>
          <w:rFonts w:hint="eastAsia"/>
          <w:color w:val="auto"/>
        </w:rPr>
        <w:t>处理</w:t>
      </w:r>
      <w:r>
        <w:rPr>
          <w:color w:val="auto"/>
        </w:rPr>
        <w:t>采用了“泥浆不落地”工艺，已由“泥浆不落地”施工单位委托专业单位处理。施工期对周边土壤环境影响较轻。</w:t>
      </w:r>
    </w:p>
    <w:p w14:paraId="0B564C16">
      <w:pPr>
        <w:pStyle w:val="4"/>
        <w:ind w:firstLine="480"/>
        <w:rPr>
          <w:color w:val="auto"/>
        </w:rPr>
      </w:pPr>
      <w:r>
        <w:rPr>
          <w:rFonts w:hint="eastAsia"/>
          <w:color w:val="auto"/>
        </w:rPr>
        <w:t>井场占地范围内土壤各项监测项目浓度均</w:t>
      </w:r>
      <w:r>
        <w:rPr>
          <w:color w:val="auto"/>
        </w:rPr>
        <w:t>满足</w:t>
      </w:r>
      <w:r>
        <w:rPr>
          <w:rFonts w:hint="eastAsia"/>
          <w:color w:val="auto"/>
        </w:rPr>
        <w:t>《土壤环境质量 建设用地土壤污染风险管控标准（试行）》（GB 36600-2018）中第二类用地</w:t>
      </w:r>
      <w:r>
        <w:rPr>
          <w:color w:val="auto"/>
        </w:rPr>
        <w:t>筛选值</w:t>
      </w:r>
      <w:r>
        <w:rPr>
          <w:rFonts w:hint="eastAsia"/>
          <w:color w:val="auto"/>
        </w:rPr>
        <w:t>标准，本项目</w:t>
      </w:r>
      <w:r>
        <w:rPr>
          <w:color w:val="auto"/>
        </w:rPr>
        <w:t>的建设与运行</w:t>
      </w:r>
      <w:r>
        <w:rPr>
          <w:rFonts w:hint="eastAsia"/>
          <w:color w:val="auto"/>
        </w:rPr>
        <w:t>对</w:t>
      </w:r>
      <w:r>
        <w:rPr>
          <w:color w:val="auto"/>
        </w:rPr>
        <w:t>周边土壤环境影响较轻。</w:t>
      </w:r>
    </w:p>
    <w:p w14:paraId="6F9DF18C">
      <w:pPr>
        <w:pStyle w:val="4"/>
        <w:ind w:firstLine="480"/>
        <w:rPr>
          <w:color w:val="auto"/>
        </w:rPr>
      </w:pPr>
      <w:r>
        <w:rPr>
          <w:color w:val="auto"/>
        </w:rPr>
        <w:t>4）严格执行了巡线管理制度，提高了巡线频次，以防管线泄漏事故发生而造成对土壤的污染。</w:t>
      </w:r>
    </w:p>
    <w:p w14:paraId="3CAE6430">
      <w:pPr>
        <w:pStyle w:val="4"/>
        <w:ind w:firstLine="480"/>
        <w:rPr>
          <w:color w:val="auto"/>
        </w:rPr>
      </w:pPr>
      <w:r>
        <w:rPr>
          <w:rFonts w:hint="eastAsia"/>
          <w:color w:val="auto"/>
        </w:rPr>
        <w:t>以上措施符合本项目环境影响报告书及其审批部门审批决定的要求</w:t>
      </w:r>
      <w:r>
        <w:rPr>
          <w:color w:val="auto"/>
        </w:rPr>
        <w:t>。</w:t>
      </w:r>
    </w:p>
    <w:p w14:paraId="6CF2B5C3">
      <w:pPr>
        <w:pStyle w:val="6"/>
        <w:rPr>
          <w:color w:val="auto"/>
        </w:rPr>
      </w:pPr>
      <w:r>
        <w:rPr>
          <w:rFonts w:hint="eastAsia"/>
          <w:color w:val="auto"/>
        </w:rPr>
        <w:t>污染防治和</w:t>
      </w:r>
      <w:r>
        <w:rPr>
          <w:color w:val="auto"/>
        </w:rPr>
        <w:t>处置</w:t>
      </w:r>
      <w:r>
        <w:rPr>
          <w:rFonts w:hint="eastAsia"/>
          <w:color w:val="auto"/>
        </w:rPr>
        <w:t>设施调试</w:t>
      </w:r>
      <w:r>
        <w:rPr>
          <w:color w:val="auto"/>
        </w:rPr>
        <w:t>运行</w:t>
      </w:r>
      <w:r>
        <w:rPr>
          <w:rFonts w:hint="eastAsia"/>
          <w:color w:val="auto"/>
        </w:rPr>
        <w:t>效果</w:t>
      </w:r>
    </w:p>
    <w:p w14:paraId="61A06649">
      <w:pPr>
        <w:pStyle w:val="4"/>
        <w:ind w:firstLine="480"/>
        <w:rPr>
          <w:color w:val="auto"/>
        </w:rPr>
      </w:pPr>
      <w:r>
        <w:rPr>
          <w:rFonts w:hint="eastAsia"/>
          <w:color w:val="auto"/>
        </w:rPr>
        <w:t>1）</w:t>
      </w:r>
      <w:r>
        <w:rPr>
          <w:color w:val="auto"/>
        </w:rPr>
        <w:t>施工期</w:t>
      </w:r>
      <w:r>
        <w:rPr>
          <w:rFonts w:hint="eastAsia"/>
          <w:color w:val="auto"/>
        </w:rPr>
        <w:t>采取</w:t>
      </w:r>
      <w:r>
        <w:rPr>
          <w:color w:val="auto"/>
        </w:rPr>
        <w:t>的</w:t>
      </w:r>
      <w:r>
        <w:rPr>
          <w:rFonts w:hint="eastAsia"/>
          <w:color w:val="auto"/>
        </w:rPr>
        <w:t>污</w:t>
      </w:r>
      <w:r>
        <w:rPr>
          <w:rFonts w:hint="eastAsia"/>
          <w:color w:val="auto"/>
          <w:szCs w:val="21"/>
          <w:lang w:val="en-GB"/>
        </w:rPr>
        <w:t>染防治和</w:t>
      </w:r>
      <w:r>
        <w:rPr>
          <w:color w:val="auto"/>
          <w:szCs w:val="21"/>
          <w:lang w:val="en-GB"/>
        </w:rPr>
        <w:t>处置</w:t>
      </w:r>
      <w:r>
        <w:rPr>
          <w:rFonts w:hint="eastAsia"/>
          <w:color w:val="auto"/>
          <w:szCs w:val="21"/>
          <w:lang w:val="en-GB"/>
        </w:rPr>
        <w:t>设施调试</w:t>
      </w:r>
      <w:r>
        <w:rPr>
          <w:color w:val="auto"/>
          <w:szCs w:val="21"/>
          <w:lang w:val="en-GB"/>
        </w:rPr>
        <w:t>运行</w:t>
      </w:r>
      <w:r>
        <w:rPr>
          <w:rFonts w:hint="eastAsia"/>
          <w:color w:val="auto"/>
          <w:szCs w:val="21"/>
          <w:lang w:val="en-GB"/>
        </w:rPr>
        <w:t>效果</w:t>
      </w:r>
    </w:p>
    <w:p w14:paraId="6AC3367B">
      <w:pPr>
        <w:autoSpaceDE w:val="0"/>
        <w:autoSpaceDN w:val="0"/>
        <w:adjustRightInd w:val="0"/>
        <w:spacing w:line="331" w:lineRule="auto"/>
        <w:ind w:firstLine="480" w:firstLineChars="200"/>
        <w:rPr>
          <w:rFonts w:ascii="宋体" w:hAnsi="宋体"/>
          <w:color w:val="auto"/>
        </w:rPr>
      </w:pPr>
      <w:r>
        <w:rPr>
          <w:rFonts w:hint="eastAsia" w:ascii="宋体" w:hAnsi="宋体"/>
          <w:color w:val="auto"/>
          <w:sz w:val="24"/>
          <w:lang w:val="en-GB"/>
        </w:rPr>
        <w:t>验收</w:t>
      </w:r>
      <w:r>
        <w:rPr>
          <w:rFonts w:ascii="宋体" w:hAnsi="宋体"/>
          <w:color w:val="auto"/>
          <w:sz w:val="24"/>
          <w:lang w:val="en-GB"/>
        </w:rPr>
        <w:t>调查</w:t>
      </w:r>
      <w:r>
        <w:rPr>
          <w:rFonts w:hint="eastAsia" w:ascii="宋体" w:hAnsi="宋体"/>
          <w:color w:val="auto"/>
          <w:sz w:val="24"/>
          <w:lang w:val="en-GB"/>
        </w:rPr>
        <w:t>可知</w:t>
      </w:r>
      <w:r>
        <w:rPr>
          <w:rFonts w:ascii="宋体" w:hAnsi="宋体"/>
          <w:color w:val="auto"/>
          <w:sz w:val="24"/>
          <w:lang w:val="en-GB"/>
        </w:rPr>
        <w:t>，</w:t>
      </w:r>
      <w:r>
        <w:rPr>
          <w:rFonts w:hint="eastAsia" w:ascii="宋体" w:hAnsi="宋体"/>
          <w:color w:val="auto"/>
          <w:sz w:val="24"/>
          <w:lang w:val="en-GB"/>
        </w:rPr>
        <w:t>施工</w:t>
      </w:r>
      <w:r>
        <w:rPr>
          <w:rFonts w:ascii="宋体" w:hAnsi="宋体"/>
          <w:color w:val="auto"/>
          <w:sz w:val="24"/>
          <w:lang w:val="en-GB"/>
        </w:rPr>
        <w:t>期间产生的废水、废气、噪声和固体废物均得到妥善</w:t>
      </w:r>
      <w:r>
        <w:rPr>
          <w:rFonts w:hint="eastAsia" w:ascii="宋体" w:hAnsi="宋体"/>
          <w:color w:val="auto"/>
          <w:sz w:val="24"/>
          <w:lang w:val="en-GB"/>
        </w:rPr>
        <w:t>、</w:t>
      </w:r>
      <w:r>
        <w:rPr>
          <w:rFonts w:ascii="宋体" w:hAnsi="宋体"/>
          <w:color w:val="auto"/>
          <w:sz w:val="24"/>
          <w:lang w:val="en-GB"/>
        </w:rPr>
        <w:t>有效的处置，未发生</w:t>
      </w:r>
      <w:r>
        <w:rPr>
          <w:rFonts w:hint="eastAsia" w:ascii="宋体" w:hAnsi="宋体"/>
          <w:color w:val="auto"/>
          <w:sz w:val="24"/>
          <w:lang w:val="en-GB"/>
        </w:rPr>
        <w:t>环境</w:t>
      </w:r>
      <w:r>
        <w:rPr>
          <w:rFonts w:ascii="宋体" w:hAnsi="宋体"/>
          <w:color w:val="auto"/>
          <w:sz w:val="24"/>
          <w:lang w:val="en-GB"/>
        </w:rPr>
        <w:t>污染事件和环境投诉事件</w:t>
      </w:r>
      <w:r>
        <w:rPr>
          <w:rFonts w:hint="eastAsia" w:ascii="宋体" w:hAnsi="宋体"/>
          <w:color w:val="auto"/>
          <w:sz w:val="24"/>
          <w:lang w:val="en-GB"/>
        </w:rPr>
        <w:t>。</w:t>
      </w:r>
      <w:r>
        <w:rPr>
          <w:rFonts w:ascii="宋体" w:hAnsi="宋体"/>
          <w:color w:val="auto"/>
          <w:sz w:val="24"/>
          <w:lang w:val="en-GB"/>
        </w:rPr>
        <w:t>施工期间采取的</w:t>
      </w:r>
      <w:r>
        <w:rPr>
          <w:rFonts w:hint="eastAsia" w:ascii="宋体" w:hAnsi="宋体"/>
          <w:color w:val="auto"/>
          <w:sz w:val="24"/>
          <w:lang w:val="en-GB"/>
        </w:rPr>
        <w:t>污染防治和</w:t>
      </w:r>
      <w:r>
        <w:rPr>
          <w:rFonts w:ascii="宋体" w:hAnsi="宋体"/>
          <w:color w:val="auto"/>
          <w:sz w:val="24"/>
          <w:lang w:val="en-GB"/>
        </w:rPr>
        <w:t>处置</w:t>
      </w:r>
      <w:r>
        <w:rPr>
          <w:rFonts w:hint="eastAsia" w:ascii="宋体" w:hAnsi="宋体"/>
          <w:color w:val="auto"/>
          <w:sz w:val="24"/>
          <w:lang w:val="en-GB"/>
        </w:rPr>
        <w:t>措施运行效果良好</w:t>
      </w:r>
      <w:r>
        <w:rPr>
          <w:rFonts w:ascii="宋体" w:hAnsi="宋体"/>
          <w:color w:val="auto"/>
          <w:sz w:val="24"/>
          <w:lang w:val="en-GB"/>
        </w:rPr>
        <w:t>。</w:t>
      </w:r>
    </w:p>
    <w:p w14:paraId="38E26D63">
      <w:pPr>
        <w:pStyle w:val="4"/>
        <w:ind w:firstLine="480"/>
        <w:rPr>
          <w:color w:val="auto"/>
        </w:rPr>
      </w:pPr>
      <w:r>
        <w:rPr>
          <w:color w:val="auto"/>
        </w:rPr>
        <w:t>2</w:t>
      </w:r>
      <w:r>
        <w:rPr>
          <w:rFonts w:hint="eastAsia"/>
          <w:color w:val="auto"/>
        </w:rPr>
        <w:t>）运营</w:t>
      </w:r>
      <w:r>
        <w:rPr>
          <w:color w:val="auto"/>
        </w:rPr>
        <w:t>期</w:t>
      </w:r>
      <w:r>
        <w:rPr>
          <w:rFonts w:hint="eastAsia"/>
          <w:color w:val="auto"/>
        </w:rPr>
        <w:t>采取</w:t>
      </w:r>
      <w:r>
        <w:rPr>
          <w:color w:val="auto"/>
        </w:rPr>
        <w:t>的</w:t>
      </w:r>
      <w:r>
        <w:rPr>
          <w:rFonts w:hint="eastAsia"/>
          <w:color w:val="auto"/>
        </w:rPr>
        <w:t>污</w:t>
      </w:r>
      <w:r>
        <w:rPr>
          <w:rFonts w:hint="eastAsia"/>
          <w:color w:val="auto"/>
          <w:szCs w:val="21"/>
          <w:lang w:val="en-GB"/>
        </w:rPr>
        <w:t>染防治和</w:t>
      </w:r>
      <w:r>
        <w:rPr>
          <w:color w:val="auto"/>
          <w:szCs w:val="21"/>
          <w:lang w:val="en-GB"/>
        </w:rPr>
        <w:t>处置</w:t>
      </w:r>
      <w:r>
        <w:rPr>
          <w:rFonts w:hint="eastAsia"/>
          <w:color w:val="auto"/>
          <w:szCs w:val="21"/>
          <w:lang w:val="en-GB"/>
        </w:rPr>
        <w:t>设施调试</w:t>
      </w:r>
      <w:r>
        <w:rPr>
          <w:color w:val="auto"/>
          <w:szCs w:val="21"/>
          <w:lang w:val="en-GB"/>
        </w:rPr>
        <w:t>运行</w:t>
      </w:r>
      <w:r>
        <w:rPr>
          <w:rFonts w:hint="eastAsia"/>
          <w:color w:val="auto"/>
          <w:szCs w:val="21"/>
          <w:lang w:val="en-GB"/>
        </w:rPr>
        <w:t>效果</w:t>
      </w:r>
    </w:p>
    <w:p w14:paraId="0CD9B218">
      <w:pPr>
        <w:pStyle w:val="4"/>
        <w:ind w:firstLine="480"/>
        <w:rPr>
          <w:color w:val="auto"/>
        </w:rPr>
      </w:pPr>
      <w:r>
        <w:rPr>
          <w:rFonts w:hint="eastAsia"/>
          <w:color w:val="auto"/>
        </w:rPr>
        <w:t>（1）废水污染</w:t>
      </w:r>
      <w:r>
        <w:rPr>
          <w:color w:val="auto"/>
        </w:rPr>
        <w:t>防治和处置措施</w:t>
      </w:r>
    </w:p>
    <w:p w14:paraId="24D4E6B6">
      <w:pPr>
        <w:pStyle w:val="4"/>
        <w:ind w:firstLine="480"/>
        <w:rPr>
          <w:color w:val="auto"/>
        </w:rPr>
      </w:pPr>
      <w:r>
        <w:rPr>
          <w:rFonts w:hint="eastAsia"/>
          <w:color w:val="auto"/>
        </w:rPr>
        <w:t>本期工程调查期间未产生井下作业废水，后期井下作业废水经收集后由罐车拉运至</w:t>
      </w:r>
      <w:r>
        <w:rPr>
          <w:rFonts w:hint="eastAsia"/>
          <w:color w:val="auto"/>
          <w:kern w:val="0"/>
        </w:rPr>
        <w:t>高青联合站、</w:t>
      </w:r>
      <w:bookmarkStart w:id="549" w:name="OLE_LINK130"/>
      <w:r>
        <w:rPr>
          <w:rFonts w:hint="eastAsia"/>
          <w:color w:val="auto"/>
          <w:kern w:val="0"/>
        </w:rPr>
        <w:t>滨博接转站</w:t>
      </w:r>
      <w:bookmarkEnd w:id="549"/>
      <w:r>
        <w:rPr>
          <w:rFonts w:hint="eastAsia"/>
          <w:color w:val="auto"/>
          <w:kern w:val="0"/>
        </w:rPr>
        <w:t>内</w:t>
      </w:r>
      <w:r>
        <w:rPr>
          <w:rFonts w:hint="eastAsia"/>
          <w:color w:val="auto"/>
        </w:rPr>
        <w:t>采出水</w:t>
      </w:r>
      <w:r>
        <w:rPr>
          <w:rFonts w:hint="eastAsia"/>
          <w:color w:val="auto"/>
          <w:kern w:val="0"/>
        </w:rPr>
        <w:t>处理系统处理达标后回注地层，用于油田注水开发</w:t>
      </w:r>
      <w:r>
        <w:rPr>
          <w:rFonts w:hint="eastAsia"/>
          <w:color w:val="auto"/>
        </w:rPr>
        <w:t>，无外排；采出水拉运至高青联合站、</w:t>
      </w:r>
      <w:r>
        <w:rPr>
          <w:rFonts w:hint="eastAsia"/>
          <w:color w:val="auto"/>
          <w:kern w:val="0"/>
        </w:rPr>
        <w:t>滨博接转站</w:t>
      </w:r>
      <w:r>
        <w:rPr>
          <w:rFonts w:hint="eastAsia"/>
          <w:color w:val="auto"/>
        </w:rPr>
        <w:t>采出水处理系统处理达标后，回注地层用于油田注水开发，无外排。根据项目特点，以上废水污染防治和处置设施属于依托工程，不在本次验收调查范围之内，且验收调查期间未发生废水直接外排现象。</w:t>
      </w:r>
    </w:p>
    <w:p w14:paraId="324D9D68">
      <w:pPr>
        <w:pStyle w:val="4"/>
        <w:ind w:firstLine="480"/>
        <w:rPr>
          <w:color w:val="auto"/>
        </w:rPr>
      </w:pPr>
      <w:r>
        <w:rPr>
          <w:rFonts w:hint="eastAsia"/>
          <w:color w:val="auto"/>
        </w:rPr>
        <w:t>（2）废气污染</w:t>
      </w:r>
      <w:r>
        <w:rPr>
          <w:color w:val="auto"/>
        </w:rPr>
        <w:t>防治和处置措施</w:t>
      </w:r>
    </w:p>
    <w:p w14:paraId="31E406F4">
      <w:pPr>
        <w:pStyle w:val="4"/>
        <w:ind w:firstLine="480"/>
        <w:rPr>
          <w:color w:val="auto"/>
        </w:rPr>
      </w:pPr>
      <w:r>
        <w:rPr>
          <w:rFonts w:hint="eastAsia"/>
          <w:color w:val="auto"/>
        </w:rPr>
        <w:t>经调查</w:t>
      </w:r>
      <w:r>
        <w:rPr>
          <w:snapToGrid w:val="0"/>
          <w:color w:val="auto"/>
        </w:rPr>
        <w:t>，</w:t>
      </w:r>
      <w:r>
        <w:rPr>
          <w:rFonts w:hint="eastAsia"/>
          <w:color w:val="auto"/>
        </w:rPr>
        <w:t>运营期井场厂界</w:t>
      </w:r>
      <w:r>
        <w:rPr>
          <w:rFonts w:hint="eastAsia"/>
          <w:snapToGrid w:val="0"/>
          <w:color w:val="auto"/>
        </w:rPr>
        <w:t>无组织</w:t>
      </w:r>
      <w:r>
        <w:rPr>
          <w:snapToGrid w:val="0"/>
          <w:color w:val="auto"/>
        </w:rPr>
        <w:t>挥发</w:t>
      </w:r>
      <w:r>
        <w:rPr>
          <w:rFonts w:hint="eastAsia"/>
          <w:color w:val="auto"/>
        </w:rPr>
        <w:t>非甲烷总烃满足《挥发性有机物排放标准 第7部分：其他行业》（DB37/ 2801.7-2019）表2中VOCs厂界监控点浓度限值（2.0mg/m</w:t>
      </w:r>
      <w:r>
        <w:rPr>
          <w:rFonts w:hint="eastAsia"/>
          <w:color w:val="auto"/>
          <w:vertAlign w:val="superscript"/>
        </w:rPr>
        <w:t>3</w:t>
      </w:r>
      <w:r>
        <w:rPr>
          <w:rFonts w:hint="eastAsia"/>
          <w:color w:val="auto"/>
        </w:rPr>
        <w:t>）要求；</w:t>
      </w:r>
      <w:r>
        <w:rPr>
          <w:rFonts w:hint="eastAsia"/>
          <w:snapToGrid w:val="0"/>
          <w:color w:val="auto"/>
        </w:rPr>
        <w:t>硫化氢浓度满足</w:t>
      </w:r>
      <w:r>
        <w:rPr>
          <w:rFonts w:hint="eastAsia"/>
          <w:color w:val="auto"/>
        </w:rPr>
        <w:t>《恶臭污染物排放标准》（GB 14554-1993）厂界标准（0</w:t>
      </w:r>
      <w:r>
        <w:rPr>
          <w:color w:val="auto"/>
        </w:rPr>
        <w:t>.06</w:t>
      </w:r>
      <w:r>
        <w:rPr>
          <w:rFonts w:hint="eastAsia"/>
          <w:color w:val="auto"/>
        </w:rPr>
        <w:t xml:space="preserve"> mg/m</w:t>
      </w:r>
      <w:r>
        <w:rPr>
          <w:rFonts w:hint="eastAsia"/>
          <w:color w:val="auto"/>
          <w:vertAlign w:val="superscript"/>
        </w:rPr>
        <w:t>3</w:t>
      </w:r>
      <w:r>
        <w:rPr>
          <w:rFonts w:hint="eastAsia"/>
          <w:color w:val="auto"/>
        </w:rPr>
        <w:t>）；加热炉废气中的</w:t>
      </w:r>
      <w:r>
        <w:rPr>
          <w:rFonts w:hint="eastAsia"/>
          <w:snapToGrid w:val="0"/>
          <w:color w:val="auto"/>
        </w:rPr>
        <w:t>SO</w:t>
      </w:r>
      <w:r>
        <w:rPr>
          <w:rFonts w:hint="eastAsia"/>
          <w:snapToGrid w:val="0"/>
          <w:color w:val="auto"/>
          <w:vertAlign w:val="subscript"/>
        </w:rPr>
        <w:t>2</w:t>
      </w:r>
      <w:r>
        <w:rPr>
          <w:rFonts w:hint="eastAsia"/>
          <w:snapToGrid w:val="0"/>
          <w:color w:val="auto"/>
        </w:rPr>
        <w:t>、NO</w:t>
      </w:r>
      <w:r>
        <w:rPr>
          <w:rFonts w:hint="eastAsia"/>
          <w:snapToGrid w:val="0"/>
          <w:color w:val="auto"/>
          <w:vertAlign w:val="subscript"/>
        </w:rPr>
        <w:t>X</w:t>
      </w:r>
      <w:r>
        <w:rPr>
          <w:rFonts w:hint="eastAsia"/>
          <w:snapToGrid w:val="0"/>
          <w:color w:val="auto"/>
        </w:rPr>
        <w:t>和颗粒物能够满足</w:t>
      </w:r>
      <w:r>
        <w:rPr>
          <w:rFonts w:hint="eastAsia" w:cs="宋体"/>
          <w:color w:val="auto"/>
          <w:kern w:val="0"/>
        </w:rPr>
        <w:t>《锅炉大气污染物排放标准》（DB37/ 2374-2018）表2重点控制区要求</w:t>
      </w:r>
      <w:r>
        <w:rPr>
          <w:rFonts w:hint="eastAsia"/>
          <w:color w:val="auto"/>
        </w:rPr>
        <w:t>（SO</w:t>
      </w:r>
      <w:r>
        <w:rPr>
          <w:rFonts w:hint="eastAsia"/>
          <w:color w:val="auto"/>
          <w:vertAlign w:val="subscript"/>
        </w:rPr>
        <w:t>2</w:t>
      </w:r>
      <w:r>
        <w:rPr>
          <w:rFonts w:hint="eastAsia"/>
          <w:color w:val="auto"/>
        </w:rPr>
        <w:t>：50mg/m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：100mg/m</w:t>
      </w:r>
      <w:r>
        <w:rPr>
          <w:rFonts w:hint="eastAsia"/>
          <w:color w:val="auto"/>
          <w:vertAlign w:val="superscript"/>
        </w:rPr>
        <w:t>3</w:t>
      </w:r>
      <w:r>
        <w:rPr>
          <w:rFonts w:hint="eastAsia"/>
          <w:color w:val="auto"/>
        </w:rPr>
        <w:t>、</w:t>
      </w:r>
      <w:r>
        <w:rPr>
          <w:rFonts w:hint="eastAsia" w:cs="宋体"/>
          <w:color w:val="auto"/>
          <w:kern w:val="0"/>
        </w:rPr>
        <w:t>颗粒物</w:t>
      </w:r>
      <w:r>
        <w:rPr>
          <w:rFonts w:hint="eastAsia"/>
          <w:color w:val="auto"/>
        </w:rPr>
        <w:t>：10mg/m</w:t>
      </w:r>
      <w:r>
        <w:rPr>
          <w:rFonts w:hint="eastAsia"/>
          <w:color w:val="auto"/>
          <w:vertAlign w:val="superscript"/>
        </w:rPr>
        <w:t>3</w:t>
      </w:r>
      <w:r>
        <w:rPr>
          <w:rFonts w:hint="eastAsia"/>
          <w:color w:val="auto"/>
        </w:rPr>
        <w:t>）。</w:t>
      </w:r>
    </w:p>
    <w:p w14:paraId="73689A35">
      <w:pPr>
        <w:pStyle w:val="4"/>
        <w:ind w:firstLine="480"/>
        <w:rPr>
          <w:color w:val="auto"/>
        </w:rPr>
      </w:pPr>
      <w:r>
        <w:rPr>
          <w:rFonts w:hint="eastAsia"/>
          <w:color w:val="auto"/>
        </w:rPr>
        <w:t>（3）噪声污染</w:t>
      </w:r>
      <w:r>
        <w:rPr>
          <w:color w:val="auto"/>
        </w:rPr>
        <w:t>防治和处置措施</w:t>
      </w:r>
    </w:p>
    <w:p w14:paraId="2A0278C0">
      <w:pPr>
        <w:pStyle w:val="122"/>
        <w:spacing w:line="331" w:lineRule="auto"/>
        <w:ind w:firstLine="480"/>
        <w:rPr>
          <w:rFonts w:hAnsi="宋体"/>
          <w:color w:val="auto"/>
        </w:rPr>
      </w:pPr>
      <w:r>
        <w:rPr>
          <w:rFonts w:hint="eastAsia" w:hAnsi="宋体"/>
          <w:color w:val="auto"/>
        </w:rPr>
        <w:t>经调查</w:t>
      </w:r>
      <w:r>
        <w:rPr>
          <w:rFonts w:hAnsi="宋体"/>
          <w:color w:val="auto"/>
        </w:rPr>
        <w:t>，项目管理单位</w:t>
      </w:r>
      <w:r>
        <w:rPr>
          <w:rFonts w:hAnsi="宋体"/>
          <w:snapToGrid w:val="0"/>
          <w:color w:val="auto"/>
        </w:rPr>
        <w:t>对抽油机加强</w:t>
      </w:r>
      <w:r>
        <w:rPr>
          <w:rFonts w:hint="eastAsia" w:hAnsi="宋体"/>
          <w:snapToGrid w:val="0"/>
          <w:color w:val="auto"/>
        </w:rPr>
        <w:t>了</w:t>
      </w:r>
      <w:r>
        <w:rPr>
          <w:rFonts w:hAnsi="宋体"/>
          <w:snapToGrid w:val="0"/>
          <w:color w:val="auto"/>
        </w:rPr>
        <w:t>维护管理，</w:t>
      </w:r>
      <w:r>
        <w:rPr>
          <w:rFonts w:hint="eastAsia" w:hAnsi="宋体"/>
          <w:snapToGrid w:val="0"/>
          <w:color w:val="auto"/>
        </w:rPr>
        <w:t>有效降低</w:t>
      </w:r>
      <w:r>
        <w:rPr>
          <w:rFonts w:hAnsi="宋体"/>
          <w:snapToGrid w:val="0"/>
          <w:color w:val="auto"/>
        </w:rPr>
        <w:t>了因设备故障发生而产生的噪声</w:t>
      </w:r>
      <w:r>
        <w:rPr>
          <w:rFonts w:hint="eastAsia" w:hAnsi="宋体"/>
          <w:snapToGrid w:val="0"/>
          <w:color w:val="auto"/>
        </w:rPr>
        <w:t>。</w:t>
      </w:r>
      <w:r>
        <w:rPr>
          <w:rFonts w:hint="eastAsia" w:hAnsi="宋体"/>
          <w:color w:val="auto"/>
        </w:rPr>
        <w:t>根据</w:t>
      </w:r>
      <w:r>
        <w:rPr>
          <w:rFonts w:hAnsi="宋体"/>
          <w:color w:val="auto"/>
        </w:rPr>
        <w:t>监测结果，</w:t>
      </w:r>
      <w:r>
        <w:rPr>
          <w:rFonts w:hint="eastAsia" w:hAnsi="宋体"/>
          <w:color w:val="auto"/>
        </w:rPr>
        <w:t>井场</w:t>
      </w:r>
      <w:r>
        <w:rPr>
          <w:rFonts w:hAnsi="宋体"/>
          <w:color w:val="auto"/>
        </w:rPr>
        <w:t>厂界</w:t>
      </w:r>
      <w:r>
        <w:rPr>
          <w:rFonts w:hint="eastAsia" w:hAnsi="宋体"/>
          <w:color w:val="auto"/>
        </w:rPr>
        <w:t>噪声满足《工业企业厂界环境噪声排放标准》（GB 12348-2008）中的2类区排放限值（昼间60dB（A），夜间50dB（A）），表明油井</w:t>
      </w:r>
      <w:r>
        <w:rPr>
          <w:rFonts w:hAnsi="宋体"/>
          <w:color w:val="auto"/>
        </w:rPr>
        <w:t>的运行</w:t>
      </w:r>
      <w:r>
        <w:rPr>
          <w:rFonts w:hint="eastAsia" w:hAnsi="宋体"/>
          <w:color w:val="auto"/>
        </w:rPr>
        <w:t>对</w:t>
      </w:r>
      <w:r>
        <w:rPr>
          <w:rFonts w:hAnsi="宋体"/>
          <w:color w:val="auto"/>
        </w:rPr>
        <w:t>周边</w:t>
      </w:r>
      <w:r>
        <w:rPr>
          <w:rFonts w:hint="eastAsia" w:hAnsi="宋体"/>
          <w:color w:val="auto"/>
        </w:rPr>
        <w:t>声</w:t>
      </w:r>
      <w:r>
        <w:rPr>
          <w:rFonts w:hAnsi="宋体"/>
          <w:color w:val="auto"/>
        </w:rPr>
        <w:t>环境影响较轻</w:t>
      </w:r>
      <w:r>
        <w:rPr>
          <w:rFonts w:hAnsi="宋体"/>
          <w:snapToGrid w:val="0"/>
          <w:color w:val="auto"/>
        </w:rPr>
        <w:t>。</w:t>
      </w:r>
    </w:p>
    <w:p w14:paraId="69885974">
      <w:pPr>
        <w:pStyle w:val="4"/>
        <w:ind w:firstLine="480"/>
        <w:rPr>
          <w:color w:val="auto"/>
        </w:rPr>
      </w:pPr>
      <w:r>
        <w:rPr>
          <w:rFonts w:hint="eastAsia"/>
          <w:color w:val="auto"/>
        </w:rPr>
        <w:t>（</w:t>
      </w:r>
      <w:r>
        <w:rPr>
          <w:color w:val="auto"/>
        </w:rPr>
        <w:t>4</w:t>
      </w:r>
      <w:r>
        <w:rPr>
          <w:rFonts w:hint="eastAsia"/>
          <w:color w:val="auto"/>
        </w:rPr>
        <w:t>）固体废物污染</w:t>
      </w:r>
      <w:r>
        <w:rPr>
          <w:color w:val="auto"/>
        </w:rPr>
        <w:t>防治和处置措施</w:t>
      </w:r>
    </w:p>
    <w:p w14:paraId="428DFCD9">
      <w:pPr>
        <w:pStyle w:val="4"/>
        <w:ind w:firstLine="480"/>
        <w:rPr>
          <w:color w:val="auto"/>
        </w:rPr>
      </w:pPr>
      <w:r>
        <w:rPr>
          <w:rFonts w:hint="eastAsia" w:cs="宋体"/>
          <w:color w:val="auto"/>
          <w:kern w:val="0"/>
        </w:rPr>
        <w:t>运营期</w:t>
      </w:r>
      <w:r>
        <w:rPr>
          <w:rFonts w:hint="eastAsia"/>
          <w:color w:val="auto"/>
          <w:kern w:val="0"/>
        </w:rPr>
        <w:t>井下作业目前均采用船型围堰代替铺设防渗材料，无废弃防渗膜产生；本期工程暂未产生落地油，后期若产生，则</w:t>
      </w:r>
      <w:r>
        <w:rPr>
          <w:rFonts w:hint="eastAsia"/>
          <w:color w:val="auto"/>
        </w:rPr>
        <w:t>随产随清，</w:t>
      </w:r>
      <w:r>
        <w:rPr>
          <w:rFonts w:hint="eastAsia" w:cs="宋体"/>
          <w:color w:val="auto"/>
          <w:kern w:val="0"/>
        </w:rPr>
        <w:t>委托滨州市瑞峰环保科技有限公司处置</w:t>
      </w:r>
      <w:r>
        <w:rPr>
          <w:rFonts w:hint="eastAsia"/>
          <w:color w:val="auto"/>
        </w:rPr>
        <w:t>。</w:t>
      </w:r>
    </w:p>
    <w:p w14:paraId="0DAE3144">
      <w:pPr>
        <w:pStyle w:val="4"/>
        <w:ind w:firstLine="480"/>
        <w:rPr>
          <w:color w:val="auto"/>
        </w:rPr>
      </w:pPr>
      <w:r>
        <w:rPr>
          <w:rFonts w:hint="eastAsia"/>
          <w:color w:val="auto"/>
        </w:rPr>
        <w:t>综上，本期工程调试期间产生污染物均可达标排放，所采取的各项污染防治和处置措施运行效果良好，符合该项目环境影响报告书及其审批部门审批决定的要求。</w:t>
      </w:r>
    </w:p>
    <w:p w14:paraId="7E34C78C">
      <w:pPr>
        <w:pStyle w:val="5"/>
        <w:rPr>
          <w:color w:val="auto"/>
        </w:rPr>
      </w:pPr>
      <w:bookmarkStart w:id="550" w:name="_Toc231283669"/>
      <w:r>
        <w:rPr>
          <w:rFonts w:hint="eastAsia"/>
          <w:color w:val="auto"/>
        </w:rPr>
        <w:t>建议</w:t>
      </w:r>
      <w:r>
        <w:rPr>
          <w:color w:val="auto"/>
        </w:rPr>
        <w:t>和后续要求</w:t>
      </w:r>
      <w:bookmarkEnd w:id="550"/>
    </w:p>
    <w:p w14:paraId="3700D78F">
      <w:pPr>
        <w:pStyle w:val="4"/>
        <w:ind w:firstLine="480"/>
        <w:rPr>
          <w:color w:val="auto"/>
        </w:rPr>
      </w:pPr>
      <w:r>
        <w:rPr>
          <w:color w:val="auto"/>
        </w:rPr>
        <w:t>进一步加强环境管理工作，继续健全和完善各类环保规章制度、HSE管理体系</w:t>
      </w:r>
      <w:r>
        <w:rPr>
          <w:rFonts w:hint="eastAsia"/>
          <w:color w:val="auto"/>
        </w:rPr>
        <w:t>；及时</w:t>
      </w:r>
      <w:r>
        <w:rPr>
          <w:color w:val="auto"/>
        </w:rPr>
        <w:t>修订</w:t>
      </w:r>
      <w:r>
        <w:rPr>
          <w:rFonts w:hint="eastAsia"/>
          <w:color w:val="auto"/>
        </w:rPr>
        <w:t>突发环境事件应急预案，</w:t>
      </w:r>
      <w:r>
        <w:rPr>
          <w:color w:val="auto"/>
        </w:rPr>
        <w:t>并按照应急预案要求，定期进行演练，从而不断提高污染防治和环境风险防范水平，确保项目环境安全</w:t>
      </w:r>
      <w:r>
        <w:rPr>
          <w:rFonts w:hint="eastAsia"/>
          <w:color w:val="auto"/>
        </w:rPr>
        <w:t>。</w:t>
      </w:r>
    </w:p>
    <w:p w14:paraId="67F25B6F">
      <w:pPr>
        <w:pStyle w:val="5"/>
        <w:rPr>
          <w:color w:val="auto"/>
        </w:rPr>
      </w:pPr>
      <w:bookmarkStart w:id="551" w:name="_Toc231283670"/>
      <w:r>
        <w:rPr>
          <w:rFonts w:hint="eastAsia"/>
          <w:color w:val="auto"/>
        </w:rPr>
        <w:t>验收报告</w:t>
      </w:r>
      <w:r>
        <w:rPr>
          <w:color w:val="auto"/>
        </w:rPr>
        <w:t>调查</w:t>
      </w:r>
      <w:r>
        <w:rPr>
          <w:rFonts w:hint="eastAsia"/>
          <w:color w:val="auto"/>
        </w:rPr>
        <w:t>结论</w:t>
      </w:r>
      <w:bookmarkEnd w:id="551"/>
    </w:p>
    <w:p w14:paraId="5125E7C3">
      <w:pPr>
        <w:pStyle w:val="4"/>
        <w:ind w:firstLine="480"/>
        <w:rPr>
          <w:color w:val="auto"/>
        </w:rPr>
      </w:pPr>
      <w:r>
        <w:rPr>
          <w:rFonts w:hint="eastAsia"/>
          <w:color w:val="auto"/>
        </w:rPr>
        <w:t>本期工程严格</w:t>
      </w:r>
      <w:r>
        <w:rPr>
          <w:color w:val="auto"/>
        </w:rPr>
        <w:t>执行</w:t>
      </w:r>
      <w:r>
        <w:rPr>
          <w:rFonts w:hint="eastAsia"/>
          <w:color w:val="auto"/>
        </w:rPr>
        <w:t>了</w:t>
      </w:r>
      <w:r>
        <w:rPr>
          <w:color w:val="auto"/>
        </w:rPr>
        <w:t>环保“三同时”制度，</w:t>
      </w:r>
      <w:r>
        <w:rPr>
          <w:rFonts w:hint="eastAsia"/>
          <w:color w:val="auto"/>
        </w:rPr>
        <w:t>建立了</w:t>
      </w:r>
      <w:r>
        <w:rPr>
          <w:color w:val="auto"/>
        </w:rPr>
        <w:t>环境管理体系，</w:t>
      </w:r>
      <w:r>
        <w:rPr>
          <w:rFonts w:hint="eastAsia"/>
          <w:color w:val="auto"/>
        </w:rPr>
        <w:t>落实了环评报告书及其批复文件中提出的相关要求，</w:t>
      </w:r>
      <w:r>
        <w:rPr>
          <w:color w:val="auto"/>
        </w:rPr>
        <w:t>各项</w:t>
      </w:r>
      <w:r>
        <w:rPr>
          <w:rFonts w:hint="eastAsia"/>
          <w:color w:val="auto"/>
        </w:rPr>
        <w:t>污染</w:t>
      </w:r>
      <w:r>
        <w:rPr>
          <w:color w:val="auto"/>
        </w:rPr>
        <w:t>防治措施、生态保护措施和</w:t>
      </w:r>
      <w:r>
        <w:rPr>
          <w:rFonts w:hint="eastAsia"/>
          <w:color w:val="auto"/>
        </w:rPr>
        <w:t>环境风险防范措施有效可行，未对</w:t>
      </w:r>
      <w:r>
        <w:rPr>
          <w:color w:val="auto"/>
        </w:rPr>
        <w:t>周围环境</w:t>
      </w:r>
      <w:r>
        <w:rPr>
          <w:rFonts w:hint="eastAsia"/>
          <w:color w:val="auto"/>
        </w:rPr>
        <w:t>产生</w:t>
      </w:r>
      <w:r>
        <w:rPr>
          <w:color w:val="auto"/>
        </w:rPr>
        <w:t>明显不利影响。</w:t>
      </w:r>
      <w:r>
        <w:rPr>
          <w:rFonts w:hint="eastAsia"/>
          <w:color w:val="auto"/>
        </w:rPr>
        <w:t>本次验收调查期间，工程</w:t>
      </w:r>
      <w:r>
        <w:rPr>
          <w:color w:val="auto"/>
        </w:rPr>
        <w:t>占地</w:t>
      </w:r>
      <w:r>
        <w:rPr>
          <w:rFonts w:hint="eastAsia"/>
          <w:color w:val="auto"/>
        </w:rPr>
        <w:t>已恢复平整</w:t>
      </w:r>
      <w:r>
        <w:rPr>
          <w:color w:val="auto"/>
        </w:rPr>
        <w:t>，</w:t>
      </w:r>
      <w:r>
        <w:rPr>
          <w:rFonts w:hint="eastAsia"/>
          <w:color w:val="auto"/>
        </w:rPr>
        <w:t>井场</w:t>
      </w:r>
      <w:r>
        <w:rPr>
          <w:color w:val="auto"/>
        </w:rPr>
        <w:t>内外土壤环境质量能够满足相关标准要求，</w:t>
      </w:r>
      <w:r>
        <w:rPr>
          <w:rFonts w:hint="eastAsia"/>
          <w:color w:val="auto"/>
        </w:rPr>
        <w:t>各项污染物均能够达标排放，符合竣工环境保护验收条件。</w:t>
      </w:r>
      <w:r>
        <w:rPr>
          <w:color w:val="auto"/>
        </w:rPr>
        <w:t>因此</w:t>
      </w:r>
      <w:r>
        <w:rPr>
          <w:rFonts w:hint="eastAsia"/>
          <w:color w:val="auto"/>
        </w:rPr>
        <w:t>，建议本工程通过竣工环境保护</w:t>
      </w:r>
      <w:r>
        <w:rPr>
          <w:color w:val="auto"/>
        </w:rPr>
        <w:t>验收</w:t>
      </w:r>
      <w:r>
        <w:rPr>
          <w:rFonts w:hint="eastAsia"/>
          <w:color w:val="auto"/>
        </w:rPr>
        <w:t>。</w:t>
      </w:r>
    </w:p>
    <w:p w14:paraId="38357ADE">
      <w:pPr>
        <w:pStyle w:val="4"/>
        <w:ind w:firstLine="480"/>
        <w:rPr>
          <w:color w:val="auto"/>
          <w:lang w:val="zh-CN"/>
        </w:rPr>
        <w:sectPr>
          <w:pgSz w:w="11907" w:h="16839"/>
          <w:pgMar w:top="1418" w:right="1588" w:bottom="1418" w:left="1588" w:header="1134" w:footer="850" w:gutter="0"/>
          <w:cols w:space="720" w:num="1"/>
          <w:docGrid w:linePitch="312" w:charSpace="0"/>
        </w:sectPr>
      </w:pPr>
    </w:p>
    <w:p w14:paraId="2C24ADE7">
      <w:pPr>
        <w:pStyle w:val="3"/>
        <w:rPr>
          <w:color w:val="auto"/>
        </w:rPr>
      </w:pPr>
      <w:bookmarkStart w:id="552" w:name="_Toc240769404"/>
      <w:bookmarkStart w:id="553" w:name="_Toc231283671"/>
      <w:bookmarkStart w:id="554" w:name="_Toc198458238"/>
      <w:bookmarkStart w:id="555" w:name="_Toc196127679"/>
      <w:bookmarkStart w:id="556" w:name="_Toc476922985"/>
      <w:bookmarkStart w:id="557" w:name="_Toc377743479"/>
      <w:r>
        <w:rPr>
          <w:color w:val="auto"/>
        </w:rPr>
        <w:t>附件</w:t>
      </w:r>
      <w:bookmarkEnd w:id="552"/>
      <w:bookmarkEnd w:id="553"/>
      <w:bookmarkEnd w:id="554"/>
      <w:bookmarkEnd w:id="555"/>
      <w:bookmarkEnd w:id="556"/>
      <w:bookmarkEnd w:id="557"/>
    </w:p>
    <w:p w14:paraId="65D31DB8">
      <w:pPr>
        <w:pStyle w:val="5"/>
        <w:numPr>
          <w:ilvl w:val="0"/>
          <w:numId w:val="0"/>
        </w:numPr>
        <w:rPr>
          <w:color w:val="auto"/>
        </w:rPr>
      </w:pPr>
      <w:bookmarkStart w:id="558" w:name="_Toc231283672"/>
      <w:r>
        <w:rPr>
          <w:rFonts w:hint="eastAsia"/>
          <w:color w:val="auto"/>
        </w:rPr>
        <w:t>附件</w:t>
      </w:r>
      <w:r>
        <w:rPr>
          <w:color w:val="auto"/>
        </w:rPr>
        <w:t xml:space="preserve">1  </w:t>
      </w:r>
      <w:r>
        <w:rPr>
          <w:rFonts w:hint="eastAsia"/>
          <w:color w:val="auto"/>
        </w:rPr>
        <w:t>验收调查工作委托书</w:t>
      </w:r>
      <w:bookmarkEnd w:id="558"/>
    </w:p>
    <w:p w14:paraId="5B15FCAF">
      <w:pPr>
        <w:adjustRightInd w:val="0"/>
        <w:snapToGrid w:val="0"/>
        <w:jc w:val="center"/>
        <w:rPr>
          <w:rFonts w:ascii="宋体" w:hAnsi="宋体"/>
          <w:b/>
          <w:color w:val="auto"/>
          <w:sz w:val="28"/>
          <w:szCs w:val="28"/>
        </w:rPr>
      </w:pPr>
    </w:p>
    <w:p w14:paraId="3E8A34FE">
      <w:pPr>
        <w:adjustRightInd w:val="0"/>
        <w:snapToGrid w:val="0"/>
        <w:spacing w:line="360" w:lineRule="auto"/>
        <w:jc w:val="center"/>
        <w:rPr>
          <w:rFonts w:ascii="宋体" w:hAnsi="宋体"/>
          <w:color w:val="auto"/>
          <w:sz w:val="30"/>
          <w:szCs w:val="30"/>
        </w:rPr>
      </w:pPr>
    </w:p>
    <w:p w14:paraId="34CACE4F">
      <w:pPr>
        <w:adjustRightInd w:val="0"/>
        <w:snapToGrid w:val="0"/>
        <w:spacing w:line="360" w:lineRule="auto"/>
        <w:jc w:val="center"/>
        <w:rPr>
          <w:rFonts w:ascii="宋体" w:hAnsi="宋体"/>
          <w:color w:val="auto"/>
          <w:sz w:val="32"/>
          <w:szCs w:val="32"/>
        </w:rPr>
      </w:pPr>
      <w:r>
        <w:rPr>
          <w:rFonts w:hint="eastAsia" w:ascii="宋体" w:hAnsi="宋体"/>
          <w:color w:val="auto"/>
          <w:sz w:val="32"/>
          <w:szCs w:val="32"/>
        </w:rPr>
        <w:t>大芦湖油田产能建设项目（2023-2025年）（一期）</w:t>
      </w:r>
    </w:p>
    <w:p w14:paraId="0A8BBF0C">
      <w:pPr>
        <w:adjustRightInd w:val="0"/>
        <w:snapToGrid w:val="0"/>
        <w:spacing w:line="360" w:lineRule="auto"/>
        <w:jc w:val="center"/>
        <w:rPr>
          <w:rFonts w:ascii="宋体" w:hAnsi="宋体"/>
          <w:color w:val="auto"/>
          <w:sz w:val="32"/>
          <w:szCs w:val="32"/>
        </w:rPr>
      </w:pPr>
      <w:r>
        <w:rPr>
          <w:rFonts w:hint="eastAsia" w:ascii="宋体" w:hAnsi="宋体"/>
          <w:color w:val="auto"/>
          <w:sz w:val="32"/>
          <w:szCs w:val="32"/>
        </w:rPr>
        <w:t>建设项目竣工环境保护设施验收</w:t>
      </w:r>
      <w:r>
        <w:rPr>
          <w:rFonts w:ascii="宋体" w:hAnsi="宋体"/>
          <w:color w:val="auto"/>
          <w:sz w:val="32"/>
          <w:szCs w:val="32"/>
        </w:rPr>
        <w:t>委托书</w:t>
      </w:r>
    </w:p>
    <w:p w14:paraId="713D405E">
      <w:pPr>
        <w:adjustRightInd w:val="0"/>
        <w:snapToGrid w:val="0"/>
        <w:spacing w:line="331" w:lineRule="auto"/>
        <w:rPr>
          <w:rFonts w:ascii="宋体" w:hAnsi="宋体" w:cs="Arial"/>
          <w:color w:val="auto"/>
          <w:sz w:val="24"/>
        </w:rPr>
      </w:pPr>
    </w:p>
    <w:p w14:paraId="12BA7F9B">
      <w:pPr>
        <w:adjustRightInd w:val="0"/>
        <w:snapToGrid w:val="0"/>
        <w:spacing w:line="331" w:lineRule="auto"/>
        <w:rPr>
          <w:rFonts w:ascii="宋体" w:hAnsi="宋体" w:cs="Arial"/>
          <w:color w:val="auto"/>
          <w:sz w:val="24"/>
        </w:rPr>
      </w:pPr>
    </w:p>
    <w:p w14:paraId="06222BE4">
      <w:pPr>
        <w:adjustRightInd w:val="0"/>
        <w:snapToGrid w:val="0"/>
        <w:spacing w:line="331" w:lineRule="auto"/>
        <w:rPr>
          <w:rFonts w:ascii="宋体" w:hAnsi="宋体" w:cs="Arial"/>
          <w:color w:val="auto"/>
          <w:sz w:val="28"/>
          <w:szCs w:val="28"/>
        </w:rPr>
      </w:pPr>
      <w:r>
        <w:rPr>
          <w:rFonts w:hint="eastAsia" w:ascii="宋体" w:hAnsi="宋体" w:cs="Arial"/>
          <w:color w:val="auto"/>
          <w:sz w:val="28"/>
          <w:szCs w:val="28"/>
        </w:rPr>
        <w:t>山东蓝普检测技术有限公司：</w:t>
      </w:r>
    </w:p>
    <w:p w14:paraId="0EE0FB7A">
      <w:pPr>
        <w:adjustRightInd w:val="0"/>
        <w:snapToGrid w:val="0"/>
        <w:spacing w:line="331" w:lineRule="auto"/>
        <w:ind w:firstLine="560" w:firstLineChars="200"/>
        <w:rPr>
          <w:rFonts w:ascii="宋体" w:hAnsi="宋体"/>
          <w:color w:val="auto"/>
          <w:sz w:val="28"/>
          <w:szCs w:val="28"/>
        </w:rPr>
      </w:pPr>
      <w:r>
        <w:rPr>
          <w:rFonts w:hint="eastAsia" w:ascii="宋体" w:hAnsi="宋体"/>
          <w:color w:val="auto"/>
          <w:sz w:val="28"/>
          <w:szCs w:val="28"/>
        </w:rPr>
        <w:t>根据《建设项目竣工环境保护验收暂行办法》（国环规环评[2017]4号）有关</w:t>
      </w:r>
      <w:r>
        <w:rPr>
          <w:rFonts w:ascii="宋体" w:hAnsi="宋体"/>
          <w:color w:val="auto"/>
          <w:sz w:val="28"/>
          <w:szCs w:val="28"/>
        </w:rPr>
        <w:t>要求，我单位</w:t>
      </w:r>
      <w:r>
        <w:rPr>
          <w:rFonts w:hint="eastAsia" w:ascii="宋体" w:hAnsi="宋体"/>
          <w:color w:val="auto"/>
          <w:sz w:val="28"/>
          <w:szCs w:val="28"/>
        </w:rPr>
        <w:t>实施</w:t>
      </w:r>
      <w:r>
        <w:rPr>
          <w:rFonts w:ascii="宋体" w:hAnsi="宋体"/>
          <w:color w:val="auto"/>
          <w:sz w:val="28"/>
          <w:szCs w:val="28"/>
        </w:rPr>
        <w:t>的</w:t>
      </w:r>
      <w:r>
        <w:rPr>
          <w:rFonts w:hint="eastAsia" w:ascii="宋体" w:hAnsi="宋体"/>
          <w:color w:val="auto"/>
          <w:sz w:val="28"/>
          <w:szCs w:val="28"/>
          <w:u w:val="single"/>
        </w:rPr>
        <w:t>大芦湖油田产能建设项目（2023-2025年）（一期）</w:t>
      </w:r>
      <w:r>
        <w:rPr>
          <w:rFonts w:hint="eastAsia" w:ascii="宋体" w:hAnsi="宋体"/>
          <w:color w:val="auto"/>
          <w:sz w:val="28"/>
          <w:szCs w:val="28"/>
        </w:rPr>
        <w:t>已</w:t>
      </w:r>
      <w:r>
        <w:rPr>
          <w:rFonts w:ascii="宋体" w:hAnsi="宋体"/>
          <w:color w:val="auto"/>
          <w:sz w:val="28"/>
          <w:szCs w:val="28"/>
        </w:rPr>
        <w:t>建设完成，需开展</w:t>
      </w:r>
      <w:r>
        <w:rPr>
          <w:rFonts w:hint="eastAsia" w:ascii="宋体" w:hAnsi="宋体"/>
          <w:color w:val="auto"/>
          <w:sz w:val="28"/>
          <w:szCs w:val="28"/>
        </w:rPr>
        <w:t>竣工环境保护设施验收。</w:t>
      </w:r>
      <w:r>
        <w:rPr>
          <w:rFonts w:ascii="宋体" w:hAnsi="宋体"/>
          <w:color w:val="auto"/>
          <w:sz w:val="28"/>
          <w:szCs w:val="28"/>
        </w:rPr>
        <w:t>兹委托贵公司</w:t>
      </w:r>
      <w:r>
        <w:rPr>
          <w:rFonts w:hint="eastAsia" w:ascii="宋体" w:hAnsi="宋体"/>
          <w:color w:val="auto"/>
          <w:sz w:val="28"/>
          <w:szCs w:val="28"/>
        </w:rPr>
        <w:t>承担该工程的竣工环境保护设施验收</w:t>
      </w:r>
      <w:r>
        <w:rPr>
          <w:rFonts w:ascii="宋体" w:hAnsi="宋体"/>
          <w:color w:val="auto"/>
          <w:sz w:val="28"/>
          <w:szCs w:val="28"/>
        </w:rPr>
        <w:t>调查</w:t>
      </w:r>
      <w:r>
        <w:rPr>
          <w:rFonts w:hint="eastAsia" w:ascii="宋体" w:hAnsi="宋体"/>
          <w:color w:val="auto"/>
          <w:sz w:val="28"/>
          <w:szCs w:val="28"/>
        </w:rPr>
        <w:t>报告的编制工作。我</w:t>
      </w:r>
      <w:r>
        <w:rPr>
          <w:rFonts w:ascii="宋体" w:hAnsi="宋体"/>
          <w:color w:val="auto"/>
          <w:sz w:val="28"/>
          <w:szCs w:val="28"/>
        </w:rPr>
        <w:t>单位对向</w:t>
      </w:r>
      <w:r>
        <w:rPr>
          <w:rFonts w:hint="eastAsia" w:ascii="宋体" w:hAnsi="宋体"/>
          <w:color w:val="auto"/>
          <w:sz w:val="28"/>
          <w:szCs w:val="28"/>
        </w:rPr>
        <w:t>贵公司</w:t>
      </w:r>
      <w:r>
        <w:rPr>
          <w:rFonts w:ascii="宋体" w:hAnsi="宋体"/>
          <w:color w:val="auto"/>
          <w:sz w:val="28"/>
          <w:szCs w:val="28"/>
        </w:rPr>
        <w:t>提供的一切资料、数据和实物的真实性负责。</w:t>
      </w:r>
    </w:p>
    <w:p w14:paraId="791FE1A1">
      <w:pPr>
        <w:adjustRightInd w:val="0"/>
        <w:snapToGrid w:val="0"/>
        <w:spacing w:line="331" w:lineRule="auto"/>
        <w:ind w:firstLine="560" w:firstLineChars="200"/>
        <w:rPr>
          <w:rFonts w:ascii="宋体" w:hAnsi="宋体"/>
          <w:color w:val="auto"/>
          <w:sz w:val="28"/>
          <w:szCs w:val="28"/>
        </w:rPr>
      </w:pPr>
      <w:r>
        <w:rPr>
          <w:rFonts w:hint="eastAsia" w:ascii="宋体" w:hAnsi="宋体"/>
          <w:color w:val="auto"/>
          <w:sz w:val="28"/>
          <w:szCs w:val="28"/>
        </w:rPr>
        <w:t>特此委托。</w:t>
      </w:r>
    </w:p>
    <w:p w14:paraId="1501AC93">
      <w:pPr>
        <w:adjustRightInd w:val="0"/>
        <w:snapToGrid w:val="0"/>
        <w:spacing w:line="331" w:lineRule="auto"/>
        <w:ind w:firstLine="560" w:firstLineChars="200"/>
        <w:jc w:val="right"/>
        <w:rPr>
          <w:rFonts w:ascii="宋体" w:hAnsi="宋体"/>
          <w:color w:val="auto"/>
          <w:sz w:val="28"/>
          <w:szCs w:val="28"/>
        </w:rPr>
      </w:pPr>
    </w:p>
    <w:p w14:paraId="7EC65E22">
      <w:pPr>
        <w:adjustRightInd w:val="0"/>
        <w:snapToGrid w:val="0"/>
        <w:spacing w:line="331" w:lineRule="auto"/>
        <w:ind w:firstLine="480" w:firstLineChars="200"/>
        <w:jc w:val="right"/>
        <w:rPr>
          <w:rFonts w:ascii="宋体" w:hAnsi="宋体"/>
          <w:color w:val="auto"/>
          <w:sz w:val="24"/>
        </w:rPr>
      </w:pPr>
    </w:p>
    <w:p w14:paraId="18BCEC82">
      <w:pPr>
        <w:adjustRightInd w:val="0"/>
        <w:snapToGrid w:val="0"/>
        <w:spacing w:line="331" w:lineRule="auto"/>
        <w:ind w:left="6720" w:hanging="6720" w:hangingChars="2400"/>
        <w:jc w:val="right"/>
        <w:rPr>
          <w:rFonts w:ascii="宋体" w:hAnsi="宋体"/>
          <w:color w:val="auto"/>
          <w:sz w:val="28"/>
          <w:szCs w:val="28"/>
        </w:rPr>
      </w:pPr>
      <w:r>
        <w:rPr>
          <w:rFonts w:hint="eastAsia" w:ascii="宋体" w:hAnsi="宋体"/>
          <w:color w:val="auto"/>
          <w:sz w:val="28"/>
          <w:szCs w:val="28"/>
        </w:rPr>
        <w:t>胜利油田高青石油开发有限责任公司</w:t>
      </w:r>
    </w:p>
    <w:p w14:paraId="5343DC4D">
      <w:pPr>
        <w:jc w:val="right"/>
        <w:rPr>
          <w:rFonts w:ascii="宋体" w:hAnsi="宋体" w:cs="Arial"/>
          <w:color w:val="auto"/>
          <w:sz w:val="28"/>
          <w:szCs w:val="28"/>
        </w:rPr>
        <w:sectPr>
          <w:pgSz w:w="11907" w:h="16839"/>
          <w:pgMar w:top="1418" w:right="1588" w:bottom="1418" w:left="1588" w:header="1134" w:footer="850" w:gutter="0"/>
          <w:cols w:space="720" w:num="1"/>
          <w:docGrid w:linePitch="312" w:charSpace="0"/>
        </w:sectPr>
      </w:pPr>
      <w:r>
        <w:rPr>
          <w:rFonts w:hint="eastAsia" w:ascii="宋体" w:hAnsi="宋体" w:cs="Arial"/>
          <w:color w:val="auto"/>
          <w:sz w:val="28"/>
          <w:szCs w:val="28"/>
        </w:rPr>
        <w:t>202</w:t>
      </w:r>
      <w:r>
        <w:rPr>
          <w:rFonts w:ascii="宋体" w:hAnsi="宋体" w:cs="Arial"/>
          <w:color w:val="auto"/>
          <w:sz w:val="28"/>
          <w:szCs w:val="28"/>
        </w:rPr>
        <w:t>6</w:t>
      </w:r>
      <w:r>
        <w:rPr>
          <w:rFonts w:hint="eastAsia" w:ascii="宋体" w:hAnsi="宋体" w:cs="Arial"/>
          <w:color w:val="auto"/>
          <w:sz w:val="28"/>
          <w:szCs w:val="28"/>
        </w:rPr>
        <w:t>年</w:t>
      </w:r>
      <w:r>
        <w:rPr>
          <w:rFonts w:ascii="宋体" w:hAnsi="宋体" w:cs="Arial"/>
          <w:color w:val="auto"/>
          <w:sz w:val="28"/>
          <w:szCs w:val="28"/>
        </w:rPr>
        <w:t>2</w:t>
      </w:r>
      <w:r>
        <w:rPr>
          <w:rFonts w:hint="eastAsia" w:ascii="宋体" w:hAnsi="宋体" w:cs="Arial"/>
          <w:color w:val="auto"/>
          <w:sz w:val="28"/>
          <w:szCs w:val="28"/>
        </w:rPr>
        <w:t>月</w:t>
      </w:r>
      <w:r>
        <w:rPr>
          <w:rFonts w:ascii="宋体" w:hAnsi="宋体" w:cs="Arial"/>
          <w:color w:val="auto"/>
          <w:sz w:val="28"/>
          <w:szCs w:val="28"/>
        </w:rPr>
        <w:t>10</w:t>
      </w:r>
      <w:r>
        <w:rPr>
          <w:rFonts w:hint="eastAsia" w:ascii="宋体" w:hAnsi="宋体" w:cs="Arial"/>
          <w:color w:val="auto"/>
          <w:sz w:val="28"/>
          <w:szCs w:val="28"/>
        </w:rPr>
        <w:t>日</w:t>
      </w:r>
    </w:p>
    <w:p w14:paraId="02D3CF10">
      <w:pPr>
        <w:pStyle w:val="5"/>
        <w:numPr>
          <w:ilvl w:val="0"/>
          <w:numId w:val="0"/>
        </w:numPr>
        <w:rPr>
          <w:color w:val="auto"/>
        </w:rPr>
      </w:pPr>
      <w:bookmarkStart w:id="559" w:name="_Toc231283673"/>
      <w:r>
        <w:rPr>
          <w:rFonts w:hint="eastAsia"/>
          <w:color w:val="auto"/>
        </w:rPr>
        <w:t>附件</w:t>
      </w:r>
      <w:r>
        <w:rPr>
          <w:color w:val="auto"/>
        </w:rPr>
        <w:t xml:space="preserve">2  </w:t>
      </w:r>
      <w:r>
        <w:rPr>
          <w:rFonts w:hint="eastAsia"/>
          <w:color w:val="auto"/>
        </w:rPr>
        <w:t>环境影响报告书批复</w:t>
      </w:r>
      <w:bookmarkEnd w:id="559"/>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1"/>
      </w:tblGrid>
      <w:tr w14:paraId="1000D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04823B4E">
            <w:pPr>
              <w:pStyle w:val="4"/>
              <w:ind w:firstLine="0" w:firstLineChars="0"/>
              <w:jc w:val="center"/>
              <w:rPr>
                <w:color w:val="auto"/>
              </w:rPr>
            </w:pPr>
            <w:r>
              <w:rPr>
                <w:color w:val="auto"/>
              </w:rPr>
              <w:drawing>
                <wp:inline distT="0" distB="0" distL="0" distR="0">
                  <wp:extent cx="5524500" cy="7820025"/>
                  <wp:effectExtent l="0" t="0" r="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7"/>
                          <a:stretch>
                            <a:fillRect/>
                          </a:stretch>
                        </pic:blipFill>
                        <pic:spPr>
                          <a:xfrm>
                            <a:off x="0" y="0"/>
                            <a:ext cx="5524500" cy="7820025"/>
                          </a:xfrm>
                          <a:prstGeom prst="rect">
                            <a:avLst/>
                          </a:prstGeom>
                        </pic:spPr>
                      </pic:pic>
                    </a:graphicData>
                  </a:graphic>
                </wp:inline>
              </w:drawing>
            </w:r>
          </w:p>
        </w:tc>
      </w:tr>
    </w:tbl>
    <w:p w14:paraId="586642B0">
      <w:pPr>
        <w:pStyle w:val="4"/>
        <w:ind w:firstLine="199" w:firstLineChars="83"/>
        <w:rPr>
          <w:color w:val="auto"/>
        </w:rPr>
      </w:pPr>
    </w:p>
    <w:p w14:paraId="50C97C6F">
      <w:pPr>
        <w:pStyle w:val="4"/>
        <w:ind w:firstLine="199" w:firstLineChars="83"/>
        <w:rPr>
          <w:color w:val="auto"/>
        </w:rPr>
      </w:pP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1"/>
      </w:tblGrid>
      <w:tr w14:paraId="0A320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480C2176">
            <w:pPr>
              <w:pStyle w:val="4"/>
              <w:ind w:firstLine="0" w:firstLineChars="0"/>
              <w:jc w:val="center"/>
              <w:rPr>
                <w:color w:val="auto"/>
              </w:rPr>
            </w:pPr>
            <w:r>
              <w:rPr>
                <w:color w:val="auto"/>
              </w:rPr>
              <w:drawing>
                <wp:inline distT="0" distB="0" distL="0" distR="0">
                  <wp:extent cx="5371465" cy="7648575"/>
                  <wp:effectExtent l="0" t="0" r="63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8"/>
                          <a:stretch>
                            <a:fillRect/>
                          </a:stretch>
                        </pic:blipFill>
                        <pic:spPr>
                          <a:xfrm>
                            <a:off x="0" y="0"/>
                            <a:ext cx="5373038" cy="7650537"/>
                          </a:xfrm>
                          <a:prstGeom prst="rect">
                            <a:avLst/>
                          </a:prstGeom>
                        </pic:spPr>
                      </pic:pic>
                    </a:graphicData>
                  </a:graphic>
                </wp:inline>
              </w:drawing>
            </w:r>
          </w:p>
        </w:tc>
      </w:tr>
      <w:tr w14:paraId="5ABAB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0C93B8ED">
            <w:pPr>
              <w:pStyle w:val="4"/>
              <w:ind w:firstLine="0" w:firstLineChars="0"/>
              <w:jc w:val="center"/>
              <w:rPr>
                <w:color w:val="auto"/>
              </w:rPr>
            </w:pPr>
            <w:r>
              <w:rPr>
                <w:color w:val="auto"/>
              </w:rPr>
              <w:drawing>
                <wp:inline distT="0" distB="0" distL="0" distR="0">
                  <wp:extent cx="5514975" cy="7829550"/>
                  <wp:effectExtent l="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9"/>
                          <a:stretch>
                            <a:fillRect/>
                          </a:stretch>
                        </pic:blipFill>
                        <pic:spPr>
                          <a:xfrm>
                            <a:off x="0" y="0"/>
                            <a:ext cx="5514975" cy="7829550"/>
                          </a:xfrm>
                          <a:prstGeom prst="rect">
                            <a:avLst/>
                          </a:prstGeom>
                        </pic:spPr>
                      </pic:pic>
                    </a:graphicData>
                  </a:graphic>
                </wp:inline>
              </w:drawing>
            </w:r>
          </w:p>
        </w:tc>
      </w:tr>
      <w:tr w14:paraId="21C54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71F90AE1">
            <w:pPr>
              <w:pStyle w:val="4"/>
              <w:ind w:firstLine="0" w:firstLineChars="0"/>
              <w:jc w:val="center"/>
              <w:rPr>
                <w:color w:val="auto"/>
              </w:rPr>
            </w:pPr>
            <w:r>
              <w:rPr>
                <w:color w:val="auto"/>
              </w:rPr>
              <w:drawing>
                <wp:inline distT="0" distB="0" distL="0" distR="0">
                  <wp:extent cx="5505450" cy="7610475"/>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0"/>
                          <a:stretch>
                            <a:fillRect/>
                          </a:stretch>
                        </pic:blipFill>
                        <pic:spPr>
                          <a:xfrm>
                            <a:off x="0" y="0"/>
                            <a:ext cx="5505450" cy="7610475"/>
                          </a:xfrm>
                          <a:prstGeom prst="rect">
                            <a:avLst/>
                          </a:prstGeom>
                        </pic:spPr>
                      </pic:pic>
                    </a:graphicData>
                  </a:graphic>
                </wp:inline>
              </w:drawing>
            </w:r>
          </w:p>
        </w:tc>
      </w:tr>
    </w:tbl>
    <w:p w14:paraId="1A1976A0">
      <w:pPr>
        <w:pStyle w:val="4"/>
        <w:ind w:firstLine="199" w:firstLineChars="83"/>
        <w:rPr>
          <w:color w:val="auto"/>
        </w:rPr>
      </w:pPr>
    </w:p>
    <w:p w14:paraId="0782F4F2">
      <w:pPr>
        <w:pStyle w:val="4"/>
        <w:ind w:firstLine="0" w:firstLineChars="0"/>
        <w:jc w:val="center"/>
        <w:rPr>
          <w:color w:val="auto"/>
        </w:rPr>
      </w:pPr>
    </w:p>
    <w:p w14:paraId="4E077223">
      <w:pPr>
        <w:pStyle w:val="4"/>
        <w:ind w:firstLine="199" w:firstLineChars="83"/>
        <w:jc w:val="center"/>
        <w:rPr>
          <w:color w:val="auto"/>
        </w:rPr>
      </w:pPr>
    </w:p>
    <w:p w14:paraId="17800D11">
      <w:pPr>
        <w:pStyle w:val="4"/>
        <w:ind w:firstLine="0" w:firstLineChars="0"/>
        <w:jc w:val="center"/>
        <w:rPr>
          <w:color w:val="auto"/>
        </w:rPr>
        <w:sectPr>
          <w:pgSz w:w="11907" w:h="16839"/>
          <w:pgMar w:top="1418" w:right="1588" w:bottom="1418" w:left="1588" w:header="1134" w:footer="850" w:gutter="0"/>
          <w:cols w:space="720" w:num="1"/>
          <w:docGrid w:linePitch="312" w:charSpace="0"/>
        </w:sectPr>
      </w:pPr>
    </w:p>
    <w:p w14:paraId="2295041F">
      <w:pPr>
        <w:pStyle w:val="5"/>
        <w:numPr>
          <w:ilvl w:val="0"/>
          <w:numId w:val="0"/>
        </w:numPr>
        <w:rPr>
          <w:color w:val="auto"/>
        </w:rPr>
      </w:pPr>
      <w:bookmarkStart w:id="560" w:name="_Toc231283674"/>
      <w:r>
        <w:rPr>
          <w:rFonts w:hint="eastAsia"/>
          <w:color w:val="auto"/>
        </w:rPr>
        <w:t>附件</w:t>
      </w:r>
      <w:r>
        <w:rPr>
          <w:color w:val="auto"/>
        </w:rPr>
        <w:t xml:space="preserve">3  </w:t>
      </w:r>
      <w:r>
        <w:rPr>
          <w:rFonts w:hint="eastAsia"/>
          <w:color w:val="auto"/>
        </w:rPr>
        <w:t>竣工日期</w:t>
      </w:r>
      <w:r>
        <w:rPr>
          <w:color w:val="auto"/>
        </w:rPr>
        <w:t>及调试日期公示截图</w:t>
      </w:r>
      <w:bookmarkEnd w:id="560"/>
    </w:p>
    <w:p w14:paraId="695F3057">
      <w:pPr>
        <w:pStyle w:val="4"/>
        <w:ind w:firstLine="480"/>
        <w:jc w:val="center"/>
        <w:rPr>
          <w:color w:val="auto"/>
        </w:rPr>
      </w:pPr>
      <w:r>
        <w:rPr>
          <w:color w:val="auto"/>
        </w:rPr>
        <w:drawing>
          <wp:inline distT="0" distB="0" distL="0" distR="0">
            <wp:extent cx="5230495" cy="8382000"/>
            <wp:effectExtent l="0" t="0" r="825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81"/>
                    <a:stretch>
                      <a:fillRect/>
                    </a:stretch>
                  </pic:blipFill>
                  <pic:spPr>
                    <a:xfrm>
                      <a:off x="0" y="0"/>
                      <a:ext cx="5235721" cy="8389880"/>
                    </a:xfrm>
                    <a:prstGeom prst="rect">
                      <a:avLst/>
                    </a:prstGeom>
                  </pic:spPr>
                </pic:pic>
              </a:graphicData>
            </a:graphic>
          </wp:inline>
        </w:drawing>
      </w:r>
      <w:r>
        <w:rPr>
          <w:color w:val="auto"/>
        </w:rPr>
        <w:drawing>
          <wp:inline distT="0" distB="0" distL="0" distR="0">
            <wp:extent cx="4969510" cy="7924800"/>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2"/>
                    <a:stretch>
                      <a:fillRect/>
                    </a:stretch>
                  </pic:blipFill>
                  <pic:spPr>
                    <a:xfrm>
                      <a:off x="0" y="0"/>
                      <a:ext cx="4976864" cy="7935797"/>
                    </a:xfrm>
                    <a:prstGeom prst="rect">
                      <a:avLst/>
                    </a:prstGeom>
                  </pic:spPr>
                </pic:pic>
              </a:graphicData>
            </a:graphic>
          </wp:inline>
        </w:drawing>
      </w:r>
    </w:p>
    <w:p w14:paraId="1C11B651">
      <w:pPr>
        <w:pStyle w:val="4"/>
        <w:spacing w:before="120" w:beforeLines="50" w:line="360" w:lineRule="auto"/>
        <w:ind w:firstLine="0" w:firstLineChars="0"/>
        <w:jc w:val="center"/>
        <w:rPr>
          <w:color w:val="auto"/>
        </w:rPr>
      </w:pPr>
    </w:p>
    <w:p w14:paraId="26953C4D">
      <w:pPr>
        <w:pStyle w:val="4"/>
        <w:spacing w:before="120" w:beforeLines="50" w:line="360" w:lineRule="auto"/>
        <w:ind w:firstLine="0" w:firstLineChars="0"/>
        <w:rPr>
          <w:color w:val="auto"/>
        </w:rPr>
      </w:pPr>
    </w:p>
    <w:p w14:paraId="44F9762E">
      <w:pPr>
        <w:pStyle w:val="4"/>
        <w:spacing w:before="120" w:beforeLines="50" w:line="360" w:lineRule="auto"/>
        <w:ind w:firstLine="0" w:firstLineChars="0"/>
        <w:rPr>
          <w:color w:val="auto"/>
        </w:rPr>
        <w:sectPr>
          <w:pgSz w:w="11907" w:h="16839"/>
          <w:pgMar w:top="1418" w:right="1588" w:bottom="1418" w:left="1588" w:header="1134" w:footer="850" w:gutter="0"/>
          <w:cols w:space="720" w:num="1"/>
          <w:docGrid w:linePitch="312" w:charSpace="0"/>
        </w:sectPr>
      </w:pPr>
    </w:p>
    <w:p w14:paraId="65DC1ED7">
      <w:pPr>
        <w:pStyle w:val="5"/>
        <w:numPr>
          <w:ilvl w:val="0"/>
          <w:numId w:val="0"/>
        </w:numPr>
        <w:rPr>
          <w:color w:val="auto"/>
        </w:rPr>
      </w:pPr>
      <w:bookmarkStart w:id="561" w:name="_Toc231283675"/>
      <w:r>
        <w:rPr>
          <w:rFonts w:hint="eastAsia"/>
          <w:color w:val="auto"/>
        </w:rPr>
        <w:t>附件</w:t>
      </w:r>
      <w:r>
        <w:rPr>
          <w:color w:val="auto"/>
        </w:rPr>
        <w:t xml:space="preserve">5  </w:t>
      </w:r>
      <w:r>
        <w:rPr>
          <w:rFonts w:hint="eastAsia"/>
          <w:color w:val="auto"/>
        </w:rPr>
        <w:t>排污登记回执</w:t>
      </w:r>
      <w:bookmarkEnd w:id="561"/>
    </w:p>
    <w:tbl>
      <w:tblPr>
        <w:tblStyle w:val="47"/>
        <w:tblW w:w="87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14:paraId="2BE97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8" w:hRule="atLeast"/>
        </w:trPr>
        <w:tc>
          <w:tcPr>
            <w:tcW w:w="8753" w:type="dxa"/>
          </w:tcPr>
          <w:p w14:paraId="0F85CEAA">
            <w:pPr>
              <w:jc w:val="center"/>
              <w:rPr>
                <w:rFonts w:ascii="宋体" w:hAnsi="宋体"/>
                <w:color w:val="auto"/>
              </w:rPr>
            </w:pPr>
            <w:r>
              <w:rPr>
                <w:color w:val="auto"/>
              </w:rPr>
              <w:drawing>
                <wp:inline distT="0" distB="0" distL="0" distR="0">
                  <wp:extent cx="5543550" cy="7842250"/>
                  <wp:effectExtent l="0" t="0" r="0" b="6350"/>
                  <wp:docPr id="96" name="图片 96" descr="C:\Users\HUAWEI\Documents\LotApps\Free PDF to JPG Converter\登记回执 (高青)\登记回执 (高青)-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HUAWEI\Documents\LotApps\Free PDF to JPG Converter\登记回执 (高青)\登记回执 (高青)-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543550" cy="7842250"/>
                          </a:xfrm>
                          <a:prstGeom prst="rect">
                            <a:avLst/>
                          </a:prstGeom>
                          <a:noFill/>
                          <a:ln>
                            <a:noFill/>
                          </a:ln>
                        </pic:spPr>
                      </pic:pic>
                    </a:graphicData>
                  </a:graphic>
                </wp:inline>
              </w:drawing>
            </w:r>
          </w:p>
        </w:tc>
      </w:tr>
    </w:tbl>
    <w:p w14:paraId="6A6EF11F">
      <w:pPr>
        <w:jc w:val="center"/>
        <w:rPr>
          <w:rFonts w:ascii="宋体" w:hAnsi="宋体"/>
          <w:color w:val="auto"/>
        </w:rPr>
      </w:pPr>
    </w:p>
    <w:p w14:paraId="2EEEE5F3">
      <w:pPr>
        <w:jc w:val="left"/>
        <w:rPr>
          <w:rFonts w:ascii="宋体" w:hAnsi="宋体"/>
          <w:color w:val="auto"/>
        </w:rPr>
      </w:pPr>
    </w:p>
    <w:p w14:paraId="1FA0C90E">
      <w:pPr>
        <w:pStyle w:val="4"/>
        <w:ind w:firstLine="0" w:firstLineChars="0"/>
        <w:rPr>
          <w:color w:val="auto"/>
        </w:rPr>
        <w:sectPr>
          <w:pgSz w:w="11907" w:h="16839"/>
          <w:pgMar w:top="1418" w:right="1588" w:bottom="1418" w:left="1588" w:header="1134" w:footer="850" w:gutter="0"/>
          <w:cols w:space="720" w:num="1"/>
          <w:docGrid w:linePitch="312" w:charSpace="0"/>
        </w:sectPr>
      </w:pPr>
    </w:p>
    <w:p w14:paraId="6370EB86">
      <w:pPr>
        <w:pStyle w:val="5"/>
        <w:numPr>
          <w:ilvl w:val="0"/>
          <w:numId w:val="0"/>
        </w:numPr>
        <w:rPr>
          <w:color w:val="auto"/>
        </w:rPr>
      </w:pPr>
      <w:bookmarkStart w:id="562" w:name="_Toc231283676"/>
      <w:r>
        <w:rPr>
          <w:rFonts w:hint="eastAsia"/>
          <w:color w:val="auto"/>
        </w:rPr>
        <w:t>附件</w:t>
      </w:r>
      <w:r>
        <w:rPr>
          <w:color w:val="auto"/>
        </w:rPr>
        <w:t xml:space="preserve">6  </w:t>
      </w:r>
      <w:r>
        <w:rPr>
          <w:rFonts w:hint="eastAsia"/>
          <w:color w:val="auto"/>
        </w:rPr>
        <w:t>突发环境事件</w:t>
      </w:r>
      <w:r>
        <w:rPr>
          <w:color w:val="auto"/>
        </w:rPr>
        <w:t>应急预案备案表</w:t>
      </w:r>
      <w:bookmarkEnd w:id="562"/>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1"/>
      </w:tblGrid>
      <w:tr w14:paraId="401DF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18C1A9E2">
            <w:pPr>
              <w:pStyle w:val="4"/>
              <w:spacing w:before="120" w:beforeLines="50" w:line="360" w:lineRule="auto"/>
              <w:ind w:firstLine="0" w:firstLineChars="0"/>
              <w:jc w:val="center"/>
              <w:rPr>
                <w:color w:val="auto"/>
                <w:lang w:val="zh-CN"/>
              </w:rPr>
            </w:pPr>
            <w:r>
              <w:rPr>
                <w:color w:val="auto"/>
              </w:rPr>
              <w:drawing>
                <wp:inline distT="0" distB="0" distL="0" distR="0">
                  <wp:extent cx="5544185" cy="79298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4"/>
                          <a:stretch>
                            <a:fillRect/>
                          </a:stretch>
                        </pic:blipFill>
                        <pic:spPr>
                          <a:xfrm>
                            <a:off x="0" y="0"/>
                            <a:ext cx="5544185" cy="7929880"/>
                          </a:xfrm>
                          <a:prstGeom prst="rect">
                            <a:avLst/>
                          </a:prstGeom>
                        </pic:spPr>
                      </pic:pic>
                    </a:graphicData>
                  </a:graphic>
                </wp:inline>
              </w:drawing>
            </w:r>
          </w:p>
        </w:tc>
      </w:tr>
    </w:tbl>
    <w:p w14:paraId="5D806CD1">
      <w:pPr>
        <w:pStyle w:val="4"/>
        <w:spacing w:before="120" w:beforeLines="50" w:line="360" w:lineRule="auto"/>
        <w:ind w:firstLine="0" w:firstLineChars="0"/>
        <w:jc w:val="center"/>
        <w:rPr>
          <w:color w:val="auto"/>
          <w:lang w:val="zh-CN"/>
        </w:rPr>
      </w:pP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1"/>
      </w:tblGrid>
      <w:tr w14:paraId="04B70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5C55BB94">
            <w:pPr>
              <w:pStyle w:val="4"/>
              <w:spacing w:before="120" w:beforeLines="50" w:line="360" w:lineRule="auto"/>
              <w:ind w:firstLine="0" w:firstLineChars="0"/>
              <w:jc w:val="center"/>
              <w:rPr>
                <w:color w:val="auto"/>
                <w:lang w:val="zh-CN"/>
              </w:rPr>
            </w:pPr>
            <w:r>
              <w:rPr>
                <w:color w:val="auto"/>
              </w:rPr>
              <w:drawing>
                <wp:inline distT="0" distB="0" distL="0" distR="0">
                  <wp:extent cx="5544185" cy="786003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5"/>
                          <a:stretch>
                            <a:fillRect/>
                          </a:stretch>
                        </pic:blipFill>
                        <pic:spPr>
                          <a:xfrm>
                            <a:off x="0" y="0"/>
                            <a:ext cx="5544185" cy="7860030"/>
                          </a:xfrm>
                          <a:prstGeom prst="rect">
                            <a:avLst/>
                          </a:prstGeom>
                        </pic:spPr>
                      </pic:pic>
                    </a:graphicData>
                  </a:graphic>
                </wp:inline>
              </w:drawing>
            </w:r>
          </w:p>
        </w:tc>
      </w:tr>
    </w:tbl>
    <w:p w14:paraId="53374B99">
      <w:pPr>
        <w:pStyle w:val="4"/>
        <w:spacing w:before="120" w:beforeLines="50" w:line="360" w:lineRule="auto"/>
        <w:ind w:firstLine="0" w:firstLineChars="0"/>
        <w:jc w:val="center"/>
        <w:rPr>
          <w:color w:val="auto"/>
          <w:lang w:val="zh-CN"/>
        </w:rPr>
      </w:pPr>
    </w:p>
    <w:p w14:paraId="168CFF14">
      <w:pPr>
        <w:pStyle w:val="4"/>
        <w:ind w:firstLine="0" w:firstLineChars="0"/>
        <w:jc w:val="center"/>
        <w:rPr>
          <w:color w:val="auto"/>
          <w:lang w:val="zh-CN"/>
        </w:rPr>
        <w:sectPr>
          <w:pgSz w:w="11907" w:h="16839"/>
          <w:pgMar w:top="1418" w:right="1588" w:bottom="1418" w:left="1588" w:header="1134" w:footer="850" w:gutter="0"/>
          <w:cols w:space="720" w:num="1"/>
          <w:docGrid w:linePitch="312" w:charSpace="0"/>
        </w:sectPr>
      </w:pPr>
    </w:p>
    <w:p w14:paraId="34A98A1C">
      <w:pPr>
        <w:pStyle w:val="5"/>
        <w:numPr>
          <w:ilvl w:val="0"/>
          <w:numId w:val="0"/>
        </w:numPr>
        <w:rPr>
          <w:color w:val="auto"/>
        </w:rPr>
      </w:pPr>
      <w:bookmarkStart w:id="563" w:name="_Toc231283677"/>
      <w:r>
        <w:rPr>
          <w:rFonts w:hint="eastAsia"/>
          <w:color w:val="auto"/>
        </w:rPr>
        <w:t>附件</w:t>
      </w:r>
      <w:r>
        <w:rPr>
          <w:color w:val="auto"/>
        </w:rPr>
        <w:t xml:space="preserve">7  </w:t>
      </w:r>
      <w:r>
        <w:rPr>
          <w:rFonts w:hint="eastAsia"/>
          <w:color w:val="auto"/>
        </w:rPr>
        <w:t>危废处置合同及处置单位资质</w:t>
      </w:r>
      <w:bookmarkEnd w:id="563"/>
    </w:p>
    <w:p w14:paraId="1ECB176E">
      <w:pPr>
        <w:pStyle w:val="4"/>
        <w:ind w:firstLine="199" w:firstLineChars="83"/>
        <w:rPr>
          <w:color w:val="auto"/>
        </w:rPr>
      </w:pPr>
      <w:r>
        <w:rPr>
          <w:color w:val="auto"/>
        </w:rPr>
        <w:drawing>
          <wp:inline distT="0" distB="0" distL="0" distR="0">
            <wp:extent cx="5524500" cy="7839075"/>
            <wp:effectExtent l="0" t="0" r="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86"/>
                    <a:stretch>
                      <a:fillRect/>
                    </a:stretch>
                  </pic:blipFill>
                  <pic:spPr>
                    <a:xfrm>
                      <a:off x="0" y="0"/>
                      <a:ext cx="5524500" cy="7839075"/>
                    </a:xfrm>
                    <a:prstGeom prst="rect">
                      <a:avLst/>
                    </a:prstGeom>
                  </pic:spPr>
                </pic:pic>
              </a:graphicData>
            </a:graphic>
          </wp:inline>
        </w:drawing>
      </w:r>
    </w:p>
    <w:p w14:paraId="27C7798C">
      <w:pPr>
        <w:pStyle w:val="4"/>
        <w:ind w:firstLine="0" w:firstLineChars="0"/>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05450" cy="77914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87"/>
                    <a:stretch>
                      <a:fillRect/>
                    </a:stretch>
                  </pic:blipFill>
                  <pic:spPr>
                    <a:xfrm>
                      <a:off x="0" y="0"/>
                      <a:ext cx="5505450" cy="7791450"/>
                    </a:xfrm>
                    <a:prstGeom prst="rect">
                      <a:avLst/>
                    </a:prstGeom>
                  </pic:spPr>
                </pic:pic>
              </a:graphicData>
            </a:graphic>
          </wp:inline>
        </w:drawing>
      </w:r>
      <w:r>
        <w:rPr>
          <w:color w:val="auto"/>
        </w:rPr>
        <w:t xml:space="preserve"> </w:t>
      </w:r>
      <w:r>
        <w:rPr>
          <w:color w:val="auto"/>
        </w:rPr>
        <w:drawing>
          <wp:inline distT="0" distB="0" distL="0" distR="0">
            <wp:extent cx="5524500" cy="77819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88"/>
                    <a:stretch>
                      <a:fillRect/>
                    </a:stretch>
                  </pic:blipFill>
                  <pic:spPr>
                    <a:xfrm>
                      <a:off x="0" y="0"/>
                      <a:ext cx="5524500" cy="7781925"/>
                    </a:xfrm>
                    <a:prstGeom prst="rect">
                      <a:avLst/>
                    </a:prstGeom>
                  </pic:spPr>
                </pic:pic>
              </a:graphicData>
            </a:graphic>
          </wp:inline>
        </w:drawing>
      </w:r>
      <w:r>
        <w:rPr>
          <w:color w:val="auto"/>
        </w:rPr>
        <w:t xml:space="preserve"> </w:t>
      </w:r>
      <w:r>
        <w:rPr>
          <w:color w:val="auto"/>
        </w:rPr>
        <w:drawing>
          <wp:inline distT="0" distB="0" distL="0" distR="0">
            <wp:extent cx="5505450" cy="78105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89"/>
                    <a:stretch>
                      <a:fillRect/>
                    </a:stretch>
                  </pic:blipFill>
                  <pic:spPr>
                    <a:xfrm>
                      <a:off x="0" y="0"/>
                      <a:ext cx="5505450" cy="7810500"/>
                    </a:xfrm>
                    <a:prstGeom prst="rect">
                      <a:avLst/>
                    </a:prstGeom>
                  </pic:spPr>
                </pic:pic>
              </a:graphicData>
            </a:graphic>
          </wp:inline>
        </w:drawing>
      </w:r>
      <w:r>
        <w:rPr>
          <w:color w:val="auto"/>
        </w:rPr>
        <w:t xml:space="preserve"> </w:t>
      </w:r>
      <w:r>
        <w:rPr>
          <w:color w:val="auto"/>
        </w:rPr>
        <w:drawing>
          <wp:inline distT="0" distB="0" distL="0" distR="0">
            <wp:extent cx="5544185" cy="777494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90"/>
                    <a:stretch>
                      <a:fillRect/>
                    </a:stretch>
                  </pic:blipFill>
                  <pic:spPr>
                    <a:xfrm>
                      <a:off x="0" y="0"/>
                      <a:ext cx="5544185" cy="7774940"/>
                    </a:xfrm>
                    <a:prstGeom prst="rect">
                      <a:avLst/>
                    </a:prstGeom>
                  </pic:spPr>
                </pic:pic>
              </a:graphicData>
            </a:graphic>
          </wp:inline>
        </w:drawing>
      </w:r>
      <w:r>
        <w:rPr>
          <w:color w:val="auto"/>
        </w:rPr>
        <w:t xml:space="preserve"> </w:t>
      </w:r>
    </w:p>
    <w:p w14:paraId="7047DD99">
      <w:pPr>
        <w:pStyle w:val="4"/>
        <w:ind w:firstLine="0" w:firstLineChars="0"/>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3989070"/>
            <wp:effectExtent l="0" t="0" r="0" b="0"/>
            <wp:docPr id="22" name="图片 22" descr="C:\Users\王银苹\AppData\Roaming\SinopecSoftCustom\LxResource\Images\0880806010e3dba58f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王银苹\AppData\Roaming\SinopecSoftCustom\LxResource\Images\0880806010e3dba58f0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544185" cy="3989214"/>
                    </a:xfrm>
                    <a:prstGeom prst="rect">
                      <a:avLst/>
                    </a:prstGeom>
                    <a:noFill/>
                    <a:ln>
                      <a:noFill/>
                    </a:ln>
                  </pic:spPr>
                </pic:pic>
              </a:graphicData>
            </a:graphic>
          </wp:inline>
        </w:drawing>
      </w:r>
      <w:r>
        <w:rPr>
          <w:color w:val="auto"/>
        </w:rPr>
        <w:drawing>
          <wp:inline distT="0" distB="0" distL="0" distR="0">
            <wp:extent cx="5544185" cy="4032885"/>
            <wp:effectExtent l="0" t="0" r="0" b="5715"/>
            <wp:docPr id="24" name="图片 24" descr="C:\Users\王银苹\AppData\Roaming\SinopecSoftCustom\LxResource\Images\0880806010e3db998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王银苹\AppData\Roaming\SinopecSoftCustom\LxResource\Images\0880806010e3db998e0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544185" cy="4033395"/>
                    </a:xfrm>
                    <a:prstGeom prst="rect">
                      <a:avLst/>
                    </a:prstGeom>
                    <a:noFill/>
                    <a:ln>
                      <a:noFill/>
                    </a:ln>
                  </pic:spPr>
                </pic:pic>
              </a:graphicData>
            </a:graphic>
          </wp:inline>
        </w:drawing>
      </w:r>
    </w:p>
    <w:p w14:paraId="7AFBCEB8">
      <w:pPr>
        <w:pStyle w:val="4"/>
        <w:ind w:firstLine="0" w:firstLineChars="0"/>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029200" cy="717232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3"/>
                    <a:stretch>
                      <a:fillRect/>
                    </a:stretch>
                  </pic:blipFill>
                  <pic:spPr>
                    <a:xfrm>
                      <a:off x="0" y="0"/>
                      <a:ext cx="5029200" cy="7172325"/>
                    </a:xfrm>
                    <a:prstGeom prst="rect">
                      <a:avLst/>
                    </a:prstGeom>
                  </pic:spPr>
                </pic:pic>
              </a:graphicData>
            </a:graphic>
          </wp:inline>
        </w:drawing>
      </w:r>
      <w:r>
        <w:rPr>
          <w:color w:val="auto"/>
        </w:rPr>
        <w:drawing>
          <wp:inline distT="0" distB="0" distL="0" distR="0">
            <wp:extent cx="5057775" cy="7134225"/>
            <wp:effectExtent l="0" t="0" r="9525" b="9525"/>
            <wp:docPr id="459578566" name="图片 45957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6" name="图片 459578566"/>
                    <pic:cNvPicPr>
                      <a:picLocks noChangeAspect="1"/>
                    </pic:cNvPicPr>
                  </pic:nvPicPr>
                  <pic:blipFill>
                    <a:blip r:embed="rId94"/>
                    <a:stretch>
                      <a:fillRect/>
                    </a:stretch>
                  </pic:blipFill>
                  <pic:spPr>
                    <a:xfrm>
                      <a:off x="0" y="0"/>
                      <a:ext cx="5057775" cy="7134225"/>
                    </a:xfrm>
                    <a:prstGeom prst="rect">
                      <a:avLst/>
                    </a:prstGeom>
                  </pic:spPr>
                </pic:pic>
              </a:graphicData>
            </a:graphic>
          </wp:inline>
        </w:drawing>
      </w:r>
      <w:r>
        <w:rPr>
          <w:color w:val="auto"/>
        </w:rPr>
        <w:drawing>
          <wp:inline distT="0" distB="0" distL="0" distR="0">
            <wp:extent cx="5010150" cy="7115175"/>
            <wp:effectExtent l="0" t="0" r="0" b="9525"/>
            <wp:docPr id="459578567" name="图片 45957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7" name="图片 459578567"/>
                    <pic:cNvPicPr>
                      <a:picLocks noChangeAspect="1"/>
                    </pic:cNvPicPr>
                  </pic:nvPicPr>
                  <pic:blipFill>
                    <a:blip r:embed="rId95"/>
                    <a:stretch>
                      <a:fillRect/>
                    </a:stretch>
                  </pic:blipFill>
                  <pic:spPr>
                    <a:xfrm>
                      <a:off x="0" y="0"/>
                      <a:ext cx="5010150" cy="7115175"/>
                    </a:xfrm>
                    <a:prstGeom prst="rect">
                      <a:avLst/>
                    </a:prstGeom>
                  </pic:spPr>
                </pic:pic>
              </a:graphicData>
            </a:graphic>
          </wp:inline>
        </w:drawing>
      </w:r>
      <w:r>
        <w:rPr>
          <w:color w:val="auto"/>
        </w:rPr>
        <w:drawing>
          <wp:inline distT="0" distB="0" distL="0" distR="0">
            <wp:extent cx="4991100" cy="7124700"/>
            <wp:effectExtent l="0" t="0" r="0" b="0"/>
            <wp:docPr id="459578568" name="图片 45957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8" name="图片 459578568"/>
                    <pic:cNvPicPr>
                      <a:picLocks noChangeAspect="1"/>
                    </pic:cNvPicPr>
                  </pic:nvPicPr>
                  <pic:blipFill>
                    <a:blip r:embed="rId96"/>
                    <a:stretch>
                      <a:fillRect/>
                    </a:stretch>
                  </pic:blipFill>
                  <pic:spPr>
                    <a:xfrm>
                      <a:off x="0" y="0"/>
                      <a:ext cx="4991100" cy="7124700"/>
                    </a:xfrm>
                    <a:prstGeom prst="rect">
                      <a:avLst/>
                    </a:prstGeom>
                  </pic:spPr>
                </pic:pic>
              </a:graphicData>
            </a:graphic>
          </wp:inline>
        </w:drawing>
      </w:r>
      <w:r>
        <w:rPr>
          <w:color w:val="auto"/>
        </w:rPr>
        <w:drawing>
          <wp:inline distT="0" distB="0" distL="0" distR="0">
            <wp:extent cx="5029200" cy="7153275"/>
            <wp:effectExtent l="0" t="0" r="0" b="9525"/>
            <wp:docPr id="459578569" name="图片 459578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9" name="图片 459578569"/>
                    <pic:cNvPicPr>
                      <a:picLocks noChangeAspect="1"/>
                    </pic:cNvPicPr>
                  </pic:nvPicPr>
                  <pic:blipFill>
                    <a:blip r:embed="rId97"/>
                    <a:stretch>
                      <a:fillRect/>
                    </a:stretch>
                  </pic:blipFill>
                  <pic:spPr>
                    <a:xfrm>
                      <a:off x="0" y="0"/>
                      <a:ext cx="5029200" cy="7153275"/>
                    </a:xfrm>
                    <a:prstGeom prst="rect">
                      <a:avLst/>
                    </a:prstGeom>
                  </pic:spPr>
                </pic:pic>
              </a:graphicData>
            </a:graphic>
          </wp:inline>
        </w:drawing>
      </w:r>
    </w:p>
    <w:p w14:paraId="7346A260">
      <w:pPr>
        <w:pStyle w:val="4"/>
        <w:ind w:firstLine="0" w:firstLineChars="0"/>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3919855"/>
            <wp:effectExtent l="0" t="0" r="0" b="4445"/>
            <wp:docPr id="459578570" name="图片 45957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0" name="图片 459578570"/>
                    <pic:cNvPicPr>
                      <a:picLocks noChangeAspect="1"/>
                    </pic:cNvPicPr>
                  </pic:nvPicPr>
                  <pic:blipFill>
                    <a:blip r:embed="rId98"/>
                    <a:stretch>
                      <a:fillRect/>
                    </a:stretch>
                  </pic:blipFill>
                  <pic:spPr>
                    <a:xfrm>
                      <a:off x="0" y="0"/>
                      <a:ext cx="5544185" cy="3919855"/>
                    </a:xfrm>
                    <a:prstGeom prst="rect">
                      <a:avLst/>
                    </a:prstGeom>
                  </pic:spPr>
                </pic:pic>
              </a:graphicData>
            </a:graphic>
          </wp:inline>
        </w:drawing>
      </w:r>
    </w:p>
    <w:p w14:paraId="2F904C48">
      <w:pPr>
        <w:pStyle w:val="5"/>
        <w:numPr>
          <w:ilvl w:val="0"/>
          <w:numId w:val="0"/>
        </w:numPr>
        <w:rPr>
          <w:color w:val="auto"/>
        </w:rPr>
      </w:pPr>
      <w:bookmarkStart w:id="564" w:name="_Toc231283678"/>
      <w:r>
        <w:rPr>
          <w:rFonts w:hint="eastAsia"/>
          <w:color w:val="auto"/>
        </w:rPr>
        <w:t>附件8</w:t>
      </w:r>
      <w:r>
        <w:rPr>
          <w:color w:val="auto"/>
        </w:rPr>
        <w:t xml:space="preserve"> </w:t>
      </w:r>
      <w:r>
        <w:rPr>
          <w:rFonts w:hint="eastAsia"/>
          <w:color w:val="auto"/>
        </w:rPr>
        <w:t>泥浆不落地处置单位环评手续</w:t>
      </w:r>
      <w:bookmarkEnd w:id="564"/>
    </w:p>
    <w:p w14:paraId="1749B4CD">
      <w:pPr>
        <w:pStyle w:val="4"/>
        <w:ind w:firstLine="480"/>
        <w:outlineLvl w:val="2"/>
        <w:rPr>
          <w:color w:val="auto"/>
        </w:rPr>
      </w:pPr>
      <w:r>
        <w:rPr>
          <w:rFonts w:hint="eastAsia"/>
          <w:color w:val="auto"/>
        </w:rPr>
        <w:t>1、天正浚源</w:t>
      </w:r>
    </w:p>
    <w:p w14:paraId="6995AB60">
      <w:pPr>
        <w:pStyle w:val="4"/>
        <w:ind w:firstLine="480"/>
        <w:rPr>
          <w:color w:val="auto"/>
        </w:rPr>
      </w:pPr>
      <w:r>
        <w:rPr>
          <w:color w:val="auto"/>
        </w:rPr>
        <w:drawing>
          <wp:inline distT="0" distB="0" distL="0" distR="0">
            <wp:extent cx="5544185" cy="7840980"/>
            <wp:effectExtent l="0" t="0" r="0" b="7620"/>
            <wp:docPr id="44" name="图片 44" descr="I:\5-2025年项目\26.东胜1月两个验收\6、大芦湖油田老区调整工程（二期）\img_260324171720(1)\img_26032417172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5-2025年项目\26.东胜1月两个验收\6、大芦湖油田老区调整工程（二期）\img_260324171720(1)\img_260324171720_01.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900035"/>
            <wp:effectExtent l="0" t="0" r="0" b="5715"/>
            <wp:docPr id="34" name="图片 34" descr="G:\WXWork\1688858278542218\Cache\Image\2026-05\f0d284cc283ebf8e80f721eb0c9beb07_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G:\WXWork\1688858278542218\Cache\Image\2026-05\f0d284cc283ebf8e80f721eb0c9beb07_compress.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544185" cy="7900035"/>
                    </a:xfrm>
                    <a:prstGeom prst="rect">
                      <a:avLst/>
                    </a:prstGeom>
                    <a:noFill/>
                    <a:ln>
                      <a:noFill/>
                    </a:ln>
                  </pic:spPr>
                </pic:pic>
              </a:graphicData>
            </a:graphic>
          </wp:inline>
        </w:drawing>
      </w:r>
      <w:r>
        <w:rPr>
          <w:color w:val="auto"/>
        </w:rPr>
        <w:drawing>
          <wp:inline distT="0" distB="0" distL="0" distR="0">
            <wp:extent cx="5544185" cy="7840980"/>
            <wp:effectExtent l="0" t="0" r="0" b="7620"/>
            <wp:docPr id="48" name="图片 48" descr="I:\5-2025年项目\26.东胜1月两个验收\6、大芦湖油田老区调整工程（二期）\img_260324171720(1)\img_260324171720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5-2025年项目\26.东胜1月两个验收\6、大芦湖油田老区调整工程（二期）\img_260324171720(1)\img_260324171720_02.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152D2E07">
      <w:pPr>
        <w:pStyle w:val="4"/>
        <w:ind w:firstLine="0" w:firstLineChars="0"/>
        <w:jc w:val="center"/>
        <w:rPr>
          <w:color w:val="auto"/>
        </w:rPr>
      </w:pPr>
    </w:p>
    <w:p w14:paraId="7FEE4CE5">
      <w:pPr>
        <w:pStyle w:val="4"/>
        <w:ind w:firstLine="0" w:firstLineChars="0"/>
        <w:jc w:val="center"/>
        <w:rPr>
          <w:color w:val="auto"/>
        </w:rPr>
      </w:pPr>
    </w:p>
    <w:p w14:paraId="24E8EC3D">
      <w:pPr>
        <w:pStyle w:val="4"/>
        <w:ind w:firstLine="0" w:firstLineChars="0"/>
        <w:jc w:val="center"/>
        <w:rPr>
          <w:color w:val="auto"/>
        </w:rPr>
      </w:pPr>
    </w:p>
    <w:p w14:paraId="6D86A7FE">
      <w:pPr>
        <w:pStyle w:val="4"/>
        <w:ind w:firstLine="0" w:firstLineChars="0"/>
        <w:outlineLvl w:val="2"/>
        <w:rPr>
          <w:color w:val="auto"/>
        </w:rPr>
      </w:pPr>
      <w:r>
        <w:rPr>
          <w:rFonts w:hint="eastAsia"/>
          <w:color w:val="auto"/>
        </w:rPr>
        <w:t>2、丰实</w:t>
      </w:r>
    </w:p>
    <w:p w14:paraId="1F5CD6CB">
      <w:pPr>
        <w:pStyle w:val="4"/>
        <w:ind w:firstLine="0" w:firstLineChars="0"/>
        <w:jc w:val="center"/>
        <w:rPr>
          <w:color w:val="auto"/>
        </w:rPr>
      </w:pPr>
      <w:r>
        <w:rPr>
          <w:color w:val="auto"/>
        </w:rPr>
        <w:drawing>
          <wp:inline distT="0" distB="0" distL="0" distR="0">
            <wp:extent cx="5544185" cy="7840980"/>
            <wp:effectExtent l="0" t="0" r="0" b="7620"/>
            <wp:docPr id="10" name="图片 10" descr="I:\5-2025年项目\26.东胜1月两个验收\7、大芦湖油田产能建设项目（2023-2025年）\img_260328154325\img_260328154325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5-2025年项目\26.东胜1月两个验收\7、大芦湖油田产能建设项目（2023-2025年）\img_260328154325\img_260328154325_01.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840980"/>
            <wp:effectExtent l="0" t="0" r="0" b="7620"/>
            <wp:docPr id="15" name="图片 15" descr="I:\5-2025年项目\26.东胜1月两个验收\7、大芦湖油田产能建设项目（2023-2025年）\img_260328154325\img_260328154325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5-2025年项目\26.东胜1月两个验收\7、大芦湖油田产能建设项目（2023-2025年）\img_260328154325\img_260328154325_02.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840980"/>
            <wp:effectExtent l="0" t="0" r="0" b="7620"/>
            <wp:docPr id="16" name="图片 16" descr="I:\5-2025年项目\26.东胜1月两个验收\7、大芦湖油田产能建设项目（2023-2025年）\img_260328154325\img_260328154325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5-2025年项目\26.东胜1月两个验收\7、大芦湖油田产能建设项目（2023-2025年）\img_260328154325\img_260328154325_03.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01406970">
      <w:pPr>
        <w:pStyle w:val="4"/>
        <w:ind w:firstLine="0" w:firstLineChars="0"/>
        <w:jc w:val="center"/>
        <w:rPr>
          <w:color w:val="auto"/>
        </w:rPr>
        <w:sectPr>
          <w:pgSz w:w="11907" w:h="16839"/>
          <w:pgMar w:top="1418" w:right="1588" w:bottom="1418" w:left="1588" w:header="1134" w:footer="850" w:gutter="0"/>
          <w:cols w:space="720" w:num="1"/>
          <w:docGrid w:linePitch="312" w:charSpace="0"/>
        </w:sectPr>
      </w:pPr>
    </w:p>
    <w:p w14:paraId="0301BD8E">
      <w:pPr>
        <w:pStyle w:val="4"/>
        <w:ind w:firstLine="0" w:firstLineChars="0"/>
        <w:outlineLvl w:val="2"/>
        <w:rPr>
          <w:color w:val="auto"/>
        </w:rPr>
      </w:pPr>
      <w:r>
        <w:rPr>
          <w:rFonts w:hint="eastAsia"/>
          <w:color w:val="auto"/>
        </w:rPr>
        <w:t>3、胜兴特种材料</w:t>
      </w:r>
    </w:p>
    <w:p w14:paraId="0A9E8BBF">
      <w:pPr>
        <w:pStyle w:val="4"/>
        <w:ind w:firstLine="0" w:firstLineChars="0"/>
        <w:jc w:val="center"/>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7844155"/>
            <wp:effectExtent l="0" t="0" r="0" b="4445"/>
            <wp:docPr id="19" name="图片 19" descr="I:\5-2025年项目\26.东胜1月两个验收\7、大芦湖油田产能建设项目（2023-2025年）\img_260328154325\img_260328154325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5-2025年项目\26.东胜1月两个验收\7、大芦湖油田产能建设项目（2023-2025年）\img_260328154325\img_260328154325_05.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color w:val="auto"/>
        </w:rPr>
        <w:drawing>
          <wp:inline distT="0" distB="0" distL="0" distR="0">
            <wp:extent cx="5544185" cy="7844155"/>
            <wp:effectExtent l="0" t="0" r="0" b="4445"/>
            <wp:docPr id="17" name="图片 17" descr="I:\5-2025年项目\26.东胜1月两个验收\7、大芦湖油田产能建设项目（2023-2025年）\img_260328154325\img_260328154325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5-2025年项目\26.东胜1月两个验收\7、大芦湖油田产能建设项目（2023-2025年）\img_260328154325\img_260328154325_04.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color w:val="auto"/>
        </w:rPr>
        <w:drawing>
          <wp:inline distT="0" distB="0" distL="0" distR="0">
            <wp:extent cx="5544185" cy="7844155"/>
            <wp:effectExtent l="0" t="0" r="0" b="4445"/>
            <wp:docPr id="21" name="图片 21" descr="I:\5-2025年项目\26.东胜1月两个验收\7、大芦湖油田产能建设项目（2023-2025年）\img_260328154325\img_26032815432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5-2025年项目\26.东胜1月两个验收\7、大芦湖油田产能建设项目（2023-2025年）\img_260328154325\img_260328154325_06.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p>
    <w:p w14:paraId="050E4371">
      <w:pPr>
        <w:pStyle w:val="5"/>
        <w:numPr>
          <w:ilvl w:val="0"/>
          <w:numId w:val="0"/>
        </w:numPr>
        <w:rPr>
          <w:color w:val="auto"/>
        </w:rPr>
      </w:pPr>
      <w:bookmarkStart w:id="565" w:name="_Toc231283679"/>
      <w:r>
        <w:rPr>
          <w:rFonts w:hint="eastAsia"/>
          <w:color w:val="auto"/>
        </w:rPr>
        <w:t>附件</w:t>
      </w:r>
      <w:r>
        <w:rPr>
          <w:color w:val="auto"/>
        </w:rPr>
        <w:t xml:space="preserve">9  </w:t>
      </w:r>
      <w:r>
        <w:rPr>
          <w:rFonts w:hint="eastAsia"/>
          <w:color w:val="auto"/>
        </w:rPr>
        <w:t>钻井固废固化泥浆检测报告(部分)</w:t>
      </w:r>
      <w:bookmarkEnd w:id="565"/>
    </w:p>
    <w:p w14:paraId="729382FA">
      <w:pPr>
        <w:pStyle w:val="4"/>
        <w:ind w:firstLine="199" w:firstLineChars="83"/>
        <w:jc w:val="left"/>
        <w:outlineLvl w:val="2"/>
        <w:rPr>
          <w:color w:val="auto"/>
        </w:rPr>
      </w:pPr>
      <w:r>
        <w:rPr>
          <w:color w:val="auto"/>
        </w:rPr>
        <w:t>1</w:t>
      </w:r>
      <w:r>
        <w:rPr>
          <w:rFonts w:hint="eastAsia"/>
          <w:color w:val="auto"/>
        </w:rPr>
        <w:t>、丰实-</w:t>
      </w:r>
      <w:r>
        <w:rPr>
          <w:color w:val="auto"/>
        </w:rPr>
        <w:t>FJF121-X97</w:t>
      </w:r>
      <w:r>
        <w:rPr>
          <w:rFonts w:hint="eastAsia"/>
          <w:color w:val="auto"/>
        </w:rPr>
        <w:t>井</w:t>
      </w:r>
    </w:p>
    <w:p w14:paraId="558E20C9">
      <w:pPr>
        <w:pStyle w:val="4"/>
        <w:ind w:firstLine="199" w:firstLineChars="83"/>
        <w:jc w:val="center"/>
        <w:rPr>
          <w:rFonts w:ascii="Times New Roman" w:hAnsi="Times New Roman" w:eastAsia="Times New Roman"/>
          <w:snapToGrid w:val="0"/>
          <w:color w:val="auto"/>
          <w:w w:val="0"/>
          <w:kern w:val="0"/>
          <w:sz w:val="0"/>
          <w:szCs w:val="0"/>
          <w:u w:color="000000"/>
          <w:shd w:val="clear" w:color="000000" w:fill="000000"/>
          <w:lang w:val="zh-CN" w:bidi="zh-CN"/>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7844155"/>
            <wp:effectExtent l="0" t="0" r="0" b="4445"/>
            <wp:docPr id="50" name="图片 50" descr="H:\img_260328163430\img_26032816343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H:\img_260328163430\img_260328163430-000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color w:val="auto"/>
        </w:rPr>
        <w:drawing>
          <wp:inline distT="0" distB="0" distL="0" distR="0">
            <wp:extent cx="5544185" cy="7844155"/>
            <wp:effectExtent l="0" t="0" r="0" b="4445"/>
            <wp:docPr id="51" name="图片 51" descr="H:\img_260328163430\img_26032816343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H:\img_260328163430\img_260328163430-000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7844155"/>
            <wp:effectExtent l="0" t="0" r="0" b="4445"/>
            <wp:docPr id="52" name="图片 52" descr="H:\img_260328163430\img_26032816343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H:\img_260328163430\img_260328163430-000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7844155"/>
            <wp:effectExtent l="0" t="0" r="0" b="4445"/>
            <wp:docPr id="459578562" name="图片 459578562" descr="H:\img_260328163430\img_26032816343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2" name="图片 459578562" descr="H:\img_260328163430\img_260328163430-000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p>
    <w:p w14:paraId="1909745D">
      <w:pPr>
        <w:pStyle w:val="4"/>
        <w:numPr>
          <w:ilvl w:val="0"/>
          <w:numId w:val="28"/>
        </w:numPr>
        <w:ind w:firstLineChars="0"/>
        <w:outlineLvl w:val="2"/>
        <w:rPr>
          <w:color w:val="auto"/>
        </w:rPr>
      </w:pPr>
      <w:r>
        <w:rPr>
          <w:rFonts w:hint="eastAsia"/>
          <w:color w:val="auto"/>
        </w:rPr>
        <w:t>胜兴特种材料-</w:t>
      </w:r>
      <w:r>
        <w:rPr>
          <w:color w:val="auto"/>
        </w:rPr>
        <w:t>FJF163-X17</w:t>
      </w:r>
      <w:r>
        <w:rPr>
          <w:rFonts w:hint="eastAsia"/>
          <w:color w:val="auto"/>
        </w:rPr>
        <w:t>井</w:t>
      </w:r>
    </w:p>
    <w:p w14:paraId="5B8B00A1">
      <w:pPr>
        <w:pStyle w:val="4"/>
        <w:ind w:firstLine="0" w:firstLineChars="0"/>
        <w:rPr>
          <w:rFonts w:ascii="Times New Roman" w:hAnsi="Times New Roman"/>
          <w:color w:val="auto"/>
          <w:w w:val="0"/>
          <w:kern w:val="0"/>
          <w:sz w:val="0"/>
          <w:u w:color="000000"/>
          <w:shd w:val="clear" w:color="000000" w:fill="000000"/>
        </w:rPr>
        <w:sectPr>
          <w:pgSz w:w="11907" w:h="16839"/>
          <w:pgMar w:top="1418" w:right="1588" w:bottom="1418" w:left="1588" w:header="1134" w:footer="850" w:gutter="0"/>
          <w:cols w:space="720" w:num="1"/>
          <w:docGrid w:linePitch="312" w:charSpace="0"/>
        </w:sectPr>
      </w:pP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7844155"/>
            <wp:effectExtent l="0" t="0" r="0" b="4445"/>
            <wp:docPr id="459578587" name="图片 459578587" descr="H:\img_260328163430\img_26032816343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7" name="图片 459578587" descr="H:\img_260328163430\img_260328163430-000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color w:val="auto"/>
          <w:w w:val="0"/>
          <w:kern w:val="0"/>
          <w:sz w:val="0"/>
          <w:u w:color="000000"/>
          <w:shd w:val="clear" w:color="000000" w:fill="000000"/>
        </w:rPr>
        <w:t xml:space="preserve"> </w:t>
      </w:r>
      <w:r>
        <w:rPr>
          <w:color w:val="auto"/>
        </w:rPr>
        <w:drawing>
          <wp:inline distT="0" distB="0" distL="0" distR="0">
            <wp:extent cx="5544185" cy="7844155"/>
            <wp:effectExtent l="0" t="0" r="0" b="4445"/>
            <wp:docPr id="459578589" name="图片 459578589" descr="H:\img_260328163430\img_26032816343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9" name="图片 459578589" descr="H:\img_260328163430\img_260328163430-000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color w:val="auto"/>
          <w:w w:val="0"/>
          <w:kern w:val="0"/>
          <w:sz w:val="0"/>
          <w:u w:color="000000"/>
          <w:shd w:val="clear" w:color="000000" w:fill="000000"/>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7844155"/>
            <wp:effectExtent l="0" t="0" r="0" b="4445"/>
            <wp:docPr id="459578591" name="图片 459578591" descr="H:\img_260328163430\img_26032816343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91" name="图片 459578591" descr="H:\img_260328163430\img_260328163430-000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color w:val="auto"/>
          <w:w w:val="0"/>
          <w:kern w:val="0"/>
          <w:sz w:val="0"/>
          <w:u w:color="000000"/>
          <w:shd w:val="clear" w:color="000000" w:fill="000000"/>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7844155"/>
            <wp:effectExtent l="0" t="0" r="0" b="4445"/>
            <wp:docPr id="459578593" name="图片 459578593" descr="H:\img_260328163430\img_26032816343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93" name="图片 459578593" descr="H:\img_260328163430\img_260328163430-000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color w:val="auto"/>
          <w:w w:val="0"/>
          <w:kern w:val="0"/>
          <w:sz w:val="0"/>
          <w:u w:color="000000"/>
          <w:shd w:val="clear" w:color="000000" w:fill="000000"/>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7844155"/>
            <wp:effectExtent l="0" t="0" r="0" b="4445"/>
            <wp:docPr id="459578597" name="图片 459578597" descr="H:\img_260328163430\img_26032816343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97" name="图片 459578597" descr="H:\img_260328163430\img_260328163430-000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p>
    <w:p w14:paraId="26BD7BF4">
      <w:pPr>
        <w:pStyle w:val="4"/>
        <w:ind w:firstLine="199" w:firstLineChars="83"/>
        <w:outlineLvl w:val="2"/>
        <w:rPr>
          <w:color w:val="auto"/>
        </w:rPr>
      </w:pPr>
      <w:r>
        <w:rPr>
          <w:color w:val="auto"/>
        </w:rPr>
        <w:t>3</w:t>
      </w:r>
      <w:r>
        <w:rPr>
          <w:rFonts w:hint="eastAsia"/>
          <w:color w:val="auto"/>
        </w:rPr>
        <w:t>、天正浚源-</w:t>
      </w:r>
      <w:r>
        <w:rPr>
          <w:color w:val="auto"/>
        </w:rPr>
        <w:t>FJF11-X123</w:t>
      </w:r>
      <w:r>
        <w:rPr>
          <w:rFonts w:hint="eastAsia"/>
          <w:color w:val="auto"/>
        </w:rPr>
        <w:t>井</w:t>
      </w:r>
    </w:p>
    <w:p w14:paraId="1138B866">
      <w:pPr>
        <w:pStyle w:val="4"/>
        <w:ind w:firstLine="0" w:firstLineChars="83"/>
        <w:jc w:val="left"/>
        <w:rPr>
          <w:color w:val="auto"/>
        </w:rPr>
      </w:pP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7844155"/>
            <wp:effectExtent l="0" t="0" r="0" b="4445"/>
            <wp:docPr id="459578608" name="图片 459578608" descr="H:\img_260328163430\img_26032816343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08" name="图片 459578608" descr="H:\img_260328163430\img_260328163430-001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bidi="zh-CN"/>
        </w:rPr>
        <w:t xml:space="preserve"> </w:t>
      </w:r>
      <w:r>
        <w:rPr>
          <w:color w:val="auto"/>
        </w:rPr>
        <w:drawing>
          <wp:inline distT="0" distB="0" distL="0" distR="0">
            <wp:extent cx="5544185" cy="7844155"/>
            <wp:effectExtent l="0" t="0" r="0" b="4445"/>
            <wp:docPr id="459578614" name="图片 459578614" descr="H:\img_260328163430\img_26032816343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4" name="图片 459578614" descr="H:\img_260328163430\img_260328163430-001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p>
    <w:p w14:paraId="41868047">
      <w:pPr>
        <w:pStyle w:val="4"/>
        <w:ind w:firstLine="199" w:firstLineChars="83"/>
        <w:jc w:val="center"/>
        <w:rPr>
          <w:color w:val="auto"/>
        </w:rPr>
      </w:pPr>
      <w:r>
        <w:rPr>
          <w:color w:val="auto"/>
        </w:rPr>
        <w:drawing>
          <wp:inline distT="0" distB="0" distL="0" distR="0">
            <wp:extent cx="5544185" cy="7844155"/>
            <wp:effectExtent l="0" t="0" r="0" b="4445"/>
            <wp:docPr id="459578615" name="图片 459578615" descr="H:\img_260328163430\img_26032816343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5" name="图片 459578615" descr="H:\img_260328163430\img_260328163430-001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color w:val="auto"/>
        </w:rPr>
        <w:drawing>
          <wp:inline distT="0" distB="0" distL="0" distR="0">
            <wp:extent cx="5544185" cy="7844155"/>
            <wp:effectExtent l="0" t="0" r="0" b="4445"/>
            <wp:docPr id="459578616" name="图片 459578616" descr="H:\img_260328163430\img_26032816343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6" name="图片 459578616" descr="H:\img_260328163430\img_260328163430-001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p>
    <w:p w14:paraId="1DFA8EC2">
      <w:pPr>
        <w:pStyle w:val="4"/>
        <w:ind w:firstLine="199" w:firstLineChars="83"/>
        <w:jc w:val="center"/>
        <w:rPr>
          <w:color w:val="auto"/>
        </w:rPr>
      </w:pPr>
    </w:p>
    <w:p w14:paraId="66820B42">
      <w:pPr>
        <w:pStyle w:val="4"/>
        <w:ind w:firstLine="0" w:firstLineChars="83"/>
        <w:jc w:val="center"/>
        <w:rPr>
          <w:rFonts w:eastAsiaTheme="minorEastAsia"/>
          <w:color w:val="auto"/>
        </w:rPr>
      </w:pPr>
      <w:r>
        <w:rPr>
          <w:rFonts w:ascii="Times New Roman" w:hAnsi="Times New Roman" w:eastAsia="Times New Roman"/>
          <w:snapToGrid w:val="0"/>
          <w:color w:val="auto"/>
          <w:w w:val="0"/>
          <w:kern w:val="0"/>
          <w:sz w:val="0"/>
          <w:szCs w:val="0"/>
          <w:u w:color="000000"/>
          <w:shd w:val="clear" w:color="000000" w:fill="000000"/>
          <w:lang w:bidi="zh-CN"/>
        </w:rPr>
        <w:t xml:space="preserve"> </w:t>
      </w:r>
    </w:p>
    <w:p w14:paraId="2CBEB68F">
      <w:pPr>
        <w:pStyle w:val="4"/>
        <w:ind w:firstLine="199" w:firstLineChars="83"/>
        <w:jc w:val="center"/>
        <w:rPr>
          <w:color w:val="auto"/>
        </w:rPr>
      </w:pPr>
    </w:p>
    <w:p w14:paraId="52B91353">
      <w:pPr>
        <w:pStyle w:val="4"/>
        <w:ind w:firstLine="0" w:firstLineChars="0"/>
        <w:rPr>
          <w:color w:val="auto"/>
        </w:rPr>
        <w:sectPr>
          <w:pgSz w:w="11907" w:h="16839"/>
          <w:pgMar w:top="1418" w:right="1588" w:bottom="1418" w:left="1588" w:header="1134" w:footer="850" w:gutter="0"/>
          <w:cols w:space="720" w:num="1"/>
          <w:docGrid w:linePitch="312" w:charSpace="0"/>
        </w:sectPr>
      </w:pPr>
    </w:p>
    <w:p w14:paraId="2752153B">
      <w:pPr>
        <w:pStyle w:val="5"/>
        <w:numPr>
          <w:ilvl w:val="0"/>
          <w:numId w:val="0"/>
        </w:numPr>
        <w:rPr>
          <w:color w:val="auto"/>
        </w:rPr>
      </w:pPr>
      <w:bookmarkStart w:id="566" w:name="_Toc231283680"/>
      <w:r>
        <w:rPr>
          <w:rFonts w:hint="eastAsia"/>
          <w:color w:val="auto"/>
        </w:rPr>
        <w:t>附件</w:t>
      </w:r>
      <w:r>
        <w:rPr>
          <w:color w:val="auto"/>
        </w:rPr>
        <w:t xml:space="preserve">10  </w:t>
      </w:r>
      <w:r>
        <w:rPr>
          <w:rFonts w:hint="eastAsia"/>
          <w:color w:val="auto"/>
        </w:rPr>
        <w:t>钻井固废液相处理去向证明（部分）</w:t>
      </w:r>
      <w:bookmarkEnd w:id="566"/>
    </w:p>
    <w:p w14:paraId="05ADAA45">
      <w:pPr>
        <w:pStyle w:val="4"/>
        <w:ind w:firstLine="480"/>
        <w:outlineLvl w:val="2"/>
        <w:rPr>
          <w:color w:val="auto"/>
        </w:rPr>
      </w:pPr>
      <w:r>
        <w:rPr>
          <w:rFonts w:hint="eastAsia"/>
          <w:color w:val="auto"/>
        </w:rPr>
        <w:t>1、丰实-</w:t>
      </w:r>
      <w:r>
        <w:rPr>
          <w:color w:val="auto"/>
        </w:rPr>
        <w:t>FJF121-X97</w:t>
      </w:r>
      <w:r>
        <w:rPr>
          <w:rFonts w:hint="eastAsia"/>
          <w:color w:val="auto"/>
        </w:rPr>
        <w:t>井</w:t>
      </w:r>
    </w:p>
    <w:p w14:paraId="11A83852">
      <w:pPr>
        <w:pStyle w:val="4"/>
        <w:ind w:firstLine="0" w:firstLineChars="0"/>
        <w:jc w:val="center"/>
        <w:rPr>
          <w:color w:val="auto"/>
        </w:rPr>
      </w:pPr>
      <w:r>
        <w:rPr>
          <w:color w:val="auto"/>
        </w:rPr>
        <w:drawing>
          <wp:inline distT="0" distB="0" distL="0" distR="0">
            <wp:extent cx="5544185" cy="7844155"/>
            <wp:effectExtent l="0" t="0" r="0" b="4445"/>
            <wp:docPr id="47" name="图片 47" descr="I:\5-2025年项目\26.东胜1月两个验收\7、大芦湖油田产能建设项目（2023-2025年）\img_260328154325\img_26032815432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5-2025年项目\26.东胜1月两个验收\7、大芦湖油田产能建设项目（2023-2025年）\img_260328154325\img_260328154325_10.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p>
    <w:p w14:paraId="358F9A0A">
      <w:pPr>
        <w:pStyle w:val="4"/>
        <w:ind w:firstLine="0" w:firstLineChars="0"/>
        <w:jc w:val="center"/>
        <w:rPr>
          <w:color w:val="auto"/>
        </w:rPr>
        <w:sectPr>
          <w:pgSz w:w="11907" w:h="16839"/>
          <w:pgMar w:top="1418" w:right="1588" w:bottom="1418" w:left="1588" w:header="1134" w:footer="850" w:gutter="0"/>
          <w:cols w:space="720" w:num="1"/>
          <w:docGrid w:linePitch="312" w:charSpace="0"/>
        </w:sectPr>
      </w:pPr>
    </w:p>
    <w:p w14:paraId="7026939F">
      <w:pPr>
        <w:pStyle w:val="4"/>
        <w:ind w:firstLine="480"/>
        <w:outlineLvl w:val="2"/>
        <w:rPr>
          <w:color w:val="auto"/>
        </w:rPr>
      </w:pPr>
      <w:bookmarkStart w:id="567" w:name="OLE_LINK27"/>
      <w:bookmarkStart w:id="568" w:name="OLE_LINK26"/>
      <w:r>
        <w:rPr>
          <w:color w:val="auto"/>
        </w:rPr>
        <w:t>2</w:t>
      </w:r>
      <w:r>
        <w:rPr>
          <w:rFonts w:hint="eastAsia"/>
          <w:color w:val="auto"/>
        </w:rPr>
        <w:t>、胜兴特种材料-</w:t>
      </w:r>
      <w:r>
        <w:rPr>
          <w:color w:val="auto"/>
        </w:rPr>
        <w:t>FJF163-X17</w:t>
      </w:r>
      <w:r>
        <w:rPr>
          <w:rFonts w:hint="eastAsia"/>
          <w:color w:val="auto"/>
        </w:rPr>
        <w:t>井</w:t>
      </w:r>
    </w:p>
    <w:bookmarkEnd w:id="567"/>
    <w:bookmarkEnd w:id="568"/>
    <w:p w14:paraId="08D085DF">
      <w:pPr>
        <w:pStyle w:val="4"/>
        <w:ind w:firstLine="0" w:firstLineChars="0"/>
        <w:jc w:val="center"/>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7844155"/>
            <wp:effectExtent l="0" t="0" r="0" b="4445"/>
            <wp:docPr id="42" name="图片 42" descr="I:\5-2025年项目\26.东胜1月两个验收\7、大芦湖油田产能建设项目（2023-2025年）\img_260328154325\img_260328154325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5-2025年项目\26.东胜1月两个验收\7、大芦湖油田产能建设项目（2023-2025年）\img_260328154325\img_260328154325_08.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p>
    <w:p w14:paraId="5E6C6912">
      <w:pPr>
        <w:pStyle w:val="4"/>
        <w:ind w:firstLine="480"/>
        <w:outlineLvl w:val="2"/>
        <w:rPr>
          <w:color w:val="auto"/>
        </w:rPr>
      </w:pPr>
      <w:r>
        <w:rPr>
          <w:color w:val="auto"/>
        </w:rPr>
        <w:t>3</w:t>
      </w:r>
      <w:r>
        <w:rPr>
          <w:rFonts w:hint="eastAsia"/>
          <w:color w:val="auto"/>
        </w:rPr>
        <w:t>、天正浚源-</w:t>
      </w:r>
      <w:r>
        <w:rPr>
          <w:color w:val="auto"/>
        </w:rPr>
        <w:t>FJF11-X123</w:t>
      </w:r>
      <w:r>
        <w:rPr>
          <w:rFonts w:hint="eastAsia"/>
          <w:color w:val="auto"/>
        </w:rPr>
        <w:t>井</w:t>
      </w:r>
    </w:p>
    <w:p w14:paraId="7DCC5133">
      <w:pPr>
        <w:pStyle w:val="4"/>
        <w:ind w:firstLine="480"/>
        <w:rPr>
          <w:color w:val="auto"/>
        </w:rPr>
      </w:pPr>
      <w:r>
        <w:rPr>
          <w:color w:val="auto"/>
        </w:rPr>
        <w:drawing>
          <wp:inline distT="0" distB="0" distL="0" distR="0">
            <wp:extent cx="5544185" cy="7844155"/>
            <wp:effectExtent l="0" t="0" r="0" b="4445"/>
            <wp:docPr id="46" name="图片 46" descr="I:\5-2025年项目\26.东胜1月两个验收\7、大芦湖油田产能建设项目（2023-2025年）\img_260328154325\img_260328154325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5-2025年项目\26.东胜1月两个验收\7、大芦湖油田产能建设项目（2023-2025年）\img_260328154325\img_260328154325_12.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5544185" cy="7844754"/>
                    </a:xfrm>
                    <a:prstGeom prst="rect">
                      <a:avLst/>
                    </a:prstGeom>
                    <a:noFill/>
                    <a:ln>
                      <a:noFill/>
                    </a:ln>
                  </pic:spPr>
                </pic:pic>
              </a:graphicData>
            </a:graphic>
          </wp:inline>
        </w:drawing>
      </w:r>
    </w:p>
    <w:p w14:paraId="46895422">
      <w:pPr>
        <w:pStyle w:val="5"/>
        <w:numPr>
          <w:ilvl w:val="0"/>
          <w:numId w:val="0"/>
        </w:numPr>
        <w:rPr>
          <w:color w:val="auto"/>
        </w:rPr>
      </w:pPr>
      <w:bookmarkStart w:id="569" w:name="_Toc231283681"/>
      <w:r>
        <w:rPr>
          <w:rFonts w:hint="eastAsia"/>
          <w:color w:val="auto"/>
        </w:rPr>
        <w:t>附件</w:t>
      </w:r>
      <w:r>
        <w:rPr>
          <w:color w:val="auto"/>
        </w:rPr>
        <w:t xml:space="preserve">11  </w:t>
      </w:r>
      <w:r>
        <w:rPr>
          <w:rFonts w:hint="eastAsia"/>
          <w:color w:val="auto"/>
        </w:rPr>
        <w:t>钻井固废固相处理去向证明（部分）</w:t>
      </w:r>
      <w:bookmarkEnd w:id="569"/>
    </w:p>
    <w:p w14:paraId="21E6BFF5">
      <w:pPr>
        <w:pStyle w:val="4"/>
        <w:ind w:firstLine="480"/>
        <w:outlineLvl w:val="2"/>
        <w:rPr>
          <w:color w:val="auto"/>
        </w:rPr>
      </w:pPr>
      <w:r>
        <w:rPr>
          <w:rFonts w:hint="eastAsia"/>
          <w:color w:val="auto"/>
        </w:rPr>
        <w:t>1、丰实-</w:t>
      </w:r>
      <w:r>
        <w:rPr>
          <w:color w:val="auto"/>
        </w:rPr>
        <w:t>FJF121-X97</w:t>
      </w:r>
      <w:r>
        <w:rPr>
          <w:rFonts w:hint="eastAsia"/>
          <w:color w:val="auto"/>
        </w:rPr>
        <w:t>井</w:t>
      </w:r>
    </w:p>
    <w:p w14:paraId="3A51A347">
      <w:pPr>
        <w:pStyle w:val="4"/>
        <w:ind w:firstLine="0" w:firstLineChars="0"/>
        <w:jc w:val="center"/>
        <w:rPr>
          <w:rFonts w:ascii="Times New Roman" w:hAnsi="Times New Roman" w:eastAsia="Times New Roman"/>
          <w:snapToGrid w:val="0"/>
          <w:color w:val="auto"/>
          <w:w w:val="0"/>
          <w:kern w:val="0"/>
          <w:sz w:val="0"/>
          <w:szCs w:val="0"/>
          <w:u w:color="000000"/>
          <w:shd w:val="clear" w:color="000000" w:fill="000000"/>
          <w:lang w:val="zh-CN" w:bidi="zh-CN"/>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7844155"/>
            <wp:effectExtent l="0" t="0" r="0" b="4445"/>
            <wp:docPr id="33" name="图片 33" descr="I:\5-2025年项目\26.东胜1月两个验收\7、大芦湖油田产能建设项目（2023-2025年）\img_260328154325\img_260328154325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5-2025年项目\26.东胜1月两个验收\7、大芦湖油田产能建设项目（2023-2025年）\img_260328154325\img_260328154325_09.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5544185" cy="7844155"/>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p>
    <w:p w14:paraId="17454E22">
      <w:pPr>
        <w:pStyle w:val="4"/>
        <w:ind w:firstLine="0" w:firstLineChars="0"/>
        <w:jc w:val="center"/>
        <w:rPr>
          <w:rFonts w:ascii="Times New Roman" w:hAnsi="Times New Roman" w:eastAsiaTheme="minorEastAsia"/>
          <w:snapToGrid w:val="0"/>
          <w:color w:val="auto"/>
          <w:w w:val="0"/>
          <w:kern w:val="0"/>
          <w:sz w:val="0"/>
          <w:szCs w:val="0"/>
          <w:u w:color="000000"/>
          <w:shd w:val="clear" w:color="000000" w:fill="000000"/>
          <w:lang w:val="zh-CN" w:bidi="zh-CN"/>
        </w:rPr>
      </w:pPr>
    </w:p>
    <w:p w14:paraId="20A260B0">
      <w:pPr>
        <w:pStyle w:val="4"/>
        <w:ind w:firstLine="480"/>
        <w:outlineLvl w:val="2"/>
        <w:rPr>
          <w:color w:val="auto"/>
        </w:rPr>
      </w:pPr>
      <w:r>
        <w:rPr>
          <w:color w:val="auto"/>
        </w:rPr>
        <w:t>2</w:t>
      </w:r>
      <w:r>
        <w:rPr>
          <w:rFonts w:hint="eastAsia"/>
          <w:color w:val="auto"/>
        </w:rPr>
        <w:t>、胜兴特种材料-</w:t>
      </w:r>
      <w:r>
        <w:rPr>
          <w:color w:val="auto"/>
        </w:rPr>
        <w:t>FJF163-X17</w:t>
      </w:r>
      <w:r>
        <w:rPr>
          <w:rFonts w:hint="eastAsia"/>
          <w:color w:val="auto"/>
        </w:rPr>
        <w:t>井</w:t>
      </w:r>
    </w:p>
    <w:p w14:paraId="5FD0E45E">
      <w:pPr>
        <w:pStyle w:val="4"/>
        <w:ind w:firstLine="0" w:firstLineChars="0"/>
        <w:jc w:val="center"/>
        <w:rPr>
          <w:rFonts w:ascii="Times New Roman" w:hAnsi="Times New Roman" w:eastAsiaTheme="minorEastAsia"/>
          <w:snapToGrid w:val="0"/>
          <w:color w:val="auto"/>
          <w:w w:val="0"/>
          <w:kern w:val="0"/>
          <w:sz w:val="0"/>
          <w:szCs w:val="0"/>
          <w:u w:color="000000"/>
          <w:shd w:val="clear" w:color="000000" w:fill="000000"/>
          <w:lang w:val="zh-CN" w:bidi="zh-CN"/>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7844155"/>
            <wp:effectExtent l="0" t="0" r="0" b="4445"/>
            <wp:docPr id="39" name="图片 39" descr="I:\5-2025年项目\26.东胜1月两个验收\7、大芦湖油田产能建设项目（2023-2025年）\img_260328154325\img_260328154325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5-2025年项目\26.东胜1月两个验收\7、大芦湖油田产能建设项目（2023-2025年）\img_260328154325\img_260328154325_07.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5544185" cy="7844155"/>
                    </a:xfrm>
                    <a:prstGeom prst="rect">
                      <a:avLst/>
                    </a:prstGeom>
                    <a:noFill/>
                    <a:ln>
                      <a:noFill/>
                    </a:ln>
                  </pic:spPr>
                </pic:pic>
              </a:graphicData>
            </a:graphic>
          </wp:inline>
        </w:drawing>
      </w:r>
    </w:p>
    <w:p w14:paraId="24BD927A">
      <w:pPr>
        <w:pStyle w:val="4"/>
        <w:ind w:firstLine="0" w:firstLineChars="0"/>
        <w:jc w:val="center"/>
        <w:rPr>
          <w:rFonts w:ascii="Times New Roman" w:hAnsi="Times New Roman" w:eastAsiaTheme="minorEastAsia"/>
          <w:snapToGrid w:val="0"/>
          <w:color w:val="auto"/>
          <w:w w:val="0"/>
          <w:kern w:val="0"/>
          <w:sz w:val="0"/>
          <w:szCs w:val="0"/>
          <w:u w:color="000000"/>
          <w:shd w:val="clear" w:color="000000" w:fill="000000"/>
          <w:lang w:val="zh-CN" w:bidi="zh-CN"/>
        </w:rPr>
      </w:pPr>
    </w:p>
    <w:p w14:paraId="482724BD">
      <w:pPr>
        <w:pStyle w:val="4"/>
        <w:ind w:firstLine="480"/>
        <w:outlineLvl w:val="2"/>
        <w:rPr>
          <w:color w:val="auto"/>
        </w:rPr>
      </w:pPr>
      <w:r>
        <w:rPr>
          <w:color w:val="auto"/>
        </w:rPr>
        <w:t>3</w:t>
      </w:r>
      <w:r>
        <w:rPr>
          <w:rFonts w:hint="eastAsia"/>
          <w:color w:val="auto"/>
        </w:rPr>
        <w:t>、天正浚源-</w:t>
      </w:r>
      <w:r>
        <w:rPr>
          <w:color w:val="auto"/>
        </w:rPr>
        <w:t>FJF11-X123</w:t>
      </w:r>
      <w:r>
        <w:rPr>
          <w:rFonts w:hint="eastAsia"/>
          <w:color w:val="auto"/>
        </w:rPr>
        <w:t>井</w:t>
      </w:r>
    </w:p>
    <w:p w14:paraId="3644E277">
      <w:pPr>
        <w:pStyle w:val="4"/>
        <w:ind w:firstLine="0" w:firstLineChars="0"/>
        <w:jc w:val="center"/>
        <w:rPr>
          <w:rFonts w:ascii="Times New Roman" w:hAnsi="Times New Roman" w:eastAsia="Times New Roman"/>
          <w:snapToGrid w:val="0"/>
          <w:color w:val="auto"/>
          <w:w w:val="0"/>
          <w:kern w:val="0"/>
          <w:sz w:val="0"/>
          <w:szCs w:val="0"/>
          <w:u w:color="000000"/>
          <w:shd w:val="clear" w:color="000000" w:fill="000000"/>
          <w:lang w:val="zh-CN" w:bidi="zh-CN"/>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7844155"/>
            <wp:effectExtent l="0" t="0" r="0" b="4445"/>
            <wp:docPr id="43" name="图片 43" descr="I:\5-2025年项目\26.东胜1月两个验收\7、大芦湖油田产能建设项目（2023-2025年）\img_260328154325\img_260328154325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5-2025年项目\26.东胜1月两个验收\7、大芦湖油田产能建设项目（2023-2025年）\img_260328154325\img_260328154325_11.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5544185" cy="7844155"/>
                    </a:xfrm>
                    <a:prstGeom prst="rect">
                      <a:avLst/>
                    </a:prstGeom>
                    <a:noFill/>
                    <a:ln>
                      <a:noFill/>
                    </a:ln>
                  </pic:spPr>
                </pic:pic>
              </a:graphicData>
            </a:graphic>
          </wp:inline>
        </w:drawing>
      </w:r>
    </w:p>
    <w:p w14:paraId="451CDA28">
      <w:pPr>
        <w:pStyle w:val="5"/>
        <w:numPr>
          <w:ilvl w:val="0"/>
          <w:numId w:val="0"/>
        </w:numPr>
        <w:rPr>
          <w:color w:val="auto"/>
        </w:rPr>
      </w:pPr>
      <w:bookmarkStart w:id="570" w:name="_Toc231283682"/>
      <w:r>
        <w:rPr>
          <w:rFonts w:hint="eastAsia"/>
          <w:color w:val="auto"/>
        </w:rPr>
        <w:t>附件</w:t>
      </w:r>
      <w:r>
        <w:rPr>
          <w:color w:val="auto"/>
        </w:rPr>
        <w:t xml:space="preserve">12  </w:t>
      </w:r>
      <w:r>
        <w:rPr>
          <w:rFonts w:hint="eastAsia"/>
          <w:color w:val="auto"/>
        </w:rPr>
        <w:t>钻井固废及废液拉运联单</w:t>
      </w:r>
      <w:bookmarkEnd w:id="570"/>
    </w:p>
    <w:p w14:paraId="5D3280F5">
      <w:pPr>
        <w:pStyle w:val="4"/>
        <w:ind w:firstLine="199" w:firstLineChars="83"/>
        <w:jc w:val="left"/>
        <w:outlineLvl w:val="2"/>
        <w:rPr>
          <w:color w:val="auto"/>
        </w:rPr>
      </w:pPr>
      <w:r>
        <w:rPr>
          <w:color w:val="auto"/>
        </w:rPr>
        <w:t>1</w:t>
      </w:r>
      <w:r>
        <w:rPr>
          <w:rFonts w:hint="eastAsia"/>
          <w:color w:val="auto"/>
        </w:rPr>
        <w:t>、丰实-</w:t>
      </w:r>
      <w:r>
        <w:rPr>
          <w:color w:val="auto"/>
        </w:rPr>
        <w:t>FJF121-X97</w:t>
      </w:r>
      <w:r>
        <w:rPr>
          <w:rFonts w:hint="eastAsia"/>
          <w:color w:val="auto"/>
        </w:rPr>
        <w:t>井</w:t>
      </w:r>
    </w:p>
    <w:p w14:paraId="7A556B9B">
      <w:pPr>
        <w:pStyle w:val="4"/>
        <w:ind w:firstLine="199" w:firstLineChars="83"/>
        <w:jc w:val="center"/>
        <w:rPr>
          <w:color w:val="auto"/>
        </w:rPr>
      </w:pPr>
      <w:r>
        <w:rPr>
          <w:color w:val="auto"/>
        </w:rPr>
        <w:drawing>
          <wp:inline distT="0" distB="0" distL="0" distR="0">
            <wp:extent cx="5544185" cy="3885565"/>
            <wp:effectExtent l="0" t="0" r="0" b="635"/>
            <wp:docPr id="459578618" name="图片 459578618" descr="I:\5-2025年项目\26.东胜1月两个验收\7、大芦湖油田产能建设项目（2023-2025年）\钻井（侧钻井）泥浆转运联单汇总(1)\钻井（侧钻井）泥浆转运联单汇总(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8" name="图片 459578618" descr="I:\5-2025年项目\26.东胜1月两个验收\7、大芦湖油田产能建设项目（2023-2025年）\钻井（侧钻井）泥浆转运联单汇总(1)\钻井（侧钻井）泥浆转运联单汇总(1)_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5544185" cy="3885635"/>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color w:val="auto"/>
        </w:rPr>
        <w:drawing>
          <wp:inline distT="0" distB="0" distL="0" distR="0">
            <wp:extent cx="5544185" cy="8214360"/>
            <wp:effectExtent l="0" t="0" r="0" b="0"/>
            <wp:docPr id="459578619" name="图片 459578619" descr="I:\5-2025年项目\26.东胜1月两个验收\7、大芦湖油田产能建设项目（2023-2025年）\钻井（侧钻井）泥浆转运联单汇总(1)\钻井（侧钻井）泥浆转运联单汇总(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19" name="图片 459578619" descr="I:\5-2025年项目\26.东胜1月两个验收\7、大芦湖油田产能建设项目（2023-2025年）\钻井（侧钻井）泥浆转运联单汇总(1)\钻井（侧钻井）泥浆转运联单汇总(1)_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5544185" cy="8214604"/>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8667750"/>
            <wp:effectExtent l="0" t="0" r="0" b="0"/>
            <wp:docPr id="459578620" name="图片 459578620" descr="I:\5-2025年项目\26.东胜1月两个验收\7、大芦湖油田产能建设项目（2023-2025年）\钻井（侧钻井）泥浆转运联单汇总(1)\钻井（侧钻井）泥浆转运联单汇总(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20" name="图片 459578620" descr="I:\5-2025年项目\26.东胜1月两个验收\7、大芦湖油田产能建设项目（2023-2025年）\钻井（侧钻井）泥浆转运联单汇总(1)\钻井（侧钻井）泥浆转运联单汇总(1)_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5544185" cy="8668247"/>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8086725"/>
            <wp:effectExtent l="0" t="0" r="0" b="9525"/>
            <wp:docPr id="459578621" name="图片 459578621" descr="I:\5-2025年项目\26.东胜1月两个验收\7、大芦湖油田产能建设项目（2023-2025年）\钻井（侧钻井）泥浆转运联单汇总(1)\钻井（侧钻井）泥浆转运联单汇总(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21" name="图片 459578621" descr="I:\5-2025年项目\26.东胜1月两个验收\7、大芦湖油田产能建设项目（2023-2025年）\钻井（侧钻井）泥浆转运联单汇总(1)\钻井（侧钻井）泥浆转运联单汇总(1)_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5544185" cy="8087303"/>
                    </a:xfrm>
                    <a:prstGeom prst="rect">
                      <a:avLst/>
                    </a:prstGeom>
                    <a:noFill/>
                    <a:ln>
                      <a:noFill/>
                    </a:ln>
                  </pic:spPr>
                </pic:pic>
              </a:graphicData>
            </a:graphic>
          </wp:inline>
        </w:drawing>
      </w:r>
    </w:p>
    <w:p w14:paraId="1DC65899">
      <w:pPr>
        <w:pStyle w:val="4"/>
        <w:ind w:firstLine="199" w:firstLineChars="0"/>
        <w:outlineLvl w:val="2"/>
        <w:rPr>
          <w:color w:val="auto"/>
        </w:rPr>
      </w:pPr>
      <w:r>
        <w:rPr>
          <w:rFonts w:hint="eastAsia"/>
          <w:color w:val="auto"/>
        </w:rPr>
        <w:t>2、胜兴特种材料-</w:t>
      </w:r>
      <w:r>
        <w:rPr>
          <w:color w:val="auto"/>
        </w:rPr>
        <w:t>FJF163-X17</w:t>
      </w:r>
      <w:r>
        <w:rPr>
          <w:rFonts w:hint="eastAsia"/>
          <w:color w:val="auto"/>
        </w:rPr>
        <w:t>井</w:t>
      </w:r>
    </w:p>
    <w:p w14:paraId="2A65CB06">
      <w:pPr>
        <w:pStyle w:val="4"/>
        <w:ind w:firstLine="198" w:firstLineChars="0"/>
        <w:rPr>
          <w:rFonts w:ascii="Times New Roman" w:hAnsi="Times New Roman"/>
          <w:color w:val="auto"/>
          <w:w w:val="0"/>
          <w:kern w:val="0"/>
          <w:sz w:val="0"/>
          <w:u w:color="000000"/>
          <w:shd w:val="clear" w:color="000000" w:fill="000000"/>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4015105"/>
            <wp:effectExtent l="0" t="0" r="0" b="4445"/>
            <wp:docPr id="459578622" name="图片 459578622" descr="I:\5-2025年项目\26.东胜1月两个验收\7、大芦湖油田产能建设项目（2023-2025年）\钻井（侧钻井）泥浆转运联单汇总(1)\钻井（侧钻井）泥浆转运联单汇总(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22" name="图片 459578622" descr="I:\5-2025年项目\26.东胜1月两个验收\7、大芦湖油田产能建设项目（2023-2025年）\钻井（侧钻井）泥浆转运联单汇总(1)\钻井（侧钻井）泥浆转运联单汇总(1)_5.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544185" cy="4015288"/>
                    </a:xfrm>
                    <a:prstGeom prst="rect">
                      <a:avLst/>
                    </a:prstGeom>
                    <a:noFill/>
                    <a:ln>
                      <a:noFill/>
                    </a:ln>
                  </pic:spPr>
                </pic:pic>
              </a:graphicData>
            </a:graphic>
          </wp:inline>
        </w:drawing>
      </w:r>
      <w:r>
        <w:rPr>
          <w:rFonts w:ascii="Times New Roman" w:hAnsi="Times New Roman"/>
          <w:color w:val="auto"/>
          <w:w w:val="0"/>
          <w:kern w:val="0"/>
          <w:sz w:val="0"/>
          <w:u w:color="000000"/>
          <w:shd w:val="clear" w:color="000000" w:fill="000000"/>
        </w:rPr>
        <w:t xml:space="preserve"> </w:t>
      </w:r>
      <w:r>
        <w:rPr>
          <w:color w:val="auto"/>
        </w:rPr>
        <w:drawing>
          <wp:inline distT="0" distB="0" distL="0" distR="0">
            <wp:extent cx="5544185" cy="4163060"/>
            <wp:effectExtent l="0" t="0" r="0" b="8890"/>
            <wp:docPr id="459578623" name="图片 459578623" descr="I:\5-2025年项目\26.东胜1月两个验收\7、大芦湖油田产能建设项目（2023-2025年）\钻井（侧钻井）泥浆转运联单汇总(1)\钻井（侧钻井）泥浆转运联单汇总(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623" name="图片 459578623" descr="I:\5-2025年项目\26.东胜1月两个验收\7、大芦湖油田产能建设项目（2023-2025年）\钻井（侧钻井）泥浆转运联单汇总(1)\钻井（侧钻井）泥浆转运联单汇总(1)_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5544185" cy="4163116"/>
                    </a:xfrm>
                    <a:prstGeom prst="rect">
                      <a:avLst/>
                    </a:prstGeom>
                    <a:noFill/>
                    <a:ln>
                      <a:noFill/>
                    </a:ln>
                  </pic:spPr>
                </pic:pic>
              </a:graphicData>
            </a:graphic>
          </wp:inline>
        </w:drawing>
      </w:r>
      <w:r>
        <w:rPr>
          <w:rFonts w:ascii="Times New Roman" w:hAnsi="Times New Roman"/>
          <w:color w:val="auto"/>
          <w:w w:val="0"/>
          <w:kern w:val="0"/>
          <w:sz w:val="0"/>
          <w:u w:color="000000"/>
          <w:shd w:val="clear" w:color="000000" w:fill="000000"/>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4041140"/>
            <wp:effectExtent l="0" t="0" r="0" b="0"/>
            <wp:docPr id="64" name="图片 64" descr="I:\5-2025年项目\26.东胜1月两个验收\7、大芦湖油田产能建设项目（2023-2025年）\钻井（侧钻井）泥浆转运联单汇总(1)\钻井（侧钻井）泥浆转运联单汇总(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5-2025年项目\26.东胜1月两个验收\7、大芦湖油田产能建设项目（2023-2025年）\钻井（侧钻井）泥浆转运联单汇总(1)\钻井（侧钻井）泥浆转运联单汇总(1)_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5544185" cy="4041678"/>
                    </a:xfrm>
                    <a:prstGeom prst="rect">
                      <a:avLst/>
                    </a:prstGeom>
                    <a:noFill/>
                    <a:ln>
                      <a:noFill/>
                    </a:ln>
                  </pic:spPr>
                </pic:pic>
              </a:graphicData>
            </a:graphic>
          </wp:inline>
        </w:drawing>
      </w:r>
      <w:r>
        <w:rPr>
          <w:rFonts w:ascii="Times New Roman" w:hAnsi="Times New Roman"/>
          <w:color w:val="auto"/>
          <w:w w:val="0"/>
          <w:kern w:val="0"/>
          <w:sz w:val="0"/>
          <w:u w:color="000000"/>
          <w:shd w:val="clear" w:color="000000" w:fill="000000"/>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4378960"/>
            <wp:effectExtent l="0" t="0" r="0" b="2540"/>
            <wp:docPr id="65" name="图片 65" descr="I:\5-2025年项目\26.东胜1月两个验收\7、大芦湖油田产能建设项目（2023-2025年）\钻井（侧钻井）泥浆转运联单汇总(1)\钻井（侧钻井）泥浆转运联单汇总(1)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5-2025年项目\26.东胜1月两个验收\7、大芦湖油田产能建设项目（2023-2025年）\钻井（侧钻井）泥浆转运联单汇总(1)\钻井（侧钻井）泥浆转运联单汇总(1)_8.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5544185" cy="4379259"/>
                    </a:xfrm>
                    <a:prstGeom prst="rect">
                      <a:avLst/>
                    </a:prstGeom>
                    <a:noFill/>
                    <a:ln>
                      <a:noFill/>
                    </a:ln>
                  </pic:spPr>
                </pic:pic>
              </a:graphicData>
            </a:graphic>
          </wp:inline>
        </w:drawing>
      </w:r>
    </w:p>
    <w:p w14:paraId="4F0909CE">
      <w:pPr>
        <w:pStyle w:val="4"/>
        <w:ind w:firstLine="199" w:firstLineChars="83"/>
        <w:outlineLvl w:val="2"/>
        <w:rPr>
          <w:color w:val="auto"/>
        </w:rPr>
      </w:pPr>
      <w:r>
        <w:rPr>
          <w:color w:val="auto"/>
        </w:rPr>
        <w:t>3</w:t>
      </w:r>
      <w:r>
        <w:rPr>
          <w:rFonts w:hint="eastAsia"/>
          <w:color w:val="auto"/>
        </w:rPr>
        <w:t>、天正浚源-</w:t>
      </w:r>
      <w:r>
        <w:rPr>
          <w:color w:val="auto"/>
        </w:rPr>
        <w:t>FJF11-X123</w:t>
      </w:r>
      <w:r>
        <w:rPr>
          <w:rFonts w:hint="eastAsia"/>
          <w:color w:val="auto"/>
        </w:rPr>
        <w:t>井</w:t>
      </w:r>
    </w:p>
    <w:p w14:paraId="3AEF84D1">
      <w:pPr>
        <w:pStyle w:val="4"/>
        <w:ind w:firstLine="0" w:firstLineChars="0"/>
        <w:jc w:val="center"/>
        <w:rPr>
          <w:color w:val="auto"/>
        </w:rPr>
      </w:pPr>
      <w:r>
        <w:rPr>
          <w:color w:val="auto"/>
        </w:rPr>
        <w:drawing>
          <wp:inline distT="0" distB="0" distL="0" distR="0">
            <wp:extent cx="3806825" cy="5275580"/>
            <wp:effectExtent l="8573" t="0" r="0" b="0"/>
            <wp:docPr id="67" name="图片 67" descr="I:\5-2025年项目\26.东胜1月两个验收\7、大芦湖油田产能建设项目（2023-2025年）\钻井（侧钻井）泥浆转运联单汇总(1)\钻井（侧钻井）泥浆转运联单汇总(1)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5-2025年项目\26.东胜1月两个验收\7、大芦湖油田产能建设项目（2023-2025年）\钻井（侧钻井）泥浆转运联单汇总(1)\钻井（侧钻井）泥浆转运联单汇总(1)_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rot="16200000">
                      <a:off x="0" y="0"/>
                      <a:ext cx="3814610" cy="5286326"/>
                    </a:xfrm>
                    <a:prstGeom prst="rect">
                      <a:avLst/>
                    </a:prstGeom>
                    <a:noFill/>
                    <a:ln>
                      <a:noFill/>
                    </a:ln>
                  </pic:spPr>
                </pic:pic>
              </a:graphicData>
            </a:graphic>
          </wp:inline>
        </w:drawing>
      </w:r>
    </w:p>
    <w:p w14:paraId="321C9E61">
      <w:pPr>
        <w:pStyle w:val="4"/>
        <w:ind w:firstLine="0" w:firstLineChars="0"/>
        <w:jc w:val="center"/>
        <w:rPr>
          <w:color w:val="auto"/>
        </w:rPr>
      </w:pPr>
      <w:r>
        <w:rPr>
          <w:color w:val="auto"/>
        </w:rPr>
        <w:drawing>
          <wp:inline distT="0" distB="0" distL="0" distR="0">
            <wp:extent cx="4574540" cy="5646420"/>
            <wp:effectExtent l="0" t="2540" r="0" b="0"/>
            <wp:docPr id="68" name="图片 68" descr="I:\5-2025年项目\26.东胜1月两个验收\7、大芦湖油田产能建设项目（2023-2025年）\钻井（侧钻井）泥浆转运联单汇总(1)\钻井（侧钻井）泥浆转运联单汇总(1)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5-2025年项目\26.东胜1月两个验收\7、大芦湖油田产能建设项目（2023-2025年）\钻井（侧钻井）泥浆转运联单汇总(1)\钻井（侧钻井）泥浆转运联单汇总(1)_1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rot="16200000">
                      <a:off x="0" y="0"/>
                      <a:ext cx="4581233" cy="5654057"/>
                    </a:xfrm>
                    <a:prstGeom prst="rect">
                      <a:avLst/>
                    </a:prstGeom>
                    <a:noFill/>
                    <a:ln>
                      <a:noFill/>
                    </a:ln>
                  </pic:spPr>
                </pic:pic>
              </a:graphicData>
            </a:graphic>
          </wp:inline>
        </w:drawing>
      </w:r>
    </w:p>
    <w:p w14:paraId="70E42A7A">
      <w:pPr>
        <w:pStyle w:val="4"/>
        <w:ind w:firstLine="0" w:firstLineChars="0"/>
        <w:jc w:val="center"/>
        <w:rPr>
          <w:color w:val="auto"/>
        </w:rPr>
      </w:pPr>
      <w:r>
        <w:rPr>
          <w:color w:val="auto"/>
        </w:rPr>
        <w:drawing>
          <wp:inline distT="0" distB="0" distL="0" distR="0">
            <wp:extent cx="4136390" cy="5471795"/>
            <wp:effectExtent l="0" t="953" r="0" b="0"/>
            <wp:docPr id="69" name="图片 69" descr="I:\5-2025年项目\26.东胜1月两个验收\7、大芦湖油田产能建设项目（2023-2025年）\钻井（侧钻井）泥浆转运联单汇总(1)\钻井（侧钻井）泥浆转运联单汇总(1)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5-2025年项目\26.东胜1月两个验收\7、大芦湖油田产能建设项目（2023-2025年）\钻井（侧钻井）泥浆转运联单汇总(1)\钻井（侧钻井）泥浆转运联单汇总(1)_1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rot="16200000">
                      <a:off x="0" y="0"/>
                      <a:ext cx="4139632" cy="5476033"/>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color w:val="auto"/>
        </w:rPr>
        <w:drawing>
          <wp:inline distT="0" distB="0" distL="0" distR="0">
            <wp:extent cx="4239895" cy="5935345"/>
            <wp:effectExtent l="0" t="9525" r="0" b="0"/>
            <wp:docPr id="70" name="图片 70" descr="I:\5-2025年项目\26.东胜1月两个验收\7、大芦湖油田产能建设项目（2023-2025年）\钻井（侧钻井）泥浆转运联单汇总(1)\钻井（侧钻井）泥浆转运联单汇总(1)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5-2025年项目\26.东胜1月两个验收\7、大芦湖油田产能建设项目（2023-2025年）\钻井（侧钻井）泥浆转运联单汇总(1)\钻井（侧钻井）泥浆转运联单汇总(1)_1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rot="16200000">
                      <a:off x="0" y="0"/>
                      <a:ext cx="4242934" cy="5939288"/>
                    </a:xfrm>
                    <a:prstGeom prst="rect">
                      <a:avLst/>
                    </a:prstGeom>
                    <a:noFill/>
                    <a:ln>
                      <a:noFill/>
                    </a:ln>
                  </pic:spPr>
                </pic:pic>
              </a:graphicData>
            </a:graphic>
          </wp:inline>
        </w:drawing>
      </w:r>
    </w:p>
    <w:p w14:paraId="714EB7D4">
      <w:pPr>
        <w:pStyle w:val="4"/>
        <w:ind w:firstLine="0" w:firstLineChars="0"/>
        <w:jc w:val="center"/>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7212965"/>
            <wp:effectExtent l="0" t="0" r="0" b="6985"/>
            <wp:docPr id="71" name="图片 71" descr="I:\5-2025年项目\26.东胜1月两个验收\7、大芦湖油田产能建设项目（2023-2025年）\钻井（侧钻井）泥浆转运联单汇总(1)\钻井（侧钻井）泥浆转运联单汇总(1)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5-2025年项目\26.东胜1月两个验收\7、大芦湖油田产能建设项目（2023-2025年）\钻井（侧钻井）泥浆转运联单汇总(1)\钻井（侧钻井）泥浆转运联单汇总(1)_1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5544185" cy="7213178"/>
                    </a:xfrm>
                    <a:prstGeom prst="rect">
                      <a:avLst/>
                    </a:prstGeom>
                    <a:noFill/>
                    <a:ln>
                      <a:noFill/>
                    </a:ln>
                  </pic:spPr>
                </pic:pic>
              </a:graphicData>
            </a:graphic>
          </wp:inline>
        </w:drawing>
      </w:r>
    </w:p>
    <w:p w14:paraId="300DB5CF">
      <w:pPr>
        <w:pStyle w:val="5"/>
        <w:numPr>
          <w:ilvl w:val="0"/>
          <w:numId w:val="0"/>
        </w:numPr>
        <w:rPr>
          <w:color w:val="auto"/>
        </w:rPr>
      </w:pPr>
      <w:bookmarkStart w:id="571" w:name="_Toc231283683"/>
      <w:r>
        <w:rPr>
          <w:rFonts w:hint="eastAsia"/>
          <w:color w:val="auto"/>
        </w:rPr>
        <w:t>附件</w:t>
      </w:r>
      <w:r>
        <w:rPr>
          <w:color w:val="auto"/>
        </w:rPr>
        <w:t>13</w:t>
      </w:r>
      <w:r>
        <w:rPr>
          <w:rFonts w:hint="eastAsia"/>
          <w:color w:val="auto"/>
        </w:rPr>
        <w:t xml:space="preserve">  地面改造项目工程交工验收证书</w:t>
      </w:r>
      <w:bookmarkEnd w:id="571"/>
    </w:p>
    <w:p w14:paraId="054383AF">
      <w:pPr>
        <w:pStyle w:val="4"/>
        <w:ind w:firstLine="0" w:firstLineChars="0"/>
        <w:jc w:val="center"/>
        <w:rPr>
          <w:color w:val="auto"/>
        </w:rPr>
      </w:pPr>
      <w:r>
        <w:rPr>
          <w:rFonts w:hint="eastAsia"/>
          <w:color w:val="auto"/>
        </w:rPr>
        <w:drawing>
          <wp:inline distT="0" distB="0" distL="0" distR="0">
            <wp:extent cx="5544185" cy="7825740"/>
            <wp:effectExtent l="0" t="0" r="0" b="3810"/>
            <wp:docPr id="14159184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18496" name="图片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5544185" cy="7825740"/>
                    </a:xfrm>
                    <a:prstGeom prst="rect">
                      <a:avLst/>
                    </a:prstGeom>
                    <a:noFill/>
                    <a:ln>
                      <a:noFill/>
                    </a:ln>
                  </pic:spPr>
                </pic:pic>
              </a:graphicData>
            </a:graphic>
          </wp:inline>
        </w:drawing>
      </w:r>
    </w:p>
    <w:p w14:paraId="43F9429E">
      <w:pPr>
        <w:pStyle w:val="4"/>
        <w:ind w:firstLine="0" w:firstLineChars="0"/>
        <w:rPr>
          <w:color w:val="auto"/>
        </w:rPr>
        <w:sectPr>
          <w:pgSz w:w="11907" w:h="16839"/>
          <w:pgMar w:top="1418" w:right="1588" w:bottom="1418" w:left="1588" w:header="1134" w:footer="850" w:gutter="0"/>
          <w:cols w:space="720" w:num="1"/>
          <w:docGrid w:linePitch="312" w:charSpace="0"/>
        </w:sectPr>
      </w:pPr>
    </w:p>
    <w:p w14:paraId="246F29B9">
      <w:pPr>
        <w:pStyle w:val="5"/>
        <w:numPr>
          <w:ilvl w:val="0"/>
          <w:numId w:val="0"/>
        </w:numPr>
        <w:rPr>
          <w:color w:val="auto"/>
        </w:rPr>
      </w:pPr>
      <w:bookmarkStart w:id="572" w:name="_Toc231283684"/>
      <w:r>
        <w:rPr>
          <w:rFonts w:hint="eastAsia"/>
          <w:color w:val="auto"/>
        </w:rPr>
        <w:t>附件</w:t>
      </w:r>
      <w:r>
        <w:rPr>
          <w:color w:val="auto"/>
        </w:rPr>
        <w:t>1</w:t>
      </w:r>
      <w:r>
        <w:rPr>
          <w:rFonts w:hint="eastAsia"/>
          <w:color w:val="auto"/>
        </w:rPr>
        <w:t>4  取水许可证</w:t>
      </w:r>
      <w:bookmarkEnd w:id="572"/>
    </w:p>
    <w:p w14:paraId="7ADF71C0">
      <w:pPr>
        <w:pStyle w:val="4"/>
        <w:ind w:firstLine="480"/>
        <w:rPr>
          <w:color w:val="auto"/>
        </w:rPr>
      </w:pPr>
    </w:p>
    <w:p w14:paraId="33AF74F8">
      <w:pPr>
        <w:pStyle w:val="4"/>
        <w:ind w:firstLine="480"/>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3963670"/>
            <wp:effectExtent l="0" t="0" r="0" b="0"/>
            <wp:docPr id="459578575" name="图片 45957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5" name="图片 459578575"/>
                    <pic:cNvPicPr>
                      <a:picLocks noChangeAspect="1"/>
                    </pic:cNvPicPr>
                  </pic:nvPicPr>
                  <pic:blipFill>
                    <a:blip r:embed="rId141"/>
                    <a:stretch>
                      <a:fillRect/>
                    </a:stretch>
                  </pic:blipFill>
                  <pic:spPr>
                    <a:xfrm>
                      <a:off x="0" y="0"/>
                      <a:ext cx="5544185" cy="3963670"/>
                    </a:xfrm>
                    <a:prstGeom prst="rect">
                      <a:avLst/>
                    </a:prstGeom>
                  </pic:spPr>
                </pic:pic>
              </a:graphicData>
            </a:graphic>
          </wp:inline>
        </w:drawing>
      </w:r>
    </w:p>
    <w:p w14:paraId="0BA3948D">
      <w:pPr>
        <w:pStyle w:val="3"/>
        <w:numPr>
          <w:ilvl w:val="0"/>
          <w:numId w:val="0"/>
        </w:numPr>
        <w:spacing w:before="0" w:beforeAutospacing="0" w:line="240" w:lineRule="auto"/>
        <w:jc w:val="center"/>
        <w:rPr>
          <w:rFonts w:ascii="宋体" w:hAnsi="宋体" w:eastAsia="宋体"/>
          <w:color w:val="auto"/>
        </w:rPr>
      </w:pPr>
      <w:bookmarkStart w:id="573" w:name="_Toc231283685"/>
      <w:r>
        <w:rPr>
          <w:rFonts w:ascii="宋体" w:hAnsi="宋体" w:eastAsia="宋体"/>
          <w:color w:val="auto"/>
        </w:rPr>
        <w:t>建设项目工程竣工环境保护</w:t>
      </w:r>
      <w:r>
        <w:rPr>
          <w:rFonts w:hint="eastAsia" w:ascii="宋体" w:hAnsi="宋体" w:eastAsia="宋体"/>
          <w:color w:val="auto"/>
        </w:rPr>
        <w:t>设施</w:t>
      </w:r>
      <w:r>
        <w:rPr>
          <w:rFonts w:ascii="宋体" w:hAnsi="宋体" w:eastAsia="宋体"/>
          <w:color w:val="auto"/>
        </w:rPr>
        <w:t>“三同时”验收登记表</w:t>
      </w:r>
      <w:bookmarkEnd w:id="573"/>
    </w:p>
    <w:tbl>
      <w:tblPr>
        <w:tblStyle w:val="82"/>
        <w:tblW w:w="49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7"/>
        <w:gridCol w:w="1275"/>
        <w:gridCol w:w="1293"/>
        <w:gridCol w:w="1531"/>
        <w:gridCol w:w="1544"/>
        <w:gridCol w:w="1419"/>
        <w:gridCol w:w="1592"/>
        <w:gridCol w:w="1106"/>
        <w:gridCol w:w="1180"/>
        <w:gridCol w:w="1523"/>
        <w:gridCol w:w="2833"/>
        <w:gridCol w:w="1128"/>
        <w:gridCol w:w="1167"/>
        <w:gridCol w:w="1748"/>
        <w:gridCol w:w="1016"/>
        <w:gridCol w:w="760"/>
      </w:tblGrid>
      <w:tr w14:paraId="7DA2D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28" w:type="pct"/>
            <w:gridSpan w:val="7"/>
            <w:tcBorders>
              <w:top w:val="nil"/>
              <w:left w:val="nil"/>
              <w:bottom w:val="nil"/>
              <w:right w:val="nil"/>
            </w:tcBorders>
            <w:tcMar>
              <w:left w:w="0" w:type="dxa"/>
              <w:right w:w="0" w:type="dxa"/>
            </w:tcMar>
            <w:vAlign w:val="center"/>
          </w:tcPr>
          <w:p w14:paraId="3F640D4A">
            <w:pPr>
              <w:adjustRightInd w:val="0"/>
              <w:snapToGrid w:val="0"/>
              <w:jc w:val="left"/>
              <w:rPr>
                <w:rFonts w:ascii="宋体" w:hAnsi="宋体"/>
                <w:color w:val="auto"/>
              </w:rPr>
            </w:pPr>
            <w:r>
              <w:rPr>
                <w:rFonts w:hint="eastAsia" w:ascii="宋体" w:hAnsi="宋体"/>
                <w:color w:val="auto"/>
              </w:rPr>
              <w:t>填表单位（盖章）：胜利油田高青石油开发有限责任公司</w:t>
            </w:r>
          </w:p>
        </w:tc>
        <w:tc>
          <w:tcPr>
            <w:tcW w:w="1531" w:type="pct"/>
            <w:gridSpan w:val="4"/>
            <w:tcBorders>
              <w:top w:val="nil"/>
              <w:left w:val="nil"/>
              <w:bottom w:val="nil"/>
              <w:right w:val="nil"/>
            </w:tcBorders>
            <w:tcMar>
              <w:left w:w="0" w:type="dxa"/>
              <w:right w:w="0" w:type="dxa"/>
            </w:tcMar>
            <w:vAlign w:val="center"/>
          </w:tcPr>
          <w:p w14:paraId="7B0DB9D0">
            <w:pPr>
              <w:adjustRightInd w:val="0"/>
              <w:snapToGrid w:val="0"/>
              <w:ind w:firstLine="1260" w:firstLineChars="600"/>
              <w:jc w:val="center"/>
              <w:rPr>
                <w:rFonts w:ascii="宋体" w:hAnsi="宋体"/>
                <w:color w:val="auto"/>
              </w:rPr>
            </w:pPr>
            <w:r>
              <w:rPr>
                <w:rFonts w:hint="eastAsia" w:ascii="宋体" w:hAnsi="宋体"/>
                <w:color w:val="auto"/>
              </w:rPr>
              <w:t>填表人（签字）：</w:t>
            </w:r>
            <w:r>
              <w:rPr>
                <w:rFonts w:ascii="宋体" w:hAnsi="宋体"/>
                <w:color w:val="auto"/>
              </w:rPr>
              <w:t xml:space="preserve"> </w:t>
            </w:r>
          </w:p>
        </w:tc>
        <w:tc>
          <w:tcPr>
            <w:tcW w:w="1341" w:type="pct"/>
            <w:gridSpan w:val="5"/>
            <w:tcBorders>
              <w:top w:val="nil"/>
              <w:left w:val="nil"/>
              <w:bottom w:val="nil"/>
              <w:right w:val="nil"/>
            </w:tcBorders>
            <w:tcMar>
              <w:left w:w="0" w:type="dxa"/>
              <w:right w:w="0" w:type="dxa"/>
            </w:tcMar>
            <w:vAlign w:val="center"/>
          </w:tcPr>
          <w:p w14:paraId="4C9785D8">
            <w:pPr>
              <w:adjustRightInd w:val="0"/>
              <w:snapToGrid w:val="0"/>
              <w:jc w:val="center"/>
              <w:rPr>
                <w:rFonts w:ascii="宋体" w:hAnsi="宋体"/>
                <w:color w:val="auto"/>
              </w:rPr>
            </w:pPr>
            <w:r>
              <w:rPr>
                <w:rFonts w:hint="eastAsia" w:ascii="宋体" w:hAnsi="宋体"/>
                <w:color w:val="auto"/>
              </w:rPr>
              <w:t>建设单位联系人</w:t>
            </w:r>
            <w:r>
              <w:rPr>
                <w:rFonts w:ascii="宋体" w:hAnsi="宋体"/>
                <w:color w:val="auto"/>
              </w:rPr>
              <w:t>（</w:t>
            </w:r>
            <w:r>
              <w:rPr>
                <w:rFonts w:hint="eastAsia" w:ascii="宋体" w:hAnsi="宋体"/>
                <w:color w:val="auto"/>
              </w:rPr>
              <w:t>签字</w:t>
            </w:r>
            <w:r>
              <w:rPr>
                <w:rFonts w:ascii="宋体" w:hAnsi="宋体"/>
                <w:color w:val="auto"/>
              </w:rPr>
              <w:t>）</w:t>
            </w:r>
            <w:r>
              <w:rPr>
                <w:rFonts w:hint="eastAsia" w:ascii="宋体" w:hAnsi="宋体"/>
                <w:color w:val="auto"/>
              </w:rPr>
              <w:t>：</w:t>
            </w:r>
            <w:r>
              <w:rPr>
                <w:rFonts w:ascii="宋体" w:hAnsi="宋体"/>
                <w:color w:val="auto"/>
              </w:rPr>
              <w:t xml:space="preserve"> </w:t>
            </w:r>
          </w:p>
        </w:tc>
      </w:tr>
      <w:tr w14:paraId="33560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restart"/>
            <w:tcMar>
              <w:left w:w="0" w:type="dxa"/>
              <w:right w:w="0" w:type="dxa"/>
            </w:tcMar>
            <w:vAlign w:val="center"/>
          </w:tcPr>
          <w:p w14:paraId="5E0BBD3F">
            <w:pPr>
              <w:adjustRightInd w:val="0"/>
              <w:snapToGrid w:val="0"/>
              <w:jc w:val="center"/>
              <w:rPr>
                <w:rFonts w:ascii="宋体" w:hAnsi="宋体"/>
                <w:color w:val="auto"/>
              </w:rPr>
            </w:pPr>
            <w:r>
              <w:rPr>
                <w:rFonts w:hint="eastAsia" w:ascii="宋体" w:hAnsi="宋体"/>
                <w:color w:val="auto"/>
              </w:rPr>
              <w:t>建设项目</w:t>
            </w:r>
          </w:p>
        </w:tc>
        <w:tc>
          <w:tcPr>
            <w:tcW w:w="592" w:type="pct"/>
            <w:gridSpan w:val="2"/>
            <w:tcMar>
              <w:left w:w="0" w:type="dxa"/>
              <w:right w:w="0" w:type="dxa"/>
            </w:tcMar>
            <w:vAlign w:val="center"/>
          </w:tcPr>
          <w:p w14:paraId="0ACB4CAC">
            <w:pPr>
              <w:adjustRightInd w:val="0"/>
              <w:snapToGrid w:val="0"/>
              <w:jc w:val="center"/>
              <w:rPr>
                <w:rFonts w:ascii="宋体" w:hAnsi="宋体"/>
                <w:color w:val="auto"/>
              </w:rPr>
            </w:pPr>
            <w:r>
              <w:rPr>
                <w:rFonts w:hint="eastAsia" w:ascii="宋体" w:hAnsi="宋体"/>
                <w:color w:val="auto"/>
              </w:rPr>
              <w:t>项目名称</w:t>
            </w:r>
          </w:p>
        </w:tc>
        <w:tc>
          <w:tcPr>
            <w:tcW w:w="1658" w:type="pct"/>
            <w:gridSpan w:val="5"/>
            <w:tcMar>
              <w:left w:w="0" w:type="dxa"/>
              <w:right w:w="0" w:type="dxa"/>
            </w:tcMar>
            <w:vAlign w:val="center"/>
          </w:tcPr>
          <w:p w14:paraId="1AD52DDA">
            <w:pPr>
              <w:adjustRightInd w:val="0"/>
              <w:snapToGrid w:val="0"/>
              <w:jc w:val="center"/>
              <w:rPr>
                <w:rFonts w:ascii="宋体" w:hAnsi="宋体"/>
                <w:color w:val="auto"/>
              </w:rPr>
            </w:pPr>
            <w:r>
              <w:rPr>
                <w:rFonts w:hint="eastAsia" w:ascii="宋体" w:hAnsi="宋体"/>
                <w:color w:val="auto"/>
                <w:spacing w:val="-2"/>
              </w:rPr>
              <w:t>大芦湖油田产能建设项目（2023-2025年）（一期）</w:t>
            </w:r>
          </w:p>
        </w:tc>
        <w:tc>
          <w:tcPr>
            <w:tcW w:w="623" w:type="pct"/>
            <w:gridSpan w:val="2"/>
            <w:tcMar>
              <w:left w:w="0" w:type="dxa"/>
              <w:right w:w="0" w:type="dxa"/>
            </w:tcMar>
            <w:vAlign w:val="center"/>
          </w:tcPr>
          <w:p w14:paraId="231669DE">
            <w:pPr>
              <w:adjustRightInd w:val="0"/>
              <w:snapToGrid w:val="0"/>
              <w:jc w:val="center"/>
              <w:rPr>
                <w:rFonts w:ascii="宋体" w:hAnsi="宋体"/>
                <w:color w:val="auto"/>
              </w:rPr>
            </w:pPr>
            <w:r>
              <w:rPr>
                <w:rFonts w:ascii="宋体" w:hAnsi="宋体"/>
                <w:color w:val="auto"/>
              </w:rPr>
              <w:t>项目代码</w:t>
            </w:r>
          </w:p>
        </w:tc>
        <w:tc>
          <w:tcPr>
            <w:tcW w:w="653" w:type="pct"/>
            <w:tcMar>
              <w:left w:w="0" w:type="dxa"/>
              <w:right w:w="0" w:type="dxa"/>
            </w:tcMar>
            <w:vAlign w:val="center"/>
          </w:tcPr>
          <w:p w14:paraId="358A7381">
            <w:pPr>
              <w:adjustRightInd w:val="0"/>
              <w:snapToGrid w:val="0"/>
              <w:jc w:val="center"/>
              <w:rPr>
                <w:rFonts w:ascii="宋体" w:hAnsi="宋体"/>
                <w:color w:val="auto"/>
              </w:rPr>
            </w:pPr>
            <w:r>
              <w:rPr>
                <w:rFonts w:hint="eastAsia" w:ascii="宋体" w:hAnsi="宋体"/>
                <w:color w:val="auto"/>
              </w:rPr>
              <w:t>/</w:t>
            </w:r>
          </w:p>
        </w:tc>
        <w:tc>
          <w:tcPr>
            <w:tcW w:w="529" w:type="pct"/>
            <w:gridSpan w:val="2"/>
            <w:tcBorders>
              <w:top w:val="single" w:color="auto" w:sz="4" w:space="0"/>
            </w:tcBorders>
            <w:tcMar>
              <w:left w:w="0" w:type="dxa"/>
              <w:right w:w="0" w:type="dxa"/>
            </w:tcMar>
            <w:vAlign w:val="center"/>
          </w:tcPr>
          <w:p w14:paraId="0873F144">
            <w:pPr>
              <w:adjustRightInd w:val="0"/>
              <w:snapToGrid w:val="0"/>
              <w:jc w:val="center"/>
              <w:rPr>
                <w:rFonts w:ascii="宋体" w:hAnsi="宋体"/>
                <w:color w:val="auto"/>
              </w:rPr>
            </w:pPr>
            <w:r>
              <w:rPr>
                <w:rFonts w:hint="eastAsia" w:ascii="宋体" w:hAnsi="宋体"/>
                <w:color w:val="auto"/>
              </w:rPr>
              <w:t>建设地点</w:t>
            </w:r>
          </w:p>
        </w:tc>
        <w:tc>
          <w:tcPr>
            <w:tcW w:w="812" w:type="pct"/>
            <w:gridSpan w:val="3"/>
            <w:tcBorders>
              <w:top w:val="single" w:color="auto" w:sz="4" w:space="0"/>
            </w:tcBorders>
            <w:tcMar>
              <w:left w:w="0" w:type="dxa"/>
              <w:right w:w="0" w:type="dxa"/>
            </w:tcMar>
            <w:vAlign w:val="center"/>
          </w:tcPr>
          <w:p w14:paraId="3E1493D9">
            <w:pPr>
              <w:adjustRightInd w:val="0"/>
              <w:snapToGrid w:val="0"/>
              <w:jc w:val="center"/>
              <w:rPr>
                <w:rFonts w:ascii="宋体" w:hAnsi="宋体"/>
                <w:bCs/>
                <w:color w:val="auto"/>
              </w:rPr>
            </w:pPr>
            <w:r>
              <w:rPr>
                <w:rFonts w:hint="eastAsia" w:ascii="宋体" w:hAnsi="宋体"/>
                <w:color w:val="auto"/>
                <w:spacing w:val="-2"/>
              </w:rPr>
              <w:t>山东省淄博市高青县</w:t>
            </w:r>
          </w:p>
        </w:tc>
      </w:tr>
      <w:tr w14:paraId="4919F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F8B69C6">
            <w:pPr>
              <w:adjustRightInd w:val="0"/>
              <w:snapToGrid w:val="0"/>
              <w:jc w:val="center"/>
              <w:rPr>
                <w:rFonts w:ascii="宋体" w:hAnsi="宋体"/>
                <w:color w:val="auto"/>
              </w:rPr>
            </w:pPr>
          </w:p>
        </w:tc>
        <w:tc>
          <w:tcPr>
            <w:tcW w:w="592" w:type="pct"/>
            <w:gridSpan w:val="2"/>
            <w:tcMar>
              <w:left w:w="0" w:type="dxa"/>
              <w:right w:w="0" w:type="dxa"/>
            </w:tcMar>
            <w:vAlign w:val="center"/>
          </w:tcPr>
          <w:p w14:paraId="5A2DC601">
            <w:pPr>
              <w:adjustRightInd w:val="0"/>
              <w:snapToGrid w:val="0"/>
              <w:jc w:val="center"/>
              <w:rPr>
                <w:rFonts w:ascii="宋体" w:hAnsi="宋体"/>
                <w:color w:val="auto"/>
              </w:rPr>
            </w:pPr>
            <w:r>
              <w:rPr>
                <w:rFonts w:ascii="宋体" w:hAnsi="宋体"/>
                <w:color w:val="auto"/>
              </w:rPr>
              <w:t>行业类别</w:t>
            </w:r>
          </w:p>
          <w:p w14:paraId="0D775FF3">
            <w:pPr>
              <w:adjustRightInd w:val="0"/>
              <w:snapToGrid w:val="0"/>
              <w:jc w:val="center"/>
              <w:rPr>
                <w:rFonts w:ascii="宋体" w:hAnsi="宋体"/>
                <w:color w:val="auto"/>
              </w:rPr>
            </w:pPr>
            <w:r>
              <w:rPr>
                <w:rFonts w:ascii="宋体" w:hAnsi="宋体"/>
                <w:color w:val="auto"/>
              </w:rPr>
              <w:t>（分类管理名录）</w:t>
            </w:r>
          </w:p>
        </w:tc>
        <w:tc>
          <w:tcPr>
            <w:tcW w:w="1658" w:type="pct"/>
            <w:gridSpan w:val="5"/>
            <w:tcMar>
              <w:left w:w="0" w:type="dxa"/>
              <w:right w:w="0" w:type="dxa"/>
            </w:tcMar>
            <w:vAlign w:val="center"/>
          </w:tcPr>
          <w:p w14:paraId="65537E9D">
            <w:pPr>
              <w:adjustRightInd w:val="0"/>
              <w:snapToGrid w:val="0"/>
              <w:jc w:val="center"/>
              <w:rPr>
                <w:rFonts w:ascii="宋体" w:hAnsi="宋体"/>
                <w:color w:val="auto"/>
              </w:rPr>
            </w:pPr>
            <w:r>
              <w:rPr>
                <w:rFonts w:hint="eastAsia" w:ascii="宋体" w:hAnsi="宋体"/>
                <w:color w:val="auto"/>
              </w:rPr>
              <w:t>五、石油天然气开采业0</w:t>
            </w:r>
            <w:r>
              <w:rPr>
                <w:rFonts w:ascii="宋体" w:hAnsi="宋体"/>
                <w:color w:val="auto"/>
              </w:rPr>
              <w:t>7  7</w:t>
            </w:r>
            <w:r>
              <w:rPr>
                <w:rFonts w:hint="eastAsia" w:ascii="宋体" w:hAnsi="宋体"/>
                <w:color w:val="auto"/>
              </w:rPr>
              <w:t>、陆地石油开采</w:t>
            </w:r>
            <w:r>
              <w:rPr>
                <w:rFonts w:ascii="宋体" w:hAnsi="宋体"/>
                <w:color w:val="auto"/>
              </w:rPr>
              <w:t>0711</w:t>
            </w:r>
          </w:p>
        </w:tc>
        <w:tc>
          <w:tcPr>
            <w:tcW w:w="623" w:type="pct"/>
            <w:gridSpan w:val="2"/>
            <w:tcMar>
              <w:left w:w="0" w:type="dxa"/>
              <w:right w:w="0" w:type="dxa"/>
            </w:tcMar>
            <w:vAlign w:val="center"/>
          </w:tcPr>
          <w:p w14:paraId="61771054">
            <w:pPr>
              <w:adjustRightInd w:val="0"/>
              <w:snapToGrid w:val="0"/>
              <w:jc w:val="center"/>
              <w:rPr>
                <w:rFonts w:ascii="宋体" w:hAnsi="宋体"/>
                <w:color w:val="auto"/>
              </w:rPr>
            </w:pPr>
            <w:r>
              <w:rPr>
                <w:rFonts w:ascii="宋体" w:hAnsi="宋体"/>
                <w:color w:val="auto"/>
              </w:rPr>
              <w:t>建设性质</w:t>
            </w:r>
          </w:p>
        </w:tc>
        <w:tc>
          <w:tcPr>
            <w:tcW w:w="1994" w:type="pct"/>
            <w:gridSpan w:val="6"/>
            <w:tcMar>
              <w:left w:w="0" w:type="dxa"/>
              <w:right w:w="0" w:type="dxa"/>
            </w:tcMar>
            <w:vAlign w:val="center"/>
          </w:tcPr>
          <w:p w14:paraId="16193098">
            <w:pPr>
              <w:adjustRightInd w:val="0"/>
              <w:snapToGrid w:val="0"/>
              <w:jc w:val="center"/>
              <w:rPr>
                <w:rFonts w:ascii="宋体" w:hAnsi="宋体"/>
                <w:color w:val="auto"/>
              </w:rPr>
            </w:pPr>
            <w:r>
              <w:rPr>
                <w:rFonts w:ascii="宋体" w:hAnsi="宋体"/>
                <w:color w:val="auto"/>
              </w:rPr>
              <w:t xml:space="preserve">□ 新建          </w:t>
            </w:r>
            <w:r>
              <w:rPr>
                <w:rFonts w:ascii="Segoe UI Symbol" w:hAnsi="Segoe UI Symbol" w:cs="Segoe UI Symbol"/>
                <w:color w:val="auto"/>
              </w:rPr>
              <w:t>☑</w:t>
            </w:r>
            <w:r>
              <w:rPr>
                <w:rFonts w:ascii="宋体" w:hAnsi="宋体"/>
                <w:color w:val="auto"/>
              </w:rPr>
              <w:t>改扩建       □技术改造</w:t>
            </w:r>
          </w:p>
        </w:tc>
      </w:tr>
      <w:tr w14:paraId="488A7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53BB8CAD">
            <w:pPr>
              <w:adjustRightInd w:val="0"/>
              <w:snapToGrid w:val="0"/>
              <w:jc w:val="center"/>
              <w:rPr>
                <w:rFonts w:ascii="宋体" w:hAnsi="宋体"/>
                <w:color w:val="auto"/>
              </w:rPr>
            </w:pPr>
          </w:p>
        </w:tc>
        <w:tc>
          <w:tcPr>
            <w:tcW w:w="592" w:type="pct"/>
            <w:gridSpan w:val="2"/>
            <w:tcMar>
              <w:left w:w="0" w:type="dxa"/>
              <w:right w:w="0" w:type="dxa"/>
            </w:tcMar>
            <w:vAlign w:val="center"/>
          </w:tcPr>
          <w:p w14:paraId="7F2421B3">
            <w:pPr>
              <w:adjustRightInd w:val="0"/>
              <w:snapToGrid w:val="0"/>
              <w:jc w:val="center"/>
              <w:rPr>
                <w:rFonts w:ascii="宋体" w:hAnsi="宋体"/>
                <w:color w:val="auto"/>
              </w:rPr>
            </w:pPr>
            <w:r>
              <w:rPr>
                <w:rFonts w:ascii="宋体" w:hAnsi="宋体"/>
                <w:color w:val="auto"/>
              </w:rPr>
              <w:t>设计生产</w:t>
            </w:r>
            <w:r>
              <w:rPr>
                <w:rFonts w:hint="eastAsia" w:ascii="宋体" w:hAnsi="宋体"/>
                <w:color w:val="auto"/>
              </w:rPr>
              <w:t>规模</w:t>
            </w:r>
          </w:p>
        </w:tc>
        <w:tc>
          <w:tcPr>
            <w:tcW w:w="1658" w:type="pct"/>
            <w:gridSpan w:val="5"/>
            <w:tcMar>
              <w:left w:w="0" w:type="dxa"/>
              <w:right w:w="0" w:type="dxa"/>
            </w:tcMar>
            <w:vAlign w:val="center"/>
          </w:tcPr>
          <w:p w14:paraId="73C69B98">
            <w:pPr>
              <w:adjustRightInd w:val="0"/>
              <w:snapToGrid w:val="0"/>
              <w:jc w:val="center"/>
              <w:rPr>
                <w:rFonts w:ascii="宋体" w:hAnsi="宋体"/>
                <w:color w:val="auto"/>
              </w:rPr>
            </w:pPr>
            <w:r>
              <w:rPr>
                <w:rFonts w:hint="eastAsia" w:ascii="宋体" w:hAnsi="宋体"/>
                <w:color w:val="auto"/>
              </w:rPr>
              <w:t>产油量</w:t>
            </w:r>
            <w:r>
              <w:rPr>
                <w:rFonts w:ascii="宋体" w:hAnsi="宋体"/>
                <w:color w:val="auto"/>
              </w:rPr>
              <w:t>11.7×10</w:t>
            </w:r>
            <w:r>
              <w:rPr>
                <w:rFonts w:ascii="宋体" w:hAnsi="宋体"/>
                <w:color w:val="auto"/>
                <w:vertAlign w:val="superscript"/>
              </w:rPr>
              <w:t>4</w:t>
            </w:r>
            <w:r>
              <w:rPr>
                <w:rFonts w:ascii="宋体" w:hAnsi="宋体"/>
                <w:color w:val="auto"/>
              </w:rPr>
              <w:t>t/a</w:t>
            </w:r>
          </w:p>
          <w:p w14:paraId="3DCFAD30">
            <w:pPr>
              <w:adjustRightInd w:val="0"/>
              <w:snapToGrid w:val="0"/>
              <w:jc w:val="center"/>
              <w:rPr>
                <w:rFonts w:ascii="宋体" w:hAnsi="宋体"/>
                <w:color w:val="auto"/>
              </w:rPr>
            </w:pPr>
            <w:r>
              <w:rPr>
                <w:rFonts w:ascii="宋体" w:hAnsi="宋体"/>
                <w:color w:val="auto"/>
              </w:rPr>
              <w:t>产液量36.02×10</w:t>
            </w:r>
            <w:r>
              <w:rPr>
                <w:rFonts w:ascii="宋体" w:hAnsi="宋体"/>
                <w:color w:val="auto"/>
                <w:vertAlign w:val="superscript"/>
              </w:rPr>
              <w:t>4</w:t>
            </w:r>
            <w:r>
              <w:rPr>
                <w:rFonts w:ascii="宋体" w:hAnsi="宋体"/>
                <w:color w:val="auto"/>
              </w:rPr>
              <w:t>t/a</w:t>
            </w:r>
          </w:p>
        </w:tc>
        <w:tc>
          <w:tcPr>
            <w:tcW w:w="623" w:type="pct"/>
            <w:gridSpan w:val="2"/>
            <w:tcMar>
              <w:left w:w="0" w:type="dxa"/>
              <w:right w:w="0" w:type="dxa"/>
            </w:tcMar>
            <w:vAlign w:val="center"/>
          </w:tcPr>
          <w:p w14:paraId="5C272F6D">
            <w:pPr>
              <w:adjustRightInd w:val="0"/>
              <w:snapToGrid w:val="0"/>
              <w:jc w:val="center"/>
              <w:rPr>
                <w:rFonts w:ascii="宋体" w:hAnsi="宋体"/>
                <w:color w:val="auto"/>
              </w:rPr>
            </w:pPr>
            <w:r>
              <w:rPr>
                <w:rFonts w:ascii="宋体" w:hAnsi="宋体"/>
                <w:color w:val="auto"/>
              </w:rPr>
              <w:t>实际生产</w:t>
            </w:r>
            <w:r>
              <w:rPr>
                <w:rFonts w:hint="eastAsia" w:ascii="宋体" w:hAnsi="宋体"/>
                <w:color w:val="auto"/>
              </w:rPr>
              <w:t>规模</w:t>
            </w:r>
          </w:p>
        </w:tc>
        <w:tc>
          <w:tcPr>
            <w:tcW w:w="653" w:type="pct"/>
            <w:tcMar>
              <w:left w:w="0" w:type="dxa"/>
              <w:right w:w="0" w:type="dxa"/>
            </w:tcMar>
            <w:vAlign w:val="center"/>
          </w:tcPr>
          <w:p w14:paraId="70514ADD">
            <w:pPr>
              <w:adjustRightInd w:val="0"/>
              <w:snapToGrid w:val="0"/>
              <w:jc w:val="center"/>
              <w:rPr>
                <w:rFonts w:ascii="宋体" w:hAnsi="宋体"/>
                <w:color w:val="auto"/>
              </w:rPr>
            </w:pPr>
            <w:r>
              <w:rPr>
                <w:rFonts w:hint="eastAsia" w:ascii="宋体" w:hAnsi="宋体"/>
                <w:color w:val="auto"/>
              </w:rPr>
              <w:t>产油量</w:t>
            </w:r>
            <w:r>
              <w:rPr>
                <w:rFonts w:ascii="宋体" w:hAnsi="宋体"/>
                <w:color w:val="auto"/>
              </w:rPr>
              <w:t>4.30×10</w:t>
            </w:r>
            <w:r>
              <w:rPr>
                <w:rFonts w:ascii="宋体" w:hAnsi="宋体"/>
                <w:color w:val="auto"/>
                <w:vertAlign w:val="superscript"/>
              </w:rPr>
              <w:t>4</w:t>
            </w:r>
            <w:r>
              <w:rPr>
                <w:rFonts w:ascii="宋体" w:hAnsi="宋体"/>
                <w:color w:val="auto"/>
              </w:rPr>
              <w:t>t/a</w:t>
            </w:r>
          </w:p>
          <w:p w14:paraId="06C85B83">
            <w:pPr>
              <w:adjustRightInd w:val="0"/>
              <w:snapToGrid w:val="0"/>
              <w:jc w:val="center"/>
              <w:rPr>
                <w:rFonts w:ascii="宋体" w:hAnsi="宋体"/>
                <w:color w:val="auto"/>
              </w:rPr>
            </w:pPr>
            <w:r>
              <w:rPr>
                <w:rFonts w:ascii="宋体" w:hAnsi="宋体"/>
                <w:color w:val="auto"/>
              </w:rPr>
              <w:t>产液量8.31×10</w:t>
            </w:r>
            <w:r>
              <w:rPr>
                <w:rFonts w:ascii="宋体" w:hAnsi="宋体"/>
                <w:color w:val="auto"/>
                <w:vertAlign w:val="superscript"/>
              </w:rPr>
              <w:t>4</w:t>
            </w:r>
            <w:r>
              <w:rPr>
                <w:rFonts w:ascii="宋体" w:hAnsi="宋体"/>
                <w:color w:val="auto"/>
              </w:rPr>
              <w:t>t/a</w:t>
            </w:r>
          </w:p>
        </w:tc>
        <w:tc>
          <w:tcPr>
            <w:tcW w:w="529" w:type="pct"/>
            <w:gridSpan w:val="2"/>
            <w:tcMar>
              <w:left w:w="0" w:type="dxa"/>
              <w:right w:w="0" w:type="dxa"/>
            </w:tcMar>
            <w:vAlign w:val="center"/>
          </w:tcPr>
          <w:p w14:paraId="641E5113">
            <w:pPr>
              <w:adjustRightInd w:val="0"/>
              <w:snapToGrid w:val="0"/>
              <w:jc w:val="center"/>
              <w:rPr>
                <w:rFonts w:ascii="宋体" w:hAnsi="宋体"/>
                <w:color w:val="auto"/>
              </w:rPr>
            </w:pPr>
            <w:r>
              <w:rPr>
                <w:rFonts w:hint="eastAsia" w:ascii="宋体" w:hAnsi="宋体"/>
                <w:color w:val="auto"/>
              </w:rPr>
              <w:t>环评单位</w:t>
            </w:r>
          </w:p>
        </w:tc>
        <w:tc>
          <w:tcPr>
            <w:tcW w:w="812" w:type="pct"/>
            <w:gridSpan w:val="3"/>
            <w:tcMar>
              <w:left w:w="0" w:type="dxa"/>
              <w:right w:w="0" w:type="dxa"/>
            </w:tcMar>
            <w:vAlign w:val="center"/>
          </w:tcPr>
          <w:p w14:paraId="760F7C25">
            <w:pPr>
              <w:adjustRightInd w:val="0"/>
              <w:snapToGrid w:val="0"/>
              <w:jc w:val="center"/>
              <w:rPr>
                <w:rFonts w:ascii="宋体" w:hAnsi="宋体"/>
                <w:color w:val="auto"/>
              </w:rPr>
            </w:pPr>
            <w:r>
              <w:rPr>
                <w:rFonts w:hint="eastAsia" w:ascii="宋体" w:hAnsi="宋体"/>
                <w:color w:val="auto"/>
              </w:rPr>
              <w:t>森诺科技有限公司</w:t>
            </w:r>
          </w:p>
        </w:tc>
      </w:tr>
      <w:tr w14:paraId="42C48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43E7327">
            <w:pPr>
              <w:adjustRightInd w:val="0"/>
              <w:snapToGrid w:val="0"/>
              <w:jc w:val="center"/>
              <w:rPr>
                <w:rFonts w:ascii="宋体" w:hAnsi="宋体"/>
                <w:color w:val="auto"/>
              </w:rPr>
            </w:pPr>
          </w:p>
        </w:tc>
        <w:tc>
          <w:tcPr>
            <w:tcW w:w="592" w:type="pct"/>
            <w:gridSpan w:val="2"/>
            <w:tcMar>
              <w:left w:w="0" w:type="dxa"/>
              <w:right w:w="0" w:type="dxa"/>
            </w:tcMar>
            <w:vAlign w:val="center"/>
          </w:tcPr>
          <w:p w14:paraId="680B2C40">
            <w:pPr>
              <w:adjustRightInd w:val="0"/>
              <w:snapToGrid w:val="0"/>
              <w:jc w:val="center"/>
              <w:rPr>
                <w:rFonts w:ascii="宋体" w:hAnsi="宋体"/>
                <w:color w:val="auto"/>
              </w:rPr>
            </w:pPr>
            <w:r>
              <w:rPr>
                <w:rFonts w:ascii="宋体" w:hAnsi="宋体"/>
                <w:color w:val="auto"/>
              </w:rPr>
              <w:t>环评文件审批机关</w:t>
            </w:r>
          </w:p>
        </w:tc>
        <w:tc>
          <w:tcPr>
            <w:tcW w:w="1658" w:type="pct"/>
            <w:gridSpan w:val="5"/>
            <w:tcMar>
              <w:left w:w="0" w:type="dxa"/>
              <w:right w:w="0" w:type="dxa"/>
            </w:tcMar>
            <w:vAlign w:val="center"/>
          </w:tcPr>
          <w:p w14:paraId="733BD7AB">
            <w:pPr>
              <w:adjustRightInd w:val="0"/>
              <w:snapToGrid w:val="0"/>
              <w:jc w:val="center"/>
              <w:rPr>
                <w:rFonts w:ascii="宋体" w:hAnsi="宋体"/>
                <w:color w:val="auto"/>
              </w:rPr>
            </w:pPr>
            <w:r>
              <w:rPr>
                <w:rFonts w:hint="eastAsia" w:ascii="宋体" w:hAnsi="宋体"/>
                <w:color w:val="auto"/>
                <w:lang w:val="zh-CN"/>
              </w:rPr>
              <w:t>淄博市生态环境局高青县分局</w:t>
            </w:r>
          </w:p>
        </w:tc>
        <w:tc>
          <w:tcPr>
            <w:tcW w:w="623" w:type="pct"/>
            <w:gridSpan w:val="2"/>
            <w:tcMar>
              <w:left w:w="0" w:type="dxa"/>
              <w:right w:w="0" w:type="dxa"/>
            </w:tcMar>
            <w:vAlign w:val="center"/>
          </w:tcPr>
          <w:p w14:paraId="16671849">
            <w:pPr>
              <w:adjustRightInd w:val="0"/>
              <w:snapToGrid w:val="0"/>
              <w:jc w:val="center"/>
              <w:rPr>
                <w:rFonts w:ascii="宋体" w:hAnsi="宋体"/>
                <w:color w:val="auto"/>
              </w:rPr>
            </w:pPr>
            <w:r>
              <w:rPr>
                <w:rFonts w:ascii="宋体" w:hAnsi="宋体"/>
                <w:color w:val="auto"/>
              </w:rPr>
              <w:t>审批文号</w:t>
            </w:r>
          </w:p>
        </w:tc>
        <w:tc>
          <w:tcPr>
            <w:tcW w:w="653" w:type="pct"/>
            <w:tcMar>
              <w:left w:w="0" w:type="dxa"/>
              <w:right w:w="0" w:type="dxa"/>
            </w:tcMar>
            <w:vAlign w:val="center"/>
          </w:tcPr>
          <w:p w14:paraId="3BFF1CD1">
            <w:pPr>
              <w:adjustRightInd w:val="0"/>
              <w:snapToGrid w:val="0"/>
              <w:jc w:val="center"/>
              <w:rPr>
                <w:rFonts w:ascii="宋体" w:hAnsi="宋体"/>
                <w:color w:val="auto"/>
              </w:rPr>
            </w:pPr>
            <w:r>
              <w:rPr>
                <w:rFonts w:hint="eastAsia" w:ascii="宋体" w:hAnsi="宋体"/>
                <w:color w:val="auto"/>
              </w:rPr>
              <w:t>高环审[20</w:t>
            </w:r>
            <w:r>
              <w:rPr>
                <w:rFonts w:ascii="宋体" w:hAnsi="宋体"/>
                <w:color w:val="auto"/>
              </w:rPr>
              <w:t>24</w:t>
            </w:r>
            <w:r>
              <w:rPr>
                <w:rFonts w:hint="eastAsia" w:ascii="宋体" w:hAnsi="宋体"/>
                <w:color w:val="auto"/>
              </w:rPr>
              <w:t>]</w:t>
            </w:r>
            <w:r>
              <w:rPr>
                <w:rFonts w:ascii="宋体" w:hAnsi="宋体"/>
                <w:color w:val="auto"/>
              </w:rPr>
              <w:t>12</w:t>
            </w:r>
            <w:r>
              <w:rPr>
                <w:rFonts w:hint="eastAsia" w:ascii="宋体" w:hAnsi="宋体"/>
                <w:color w:val="auto"/>
              </w:rPr>
              <w:t>号</w:t>
            </w:r>
          </w:p>
        </w:tc>
        <w:tc>
          <w:tcPr>
            <w:tcW w:w="529" w:type="pct"/>
            <w:gridSpan w:val="2"/>
            <w:tcMar>
              <w:left w:w="0" w:type="dxa"/>
              <w:right w:w="0" w:type="dxa"/>
            </w:tcMar>
            <w:vAlign w:val="center"/>
          </w:tcPr>
          <w:p w14:paraId="115702E8">
            <w:pPr>
              <w:adjustRightInd w:val="0"/>
              <w:snapToGrid w:val="0"/>
              <w:jc w:val="center"/>
              <w:rPr>
                <w:rFonts w:ascii="宋体" w:hAnsi="宋体"/>
                <w:color w:val="auto"/>
              </w:rPr>
            </w:pPr>
            <w:r>
              <w:rPr>
                <w:rFonts w:ascii="宋体" w:hAnsi="宋体"/>
                <w:color w:val="auto"/>
              </w:rPr>
              <w:t>环评文件类型</w:t>
            </w:r>
          </w:p>
        </w:tc>
        <w:tc>
          <w:tcPr>
            <w:tcW w:w="812" w:type="pct"/>
            <w:gridSpan w:val="3"/>
            <w:tcMar>
              <w:left w:w="0" w:type="dxa"/>
              <w:right w:w="0" w:type="dxa"/>
            </w:tcMar>
            <w:vAlign w:val="center"/>
          </w:tcPr>
          <w:p w14:paraId="3D419915">
            <w:pPr>
              <w:adjustRightInd w:val="0"/>
              <w:snapToGrid w:val="0"/>
              <w:jc w:val="center"/>
              <w:rPr>
                <w:rFonts w:ascii="宋体" w:hAnsi="宋体"/>
                <w:color w:val="auto"/>
              </w:rPr>
            </w:pPr>
            <w:r>
              <w:rPr>
                <w:rFonts w:hint="eastAsia" w:ascii="宋体" w:hAnsi="宋体"/>
                <w:color w:val="auto"/>
              </w:rPr>
              <w:t>环境影响报告书</w:t>
            </w:r>
          </w:p>
        </w:tc>
      </w:tr>
      <w:tr w14:paraId="0F7D8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20533B1">
            <w:pPr>
              <w:adjustRightInd w:val="0"/>
              <w:snapToGrid w:val="0"/>
              <w:jc w:val="center"/>
              <w:rPr>
                <w:rFonts w:ascii="宋体" w:hAnsi="宋体"/>
                <w:color w:val="auto"/>
              </w:rPr>
            </w:pPr>
          </w:p>
        </w:tc>
        <w:tc>
          <w:tcPr>
            <w:tcW w:w="592" w:type="pct"/>
            <w:gridSpan w:val="2"/>
            <w:tcMar>
              <w:left w:w="0" w:type="dxa"/>
              <w:right w:w="0" w:type="dxa"/>
            </w:tcMar>
            <w:vAlign w:val="center"/>
          </w:tcPr>
          <w:p w14:paraId="1FD6EABB">
            <w:pPr>
              <w:adjustRightInd w:val="0"/>
              <w:snapToGrid w:val="0"/>
              <w:jc w:val="center"/>
              <w:rPr>
                <w:rFonts w:ascii="宋体" w:hAnsi="宋体"/>
                <w:color w:val="auto"/>
              </w:rPr>
            </w:pPr>
            <w:r>
              <w:rPr>
                <w:rFonts w:ascii="宋体" w:hAnsi="宋体"/>
                <w:color w:val="auto"/>
              </w:rPr>
              <w:t>开工日期</w:t>
            </w:r>
          </w:p>
        </w:tc>
        <w:tc>
          <w:tcPr>
            <w:tcW w:w="1658" w:type="pct"/>
            <w:gridSpan w:val="5"/>
            <w:tcMar>
              <w:left w:w="0" w:type="dxa"/>
              <w:right w:w="0" w:type="dxa"/>
            </w:tcMar>
            <w:vAlign w:val="center"/>
          </w:tcPr>
          <w:p w14:paraId="11F4EF4A">
            <w:pPr>
              <w:adjustRightInd w:val="0"/>
              <w:snapToGrid w:val="0"/>
              <w:jc w:val="center"/>
              <w:rPr>
                <w:rFonts w:ascii="宋体" w:hAnsi="宋体"/>
                <w:color w:val="auto"/>
              </w:rPr>
            </w:pPr>
            <w:r>
              <w:rPr>
                <w:rFonts w:ascii="宋体" w:hAnsi="宋体"/>
                <w:color w:val="auto"/>
              </w:rPr>
              <w:t>2024年9</w:t>
            </w:r>
            <w:r>
              <w:rPr>
                <w:rFonts w:hint="eastAsia" w:ascii="宋体" w:hAnsi="宋体"/>
                <w:color w:val="auto"/>
              </w:rPr>
              <w:t>月</w:t>
            </w:r>
            <w:r>
              <w:rPr>
                <w:rFonts w:ascii="宋体" w:hAnsi="宋体"/>
                <w:color w:val="auto"/>
              </w:rPr>
              <w:t>3</w:t>
            </w:r>
            <w:r>
              <w:rPr>
                <w:rFonts w:hint="eastAsia" w:ascii="宋体" w:hAnsi="宋体"/>
                <w:color w:val="auto"/>
              </w:rPr>
              <w:t>日</w:t>
            </w:r>
          </w:p>
        </w:tc>
        <w:tc>
          <w:tcPr>
            <w:tcW w:w="623" w:type="pct"/>
            <w:gridSpan w:val="2"/>
            <w:tcMar>
              <w:left w:w="0" w:type="dxa"/>
              <w:right w:w="0" w:type="dxa"/>
            </w:tcMar>
            <w:vAlign w:val="center"/>
          </w:tcPr>
          <w:p w14:paraId="5E4C2F15">
            <w:pPr>
              <w:adjustRightInd w:val="0"/>
              <w:snapToGrid w:val="0"/>
              <w:jc w:val="center"/>
              <w:rPr>
                <w:rFonts w:ascii="宋体" w:hAnsi="宋体"/>
                <w:color w:val="auto"/>
              </w:rPr>
            </w:pPr>
            <w:r>
              <w:rPr>
                <w:rFonts w:ascii="宋体" w:hAnsi="宋体"/>
                <w:color w:val="auto"/>
              </w:rPr>
              <w:t>竣工日期</w:t>
            </w:r>
          </w:p>
        </w:tc>
        <w:tc>
          <w:tcPr>
            <w:tcW w:w="653" w:type="pct"/>
            <w:tcMar>
              <w:left w:w="0" w:type="dxa"/>
              <w:right w:w="0" w:type="dxa"/>
            </w:tcMar>
            <w:vAlign w:val="center"/>
          </w:tcPr>
          <w:p w14:paraId="25714F3C">
            <w:pPr>
              <w:adjustRightInd w:val="0"/>
              <w:snapToGrid w:val="0"/>
              <w:jc w:val="center"/>
              <w:rPr>
                <w:rFonts w:ascii="宋体" w:hAnsi="宋体"/>
                <w:color w:val="auto"/>
              </w:rPr>
            </w:pPr>
            <w:r>
              <w:rPr>
                <w:rFonts w:ascii="宋体" w:hAnsi="宋体"/>
                <w:color w:val="auto"/>
              </w:rPr>
              <w:t>2025年12</w:t>
            </w:r>
            <w:r>
              <w:rPr>
                <w:rFonts w:hint="eastAsia" w:ascii="宋体" w:hAnsi="宋体"/>
                <w:color w:val="auto"/>
              </w:rPr>
              <w:t>月</w:t>
            </w:r>
            <w:r>
              <w:rPr>
                <w:rFonts w:ascii="宋体" w:hAnsi="宋体"/>
                <w:color w:val="auto"/>
              </w:rPr>
              <w:t>29</w:t>
            </w:r>
            <w:r>
              <w:rPr>
                <w:rFonts w:hint="eastAsia" w:ascii="宋体" w:hAnsi="宋体"/>
                <w:color w:val="auto"/>
              </w:rPr>
              <w:t>日</w:t>
            </w:r>
          </w:p>
        </w:tc>
        <w:tc>
          <w:tcPr>
            <w:tcW w:w="529" w:type="pct"/>
            <w:gridSpan w:val="2"/>
            <w:tcMar>
              <w:left w:w="0" w:type="dxa"/>
              <w:right w:w="0" w:type="dxa"/>
            </w:tcMar>
            <w:vAlign w:val="center"/>
          </w:tcPr>
          <w:p w14:paraId="2CEFF2CA">
            <w:pPr>
              <w:adjustRightInd w:val="0"/>
              <w:snapToGrid w:val="0"/>
              <w:jc w:val="center"/>
              <w:rPr>
                <w:rFonts w:ascii="宋体" w:hAnsi="宋体"/>
                <w:color w:val="auto"/>
              </w:rPr>
            </w:pPr>
            <w:r>
              <w:rPr>
                <w:rFonts w:ascii="宋体" w:hAnsi="宋体"/>
                <w:color w:val="auto"/>
              </w:rPr>
              <w:t>排污许可证申领时间</w:t>
            </w:r>
          </w:p>
        </w:tc>
        <w:tc>
          <w:tcPr>
            <w:tcW w:w="812" w:type="pct"/>
            <w:gridSpan w:val="3"/>
            <w:tcMar>
              <w:left w:w="0" w:type="dxa"/>
              <w:right w:w="0" w:type="dxa"/>
            </w:tcMar>
            <w:vAlign w:val="center"/>
          </w:tcPr>
          <w:p w14:paraId="3399755C">
            <w:pPr>
              <w:adjustRightInd w:val="0"/>
              <w:snapToGrid w:val="0"/>
              <w:jc w:val="center"/>
              <w:rPr>
                <w:rFonts w:ascii="宋体" w:hAnsi="宋体"/>
                <w:color w:val="auto"/>
              </w:rPr>
            </w:pPr>
            <w:r>
              <w:rPr>
                <w:rFonts w:hint="eastAsia" w:ascii="宋体" w:hAnsi="宋体"/>
                <w:color w:val="auto"/>
              </w:rPr>
              <w:t>202</w:t>
            </w:r>
            <w:r>
              <w:rPr>
                <w:rFonts w:ascii="宋体" w:hAnsi="宋体"/>
                <w:color w:val="auto"/>
              </w:rPr>
              <w:t>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10</w:t>
            </w:r>
            <w:r>
              <w:rPr>
                <w:rFonts w:hint="eastAsia" w:ascii="宋体" w:hAnsi="宋体"/>
                <w:color w:val="auto"/>
              </w:rPr>
              <w:t>日</w:t>
            </w:r>
          </w:p>
        </w:tc>
      </w:tr>
      <w:tr w14:paraId="306D2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361F3FA9">
            <w:pPr>
              <w:adjustRightInd w:val="0"/>
              <w:snapToGrid w:val="0"/>
              <w:jc w:val="center"/>
              <w:rPr>
                <w:rFonts w:ascii="宋体" w:hAnsi="宋体"/>
                <w:color w:val="auto"/>
              </w:rPr>
            </w:pPr>
          </w:p>
        </w:tc>
        <w:tc>
          <w:tcPr>
            <w:tcW w:w="592" w:type="pct"/>
            <w:gridSpan w:val="2"/>
            <w:tcMar>
              <w:left w:w="0" w:type="dxa"/>
              <w:right w:w="0" w:type="dxa"/>
            </w:tcMar>
            <w:vAlign w:val="center"/>
          </w:tcPr>
          <w:p w14:paraId="52A6EA71">
            <w:pPr>
              <w:adjustRightInd w:val="0"/>
              <w:snapToGrid w:val="0"/>
              <w:jc w:val="center"/>
              <w:rPr>
                <w:rFonts w:ascii="宋体" w:hAnsi="宋体"/>
                <w:color w:val="auto"/>
              </w:rPr>
            </w:pPr>
            <w:r>
              <w:rPr>
                <w:rFonts w:hint="eastAsia" w:ascii="宋体" w:hAnsi="宋体"/>
                <w:color w:val="auto"/>
              </w:rPr>
              <w:t>建设</w:t>
            </w:r>
            <w:r>
              <w:rPr>
                <w:rFonts w:ascii="宋体" w:hAnsi="宋体"/>
                <w:color w:val="auto"/>
              </w:rPr>
              <w:t>地点坐标（</w:t>
            </w:r>
            <w:r>
              <w:rPr>
                <w:rFonts w:hint="eastAsia" w:ascii="宋体" w:hAnsi="宋体"/>
                <w:color w:val="auto"/>
              </w:rPr>
              <w:t>中心点</w:t>
            </w:r>
            <w:r>
              <w:rPr>
                <w:rFonts w:ascii="宋体" w:hAnsi="宋体"/>
                <w:color w:val="auto"/>
              </w:rPr>
              <w:t>）</w:t>
            </w:r>
          </w:p>
        </w:tc>
        <w:tc>
          <w:tcPr>
            <w:tcW w:w="1658" w:type="pct"/>
            <w:gridSpan w:val="5"/>
            <w:tcMar>
              <w:left w:w="0" w:type="dxa"/>
              <w:right w:w="0" w:type="dxa"/>
            </w:tcMar>
            <w:vAlign w:val="center"/>
          </w:tcPr>
          <w:p w14:paraId="52ACF5CF">
            <w:pPr>
              <w:adjustRightInd w:val="0"/>
              <w:snapToGrid w:val="0"/>
              <w:jc w:val="center"/>
              <w:rPr>
                <w:rFonts w:ascii="宋体" w:hAnsi="宋体"/>
                <w:color w:val="auto"/>
              </w:rPr>
            </w:pPr>
            <w:r>
              <w:rPr>
                <w:rFonts w:ascii="宋体" w:hAnsi="宋体"/>
                <w:color w:val="auto"/>
              </w:rPr>
              <w:t>117°55'41.9398"</w:t>
            </w:r>
            <w:r>
              <w:rPr>
                <w:rFonts w:hint="eastAsia" w:ascii="宋体" w:hAnsi="宋体"/>
                <w:color w:val="auto"/>
              </w:rPr>
              <w:t xml:space="preserve"> E，</w:t>
            </w:r>
            <w:r>
              <w:rPr>
                <w:rFonts w:ascii="宋体" w:hAnsi="宋体"/>
                <w:color w:val="auto"/>
              </w:rPr>
              <w:t>37°14'11.6067"</w:t>
            </w:r>
            <w:r>
              <w:rPr>
                <w:rFonts w:hint="eastAsia" w:ascii="宋体" w:hAnsi="宋体"/>
                <w:color w:val="auto"/>
              </w:rPr>
              <w:t xml:space="preserve"> N</w:t>
            </w:r>
          </w:p>
        </w:tc>
        <w:tc>
          <w:tcPr>
            <w:tcW w:w="623" w:type="pct"/>
            <w:gridSpan w:val="2"/>
            <w:tcMar>
              <w:left w:w="0" w:type="dxa"/>
              <w:right w:w="0" w:type="dxa"/>
            </w:tcMar>
            <w:vAlign w:val="center"/>
          </w:tcPr>
          <w:p w14:paraId="41E161B4">
            <w:pPr>
              <w:adjustRightInd w:val="0"/>
              <w:snapToGrid w:val="0"/>
              <w:jc w:val="center"/>
              <w:rPr>
                <w:rFonts w:ascii="宋体" w:hAnsi="宋体"/>
                <w:color w:val="auto"/>
              </w:rPr>
            </w:pPr>
            <w:r>
              <w:rPr>
                <w:rFonts w:hint="eastAsia" w:ascii="宋体" w:hAnsi="宋体"/>
                <w:color w:val="auto"/>
              </w:rPr>
              <w:t>线性</w:t>
            </w:r>
            <w:r>
              <w:rPr>
                <w:rFonts w:ascii="宋体" w:hAnsi="宋体"/>
                <w:color w:val="auto"/>
              </w:rPr>
              <w:t>工程长度（</w:t>
            </w:r>
            <w:r>
              <w:rPr>
                <w:rFonts w:hint="eastAsia" w:ascii="宋体" w:hAnsi="宋体"/>
                <w:color w:val="auto"/>
              </w:rPr>
              <w:t>千米</w:t>
            </w:r>
            <w:r>
              <w:rPr>
                <w:rFonts w:ascii="宋体" w:hAnsi="宋体"/>
                <w:color w:val="auto"/>
              </w:rPr>
              <w:t>）</w:t>
            </w:r>
          </w:p>
        </w:tc>
        <w:tc>
          <w:tcPr>
            <w:tcW w:w="653" w:type="pct"/>
            <w:tcMar>
              <w:left w:w="0" w:type="dxa"/>
              <w:right w:w="0" w:type="dxa"/>
            </w:tcMar>
            <w:vAlign w:val="center"/>
          </w:tcPr>
          <w:p w14:paraId="25C05FC9">
            <w:pPr>
              <w:adjustRightInd w:val="0"/>
              <w:snapToGrid w:val="0"/>
              <w:jc w:val="center"/>
              <w:rPr>
                <w:rFonts w:ascii="宋体" w:hAnsi="宋体"/>
                <w:color w:val="auto"/>
              </w:rPr>
            </w:pPr>
            <w:r>
              <w:rPr>
                <w:rFonts w:hint="eastAsia" w:ascii="宋体" w:hAnsi="宋体"/>
                <w:color w:val="auto"/>
              </w:rPr>
              <w:t>——</w:t>
            </w:r>
          </w:p>
        </w:tc>
        <w:tc>
          <w:tcPr>
            <w:tcW w:w="529" w:type="pct"/>
            <w:gridSpan w:val="2"/>
            <w:tcMar>
              <w:left w:w="0" w:type="dxa"/>
              <w:right w:w="0" w:type="dxa"/>
            </w:tcMar>
            <w:vAlign w:val="center"/>
          </w:tcPr>
          <w:p w14:paraId="1FB6898E">
            <w:pPr>
              <w:adjustRightInd w:val="0"/>
              <w:snapToGrid w:val="0"/>
              <w:jc w:val="center"/>
              <w:rPr>
                <w:rFonts w:ascii="宋体" w:hAnsi="宋体"/>
                <w:color w:val="auto"/>
              </w:rPr>
            </w:pPr>
            <w:r>
              <w:rPr>
                <w:rFonts w:hint="eastAsia" w:ascii="宋体" w:hAnsi="宋体"/>
                <w:color w:val="auto"/>
              </w:rPr>
              <w:t>起始</w:t>
            </w:r>
            <w:r>
              <w:rPr>
                <w:rFonts w:ascii="宋体" w:hAnsi="宋体"/>
                <w:color w:val="auto"/>
              </w:rPr>
              <w:t>点经纬度</w:t>
            </w:r>
          </w:p>
        </w:tc>
        <w:tc>
          <w:tcPr>
            <w:tcW w:w="812" w:type="pct"/>
            <w:gridSpan w:val="3"/>
            <w:tcMar>
              <w:left w:w="0" w:type="dxa"/>
              <w:right w:w="0" w:type="dxa"/>
            </w:tcMar>
            <w:vAlign w:val="center"/>
          </w:tcPr>
          <w:p w14:paraId="1D1DE106">
            <w:pPr>
              <w:adjustRightInd w:val="0"/>
              <w:snapToGrid w:val="0"/>
              <w:jc w:val="center"/>
              <w:rPr>
                <w:rFonts w:ascii="宋体" w:hAnsi="宋体"/>
                <w:color w:val="auto"/>
              </w:rPr>
            </w:pPr>
            <w:r>
              <w:rPr>
                <w:rFonts w:hint="eastAsia" w:ascii="宋体" w:hAnsi="宋体"/>
                <w:color w:val="auto"/>
              </w:rPr>
              <w:t>——</w:t>
            </w:r>
          </w:p>
        </w:tc>
      </w:tr>
      <w:tr w14:paraId="37ECA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E36C491">
            <w:pPr>
              <w:adjustRightInd w:val="0"/>
              <w:snapToGrid w:val="0"/>
              <w:jc w:val="center"/>
              <w:rPr>
                <w:rFonts w:ascii="宋体" w:hAnsi="宋体"/>
                <w:color w:val="auto"/>
              </w:rPr>
            </w:pPr>
          </w:p>
        </w:tc>
        <w:tc>
          <w:tcPr>
            <w:tcW w:w="592" w:type="pct"/>
            <w:gridSpan w:val="2"/>
            <w:tcMar>
              <w:left w:w="0" w:type="dxa"/>
              <w:right w:w="0" w:type="dxa"/>
            </w:tcMar>
            <w:vAlign w:val="center"/>
          </w:tcPr>
          <w:p w14:paraId="3D9160C6">
            <w:pPr>
              <w:adjustRightInd w:val="0"/>
              <w:snapToGrid w:val="0"/>
              <w:jc w:val="center"/>
              <w:rPr>
                <w:rFonts w:ascii="宋体" w:hAnsi="宋体"/>
                <w:color w:val="auto"/>
              </w:rPr>
            </w:pPr>
            <w:r>
              <w:rPr>
                <w:rFonts w:ascii="宋体" w:hAnsi="宋体"/>
                <w:color w:val="auto"/>
              </w:rPr>
              <w:t>环保设施设计单位</w:t>
            </w:r>
          </w:p>
        </w:tc>
        <w:tc>
          <w:tcPr>
            <w:tcW w:w="1658" w:type="pct"/>
            <w:gridSpan w:val="5"/>
            <w:tcMar>
              <w:left w:w="0" w:type="dxa"/>
              <w:right w:w="0" w:type="dxa"/>
            </w:tcMar>
            <w:vAlign w:val="center"/>
          </w:tcPr>
          <w:p w14:paraId="3E6C4248">
            <w:pPr>
              <w:adjustRightInd w:val="0"/>
              <w:snapToGrid w:val="0"/>
              <w:jc w:val="center"/>
              <w:rPr>
                <w:rFonts w:ascii="宋体" w:hAnsi="宋体"/>
                <w:color w:val="auto"/>
              </w:rPr>
            </w:pPr>
            <w:r>
              <w:rPr>
                <w:rFonts w:hint="eastAsia"/>
                <w:color w:val="auto"/>
              </w:rPr>
              <w:t>胜利油田高青石油开发有限责任公司</w:t>
            </w:r>
          </w:p>
        </w:tc>
        <w:tc>
          <w:tcPr>
            <w:tcW w:w="623" w:type="pct"/>
            <w:gridSpan w:val="2"/>
            <w:tcMar>
              <w:left w:w="0" w:type="dxa"/>
              <w:right w:w="0" w:type="dxa"/>
            </w:tcMar>
            <w:vAlign w:val="center"/>
          </w:tcPr>
          <w:p w14:paraId="0D74E19E">
            <w:pPr>
              <w:adjustRightInd w:val="0"/>
              <w:snapToGrid w:val="0"/>
              <w:jc w:val="center"/>
              <w:rPr>
                <w:rFonts w:ascii="宋体" w:hAnsi="宋体"/>
                <w:color w:val="auto"/>
              </w:rPr>
            </w:pPr>
            <w:r>
              <w:rPr>
                <w:rFonts w:ascii="宋体" w:hAnsi="宋体"/>
                <w:color w:val="auto"/>
              </w:rPr>
              <w:t>环保设施施工单位</w:t>
            </w:r>
          </w:p>
        </w:tc>
        <w:tc>
          <w:tcPr>
            <w:tcW w:w="653" w:type="pct"/>
            <w:tcMar>
              <w:left w:w="0" w:type="dxa"/>
              <w:right w:w="0" w:type="dxa"/>
            </w:tcMar>
            <w:vAlign w:val="center"/>
          </w:tcPr>
          <w:p w14:paraId="0D4236D4">
            <w:pPr>
              <w:adjustRightInd w:val="0"/>
              <w:snapToGrid w:val="0"/>
              <w:jc w:val="center"/>
              <w:rPr>
                <w:rFonts w:ascii="宋体" w:hAnsi="宋体"/>
                <w:color w:val="auto"/>
              </w:rPr>
            </w:pPr>
            <w:r>
              <w:rPr>
                <w:rFonts w:hint="eastAsia" w:ascii="宋体" w:hAnsi="宋体"/>
                <w:color w:val="auto"/>
              </w:rPr>
              <w:t>胜利油田长城钻井技术有限责任公司、胜利石油工程有限公司黄河钻井总公司、</w:t>
            </w:r>
            <w:r>
              <w:rPr>
                <w:rFonts w:hint="eastAsia"/>
                <w:color w:val="auto"/>
              </w:rPr>
              <w:t>东营市东胜星源工程安装有限责任公司</w:t>
            </w:r>
          </w:p>
        </w:tc>
        <w:tc>
          <w:tcPr>
            <w:tcW w:w="529" w:type="pct"/>
            <w:gridSpan w:val="2"/>
            <w:tcMar>
              <w:left w:w="0" w:type="dxa"/>
              <w:right w:w="0" w:type="dxa"/>
            </w:tcMar>
            <w:vAlign w:val="center"/>
          </w:tcPr>
          <w:p w14:paraId="3A6B6ADC">
            <w:pPr>
              <w:adjustRightInd w:val="0"/>
              <w:snapToGrid w:val="0"/>
              <w:jc w:val="center"/>
              <w:rPr>
                <w:rFonts w:ascii="宋体" w:hAnsi="宋体"/>
                <w:color w:val="auto"/>
              </w:rPr>
            </w:pPr>
            <w:r>
              <w:rPr>
                <w:rFonts w:ascii="宋体" w:hAnsi="宋体"/>
                <w:color w:val="auto"/>
              </w:rPr>
              <w:t>本工程排污许可证编号</w:t>
            </w:r>
          </w:p>
        </w:tc>
        <w:tc>
          <w:tcPr>
            <w:tcW w:w="812" w:type="pct"/>
            <w:gridSpan w:val="3"/>
            <w:tcMar>
              <w:left w:w="0" w:type="dxa"/>
              <w:right w:w="0" w:type="dxa"/>
            </w:tcMar>
            <w:vAlign w:val="center"/>
          </w:tcPr>
          <w:p w14:paraId="51FCE798">
            <w:pPr>
              <w:adjustRightInd w:val="0"/>
              <w:snapToGrid w:val="0"/>
              <w:jc w:val="center"/>
              <w:rPr>
                <w:rFonts w:ascii="宋体" w:hAnsi="宋体"/>
                <w:color w:val="auto"/>
              </w:rPr>
            </w:pPr>
            <w:r>
              <w:rPr>
                <w:rFonts w:hint="eastAsia" w:ascii="宋体" w:hAnsi="宋体"/>
                <w:color w:val="auto"/>
              </w:rPr>
              <w:t>9137</w:t>
            </w:r>
            <w:r>
              <w:rPr>
                <w:rFonts w:ascii="宋体" w:hAnsi="宋体"/>
                <w:color w:val="auto"/>
              </w:rPr>
              <w:t>03221672516964001X</w:t>
            </w:r>
          </w:p>
        </w:tc>
      </w:tr>
      <w:tr w14:paraId="4EC04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11837B9">
            <w:pPr>
              <w:adjustRightInd w:val="0"/>
              <w:snapToGrid w:val="0"/>
              <w:jc w:val="center"/>
              <w:rPr>
                <w:rFonts w:ascii="宋体" w:hAnsi="宋体"/>
                <w:color w:val="auto"/>
              </w:rPr>
            </w:pPr>
          </w:p>
        </w:tc>
        <w:tc>
          <w:tcPr>
            <w:tcW w:w="592" w:type="pct"/>
            <w:gridSpan w:val="2"/>
            <w:tcMar>
              <w:left w:w="0" w:type="dxa"/>
              <w:right w:w="0" w:type="dxa"/>
            </w:tcMar>
            <w:vAlign w:val="center"/>
          </w:tcPr>
          <w:p w14:paraId="6E99074F">
            <w:pPr>
              <w:adjustRightInd w:val="0"/>
              <w:snapToGrid w:val="0"/>
              <w:jc w:val="center"/>
              <w:rPr>
                <w:rFonts w:ascii="宋体" w:hAnsi="宋体"/>
                <w:color w:val="auto"/>
              </w:rPr>
            </w:pPr>
            <w:r>
              <w:rPr>
                <w:rFonts w:ascii="宋体" w:hAnsi="宋体"/>
                <w:color w:val="auto"/>
              </w:rPr>
              <w:t>验收单位</w:t>
            </w:r>
          </w:p>
        </w:tc>
        <w:tc>
          <w:tcPr>
            <w:tcW w:w="1658" w:type="pct"/>
            <w:gridSpan w:val="5"/>
            <w:tcMar>
              <w:left w:w="0" w:type="dxa"/>
              <w:right w:w="0" w:type="dxa"/>
            </w:tcMar>
            <w:vAlign w:val="center"/>
          </w:tcPr>
          <w:p w14:paraId="410524F9">
            <w:pPr>
              <w:adjustRightInd w:val="0"/>
              <w:snapToGrid w:val="0"/>
              <w:jc w:val="center"/>
              <w:rPr>
                <w:rFonts w:ascii="宋体" w:hAnsi="宋体"/>
                <w:color w:val="auto"/>
              </w:rPr>
            </w:pPr>
            <w:r>
              <w:rPr>
                <w:rFonts w:hint="eastAsia"/>
                <w:color w:val="auto"/>
              </w:rPr>
              <w:t>胜利油田高青石油开发有限责任公司</w:t>
            </w:r>
          </w:p>
        </w:tc>
        <w:tc>
          <w:tcPr>
            <w:tcW w:w="623" w:type="pct"/>
            <w:gridSpan w:val="2"/>
            <w:tcMar>
              <w:left w:w="0" w:type="dxa"/>
              <w:right w:w="0" w:type="dxa"/>
            </w:tcMar>
            <w:vAlign w:val="center"/>
          </w:tcPr>
          <w:p w14:paraId="5DD4505F">
            <w:pPr>
              <w:adjustRightInd w:val="0"/>
              <w:snapToGrid w:val="0"/>
              <w:jc w:val="center"/>
              <w:rPr>
                <w:rFonts w:ascii="宋体" w:hAnsi="宋体"/>
                <w:color w:val="auto"/>
              </w:rPr>
            </w:pPr>
            <w:r>
              <w:rPr>
                <w:rFonts w:ascii="宋体" w:hAnsi="宋体"/>
                <w:color w:val="auto"/>
              </w:rPr>
              <w:t>环保设施监测单位</w:t>
            </w:r>
          </w:p>
        </w:tc>
        <w:tc>
          <w:tcPr>
            <w:tcW w:w="653" w:type="pct"/>
            <w:tcMar>
              <w:left w:w="0" w:type="dxa"/>
              <w:right w:w="0" w:type="dxa"/>
            </w:tcMar>
            <w:vAlign w:val="center"/>
          </w:tcPr>
          <w:p w14:paraId="55DA3E1C">
            <w:pPr>
              <w:adjustRightInd w:val="0"/>
              <w:snapToGrid w:val="0"/>
              <w:jc w:val="center"/>
              <w:rPr>
                <w:rFonts w:ascii="宋体" w:hAnsi="宋体"/>
                <w:color w:val="auto"/>
              </w:rPr>
            </w:pPr>
            <w:r>
              <w:rPr>
                <w:rFonts w:hint="eastAsia" w:ascii="宋体" w:hAnsi="宋体"/>
                <w:color w:val="auto"/>
              </w:rPr>
              <w:t>山东蓝普</w:t>
            </w:r>
            <w:r>
              <w:rPr>
                <w:rFonts w:ascii="宋体" w:hAnsi="宋体"/>
                <w:color w:val="auto"/>
              </w:rPr>
              <w:t>检测</w:t>
            </w:r>
            <w:r>
              <w:rPr>
                <w:rFonts w:hint="eastAsia" w:ascii="宋体" w:hAnsi="宋体"/>
                <w:color w:val="auto"/>
              </w:rPr>
              <w:t>技术</w:t>
            </w:r>
            <w:r>
              <w:rPr>
                <w:rFonts w:ascii="宋体" w:hAnsi="宋体"/>
                <w:color w:val="auto"/>
              </w:rPr>
              <w:t>有限公司</w:t>
            </w:r>
          </w:p>
        </w:tc>
        <w:tc>
          <w:tcPr>
            <w:tcW w:w="529" w:type="pct"/>
            <w:gridSpan w:val="2"/>
            <w:tcMar>
              <w:left w:w="0" w:type="dxa"/>
              <w:right w:w="0" w:type="dxa"/>
            </w:tcMar>
            <w:vAlign w:val="center"/>
          </w:tcPr>
          <w:p w14:paraId="6C2865F0">
            <w:pPr>
              <w:adjustRightInd w:val="0"/>
              <w:snapToGrid w:val="0"/>
              <w:jc w:val="center"/>
              <w:rPr>
                <w:rFonts w:ascii="宋体" w:hAnsi="宋体"/>
                <w:color w:val="auto"/>
              </w:rPr>
            </w:pPr>
            <w:r>
              <w:rPr>
                <w:rFonts w:ascii="宋体" w:hAnsi="宋体"/>
                <w:color w:val="auto"/>
              </w:rPr>
              <w:t>验收监测时工况</w:t>
            </w:r>
          </w:p>
        </w:tc>
        <w:tc>
          <w:tcPr>
            <w:tcW w:w="812" w:type="pct"/>
            <w:gridSpan w:val="3"/>
            <w:tcMar>
              <w:left w:w="0" w:type="dxa"/>
              <w:right w:w="0" w:type="dxa"/>
            </w:tcMar>
            <w:vAlign w:val="center"/>
          </w:tcPr>
          <w:p w14:paraId="221FAF3C">
            <w:pPr>
              <w:adjustRightInd w:val="0"/>
              <w:snapToGrid w:val="0"/>
              <w:jc w:val="center"/>
              <w:rPr>
                <w:rFonts w:ascii="宋体" w:hAnsi="宋体"/>
                <w:color w:val="auto"/>
              </w:rPr>
            </w:pPr>
            <w:r>
              <w:rPr>
                <w:rFonts w:hint="eastAsia" w:ascii="宋体" w:hAnsi="宋体"/>
                <w:color w:val="auto"/>
              </w:rPr>
              <w:t>正常</w:t>
            </w:r>
          </w:p>
        </w:tc>
      </w:tr>
      <w:tr w14:paraId="51D93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74F81368">
            <w:pPr>
              <w:adjustRightInd w:val="0"/>
              <w:snapToGrid w:val="0"/>
              <w:jc w:val="center"/>
              <w:rPr>
                <w:rFonts w:ascii="宋体" w:hAnsi="宋体"/>
                <w:color w:val="auto"/>
              </w:rPr>
            </w:pPr>
          </w:p>
        </w:tc>
        <w:tc>
          <w:tcPr>
            <w:tcW w:w="592" w:type="pct"/>
            <w:gridSpan w:val="2"/>
            <w:tcMar>
              <w:left w:w="0" w:type="dxa"/>
              <w:right w:w="0" w:type="dxa"/>
            </w:tcMar>
            <w:vAlign w:val="center"/>
          </w:tcPr>
          <w:p w14:paraId="14432682">
            <w:pPr>
              <w:adjustRightInd w:val="0"/>
              <w:snapToGrid w:val="0"/>
              <w:jc w:val="center"/>
              <w:rPr>
                <w:rFonts w:ascii="宋体" w:hAnsi="宋体"/>
                <w:color w:val="auto"/>
              </w:rPr>
            </w:pPr>
            <w:r>
              <w:rPr>
                <w:rFonts w:ascii="宋体" w:hAnsi="宋体"/>
                <w:color w:val="auto"/>
              </w:rPr>
              <w:t>投资总概算（万元）</w:t>
            </w:r>
          </w:p>
        </w:tc>
        <w:tc>
          <w:tcPr>
            <w:tcW w:w="1658" w:type="pct"/>
            <w:gridSpan w:val="5"/>
            <w:tcMar>
              <w:left w:w="0" w:type="dxa"/>
              <w:right w:w="0" w:type="dxa"/>
            </w:tcMar>
            <w:vAlign w:val="center"/>
          </w:tcPr>
          <w:p w14:paraId="6ED477AE">
            <w:pPr>
              <w:adjustRightInd w:val="0"/>
              <w:snapToGrid w:val="0"/>
              <w:jc w:val="center"/>
              <w:rPr>
                <w:rFonts w:ascii="宋体" w:hAnsi="宋体"/>
                <w:color w:val="auto"/>
              </w:rPr>
            </w:pPr>
            <w:r>
              <w:rPr>
                <w:rFonts w:ascii="宋体" w:hAnsi="宋体"/>
                <w:color w:val="auto"/>
              </w:rPr>
              <w:t>271809.2</w:t>
            </w:r>
          </w:p>
        </w:tc>
        <w:tc>
          <w:tcPr>
            <w:tcW w:w="623" w:type="pct"/>
            <w:gridSpan w:val="2"/>
            <w:tcMar>
              <w:left w:w="0" w:type="dxa"/>
              <w:right w:w="0" w:type="dxa"/>
            </w:tcMar>
            <w:vAlign w:val="center"/>
          </w:tcPr>
          <w:p w14:paraId="6BC9C856">
            <w:pPr>
              <w:adjustRightInd w:val="0"/>
              <w:snapToGrid w:val="0"/>
              <w:jc w:val="center"/>
              <w:rPr>
                <w:rFonts w:ascii="宋体" w:hAnsi="宋体"/>
                <w:color w:val="auto"/>
              </w:rPr>
            </w:pPr>
            <w:r>
              <w:rPr>
                <w:rFonts w:ascii="宋体" w:hAnsi="宋体"/>
                <w:color w:val="auto"/>
              </w:rPr>
              <w:t>环保投资总概算（万元）</w:t>
            </w:r>
          </w:p>
        </w:tc>
        <w:tc>
          <w:tcPr>
            <w:tcW w:w="653" w:type="pct"/>
            <w:tcMar>
              <w:left w:w="0" w:type="dxa"/>
              <w:right w:w="0" w:type="dxa"/>
            </w:tcMar>
            <w:vAlign w:val="center"/>
          </w:tcPr>
          <w:p w14:paraId="7FA4E93F">
            <w:pPr>
              <w:adjustRightInd w:val="0"/>
              <w:snapToGrid w:val="0"/>
              <w:jc w:val="center"/>
              <w:rPr>
                <w:rFonts w:ascii="宋体" w:hAnsi="宋体"/>
                <w:color w:val="auto"/>
              </w:rPr>
            </w:pPr>
            <w:r>
              <w:rPr>
                <w:rFonts w:ascii="宋体" w:hAnsi="宋体"/>
                <w:color w:val="auto"/>
              </w:rPr>
              <w:t>706</w:t>
            </w:r>
          </w:p>
        </w:tc>
        <w:tc>
          <w:tcPr>
            <w:tcW w:w="529" w:type="pct"/>
            <w:gridSpan w:val="2"/>
            <w:tcMar>
              <w:left w:w="0" w:type="dxa"/>
              <w:right w:w="0" w:type="dxa"/>
            </w:tcMar>
            <w:vAlign w:val="center"/>
          </w:tcPr>
          <w:p w14:paraId="6FF1C43E">
            <w:pPr>
              <w:adjustRightInd w:val="0"/>
              <w:snapToGrid w:val="0"/>
              <w:jc w:val="center"/>
              <w:rPr>
                <w:rFonts w:ascii="宋体" w:hAnsi="宋体"/>
                <w:color w:val="auto"/>
              </w:rPr>
            </w:pPr>
            <w:r>
              <w:rPr>
                <w:rFonts w:ascii="宋体" w:hAnsi="宋体"/>
                <w:color w:val="auto"/>
              </w:rPr>
              <w:t>所占比例</w:t>
            </w:r>
            <w:r>
              <w:rPr>
                <w:rFonts w:hint="eastAsia" w:ascii="宋体" w:hAnsi="宋体"/>
                <w:color w:val="auto"/>
              </w:rPr>
              <w:t>（%）</w:t>
            </w:r>
          </w:p>
        </w:tc>
        <w:tc>
          <w:tcPr>
            <w:tcW w:w="812" w:type="pct"/>
            <w:gridSpan w:val="3"/>
            <w:tcMar>
              <w:left w:w="0" w:type="dxa"/>
              <w:right w:w="0" w:type="dxa"/>
            </w:tcMar>
            <w:vAlign w:val="center"/>
          </w:tcPr>
          <w:p w14:paraId="4B70D50B">
            <w:pPr>
              <w:adjustRightInd w:val="0"/>
              <w:snapToGrid w:val="0"/>
              <w:jc w:val="center"/>
              <w:rPr>
                <w:rFonts w:ascii="宋体" w:hAnsi="宋体"/>
                <w:color w:val="auto"/>
              </w:rPr>
            </w:pPr>
            <w:r>
              <w:rPr>
                <w:rFonts w:ascii="宋体" w:hAnsi="宋体"/>
                <w:color w:val="auto"/>
              </w:rPr>
              <w:t>0.26%</w:t>
            </w:r>
          </w:p>
        </w:tc>
      </w:tr>
      <w:tr w14:paraId="4C7FD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0531DF9F">
            <w:pPr>
              <w:adjustRightInd w:val="0"/>
              <w:snapToGrid w:val="0"/>
              <w:jc w:val="center"/>
              <w:rPr>
                <w:rFonts w:ascii="宋体" w:hAnsi="宋体"/>
                <w:color w:val="auto"/>
              </w:rPr>
            </w:pPr>
          </w:p>
        </w:tc>
        <w:tc>
          <w:tcPr>
            <w:tcW w:w="592" w:type="pct"/>
            <w:gridSpan w:val="2"/>
            <w:tcMar>
              <w:left w:w="0" w:type="dxa"/>
              <w:right w:w="0" w:type="dxa"/>
            </w:tcMar>
            <w:vAlign w:val="center"/>
          </w:tcPr>
          <w:p w14:paraId="579D3A93">
            <w:pPr>
              <w:adjustRightInd w:val="0"/>
              <w:snapToGrid w:val="0"/>
              <w:jc w:val="center"/>
              <w:rPr>
                <w:rFonts w:ascii="宋体" w:hAnsi="宋体"/>
                <w:color w:val="auto"/>
              </w:rPr>
            </w:pPr>
            <w:r>
              <w:rPr>
                <w:rFonts w:ascii="宋体" w:hAnsi="宋体"/>
                <w:color w:val="auto"/>
              </w:rPr>
              <w:t>实际总投资</w:t>
            </w:r>
          </w:p>
        </w:tc>
        <w:tc>
          <w:tcPr>
            <w:tcW w:w="1658" w:type="pct"/>
            <w:gridSpan w:val="5"/>
            <w:tcMar>
              <w:left w:w="0" w:type="dxa"/>
              <w:right w:w="0" w:type="dxa"/>
            </w:tcMar>
            <w:vAlign w:val="center"/>
          </w:tcPr>
          <w:p w14:paraId="64BC1B49">
            <w:pPr>
              <w:adjustRightInd w:val="0"/>
              <w:snapToGrid w:val="0"/>
              <w:jc w:val="center"/>
              <w:rPr>
                <w:rFonts w:ascii="宋体" w:hAnsi="宋体"/>
                <w:color w:val="auto"/>
              </w:rPr>
            </w:pPr>
            <w:r>
              <w:rPr>
                <w:rFonts w:ascii="宋体" w:hAnsi="宋体"/>
                <w:color w:val="auto"/>
              </w:rPr>
              <w:t>860</w:t>
            </w:r>
          </w:p>
        </w:tc>
        <w:tc>
          <w:tcPr>
            <w:tcW w:w="623" w:type="pct"/>
            <w:gridSpan w:val="2"/>
            <w:tcMar>
              <w:left w:w="0" w:type="dxa"/>
              <w:right w:w="0" w:type="dxa"/>
            </w:tcMar>
            <w:vAlign w:val="center"/>
          </w:tcPr>
          <w:p w14:paraId="5F51D630">
            <w:pPr>
              <w:adjustRightInd w:val="0"/>
              <w:snapToGrid w:val="0"/>
              <w:jc w:val="center"/>
              <w:rPr>
                <w:rFonts w:ascii="宋体" w:hAnsi="宋体"/>
                <w:color w:val="auto"/>
              </w:rPr>
            </w:pPr>
            <w:r>
              <w:rPr>
                <w:rFonts w:ascii="宋体" w:hAnsi="宋体"/>
                <w:color w:val="auto"/>
              </w:rPr>
              <w:t>实际环保投资（万元）</w:t>
            </w:r>
          </w:p>
        </w:tc>
        <w:tc>
          <w:tcPr>
            <w:tcW w:w="653" w:type="pct"/>
            <w:tcMar>
              <w:left w:w="0" w:type="dxa"/>
              <w:right w:w="0" w:type="dxa"/>
            </w:tcMar>
            <w:vAlign w:val="center"/>
          </w:tcPr>
          <w:p w14:paraId="27146626">
            <w:pPr>
              <w:adjustRightInd w:val="0"/>
              <w:snapToGrid w:val="0"/>
              <w:jc w:val="center"/>
              <w:rPr>
                <w:rFonts w:ascii="宋体" w:hAnsi="宋体"/>
                <w:color w:val="auto"/>
              </w:rPr>
            </w:pPr>
            <w:r>
              <w:rPr>
                <w:rFonts w:ascii="宋体" w:hAnsi="宋体"/>
                <w:color w:val="auto"/>
              </w:rPr>
              <w:t>99</w:t>
            </w:r>
          </w:p>
        </w:tc>
        <w:tc>
          <w:tcPr>
            <w:tcW w:w="529" w:type="pct"/>
            <w:gridSpan w:val="2"/>
            <w:tcMar>
              <w:left w:w="0" w:type="dxa"/>
              <w:right w:w="0" w:type="dxa"/>
            </w:tcMar>
            <w:vAlign w:val="center"/>
          </w:tcPr>
          <w:p w14:paraId="75874455">
            <w:pPr>
              <w:adjustRightInd w:val="0"/>
              <w:snapToGrid w:val="0"/>
              <w:jc w:val="center"/>
              <w:rPr>
                <w:rFonts w:ascii="宋体" w:hAnsi="宋体"/>
                <w:color w:val="auto"/>
              </w:rPr>
            </w:pPr>
            <w:r>
              <w:rPr>
                <w:rFonts w:ascii="宋体" w:hAnsi="宋体"/>
                <w:color w:val="auto"/>
              </w:rPr>
              <w:t>所占比例（%）</w:t>
            </w:r>
          </w:p>
        </w:tc>
        <w:tc>
          <w:tcPr>
            <w:tcW w:w="812" w:type="pct"/>
            <w:gridSpan w:val="3"/>
            <w:tcMar>
              <w:left w:w="0" w:type="dxa"/>
              <w:right w:w="0" w:type="dxa"/>
            </w:tcMar>
            <w:vAlign w:val="center"/>
          </w:tcPr>
          <w:p w14:paraId="5D7CDAD9">
            <w:pPr>
              <w:adjustRightInd w:val="0"/>
              <w:snapToGrid w:val="0"/>
              <w:jc w:val="center"/>
              <w:rPr>
                <w:rFonts w:ascii="宋体" w:hAnsi="宋体"/>
                <w:color w:val="auto"/>
              </w:rPr>
            </w:pPr>
            <w:r>
              <w:rPr>
                <w:rFonts w:ascii="宋体" w:hAnsi="宋体"/>
                <w:color w:val="auto"/>
              </w:rPr>
              <w:t>0.9%</w:t>
            </w:r>
          </w:p>
        </w:tc>
      </w:tr>
      <w:tr w14:paraId="65FE5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E0D5927">
            <w:pPr>
              <w:adjustRightInd w:val="0"/>
              <w:snapToGrid w:val="0"/>
              <w:jc w:val="center"/>
              <w:rPr>
                <w:rFonts w:ascii="宋体" w:hAnsi="宋体"/>
                <w:color w:val="auto"/>
              </w:rPr>
            </w:pPr>
          </w:p>
        </w:tc>
        <w:tc>
          <w:tcPr>
            <w:tcW w:w="592" w:type="pct"/>
            <w:gridSpan w:val="2"/>
            <w:tcMar>
              <w:left w:w="0" w:type="dxa"/>
              <w:right w:w="0" w:type="dxa"/>
            </w:tcMar>
            <w:vAlign w:val="center"/>
          </w:tcPr>
          <w:p w14:paraId="0D4753EA">
            <w:pPr>
              <w:adjustRightInd w:val="0"/>
              <w:snapToGrid w:val="0"/>
              <w:jc w:val="center"/>
              <w:rPr>
                <w:rFonts w:ascii="宋体" w:hAnsi="宋体"/>
                <w:color w:val="auto"/>
              </w:rPr>
            </w:pPr>
            <w:r>
              <w:rPr>
                <w:rFonts w:ascii="宋体" w:hAnsi="宋体"/>
                <w:color w:val="auto"/>
              </w:rPr>
              <w:t>废水治理（万元）</w:t>
            </w:r>
          </w:p>
        </w:tc>
        <w:tc>
          <w:tcPr>
            <w:tcW w:w="353" w:type="pct"/>
            <w:tcMar>
              <w:left w:w="0" w:type="dxa"/>
              <w:right w:w="0" w:type="dxa"/>
            </w:tcMar>
            <w:vAlign w:val="center"/>
          </w:tcPr>
          <w:p w14:paraId="750A825D">
            <w:pPr>
              <w:adjustRightInd w:val="0"/>
              <w:snapToGrid w:val="0"/>
              <w:jc w:val="center"/>
              <w:rPr>
                <w:rFonts w:ascii="宋体" w:hAnsi="宋体"/>
                <w:color w:val="auto"/>
              </w:rPr>
            </w:pPr>
            <w:r>
              <w:rPr>
                <w:rFonts w:ascii="宋体" w:hAnsi="宋体"/>
                <w:color w:val="auto"/>
              </w:rPr>
              <w:t>1</w:t>
            </w:r>
          </w:p>
        </w:tc>
        <w:tc>
          <w:tcPr>
            <w:tcW w:w="356" w:type="pct"/>
            <w:tcMar>
              <w:left w:w="0" w:type="dxa"/>
              <w:right w:w="0" w:type="dxa"/>
            </w:tcMar>
            <w:vAlign w:val="center"/>
          </w:tcPr>
          <w:p w14:paraId="20D13DD7">
            <w:pPr>
              <w:adjustRightInd w:val="0"/>
              <w:snapToGrid w:val="0"/>
              <w:jc w:val="center"/>
              <w:rPr>
                <w:rFonts w:ascii="宋体" w:hAnsi="宋体"/>
                <w:color w:val="auto"/>
              </w:rPr>
            </w:pPr>
            <w:r>
              <w:rPr>
                <w:rFonts w:ascii="宋体" w:hAnsi="宋体"/>
                <w:color w:val="auto"/>
              </w:rPr>
              <w:t>废气治理</w:t>
            </w:r>
          </w:p>
          <w:p w14:paraId="21C9223F">
            <w:pPr>
              <w:adjustRightInd w:val="0"/>
              <w:snapToGrid w:val="0"/>
              <w:jc w:val="center"/>
              <w:rPr>
                <w:rFonts w:ascii="宋体" w:hAnsi="宋体"/>
                <w:color w:val="auto"/>
              </w:rPr>
            </w:pPr>
            <w:r>
              <w:rPr>
                <w:rFonts w:ascii="宋体" w:hAnsi="宋体"/>
                <w:color w:val="auto"/>
              </w:rPr>
              <w:t>（万元）</w:t>
            </w:r>
          </w:p>
        </w:tc>
        <w:tc>
          <w:tcPr>
            <w:tcW w:w="327" w:type="pct"/>
            <w:tcMar>
              <w:left w:w="0" w:type="dxa"/>
              <w:right w:w="0" w:type="dxa"/>
            </w:tcMar>
            <w:vAlign w:val="center"/>
          </w:tcPr>
          <w:p w14:paraId="56EB1371">
            <w:pPr>
              <w:adjustRightInd w:val="0"/>
              <w:snapToGrid w:val="0"/>
              <w:jc w:val="center"/>
              <w:rPr>
                <w:rFonts w:ascii="宋体" w:hAnsi="宋体"/>
                <w:color w:val="auto"/>
              </w:rPr>
            </w:pPr>
            <w:r>
              <w:rPr>
                <w:rFonts w:ascii="宋体" w:hAnsi="宋体"/>
                <w:color w:val="auto"/>
              </w:rPr>
              <w:t>36</w:t>
            </w:r>
          </w:p>
        </w:tc>
        <w:tc>
          <w:tcPr>
            <w:tcW w:w="367" w:type="pct"/>
            <w:tcMar>
              <w:left w:w="0" w:type="dxa"/>
              <w:right w:w="0" w:type="dxa"/>
            </w:tcMar>
            <w:vAlign w:val="center"/>
          </w:tcPr>
          <w:p w14:paraId="0E98A7BD">
            <w:pPr>
              <w:adjustRightInd w:val="0"/>
              <w:snapToGrid w:val="0"/>
              <w:jc w:val="center"/>
              <w:rPr>
                <w:rFonts w:ascii="宋体" w:hAnsi="宋体"/>
                <w:color w:val="auto"/>
              </w:rPr>
            </w:pPr>
            <w:r>
              <w:rPr>
                <w:rFonts w:ascii="宋体" w:hAnsi="宋体"/>
                <w:color w:val="auto"/>
              </w:rPr>
              <w:t>噪声治理</w:t>
            </w:r>
          </w:p>
          <w:p w14:paraId="7D3C78DA">
            <w:pPr>
              <w:adjustRightInd w:val="0"/>
              <w:snapToGrid w:val="0"/>
              <w:jc w:val="center"/>
              <w:rPr>
                <w:rFonts w:ascii="宋体" w:hAnsi="宋体"/>
                <w:color w:val="auto"/>
              </w:rPr>
            </w:pPr>
            <w:r>
              <w:rPr>
                <w:rFonts w:ascii="宋体" w:hAnsi="宋体"/>
                <w:color w:val="auto"/>
              </w:rPr>
              <w:t>（万元）</w:t>
            </w:r>
          </w:p>
        </w:tc>
        <w:tc>
          <w:tcPr>
            <w:tcW w:w="255" w:type="pct"/>
            <w:tcMar>
              <w:left w:w="0" w:type="dxa"/>
              <w:right w:w="0" w:type="dxa"/>
            </w:tcMar>
            <w:vAlign w:val="center"/>
          </w:tcPr>
          <w:p w14:paraId="0D950859">
            <w:pPr>
              <w:adjustRightInd w:val="0"/>
              <w:snapToGrid w:val="0"/>
              <w:jc w:val="center"/>
              <w:rPr>
                <w:rFonts w:ascii="宋体" w:hAnsi="宋体"/>
                <w:color w:val="auto"/>
              </w:rPr>
            </w:pPr>
            <w:r>
              <w:rPr>
                <w:rFonts w:ascii="宋体" w:hAnsi="宋体"/>
                <w:color w:val="auto"/>
              </w:rPr>
              <w:t>8</w:t>
            </w:r>
          </w:p>
        </w:tc>
        <w:tc>
          <w:tcPr>
            <w:tcW w:w="623" w:type="pct"/>
            <w:gridSpan w:val="2"/>
            <w:tcMar>
              <w:left w:w="0" w:type="dxa"/>
              <w:right w:w="0" w:type="dxa"/>
            </w:tcMar>
            <w:vAlign w:val="center"/>
          </w:tcPr>
          <w:p w14:paraId="69094011">
            <w:pPr>
              <w:adjustRightInd w:val="0"/>
              <w:snapToGrid w:val="0"/>
              <w:jc w:val="center"/>
              <w:rPr>
                <w:rFonts w:ascii="宋体" w:hAnsi="宋体"/>
                <w:color w:val="auto"/>
              </w:rPr>
            </w:pPr>
            <w:r>
              <w:rPr>
                <w:rFonts w:ascii="宋体" w:hAnsi="宋体"/>
                <w:color w:val="auto"/>
              </w:rPr>
              <w:t>固体废物治理（万元）</w:t>
            </w:r>
          </w:p>
        </w:tc>
        <w:tc>
          <w:tcPr>
            <w:tcW w:w="653" w:type="pct"/>
            <w:tcMar>
              <w:left w:w="0" w:type="dxa"/>
              <w:right w:w="0" w:type="dxa"/>
            </w:tcMar>
            <w:vAlign w:val="center"/>
          </w:tcPr>
          <w:p w14:paraId="79B365EE">
            <w:pPr>
              <w:adjustRightInd w:val="0"/>
              <w:snapToGrid w:val="0"/>
              <w:jc w:val="center"/>
              <w:rPr>
                <w:rFonts w:ascii="宋体" w:hAnsi="宋体"/>
                <w:color w:val="auto"/>
              </w:rPr>
            </w:pPr>
            <w:r>
              <w:rPr>
                <w:rFonts w:ascii="宋体" w:hAnsi="宋体"/>
                <w:color w:val="auto"/>
              </w:rPr>
              <w:t>10</w:t>
            </w:r>
          </w:p>
        </w:tc>
        <w:tc>
          <w:tcPr>
            <w:tcW w:w="529" w:type="pct"/>
            <w:gridSpan w:val="2"/>
            <w:tcMar>
              <w:left w:w="0" w:type="dxa"/>
              <w:right w:w="0" w:type="dxa"/>
            </w:tcMar>
            <w:vAlign w:val="center"/>
          </w:tcPr>
          <w:p w14:paraId="4F2A5BB3">
            <w:pPr>
              <w:adjustRightInd w:val="0"/>
              <w:snapToGrid w:val="0"/>
              <w:jc w:val="center"/>
              <w:rPr>
                <w:rFonts w:ascii="宋体" w:hAnsi="宋体"/>
                <w:color w:val="auto"/>
              </w:rPr>
            </w:pPr>
            <w:r>
              <w:rPr>
                <w:rFonts w:ascii="宋体" w:hAnsi="宋体"/>
                <w:color w:val="auto"/>
              </w:rPr>
              <w:t>绿化及生态（万元）</w:t>
            </w:r>
          </w:p>
        </w:tc>
        <w:tc>
          <w:tcPr>
            <w:tcW w:w="403" w:type="pct"/>
            <w:tcMar>
              <w:left w:w="0" w:type="dxa"/>
              <w:right w:w="0" w:type="dxa"/>
            </w:tcMar>
            <w:vAlign w:val="center"/>
          </w:tcPr>
          <w:p w14:paraId="0897F752">
            <w:pPr>
              <w:adjustRightInd w:val="0"/>
              <w:snapToGrid w:val="0"/>
              <w:jc w:val="center"/>
              <w:rPr>
                <w:rFonts w:ascii="宋体" w:hAnsi="宋体"/>
                <w:color w:val="auto"/>
              </w:rPr>
            </w:pPr>
            <w:r>
              <w:rPr>
                <w:rFonts w:ascii="宋体" w:hAnsi="宋体"/>
                <w:color w:val="auto"/>
              </w:rPr>
              <w:t>22</w:t>
            </w:r>
          </w:p>
        </w:tc>
        <w:tc>
          <w:tcPr>
            <w:tcW w:w="234" w:type="pct"/>
            <w:tcMar>
              <w:left w:w="0" w:type="dxa"/>
              <w:right w:w="0" w:type="dxa"/>
            </w:tcMar>
            <w:vAlign w:val="center"/>
          </w:tcPr>
          <w:p w14:paraId="1C9195D1">
            <w:pPr>
              <w:adjustRightInd w:val="0"/>
              <w:snapToGrid w:val="0"/>
              <w:jc w:val="center"/>
              <w:rPr>
                <w:rFonts w:ascii="宋体" w:hAnsi="宋体"/>
                <w:color w:val="auto"/>
              </w:rPr>
            </w:pPr>
            <w:r>
              <w:rPr>
                <w:rFonts w:hint="eastAsia" w:ascii="宋体" w:hAnsi="宋体"/>
                <w:color w:val="auto"/>
              </w:rPr>
              <w:t>其他</w:t>
            </w:r>
          </w:p>
          <w:p w14:paraId="1F3EF397">
            <w:pPr>
              <w:adjustRightInd w:val="0"/>
              <w:snapToGrid w:val="0"/>
              <w:jc w:val="center"/>
              <w:rPr>
                <w:rFonts w:ascii="宋体" w:hAnsi="宋体"/>
                <w:color w:val="auto"/>
              </w:rPr>
            </w:pPr>
            <w:r>
              <w:rPr>
                <w:rFonts w:ascii="宋体" w:hAnsi="宋体"/>
                <w:color w:val="auto"/>
              </w:rPr>
              <w:t>（</w:t>
            </w:r>
            <w:r>
              <w:rPr>
                <w:rFonts w:hint="eastAsia" w:ascii="宋体" w:hAnsi="宋体"/>
                <w:color w:val="auto"/>
              </w:rPr>
              <w:t>万元</w:t>
            </w:r>
            <w:r>
              <w:rPr>
                <w:rFonts w:ascii="宋体" w:hAnsi="宋体"/>
                <w:color w:val="auto"/>
              </w:rPr>
              <w:t>）</w:t>
            </w:r>
          </w:p>
        </w:tc>
        <w:tc>
          <w:tcPr>
            <w:tcW w:w="175" w:type="pct"/>
            <w:vAlign w:val="center"/>
          </w:tcPr>
          <w:p w14:paraId="09E4F57F">
            <w:pPr>
              <w:adjustRightInd w:val="0"/>
              <w:snapToGrid w:val="0"/>
              <w:jc w:val="center"/>
              <w:rPr>
                <w:rFonts w:ascii="宋体" w:hAnsi="宋体"/>
                <w:color w:val="auto"/>
              </w:rPr>
            </w:pPr>
            <w:r>
              <w:rPr>
                <w:rFonts w:ascii="宋体" w:hAnsi="宋体"/>
                <w:color w:val="auto"/>
              </w:rPr>
              <w:t>22</w:t>
            </w:r>
          </w:p>
        </w:tc>
      </w:tr>
      <w:tr w14:paraId="74D4B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1F613A19">
            <w:pPr>
              <w:adjustRightInd w:val="0"/>
              <w:snapToGrid w:val="0"/>
              <w:jc w:val="center"/>
              <w:rPr>
                <w:rFonts w:ascii="宋体" w:hAnsi="宋体"/>
                <w:color w:val="auto"/>
              </w:rPr>
            </w:pPr>
          </w:p>
        </w:tc>
        <w:tc>
          <w:tcPr>
            <w:tcW w:w="592" w:type="pct"/>
            <w:gridSpan w:val="2"/>
            <w:tcMar>
              <w:left w:w="0" w:type="dxa"/>
              <w:right w:w="0" w:type="dxa"/>
            </w:tcMar>
            <w:vAlign w:val="center"/>
          </w:tcPr>
          <w:p w14:paraId="36E075B6">
            <w:pPr>
              <w:adjustRightInd w:val="0"/>
              <w:snapToGrid w:val="0"/>
              <w:jc w:val="center"/>
              <w:rPr>
                <w:rFonts w:ascii="宋体" w:hAnsi="宋体"/>
                <w:color w:val="auto"/>
              </w:rPr>
            </w:pPr>
            <w:r>
              <w:rPr>
                <w:rFonts w:ascii="宋体" w:hAnsi="宋体"/>
                <w:color w:val="auto"/>
              </w:rPr>
              <w:t>新增废水处理设施能力</w:t>
            </w:r>
          </w:p>
        </w:tc>
        <w:tc>
          <w:tcPr>
            <w:tcW w:w="1658" w:type="pct"/>
            <w:gridSpan w:val="5"/>
            <w:tcMar>
              <w:left w:w="0" w:type="dxa"/>
              <w:right w:w="0" w:type="dxa"/>
            </w:tcMar>
            <w:vAlign w:val="center"/>
          </w:tcPr>
          <w:p w14:paraId="5B3F5E43">
            <w:pPr>
              <w:adjustRightInd w:val="0"/>
              <w:snapToGrid w:val="0"/>
              <w:jc w:val="center"/>
              <w:rPr>
                <w:rFonts w:ascii="宋体" w:hAnsi="宋体"/>
                <w:color w:val="auto"/>
              </w:rPr>
            </w:pPr>
            <w:r>
              <w:rPr>
                <w:rFonts w:hint="eastAsia" w:ascii="宋体" w:hAnsi="宋体"/>
                <w:color w:val="auto"/>
              </w:rPr>
              <w:t>——</w:t>
            </w:r>
          </w:p>
        </w:tc>
        <w:tc>
          <w:tcPr>
            <w:tcW w:w="623" w:type="pct"/>
            <w:gridSpan w:val="2"/>
            <w:tcMar>
              <w:left w:w="0" w:type="dxa"/>
              <w:right w:w="0" w:type="dxa"/>
            </w:tcMar>
            <w:vAlign w:val="center"/>
          </w:tcPr>
          <w:p w14:paraId="47FAC728">
            <w:pPr>
              <w:adjustRightInd w:val="0"/>
              <w:snapToGrid w:val="0"/>
              <w:jc w:val="center"/>
              <w:rPr>
                <w:rFonts w:ascii="宋体" w:hAnsi="宋体"/>
                <w:color w:val="auto"/>
              </w:rPr>
            </w:pPr>
            <w:r>
              <w:rPr>
                <w:rFonts w:ascii="宋体" w:hAnsi="宋体"/>
                <w:color w:val="auto"/>
              </w:rPr>
              <w:t>新增废气处理设施能力</w:t>
            </w:r>
          </w:p>
        </w:tc>
        <w:tc>
          <w:tcPr>
            <w:tcW w:w="653" w:type="pct"/>
            <w:tcMar>
              <w:left w:w="0" w:type="dxa"/>
              <w:right w:w="0" w:type="dxa"/>
            </w:tcMar>
            <w:vAlign w:val="center"/>
          </w:tcPr>
          <w:p w14:paraId="6509E0F4">
            <w:pPr>
              <w:adjustRightInd w:val="0"/>
              <w:snapToGrid w:val="0"/>
              <w:jc w:val="center"/>
              <w:rPr>
                <w:rFonts w:ascii="宋体" w:hAnsi="宋体"/>
                <w:color w:val="auto"/>
              </w:rPr>
            </w:pPr>
            <w:r>
              <w:rPr>
                <w:rFonts w:hint="eastAsia" w:ascii="宋体" w:hAnsi="宋体"/>
                <w:color w:val="auto"/>
              </w:rPr>
              <w:t>——</w:t>
            </w:r>
          </w:p>
        </w:tc>
        <w:tc>
          <w:tcPr>
            <w:tcW w:w="529" w:type="pct"/>
            <w:gridSpan w:val="2"/>
            <w:tcMar>
              <w:left w:w="0" w:type="dxa"/>
              <w:right w:w="0" w:type="dxa"/>
            </w:tcMar>
            <w:vAlign w:val="center"/>
          </w:tcPr>
          <w:p w14:paraId="4A572F94">
            <w:pPr>
              <w:adjustRightInd w:val="0"/>
              <w:snapToGrid w:val="0"/>
              <w:jc w:val="center"/>
              <w:rPr>
                <w:rFonts w:ascii="宋体" w:hAnsi="宋体"/>
                <w:color w:val="auto"/>
              </w:rPr>
            </w:pPr>
            <w:r>
              <w:rPr>
                <w:rFonts w:ascii="宋体" w:hAnsi="宋体"/>
                <w:color w:val="auto"/>
              </w:rPr>
              <w:t>年平均工作</w:t>
            </w:r>
            <w:r>
              <w:rPr>
                <w:rFonts w:hint="eastAsia" w:ascii="宋体" w:hAnsi="宋体"/>
                <w:color w:val="auto"/>
              </w:rPr>
              <w:t>时间</w:t>
            </w:r>
          </w:p>
        </w:tc>
        <w:tc>
          <w:tcPr>
            <w:tcW w:w="812" w:type="pct"/>
            <w:gridSpan w:val="3"/>
            <w:tcMar>
              <w:left w:w="0" w:type="dxa"/>
              <w:right w:w="0" w:type="dxa"/>
            </w:tcMar>
            <w:vAlign w:val="center"/>
          </w:tcPr>
          <w:p w14:paraId="38CC3A1E">
            <w:pPr>
              <w:adjustRightInd w:val="0"/>
              <w:snapToGrid w:val="0"/>
              <w:jc w:val="center"/>
              <w:rPr>
                <w:rFonts w:ascii="宋体" w:hAnsi="宋体"/>
                <w:color w:val="auto"/>
              </w:rPr>
            </w:pPr>
            <w:r>
              <w:rPr>
                <w:rFonts w:ascii="宋体" w:hAnsi="宋体"/>
                <w:color w:val="auto"/>
              </w:rPr>
              <w:t>365d</w:t>
            </w:r>
          </w:p>
        </w:tc>
      </w:tr>
      <w:tr w14:paraId="160F2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25" w:type="pct"/>
            <w:gridSpan w:val="3"/>
            <w:tcMar>
              <w:left w:w="0" w:type="dxa"/>
              <w:right w:w="0" w:type="dxa"/>
            </w:tcMar>
            <w:vAlign w:val="center"/>
          </w:tcPr>
          <w:p w14:paraId="071147EB">
            <w:pPr>
              <w:adjustRightInd w:val="0"/>
              <w:snapToGrid w:val="0"/>
              <w:jc w:val="center"/>
              <w:rPr>
                <w:rFonts w:ascii="宋体" w:hAnsi="宋体"/>
                <w:color w:val="auto"/>
              </w:rPr>
            </w:pPr>
            <w:r>
              <w:rPr>
                <w:rFonts w:hint="eastAsia" w:ascii="宋体" w:hAnsi="宋体"/>
                <w:color w:val="auto"/>
              </w:rPr>
              <w:t>运营单位</w:t>
            </w:r>
          </w:p>
        </w:tc>
        <w:tc>
          <w:tcPr>
            <w:tcW w:w="1658" w:type="pct"/>
            <w:gridSpan w:val="5"/>
            <w:tcMar>
              <w:left w:w="0" w:type="dxa"/>
              <w:right w:w="0" w:type="dxa"/>
            </w:tcMar>
            <w:vAlign w:val="center"/>
          </w:tcPr>
          <w:p w14:paraId="6E18B10F">
            <w:pPr>
              <w:adjustRightInd w:val="0"/>
              <w:snapToGrid w:val="0"/>
              <w:jc w:val="center"/>
              <w:rPr>
                <w:rFonts w:ascii="宋体" w:hAnsi="宋体"/>
                <w:color w:val="auto"/>
              </w:rPr>
            </w:pPr>
            <w:r>
              <w:rPr>
                <w:rFonts w:hint="eastAsia"/>
                <w:color w:val="auto"/>
              </w:rPr>
              <w:t>胜利油田高青石油开发有限责任公司</w:t>
            </w:r>
          </w:p>
        </w:tc>
        <w:tc>
          <w:tcPr>
            <w:tcW w:w="623" w:type="pct"/>
            <w:gridSpan w:val="2"/>
            <w:tcMar>
              <w:left w:w="0" w:type="dxa"/>
              <w:right w:w="0" w:type="dxa"/>
            </w:tcMar>
            <w:vAlign w:val="center"/>
          </w:tcPr>
          <w:p w14:paraId="69197414">
            <w:pPr>
              <w:adjustRightInd w:val="0"/>
              <w:snapToGrid w:val="0"/>
              <w:jc w:val="center"/>
              <w:rPr>
                <w:rFonts w:ascii="宋体" w:hAnsi="宋体"/>
                <w:color w:val="auto"/>
              </w:rPr>
            </w:pPr>
            <w:r>
              <w:rPr>
                <w:rFonts w:ascii="宋体" w:hAnsi="宋体"/>
                <w:color w:val="auto"/>
              </w:rPr>
              <w:t>运营单位社会统一信用代码（或组织机构代码）</w:t>
            </w:r>
          </w:p>
        </w:tc>
        <w:tc>
          <w:tcPr>
            <w:tcW w:w="653" w:type="pct"/>
            <w:tcMar>
              <w:left w:w="0" w:type="dxa"/>
              <w:right w:w="0" w:type="dxa"/>
            </w:tcMar>
            <w:vAlign w:val="center"/>
          </w:tcPr>
          <w:p w14:paraId="00EBD351">
            <w:pPr>
              <w:adjustRightInd w:val="0"/>
              <w:snapToGrid w:val="0"/>
              <w:jc w:val="center"/>
              <w:rPr>
                <w:rFonts w:ascii="宋体" w:hAnsi="宋体"/>
                <w:color w:val="auto"/>
              </w:rPr>
            </w:pPr>
            <w:r>
              <w:rPr>
                <w:rFonts w:ascii="宋体" w:hAnsi="宋体"/>
                <w:color w:val="auto"/>
              </w:rPr>
              <w:t>913703221672516964</w:t>
            </w:r>
          </w:p>
        </w:tc>
        <w:tc>
          <w:tcPr>
            <w:tcW w:w="529" w:type="pct"/>
            <w:gridSpan w:val="2"/>
            <w:tcMar>
              <w:left w:w="0" w:type="dxa"/>
              <w:right w:w="0" w:type="dxa"/>
            </w:tcMar>
            <w:vAlign w:val="center"/>
          </w:tcPr>
          <w:p w14:paraId="5BD4C1CE">
            <w:pPr>
              <w:adjustRightInd w:val="0"/>
              <w:snapToGrid w:val="0"/>
              <w:jc w:val="center"/>
              <w:rPr>
                <w:rFonts w:ascii="宋体" w:hAnsi="宋体"/>
                <w:color w:val="auto"/>
              </w:rPr>
            </w:pPr>
            <w:r>
              <w:rPr>
                <w:rFonts w:ascii="宋体" w:hAnsi="宋体"/>
                <w:color w:val="auto"/>
              </w:rPr>
              <w:t>验收时间</w:t>
            </w:r>
          </w:p>
        </w:tc>
        <w:tc>
          <w:tcPr>
            <w:tcW w:w="812" w:type="pct"/>
            <w:gridSpan w:val="3"/>
            <w:tcMar>
              <w:left w:w="0" w:type="dxa"/>
              <w:right w:w="0" w:type="dxa"/>
            </w:tcMar>
            <w:vAlign w:val="center"/>
          </w:tcPr>
          <w:p w14:paraId="460CB35A">
            <w:pPr>
              <w:adjustRightInd w:val="0"/>
              <w:snapToGrid w:val="0"/>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p>
        </w:tc>
      </w:tr>
      <w:tr w14:paraId="01187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restart"/>
            <w:tcMar>
              <w:left w:w="0" w:type="dxa"/>
              <w:right w:w="0" w:type="dxa"/>
            </w:tcMar>
            <w:vAlign w:val="center"/>
          </w:tcPr>
          <w:p w14:paraId="177866E3">
            <w:pPr>
              <w:adjustRightInd w:val="0"/>
              <w:snapToGrid w:val="0"/>
              <w:jc w:val="center"/>
              <w:rPr>
                <w:rFonts w:ascii="宋体" w:hAnsi="宋体"/>
                <w:color w:val="auto"/>
              </w:rPr>
            </w:pPr>
            <w:r>
              <w:rPr>
                <w:rFonts w:ascii="宋体" w:hAnsi="宋体"/>
                <w:color w:val="auto"/>
              </w:rPr>
              <w:t>污染物排放达标与总量控制</w:t>
            </w:r>
          </w:p>
        </w:tc>
        <w:tc>
          <w:tcPr>
            <w:tcW w:w="592" w:type="pct"/>
            <w:gridSpan w:val="2"/>
            <w:tcMar>
              <w:left w:w="0" w:type="dxa"/>
              <w:right w:w="0" w:type="dxa"/>
            </w:tcMar>
            <w:vAlign w:val="center"/>
          </w:tcPr>
          <w:p w14:paraId="626DAA59">
            <w:pPr>
              <w:adjustRightInd w:val="0"/>
              <w:snapToGrid w:val="0"/>
              <w:jc w:val="center"/>
              <w:rPr>
                <w:rFonts w:ascii="宋体" w:hAnsi="宋体"/>
                <w:color w:val="auto"/>
              </w:rPr>
            </w:pPr>
            <w:r>
              <w:rPr>
                <w:rFonts w:hint="eastAsia" w:ascii="宋体" w:hAnsi="宋体"/>
                <w:color w:val="auto"/>
              </w:rPr>
              <w:t>污染物</w:t>
            </w:r>
          </w:p>
        </w:tc>
        <w:tc>
          <w:tcPr>
            <w:tcW w:w="353" w:type="pct"/>
            <w:tcMar>
              <w:left w:w="0" w:type="dxa"/>
              <w:right w:w="0" w:type="dxa"/>
            </w:tcMar>
            <w:vAlign w:val="center"/>
          </w:tcPr>
          <w:p w14:paraId="00E00084">
            <w:pPr>
              <w:adjustRightInd w:val="0"/>
              <w:snapToGrid w:val="0"/>
              <w:jc w:val="center"/>
              <w:rPr>
                <w:rFonts w:ascii="宋体" w:hAnsi="宋体"/>
                <w:color w:val="auto"/>
              </w:rPr>
            </w:pPr>
            <w:r>
              <w:rPr>
                <w:rFonts w:ascii="宋体" w:hAnsi="宋体"/>
                <w:color w:val="auto"/>
              </w:rPr>
              <w:t>原有排放量（1）</w:t>
            </w:r>
          </w:p>
        </w:tc>
        <w:tc>
          <w:tcPr>
            <w:tcW w:w="356" w:type="pct"/>
            <w:tcMar>
              <w:left w:w="0" w:type="dxa"/>
              <w:right w:w="0" w:type="dxa"/>
            </w:tcMar>
            <w:vAlign w:val="center"/>
          </w:tcPr>
          <w:p w14:paraId="764D2F38">
            <w:pPr>
              <w:adjustRightInd w:val="0"/>
              <w:snapToGrid w:val="0"/>
              <w:jc w:val="center"/>
              <w:rPr>
                <w:rFonts w:ascii="宋体" w:hAnsi="宋体"/>
                <w:color w:val="auto"/>
              </w:rPr>
            </w:pPr>
            <w:r>
              <w:rPr>
                <w:rFonts w:ascii="宋体" w:hAnsi="宋体"/>
                <w:color w:val="auto"/>
              </w:rPr>
              <w:t>本期工程实际排放浓度（2）</w:t>
            </w:r>
          </w:p>
        </w:tc>
        <w:tc>
          <w:tcPr>
            <w:tcW w:w="327" w:type="pct"/>
            <w:tcMar>
              <w:left w:w="0" w:type="dxa"/>
              <w:right w:w="0" w:type="dxa"/>
            </w:tcMar>
            <w:vAlign w:val="center"/>
          </w:tcPr>
          <w:p w14:paraId="04EAE8C6">
            <w:pPr>
              <w:adjustRightInd w:val="0"/>
              <w:snapToGrid w:val="0"/>
              <w:jc w:val="center"/>
              <w:rPr>
                <w:rFonts w:ascii="宋体" w:hAnsi="宋体"/>
                <w:color w:val="auto"/>
              </w:rPr>
            </w:pPr>
            <w:r>
              <w:rPr>
                <w:rFonts w:ascii="宋体" w:hAnsi="宋体"/>
                <w:color w:val="auto"/>
              </w:rPr>
              <w:t>本期工程允许排放浓度（3）</w:t>
            </w:r>
          </w:p>
        </w:tc>
        <w:tc>
          <w:tcPr>
            <w:tcW w:w="367" w:type="pct"/>
            <w:tcMar>
              <w:left w:w="0" w:type="dxa"/>
              <w:right w:w="0" w:type="dxa"/>
            </w:tcMar>
            <w:vAlign w:val="center"/>
          </w:tcPr>
          <w:p w14:paraId="61D61C99">
            <w:pPr>
              <w:adjustRightInd w:val="0"/>
              <w:snapToGrid w:val="0"/>
              <w:jc w:val="center"/>
              <w:rPr>
                <w:rFonts w:ascii="宋体" w:hAnsi="宋体"/>
                <w:color w:val="auto"/>
              </w:rPr>
            </w:pPr>
            <w:r>
              <w:rPr>
                <w:rFonts w:ascii="宋体" w:hAnsi="宋体"/>
                <w:color w:val="auto"/>
              </w:rPr>
              <w:t>本期工程产生量（4）</w:t>
            </w:r>
          </w:p>
        </w:tc>
        <w:tc>
          <w:tcPr>
            <w:tcW w:w="255" w:type="pct"/>
            <w:tcMar>
              <w:left w:w="0" w:type="dxa"/>
              <w:right w:w="0" w:type="dxa"/>
            </w:tcMar>
            <w:vAlign w:val="center"/>
          </w:tcPr>
          <w:p w14:paraId="02FCB570">
            <w:pPr>
              <w:adjustRightInd w:val="0"/>
              <w:snapToGrid w:val="0"/>
              <w:jc w:val="center"/>
              <w:rPr>
                <w:rFonts w:ascii="宋体" w:hAnsi="宋体"/>
                <w:color w:val="auto"/>
              </w:rPr>
            </w:pPr>
            <w:r>
              <w:rPr>
                <w:rFonts w:ascii="宋体" w:hAnsi="宋体"/>
                <w:color w:val="auto"/>
              </w:rPr>
              <w:t>本期工程自身削减量（5）</w:t>
            </w:r>
          </w:p>
        </w:tc>
        <w:tc>
          <w:tcPr>
            <w:tcW w:w="272" w:type="pct"/>
            <w:tcMar>
              <w:left w:w="0" w:type="dxa"/>
              <w:right w:w="0" w:type="dxa"/>
            </w:tcMar>
            <w:vAlign w:val="center"/>
          </w:tcPr>
          <w:p w14:paraId="3FF74D03">
            <w:pPr>
              <w:adjustRightInd w:val="0"/>
              <w:snapToGrid w:val="0"/>
              <w:jc w:val="center"/>
              <w:rPr>
                <w:rFonts w:ascii="宋体" w:hAnsi="宋体"/>
                <w:color w:val="auto"/>
              </w:rPr>
            </w:pPr>
            <w:r>
              <w:rPr>
                <w:rFonts w:ascii="宋体" w:hAnsi="宋体"/>
                <w:color w:val="auto"/>
              </w:rPr>
              <w:t>本期工程实际排放量（6）</w:t>
            </w:r>
          </w:p>
        </w:tc>
        <w:tc>
          <w:tcPr>
            <w:tcW w:w="351" w:type="pct"/>
            <w:tcMar>
              <w:left w:w="0" w:type="dxa"/>
              <w:right w:w="0" w:type="dxa"/>
            </w:tcMar>
            <w:vAlign w:val="center"/>
          </w:tcPr>
          <w:p w14:paraId="3AED8C2E">
            <w:pPr>
              <w:adjustRightInd w:val="0"/>
              <w:snapToGrid w:val="0"/>
              <w:jc w:val="center"/>
              <w:rPr>
                <w:rFonts w:ascii="宋体" w:hAnsi="宋体"/>
                <w:color w:val="auto"/>
              </w:rPr>
            </w:pPr>
            <w:r>
              <w:rPr>
                <w:rFonts w:ascii="宋体" w:hAnsi="宋体"/>
                <w:color w:val="auto"/>
              </w:rPr>
              <w:t>本期工程核定排放总量（7）</w:t>
            </w:r>
          </w:p>
        </w:tc>
        <w:tc>
          <w:tcPr>
            <w:tcW w:w="653" w:type="pct"/>
            <w:tcMar>
              <w:left w:w="0" w:type="dxa"/>
              <w:right w:w="0" w:type="dxa"/>
            </w:tcMar>
            <w:vAlign w:val="center"/>
          </w:tcPr>
          <w:p w14:paraId="02427732">
            <w:pPr>
              <w:adjustRightInd w:val="0"/>
              <w:snapToGrid w:val="0"/>
              <w:jc w:val="center"/>
              <w:rPr>
                <w:rFonts w:ascii="宋体" w:hAnsi="宋体"/>
                <w:color w:val="auto"/>
              </w:rPr>
            </w:pPr>
            <w:r>
              <w:rPr>
                <w:rFonts w:ascii="宋体" w:hAnsi="宋体"/>
                <w:color w:val="auto"/>
              </w:rPr>
              <w:t>本期工程“以新带老”削减量（8）</w:t>
            </w:r>
          </w:p>
        </w:tc>
        <w:tc>
          <w:tcPr>
            <w:tcW w:w="260" w:type="pct"/>
            <w:tcMar>
              <w:left w:w="0" w:type="dxa"/>
              <w:right w:w="0" w:type="dxa"/>
            </w:tcMar>
            <w:vAlign w:val="center"/>
          </w:tcPr>
          <w:p w14:paraId="700E9AF9">
            <w:pPr>
              <w:adjustRightInd w:val="0"/>
              <w:snapToGrid w:val="0"/>
              <w:jc w:val="center"/>
              <w:rPr>
                <w:rFonts w:ascii="宋体" w:hAnsi="宋体"/>
                <w:color w:val="auto"/>
              </w:rPr>
            </w:pPr>
            <w:r>
              <w:rPr>
                <w:rFonts w:ascii="宋体" w:hAnsi="宋体"/>
                <w:color w:val="auto"/>
              </w:rPr>
              <w:t>全厂实际排放总量（9）</w:t>
            </w:r>
          </w:p>
        </w:tc>
        <w:tc>
          <w:tcPr>
            <w:tcW w:w="269" w:type="pct"/>
            <w:tcMar>
              <w:left w:w="0" w:type="dxa"/>
              <w:right w:w="0" w:type="dxa"/>
            </w:tcMar>
            <w:vAlign w:val="center"/>
          </w:tcPr>
          <w:p w14:paraId="16CCB4F0">
            <w:pPr>
              <w:adjustRightInd w:val="0"/>
              <w:snapToGrid w:val="0"/>
              <w:jc w:val="center"/>
              <w:rPr>
                <w:rFonts w:ascii="宋体" w:hAnsi="宋体"/>
                <w:color w:val="auto"/>
              </w:rPr>
            </w:pPr>
            <w:r>
              <w:rPr>
                <w:rFonts w:ascii="宋体" w:hAnsi="宋体"/>
                <w:color w:val="auto"/>
              </w:rPr>
              <w:t>全厂核定排放总量（10）</w:t>
            </w:r>
          </w:p>
        </w:tc>
        <w:tc>
          <w:tcPr>
            <w:tcW w:w="403" w:type="pct"/>
            <w:tcMar>
              <w:left w:w="0" w:type="dxa"/>
              <w:right w:w="0" w:type="dxa"/>
            </w:tcMar>
            <w:vAlign w:val="center"/>
          </w:tcPr>
          <w:p w14:paraId="55CEF65B">
            <w:pPr>
              <w:adjustRightInd w:val="0"/>
              <w:snapToGrid w:val="0"/>
              <w:jc w:val="center"/>
              <w:rPr>
                <w:rFonts w:ascii="宋体" w:hAnsi="宋体"/>
                <w:color w:val="auto"/>
              </w:rPr>
            </w:pPr>
            <w:r>
              <w:rPr>
                <w:rFonts w:ascii="宋体" w:hAnsi="宋体"/>
                <w:color w:val="auto"/>
              </w:rPr>
              <w:t>区域平衡替代削减量（11）</w:t>
            </w:r>
          </w:p>
        </w:tc>
        <w:tc>
          <w:tcPr>
            <w:tcW w:w="409" w:type="pct"/>
            <w:gridSpan w:val="2"/>
            <w:tcMar>
              <w:left w:w="0" w:type="dxa"/>
              <w:right w:w="0" w:type="dxa"/>
            </w:tcMar>
            <w:vAlign w:val="center"/>
          </w:tcPr>
          <w:p w14:paraId="781B2A23">
            <w:pPr>
              <w:adjustRightInd w:val="0"/>
              <w:snapToGrid w:val="0"/>
              <w:jc w:val="center"/>
              <w:rPr>
                <w:rFonts w:ascii="宋体" w:hAnsi="宋体"/>
                <w:color w:val="auto"/>
              </w:rPr>
            </w:pPr>
            <w:r>
              <w:rPr>
                <w:rFonts w:ascii="宋体" w:hAnsi="宋体"/>
                <w:color w:val="auto"/>
              </w:rPr>
              <w:t>排放增减量（12）</w:t>
            </w:r>
          </w:p>
        </w:tc>
      </w:tr>
      <w:tr w14:paraId="551BD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E5D5FEF">
            <w:pPr>
              <w:adjustRightInd w:val="0"/>
              <w:snapToGrid w:val="0"/>
              <w:jc w:val="center"/>
              <w:rPr>
                <w:rFonts w:ascii="宋体" w:hAnsi="宋体"/>
                <w:color w:val="auto"/>
              </w:rPr>
            </w:pPr>
          </w:p>
        </w:tc>
        <w:tc>
          <w:tcPr>
            <w:tcW w:w="592" w:type="pct"/>
            <w:gridSpan w:val="2"/>
            <w:tcMar>
              <w:left w:w="0" w:type="dxa"/>
              <w:right w:w="0" w:type="dxa"/>
            </w:tcMar>
            <w:vAlign w:val="center"/>
          </w:tcPr>
          <w:p w14:paraId="1AA994B6">
            <w:pPr>
              <w:adjustRightInd w:val="0"/>
              <w:snapToGrid w:val="0"/>
              <w:jc w:val="center"/>
              <w:rPr>
                <w:rFonts w:ascii="宋体" w:hAnsi="宋体"/>
                <w:color w:val="auto"/>
              </w:rPr>
            </w:pPr>
            <w:r>
              <w:rPr>
                <w:rFonts w:hint="eastAsia" w:ascii="宋体" w:hAnsi="宋体"/>
                <w:color w:val="auto"/>
              </w:rPr>
              <w:t>废水</w:t>
            </w:r>
          </w:p>
        </w:tc>
        <w:tc>
          <w:tcPr>
            <w:tcW w:w="353" w:type="pct"/>
            <w:tcMar>
              <w:left w:w="0" w:type="dxa"/>
              <w:right w:w="0" w:type="dxa"/>
            </w:tcMar>
            <w:vAlign w:val="center"/>
          </w:tcPr>
          <w:p w14:paraId="47314A11">
            <w:pPr>
              <w:adjustRightInd w:val="0"/>
              <w:snapToGrid w:val="0"/>
              <w:jc w:val="center"/>
              <w:rPr>
                <w:rFonts w:ascii="宋体" w:hAnsi="宋体"/>
                <w:color w:val="auto"/>
              </w:rPr>
            </w:pPr>
          </w:p>
        </w:tc>
        <w:tc>
          <w:tcPr>
            <w:tcW w:w="356" w:type="pct"/>
            <w:tcMar>
              <w:left w:w="0" w:type="dxa"/>
              <w:right w:w="0" w:type="dxa"/>
            </w:tcMar>
            <w:vAlign w:val="center"/>
          </w:tcPr>
          <w:p w14:paraId="03E9F0AD">
            <w:pPr>
              <w:adjustRightInd w:val="0"/>
              <w:snapToGrid w:val="0"/>
              <w:jc w:val="center"/>
              <w:rPr>
                <w:rFonts w:ascii="宋体" w:hAnsi="宋体"/>
                <w:color w:val="auto"/>
              </w:rPr>
            </w:pPr>
          </w:p>
        </w:tc>
        <w:tc>
          <w:tcPr>
            <w:tcW w:w="327" w:type="pct"/>
            <w:tcMar>
              <w:left w:w="0" w:type="dxa"/>
              <w:right w:w="0" w:type="dxa"/>
            </w:tcMar>
            <w:vAlign w:val="center"/>
          </w:tcPr>
          <w:p w14:paraId="6308D254">
            <w:pPr>
              <w:adjustRightInd w:val="0"/>
              <w:snapToGrid w:val="0"/>
              <w:jc w:val="center"/>
              <w:rPr>
                <w:rFonts w:ascii="宋体" w:hAnsi="宋体"/>
                <w:color w:val="auto"/>
              </w:rPr>
            </w:pPr>
          </w:p>
        </w:tc>
        <w:tc>
          <w:tcPr>
            <w:tcW w:w="367" w:type="pct"/>
            <w:tcMar>
              <w:left w:w="0" w:type="dxa"/>
              <w:right w:w="0" w:type="dxa"/>
            </w:tcMar>
            <w:vAlign w:val="center"/>
          </w:tcPr>
          <w:p w14:paraId="77539968">
            <w:pPr>
              <w:adjustRightInd w:val="0"/>
              <w:snapToGrid w:val="0"/>
              <w:jc w:val="center"/>
              <w:rPr>
                <w:rFonts w:ascii="宋体" w:hAnsi="宋体"/>
                <w:color w:val="auto"/>
              </w:rPr>
            </w:pPr>
          </w:p>
        </w:tc>
        <w:tc>
          <w:tcPr>
            <w:tcW w:w="255" w:type="pct"/>
            <w:tcMar>
              <w:left w:w="0" w:type="dxa"/>
              <w:right w:w="0" w:type="dxa"/>
            </w:tcMar>
            <w:vAlign w:val="center"/>
          </w:tcPr>
          <w:p w14:paraId="6A30A0DF">
            <w:pPr>
              <w:adjustRightInd w:val="0"/>
              <w:snapToGrid w:val="0"/>
              <w:jc w:val="center"/>
              <w:rPr>
                <w:rFonts w:ascii="宋体" w:hAnsi="宋体"/>
                <w:color w:val="auto"/>
              </w:rPr>
            </w:pPr>
          </w:p>
        </w:tc>
        <w:tc>
          <w:tcPr>
            <w:tcW w:w="272" w:type="pct"/>
            <w:tcMar>
              <w:left w:w="0" w:type="dxa"/>
              <w:right w:w="0" w:type="dxa"/>
            </w:tcMar>
            <w:vAlign w:val="center"/>
          </w:tcPr>
          <w:p w14:paraId="48F10193">
            <w:pPr>
              <w:adjustRightInd w:val="0"/>
              <w:snapToGrid w:val="0"/>
              <w:jc w:val="center"/>
              <w:rPr>
                <w:rFonts w:ascii="宋体" w:hAnsi="宋体"/>
                <w:color w:val="auto"/>
              </w:rPr>
            </w:pPr>
          </w:p>
        </w:tc>
        <w:tc>
          <w:tcPr>
            <w:tcW w:w="351" w:type="pct"/>
            <w:tcMar>
              <w:left w:w="0" w:type="dxa"/>
              <w:right w:w="0" w:type="dxa"/>
            </w:tcMar>
            <w:vAlign w:val="center"/>
          </w:tcPr>
          <w:p w14:paraId="118D8D7F">
            <w:pPr>
              <w:adjustRightInd w:val="0"/>
              <w:snapToGrid w:val="0"/>
              <w:jc w:val="center"/>
              <w:rPr>
                <w:rFonts w:ascii="宋体" w:hAnsi="宋体"/>
                <w:color w:val="auto"/>
              </w:rPr>
            </w:pPr>
          </w:p>
        </w:tc>
        <w:tc>
          <w:tcPr>
            <w:tcW w:w="653" w:type="pct"/>
            <w:tcMar>
              <w:left w:w="0" w:type="dxa"/>
              <w:right w:w="0" w:type="dxa"/>
            </w:tcMar>
            <w:vAlign w:val="center"/>
          </w:tcPr>
          <w:p w14:paraId="7A0702CB">
            <w:pPr>
              <w:adjustRightInd w:val="0"/>
              <w:snapToGrid w:val="0"/>
              <w:jc w:val="center"/>
              <w:rPr>
                <w:rFonts w:ascii="宋体" w:hAnsi="宋体"/>
                <w:color w:val="auto"/>
              </w:rPr>
            </w:pPr>
          </w:p>
        </w:tc>
        <w:tc>
          <w:tcPr>
            <w:tcW w:w="260" w:type="pct"/>
            <w:tcMar>
              <w:left w:w="0" w:type="dxa"/>
              <w:right w:w="0" w:type="dxa"/>
            </w:tcMar>
            <w:vAlign w:val="center"/>
          </w:tcPr>
          <w:p w14:paraId="702A4E3F">
            <w:pPr>
              <w:adjustRightInd w:val="0"/>
              <w:snapToGrid w:val="0"/>
              <w:jc w:val="center"/>
              <w:rPr>
                <w:rFonts w:ascii="宋体" w:hAnsi="宋体"/>
                <w:color w:val="auto"/>
              </w:rPr>
            </w:pPr>
          </w:p>
        </w:tc>
        <w:tc>
          <w:tcPr>
            <w:tcW w:w="269" w:type="pct"/>
            <w:tcMar>
              <w:left w:w="0" w:type="dxa"/>
              <w:right w:w="0" w:type="dxa"/>
            </w:tcMar>
            <w:vAlign w:val="center"/>
          </w:tcPr>
          <w:p w14:paraId="0E357F3A">
            <w:pPr>
              <w:adjustRightInd w:val="0"/>
              <w:snapToGrid w:val="0"/>
              <w:jc w:val="center"/>
              <w:rPr>
                <w:rFonts w:ascii="宋体" w:hAnsi="宋体"/>
                <w:color w:val="auto"/>
              </w:rPr>
            </w:pPr>
          </w:p>
        </w:tc>
        <w:tc>
          <w:tcPr>
            <w:tcW w:w="403" w:type="pct"/>
            <w:tcMar>
              <w:left w:w="0" w:type="dxa"/>
              <w:right w:w="0" w:type="dxa"/>
            </w:tcMar>
            <w:vAlign w:val="center"/>
          </w:tcPr>
          <w:p w14:paraId="77215C44">
            <w:pPr>
              <w:adjustRightInd w:val="0"/>
              <w:snapToGrid w:val="0"/>
              <w:jc w:val="center"/>
              <w:rPr>
                <w:rFonts w:ascii="宋体" w:hAnsi="宋体"/>
                <w:color w:val="auto"/>
              </w:rPr>
            </w:pPr>
          </w:p>
        </w:tc>
        <w:tc>
          <w:tcPr>
            <w:tcW w:w="409" w:type="pct"/>
            <w:gridSpan w:val="2"/>
            <w:tcMar>
              <w:left w:w="0" w:type="dxa"/>
              <w:right w:w="0" w:type="dxa"/>
            </w:tcMar>
            <w:vAlign w:val="center"/>
          </w:tcPr>
          <w:p w14:paraId="31700A49">
            <w:pPr>
              <w:adjustRightInd w:val="0"/>
              <w:snapToGrid w:val="0"/>
              <w:jc w:val="center"/>
              <w:rPr>
                <w:rFonts w:ascii="宋体" w:hAnsi="宋体"/>
                <w:color w:val="auto"/>
              </w:rPr>
            </w:pPr>
          </w:p>
        </w:tc>
      </w:tr>
      <w:tr w14:paraId="29B11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3099143">
            <w:pPr>
              <w:adjustRightInd w:val="0"/>
              <w:snapToGrid w:val="0"/>
              <w:jc w:val="center"/>
              <w:rPr>
                <w:rFonts w:ascii="宋体" w:hAnsi="宋体"/>
                <w:color w:val="auto"/>
              </w:rPr>
            </w:pPr>
          </w:p>
        </w:tc>
        <w:tc>
          <w:tcPr>
            <w:tcW w:w="592" w:type="pct"/>
            <w:gridSpan w:val="2"/>
            <w:tcMar>
              <w:left w:w="0" w:type="dxa"/>
              <w:right w:w="0" w:type="dxa"/>
            </w:tcMar>
            <w:vAlign w:val="center"/>
          </w:tcPr>
          <w:p w14:paraId="4493CCEC">
            <w:pPr>
              <w:adjustRightInd w:val="0"/>
              <w:snapToGrid w:val="0"/>
              <w:jc w:val="center"/>
              <w:rPr>
                <w:rFonts w:ascii="宋体" w:hAnsi="宋体"/>
                <w:color w:val="auto"/>
              </w:rPr>
            </w:pPr>
            <w:r>
              <w:rPr>
                <w:rFonts w:hint="eastAsia" w:ascii="宋体" w:hAnsi="宋体"/>
                <w:color w:val="auto"/>
              </w:rPr>
              <w:t>化学需氧量</w:t>
            </w:r>
          </w:p>
        </w:tc>
        <w:tc>
          <w:tcPr>
            <w:tcW w:w="353" w:type="pct"/>
            <w:tcMar>
              <w:left w:w="0" w:type="dxa"/>
              <w:right w:w="0" w:type="dxa"/>
            </w:tcMar>
            <w:vAlign w:val="center"/>
          </w:tcPr>
          <w:p w14:paraId="3532CA6B">
            <w:pPr>
              <w:adjustRightInd w:val="0"/>
              <w:snapToGrid w:val="0"/>
              <w:jc w:val="center"/>
              <w:rPr>
                <w:rFonts w:ascii="宋体" w:hAnsi="宋体"/>
                <w:color w:val="auto"/>
              </w:rPr>
            </w:pPr>
          </w:p>
        </w:tc>
        <w:tc>
          <w:tcPr>
            <w:tcW w:w="356" w:type="pct"/>
            <w:tcMar>
              <w:left w:w="0" w:type="dxa"/>
              <w:right w:w="0" w:type="dxa"/>
            </w:tcMar>
            <w:vAlign w:val="center"/>
          </w:tcPr>
          <w:p w14:paraId="7C870A9A">
            <w:pPr>
              <w:adjustRightInd w:val="0"/>
              <w:snapToGrid w:val="0"/>
              <w:jc w:val="center"/>
              <w:rPr>
                <w:rFonts w:ascii="宋体" w:hAnsi="宋体"/>
                <w:color w:val="auto"/>
              </w:rPr>
            </w:pPr>
          </w:p>
        </w:tc>
        <w:tc>
          <w:tcPr>
            <w:tcW w:w="327" w:type="pct"/>
            <w:tcMar>
              <w:left w:w="0" w:type="dxa"/>
              <w:right w:w="0" w:type="dxa"/>
            </w:tcMar>
            <w:vAlign w:val="center"/>
          </w:tcPr>
          <w:p w14:paraId="64977879">
            <w:pPr>
              <w:adjustRightInd w:val="0"/>
              <w:snapToGrid w:val="0"/>
              <w:jc w:val="center"/>
              <w:rPr>
                <w:rFonts w:ascii="宋体" w:hAnsi="宋体"/>
                <w:color w:val="auto"/>
              </w:rPr>
            </w:pPr>
          </w:p>
        </w:tc>
        <w:tc>
          <w:tcPr>
            <w:tcW w:w="367" w:type="pct"/>
            <w:tcMar>
              <w:left w:w="0" w:type="dxa"/>
              <w:right w:w="0" w:type="dxa"/>
            </w:tcMar>
            <w:vAlign w:val="center"/>
          </w:tcPr>
          <w:p w14:paraId="0BE70DA2">
            <w:pPr>
              <w:adjustRightInd w:val="0"/>
              <w:snapToGrid w:val="0"/>
              <w:jc w:val="center"/>
              <w:rPr>
                <w:rFonts w:ascii="宋体" w:hAnsi="宋体"/>
                <w:color w:val="auto"/>
              </w:rPr>
            </w:pPr>
          </w:p>
        </w:tc>
        <w:tc>
          <w:tcPr>
            <w:tcW w:w="255" w:type="pct"/>
            <w:tcMar>
              <w:left w:w="0" w:type="dxa"/>
              <w:right w:w="0" w:type="dxa"/>
            </w:tcMar>
            <w:vAlign w:val="center"/>
          </w:tcPr>
          <w:p w14:paraId="71874934">
            <w:pPr>
              <w:adjustRightInd w:val="0"/>
              <w:snapToGrid w:val="0"/>
              <w:jc w:val="center"/>
              <w:rPr>
                <w:rFonts w:ascii="宋体" w:hAnsi="宋体"/>
                <w:color w:val="auto"/>
              </w:rPr>
            </w:pPr>
          </w:p>
        </w:tc>
        <w:tc>
          <w:tcPr>
            <w:tcW w:w="272" w:type="pct"/>
            <w:tcMar>
              <w:left w:w="0" w:type="dxa"/>
              <w:right w:w="0" w:type="dxa"/>
            </w:tcMar>
            <w:vAlign w:val="center"/>
          </w:tcPr>
          <w:p w14:paraId="7253A964">
            <w:pPr>
              <w:adjustRightInd w:val="0"/>
              <w:snapToGrid w:val="0"/>
              <w:jc w:val="center"/>
              <w:rPr>
                <w:rFonts w:ascii="宋体" w:hAnsi="宋体"/>
                <w:color w:val="auto"/>
              </w:rPr>
            </w:pPr>
          </w:p>
        </w:tc>
        <w:tc>
          <w:tcPr>
            <w:tcW w:w="351" w:type="pct"/>
            <w:tcMar>
              <w:left w:w="0" w:type="dxa"/>
              <w:right w:w="0" w:type="dxa"/>
            </w:tcMar>
            <w:vAlign w:val="center"/>
          </w:tcPr>
          <w:p w14:paraId="410F71F5">
            <w:pPr>
              <w:adjustRightInd w:val="0"/>
              <w:snapToGrid w:val="0"/>
              <w:jc w:val="center"/>
              <w:rPr>
                <w:rFonts w:ascii="宋体" w:hAnsi="宋体"/>
                <w:color w:val="auto"/>
              </w:rPr>
            </w:pPr>
          </w:p>
        </w:tc>
        <w:tc>
          <w:tcPr>
            <w:tcW w:w="653" w:type="pct"/>
            <w:tcMar>
              <w:left w:w="0" w:type="dxa"/>
              <w:right w:w="0" w:type="dxa"/>
            </w:tcMar>
            <w:vAlign w:val="center"/>
          </w:tcPr>
          <w:p w14:paraId="5C9E62B1">
            <w:pPr>
              <w:adjustRightInd w:val="0"/>
              <w:snapToGrid w:val="0"/>
              <w:jc w:val="center"/>
              <w:rPr>
                <w:rFonts w:ascii="宋体" w:hAnsi="宋体"/>
                <w:color w:val="auto"/>
              </w:rPr>
            </w:pPr>
          </w:p>
        </w:tc>
        <w:tc>
          <w:tcPr>
            <w:tcW w:w="260" w:type="pct"/>
            <w:tcMar>
              <w:left w:w="0" w:type="dxa"/>
              <w:right w:w="0" w:type="dxa"/>
            </w:tcMar>
            <w:vAlign w:val="center"/>
          </w:tcPr>
          <w:p w14:paraId="1F728214">
            <w:pPr>
              <w:adjustRightInd w:val="0"/>
              <w:snapToGrid w:val="0"/>
              <w:jc w:val="center"/>
              <w:rPr>
                <w:rFonts w:ascii="宋体" w:hAnsi="宋体"/>
                <w:color w:val="auto"/>
              </w:rPr>
            </w:pPr>
          </w:p>
        </w:tc>
        <w:tc>
          <w:tcPr>
            <w:tcW w:w="269" w:type="pct"/>
            <w:tcMar>
              <w:left w:w="0" w:type="dxa"/>
              <w:right w:w="0" w:type="dxa"/>
            </w:tcMar>
            <w:vAlign w:val="center"/>
          </w:tcPr>
          <w:p w14:paraId="01F434F5">
            <w:pPr>
              <w:adjustRightInd w:val="0"/>
              <w:snapToGrid w:val="0"/>
              <w:jc w:val="center"/>
              <w:rPr>
                <w:rFonts w:ascii="宋体" w:hAnsi="宋体"/>
                <w:color w:val="auto"/>
              </w:rPr>
            </w:pPr>
          </w:p>
        </w:tc>
        <w:tc>
          <w:tcPr>
            <w:tcW w:w="403" w:type="pct"/>
            <w:tcMar>
              <w:left w:w="0" w:type="dxa"/>
              <w:right w:w="0" w:type="dxa"/>
            </w:tcMar>
            <w:vAlign w:val="center"/>
          </w:tcPr>
          <w:p w14:paraId="62063EFA">
            <w:pPr>
              <w:adjustRightInd w:val="0"/>
              <w:snapToGrid w:val="0"/>
              <w:jc w:val="center"/>
              <w:rPr>
                <w:rFonts w:ascii="宋体" w:hAnsi="宋体"/>
                <w:color w:val="auto"/>
              </w:rPr>
            </w:pPr>
          </w:p>
        </w:tc>
        <w:tc>
          <w:tcPr>
            <w:tcW w:w="409" w:type="pct"/>
            <w:gridSpan w:val="2"/>
            <w:tcMar>
              <w:left w:w="0" w:type="dxa"/>
              <w:right w:w="0" w:type="dxa"/>
            </w:tcMar>
            <w:vAlign w:val="center"/>
          </w:tcPr>
          <w:p w14:paraId="29749B38">
            <w:pPr>
              <w:adjustRightInd w:val="0"/>
              <w:snapToGrid w:val="0"/>
              <w:jc w:val="center"/>
              <w:rPr>
                <w:rFonts w:ascii="宋体" w:hAnsi="宋体"/>
                <w:color w:val="auto"/>
              </w:rPr>
            </w:pPr>
          </w:p>
        </w:tc>
      </w:tr>
      <w:tr w14:paraId="4F76E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7CE06A87">
            <w:pPr>
              <w:adjustRightInd w:val="0"/>
              <w:snapToGrid w:val="0"/>
              <w:jc w:val="center"/>
              <w:rPr>
                <w:rFonts w:ascii="宋体" w:hAnsi="宋体"/>
                <w:color w:val="auto"/>
              </w:rPr>
            </w:pPr>
          </w:p>
        </w:tc>
        <w:tc>
          <w:tcPr>
            <w:tcW w:w="592" w:type="pct"/>
            <w:gridSpan w:val="2"/>
            <w:tcMar>
              <w:left w:w="0" w:type="dxa"/>
              <w:right w:w="0" w:type="dxa"/>
            </w:tcMar>
            <w:vAlign w:val="center"/>
          </w:tcPr>
          <w:p w14:paraId="685FD146">
            <w:pPr>
              <w:adjustRightInd w:val="0"/>
              <w:snapToGrid w:val="0"/>
              <w:jc w:val="center"/>
              <w:rPr>
                <w:rFonts w:ascii="宋体" w:hAnsi="宋体"/>
                <w:color w:val="auto"/>
              </w:rPr>
            </w:pPr>
            <w:r>
              <w:rPr>
                <w:rFonts w:hint="eastAsia" w:ascii="宋体" w:hAnsi="宋体"/>
                <w:color w:val="auto"/>
              </w:rPr>
              <w:t>氨氮</w:t>
            </w:r>
          </w:p>
        </w:tc>
        <w:tc>
          <w:tcPr>
            <w:tcW w:w="353" w:type="pct"/>
            <w:tcMar>
              <w:left w:w="0" w:type="dxa"/>
              <w:right w:w="0" w:type="dxa"/>
            </w:tcMar>
            <w:vAlign w:val="center"/>
          </w:tcPr>
          <w:p w14:paraId="0924C55B">
            <w:pPr>
              <w:adjustRightInd w:val="0"/>
              <w:snapToGrid w:val="0"/>
              <w:jc w:val="center"/>
              <w:rPr>
                <w:rFonts w:ascii="宋体" w:hAnsi="宋体"/>
                <w:color w:val="auto"/>
              </w:rPr>
            </w:pPr>
          </w:p>
        </w:tc>
        <w:tc>
          <w:tcPr>
            <w:tcW w:w="356" w:type="pct"/>
            <w:tcMar>
              <w:left w:w="0" w:type="dxa"/>
              <w:right w:w="0" w:type="dxa"/>
            </w:tcMar>
            <w:vAlign w:val="center"/>
          </w:tcPr>
          <w:p w14:paraId="20EA008C">
            <w:pPr>
              <w:adjustRightInd w:val="0"/>
              <w:snapToGrid w:val="0"/>
              <w:jc w:val="center"/>
              <w:rPr>
                <w:rFonts w:ascii="宋体" w:hAnsi="宋体"/>
                <w:color w:val="auto"/>
              </w:rPr>
            </w:pPr>
          </w:p>
        </w:tc>
        <w:tc>
          <w:tcPr>
            <w:tcW w:w="327" w:type="pct"/>
            <w:tcMar>
              <w:left w:w="0" w:type="dxa"/>
              <w:right w:w="0" w:type="dxa"/>
            </w:tcMar>
            <w:vAlign w:val="center"/>
          </w:tcPr>
          <w:p w14:paraId="7126F6D0">
            <w:pPr>
              <w:adjustRightInd w:val="0"/>
              <w:snapToGrid w:val="0"/>
              <w:jc w:val="center"/>
              <w:rPr>
                <w:rFonts w:ascii="宋体" w:hAnsi="宋体"/>
                <w:color w:val="auto"/>
              </w:rPr>
            </w:pPr>
          </w:p>
        </w:tc>
        <w:tc>
          <w:tcPr>
            <w:tcW w:w="367" w:type="pct"/>
            <w:tcMar>
              <w:left w:w="0" w:type="dxa"/>
              <w:right w:w="0" w:type="dxa"/>
            </w:tcMar>
            <w:vAlign w:val="center"/>
          </w:tcPr>
          <w:p w14:paraId="5E2C699C">
            <w:pPr>
              <w:adjustRightInd w:val="0"/>
              <w:snapToGrid w:val="0"/>
              <w:jc w:val="center"/>
              <w:rPr>
                <w:rFonts w:ascii="宋体" w:hAnsi="宋体"/>
                <w:color w:val="auto"/>
              </w:rPr>
            </w:pPr>
          </w:p>
        </w:tc>
        <w:tc>
          <w:tcPr>
            <w:tcW w:w="255" w:type="pct"/>
            <w:tcMar>
              <w:left w:w="0" w:type="dxa"/>
              <w:right w:w="0" w:type="dxa"/>
            </w:tcMar>
            <w:vAlign w:val="center"/>
          </w:tcPr>
          <w:p w14:paraId="743AC44C">
            <w:pPr>
              <w:adjustRightInd w:val="0"/>
              <w:snapToGrid w:val="0"/>
              <w:jc w:val="center"/>
              <w:rPr>
                <w:rFonts w:ascii="宋体" w:hAnsi="宋体"/>
                <w:color w:val="auto"/>
              </w:rPr>
            </w:pPr>
          </w:p>
        </w:tc>
        <w:tc>
          <w:tcPr>
            <w:tcW w:w="272" w:type="pct"/>
            <w:tcMar>
              <w:left w:w="0" w:type="dxa"/>
              <w:right w:w="0" w:type="dxa"/>
            </w:tcMar>
            <w:vAlign w:val="center"/>
          </w:tcPr>
          <w:p w14:paraId="4D94F330">
            <w:pPr>
              <w:adjustRightInd w:val="0"/>
              <w:snapToGrid w:val="0"/>
              <w:jc w:val="center"/>
              <w:rPr>
                <w:rFonts w:ascii="宋体" w:hAnsi="宋体"/>
                <w:color w:val="auto"/>
              </w:rPr>
            </w:pPr>
          </w:p>
        </w:tc>
        <w:tc>
          <w:tcPr>
            <w:tcW w:w="351" w:type="pct"/>
            <w:tcMar>
              <w:left w:w="0" w:type="dxa"/>
              <w:right w:w="0" w:type="dxa"/>
            </w:tcMar>
            <w:vAlign w:val="center"/>
          </w:tcPr>
          <w:p w14:paraId="3BE4F8C5">
            <w:pPr>
              <w:adjustRightInd w:val="0"/>
              <w:snapToGrid w:val="0"/>
              <w:jc w:val="center"/>
              <w:rPr>
                <w:rFonts w:ascii="宋体" w:hAnsi="宋体"/>
                <w:color w:val="auto"/>
              </w:rPr>
            </w:pPr>
          </w:p>
        </w:tc>
        <w:tc>
          <w:tcPr>
            <w:tcW w:w="653" w:type="pct"/>
            <w:tcMar>
              <w:left w:w="0" w:type="dxa"/>
              <w:right w:w="0" w:type="dxa"/>
            </w:tcMar>
            <w:vAlign w:val="center"/>
          </w:tcPr>
          <w:p w14:paraId="398ADA20">
            <w:pPr>
              <w:adjustRightInd w:val="0"/>
              <w:snapToGrid w:val="0"/>
              <w:jc w:val="center"/>
              <w:rPr>
                <w:rFonts w:ascii="宋体" w:hAnsi="宋体"/>
                <w:color w:val="auto"/>
              </w:rPr>
            </w:pPr>
          </w:p>
        </w:tc>
        <w:tc>
          <w:tcPr>
            <w:tcW w:w="260" w:type="pct"/>
            <w:tcMar>
              <w:left w:w="0" w:type="dxa"/>
              <w:right w:w="0" w:type="dxa"/>
            </w:tcMar>
            <w:vAlign w:val="center"/>
          </w:tcPr>
          <w:p w14:paraId="764C4C7D">
            <w:pPr>
              <w:adjustRightInd w:val="0"/>
              <w:snapToGrid w:val="0"/>
              <w:jc w:val="center"/>
              <w:rPr>
                <w:rFonts w:ascii="宋体" w:hAnsi="宋体"/>
                <w:color w:val="auto"/>
              </w:rPr>
            </w:pPr>
          </w:p>
        </w:tc>
        <w:tc>
          <w:tcPr>
            <w:tcW w:w="269" w:type="pct"/>
            <w:tcMar>
              <w:left w:w="0" w:type="dxa"/>
              <w:right w:w="0" w:type="dxa"/>
            </w:tcMar>
            <w:vAlign w:val="center"/>
          </w:tcPr>
          <w:p w14:paraId="44EACBBA">
            <w:pPr>
              <w:adjustRightInd w:val="0"/>
              <w:snapToGrid w:val="0"/>
              <w:jc w:val="center"/>
              <w:rPr>
                <w:rFonts w:ascii="宋体" w:hAnsi="宋体"/>
                <w:color w:val="auto"/>
              </w:rPr>
            </w:pPr>
          </w:p>
        </w:tc>
        <w:tc>
          <w:tcPr>
            <w:tcW w:w="403" w:type="pct"/>
            <w:tcMar>
              <w:left w:w="0" w:type="dxa"/>
              <w:right w:w="0" w:type="dxa"/>
            </w:tcMar>
            <w:vAlign w:val="center"/>
          </w:tcPr>
          <w:p w14:paraId="7AA4768D">
            <w:pPr>
              <w:adjustRightInd w:val="0"/>
              <w:snapToGrid w:val="0"/>
              <w:jc w:val="center"/>
              <w:rPr>
                <w:rFonts w:ascii="宋体" w:hAnsi="宋体"/>
                <w:color w:val="auto"/>
              </w:rPr>
            </w:pPr>
          </w:p>
        </w:tc>
        <w:tc>
          <w:tcPr>
            <w:tcW w:w="409" w:type="pct"/>
            <w:gridSpan w:val="2"/>
            <w:tcMar>
              <w:left w:w="0" w:type="dxa"/>
              <w:right w:w="0" w:type="dxa"/>
            </w:tcMar>
            <w:vAlign w:val="center"/>
          </w:tcPr>
          <w:p w14:paraId="18F625FB">
            <w:pPr>
              <w:adjustRightInd w:val="0"/>
              <w:snapToGrid w:val="0"/>
              <w:jc w:val="center"/>
              <w:rPr>
                <w:rFonts w:ascii="宋体" w:hAnsi="宋体"/>
                <w:color w:val="auto"/>
              </w:rPr>
            </w:pPr>
          </w:p>
        </w:tc>
      </w:tr>
      <w:tr w14:paraId="1160A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4288AB23">
            <w:pPr>
              <w:adjustRightInd w:val="0"/>
              <w:snapToGrid w:val="0"/>
              <w:jc w:val="center"/>
              <w:rPr>
                <w:rFonts w:ascii="宋体" w:hAnsi="宋体"/>
                <w:color w:val="auto"/>
              </w:rPr>
            </w:pPr>
          </w:p>
        </w:tc>
        <w:tc>
          <w:tcPr>
            <w:tcW w:w="592" w:type="pct"/>
            <w:gridSpan w:val="2"/>
            <w:tcMar>
              <w:left w:w="0" w:type="dxa"/>
              <w:right w:w="0" w:type="dxa"/>
            </w:tcMar>
            <w:vAlign w:val="center"/>
          </w:tcPr>
          <w:p w14:paraId="489D135F">
            <w:pPr>
              <w:adjustRightInd w:val="0"/>
              <w:snapToGrid w:val="0"/>
              <w:jc w:val="center"/>
              <w:rPr>
                <w:rFonts w:ascii="宋体" w:hAnsi="宋体"/>
                <w:color w:val="auto"/>
              </w:rPr>
            </w:pPr>
            <w:r>
              <w:rPr>
                <w:rFonts w:hint="eastAsia" w:ascii="宋体" w:hAnsi="宋体"/>
                <w:color w:val="auto"/>
              </w:rPr>
              <w:t>石油类</w:t>
            </w:r>
          </w:p>
        </w:tc>
        <w:tc>
          <w:tcPr>
            <w:tcW w:w="353" w:type="pct"/>
            <w:tcMar>
              <w:left w:w="0" w:type="dxa"/>
              <w:right w:w="0" w:type="dxa"/>
            </w:tcMar>
            <w:vAlign w:val="center"/>
          </w:tcPr>
          <w:p w14:paraId="586AAAF7">
            <w:pPr>
              <w:adjustRightInd w:val="0"/>
              <w:snapToGrid w:val="0"/>
              <w:jc w:val="center"/>
              <w:rPr>
                <w:rFonts w:ascii="宋体" w:hAnsi="宋体"/>
                <w:color w:val="auto"/>
              </w:rPr>
            </w:pPr>
          </w:p>
        </w:tc>
        <w:tc>
          <w:tcPr>
            <w:tcW w:w="356" w:type="pct"/>
            <w:tcMar>
              <w:left w:w="0" w:type="dxa"/>
              <w:right w:w="0" w:type="dxa"/>
            </w:tcMar>
            <w:vAlign w:val="center"/>
          </w:tcPr>
          <w:p w14:paraId="7A598992">
            <w:pPr>
              <w:adjustRightInd w:val="0"/>
              <w:snapToGrid w:val="0"/>
              <w:jc w:val="center"/>
              <w:rPr>
                <w:rFonts w:ascii="宋体" w:hAnsi="宋体"/>
                <w:color w:val="auto"/>
              </w:rPr>
            </w:pPr>
          </w:p>
        </w:tc>
        <w:tc>
          <w:tcPr>
            <w:tcW w:w="327" w:type="pct"/>
            <w:tcMar>
              <w:left w:w="0" w:type="dxa"/>
              <w:right w:w="0" w:type="dxa"/>
            </w:tcMar>
            <w:vAlign w:val="center"/>
          </w:tcPr>
          <w:p w14:paraId="59A4D251">
            <w:pPr>
              <w:adjustRightInd w:val="0"/>
              <w:snapToGrid w:val="0"/>
              <w:jc w:val="center"/>
              <w:rPr>
                <w:rFonts w:ascii="宋体" w:hAnsi="宋体"/>
                <w:color w:val="auto"/>
              </w:rPr>
            </w:pPr>
          </w:p>
        </w:tc>
        <w:tc>
          <w:tcPr>
            <w:tcW w:w="367" w:type="pct"/>
            <w:tcMar>
              <w:left w:w="0" w:type="dxa"/>
              <w:right w:w="0" w:type="dxa"/>
            </w:tcMar>
            <w:vAlign w:val="center"/>
          </w:tcPr>
          <w:p w14:paraId="5DC2A18B">
            <w:pPr>
              <w:adjustRightInd w:val="0"/>
              <w:snapToGrid w:val="0"/>
              <w:jc w:val="center"/>
              <w:rPr>
                <w:rFonts w:ascii="宋体" w:hAnsi="宋体"/>
                <w:color w:val="auto"/>
              </w:rPr>
            </w:pPr>
          </w:p>
        </w:tc>
        <w:tc>
          <w:tcPr>
            <w:tcW w:w="255" w:type="pct"/>
            <w:tcMar>
              <w:left w:w="0" w:type="dxa"/>
              <w:right w:w="0" w:type="dxa"/>
            </w:tcMar>
            <w:vAlign w:val="center"/>
          </w:tcPr>
          <w:p w14:paraId="55CFC0C4">
            <w:pPr>
              <w:adjustRightInd w:val="0"/>
              <w:snapToGrid w:val="0"/>
              <w:jc w:val="center"/>
              <w:rPr>
                <w:rFonts w:ascii="宋体" w:hAnsi="宋体"/>
                <w:color w:val="auto"/>
              </w:rPr>
            </w:pPr>
          </w:p>
        </w:tc>
        <w:tc>
          <w:tcPr>
            <w:tcW w:w="272" w:type="pct"/>
            <w:tcMar>
              <w:left w:w="0" w:type="dxa"/>
              <w:right w:w="0" w:type="dxa"/>
            </w:tcMar>
            <w:vAlign w:val="center"/>
          </w:tcPr>
          <w:p w14:paraId="4B1E8D53">
            <w:pPr>
              <w:adjustRightInd w:val="0"/>
              <w:snapToGrid w:val="0"/>
              <w:jc w:val="center"/>
              <w:rPr>
                <w:rFonts w:ascii="宋体" w:hAnsi="宋体"/>
                <w:color w:val="auto"/>
              </w:rPr>
            </w:pPr>
          </w:p>
        </w:tc>
        <w:tc>
          <w:tcPr>
            <w:tcW w:w="351" w:type="pct"/>
            <w:tcMar>
              <w:left w:w="0" w:type="dxa"/>
              <w:right w:w="0" w:type="dxa"/>
            </w:tcMar>
            <w:vAlign w:val="center"/>
          </w:tcPr>
          <w:p w14:paraId="42173E80">
            <w:pPr>
              <w:adjustRightInd w:val="0"/>
              <w:snapToGrid w:val="0"/>
              <w:jc w:val="center"/>
              <w:rPr>
                <w:rFonts w:ascii="宋体" w:hAnsi="宋体"/>
                <w:color w:val="auto"/>
              </w:rPr>
            </w:pPr>
          </w:p>
        </w:tc>
        <w:tc>
          <w:tcPr>
            <w:tcW w:w="653" w:type="pct"/>
            <w:tcMar>
              <w:left w:w="0" w:type="dxa"/>
              <w:right w:w="0" w:type="dxa"/>
            </w:tcMar>
            <w:vAlign w:val="center"/>
          </w:tcPr>
          <w:p w14:paraId="65319344">
            <w:pPr>
              <w:adjustRightInd w:val="0"/>
              <w:snapToGrid w:val="0"/>
              <w:jc w:val="center"/>
              <w:rPr>
                <w:rFonts w:ascii="宋体" w:hAnsi="宋体"/>
                <w:color w:val="auto"/>
              </w:rPr>
            </w:pPr>
          </w:p>
        </w:tc>
        <w:tc>
          <w:tcPr>
            <w:tcW w:w="260" w:type="pct"/>
            <w:tcMar>
              <w:left w:w="0" w:type="dxa"/>
              <w:right w:w="0" w:type="dxa"/>
            </w:tcMar>
            <w:vAlign w:val="center"/>
          </w:tcPr>
          <w:p w14:paraId="1629F990">
            <w:pPr>
              <w:adjustRightInd w:val="0"/>
              <w:snapToGrid w:val="0"/>
              <w:jc w:val="center"/>
              <w:rPr>
                <w:rFonts w:ascii="宋体" w:hAnsi="宋体"/>
                <w:color w:val="auto"/>
              </w:rPr>
            </w:pPr>
          </w:p>
        </w:tc>
        <w:tc>
          <w:tcPr>
            <w:tcW w:w="269" w:type="pct"/>
            <w:tcMar>
              <w:left w:w="0" w:type="dxa"/>
              <w:right w:w="0" w:type="dxa"/>
            </w:tcMar>
            <w:vAlign w:val="center"/>
          </w:tcPr>
          <w:p w14:paraId="0EA59FA2">
            <w:pPr>
              <w:adjustRightInd w:val="0"/>
              <w:snapToGrid w:val="0"/>
              <w:jc w:val="center"/>
              <w:rPr>
                <w:rFonts w:ascii="宋体" w:hAnsi="宋体"/>
                <w:color w:val="auto"/>
              </w:rPr>
            </w:pPr>
          </w:p>
        </w:tc>
        <w:tc>
          <w:tcPr>
            <w:tcW w:w="403" w:type="pct"/>
            <w:tcMar>
              <w:left w:w="0" w:type="dxa"/>
              <w:right w:w="0" w:type="dxa"/>
            </w:tcMar>
            <w:vAlign w:val="center"/>
          </w:tcPr>
          <w:p w14:paraId="03C5C59D">
            <w:pPr>
              <w:adjustRightInd w:val="0"/>
              <w:snapToGrid w:val="0"/>
              <w:jc w:val="center"/>
              <w:rPr>
                <w:rFonts w:ascii="宋体" w:hAnsi="宋体"/>
                <w:color w:val="auto"/>
              </w:rPr>
            </w:pPr>
          </w:p>
        </w:tc>
        <w:tc>
          <w:tcPr>
            <w:tcW w:w="409" w:type="pct"/>
            <w:gridSpan w:val="2"/>
            <w:tcMar>
              <w:left w:w="0" w:type="dxa"/>
              <w:right w:w="0" w:type="dxa"/>
            </w:tcMar>
            <w:vAlign w:val="center"/>
          </w:tcPr>
          <w:p w14:paraId="0CFFD2C7">
            <w:pPr>
              <w:adjustRightInd w:val="0"/>
              <w:snapToGrid w:val="0"/>
              <w:jc w:val="center"/>
              <w:rPr>
                <w:rFonts w:ascii="宋体" w:hAnsi="宋体"/>
                <w:color w:val="auto"/>
              </w:rPr>
            </w:pPr>
          </w:p>
        </w:tc>
      </w:tr>
      <w:tr w14:paraId="1ADA0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3" w:type="pct"/>
            <w:vMerge w:val="continue"/>
            <w:tcMar>
              <w:left w:w="0" w:type="dxa"/>
              <w:right w:w="0" w:type="dxa"/>
            </w:tcMar>
            <w:vAlign w:val="center"/>
          </w:tcPr>
          <w:p w14:paraId="0A076D6E">
            <w:pPr>
              <w:adjustRightInd w:val="0"/>
              <w:snapToGrid w:val="0"/>
              <w:jc w:val="center"/>
              <w:rPr>
                <w:rFonts w:ascii="宋体" w:hAnsi="宋体"/>
                <w:color w:val="auto"/>
              </w:rPr>
            </w:pPr>
          </w:p>
        </w:tc>
        <w:tc>
          <w:tcPr>
            <w:tcW w:w="592" w:type="pct"/>
            <w:gridSpan w:val="2"/>
            <w:tcMar>
              <w:left w:w="0" w:type="dxa"/>
              <w:right w:w="0" w:type="dxa"/>
            </w:tcMar>
            <w:vAlign w:val="center"/>
          </w:tcPr>
          <w:p w14:paraId="7B11A733">
            <w:pPr>
              <w:adjustRightInd w:val="0"/>
              <w:snapToGrid w:val="0"/>
              <w:jc w:val="center"/>
              <w:rPr>
                <w:rFonts w:ascii="宋体" w:hAnsi="宋体"/>
                <w:color w:val="auto"/>
              </w:rPr>
            </w:pPr>
            <w:r>
              <w:rPr>
                <w:rFonts w:hint="eastAsia" w:ascii="宋体" w:hAnsi="宋体"/>
                <w:color w:val="auto"/>
              </w:rPr>
              <w:t>废气</w:t>
            </w:r>
          </w:p>
        </w:tc>
        <w:tc>
          <w:tcPr>
            <w:tcW w:w="353" w:type="pct"/>
            <w:tcMar>
              <w:left w:w="0" w:type="dxa"/>
              <w:right w:w="0" w:type="dxa"/>
            </w:tcMar>
            <w:vAlign w:val="center"/>
          </w:tcPr>
          <w:p w14:paraId="5F0A0213">
            <w:pPr>
              <w:adjustRightInd w:val="0"/>
              <w:snapToGrid w:val="0"/>
              <w:jc w:val="center"/>
              <w:rPr>
                <w:rFonts w:ascii="宋体" w:hAnsi="宋体"/>
                <w:color w:val="auto"/>
              </w:rPr>
            </w:pPr>
          </w:p>
        </w:tc>
        <w:tc>
          <w:tcPr>
            <w:tcW w:w="356" w:type="pct"/>
            <w:tcMar>
              <w:left w:w="0" w:type="dxa"/>
              <w:right w:w="0" w:type="dxa"/>
            </w:tcMar>
            <w:vAlign w:val="center"/>
          </w:tcPr>
          <w:p w14:paraId="2B16E260">
            <w:pPr>
              <w:adjustRightInd w:val="0"/>
              <w:snapToGrid w:val="0"/>
              <w:jc w:val="center"/>
              <w:rPr>
                <w:rFonts w:ascii="宋体" w:hAnsi="宋体"/>
                <w:color w:val="auto"/>
              </w:rPr>
            </w:pPr>
          </w:p>
        </w:tc>
        <w:tc>
          <w:tcPr>
            <w:tcW w:w="327" w:type="pct"/>
            <w:tcMar>
              <w:left w:w="0" w:type="dxa"/>
              <w:right w:w="0" w:type="dxa"/>
            </w:tcMar>
            <w:vAlign w:val="center"/>
          </w:tcPr>
          <w:p w14:paraId="29C32573">
            <w:pPr>
              <w:adjustRightInd w:val="0"/>
              <w:snapToGrid w:val="0"/>
              <w:jc w:val="center"/>
              <w:rPr>
                <w:rFonts w:ascii="宋体" w:hAnsi="宋体"/>
                <w:color w:val="auto"/>
              </w:rPr>
            </w:pPr>
          </w:p>
        </w:tc>
        <w:tc>
          <w:tcPr>
            <w:tcW w:w="367" w:type="pct"/>
            <w:tcMar>
              <w:left w:w="0" w:type="dxa"/>
              <w:right w:w="0" w:type="dxa"/>
            </w:tcMar>
            <w:vAlign w:val="center"/>
          </w:tcPr>
          <w:p w14:paraId="07BAD201">
            <w:pPr>
              <w:adjustRightInd w:val="0"/>
              <w:snapToGrid w:val="0"/>
              <w:jc w:val="center"/>
              <w:rPr>
                <w:rFonts w:ascii="宋体" w:hAnsi="宋体"/>
                <w:color w:val="auto"/>
              </w:rPr>
            </w:pPr>
          </w:p>
        </w:tc>
        <w:tc>
          <w:tcPr>
            <w:tcW w:w="255" w:type="pct"/>
            <w:tcMar>
              <w:left w:w="0" w:type="dxa"/>
              <w:right w:w="0" w:type="dxa"/>
            </w:tcMar>
            <w:vAlign w:val="center"/>
          </w:tcPr>
          <w:p w14:paraId="5FB11402">
            <w:pPr>
              <w:adjustRightInd w:val="0"/>
              <w:snapToGrid w:val="0"/>
              <w:jc w:val="center"/>
              <w:rPr>
                <w:rFonts w:ascii="宋体" w:hAnsi="宋体"/>
                <w:color w:val="auto"/>
              </w:rPr>
            </w:pPr>
          </w:p>
        </w:tc>
        <w:tc>
          <w:tcPr>
            <w:tcW w:w="272" w:type="pct"/>
            <w:tcMar>
              <w:left w:w="0" w:type="dxa"/>
              <w:right w:w="0" w:type="dxa"/>
            </w:tcMar>
            <w:vAlign w:val="center"/>
          </w:tcPr>
          <w:p w14:paraId="57DC3611">
            <w:pPr>
              <w:adjustRightInd w:val="0"/>
              <w:snapToGrid w:val="0"/>
              <w:jc w:val="center"/>
              <w:rPr>
                <w:rFonts w:ascii="宋体" w:hAnsi="宋体"/>
                <w:color w:val="auto"/>
              </w:rPr>
            </w:pPr>
          </w:p>
        </w:tc>
        <w:tc>
          <w:tcPr>
            <w:tcW w:w="351" w:type="pct"/>
            <w:tcMar>
              <w:left w:w="0" w:type="dxa"/>
              <w:right w:w="0" w:type="dxa"/>
            </w:tcMar>
            <w:vAlign w:val="center"/>
          </w:tcPr>
          <w:p w14:paraId="28577B5B">
            <w:pPr>
              <w:adjustRightInd w:val="0"/>
              <w:snapToGrid w:val="0"/>
              <w:jc w:val="center"/>
              <w:rPr>
                <w:rFonts w:ascii="宋体" w:hAnsi="宋体"/>
                <w:color w:val="auto"/>
              </w:rPr>
            </w:pPr>
          </w:p>
        </w:tc>
        <w:tc>
          <w:tcPr>
            <w:tcW w:w="653" w:type="pct"/>
            <w:tcMar>
              <w:left w:w="0" w:type="dxa"/>
              <w:right w:w="0" w:type="dxa"/>
            </w:tcMar>
            <w:vAlign w:val="center"/>
          </w:tcPr>
          <w:p w14:paraId="1C9F0A00">
            <w:pPr>
              <w:adjustRightInd w:val="0"/>
              <w:snapToGrid w:val="0"/>
              <w:jc w:val="center"/>
              <w:rPr>
                <w:rFonts w:ascii="宋体" w:hAnsi="宋体"/>
                <w:color w:val="auto"/>
              </w:rPr>
            </w:pPr>
          </w:p>
        </w:tc>
        <w:tc>
          <w:tcPr>
            <w:tcW w:w="260" w:type="pct"/>
            <w:tcMar>
              <w:left w:w="0" w:type="dxa"/>
              <w:right w:w="0" w:type="dxa"/>
            </w:tcMar>
            <w:vAlign w:val="center"/>
          </w:tcPr>
          <w:p w14:paraId="5BB63B47">
            <w:pPr>
              <w:adjustRightInd w:val="0"/>
              <w:snapToGrid w:val="0"/>
              <w:jc w:val="center"/>
              <w:rPr>
                <w:rFonts w:ascii="宋体" w:hAnsi="宋体"/>
                <w:color w:val="auto"/>
              </w:rPr>
            </w:pPr>
          </w:p>
        </w:tc>
        <w:tc>
          <w:tcPr>
            <w:tcW w:w="269" w:type="pct"/>
            <w:tcMar>
              <w:left w:w="0" w:type="dxa"/>
              <w:right w:w="0" w:type="dxa"/>
            </w:tcMar>
            <w:vAlign w:val="center"/>
          </w:tcPr>
          <w:p w14:paraId="7AD6F9FA">
            <w:pPr>
              <w:adjustRightInd w:val="0"/>
              <w:snapToGrid w:val="0"/>
              <w:jc w:val="center"/>
              <w:rPr>
                <w:rFonts w:ascii="宋体" w:hAnsi="宋体"/>
                <w:color w:val="auto"/>
              </w:rPr>
            </w:pPr>
          </w:p>
        </w:tc>
        <w:tc>
          <w:tcPr>
            <w:tcW w:w="403" w:type="pct"/>
            <w:tcMar>
              <w:left w:w="0" w:type="dxa"/>
              <w:right w:w="0" w:type="dxa"/>
            </w:tcMar>
            <w:vAlign w:val="center"/>
          </w:tcPr>
          <w:p w14:paraId="1A21CF9B">
            <w:pPr>
              <w:adjustRightInd w:val="0"/>
              <w:snapToGrid w:val="0"/>
              <w:jc w:val="center"/>
              <w:rPr>
                <w:rFonts w:ascii="宋体" w:hAnsi="宋体"/>
                <w:color w:val="auto"/>
              </w:rPr>
            </w:pPr>
          </w:p>
        </w:tc>
        <w:tc>
          <w:tcPr>
            <w:tcW w:w="409" w:type="pct"/>
            <w:gridSpan w:val="2"/>
            <w:tcMar>
              <w:left w:w="0" w:type="dxa"/>
              <w:right w:w="0" w:type="dxa"/>
            </w:tcMar>
            <w:vAlign w:val="center"/>
          </w:tcPr>
          <w:p w14:paraId="71153A4D">
            <w:pPr>
              <w:adjustRightInd w:val="0"/>
              <w:snapToGrid w:val="0"/>
              <w:jc w:val="center"/>
              <w:rPr>
                <w:rFonts w:ascii="宋体" w:hAnsi="宋体"/>
                <w:color w:val="auto"/>
              </w:rPr>
            </w:pPr>
          </w:p>
        </w:tc>
      </w:tr>
      <w:tr w14:paraId="7815D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5005D3CE">
            <w:pPr>
              <w:adjustRightInd w:val="0"/>
              <w:snapToGrid w:val="0"/>
              <w:jc w:val="center"/>
              <w:rPr>
                <w:rFonts w:ascii="宋体" w:hAnsi="宋体"/>
                <w:color w:val="auto"/>
              </w:rPr>
            </w:pPr>
          </w:p>
        </w:tc>
        <w:tc>
          <w:tcPr>
            <w:tcW w:w="592" w:type="pct"/>
            <w:gridSpan w:val="2"/>
            <w:tcMar>
              <w:left w:w="0" w:type="dxa"/>
              <w:right w:w="0" w:type="dxa"/>
            </w:tcMar>
            <w:vAlign w:val="center"/>
          </w:tcPr>
          <w:p w14:paraId="4E5E9526">
            <w:pPr>
              <w:adjustRightInd w:val="0"/>
              <w:snapToGrid w:val="0"/>
              <w:jc w:val="center"/>
              <w:rPr>
                <w:rFonts w:ascii="宋体" w:hAnsi="宋体"/>
                <w:color w:val="auto"/>
              </w:rPr>
            </w:pPr>
            <w:r>
              <w:rPr>
                <w:rFonts w:hint="eastAsia" w:ascii="宋体" w:hAnsi="宋体"/>
                <w:color w:val="auto"/>
              </w:rPr>
              <w:t>二氧化硫</w:t>
            </w:r>
          </w:p>
        </w:tc>
        <w:tc>
          <w:tcPr>
            <w:tcW w:w="353" w:type="pct"/>
            <w:tcMar>
              <w:left w:w="0" w:type="dxa"/>
              <w:right w:w="0" w:type="dxa"/>
            </w:tcMar>
            <w:vAlign w:val="center"/>
          </w:tcPr>
          <w:p w14:paraId="14439E48">
            <w:pPr>
              <w:adjustRightInd w:val="0"/>
              <w:snapToGrid w:val="0"/>
              <w:jc w:val="center"/>
              <w:rPr>
                <w:rFonts w:ascii="宋体" w:hAnsi="宋体"/>
                <w:color w:val="auto"/>
              </w:rPr>
            </w:pPr>
            <w:r>
              <w:rPr>
                <w:rFonts w:ascii="宋体" w:hAnsi="宋体"/>
                <w:color w:val="auto"/>
              </w:rPr>
              <w:t>0.025t/a</w:t>
            </w:r>
          </w:p>
        </w:tc>
        <w:tc>
          <w:tcPr>
            <w:tcW w:w="356" w:type="pct"/>
            <w:tcMar>
              <w:left w:w="0" w:type="dxa"/>
              <w:right w:w="0" w:type="dxa"/>
            </w:tcMar>
            <w:vAlign w:val="center"/>
          </w:tcPr>
          <w:p w14:paraId="09BE3E39">
            <w:pPr>
              <w:adjustRightInd w:val="0"/>
              <w:snapToGrid w:val="0"/>
              <w:jc w:val="center"/>
              <w:rPr>
                <w:rFonts w:ascii="宋体" w:hAnsi="宋体"/>
                <w:color w:val="auto"/>
              </w:rPr>
            </w:pPr>
          </w:p>
        </w:tc>
        <w:tc>
          <w:tcPr>
            <w:tcW w:w="327" w:type="pct"/>
            <w:tcMar>
              <w:left w:w="0" w:type="dxa"/>
              <w:right w:w="0" w:type="dxa"/>
            </w:tcMar>
            <w:vAlign w:val="center"/>
          </w:tcPr>
          <w:p w14:paraId="0DCB1CC3">
            <w:pPr>
              <w:adjustRightInd w:val="0"/>
              <w:snapToGrid w:val="0"/>
              <w:jc w:val="center"/>
              <w:rPr>
                <w:rFonts w:ascii="宋体" w:hAnsi="宋体"/>
                <w:color w:val="auto"/>
              </w:rPr>
            </w:pPr>
          </w:p>
        </w:tc>
        <w:tc>
          <w:tcPr>
            <w:tcW w:w="367" w:type="pct"/>
            <w:tcMar>
              <w:left w:w="0" w:type="dxa"/>
              <w:right w:w="0" w:type="dxa"/>
            </w:tcMar>
            <w:vAlign w:val="center"/>
          </w:tcPr>
          <w:p w14:paraId="2FDF0164">
            <w:pPr>
              <w:adjustRightInd w:val="0"/>
              <w:snapToGrid w:val="0"/>
              <w:jc w:val="center"/>
              <w:rPr>
                <w:rFonts w:ascii="宋体" w:hAnsi="宋体"/>
                <w:color w:val="auto"/>
              </w:rPr>
            </w:pPr>
            <w:r>
              <w:rPr>
                <w:rFonts w:ascii="宋体" w:hAnsi="宋体"/>
                <w:color w:val="auto"/>
              </w:rPr>
              <w:t>0.012t/a</w:t>
            </w:r>
          </w:p>
        </w:tc>
        <w:tc>
          <w:tcPr>
            <w:tcW w:w="255" w:type="pct"/>
            <w:tcMar>
              <w:left w:w="0" w:type="dxa"/>
              <w:right w:w="0" w:type="dxa"/>
            </w:tcMar>
            <w:vAlign w:val="center"/>
          </w:tcPr>
          <w:p w14:paraId="53137C8D">
            <w:pPr>
              <w:adjustRightInd w:val="0"/>
              <w:snapToGrid w:val="0"/>
              <w:jc w:val="center"/>
              <w:rPr>
                <w:rFonts w:ascii="宋体" w:hAnsi="宋体"/>
                <w:color w:val="auto"/>
              </w:rPr>
            </w:pPr>
          </w:p>
        </w:tc>
        <w:tc>
          <w:tcPr>
            <w:tcW w:w="272" w:type="pct"/>
            <w:tcMar>
              <w:left w:w="0" w:type="dxa"/>
              <w:right w:w="0" w:type="dxa"/>
            </w:tcMar>
            <w:vAlign w:val="center"/>
          </w:tcPr>
          <w:p w14:paraId="38DF282E">
            <w:pPr>
              <w:adjustRightInd w:val="0"/>
              <w:snapToGrid w:val="0"/>
              <w:jc w:val="center"/>
              <w:rPr>
                <w:rFonts w:ascii="宋体" w:hAnsi="宋体"/>
                <w:color w:val="auto"/>
              </w:rPr>
            </w:pPr>
          </w:p>
        </w:tc>
        <w:tc>
          <w:tcPr>
            <w:tcW w:w="351" w:type="pct"/>
            <w:tcMar>
              <w:left w:w="0" w:type="dxa"/>
              <w:right w:w="0" w:type="dxa"/>
            </w:tcMar>
            <w:vAlign w:val="center"/>
          </w:tcPr>
          <w:p w14:paraId="2722BFB4">
            <w:pPr>
              <w:adjustRightInd w:val="0"/>
              <w:snapToGrid w:val="0"/>
              <w:jc w:val="center"/>
              <w:rPr>
                <w:rFonts w:ascii="宋体" w:hAnsi="宋体"/>
                <w:color w:val="auto"/>
              </w:rPr>
            </w:pPr>
          </w:p>
        </w:tc>
        <w:tc>
          <w:tcPr>
            <w:tcW w:w="653" w:type="pct"/>
            <w:tcMar>
              <w:left w:w="0" w:type="dxa"/>
              <w:right w:w="0" w:type="dxa"/>
            </w:tcMar>
            <w:vAlign w:val="center"/>
          </w:tcPr>
          <w:p w14:paraId="06579CBE">
            <w:pPr>
              <w:adjustRightInd w:val="0"/>
              <w:snapToGrid w:val="0"/>
              <w:jc w:val="center"/>
              <w:rPr>
                <w:rFonts w:ascii="宋体" w:hAnsi="宋体"/>
                <w:color w:val="auto"/>
              </w:rPr>
            </w:pPr>
          </w:p>
        </w:tc>
        <w:tc>
          <w:tcPr>
            <w:tcW w:w="260" w:type="pct"/>
            <w:tcMar>
              <w:left w:w="0" w:type="dxa"/>
              <w:right w:w="0" w:type="dxa"/>
            </w:tcMar>
            <w:vAlign w:val="center"/>
          </w:tcPr>
          <w:p w14:paraId="750BA789">
            <w:pPr>
              <w:adjustRightInd w:val="0"/>
              <w:snapToGrid w:val="0"/>
              <w:jc w:val="center"/>
              <w:rPr>
                <w:rFonts w:ascii="宋体" w:hAnsi="宋体"/>
                <w:color w:val="auto"/>
              </w:rPr>
            </w:pPr>
            <w:r>
              <w:rPr>
                <w:rFonts w:hint="eastAsia" w:ascii="宋体" w:hAnsi="宋体"/>
                <w:color w:val="auto"/>
              </w:rPr>
              <w:t>0</w:t>
            </w:r>
            <w:r>
              <w:rPr>
                <w:rFonts w:ascii="宋体" w:hAnsi="宋体"/>
                <w:color w:val="auto"/>
              </w:rPr>
              <w:t>.037t/a</w:t>
            </w:r>
          </w:p>
        </w:tc>
        <w:tc>
          <w:tcPr>
            <w:tcW w:w="269" w:type="pct"/>
            <w:tcMar>
              <w:left w:w="0" w:type="dxa"/>
              <w:right w:w="0" w:type="dxa"/>
            </w:tcMar>
            <w:vAlign w:val="center"/>
          </w:tcPr>
          <w:p w14:paraId="060A03A0">
            <w:pPr>
              <w:adjustRightInd w:val="0"/>
              <w:snapToGrid w:val="0"/>
              <w:jc w:val="center"/>
              <w:rPr>
                <w:rFonts w:ascii="宋体" w:hAnsi="宋体"/>
                <w:color w:val="auto"/>
              </w:rPr>
            </w:pPr>
          </w:p>
        </w:tc>
        <w:tc>
          <w:tcPr>
            <w:tcW w:w="403" w:type="pct"/>
            <w:tcMar>
              <w:left w:w="0" w:type="dxa"/>
              <w:right w:w="0" w:type="dxa"/>
            </w:tcMar>
            <w:vAlign w:val="center"/>
          </w:tcPr>
          <w:p w14:paraId="23298E90">
            <w:pPr>
              <w:adjustRightInd w:val="0"/>
              <w:snapToGrid w:val="0"/>
              <w:jc w:val="center"/>
              <w:rPr>
                <w:rFonts w:ascii="宋体" w:hAnsi="宋体"/>
                <w:color w:val="auto"/>
              </w:rPr>
            </w:pPr>
          </w:p>
        </w:tc>
        <w:tc>
          <w:tcPr>
            <w:tcW w:w="409" w:type="pct"/>
            <w:gridSpan w:val="2"/>
            <w:tcMar>
              <w:left w:w="0" w:type="dxa"/>
              <w:right w:w="0" w:type="dxa"/>
            </w:tcMar>
            <w:vAlign w:val="center"/>
          </w:tcPr>
          <w:p w14:paraId="7513D14B">
            <w:pPr>
              <w:adjustRightInd w:val="0"/>
              <w:snapToGrid w:val="0"/>
              <w:jc w:val="center"/>
              <w:rPr>
                <w:rFonts w:ascii="宋体" w:hAnsi="宋体"/>
                <w:color w:val="auto"/>
              </w:rPr>
            </w:pPr>
            <w:r>
              <w:rPr>
                <w:rFonts w:ascii="宋体" w:hAnsi="宋体"/>
                <w:color w:val="auto"/>
              </w:rPr>
              <w:t>+0.012t/a</w:t>
            </w:r>
          </w:p>
        </w:tc>
      </w:tr>
      <w:tr w14:paraId="0BE71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2E17A69">
            <w:pPr>
              <w:adjustRightInd w:val="0"/>
              <w:snapToGrid w:val="0"/>
              <w:jc w:val="center"/>
              <w:rPr>
                <w:rFonts w:ascii="宋体" w:hAnsi="宋体"/>
                <w:color w:val="auto"/>
              </w:rPr>
            </w:pPr>
          </w:p>
        </w:tc>
        <w:tc>
          <w:tcPr>
            <w:tcW w:w="592" w:type="pct"/>
            <w:gridSpan w:val="2"/>
            <w:tcMar>
              <w:left w:w="0" w:type="dxa"/>
              <w:right w:w="0" w:type="dxa"/>
            </w:tcMar>
            <w:vAlign w:val="center"/>
          </w:tcPr>
          <w:p w14:paraId="794DC20B">
            <w:pPr>
              <w:adjustRightInd w:val="0"/>
              <w:snapToGrid w:val="0"/>
              <w:jc w:val="center"/>
              <w:rPr>
                <w:rFonts w:ascii="宋体" w:hAnsi="宋体"/>
                <w:color w:val="auto"/>
              </w:rPr>
            </w:pPr>
            <w:r>
              <w:rPr>
                <w:rFonts w:hint="eastAsia" w:ascii="宋体" w:hAnsi="宋体"/>
                <w:color w:val="auto"/>
              </w:rPr>
              <w:t>烟尘</w:t>
            </w:r>
          </w:p>
        </w:tc>
        <w:tc>
          <w:tcPr>
            <w:tcW w:w="353" w:type="pct"/>
            <w:tcMar>
              <w:left w:w="0" w:type="dxa"/>
              <w:right w:w="0" w:type="dxa"/>
            </w:tcMar>
            <w:vAlign w:val="center"/>
          </w:tcPr>
          <w:p w14:paraId="082A8548">
            <w:pPr>
              <w:adjustRightInd w:val="0"/>
              <w:snapToGrid w:val="0"/>
              <w:jc w:val="center"/>
              <w:rPr>
                <w:rFonts w:ascii="宋体" w:hAnsi="宋体"/>
                <w:color w:val="auto"/>
              </w:rPr>
            </w:pPr>
            <w:r>
              <w:rPr>
                <w:rFonts w:ascii="宋体" w:hAnsi="宋体"/>
                <w:color w:val="auto"/>
              </w:rPr>
              <w:t>0.0325t/a</w:t>
            </w:r>
          </w:p>
        </w:tc>
        <w:tc>
          <w:tcPr>
            <w:tcW w:w="356" w:type="pct"/>
            <w:tcMar>
              <w:left w:w="0" w:type="dxa"/>
              <w:right w:w="0" w:type="dxa"/>
            </w:tcMar>
            <w:vAlign w:val="center"/>
          </w:tcPr>
          <w:p w14:paraId="7E8EC7DD">
            <w:pPr>
              <w:adjustRightInd w:val="0"/>
              <w:snapToGrid w:val="0"/>
              <w:jc w:val="center"/>
              <w:rPr>
                <w:rFonts w:ascii="宋体" w:hAnsi="宋体"/>
                <w:color w:val="auto"/>
              </w:rPr>
            </w:pPr>
          </w:p>
        </w:tc>
        <w:tc>
          <w:tcPr>
            <w:tcW w:w="327" w:type="pct"/>
            <w:tcMar>
              <w:left w:w="0" w:type="dxa"/>
              <w:right w:w="0" w:type="dxa"/>
            </w:tcMar>
            <w:vAlign w:val="center"/>
          </w:tcPr>
          <w:p w14:paraId="241AE2B8">
            <w:pPr>
              <w:adjustRightInd w:val="0"/>
              <w:snapToGrid w:val="0"/>
              <w:jc w:val="center"/>
              <w:rPr>
                <w:rFonts w:ascii="宋体" w:hAnsi="宋体"/>
                <w:color w:val="auto"/>
              </w:rPr>
            </w:pPr>
          </w:p>
        </w:tc>
        <w:tc>
          <w:tcPr>
            <w:tcW w:w="367" w:type="pct"/>
            <w:tcMar>
              <w:left w:w="0" w:type="dxa"/>
              <w:right w:w="0" w:type="dxa"/>
            </w:tcMar>
            <w:vAlign w:val="center"/>
          </w:tcPr>
          <w:p w14:paraId="41188C5F">
            <w:pPr>
              <w:adjustRightInd w:val="0"/>
              <w:snapToGrid w:val="0"/>
              <w:jc w:val="center"/>
              <w:rPr>
                <w:rFonts w:ascii="宋体" w:hAnsi="宋体"/>
                <w:color w:val="auto"/>
              </w:rPr>
            </w:pPr>
            <w:r>
              <w:rPr>
                <w:rFonts w:ascii="宋体" w:hAnsi="宋体"/>
                <w:color w:val="auto"/>
              </w:rPr>
              <w:t>0.027t/a</w:t>
            </w:r>
          </w:p>
        </w:tc>
        <w:tc>
          <w:tcPr>
            <w:tcW w:w="255" w:type="pct"/>
            <w:tcMar>
              <w:left w:w="0" w:type="dxa"/>
              <w:right w:w="0" w:type="dxa"/>
            </w:tcMar>
            <w:vAlign w:val="center"/>
          </w:tcPr>
          <w:p w14:paraId="0B3CC36E">
            <w:pPr>
              <w:adjustRightInd w:val="0"/>
              <w:snapToGrid w:val="0"/>
              <w:jc w:val="center"/>
              <w:rPr>
                <w:rFonts w:ascii="宋体" w:hAnsi="宋体"/>
                <w:color w:val="auto"/>
              </w:rPr>
            </w:pPr>
          </w:p>
        </w:tc>
        <w:tc>
          <w:tcPr>
            <w:tcW w:w="272" w:type="pct"/>
            <w:tcMar>
              <w:left w:w="0" w:type="dxa"/>
              <w:right w:w="0" w:type="dxa"/>
            </w:tcMar>
            <w:vAlign w:val="top"/>
          </w:tcPr>
          <w:p w14:paraId="276C1ABE">
            <w:pPr>
              <w:adjustRightInd w:val="0"/>
              <w:snapToGrid w:val="0"/>
              <w:jc w:val="center"/>
              <w:rPr>
                <w:rFonts w:ascii="宋体" w:hAnsi="宋体"/>
                <w:color w:val="auto"/>
              </w:rPr>
            </w:pPr>
          </w:p>
        </w:tc>
        <w:tc>
          <w:tcPr>
            <w:tcW w:w="351" w:type="pct"/>
            <w:tcMar>
              <w:left w:w="0" w:type="dxa"/>
              <w:right w:w="0" w:type="dxa"/>
            </w:tcMar>
            <w:vAlign w:val="top"/>
          </w:tcPr>
          <w:p w14:paraId="36E5F9B2">
            <w:pPr>
              <w:adjustRightInd w:val="0"/>
              <w:snapToGrid w:val="0"/>
              <w:jc w:val="center"/>
              <w:rPr>
                <w:rFonts w:ascii="宋体" w:hAnsi="宋体"/>
                <w:color w:val="auto"/>
              </w:rPr>
            </w:pPr>
          </w:p>
        </w:tc>
        <w:tc>
          <w:tcPr>
            <w:tcW w:w="653" w:type="pct"/>
            <w:tcMar>
              <w:left w:w="0" w:type="dxa"/>
              <w:right w:w="0" w:type="dxa"/>
            </w:tcMar>
            <w:vAlign w:val="center"/>
          </w:tcPr>
          <w:p w14:paraId="3D7EECBF">
            <w:pPr>
              <w:adjustRightInd w:val="0"/>
              <w:snapToGrid w:val="0"/>
              <w:jc w:val="center"/>
              <w:rPr>
                <w:rFonts w:ascii="宋体" w:hAnsi="宋体"/>
                <w:color w:val="auto"/>
              </w:rPr>
            </w:pPr>
          </w:p>
        </w:tc>
        <w:tc>
          <w:tcPr>
            <w:tcW w:w="260" w:type="pct"/>
            <w:tcMar>
              <w:left w:w="0" w:type="dxa"/>
              <w:right w:w="0" w:type="dxa"/>
            </w:tcMar>
            <w:vAlign w:val="center"/>
          </w:tcPr>
          <w:p w14:paraId="2551630A">
            <w:pPr>
              <w:adjustRightInd w:val="0"/>
              <w:snapToGrid w:val="0"/>
              <w:jc w:val="center"/>
              <w:rPr>
                <w:rFonts w:ascii="宋体" w:hAnsi="宋体"/>
                <w:color w:val="auto"/>
              </w:rPr>
            </w:pPr>
            <w:r>
              <w:rPr>
                <w:rFonts w:hint="eastAsia" w:ascii="宋体" w:hAnsi="宋体"/>
                <w:color w:val="auto"/>
              </w:rPr>
              <w:t>0</w:t>
            </w:r>
            <w:r>
              <w:rPr>
                <w:rFonts w:ascii="宋体" w:hAnsi="宋体"/>
                <w:color w:val="auto"/>
              </w:rPr>
              <w:t>.0595t/a</w:t>
            </w:r>
          </w:p>
        </w:tc>
        <w:tc>
          <w:tcPr>
            <w:tcW w:w="269" w:type="pct"/>
            <w:tcMar>
              <w:left w:w="0" w:type="dxa"/>
              <w:right w:w="0" w:type="dxa"/>
            </w:tcMar>
            <w:vAlign w:val="center"/>
          </w:tcPr>
          <w:p w14:paraId="4569227A">
            <w:pPr>
              <w:adjustRightInd w:val="0"/>
              <w:snapToGrid w:val="0"/>
              <w:jc w:val="center"/>
              <w:rPr>
                <w:rFonts w:ascii="宋体" w:hAnsi="宋体"/>
                <w:color w:val="auto"/>
              </w:rPr>
            </w:pPr>
          </w:p>
        </w:tc>
        <w:tc>
          <w:tcPr>
            <w:tcW w:w="403" w:type="pct"/>
            <w:tcMar>
              <w:left w:w="0" w:type="dxa"/>
              <w:right w:w="0" w:type="dxa"/>
            </w:tcMar>
            <w:vAlign w:val="center"/>
          </w:tcPr>
          <w:p w14:paraId="1E311E83">
            <w:pPr>
              <w:adjustRightInd w:val="0"/>
              <w:snapToGrid w:val="0"/>
              <w:jc w:val="center"/>
              <w:rPr>
                <w:rFonts w:ascii="宋体" w:hAnsi="宋体"/>
                <w:color w:val="auto"/>
              </w:rPr>
            </w:pPr>
          </w:p>
        </w:tc>
        <w:tc>
          <w:tcPr>
            <w:tcW w:w="409" w:type="pct"/>
            <w:gridSpan w:val="2"/>
            <w:tcMar>
              <w:left w:w="0" w:type="dxa"/>
              <w:right w:w="0" w:type="dxa"/>
            </w:tcMar>
            <w:vAlign w:val="center"/>
          </w:tcPr>
          <w:p w14:paraId="1AFAB302">
            <w:pPr>
              <w:adjustRightInd w:val="0"/>
              <w:snapToGrid w:val="0"/>
              <w:jc w:val="center"/>
              <w:rPr>
                <w:rFonts w:ascii="宋体" w:hAnsi="宋体"/>
                <w:color w:val="auto"/>
              </w:rPr>
            </w:pPr>
            <w:r>
              <w:rPr>
                <w:rFonts w:ascii="宋体" w:hAnsi="宋体"/>
                <w:color w:val="auto"/>
              </w:rPr>
              <w:t>+0.027t/a</w:t>
            </w:r>
          </w:p>
        </w:tc>
      </w:tr>
      <w:tr w14:paraId="15973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35B7DB66">
            <w:pPr>
              <w:adjustRightInd w:val="0"/>
              <w:snapToGrid w:val="0"/>
              <w:jc w:val="center"/>
              <w:rPr>
                <w:rFonts w:ascii="宋体" w:hAnsi="宋体"/>
                <w:color w:val="auto"/>
              </w:rPr>
            </w:pPr>
          </w:p>
        </w:tc>
        <w:tc>
          <w:tcPr>
            <w:tcW w:w="592" w:type="pct"/>
            <w:gridSpan w:val="2"/>
            <w:tcMar>
              <w:left w:w="0" w:type="dxa"/>
              <w:right w:w="0" w:type="dxa"/>
            </w:tcMar>
            <w:vAlign w:val="center"/>
          </w:tcPr>
          <w:p w14:paraId="617DD288">
            <w:pPr>
              <w:adjustRightInd w:val="0"/>
              <w:snapToGrid w:val="0"/>
              <w:jc w:val="center"/>
              <w:rPr>
                <w:rFonts w:ascii="宋体" w:hAnsi="宋体"/>
                <w:color w:val="auto"/>
              </w:rPr>
            </w:pPr>
            <w:r>
              <w:rPr>
                <w:rFonts w:hint="eastAsia" w:ascii="宋体" w:hAnsi="宋体"/>
                <w:color w:val="auto"/>
              </w:rPr>
              <w:t>工业粉尘</w:t>
            </w:r>
          </w:p>
        </w:tc>
        <w:tc>
          <w:tcPr>
            <w:tcW w:w="353" w:type="pct"/>
            <w:tcMar>
              <w:left w:w="0" w:type="dxa"/>
              <w:right w:w="0" w:type="dxa"/>
            </w:tcMar>
            <w:vAlign w:val="center"/>
          </w:tcPr>
          <w:p w14:paraId="41B6ED42">
            <w:pPr>
              <w:adjustRightInd w:val="0"/>
              <w:snapToGrid w:val="0"/>
              <w:jc w:val="center"/>
              <w:rPr>
                <w:rFonts w:ascii="宋体" w:hAnsi="宋体"/>
                <w:color w:val="auto"/>
              </w:rPr>
            </w:pPr>
          </w:p>
        </w:tc>
        <w:tc>
          <w:tcPr>
            <w:tcW w:w="356" w:type="pct"/>
            <w:tcMar>
              <w:left w:w="0" w:type="dxa"/>
              <w:right w:w="0" w:type="dxa"/>
            </w:tcMar>
            <w:vAlign w:val="center"/>
          </w:tcPr>
          <w:p w14:paraId="75EDB604">
            <w:pPr>
              <w:adjustRightInd w:val="0"/>
              <w:snapToGrid w:val="0"/>
              <w:jc w:val="center"/>
              <w:rPr>
                <w:rFonts w:ascii="宋体" w:hAnsi="宋体"/>
                <w:color w:val="auto"/>
              </w:rPr>
            </w:pPr>
          </w:p>
        </w:tc>
        <w:tc>
          <w:tcPr>
            <w:tcW w:w="327" w:type="pct"/>
            <w:tcMar>
              <w:left w:w="0" w:type="dxa"/>
              <w:right w:w="0" w:type="dxa"/>
            </w:tcMar>
            <w:vAlign w:val="center"/>
          </w:tcPr>
          <w:p w14:paraId="4EC71E4D">
            <w:pPr>
              <w:adjustRightInd w:val="0"/>
              <w:snapToGrid w:val="0"/>
              <w:jc w:val="center"/>
              <w:rPr>
                <w:rFonts w:ascii="宋体" w:hAnsi="宋体"/>
                <w:color w:val="auto"/>
              </w:rPr>
            </w:pPr>
          </w:p>
        </w:tc>
        <w:tc>
          <w:tcPr>
            <w:tcW w:w="367" w:type="pct"/>
            <w:tcMar>
              <w:left w:w="0" w:type="dxa"/>
              <w:right w:w="0" w:type="dxa"/>
            </w:tcMar>
            <w:vAlign w:val="center"/>
          </w:tcPr>
          <w:p w14:paraId="267C07DF">
            <w:pPr>
              <w:adjustRightInd w:val="0"/>
              <w:snapToGrid w:val="0"/>
              <w:jc w:val="center"/>
              <w:rPr>
                <w:rFonts w:ascii="宋体" w:hAnsi="宋体"/>
                <w:color w:val="auto"/>
              </w:rPr>
            </w:pPr>
          </w:p>
        </w:tc>
        <w:tc>
          <w:tcPr>
            <w:tcW w:w="255" w:type="pct"/>
            <w:tcMar>
              <w:left w:w="0" w:type="dxa"/>
              <w:right w:w="0" w:type="dxa"/>
            </w:tcMar>
            <w:vAlign w:val="center"/>
          </w:tcPr>
          <w:p w14:paraId="2EBFFD64">
            <w:pPr>
              <w:adjustRightInd w:val="0"/>
              <w:snapToGrid w:val="0"/>
              <w:jc w:val="center"/>
              <w:rPr>
                <w:rFonts w:ascii="宋体" w:hAnsi="宋体"/>
                <w:color w:val="auto"/>
              </w:rPr>
            </w:pPr>
          </w:p>
        </w:tc>
        <w:tc>
          <w:tcPr>
            <w:tcW w:w="272" w:type="pct"/>
            <w:tcMar>
              <w:left w:w="0" w:type="dxa"/>
              <w:right w:w="0" w:type="dxa"/>
            </w:tcMar>
            <w:vAlign w:val="center"/>
          </w:tcPr>
          <w:p w14:paraId="5068FDC2">
            <w:pPr>
              <w:adjustRightInd w:val="0"/>
              <w:snapToGrid w:val="0"/>
              <w:jc w:val="center"/>
              <w:rPr>
                <w:rFonts w:ascii="宋体" w:hAnsi="宋体"/>
                <w:color w:val="auto"/>
              </w:rPr>
            </w:pPr>
          </w:p>
        </w:tc>
        <w:tc>
          <w:tcPr>
            <w:tcW w:w="351" w:type="pct"/>
            <w:tcMar>
              <w:left w:w="0" w:type="dxa"/>
              <w:right w:w="0" w:type="dxa"/>
            </w:tcMar>
            <w:vAlign w:val="center"/>
          </w:tcPr>
          <w:p w14:paraId="161BEEE0">
            <w:pPr>
              <w:adjustRightInd w:val="0"/>
              <w:snapToGrid w:val="0"/>
              <w:jc w:val="center"/>
              <w:rPr>
                <w:rFonts w:ascii="宋体" w:hAnsi="宋体"/>
                <w:color w:val="auto"/>
              </w:rPr>
            </w:pPr>
          </w:p>
        </w:tc>
        <w:tc>
          <w:tcPr>
            <w:tcW w:w="653" w:type="pct"/>
            <w:tcMar>
              <w:left w:w="0" w:type="dxa"/>
              <w:right w:w="0" w:type="dxa"/>
            </w:tcMar>
            <w:vAlign w:val="center"/>
          </w:tcPr>
          <w:p w14:paraId="25652BB9">
            <w:pPr>
              <w:adjustRightInd w:val="0"/>
              <w:snapToGrid w:val="0"/>
              <w:jc w:val="center"/>
              <w:rPr>
                <w:rFonts w:ascii="宋体" w:hAnsi="宋体"/>
                <w:color w:val="auto"/>
              </w:rPr>
            </w:pPr>
          </w:p>
        </w:tc>
        <w:tc>
          <w:tcPr>
            <w:tcW w:w="260" w:type="pct"/>
            <w:tcMar>
              <w:left w:w="0" w:type="dxa"/>
              <w:right w:w="0" w:type="dxa"/>
            </w:tcMar>
            <w:vAlign w:val="center"/>
          </w:tcPr>
          <w:p w14:paraId="183878CF">
            <w:pPr>
              <w:adjustRightInd w:val="0"/>
              <w:snapToGrid w:val="0"/>
              <w:jc w:val="center"/>
              <w:rPr>
                <w:rFonts w:ascii="宋体" w:hAnsi="宋体"/>
                <w:color w:val="auto"/>
              </w:rPr>
            </w:pPr>
          </w:p>
        </w:tc>
        <w:tc>
          <w:tcPr>
            <w:tcW w:w="269" w:type="pct"/>
            <w:tcMar>
              <w:left w:w="0" w:type="dxa"/>
              <w:right w:w="0" w:type="dxa"/>
            </w:tcMar>
            <w:vAlign w:val="center"/>
          </w:tcPr>
          <w:p w14:paraId="23E91228">
            <w:pPr>
              <w:adjustRightInd w:val="0"/>
              <w:snapToGrid w:val="0"/>
              <w:jc w:val="center"/>
              <w:rPr>
                <w:rFonts w:ascii="宋体" w:hAnsi="宋体"/>
                <w:color w:val="auto"/>
              </w:rPr>
            </w:pPr>
          </w:p>
        </w:tc>
        <w:tc>
          <w:tcPr>
            <w:tcW w:w="403" w:type="pct"/>
            <w:tcMar>
              <w:left w:w="0" w:type="dxa"/>
              <w:right w:w="0" w:type="dxa"/>
            </w:tcMar>
            <w:vAlign w:val="center"/>
          </w:tcPr>
          <w:p w14:paraId="51846E65">
            <w:pPr>
              <w:adjustRightInd w:val="0"/>
              <w:snapToGrid w:val="0"/>
              <w:jc w:val="center"/>
              <w:rPr>
                <w:rFonts w:ascii="宋体" w:hAnsi="宋体"/>
                <w:color w:val="auto"/>
              </w:rPr>
            </w:pPr>
          </w:p>
        </w:tc>
        <w:tc>
          <w:tcPr>
            <w:tcW w:w="409" w:type="pct"/>
            <w:gridSpan w:val="2"/>
            <w:tcMar>
              <w:left w:w="0" w:type="dxa"/>
              <w:right w:w="0" w:type="dxa"/>
            </w:tcMar>
            <w:vAlign w:val="center"/>
          </w:tcPr>
          <w:p w14:paraId="1965D11A">
            <w:pPr>
              <w:adjustRightInd w:val="0"/>
              <w:snapToGrid w:val="0"/>
              <w:jc w:val="center"/>
              <w:rPr>
                <w:rFonts w:ascii="宋体" w:hAnsi="宋体"/>
                <w:color w:val="auto"/>
              </w:rPr>
            </w:pPr>
          </w:p>
        </w:tc>
      </w:tr>
      <w:tr w14:paraId="18625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3D856254">
            <w:pPr>
              <w:adjustRightInd w:val="0"/>
              <w:snapToGrid w:val="0"/>
              <w:jc w:val="center"/>
              <w:rPr>
                <w:rFonts w:ascii="宋体" w:hAnsi="宋体"/>
                <w:color w:val="auto"/>
              </w:rPr>
            </w:pPr>
          </w:p>
        </w:tc>
        <w:tc>
          <w:tcPr>
            <w:tcW w:w="592" w:type="pct"/>
            <w:gridSpan w:val="2"/>
            <w:tcMar>
              <w:left w:w="0" w:type="dxa"/>
              <w:right w:w="0" w:type="dxa"/>
            </w:tcMar>
            <w:vAlign w:val="center"/>
          </w:tcPr>
          <w:p w14:paraId="110D839A">
            <w:pPr>
              <w:adjustRightInd w:val="0"/>
              <w:snapToGrid w:val="0"/>
              <w:jc w:val="center"/>
              <w:rPr>
                <w:rFonts w:ascii="宋体" w:hAnsi="宋体"/>
                <w:color w:val="auto"/>
              </w:rPr>
            </w:pPr>
            <w:r>
              <w:rPr>
                <w:rFonts w:hint="eastAsia" w:ascii="宋体" w:hAnsi="宋体"/>
                <w:color w:val="auto"/>
              </w:rPr>
              <w:t>氮氧化物</w:t>
            </w:r>
          </w:p>
        </w:tc>
        <w:tc>
          <w:tcPr>
            <w:tcW w:w="353" w:type="pct"/>
            <w:tcMar>
              <w:left w:w="0" w:type="dxa"/>
              <w:right w:w="0" w:type="dxa"/>
            </w:tcMar>
            <w:vAlign w:val="center"/>
          </w:tcPr>
          <w:p w14:paraId="22A75A35">
            <w:pPr>
              <w:adjustRightInd w:val="0"/>
              <w:snapToGrid w:val="0"/>
              <w:jc w:val="center"/>
              <w:rPr>
                <w:rFonts w:ascii="宋体" w:hAnsi="宋体"/>
                <w:color w:val="auto"/>
              </w:rPr>
            </w:pPr>
            <w:bookmarkStart w:id="574" w:name="OLE_LINK134"/>
            <w:r>
              <w:rPr>
                <w:rFonts w:ascii="宋体" w:hAnsi="宋体"/>
                <w:color w:val="auto"/>
              </w:rPr>
              <w:t>0.244t/a</w:t>
            </w:r>
            <w:bookmarkEnd w:id="574"/>
          </w:p>
        </w:tc>
        <w:tc>
          <w:tcPr>
            <w:tcW w:w="356" w:type="pct"/>
            <w:tcMar>
              <w:left w:w="0" w:type="dxa"/>
              <w:right w:w="0" w:type="dxa"/>
            </w:tcMar>
            <w:vAlign w:val="center"/>
          </w:tcPr>
          <w:p w14:paraId="41A8DE9C">
            <w:pPr>
              <w:adjustRightInd w:val="0"/>
              <w:snapToGrid w:val="0"/>
              <w:jc w:val="center"/>
              <w:rPr>
                <w:rFonts w:ascii="宋体" w:hAnsi="宋体"/>
                <w:color w:val="auto"/>
              </w:rPr>
            </w:pPr>
          </w:p>
        </w:tc>
        <w:tc>
          <w:tcPr>
            <w:tcW w:w="327" w:type="pct"/>
            <w:tcMar>
              <w:left w:w="0" w:type="dxa"/>
              <w:right w:w="0" w:type="dxa"/>
            </w:tcMar>
            <w:vAlign w:val="center"/>
          </w:tcPr>
          <w:p w14:paraId="4862ECB8">
            <w:pPr>
              <w:adjustRightInd w:val="0"/>
              <w:snapToGrid w:val="0"/>
              <w:jc w:val="center"/>
              <w:rPr>
                <w:rFonts w:ascii="宋体" w:hAnsi="宋体"/>
                <w:color w:val="auto"/>
              </w:rPr>
            </w:pPr>
          </w:p>
        </w:tc>
        <w:tc>
          <w:tcPr>
            <w:tcW w:w="367" w:type="pct"/>
            <w:tcMar>
              <w:left w:w="0" w:type="dxa"/>
              <w:right w:w="0" w:type="dxa"/>
            </w:tcMar>
            <w:vAlign w:val="center"/>
          </w:tcPr>
          <w:p w14:paraId="23CC337B">
            <w:pPr>
              <w:adjustRightInd w:val="0"/>
              <w:snapToGrid w:val="0"/>
              <w:jc w:val="center"/>
              <w:rPr>
                <w:rFonts w:ascii="宋体" w:hAnsi="宋体"/>
                <w:color w:val="auto"/>
              </w:rPr>
            </w:pPr>
            <w:r>
              <w:rPr>
                <w:rFonts w:ascii="宋体" w:hAnsi="宋体"/>
                <w:color w:val="auto"/>
              </w:rPr>
              <w:t>0.257t/a</w:t>
            </w:r>
          </w:p>
        </w:tc>
        <w:tc>
          <w:tcPr>
            <w:tcW w:w="255" w:type="pct"/>
            <w:tcMar>
              <w:left w:w="0" w:type="dxa"/>
              <w:right w:w="0" w:type="dxa"/>
            </w:tcMar>
            <w:vAlign w:val="center"/>
          </w:tcPr>
          <w:p w14:paraId="195E01E2">
            <w:pPr>
              <w:adjustRightInd w:val="0"/>
              <w:snapToGrid w:val="0"/>
              <w:jc w:val="center"/>
              <w:rPr>
                <w:rFonts w:ascii="宋体" w:hAnsi="宋体"/>
                <w:color w:val="auto"/>
              </w:rPr>
            </w:pPr>
          </w:p>
        </w:tc>
        <w:tc>
          <w:tcPr>
            <w:tcW w:w="272" w:type="pct"/>
            <w:tcMar>
              <w:left w:w="0" w:type="dxa"/>
              <w:right w:w="0" w:type="dxa"/>
            </w:tcMar>
            <w:vAlign w:val="center"/>
          </w:tcPr>
          <w:p w14:paraId="45CA5422">
            <w:pPr>
              <w:adjustRightInd w:val="0"/>
              <w:snapToGrid w:val="0"/>
              <w:jc w:val="center"/>
              <w:rPr>
                <w:rFonts w:ascii="宋体" w:hAnsi="宋体"/>
                <w:color w:val="auto"/>
              </w:rPr>
            </w:pPr>
          </w:p>
        </w:tc>
        <w:tc>
          <w:tcPr>
            <w:tcW w:w="351" w:type="pct"/>
            <w:tcMar>
              <w:left w:w="0" w:type="dxa"/>
              <w:right w:w="0" w:type="dxa"/>
            </w:tcMar>
            <w:vAlign w:val="center"/>
          </w:tcPr>
          <w:p w14:paraId="6049F579">
            <w:pPr>
              <w:adjustRightInd w:val="0"/>
              <w:snapToGrid w:val="0"/>
              <w:jc w:val="center"/>
              <w:rPr>
                <w:rFonts w:ascii="宋体" w:hAnsi="宋体"/>
                <w:color w:val="auto"/>
              </w:rPr>
            </w:pPr>
          </w:p>
        </w:tc>
        <w:tc>
          <w:tcPr>
            <w:tcW w:w="653" w:type="pct"/>
            <w:tcMar>
              <w:left w:w="0" w:type="dxa"/>
              <w:right w:w="0" w:type="dxa"/>
            </w:tcMar>
            <w:vAlign w:val="center"/>
          </w:tcPr>
          <w:p w14:paraId="5DFB5A26">
            <w:pPr>
              <w:adjustRightInd w:val="0"/>
              <w:snapToGrid w:val="0"/>
              <w:jc w:val="center"/>
              <w:rPr>
                <w:rFonts w:ascii="宋体" w:hAnsi="宋体"/>
                <w:color w:val="auto"/>
              </w:rPr>
            </w:pPr>
          </w:p>
        </w:tc>
        <w:tc>
          <w:tcPr>
            <w:tcW w:w="260" w:type="pct"/>
            <w:tcMar>
              <w:left w:w="0" w:type="dxa"/>
              <w:right w:w="0" w:type="dxa"/>
            </w:tcMar>
            <w:vAlign w:val="center"/>
          </w:tcPr>
          <w:p w14:paraId="26CA881B">
            <w:pPr>
              <w:adjustRightInd w:val="0"/>
              <w:snapToGrid w:val="0"/>
              <w:jc w:val="center"/>
              <w:rPr>
                <w:rFonts w:ascii="宋体" w:hAnsi="宋体"/>
                <w:color w:val="auto"/>
              </w:rPr>
            </w:pPr>
            <w:r>
              <w:rPr>
                <w:rFonts w:ascii="宋体" w:hAnsi="宋体"/>
                <w:color w:val="auto"/>
              </w:rPr>
              <w:t>0.501t/a</w:t>
            </w:r>
          </w:p>
        </w:tc>
        <w:tc>
          <w:tcPr>
            <w:tcW w:w="269" w:type="pct"/>
            <w:tcMar>
              <w:left w:w="0" w:type="dxa"/>
              <w:right w:w="0" w:type="dxa"/>
            </w:tcMar>
            <w:vAlign w:val="center"/>
          </w:tcPr>
          <w:p w14:paraId="42B5F00F">
            <w:pPr>
              <w:adjustRightInd w:val="0"/>
              <w:snapToGrid w:val="0"/>
              <w:jc w:val="center"/>
              <w:rPr>
                <w:rFonts w:ascii="宋体" w:hAnsi="宋体"/>
                <w:color w:val="auto"/>
              </w:rPr>
            </w:pPr>
          </w:p>
        </w:tc>
        <w:tc>
          <w:tcPr>
            <w:tcW w:w="403" w:type="pct"/>
            <w:tcMar>
              <w:left w:w="0" w:type="dxa"/>
              <w:right w:w="0" w:type="dxa"/>
            </w:tcMar>
            <w:vAlign w:val="center"/>
          </w:tcPr>
          <w:p w14:paraId="1615AF56">
            <w:pPr>
              <w:adjustRightInd w:val="0"/>
              <w:snapToGrid w:val="0"/>
              <w:jc w:val="center"/>
              <w:rPr>
                <w:rFonts w:ascii="宋体" w:hAnsi="宋体"/>
                <w:color w:val="auto"/>
              </w:rPr>
            </w:pPr>
          </w:p>
        </w:tc>
        <w:tc>
          <w:tcPr>
            <w:tcW w:w="409" w:type="pct"/>
            <w:gridSpan w:val="2"/>
            <w:tcMar>
              <w:left w:w="0" w:type="dxa"/>
              <w:right w:w="0" w:type="dxa"/>
            </w:tcMar>
            <w:vAlign w:val="center"/>
          </w:tcPr>
          <w:p w14:paraId="50521D21">
            <w:pPr>
              <w:adjustRightInd w:val="0"/>
              <w:snapToGrid w:val="0"/>
              <w:jc w:val="center"/>
              <w:rPr>
                <w:rFonts w:ascii="宋体" w:hAnsi="宋体"/>
                <w:color w:val="auto"/>
              </w:rPr>
            </w:pPr>
            <w:r>
              <w:rPr>
                <w:rFonts w:ascii="宋体" w:hAnsi="宋体"/>
                <w:color w:val="auto"/>
              </w:rPr>
              <w:t>+0.257t/a</w:t>
            </w:r>
          </w:p>
        </w:tc>
      </w:tr>
      <w:tr w14:paraId="5A9DD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AD3844A">
            <w:pPr>
              <w:adjustRightInd w:val="0"/>
              <w:snapToGrid w:val="0"/>
              <w:jc w:val="center"/>
              <w:rPr>
                <w:rFonts w:ascii="宋体" w:hAnsi="宋体"/>
                <w:color w:val="auto"/>
              </w:rPr>
            </w:pPr>
          </w:p>
        </w:tc>
        <w:tc>
          <w:tcPr>
            <w:tcW w:w="592" w:type="pct"/>
            <w:gridSpan w:val="2"/>
            <w:tcMar>
              <w:left w:w="0" w:type="dxa"/>
              <w:right w:w="0" w:type="dxa"/>
            </w:tcMar>
            <w:vAlign w:val="center"/>
          </w:tcPr>
          <w:p w14:paraId="5A30CD26">
            <w:pPr>
              <w:adjustRightInd w:val="0"/>
              <w:snapToGrid w:val="0"/>
              <w:jc w:val="center"/>
              <w:rPr>
                <w:rFonts w:ascii="宋体" w:hAnsi="宋体"/>
                <w:color w:val="auto"/>
              </w:rPr>
            </w:pPr>
            <w:r>
              <w:rPr>
                <w:rFonts w:hint="eastAsia" w:ascii="宋体" w:hAnsi="宋体"/>
                <w:color w:val="auto"/>
              </w:rPr>
              <w:t>工业固体废物</w:t>
            </w:r>
          </w:p>
        </w:tc>
        <w:tc>
          <w:tcPr>
            <w:tcW w:w="353" w:type="pct"/>
            <w:tcMar>
              <w:left w:w="0" w:type="dxa"/>
              <w:right w:w="0" w:type="dxa"/>
            </w:tcMar>
            <w:vAlign w:val="center"/>
          </w:tcPr>
          <w:p w14:paraId="6B4D9DC9">
            <w:pPr>
              <w:adjustRightInd w:val="0"/>
              <w:snapToGrid w:val="0"/>
              <w:jc w:val="center"/>
              <w:rPr>
                <w:rFonts w:ascii="宋体" w:hAnsi="宋体"/>
                <w:color w:val="auto"/>
              </w:rPr>
            </w:pPr>
            <w:r>
              <w:rPr>
                <w:rFonts w:hint="eastAsia" w:ascii="宋体" w:hAnsi="宋体"/>
                <w:color w:val="auto"/>
              </w:rPr>
              <w:t>0</w:t>
            </w:r>
          </w:p>
        </w:tc>
        <w:tc>
          <w:tcPr>
            <w:tcW w:w="356" w:type="pct"/>
            <w:tcMar>
              <w:left w:w="0" w:type="dxa"/>
              <w:right w:w="0" w:type="dxa"/>
            </w:tcMar>
            <w:vAlign w:val="center"/>
          </w:tcPr>
          <w:p w14:paraId="2F5D75F6">
            <w:pPr>
              <w:adjustRightInd w:val="0"/>
              <w:snapToGrid w:val="0"/>
              <w:jc w:val="center"/>
              <w:rPr>
                <w:rFonts w:ascii="宋体" w:hAnsi="宋体"/>
                <w:color w:val="auto"/>
              </w:rPr>
            </w:pPr>
          </w:p>
        </w:tc>
        <w:tc>
          <w:tcPr>
            <w:tcW w:w="327" w:type="pct"/>
            <w:tcMar>
              <w:left w:w="0" w:type="dxa"/>
              <w:right w:w="0" w:type="dxa"/>
            </w:tcMar>
            <w:vAlign w:val="center"/>
          </w:tcPr>
          <w:p w14:paraId="46294544">
            <w:pPr>
              <w:adjustRightInd w:val="0"/>
              <w:snapToGrid w:val="0"/>
              <w:jc w:val="center"/>
              <w:rPr>
                <w:rFonts w:ascii="宋体" w:hAnsi="宋体"/>
                <w:color w:val="auto"/>
              </w:rPr>
            </w:pPr>
          </w:p>
        </w:tc>
        <w:tc>
          <w:tcPr>
            <w:tcW w:w="367" w:type="pct"/>
            <w:tcMar>
              <w:left w:w="0" w:type="dxa"/>
              <w:right w:w="0" w:type="dxa"/>
            </w:tcMar>
            <w:vAlign w:val="center"/>
          </w:tcPr>
          <w:p w14:paraId="06B6941B">
            <w:pPr>
              <w:adjustRightInd w:val="0"/>
              <w:snapToGrid w:val="0"/>
              <w:jc w:val="center"/>
              <w:rPr>
                <w:rFonts w:ascii="宋体" w:hAnsi="宋体"/>
                <w:color w:val="auto"/>
              </w:rPr>
            </w:pPr>
          </w:p>
        </w:tc>
        <w:tc>
          <w:tcPr>
            <w:tcW w:w="255" w:type="pct"/>
            <w:tcMar>
              <w:left w:w="0" w:type="dxa"/>
              <w:right w:w="0" w:type="dxa"/>
            </w:tcMar>
            <w:vAlign w:val="center"/>
          </w:tcPr>
          <w:p w14:paraId="6D6199DE">
            <w:pPr>
              <w:adjustRightInd w:val="0"/>
              <w:snapToGrid w:val="0"/>
              <w:jc w:val="center"/>
              <w:rPr>
                <w:rFonts w:ascii="宋体" w:hAnsi="宋体"/>
                <w:color w:val="auto"/>
              </w:rPr>
            </w:pPr>
          </w:p>
        </w:tc>
        <w:tc>
          <w:tcPr>
            <w:tcW w:w="272" w:type="pct"/>
            <w:tcMar>
              <w:left w:w="0" w:type="dxa"/>
              <w:right w:w="0" w:type="dxa"/>
            </w:tcMar>
            <w:vAlign w:val="center"/>
          </w:tcPr>
          <w:p w14:paraId="363E63AD">
            <w:pPr>
              <w:adjustRightInd w:val="0"/>
              <w:snapToGrid w:val="0"/>
              <w:jc w:val="center"/>
              <w:rPr>
                <w:rFonts w:ascii="宋体" w:hAnsi="宋体"/>
                <w:color w:val="auto"/>
              </w:rPr>
            </w:pPr>
          </w:p>
        </w:tc>
        <w:tc>
          <w:tcPr>
            <w:tcW w:w="351" w:type="pct"/>
            <w:tcMar>
              <w:left w:w="0" w:type="dxa"/>
              <w:right w:w="0" w:type="dxa"/>
            </w:tcMar>
            <w:vAlign w:val="center"/>
          </w:tcPr>
          <w:p w14:paraId="141C286D">
            <w:pPr>
              <w:adjustRightInd w:val="0"/>
              <w:snapToGrid w:val="0"/>
              <w:jc w:val="center"/>
              <w:rPr>
                <w:rFonts w:ascii="宋体" w:hAnsi="宋体"/>
                <w:color w:val="auto"/>
              </w:rPr>
            </w:pPr>
          </w:p>
        </w:tc>
        <w:tc>
          <w:tcPr>
            <w:tcW w:w="653" w:type="pct"/>
            <w:tcMar>
              <w:left w:w="0" w:type="dxa"/>
              <w:right w:w="0" w:type="dxa"/>
            </w:tcMar>
            <w:vAlign w:val="center"/>
          </w:tcPr>
          <w:p w14:paraId="0FCC7DC5">
            <w:pPr>
              <w:adjustRightInd w:val="0"/>
              <w:snapToGrid w:val="0"/>
              <w:jc w:val="center"/>
              <w:rPr>
                <w:rFonts w:ascii="宋体" w:hAnsi="宋体"/>
                <w:color w:val="auto"/>
              </w:rPr>
            </w:pPr>
          </w:p>
        </w:tc>
        <w:tc>
          <w:tcPr>
            <w:tcW w:w="260" w:type="pct"/>
            <w:tcMar>
              <w:left w:w="0" w:type="dxa"/>
              <w:right w:w="0" w:type="dxa"/>
            </w:tcMar>
            <w:vAlign w:val="center"/>
          </w:tcPr>
          <w:p w14:paraId="5649BE09">
            <w:pPr>
              <w:adjustRightInd w:val="0"/>
              <w:snapToGrid w:val="0"/>
              <w:jc w:val="center"/>
              <w:rPr>
                <w:rFonts w:ascii="宋体" w:hAnsi="宋体"/>
                <w:color w:val="auto"/>
              </w:rPr>
            </w:pPr>
          </w:p>
        </w:tc>
        <w:tc>
          <w:tcPr>
            <w:tcW w:w="269" w:type="pct"/>
            <w:tcMar>
              <w:left w:w="0" w:type="dxa"/>
              <w:right w:w="0" w:type="dxa"/>
            </w:tcMar>
            <w:vAlign w:val="center"/>
          </w:tcPr>
          <w:p w14:paraId="556F1340">
            <w:pPr>
              <w:adjustRightInd w:val="0"/>
              <w:snapToGrid w:val="0"/>
              <w:jc w:val="center"/>
              <w:rPr>
                <w:rFonts w:ascii="宋体" w:hAnsi="宋体"/>
                <w:color w:val="auto"/>
              </w:rPr>
            </w:pPr>
          </w:p>
        </w:tc>
        <w:tc>
          <w:tcPr>
            <w:tcW w:w="403" w:type="pct"/>
            <w:tcMar>
              <w:left w:w="0" w:type="dxa"/>
              <w:right w:w="0" w:type="dxa"/>
            </w:tcMar>
            <w:vAlign w:val="center"/>
          </w:tcPr>
          <w:p w14:paraId="576FFCCF">
            <w:pPr>
              <w:adjustRightInd w:val="0"/>
              <w:snapToGrid w:val="0"/>
              <w:jc w:val="center"/>
              <w:rPr>
                <w:rFonts w:ascii="宋体" w:hAnsi="宋体"/>
                <w:color w:val="auto"/>
              </w:rPr>
            </w:pPr>
          </w:p>
        </w:tc>
        <w:tc>
          <w:tcPr>
            <w:tcW w:w="409" w:type="pct"/>
            <w:gridSpan w:val="2"/>
            <w:tcMar>
              <w:left w:w="0" w:type="dxa"/>
              <w:right w:w="0" w:type="dxa"/>
            </w:tcMar>
            <w:vAlign w:val="center"/>
          </w:tcPr>
          <w:p w14:paraId="2BC2C22F">
            <w:pPr>
              <w:adjustRightInd w:val="0"/>
              <w:snapToGrid w:val="0"/>
              <w:jc w:val="center"/>
              <w:rPr>
                <w:rFonts w:ascii="宋体" w:hAnsi="宋体"/>
                <w:color w:val="auto"/>
              </w:rPr>
            </w:pPr>
          </w:p>
        </w:tc>
      </w:tr>
      <w:tr w14:paraId="5C2A4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0A373D70">
            <w:pPr>
              <w:adjustRightInd w:val="0"/>
              <w:snapToGrid w:val="0"/>
              <w:jc w:val="center"/>
              <w:rPr>
                <w:rFonts w:ascii="宋体" w:hAnsi="宋体"/>
                <w:color w:val="auto"/>
              </w:rPr>
            </w:pPr>
          </w:p>
        </w:tc>
        <w:tc>
          <w:tcPr>
            <w:tcW w:w="294" w:type="pct"/>
            <w:vMerge w:val="restart"/>
            <w:tcMar>
              <w:left w:w="0" w:type="dxa"/>
              <w:right w:w="0" w:type="dxa"/>
            </w:tcMar>
            <w:vAlign w:val="center"/>
          </w:tcPr>
          <w:p w14:paraId="114E3F21">
            <w:pPr>
              <w:adjustRightInd w:val="0"/>
              <w:snapToGrid w:val="0"/>
              <w:jc w:val="center"/>
              <w:rPr>
                <w:rFonts w:ascii="宋体" w:hAnsi="宋体"/>
                <w:color w:val="auto"/>
              </w:rPr>
            </w:pPr>
            <w:r>
              <w:rPr>
                <w:rFonts w:hint="eastAsia" w:ascii="宋体" w:hAnsi="宋体"/>
                <w:color w:val="auto"/>
              </w:rPr>
              <w:t>与项目有关的</w:t>
            </w:r>
            <w:r>
              <w:rPr>
                <w:rFonts w:ascii="宋体" w:hAnsi="宋体"/>
                <w:color w:val="auto"/>
              </w:rPr>
              <w:t>其他特征污染物</w:t>
            </w:r>
          </w:p>
        </w:tc>
        <w:tc>
          <w:tcPr>
            <w:tcW w:w="298" w:type="pct"/>
            <w:tcMar>
              <w:left w:w="0" w:type="dxa"/>
              <w:right w:w="0" w:type="dxa"/>
            </w:tcMar>
            <w:vAlign w:val="center"/>
          </w:tcPr>
          <w:p w14:paraId="6FC8B16A">
            <w:pPr>
              <w:adjustRightInd w:val="0"/>
              <w:snapToGrid w:val="0"/>
              <w:jc w:val="center"/>
              <w:rPr>
                <w:rFonts w:ascii="宋体" w:hAnsi="宋体"/>
                <w:color w:val="auto"/>
              </w:rPr>
            </w:pPr>
            <w:r>
              <w:rPr>
                <w:rFonts w:hint="eastAsia" w:ascii="宋体" w:hAnsi="宋体"/>
                <w:color w:val="auto"/>
              </w:rPr>
              <w:t>VOC</w:t>
            </w:r>
            <w:r>
              <w:rPr>
                <w:rFonts w:ascii="宋体" w:hAnsi="宋体"/>
                <w:color w:val="auto"/>
              </w:rPr>
              <w:t>s</w:t>
            </w:r>
          </w:p>
        </w:tc>
        <w:tc>
          <w:tcPr>
            <w:tcW w:w="353" w:type="pct"/>
            <w:tcMar>
              <w:left w:w="0" w:type="dxa"/>
              <w:right w:w="0" w:type="dxa"/>
            </w:tcMar>
            <w:vAlign w:val="center"/>
          </w:tcPr>
          <w:p w14:paraId="37E06942">
            <w:pPr>
              <w:adjustRightInd w:val="0"/>
              <w:snapToGrid w:val="0"/>
              <w:jc w:val="center"/>
              <w:rPr>
                <w:rFonts w:ascii="宋体" w:hAnsi="宋体"/>
                <w:color w:val="auto"/>
              </w:rPr>
            </w:pPr>
            <w:r>
              <w:rPr>
                <w:rFonts w:ascii="宋体" w:hAnsi="宋体"/>
                <w:color w:val="auto"/>
              </w:rPr>
              <w:t>43.954t/a</w:t>
            </w:r>
          </w:p>
        </w:tc>
        <w:tc>
          <w:tcPr>
            <w:tcW w:w="356" w:type="pct"/>
            <w:tcMar>
              <w:left w:w="0" w:type="dxa"/>
              <w:right w:w="0" w:type="dxa"/>
            </w:tcMar>
            <w:vAlign w:val="center"/>
          </w:tcPr>
          <w:p w14:paraId="07F340A7">
            <w:pPr>
              <w:adjustRightInd w:val="0"/>
              <w:snapToGrid w:val="0"/>
              <w:jc w:val="center"/>
              <w:rPr>
                <w:rFonts w:ascii="宋体" w:hAnsi="宋体"/>
                <w:color w:val="auto"/>
              </w:rPr>
            </w:pPr>
          </w:p>
        </w:tc>
        <w:tc>
          <w:tcPr>
            <w:tcW w:w="327" w:type="pct"/>
            <w:tcMar>
              <w:left w:w="0" w:type="dxa"/>
              <w:right w:w="0" w:type="dxa"/>
            </w:tcMar>
            <w:vAlign w:val="center"/>
          </w:tcPr>
          <w:p w14:paraId="1B9D25E5">
            <w:pPr>
              <w:adjustRightInd w:val="0"/>
              <w:snapToGrid w:val="0"/>
              <w:jc w:val="center"/>
              <w:rPr>
                <w:rFonts w:ascii="宋体" w:hAnsi="宋体"/>
                <w:color w:val="auto"/>
              </w:rPr>
            </w:pPr>
          </w:p>
        </w:tc>
        <w:tc>
          <w:tcPr>
            <w:tcW w:w="367" w:type="pct"/>
            <w:tcMar>
              <w:left w:w="0" w:type="dxa"/>
              <w:right w:w="0" w:type="dxa"/>
            </w:tcMar>
            <w:vAlign w:val="center"/>
          </w:tcPr>
          <w:p w14:paraId="2786041C">
            <w:pPr>
              <w:adjustRightInd w:val="0"/>
              <w:snapToGrid w:val="0"/>
              <w:jc w:val="center"/>
              <w:rPr>
                <w:rFonts w:ascii="宋体" w:hAnsi="宋体"/>
                <w:color w:val="auto"/>
              </w:rPr>
            </w:pPr>
            <w:r>
              <w:rPr>
                <w:rFonts w:ascii="宋体" w:hAnsi="宋体"/>
                <w:color w:val="auto"/>
              </w:rPr>
              <w:t>0.331t/a</w:t>
            </w:r>
          </w:p>
        </w:tc>
        <w:tc>
          <w:tcPr>
            <w:tcW w:w="255" w:type="pct"/>
            <w:tcMar>
              <w:left w:w="0" w:type="dxa"/>
              <w:right w:w="0" w:type="dxa"/>
            </w:tcMar>
            <w:vAlign w:val="center"/>
          </w:tcPr>
          <w:p w14:paraId="3E3DC11C">
            <w:pPr>
              <w:adjustRightInd w:val="0"/>
              <w:snapToGrid w:val="0"/>
              <w:jc w:val="center"/>
              <w:rPr>
                <w:rFonts w:ascii="宋体" w:hAnsi="宋体"/>
                <w:color w:val="auto"/>
              </w:rPr>
            </w:pPr>
          </w:p>
        </w:tc>
        <w:tc>
          <w:tcPr>
            <w:tcW w:w="272" w:type="pct"/>
            <w:tcMar>
              <w:left w:w="0" w:type="dxa"/>
              <w:right w:w="0" w:type="dxa"/>
            </w:tcMar>
            <w:vAlign w:val="center"/>
          </w:tcPr>
          <w:p w14:paraId="31B236F6">
            <w:pPr>
              <w:adjustRightInd w:val="0"/>
              <w:snapToGrid w:val="0"/>
              <w:jc w:val="center"/>
              <w:rPr>
                <w:rFonts w:ascii="宋体" w:hAnsi="宋体"/>
                <w:color w:val="auto"/>
              </w:rPr>
            </w:pPr>
          </w:p>
        </w:tc>
        <w:tc>
          <w:tcPr>
            <w:tcW w:w="351" w:type="pct"/>
            <w:tcMar>
              <w:left w:w="0" w:type="dxa"/>
              <w:right w:w="0" w:type="dxa"/>
            </w:tcMar>
            <w:vAlign w:val="center"/>
          </w:tcPr>
          <w:p w14:paraId="41C5C1E2">
            <w:pPr>
              <w:adjustRightInd w:val="0"/>
              <w:snapToGrid w:val="0"/>
              <w:jc w:val="center"/>
              <w:rPr>
                <w:rFonts w:ascii="宋体" w:hAnsi="宋体"/>
                <w:color w:val="auto"/>
              </w:rPr>
            </w:pPr>
          </w:p>
        </w:tc>
        <w:tc>
          <w:tcPr>
            <w:tcW w:w="653" w:type="pct"/>
            <w:tcMar>
              <w:left w:w="0" w:type="dxa"/>
              <w:right w:w="0" w:type="dxa"/>
            </w:tcMar>
            <w:vAlign w:val="center"/>
          </w:tcPr>
          <w:p w14:paraId="33AA22EC">
            <w:pPr>
              <w:adjustRightInd w:val="0"/>
              <w:snapToGrid w:val="0"/>
              <w:jc w:val="center"/>
              <w:rPr>
                <w:rFonts w:ascii="宋体" w:hAnsi="宋体"/>
                <w:color w:val="auto"/>
              </w:rPr>
            </w:pPr>
          </w:p>
        </w:tc>
        <w:tc>
          <w:tcPr>
            <w:tcW w:w="260" w:type="pct"/>
            <w:tcMar>
              <w:left w:w="0" w:type="dxa"/>
              <w:right w:w="0" w:type="dxa"/>
            </w:tcMar>
            <w:vAlign w:val="center"/>
          </w:tcPr>
          <w:p w14:paraId="28DBB55D">
            <w:pPr>
              <w:adjustRightInd w:val="0"/>
              <w:snapToGrid w:val="0"/>
              <w:jc w:val="center"/>
              <w:rPr>
                <w:rFonts w:ascii="宋体" w:hAnsi="宋体"/>
                <w:color w:val="auto"/>
              </w:rPr>
            </w:pPr>
            <w:r>
              <w:rPr>
                <w:rFonts w:ascii="宋体" w:hAnsi="宋体"/>
                <w:color w:val="auto"/>
              </w:rPr>
              <w:t>44.285t/a</w:t>
            </w:r>
          </w:p>
        </w:tc>
        <w:tc>
          <w:tcPr>
            <w:tcW w:w="269" w:type="pct"/>
            <w:tcMar>
              <w:left w:w="0" w:type="dxa"/>
              <w:right w:w="0" w:type="dxa"/>
            </w:tcMar>
            <w:vAlign w:val="center"/>
          </w:tcPr>
          <w:p w14:paraId="25394A92">
            <w:pPr>
              <w:adjustRightInd w:val="0"/>
              <w:snapToGrid w:val="0"/>
              <w:jc w:val="center"/>
              <w:rPr>
                <w:rFonts w:ascii="宋体" w:hAnsi="宋体"/>
                <w:color w:val="auto"/>
              </w:rPr>
            </w:pPr>
          </w:p>
        </w:tc>
        <w:tc>
          <w:tcPr>
            <w:tcW w:w="403" w:type="pct"/>
            <w:tcMar>
              <w:left w:w="0" w:type="dxa"/>
              <w:right w:w="0" w:type="dxa"/>
            </w:tcMar>
            <w:vAlign w:val="center"/>
          </w:tcPr>
          <w:p w14:paraId="21542D7E">
            <w:pPr>
              <w:adjustRightInd w:val="0"/>
              <w:snapToGrid w:val="0"/>
              <w:jc w:val="center"/>
              <w:rPr>
                <w:rFonts w:ascii="宋体" w:hAnsi="宋体"/>
                <w:color w:val="auto"/>
              </w:rPr>
            </w:pPr>
          </w:p>
        </w:tc>
        <w:tc>
          <w:tcPr>
            <w:tcW w:w="409" w:type="pct"/>
            <w:gridSpan w:val="2"/>
            <w:tcMar>
              <w:left w:w="0" w:type="dxa"/>
              <w:right w:w="0" w:type="dxa"/>
            </w:tcMar>
            <w:vAlign w:val="center"/>
          </w:tcPr>
          <w:p w14:paraId="29551318">
            <w:pPr>
              <w:adjustRightInd w:val="0"/>
              <w:snapToGrid w:val="0"/>
              <w:jc w:val="center"/>
              <w:rPr>
                <w:rFonts w:ascii="宋体" w:hAnsi="宋体"/>
                <w:color w:val="auto"/>
              </w:rPr>
            </w:pPr>
            <w:r>
              <w:rPr>
                <w:rFonts w:ascii="宋体" w:hAnsi="宋体"/>
                <w:color w:val="auto"/>
              </w:rPr>
              <w:t>+0.331 t/a</w:t>
            </w:r>
          </w:p>
        </w:tc>
      </w:tr>
      <w:tr w14:paraId="4446A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0A177B0C">
            <w:pPr>
              <w:adjustRightInd w:val="0"/>
              <w:snapToGrid w:val="0"/>
              <w:jc w:val="center"/>
              <w:rPr>
                <w:rFonts w:ascii="宋体" w:hAnsi="宋体"/>
                <w:color w:val="auto"/>
              </w:rPr>
            </w:pPr>
          </w:p>
        </w:tc>
        <w:tc>
          <w:tcPr>
            <w:tcW w:w="294" w:type="pct"/>
            <w:vMerge w:val="continue"/>
            <w:tcMar>
              <w:left w:w="0" w:type="dxa"/>
              <w:right w:w="0" w:type="dxa"/>
            </w:tcMar>
            <w:vAlign w:val="center"/>
          </w:tcPr>
          <w:p w14:paraId="7EF02CD3">
            <w:pPr>
              <w:adjustRightInd w:val="0"/>
              <w:snapToGrid w:val="0"/>
              <w:jc w:val="center"/>
              <w:rPr>
                <w:rFonts w:ascii="宋体" w:hAnsi="宋体"/>
                <w:color w:val="auto"/>
              </w:rPr>
            </w:pPr>
          </w:p>
        </w:tc>
        <w:tc>
          <w:tcPr>
            <w:tcW w:w="298" w:type="pct"/>
            <w:tcMar>
              <w:left w:w="0" w:type="dxa"/>
              <w:right w:w="0" w:type="dxa"/>
            </w:tcMar>
            <w:vAlign w:val="center"/>
          </w:tcPr>
          <w:p w14:paraId="01F27211">
            <w:pPr>
              <w:adjustRightInd w:val="0"/>
              <w:snapToGrid w:val="0"/>
              <w:jc w:val="center"/>
              <w:rPr>
                <w:rFonts w:ascii="宋体" w:hAnsi="宋体"/>
                <w:color w:val="auto"/>
              </w:rPr>
            </w:pPr>
          </w:p>
        </w:tc>
        <w:tc>
          <w:tcPr>
            <w:tcW w:w="353" w:type="pct"/>
            <w:tcMar>
              <w:left w:w="0" w:type="dxa"/>
              <w:right w:w="0" w:type="dxa"/>
            </w:tcMar>
            <w:vAlign w:val="center"/>
          </w:tcPr>
          <w:p w14:paraId="6EF234FF">
            <w:pPr>
              <w:adjustRightInd w:val="0"/>
              <w:snapToGrid w:val="0"/>
              <w:jc w:val="center"/>
              <w:rPr>
                <w:rFonts w:ascii="宋体" w:hAnsi="宋体"/>
                <w:color w:val="auto"/>
              </w:rPr>
            </w:pPr>
          </w:p>
        </w:tc>
        <w:tc>
          <w:tcPr>
            <w:tcW w:w="356" w:type="pct"/>
            <w:tcMar>
              <w:left w:w="0" w:type="dxa"/>
              <w:right w:w="0" w:type="dxa"/>
            </w:tcMar>
            <w:vAlign w:val="center"/>
          </w:tcPr>
          <w:p w14:paraId="2055D8DB">
            <w:pPr>
              <w:adjustRightInd w:val="0"/>
              <w:snapToGrid w:val="0"/>
              <w:jc w:val="center"/>
              <w:rPr>
                <w:rFonts w:ascii="宋体" w:hAnsi="宋体"/>
                <w:color w:val="auto"/>
              </w:rPr>
            </w:pPr>
          </w:p>
        </w:tc>
        <w:tc>
          <w:tcPr>
            <w:tcW w:w="327" w:type="pct"/>
            <w:tcMar>
              <w:left w:w="0" w:type="dxa"/>
              <w:right w:w="0" w:type="dxa"/>
            </w:tcMar>
            <w:vAlign w:val="center"/>
          </w:tcPr>
          <w:p w14:paraId="722F5B32">
            <w:pPr>
              <w:adjustRightInd w:val="0"/>
              <w:snapToGrid w:val="0"/>
              <w:jc w:val="center"/>
              <w:rPr>
                <w:rFonts w:ascii="宋体" w:hAnsi="宋体"/>
                <w:color w:val="auto"/>
              </w:rPr>
            </w:pPr>
          </w:p>
        </w:tc>
        <w:tc>
          <w:tcPr>
            <w:tcW w:w="367" w:type="pct"/>
            <w:tcMar>
              <w:left w:w="0" w:type="dxa"/>
              <w:right w:w="0" w:type="dxa"/>
            </w:tcMar>
            <w:vAlign w:val="center"/>
          </w:tcPr>
          <w:p w14:paraId="05F71D28">
            <w:pPr>
              <w:adjustRightInd w:val="0"/>
              <w:snapToGrid w:val="0"/>
              <w:jc w:val="center"/>
              <w:rPr>
                <w:rFonts w:ascii="宋体" w:hAnsi="宋体"/>
                <w:color w:val="auto"/>
              </w:rPr>
            </w:pPr>
          </w:p>
        </w:tc>
        <w:tc>
          <w:tcPr>
            <w:tcW w:w="255" w:type="pct"/>
            <w:tcMar>
              <w:left w:w="0" w:type="dxa"/>
              <w:right w:w="0" w:type="dxa"/>
            </w:tcMar>
            <w:vAlign w:val="center"/>
          </w:tcPr>
          <w:p w14:paraId="2AA609F6">
            <w:pPr>
              <w:adjustRightInd w:val="0"/>
              <w:snapToGrid w:val="0"/>
              <w:jc w:val="center"/>
              <w:rPr>
                <w:rFonts w:ascii="宋体" w:hAnsi="宋体"/>
                <w:color w:val="auto"/>
              </w:rPr>
            </w:pPr>
          </w:p>
        </w:tc>
        <w:tc>
          <w:tcPr>
            <w:tcW w:w="272" w:type="pct"/>
            <w:tcMar>
              <w:left w:w="0" w:type="dxa"/>
              <w:right w:w="0" w:type="dxa"/>
            </w:tcMar>
            <w:vAlign w:val="center"/>
          </w:tcPr>
          <w:p w14:paraId="4F031655">
            <w:pPr>
              <w:adjustRightInd w:val="0"/>
              <w:snapToGrid w:val="0"/>
              <w:jc w:val="center"/>
              <w:rPr>
                <w:rFonts w:ascii="宋体" w:hAnsi="宋体"/>
                <w:color w:val="auto"/>
              </w:rPr>
            </w:pPr>
          </w:p>
        </w:tc>
        <w:tc>
          <w:tcPr>
            <w:tcW w:w="351" w:type="pct"/>
            <w:tcMar>
              <w:left w:w="0" w:type="dxa"/>
              <w:right w:w="0" w:type="dxa"/>
            </w:tcMar>
            <w:vAlign w:val="center"/>
          </w:tcPr>
          <w:p w14:paraId="03355542">
            <w:pPr>
              <w:adjustRightInd w:val="0"/>
              <w:snapToGrid w:val="0"/>
              <w:jc w:val="center"/>
              <w:rPr>
                <w:rFonts w:ascii="宋体" w:hAnsi="宋体"/>
                <w:color w:val="auto"/>
              </w:rPr>
            </w:pPr>
          </w:p>
        </w:tc>
        <w:tc>
          <w:tcPr>
            <w:tcW w:w="653" w:type="pct"/>
            <w:tcMar>
              <w:left w:w="0" w:type="dxa"/>
              <w:right w:w="0" w:type="dxa"/>
            </w:tcMar>
            <w:vAlign w:val="center"/>
          </w:tcPr>
          <w:p w14:paraId="33E22B07">
            <w:pPr>
              <w:adjustRightInd w:val="0"/>
              <w:snapToGrid w:val="0"/>
              <w:jc w:val="center"/>
              <w:rPr>
                <w:rFonts w:ascii="宋体" w:hAnsi="宋体"/>
                <w:color w:val="auto"/>
              </w:rPr>
            </w:pPr>
          </w:p>
        </w:tc>
        <w:tc>
          <w:tcPr>
            <w:tcW w:w="260" w:type="pct"/>
            <w:tcMar>
              <w:left w:w="0" w:type="dxa"/>
              <w:right w:w="0" w:type="dxa"/>
            </w:tcMar>
            <w:vAlign w:val="center"/>
          </w:tcPr>
          <w:p w14:paraId="7B24A6C4">
            <w:pPr>
              <w:adjustRightInd w:val="0"/>
              <w:snapToGrid w:val="0"/>
              <w:jc w:val="center"/>
              <w:rPr>
                <w:rFonts w:ascii="宋体" w:hAnsi="宋体"/>
                <w:color w:val="auto"/>
              </w:rPr>
            </w:pPr>
          </w:p>
        </w:tc>
        <w:tc>
          <w:tcPr>
            <w:tcW w:w="269" w:type="pct"/>
            <w:tcMar>
              <w:left w:w="0" w:type="dxa"/>
              <w:right w:w="0" w:type="dxa"/>
            </w:tcMar>
            <w:vAlign w:val="center"/>
          </w:tcPr>
          <w:p w14:paraId="4FF5BC08">
            <w:pPr>
              <w:adjustRightInd w:val="0"/>
              <w:snapToGrid w:val="0"/>
              <w:jc w:val="center"/>
              <w:rPr>
                <w:rFonts w:ascii="宋体" w:hAnsi="宋体"/>
                <w:color w:val="auto"/>
              </w:rPr>
            </w:pPr>
          </w:p>
        </w:tc>
        <w:tc>
          <w:tcPr>
            <w:tcW w:w="403" w:type="pct"/>
            <w:tcMar>
              <w:left w:w="0" w:type="dxa"/>
              <w:right w:w="0" w:type="dxa"/>
            </w:tcMar>
            <w:vAlign w:val="center"/>
          </w:tcPr>
          <w:p w14:paraId="7250BB84">
            <w:pPr>
              <w:adjustRightInd w:val="0"/>
              <w:snapToGrid w:val="0"/>
              <w:jc w:val="center"/>
              <w:rPr>
                <w:rFonts w:ascii="宋体" w:hAnsi="宋体"/>
                <w:color w:val="auto"/>
              </w:rPr>
            </w:pPr>
          </w:p>
        </w:tc>
        <w:tc>
          <w:tcPr>
            <w:tcW w:w="409" w:type="pct"/>
            <w:gridSpan w:val="2"/>
            <w:tcMar>
              <w:left w:w="0" w:type="dxa"/>
              <w:right w:w="0" w:type="dxa"/>
            </w:tcMar>
            <w:vAlign w:val="center"/>
          </w:tcPr>
          <w:p w14:paraId="298F7EE8">
            <w:pPr>
              <w:adjustRightInd w:val="0"/>
              <w:snapToGrid w:val="0"/>
              <w:jc w:val="center"/>
              <w:rPr>
                <w:rFonts w:ascii="宋体" w:hAnsi="宋体"/>
                <w:color w:val="auto"/>
              </w:rPr>
            </w:pPr>
          </w:p>
        </w:tc>
      </w:tr>
      <w:tr w14:paraId="737C0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A5AD782">
            <w:pPr>
              <w:adjustRightInd w:val="0"/>
              <w:snapToGrid w:val="0"/>
              <w:jc w:val="center"/>
              <w:rPr>
                <w:rFonts w:ascii="宋体" w:hAnsi="宋体"/>
                <w:color w:val="auto"/>
              </w:rPr>
            </w:pPr>
          </w:p>
        </w:tc>
        <w:tc>
          <w:tcPr>
            <w:tcW w:w="294" w:type="pct"/>
            <w:vMerge w:val="continue"/>
            <w:tcMar>
              <w:left w:w="0" w:type="dxa"/>
              <w:right w:w="0" w:type="dxa"/>
            </w:tcMar>
            <w:vAlign w:val="center"/>
          </w:tcPr>
          <w:p w14:paraId="3A0BB6FA">
            <w:pPr>
              <w:adjustRightInd w:val="0"/>
              <w:snapToGrid w:val="0"/>
              <w:jc w:val="center"/>
              <w:rPr>
                <w:rFonts w:ascii="宋体" w:hAnsi="宋体"/>
                <w:color w:val="auto"/>
              </w:rPr>
            </w:pPr>
          </w:p>
        </w:tc>
        <w:tc>
          <w:tcPr>
            <w:tcW w:w="298" w:type="pct"/>
            <w:tcMar>
              <w:left w:w="0" w:type="dxa"/>
              <w:right w:w="0" w:type="dxa"/>
            </w:tcMar>
            <w:vAlign w:val="center"/>
          </w:tcPr>
          <w:p w14:paraId="06350416">
            <w:pPr>
              <w:adjustRightInd w:val="0"/>
              <w:snapToGrid w:val="0"/>
              <w:jc w:val="center"/>
              <w:rPr>
                <w:rFonts w:ascii="宋体" w:hAnsi="宋体"/>
                <w:color w:val="auto"/>
              </w:rPr>
            </w:pPr>
          </w:p>
        </w:tc>
        <w:tc>
          <w:tcPr>
            <w:tcW w:w="353" w:type="pct"/>
            <w:tcMar>
              <w:left w:w="0" w:type="dxa"/>
              <w:right w:w="0" w:type="dxa"/>
            </w:tcMar>
            <w:vAlign w:val="center"/>
          </w:tcPr>
          <w:p w14:paraId="43717CB9">
            <w:pPr>
              <w:adjustRightInd w:val="0"/>
              <w:snapToGrid w:val="0"/>
              <w:jc w:val="center"/>
              <w:rPr>
                <w:rFonts w:ascii="宋体" w:hAnsi="宋体"/>
                <w:color w:val="auto"/>
              </w:rPr>
            </w:pPr>
          </w:p>
        </w:tc>
        <w:tc>
          <w:tcPr>
            <w:tcW w:w="356" w:type="pct"/>
            <w:tcMar>
              <w:left w:w="0" w:type="dxa"/>
              <w:right w:w="0" w:type="dxa"/>
            </w:tcMar>
            <w:vAlign w:val="center"/>
          </w:tcPr>
          <w:p w14:paraId="50B07FC1">
            <w:pPr>
              <w:adjustRightInd w:val="0"/>
              <w:snapToGrid w:val="0"/>
              <w:jc w:val="center"/>
              <w:rPr>
                <w:rFonts w:ascii="宋体" w:hAnsi="宋体"/>
                <w:color w:val="auto"/>
              </w:rPr>
            </w:pPr>
          </w:p>
        </w:tc>
        <w:tc>
          <w:tcPr>
            <w:tcW w:w="327" w:type="pct"/>
            <w:tcMar>
              <w:left w:w="0" w:type="dxa"/>
              <w:right w:w="0" w:type="dxa"/>
            </w:tcMar>
            <w:vAlign w:val="center"/>
          </w:tcPr>
          <w:p w14:paraId="12C22795">
            <w:pPr>
              <w:adjustRightInd w:val="0"/>
              <w:snapToGrid w:val="0"/>
              <w:jc w:val="center"/>
              <w:rPr>
                <w:rFonts w:ascii="宋体" w:hAnsi="宋体"/>
                <w:color w:val="auto"/>
              </w:rPr>
            </w:pPr>
          </w:p>
        </w:tc>
        <w:tc>
          <w:tcPr>
            <w:tcW w:w="367" w:type="pct"/>
            <w:tcMar>
              <w:left w:w="0" w:type="dxa"/>
              <w:right w:w="0" w:type="dxa"/>
            </w:tcMar>
            <w:vAlign w:val="center"/>
          </w:tcPr>
          <w:p w14:paraId="3C65CEB2">
            <w:pPr>
              <w:adjustRightInd w:val="0"/>
              <w:snapToGrid w:val="0"/>
              <w:jc w:val="center"/>
              <w:rPr>
                <w:rFonts w:ascii="宋体" w:hAnsi="宋体"/>
                <w:color w:val="auto"/>
              </w:rPr>
            </w:pPr>
          </w:p>
        </w:tc>
        <w:tc>
          <w:tcPr>
            <w:tcW w:w="255" w:type="pct"/>
            <w:tcMar>
              <w:left w:w="0" w:type="dxa"/>
              <w:right w:w="0" w:type="dxa"/>
            </w:tcMar>
            <w:vAlign w:val="center"/>
          </w:tcPr>
          <w:p w14:paraId="65DE64DA">
            <w:pPr>
              <w:adjustRightInd w:val="0"/>
              <w:snapToGrid w:val="0"/>
              <w:jc w:val="center"/>
              <w:rPr>
                <w:rFonts w:ascii="宋体" w:hAnsi="宋体"/>
                <w:color w:val="auto"/>
              </w:rPr>
            </w:pPr>
          </w:p>
        </w:tc>
        <w:tc>
          <w:tcPr>
            <w:tcW w:w="272" w:type="pct"/>
            <w:tcMar>
              <w:left w:w="0" w:type="dxa"/>
              <w:right w:w="0" w:type="dxa"/>
            </w:tcMar>
            <w:vAlign w:val="center"/>
          </w:tcPr>
          <w:p w14:paraId="31B9DFAA">
            <w:pPr>
              <w:adjustRightInd w:val="0"/>
              <w:snapToGrid w:val="0"/>
              <w:jc w:val="center"/>
              <w:rPr>
                <w:rFonts w:ascii="宋体" w:hAnsi="宋体"/>
                <w:color w:val="auto"/>
              </w:rPr>
            </w:pPr>
          </w:p>
        </w:tc>
        <w:tc>
          <w:tcPr>
            <w:tcW w:w="351" w:type="pct"/>
            <w:tcMar>
              <w:left w:w="0" w:type="dxa"/>
              <w:right w:w="0" w:type="dxa"/>
            </w:tcMar>
            <w:vAlign w:val="center"/>
          </w:tcPr>
          <w:p w14:paraId="498C6062">
            <w:pPr>
              <w:adjustRightInd w:val="0"/>
              <w:snapToGrid w:val="0"/>
              <w:jc w:val="center"/>
              <w:rPr>
                <w:rFonts w:ascii="宋体" w:hAnsi="宋体"/>
                <w:color w:val="auto"/>
              </w:rPr>
            </w:pPr>
          </w:p>
        </w:tc>
        <w:tc>
          <w:tcPr>
            <w:tcW w:w="653" w:type="pct"/>
            <w:tcMar>
              <w:left w:w="0" w:type="dxa"/>
              <w:right w:w="0" w:type="dxa"/>
            </w:tcMar>
            <w:vAlign w:val="center"/>
          </w:tcPr>
          <w:p w14:paraId="52F066C1">
            <w:pPr>
              <w:adjustRightInd w:val="0"/>
              <w:snapToGrid w:val="0"/>
              <w:jc w:val="center"/>
              <w:rPr>
                <w:rFonts w:ascii="宋体" w:hAnsi="宋体"/>
                <w:color w:val="auto"/>
              </w:rPr>
            </w:pPr>
          </w:p>
        </w:tc>
        <w:tc>
          <w:tcPr>
            <w:tcW w:w="260" w:type="pct"/>
            <w:tcMar>
              <w:left w:w="0" w:type="dxa"/>
              <w:right w:w="0" w:type="dxa"/>
            </w:tcMar>
            <w:vAlign w:val="center"/>
          </w:tcPr>
          <w:p w14:paraId="2AE820E9">
            <w:pPr>
              <w:adjustRightInd w:val="0"/>
              <w:snapToGrid w:val="0"/>
              <w:jc w:val="center"/>
              <w:rPr>
                <w:rFonts w:ascii="宋体" w:hAnsi="宋体"/>
                <w:color w:val="auto"/>
              </w:rPr>
            </w:pPr>
          </w:p>
        </w:tc>
        <w:tc>
          <w:tcPr>
            <w:tcW w:w="269" w:type="pct"/>
            <w:tcMar>
              <w:left w:w="0" w:type="dxa"/>
              <w:right w:w="0" w:type="dxa"/>
            </w:tcMar>
            <w:vAlign w:val="center"/>
          </w:tcPr>
          <w:p w14:paraId="04D2A3B3">
            <w:pPr>
              <w:adjustRightInd w:val="0"/>
              <w:snapToGrid w:val="0"/>
              <w:jc w:val="center"/>
              <w:rPr>
                <w:rFonts w:ascii="宋体" w:hAnsi="宋体"/>
                <w:color w:val="auto"/>
              </w:rPr>
            </w:pPr>
          </w:p>
        </w:tc>
        <w:tc>
          <w:tcPr>
            <w:tcW w:w="403" w:type="pct"/>
            <w:tcMar>
              <w:left w:w="0" w:type="dxa"/>
              <w:right w:w="0" w:type="dxa"/>
            </w:tcMar>
            <w:vAlign w:val="center"/>
          </w:tcPr>
          <w:p w14:paraId="072F2E7A">
            <w:pPr>
              <w:adjustRightInd w:val="0"/>
              <w:snapToGrid w:val="0"/>
              <w:jc w:val="center"/>
              <w:rPr>
                <w:rFonts w:ascii="宋体" w:hAnsi="宋体"/>
                <w:color w:val="auto"/>
              </w:rPr>
            </w:pPr>
          </w:p>
        </w:tc>
        <w:tc>
          <w:tcPr>
            <w:tcW w:w="409" w:type="pct"/>
            <w:gridSpan w:val="2"/>
            <w:tcMar>
              <w:left w:w="0" w:type="dxa"/>
              <w:right w:w="0" w:type="dxa"/>
            </w:tcMar>
            <w:vAlign w:val="center"/>
          </w:tcPr>
          <w:p w14:paraId="59662155">
            <w:pPr>
              <w:adjustRightInd w:val="0"/>
              <w:snapToGrid w:val="0"/>
              <w:jc w:val="center"/>
              <w:rPr>
                <w:rFonts w:ascii="宋体" w:hAnsi="宋体"/>
                <w:color w:val="auto"/>
              </w:rPr>
            </w:pPr>
          </w:p>
        </w:tc>
      </w:tr>
      <w:tr w14:paraId="04B60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3AC9E54B">
            <w:pPr>
              <w:adjustRightInd w:val="0"/>
              <w:snapToGrid w:val="0"/>
              <w:jc w:val="center"/>
              <w:rPr>
                <w:rFonts w:ascii="宋体" w:hAnsi="宋体"/>
                <w:color w:val="auto"/>
              </w:rPr>
            </w:pPr>
          </w:p>
        </w:tc>
        <w:tc>
          <w:tcPr>
            <w:tcW w:w="294" w:type="pct"/>
            <w:vMerge w:val="continue"/>
            <w:tcMar>
              <w:left w:w="0" w:type="dxa"/>
              <w:right w:w="0" w:type="dxa"/>
            </w:tcMar>
            <w:vAlign w:val="center"/>
          </w:tcPr>
          <w:p w14:paraId="32679783">
            <w:pPr>
              <w:adjustRightInd w:val="0"/>
              <w:snapToGrid w:val="0"/>
              <w:jc w:val="center"/>
              <w:rPr>
                <w:rFonts w:ascii="宋体" w:hAnsi="宋体"/>
                <w:color w:val="auto"/>
              </w:rPr>
            </w:pPr>
          </w:p>
        </w:tc>
        <w:tc>
          <w:tcPr>
            <w:tcW w:w="298" w:type="pct"/>
            <w:tcMar>
              <w:left w:w="0" w:type="dxa"/>
              <w:right w:w="0" w:type="dxa"/>
            </w:tcMar>
            <w:vAlign w:val="center"/>
          </w:tcPr>
          <w:p w14:paraId="7D7F4911">
            <w:pPr>
              <w:adjustRightInd w:val="0"/>
              <w:snapToGrid w:val="0"/>
              <w:jc w:val="center"/>
              <w:rPr>
                <w:rFonts w:ascii="宋体" w:hAnsi="宋体"/>
                <w:color w:val="auto"/>
              </w:rPr>
            </w:pPr>
          </w:p>
        </w:tc>
        <w:tc>
          <w:tcPr>
            <w:tcW w:w="353" w:type="pct"/>
            <w:tcMar>
              <w:left w:w="0" w:type="dxa"/>
              <w:right w:w="0" w:type="dxa"/>
            </w:tcMar>
            <w:vAlign w:val="center"/>
          </w:tcPr>
          <w:p w14:paraId="1FB8E101">
            <w:pPr>
              <w:adjustRightInd w:val="0"/>
              <w:snapToGrid w:val="0"/>
              <w:jc w:val="center"/>
              <w:rPr>
                <w:rFonts w:ascii="宋体" w:hAnsi="宋体"/>
                <w:color w:val="auto"/>
              </w:rPr>
            </w:pPr>
          </w:p>
        </w:tc>
        <w:tc>
          <w:tcPr>
            <w:tcW w:w="356" w:type="pct"/>
            <w:tcMar>
              <w:left w:w="0" w:type="dxa"/>
              <w:right w:w="0" w:type="dxa"/>
            </w:tcMar>
            <w:vAlign w:val="center"/>
          </w:tcPr>
          <w:p w14:paraId="0BA302FE">
            <w:pPr>
              <w:adjustRightInd w:val="0"/>
              <w:snapToGrid w:val="0"/>
              <w:jc w:val="center"/>
              <w:rPr>
                <w:rFonts w:ascii="宋体" w:hAnsi="宋体"/>
                <w:color w:val="auto"/>
              </w:rPr>
            </w:pPr>
          </w:p>
        </w:tc>
        <w:tc>
          <w:tcPr>
            <w:tcW w:w="327" w:type="pct"/>
            <w:tcMar>
              <w:left w:w="0" w:type="dxa"/>
              <w:right w:w="0" w:type="dxa"/>
            </w:tcMar>
            <w:vAlign w:val="center"/>
          </w:tcPr>
          <w:p w14:paraId="2331FD45">
            <w:pPr>
              <w:adjustRightInd w:val="0"/>
              <w:snapToGrid w:val="0"/>
              <w:jc w:val="center"/>
              <w:rPr>
                <w:rFonts w:ascii="宋体" w:hAnsi="宋体"/>
                <w:color w:val="auto"/>
              </w:rPr>
            </w:pPr>
          </w:p>
        </w:tc>
        <w:tc>
          <w:tcPr>
            <w:tcW w:w="367" w:type="pct"/>
            <w:tcMar>
              <w:left w:w="0" w:type="dxa"/>
              <w:right w:w="0" w:type="dxa"/>
            </w:tcMar>
            <w:vAlign w:val="center"/>
          </w:tcPr>
          <w:p w14:paraId="4941D6C9">
            <w:pPr>
              <w:adjustRightInd w:val="0"/>
              <w:snapToGrid w:val="0"/>
              <w:jc w:val="center"/>
              <w:rPr>
                <w:rFonts w:ascii="宋体" w:hAnsi="宋体"/>
                <w:color w:val="auto"/>
              </w:rPr>
            </w:pPr>
          </w:p>
        </w:tc>
        <w:tc>
          <w:tcPr>
            <w:tcW w:w="255" w:type="pct"/>
            <w:tcMar>
              <w:left w:w="0" w:type="dxa"/>
              <w:right w:w="0" w:type="dxa"/>
            </w:tcMar>
            <w:vAlign w:val="center"/>
          </w:tcPr>
          <w:p w14:paraId="6D125E72">
            <w:pPr>
              <w:adjustRightInd w:val="0"/>
              <w:snapToGrid w:val="0"/>
              <w:jc w:val="center"/>
              <w:rPr>
                <w:rFonts w:ascii="宋体" w:hAnsi="宋体"/>
                <w:color w:val="auto"/>
              </w:rPr>
            </w:pPr>
          </w:p>
        </w:tc>
        <w:tc>
          <w:tcPr>
            <w:tcW w:w="272" w:type="pct"/>
            <w:tcMar>
              <w:left w:w="0" w:type="dxa"/>
              <w:right w:w="0" w:type="dxa"/>
            </w:tcMar>
            <w:vAlign w:val="center"/>
          </w:tcPr>
          <w:p w14:paraId="233013BE">
            <w:pPr>
              <w:adjustRightInd w:val="0"/>
              <w:snapToGrid w:val="0"/>
              <w:jc w:val="center"/>
              <w:rPr>
                <w:rFonts w:ascii="宋体" w:hAnsi="宋体"/>
                <w:color w:val="auto"/>
              </w:rPr>
            </w:pPr>
          </w:p>
        </w:tc>
        <w:tc>
          <w:tcPr>
            <w:tcW w:w="351" w:type="pct"/>
            <w:tcMar>
              <w:left w:w="0" w:type="dxa"/>
              <w:right w:w="0" w:type="dxa"/>
            </w:tcMar>
            <w:vAlign w:val="center"/>
          </w:tcPr>
          <w:p w14:paraId="73F78128">
            <w:pPr>
              <w:adjustRightInd w:val="0"/>
              <w:snapToGrid w:val="0"/>
              <w:jc w:val="center"/>
              <w:rPr>
                <w:rFonts w:ascii="宋体" w:hAnsi="宋体"/>
                <w:color w:val="auto"/>
              </w:rPr>
            </w:pPr>
          </w:p>
        </w:tc>
        <w:tc>
          <w:tcPr>
            <w:tcW w:w="653" w:type="pct"/>
            <w:tcMar>
              <w:left w:w="0" w:type="dxa"/>
              <w:right w:w="0" w:type="dxa"/>
            </w:tcMar>
            <w:vAlign w:val="center"/>
          </w:tcPr>
          <w:p w14:paraId="36E1993F">
            <w:pPr>
              <w:adjustRightInd w:val="0"/>
              <w:snapToGrid w:val="0"/>
              <w:jc w:val="center"/>
              <w:rPr>
                <w:rFonts w:ascii="宋体" w:hAnsi="宋体"/>
                <w:color w:val="auto"/>
              </w:rPr>
            </w:pPr>
          </w:p>
        </w:tc>
        <w:tc>
          <w:tcPr>
            <w:tcW w:w="260" w:type="pct"/>
            <w:tcMar>
              <w:left w:w="0" w:type="dxa"/>
              <w:right w:w="0" w:type="dxa"/>
            </w:tcMar>
            <w:vAlign w:val="center"/>
          </w:tcPr>
          <w:p w14:paraId="3C403294">
            <w:pPr>
              <w:adjustRightInd w:val="0"/>
              <w:snapToGrid w:val="0"/>
              <w:jc w:val="center"/>
              <w:rPr>
                <w:rFonts w:ascii="宋体" w:hAnsi="宋体"/>
                <w:color w:val="auto"/>
              </w:rPr>
            </w:pPr>
          </w:p>
        </w:tc>
        <w:tc>
          <w:tcPr>
            <w:tcW w:w="269" w:type="pct"/>
            <w:tcMar>
              <w:left w:w="0" w:type="dxa"/>
              <w:right w:w="0" w:type="dxa"/>
            </w:tcMar>
            <w:vAlign w:val="center"/>
          </w:tcPr>
          <w:p w14:paraId="0C195ADE">
            <w:pPr>
              <w:adjustRightInd w:val="0"/>
              <w:snapToGrid w:val="0"/>
              <w:jc w:val="center"/>
              <w:rPr>
                <w:rFonts w:ascii="宋体" w:hAnsi="宋体"/>
                <w:color w:val="auto"/>
              </w:rPr>
            </w:pPr>
          </w:p>
        </w:tc>
        <w:tc>
          <w:tcPr>
            <w:tcW w:w="403" w:type="pct"/>
            <w:tcMar>
              <w:left w:w="0" w:type="dxa"/>
              <w:right w:w="0" w:type="dxa"/>
            </w:tcMar>
            <w:vAlign w:val="center"/>
          </w:tcPr>
          <w:p w14:paraId="73321C59">
            <w:pPr>
              <w:adjustRightInd w:val="0"/>
              <w:snapToGrid w:val="0"/>
              <w:jc w:val="center"/>
              <w:rPr>
                <w:rFonts w:ascii="宋体" w:hAnsi="宋体"/>
                <w:color w:val="auto"/>
              </w:rPr>
            </w:pPr>
          </w:p>
        </w:tc>
        <w:tc>
          <w:tcPr>
            <w:tcW w:w="409" w:type="pct"/>
            <w:gridSpan w:val="2"/>
            <w:tcMar>
              <w:left w:w="0" w:type="dxa"/>
              <w:right w:w="0" w:type="dxa"/>
            </w:tcMar>
            <w:vAlign w:val="center"/>
          </w:tcPr>
          <w:p w14:paraId="0DCE0A40">
            <w:pPr>
              <w:adjustRightInd w:val="0"/>
              <w:snapToGrid w:val="0"/>
              <w:jc w:val="center"/>
              <w:rPr>
                <w:rFonts w:ascii="宋体" w:hAnsi="宋体"/>
                <w:color w:val="auto"/>
              </w:rPr>
            </w:pPr>
          </w:p>
        </w:tc>
      </w:tr>
      <w:tr w14:paraId="1FFB9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restart"/>
            <w:tcMar>
              <w:left w:w="0" w:type="dxa"/>
              <w:right w:w="0" w:type="dxa"/>
            </w:tcMar>
            <w:vAlign w:val="center"/>
          </w:tcPr>
          <w:p w14:paraId="31E426D0">
            <w:pPr>
              <w:adjustRightInd w:val="0"/>
              <w:snapToGrid w:val="0"/>
              <w:jc w:val="center"/>
              <w:rPr>
                <w:rFonts w:ascii="宋体" w:hAnsi="宋体"/>
                <w:color w:val="auto"/>
              </w:rPr>
            </w:pPr>
            <w:r>
              <w:rPr>
                <w:rFonts w:hint="eastAsia" w:ascii="宋体" w:hAnsi="宋体"/>
                <w:color w:val="auto"/>
              </w:rPr>
              <w:t>生态影响及其环境保护设施</w:t>
            </w:r>
          </w:p>
        </w:tc>
        <w:tc>
          <w:tcPr>
            <w:tcW w:w="592" w:type="pct"/>
            <w:gridSpan w:val="2"/>
            <w:tcMar>
              <w:left w:w="0" w:type="dxa"/>
              <w:right w:w="0" w:type="dxa"/>
            </w:tcMar>
            <w:vAlign w:val="center"/>
          </w:tcPr>
          <w:p w14:paraId="6A4D084A">
            <w:pPr>
              <w:adjustRightInd w:val="0"/>
              <w:snapToGrid w:val="0"/>
              <w:jc w:val="center"/>
              <w:rPr>
                <w:rFonts w:ascii="宋体" w:hAnsi="宋体"/>
                <w:color w:val="auto"/>
              </w:rPr>
            </w:pPr>
            <w:r>
              <w:rPr>
                <w:rFonts w:hint="eastAsia" w:ascii="宋体" w:hAnsi="宋体"/>
                <w:color w:val="auto"/>
              </w:rPr>
              <w:t>主要生态保护目标</w:t>
            </w:r>
          </w:p>
        </w:tc>
        <w:tc>
          <w:tcPr>
            <w:tcW w:w="353" w:type="pct"/>
            <w:tcMar>
              <w:left w:w="0" w:type="dxa"/>
              <w:right w:w="0" w:type="dxa"/>
            </w:tcMar>
            <w:vAlign w:val="center"/>
          </w:tcPr>
          <w:p w14:paraId="6A33BFB5">
            <w:pPr>
              <w:adjustRightInd w:val="0"/>
              <w:snapToGrid w:val="0"/>
              <w:jc w:val="center"/>
              <w:rPr>
                <w:rFonts w:ascii="宋体" w:hAnsi="宋体"/>
                <w:color w:val="auto"/>
              </w:rPr>
            </w:pPr>
            <w:r>
              <w:rPr>
                <w:rFonts w:hint="eastAsia" w:ascii="宋体" w:hAnsi="宋体"/>
                <w:color w:val="auto"/>
              </w:rPr>
              <w:t>名称</w:t>
            </w:r>
          </w:p>
        </w:tc>
        <w:tc>
          <w:tcPr>
            <w:tcW w:w="356" w:type="pct"/>
            <w:tcMar>
              <w:left w:w="0" w:type="dxa"/>
              <w:right w:w="0" w:type="dxa"/>
            </w:tcMar>
            <w:vAlign w:val="center"/>
          </w:tcPr>
          <w:p w14:paraId="58F68563">
            <w:pPr>
              <w:adjustRightInd w:val="0"/>
              <w:snapToGrid w:val="0"/>
              <w:jc w:val="center"/>
              <w:rPr>
                <w:rFonts w:ascii="宋体" w:hAnsi="宋体"/>
                <w:color w:val="auto"/>
              </w:rPr>
            </w:pPr>
            <w:r>
              <w:rPr>
                <w:rFonts w:hint="eastAsia" w:ascii="宋体" w:hAnsi="宋体"/>
                <w:color w:val="auto"/>
              </w:rPr>
              <w:t>位置</w:t>
            </w:r>
          </w:p>
        </w:tc>
        <w:tc>
          <w:tcPr>
            <w:tcW w:w="694" w:type="pct"/>
            <w:gridSpan w:val="2"/>
            <w:tcMar>
              <w:left w:w="0" w:type="dxa"/>
              <w:right w:w="0" w:type="dxa"/>
            </w:tcMar>
            <w:vAlign w:val="center"/>
          </w:tcPr>
          <w:p w14:paraId="3CE3AA8C">
            <w:pPr>
              <w:adjustRightInd w:val="0"/>
              <w:snapToGrid w:val="0"/>
              <w:jc w:val="center"/>
              <w:rPr>
                <w:rFonts w:ascii="宋体" w:hAnsi="宋体"/>
                <w:color w:val="auto"/>
              </w:rPr>
            </w:pPr>
            <w:r>
              <w:rPr>
                <w:rFonts w:hint="eastAsia" w:ascii="宋体" w:hAnsi="宋体"/>
                <w:color w:val="auto"/>
              </w:rPr>
              <w:t>生态保护要求</w:t>
            </w:r>
          </w:p>
        </w:tc>
        <w:tc>
          <w:tcPr>
            <w:tcW w:w="527" w:type="pct"/>
            <w:gridSpan w:val="2"/>
            <w:tcMar>
              <w:left w:w="0" w:type="dxa"/>
              <w:right w:w="0" w:type="dxa"/>
            </w:tcMar>
            <w:vAlign w:val="center"/>
          </w:tcPr>
          <w:p w14:paraId="3D45F3BD">
            <w:pPr>
              <w:adjustRightInd w:val="0"/>
              <w:snapToGrid w:val="0"/>
              <w:jc w:val="center"/>
              <w:rPr>
                <w:rFonts w:ascii="宋体" w:hAnsi="宋体"/>
                <w:color w:val="auto"/>
              </w:rPr>
            </w:pPr>
            <w:r>
              <w:rPr>
                <w:rFonts w:hint="eastAsia" w:ascii="宋体" w:hAnsi="宋体"/>
                <w:color w:val="auto"/>
              </w:rPr>
              <w:t>项目生态影响</w:t>
            </w:r>
          </w:p>
        </w:tc>
        <w:tc>
          <w:tcPr>
            <w:tcW w:w="1004" w:type="pct"/>
            <w:gridSpan w:val="2"/>
            <w:tcMar>
              <w:left w:w="0" w:type="dxa"/>
              <w:right w:w="0" w:type="dxa"/>
            </w:tcMar>
            <w:vAlign w:val="center"/>
          </w:tcPr>
          <w:p w14:paraId="7EC275A5">
            <w:pPr>
              <w:adjustRightInd w:val="0"/>
              <w:snapToGrid w:val="0"/>
              <w:jc w:val="center"/>
              <w:rPr>
                <w:rFonts w:ascii="宋体" w:hAnsi="宋体"/>
                <w:color w:val="auto"/>
              </w:rPr>
            </w:pPr>
            <w:r>
              <w:rPr>
                <w:rFonts w:hint="eastAsia" w:ascii="宋体" w:hAnsi="宋体"/>
                <w:color w:val="auto"/>
              </w:rPr>
              <w:t>生态保护工程和设施</w:t>
            </w:r>
          </w:p>
        </w:tc>
        <w:tc>
          <w:tcPr>
            <w:tcW w:w="529" w:type="pct"/>
            <w:gridSpan w:val="2"/>
            <w:tcMar>
              <w:left w:w="0" w:type="dxa"/>
              <w:right w:w="0" w:type="dxa"/>
            </w:tcMar>
            <w:vAlign w:val="center"/>
          </w:tcPr>
          <w:p w14:paraId="40433BF2">
            <w:pPr>
              <w:adjustRightInd w:val="0"/>
              <w:snapToGrid w:val="0"/>
              <w:jc w:val="center"/>
              <w:rPr>
                <w:rFonts w:ascii="宋体" w:hAnsi="宋体"/>
                <w:color w:val="auto"/>
              </w:rPr>
            </w:pPr>
            <w:r>
              <w:rPr>
                <w:rFonts w:hint="eastAsia" w:ascii="宋体" w:hAnsi="宋体"/>
                <w:color w:val="auto"/>
              </w:rPr>
              <w:t>生态保护措施</w:t>
            </w:r>
          </w:p>
        </w:tc>
        <w:tc>
          <w:tcPr>
            <w:tcW w:w="812" w:type="pct"/>
            <w:gridSpan w:val="3"/>
            <w:tcMar>
              <w:left w:w="0" w:type="dxa"/>
              <w:right w:w="0" w:type="dxa"/>
            </w:tcMar>
            <w:vAlign w:val="center"/>
          </w:tcPr>
          <w:p w14:paraId="6C2A6B4F">
            <w:pPr>
              <w:adjustRightInd w:val="0"/>
              <w:snapToGrid w:val="0"/>
              <w:jc w:val="center"/>
              <w:rPr>
                <w:rFonts w:ascii="宋体" w:hAnsi="宋体"/>
                <w:color w:val="auto"/>
              </w:rPr>
            </w:pPr>
            <w:r>
              <w:rPr>
                <w:rFonts w:hint="eastAsia" w:ascii="宋体" w:hAnsi="宋体"/>
                <w:color w:val="auto"/>
              </w:rPr>
              <w:t>生态保护效果</w:t>
            </w:r>
          </w:p>
        </w:tc>
      </w:tr>
      <w:tr w14:paraId="44FDA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0F9BAA85">
            <w:pPr>
              <w:adjustRightInd w:val="0"/>
              <w:snapToGrid w:val="0"/>
              <w:jc w:val="center"/>
              <w:rPr>
                <w:rFonts w:ascii="宋体" w:hAnsi="宋体"/>
                <w:color w:val="auto"/>
              </w:rPr>
            </w:pPr>
          </w:p>
        </w:tc>
        <w:tc>
          <w:tcPr>
            <w:tcW w:w="592" w:type="pct"/>
            <w:gridSpan w:val="2"/>
            <w:tcMar>
              <w:left w:w="0" w:type="dxa"/>
              <w:right w:w="0" w:type="dxa"/>
            </w:tcMar>
            <w:vAlign w:val="center"/>
          </w:tcPr>
          <w:p w14:paraId="7DC67DD2">
            <w:pPr>
              <w:adjustRightInd w:val="0"/>
              <w:snapToGrid w:val="0"/>
              <w:jc w:val="center"/>
              <w:rPr>
                <w:rFonts w:ascii="宋体" w:hAnsi="宋体"/>
                <w:color w:val="auto"/>
              </w:rPr>
            </w:pPr>
            <w:r>
              <w:rPr>
                <w:rFonts w:hint="eastAsia" w:ascii="宋体" w:hAnsi="宋体"/>
                <w:color w:val="auto"/>
              </w:rPr>
              <w:t>生态敏感区</w:t>
            </w:r>
          </w:p>
        </w:tc>
        <w:tc>
          <w:tcPr>
            <w:tcW w:w="353" w:type="pct"/>
            <w:tcMar>
              <w:left w:w="0" w:type="dxa"/>
              <w:right w:w="0" w:type="dxa"/>
            </w:tcMar>
            <w:vAlign w:val="center"/>
          </w:tcPr>
          <w:p w14:paraId="46FAF864">
            <w:pPr>
              <w:adjustRightInd w:val="0"/>
              <w:snapToGrid w:val="0"/>
              <w:jc w:val="center"/>
              <w:rPr>
                <w:rFonts w:ascii="宋体" w:hAnsi="宋体"/>
                <w:color w:val="auto"/>
              </w:rPr>
            </w:pPr>
          </w:p>
        </w:tc>
        <w:tc>
          <w:tcPr>
            <w:tcW w:w="356" w:type="pct"/>
            <w:tcMar>
              <w:left w:w="0" w:type="dxa"/>
              <w:right w:w="0" w:type="dxa"/>
            </w:tcMar>
            <w:vAlign w:val="center"/>
          </w:tcPr>
          <w:p w14:paraId="00E17EBF">
            <w:pPr>
              <w:adjustRightInd w:val="0"/>
              <w:snapToGrid w:val="0"/>
              <w:jc w:val="center"/>
              <w:rPr>
                <w:rFonts w:ascii="宋体" w:hAnsi="宋体"/>
                <w:color w:val="auto"/>
              </w:rPr>
            </w:pPr>
          </w:p>
        </w:tc>
        <w:tc>
          <w:tcPr>
            <w:tcW w:w="694" w:type="pct"/>
            <w:gridSpan w:val="2"/>
            <w:tcMar>
              <w:left w:w="0" w:type="dxa"/>
              <w:right w:w="0" w:type="dxa"/>
            </w:tcMar>
            <w:vAlign w:val="center"/>
          </w:tcPr>
          <w:p w14:paraId="7BBE0E97">
            <w:pPr>
              <w:adjustRightInd w:val="0"/>
              <w:snapToGrid w:val="0"/>
              <w:jc w:val="center"/>
              <w:rPr>
                <w:rFonts w:ascii="宋体" w:hAnsi="宋体"/>
                <w:color w:val="auto"/>
              </w:rPr>
            </w:pPr>
          </w:p>
        </w:tc>
        <w:tc>
          <w:tcPr>
            <w:tcW w:w="527" w:type="pct"/>
            <w:gridSpan w:val="2"/>
            <w:tcMar>
              <w:left w:w="0" w:type="dxa"/>
              <w:right w:w="0" w:type="dxa"/>
            </w:tcMar>
            <w:vAlign w:val="center"/>
          </w:tcPr>
          <w:p w14:paraId="740F0372">
            <w:pPr>
              <w:adjustRightInd w:val="0"/>
              <w:snapToGrid w:val="0"/>
              <w:jc w:val="center"/>
              <w:rPr>
                <w:rFonts w:ascii="宋体" w:hAnsi="宋体"/>
                <w:color w:val="auto"/>
              </w:rPr>
            </w:pPr>
          </w:p>
        </w:tc>
        <w:tc>
          <w:tcPr>
            <w:tcW w:w="1004" w:type="pct"/>
            <w:gridSpan w:val="2"/>
            <w:tcMar>
              <w:left w:w="0" w:type="dxa"/>
              <w:right w:w="0" w:type="dxa"/>
            </w:tcMar>
            <w:vAlign w:val="center"/>
          </w:tcPr>
          <w:p w14:paraId="59F5F323">
            <w:pPr>
              <w:adjustRightInd w:val="0"/>
              <w:snapToGrid w:val="0"/>
              <w:jc w:val="center"/>
              <w:rPr>
                <w:rFonts w:ascii="宋体" w:hAnsi="宋体"/>
                <w:color w:val="auto"/>
              </w:rPr>
            </w:pPr>
          </w:p>
        </w:tc>
        <w:tc>
          <w:tcPr>
            <w:tcW w:w="529" w:type="pct"/>
            <w:gridSpan w:val="2"/>
            <w:tcMar>
              <w:left w:w="0" w:type="dxa"/>
              <w:right w:w="0" w:type="dxa"/>
            </w:tcMar>
            <w:vAlign w:val="center"/>
          </w:tcPr>
          <w:p w14:paraId="5C83C819">
            <w:pPr>
              <w:adjustRightInd w:val="0"/>
              <w:snapToGrid w:val="0"/>
              <w:jc w:val="center"/>
              <w:rPr>
                <w:rFonts w:ascii="宋体" w:hAnsi="宋体"/>
                <w:color w:val="auto"/>
              </w:rPr>
            </w:pPr>
          </w:p>
        </w:tc>
        <w:tc>
          <w:tcPr>
            <w:tcW w:w="812" w:type="pct"/>
            <w:gridSpan w:val="3"/>
            <w:tcMar>
              <w:left w:w="0" w:type="dxa"/>
              <w:right w:w="0" w:type="dxa"/>
            </w:tcMar>
            <w:vAlign w:val="center"/>
          </w:tcPr>
          <w:p w14:paraId="5C36E60F">
            <w:pPr>
              <w:adjustRightInd w:val="0"/>
              <w:snapToGrid w:val="0"/>
              <w:jc w:val="center"/>
              <w:rPr>
                <w:rFonts w:ascii="宋体" w:hAnsi="宋体"/>
                <w:color w:val="auto"/>
              </w:rPr>
            </w:pPr>
          </w:p>
        </w:tc>
      </w:tr>
      <w:tr w14:paraId="79257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3FDECC7F">
            <w:pPr>
              <w:adjustRightInd w:val="0"/>
              <w:snapToGrid w:val="0"/>
              <w:jc w:val="center"/>
              <w:rPr>
                <w:rFonts w:ascii="宋体" w:hAnsi="宋体"/>
                <w:color w:val="auto"/>
              </w:rPr>
            </w:pPr>
          </w:p>
        </w:tc>
        <w:tc>
          <w:tcPr>
            <w:tcW w:w="592" w:type="pct"/>
            <w:gridSpan w:val="2"/>
            <w:tcMar>
              <w:left w:w="0" w:type="dxa"/>
              <w:right w:w="0" w:type="dxa"/>
            </w:tcMar>
            <w:vAlign w:val="center"/>
          </w:tcPr>
          <w:p w14:paraId="202283FC">
            <w:pPr>
              <w:adjustRightInd w:val="0"/>
              <w:snapToGrid w:val="0"/>
              <w:jc w:val="center"/>
              <w:rPr>
                <w:rFonts w:ascii="宋体" w:hAnsi="宋体"/>
                <w:color w:val="auto"/>
              </w:rPr>
            </w:pPr>
            <w:r>
              <w:rPr>
                <w:rFonts w:hint="eastAsia" w:ascii="宋体" w:hAnsi="宋体"/>
                <w:color w:val="auto"/>
              </w:rPr>
              <w:t>保护生物</w:t>
            </w:r>
          </w:p>
        </w:tc>
        <w:tc>
          <w:tcPr>
            <w:tcW w:w="353" w:type="pct"/>
            <w:tcMar>
              <w:left w:w="0" w:type="dxa"/>
              <w:right w:w="0" w:type="dxa"/>
            </w:tcMar>
            <w:vAlign w:val="center"/>
          </w:tcPr>
          <w:p w14:paraId="42FE564E">
            <w:pPr>
              <w:adjustRightInd w:val="0"/>
              <w:snapToGrid w:val="0"/>
              <w:jc w:val="center"/>
              <w:rPr>
                <w:rFonts w:ascii="宋体" w:hAnsi="宋体"/>
                <w:color w:val="auto"/>
              </w:rPr>
            </w:pPr>
          </w:p>
        </w:tc>
        <w:tc>
          <w:tcPr>
            <w:tcW w:w="356" w:type="pct"/>
            <w:tcMar>
              <w:left w:w="0" w:type="dxa"/>
              <w:right w:w="0" w:type="dxa"/>
            </w:tcMar>
            <w:vAlign w:val="center"/>
          </w:tcPr>
          <w:p w14:paraId="78759868">
            <w:pPr>
              <w:adjustRightInd w:val="0"/>
              <w:snapToGrid w:val="0"/>
              <w:jc w:val="center"/>
              <w:rPr>
                <w:rFonts w:ascii="宋体" w:hAnsi="宋体"/>
                <w:color w:val="auto"/>
              </w:rPr>
            </w:pPr>
          </w:p>
        </w:tc>
        <w:tc>
          <w:tcPr>
            <w:tcW w:w="694" w:type="pct"/>
            <w:gridSpan w:val="2"/>
            <w:tcMar>
              <w:left w:w="0" w:type="dxa"/>
              <w:right w:w="0" w:type="dxa"/>
            </w:tcMar>
            <w:vAlign w:val="center"/>
          </w:tcPr>
          <w:p w14:paraId="449F6561">
            <w:pPr>
              <w:adjustRightInd w:val="0"/>
              <w:snapToGrid w:val="0"/>
              <w:jc w:val="center"/>
              <w:rPr>
                <w:rFonts w:ascii="宋体" w:hAnsi="宋体"/>
                <w:color w:val="auto"/>
              </w:rPr>
            </w:pPr>
          </w:p>
        </w:tc>
        <w:tc>
          <w:tcPr>
            <w:tcW w:w="527" w:type="pct"/>
            <w:gridSpan w:val="2"/>
            <w:tcMar>
              <w:left w:w="0" w:type="dxa"/>
              <w:right w:w="0" w:type="dxa"/>
            </w:tcMar>
            <w:vAlign w:val="center"/>
          </w:tcPr>
          <w:p w14:paraId="579CE8F4">
            <w:pPr>
              <w:adjustRightInd w:val="0"/>
              <w:snapToGrid w:val="0"/>
              <w:jc w:val="center"/>
              <w:rPr>
                <w:rFonts w:ascii="宋体" w:hAnsi="宋体"/>
                <w:color w:val="auto"/>
              </w:rPr>
            </w:pPr>
          </w:p>
        </w:tc>
        <w:tc>
          <w:tcPr>
            <w:tcW w:w="1004" w:type="pct"/>
            <w:gridSpan w:val="2"/>
            <w:tcMar>
              <w:left w:w="0" w:type="dxa"/>
              <w:right w:w="0" w:type="dxa"/>
            </w:tcMar>
            <w:vAlign w:val="center"/>
          </w:tcPr>
          <w:p w14:paraId="1C19B940">
            <w:pPr>
              <w:adjustRightInd w:val="0"/>
              <w:snapToGrid w:val="0"/>
              <w:jc w:val="center"/>
              <w:rPr>
                <w:rFonts w:ascii="宋体" w:hAnsi="宋体"/>
                <w:color w:val="auto"/>
              </w:rPr>
            </w:pPr>
          </w:p>
        </w:tc>
        <w:tc>
          <w:tcPr>
            <w:tcW w:w="529" w:type="pct"/>
            <w:gridSpan w:val="2"/>
            <w:tcMar>
              <w:left w:w="0" w:type="dxa"/>
              <w:right w:w="0" w:type="dxa"/>
            </w:tcMar>
            <w:vAlign w:val="center"/>
          </w:tcPr>
          <w:p w14:paraId="2B1A6412">
            <w:pPr>
              <w:adjustRightInd w:val="0"/>
              <w:snapToGrid w:val="0"/>
              <w:jc w:val="center"/>
              <w:rPr>
                <w:rFonts w:ascii="宋体" w:hAnsi="宋体"/>
                <w:color w:val="auto"/>
              </w:rPr>
            </w:pPr>
          </w:p>
        </w:tc>
        <w:tc>
          <w:tcPr>
            <w:tcW w:w="812" w:type="pct"/>
            <w:gridSpan w:val="3"/>
            <w:tcMar>
              <w:left w:w="0" w:type="dxa"/>
              <w:right w:w="0" w:type="dxa"/>
            </w:tcMar>
            <w:vAlign w:val="center"/>
          </w:tcPr>
          <w:p w14:paraId="2ECA752F">
            <w:pPr>
              <w:adjustRightInd w:val="0"/>
              <w:snapToGrid w:val="0"/>
              <w:jc w:val="center"/>
              <w:rPr>
                <w:rFonts w:ascii="宋体" w:hAnsi="宋体"/>
                <w:color w:val="auto"/>
              </w:rPr>
            </w:pPr>
          </w:p>
        </w:tc>
      </w:tr>
      <w:tr w14:paraId="0F5E7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4BE7D9E">
            <w:pPr>
              <w:adjustRightInd w:val="0"/>
              <w:snapToGrid w:val="0"/>
              <w:jc w:val="center"/>
              <w:rPr>
                <w:rFonts w:ascii="宋体" w:hAnsi="宋体"/>
                <w:color w:val="auto"/>
              </w:rPr>
            </w:pPr>
          </w:p>
        </w:tc>
        <w:tc>
          <w:tcPr>
            <w:tcW w:w="592" w:type="pct"/>
            <w:gridSpan w:val="2"/>
            <w:vMerge w:val="restart"/>
            <w:tcMar>
              <w:left w:w="0" w:type="dxa"/>
              <w:right w:w="0" w:type="dxa"/>
            </w:tcMar>
            <w:vAlign w:val="center"/>
          </w:tcPr>
          <w:p w14:paraId="12342AAF">
            <w:pPr>
              <w:adjustRightInd w:val="0"/>
              <w:snapToGrid w:val="0"/>
              <w:jc w:val="center"/>
              <w:rPr>
                <w:rFonts w:ascii="宋体" w:hAnsi="宋体"/>
                <w:color w:val="auto"/>
              </w:rPr>
            </w:pPr>
            <w:r>
              <w:rPr>
                <w:rFonts w:hint="eastAsia" w:ascii="宋体" w:hAnsi="宋体"/>
                <w:color w:val="auto"/>
              </w:rPr>
              <w:t>土地资源</w:t>
            </w:r>
          </w:p>
        </w:tc>
        <w:tc>
          <w:tcPr>
            <w:tcW w:w="353" w:type="pct"/>
            <w:tcMar>
              <w:left w:w="0" w:type="dxa"/>
              <w:right w:w="0" w:type="dxa"/>
            </w:tcMar>
            <w:vAlign w:val="center"/>
          </w:tcPr>
          <w:p w14:paraId="4F57E477">
            <w:pPr>
              <w:adjustRightInd w:val="0"/>
              <w:snapToGrid w:val="0"/>
              <w:jc w:val="center"/>
              <w:rPr>
                <w:rFonts w:ascii="宋体" w:hAnsi="宋体"/>
                <w:color w:val="auto"/>
              </w:rPr>
            </w:pPr>
            <w:r>
              <w:rPr>
                <w:rFonts w:hint="eastAsia" w:ascii="宋体" w:hAnsi="宋体"/>
                <w:color w:val="auto"/>
              </w:rPr>
              <w:t>农田</w:t>
            </w:r>
          </w:p>
        </w:tc>
        <w:tc>
          <w:tcPr>
            <w:tcW w:w="356" w:type="pct"/>
            <w:tcMar>
              <w:left w:w="0" w:type="dxa"/>
              <w:right w:w="0" w:type="dxa"/>
            </w:tcMar>
            <w:vAlign w:val="center"/>
          </w:tcPr>
          <w:p w14:paraId="757869B6">
            <w:pPr>
              <w:adjustRightInd w:val="0"/>
              <w:snapToGrid w:val="0"/>
              <w:jc w:val="center"/>
              <w:rPr>
                <w:rFonts w:ascii="宋体" w:hAnsi="宋体"/>
                <w:color w:val="auto"/>
              </w:rPr>
            </w:pPr>
            <w:r>
              <w:rPr>
                <w:rFonts w:hint="eastAsia" w:ascii="宋体" w:hAnsi="宋体"/>
                <w:color w:val="auto"/>
              </w:rPr>
              <w:t>永久占地面积</w:t>
            </w:r>
          </w:p>
        </w:tc>
        <w:tc>
          <w:tcPr>
            <w:tcW w:w="694" w:type="pct"/>
            <w:gridSpan w:val="2"/>
            <w:vMerge w:val="restart"/>
            <w:tcMar>
              <w:left w:w="0" w:type="dxa"/>
              <w:right w:w="0" w:type="dxa"/>
            </w:tcMar>
            <w:vAlign w:val="center"/>
          </w:tcPr>
          <w:p w14:paraId="57E227EA">
            <w:pPr>
              <w:adjustRightInd w:val="0"/>
              <w:snapToGrid w:val="0"/>
              <w:jc w:val="center"/>
              <w:rPr>
                <w:rFonts w:ascii="宋体" w:hAnsi="宋体"/>
                <w:color w:val="auto"/>
              </w:rPr>
            </w:pPr>
            <w:r>
              <w:rPr>
                <w:rFonts w:ascii="宋体" w:hAnsi="宋体"/>
                <w:color w:val="auto"/>
              </w:rPr>
              <w:t>9.71hm</w:t>
            </w:r>
            <w:r>
              <w:rPr>
                <w:rFonts w:ascii="宋体" w:hAnsi="宋体"/>
                <w:color w:val="auto"/>
                <w:vertAlign w:val="superscript"/>
              </w:rPr>
              <w:t>2</w:t>
            </w:r>
          </w:p>
        </w:tc>
        <w:tc>
          <w:tcPr>
            <w:tcW w:w="527" w:type="pct"/>
            <w:gridSpan w:val="2"/>
            <w:tcMar>
              <w:left w:w="0" w:type="dxa"/>
              <w:right w:w="0" w:type="dxa"/>
            </w:tcMar>
            <w:vAlign w:val="center"/>
          </w:tcPr>
          <w:p w14:paraId="55CD017F">
            <w:pPr>
              <w:adjustRightInd w:val="0"/>
              <w:snapToGrid w:val="0"/>
              <w:jc w:val="center"/>
              <w:rPr>
                <w:rFonts w:ascii="宋体" w:hAnsi="宋体"/>
                <w:color w:val="auto"/>
              </w:rPr>
            </w:pPr>
            <w:r>
              <w:rPr>
                <w:rFonts w:hint="eastAsia" w:ascii="宋体" w:hAnsi="宋体"/>
                <w:color w:val="auto"/>
              </w:rPr>
              <w:t>恢复补充面积</w:t>
            </w:r>
          </w:p>
        </w:tc>
        <w:tc>
          <w:tcPr>
            <w:tcW w:w="1004" w:type="pct"/>
            <w:gridSpan w:val="2"/>
            <w:tcMar>
              <w:left w:w="0" w:type="dxa"/>
              <w:right w:w="0" w:type="dxa"/>
            </w:tcMar>
            <w:vAlign w:val="center"/>
          </w:tcPr>
          <w:p w14:paraId="4143D474">
            <w:pPr>
              <w:adjustRightInd w:val="0"/>
              <w:snapToGrid w:val="0"/>
              <w:jc w:val="center"/>
              <w:rPr>
                <w:rFonts w:ascii="宋体" w:hAnsi="宋体"/>
                <w:color w:val="auto"/>
              </w:rPr>
            </w:pPr>
            <w:r>
              <w:rPr>
                <w:rFonts w:hint="eastAsia" w:ascii="宋体" w:hAnsi="宋体"/>
                <w:color w:val="auto"/>
              </w:rPr>
              <w:t>/</w:t>
            </w:r>
          </w:p>
        </w:tc>
        <w:tc>
          <w:tcPr>
            <w:tcW w:w="529" w:type="pct"/>
            <w:gridSpan w:val="2"/>
            <w:tcMar>
              <w:left w:w="0" w:type="dxa"/>
              <w:right w:w="0" w:type="dxa"/>
            </w:tcMar>
            <w:vAlign w:val="center"/>
          </w:tcPr>
          <w:p w14:paraId="1BDAED3B">
            <w:pPr>
              <w:adjustRightInd w:val="0"/>
              <w:snapToGrid w:val="0"/>
              <w:jc w:val="center"/>
              <w:rPr>
                <w:rFonts w:ascii="宋体" w:hAnsi="宋体"/>
                <w:color w:val="auto"/>
              </w:rPr>
            </w:pPr>
            <w:r>
              <w:rPr>
                <w:rFonts w:hint="eastAsia" w:ascii="宋体" w:hAnsi="宋体"/>
                <w:color w:val="auto"/>
              </w:rPr>
              <w:t>恢复补偿形式</w:t>
            </w:r>
          </w:p>
        </w:tc>
        <w:tc>
          <w:tcPr>
            <w:tcW w:w="812" w:type="pct"/>
            <w:gridSpan w:val="3"/>
            <w:tcMar>
              <w:left w:w="0" w:type="dxa"/>
              <w:right w:w="0" w:type="dxa"/>
            </w:tcMar>
            <w:vAlign w:val="center"/>
          </w:tcPr>
          <w:p w14:paraId="60330456">
            <w:pPr>
              <w:adjustRightInd w:val="0"/>
              <w:snapToGrid w:val="0"/>
              <w:jc w:val="center"/>
              <w:rPr>
                <w:rFonts w:ascii="宋体" w:hAnsi="宋体"/>
                <w:color w:val="auto"/>
              </w:rPr>
            </w:pPr>
            <w:r>
              <w:rPr>
                <w:rFonts w:hint="eastAsia" w:ascii="宋体" w:hAnsi="宋体"/>
                <w:color w:val="auto"/>
              </w:rPr>
              <w:t>/</w:t>
            </w:r>
          </w:p>
        </w:tc>
      </w:tr>
      <w:tr w14:paraId="3CBB2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B41BAAE">
            <w:pPr>
              <w:adjustRightInd w:val="0"/>
              <w:snapToGrid w:val="0"/>
              <w:jc w:val="center"/>
              <w:rPr>
                <w:rFonts w:ascii="宋体" w:hAnsi="宋体"/>
                <w:color w:val="auto"/>
              </w:rPr>
            </w:pPr>
          </w:p>
        </w:tc>
        <w:tc>
          <w:tcPr>
            <w:tcW w:w="592" w:type="pct"/>
            <w:gridSpan w:val="2"/>
            <w:vMerge w:val="continue"/>
            <w:tcMar>
              <w:left w:w="0" w:type="dxa"/>
              <w:right w:w="0" w:type="dxa"/>
            </w:tcMar>
            <w:vAlign w:val="center"/>
          </w:tcPr>
          <w:p w14:paraId="56304685">
            <w:pPr>
              <w:adjustRightInd w:val="0"/>
              <w:snapToGrid w:val="0"/>
              <w:jc w:val="center"/>
              <w:rPr>
                <w:rFonts w:ascii="宋体" w:hAnsi="宋体"/>
                <w:color w:val="auto"/>
              </w:rPr>
            </w:pPr>
          </w:p>
        </w:tc>
        <w:tc>
          <w:tcPr>
            <w:tcW w:w="353" w:type="pct"/>
            <w:tcMar>
              <w:left w:w="0" w:type="dxa"/>
              <w:right w:w="0" w:type="dxa"/>
            </w:tcMar>
            <w:vAlign w:val="center"/>
          </w:tcPr>
          <w:p w14:paraId="4BC1A072">
            <w:pPr>
              <w:adjustRightInd w:val="0"/>
              <w:snapToGrid w:val="0"/>
              <w:jc w:val="center"/>
              <w:rPr>
                <w:rFonts w:ascii="宋体" w:hAnsi="宋体"/>
                <w:color w:val="auto"/>
              </w:rPr>
            </w:pPr>
            <w:r>
              <w:rPr>
                <w:rFonts w:hint="eastAsia" w:ascii="宋体" w:hAnsi="宋体"/>
                <w:color w:val="auto"/>
              </w:rPr>
              <w:t>林</w:t>
            </w:r>
            <w:r>
              <w:rPr>
                <w:rFonts w:ascii="宋体" w:hAnsi="宋体"/>
                <w:color w:val="auto"/>
              </w:rPr>
              <w:t>草地等</w:t>
            </w:r>
          </w:p>
        </w:tc>
        <w:tc>
          <w:tcPr>
            <w:tcW w:w="356" w:type="pct"/>
            <w:tcMar>
              <w:left w:w="0" w:type="dxa"/>
              <w:right w:w="0" w:type="dxa"/>
            </w:tcMar>
            <w:vAlign w:val="center"/>
          </w:tcPr>
          <w:p w14:paraId="7454BAF6">
            <w:pPr>
              <w:adjustRightInd w:val="0"/>
              <w:snapToGrid w:val="0"/>
              <w:jc w:val="center"/>
              <w:rPr>
                <w:rFonts w:ascii="宋体" w:hAnsi="宋体"/>
                <w:color w:val="auto"/>
              </w:rPr>
            </w:pPr>
            <w:r>
              <w:rPr>
                <w:rFonts w:hint="eastAsia" w:ascii="宋体" w:hAnsi="宋体"/>
                <w:color w:val="auto"/>
              </w:rPr>
              <w:t>永久占地面积</w:t>
            </w:r>
          </w:p>
        </w:tc>
        <w:tc>
          <w:tcPr>
            <w:tcW w:w="694" w:type="pct"/>
            <w:gridSpan w:val="2"/>
            <w:vMerge w:val="continue"/>
            <w:tcMar>
              <w:left w:w="0" w:type="dxa"/>
              <w:right w:w="0" w:type="dxa"/>
            </w:tcMar>
            <w:vAlign w:val="center"/>
          </w:tcPr>
          <w:p w14:paraId="439885DF">
            <w:pPr>
              <w:adjustRightInd w:val="0"/>
              <w:snapToGrid w:val="0"/>
              <w:jc w:val="center"/>
              <w:rPr>
                <w:rFonts w:ascii="宋体" w:hAnsi="宋体"/>
                <w:color w:val="auto"/>
              </w:rPr>
            </w:pPr>
          </w:p>
        </w:tc>
        <w:tc>
          <w:tcPr>
            <w:tcW w:w="527" w:type="pct"/>
            <w:gridSpan w:val="2"/>
            <w:tcMar>
              <w:left w:w="0" w:type="dxa"/>
              <w:right w:w="0" w:type="dxa"/>
            </w:tcMar>
            <w:vAlign w:val="center"/>
          </w:tcPr>
          <w:p w14:paraId="11561C80">
            <w:pPr>
              <w:adjustRightInd w:val="0"/>
              <w:snapToGrid w:val="0"/>
              <w:jc w:val="center"/>
              <w:rPr>
                <w:rFonts w:ascii="宋体" w:hAnsi="宋体"/>
                <w:color w:val="auto"/>
              </w:rPr>
            </w:pPr>
            <w:r>
              <w:rPr>
                <w:rFonts w:hint="eastAsia" w:ascii="宋体" w:hAnsi="宋体"/>
                <w:color w:val="auto"/>
              </w:rPr>
              <w:t>恢复补充面积</w:t>
            </w:r>
          </w:p>
        </w:tc>
        <w:tc>
          <w:tcPr>
            <w:tcW w:w="1004" w:type="pct"/>
            <w:gridSpan w:val="2"/>
            <w:tcMar>
              <w:left w:w="0" w:type="dxa"/>
              <w:right w:w="0" w:type="dxa"/>
            </w:tcMar>
            <w:vAlign w:val="center"/>
          </w:tcPr>
          <w:p w14:paraId="1C539B49">
            <w:pPr>
              <w:adjustRightInd w:val="0"/>
              <w:snapToGrid w:val="0"/>
              <w:jc w:val="center"/>
              <w:rPr>
                <w:rFonts w:ascii="宋体" w:hAnsi="宋体"/>
                <w:color w:val="auto"/>
              </w:rPr>
            </w:pPr>
            <w:r>
              <w:rPr>
                <w:rFonts w:hint="eastAsia" w:ascii="宋体" w:hAnsi="宋体"/>
                <w:color w:val="auto"/>
              </w:rPr>
              <w:t>/</w:t>
            </w:r>
          </w:p>
        </w:tc>
        <w:tc>
          <w:tcPr>
            <w:tcW w:w="529" w:type="pct"/>
            <w:gridSpan w:val="2"/>
            <w:tcMar>
              <w:left w:w="0" w:type="dxa"/>
              <w:right w:w="0" w:type="dxa"/>
            </w:tcMar>
            <w:vAlign w:val="center"/>
          </w:tcPr>
          <w:p w14:paraId="7D979308">
            <w:pPr>
              <w:adjustRightInd w:val="0"/>
              <w:snapToGrid w:val="0"/>
              <w:jc w:val="center"/>
              <w:rPr>
                <w:rFonts w:ascii="宋体" w:hAnsi="宋体"/>
                <w:color w:val="auto"/>
              </w:rPr>
            </w:pPr>
            <w:r>
              <w:rPr>
                <w:rFonts w:hint="eastAsia" w:ascii="宋体" w:hAnsi="宋体"/>
                <w:color w:val="auto"/>
              </w:rPr>
              <w:t>恢复补偿形式</w:t>
            </w:r>
          </w:p>
        </w:tc>
        <w:tc>
          <w:tcPr>
            <w:tcW w:w="812" w:type="pct"/>
            <w:gridSpan w:val="3"/>
            <w:tcMar>
              <w:left w:w="0" w:type="dxa"/>
              <w:right w:w="0" w:type="dxa"/>
            </w:tcMar>
            <w:vAlign w:val="center"/>
          </w:tcPr>
          <w:p w14:paraId="156EBAD0">
            <w:pPr>
              <w:adjustRightInd w:val="0"/>
              <w:snapToGrid w:val="0"/>
              <w:jc w:val="center"/>
              <w:rPr>
                <w:rFonts w:ascii="宋体" w:hAnsi="宋体"/>
                <w:color w:val="auto"/>
              </w:rPr>
            </w:pPr>
            <w:r>
              <w:rPr>
                <w:rFonts w:hint="eastAsia" w:ascii="宋体" w:hAnsi="宋体"/>
                <w:color w:val="auto"/>
              </w:rPr>
              <w:t>/</w:t>
            </w:r>
          </w:p>
        </w:tc>
      </w:tr>
      <w:tr w14:paraId="118DA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0D08E02A">
            <w:pPr>
              <w:adjustRightInd w:val="0"/>
              <w:snapToGrid w:val="0"/>
              <w:jc w:val="center"/>
              <w:rPr>
                <w:rFonts w:ascii="宋体" w:hAnsi="宋体"/>
                <w:color w:val="auto"/>
              </w:rPr>
            </w:pPr>
          </w:p>
        </w:tc>
        <w:tc>
          <w:tcPr>
            <w:tcW w:w="592" w:type="pct"/>
            <w:gridSpan w:val="2"/>
            <w:tcMar>
              <w:left w:w="0" w:type="dxa"/>
              <w:right w:w="0" w:type="dxa"/>
            </w:tcMar>
            <w:vAlign w:val="center"/>
          </w:tcPr>
          <w:p w14:paraId="4BCC308A">
            <w:pPr>
              <w:adjustRightInd w:val="0"/>
              <w:snapToGrid w:val="0"/>
              <w:jc w:val="center"/>
              <w:rPr>
                <w:rFonts w:ascii="宋体" w:hAnsi="宋体"/>
                <w:color w:val="auto"/>
              </w:rPr>
            </w:pPr>
            <w:r>
              <w:rPr>
                <w:rFonts w:hint="eastAsia" w:ascii="宋体" w:hAnsi="宋体"/>
                <w:color w:val="auto"/>
              </w:rPr>
              <w:t>生态治理工程</w:t>
            </w:r>
          </w:p>
        </w:tc>
        <w:tc>
          <w:tcPr>
            <w:tcW w:w="353" w:type="pct"/>
            <w:tcMar>
              <w:left w:w="0" w:type="dxa"/>
              <w:right w:w="0" w:type="dxa"/>
            </w:tcMar>
            <w:vAlign w:val="center"/>
          </w:tcPr>
          <w:p w14:paraId="2D752721">
            <w:pPr>
              <w:adjustRightInd w:val="0"/>
              <w:snapToGrid w:val="0"/>
              <w:jc w:val="center"/>
              <w:rPr>
                <w:rFonts w:ascii="宋体" w:hAnsi="宋体"/>
                <w:color w:val="auto"/>
              </w:rPr>
            </w:pPr>
          </w:p>
        </w:tc>
        <w:tc>
          <w:tcPr>
            <w:tcW w:w="356" w:type="pct"/>
            <w:tcMar>
              <w:left w:w="0" w:type="dxa"/>
              <w:right w:w="0" w:type="dxa"/>
            </w:tcMar>
            <w:vAlign w:val="center"/>
          </w:tcPr>
          <w:p w14:paraId="7D1235A7">
            <w:pPr>
              <w:adjustRightInd w:val="0"/>
              <w:snapToGrid w:val="0"/>
              <w:jc w:val="center"/>
              <w:rPr>
                <w:rFonts w:ascii="宋体" w:hAnsi="宋体"/>
                <w:color w:val="auto"/>
              </w:rPr>
            </w:pPr>
            <w:r>
              <w:rPr>
                <w:rFonts w:hint="eastAsia" w:ascii="宋体" w:hAnsi="宋体"/>
                <w:color w:val="auto"/>
              </w:rPr>
              <w:t>工程治理面积</w:t>
            </w:r>
          </w:p>
        </w:tc>
        <w:tc>
          <w:tcPr>
            <w:tcW w:w="694" w:type="pct"/>
            <w:gridSpan w:val="2"/>
            <w:tcMar>
              <w:left w:w="0" w:type="dxa"/>
              <w:right w:w="0" w:type="dxa"/>
            </w:tcMar>
            <w:vAlign w:val="center"/>
          </w:tcPr>
          <w:p w14:paraId="20899419">
            <w:pPr>
              <w:adjustRightInd w:val="0"/>
              <w:snapToGrid w:val="0"/>
              <w:jc w:val="center"/>
              <w:rPr>
                <w:rFonts w:ascii="宋体" w:hAnsi="宋体"/>
                <w:color w:val="auto"/>
              </w:rPr>
            </w:pPr>
          </w:p>
        </w:tc>
        <w:tc>
          <w:tcPr>
            <w:tcW w:w="527" w:type="pct"/>
            <w:gridSpan w:val="2"/>
            <w:tcMar>
              <w:left w:w="0" w:type="dxa"/>
              <w:right w:w="0" w:type="dxa"/>
            </w:tcMar>
            <w:vAlign w:val="center"/>
          </w:tcPr>
          <w:p w14:paraId="6D2BF837">
            <w:pPr>
              <w:adjustRightInd w:val="0"/>
              <w:snapToGrid w:val="0"/>
              <w:jc w:val="center"/>
              <w:rPr>
                <w:rFonts w:ascii="宋体" w:hAnsi="宋体"/>
                <w:color w:val="auto"/>
              </w:rPr>
            </w:pPr>
            <w:r>
              <w:rPr>
                <w:rFonts w:hint="eastAsia" w:ascii="宋体" w:hAnsi="宋体"/>
                <w:color w:val="auto"/>
              </w:rPr>
              <w:t>生物治理面积</w:t>
            </w:r>
          </w:p>
        </w:tc>
        <w:tc>
          <w:tcPr>
            <w:tcW w:w="1004" w:type="pct"/>
            <w:gridSpan w:val="2"/>
            <w:tcMar>
              <w:left w:w="0" w:type="dxa"/>
              <w:right w:w="0" w:type="dxa"/>
            </w:tcMar>
            <w:vAlign w:val="center"/>
          </w:tcPr>
          <w:p w14:paraId="25282AAC">
            <w:pPr>
              <w:adjustRightInd w:val="0"/>
              <w:snapToGrid w:val="0"/>
              <w:jc w:val="center"/>
              <w:rPr>
                <w:rFonts w:ascii="宋体" w:hAnsi="宋体"/>
                <w:color w:val="auto"/>
              </w:rPr>
            </w:pPr>
          </w:p>
        </w:tc>
        <w:tc>
          <w:tcPr>
            <w:tcW w:w="529" w:type="pct"/>
            <w:gridSpan w:val="2"/>
            <w:tcMar>
              <w:left w:w="0" w:type="dxa"/>
              <w:right w:w="0" w:type="dxa"/>
            </w:tcMar>
            <w:vAlign w:val="center"/>
          </w:tcPr>
          <w:p w14:paraId="2B1CCD68">
            <w:pPr>
              <w:adjustRightInd w:val="0"/>
              <w:snapToGrid w:val="0"/>
              <w:jc w:val="center"/>
              <w:rPr>
                <w:rFonts w:ascii="宋体" w:hAnsi="宋体"/>
                <w:color w:val="auto"/>
              </w:rPr>
            </w:pPr>
            <w:r>
              <w:rPr>
                <w:rFonts w:hint="eastAsia" w:ascii="宋体" w:hAnsi="宋体"/>
                <w:color w:val="auto"/>
              </w:rPr>
              <w:t>水土流失治理率</w:t>
            </w:r>
          </w:p>
        </w:tc>
        <w:tc>
          <w:tcPr>
            <w:tcW w:w="812" w:type="pct"/>
            <w:gridSpan w:val="3"/>
            <w:tcMar>
              <w:left w:w="0" w:type="dxa"/>
              <w:right w:w="0" w:type="dxa"/>
            </w:tcMar>
            <w:vAlign w:val="center"/>
          </w:tcPr>
          <w:p w14:paraId="15DC5AEE">
            <w:pPr>
              <w:adjustRightInd w:val="0"/>
              <w:snapToGrid w:val="0"/>
              <w:jc w:val="center"/>
              <w:rPr>
                <w:rFonts w:ascii="宋体" w:hAnsi="宋体"/>
                <w:color w:val="auto"/>
              </w:rPr>
            </w:pPr>
          </w:p>
        </w:tc>
      </w:tr>
      <w:tr w14:paraId="4EFBE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D58F102">
            <w:pPr>
              <w:adjustRightInd w:val="0"/>
              <w:snapToGrid w:val="0"/>
              <w:jc w:val="center"/>
              <w:rPr>
                <w:rFonts w:ascii="宋体" w:hAnsi="宋体"/>
                <w:color w:val="auto"/>
              </w:rPr>
            </w:pPr>
          </w:p>
        </w:tc>
        <w:tc>
          <w:tcPr>
            <w:tcW w:w="592" w:type="pct"/>
            <w:gridSpan w:val="2"/>
            <w:tcMar>
              <w:left w:w="0" w:type="dxa"/>
              <w:right w:w="0" w:type="dxa"/>
            </w:tcMar>
            <w:vAlign w:val="center"/>
          </w:tcPr>
          <w:p w14:paraId="3A617478">
            <w:pPr>
              <w:adjustRightInd w:val="0"/>
              <w:snapToGrid w:val="0"/>
              <w:jc w:val="center"/>
              <w:rPr>
                <w:rFonts w:ascii="宋体" w:hAnsi="宋体"/>
                <w:color w:val="auto"/>
              </w:rPr>
            </w:pPr>
            <w:r>
              <w:rPr>
                <w:rFonts w:hint="eastAsia" w:ascii="宋体" w:hAnsi="宋体"/>
                <w:color w:val="auto"/>
              </w:rPr>
              <w:t>其他生态保护目标</w:t>
            </w:r>
          </w:p>
        </w:tc>
        <w:tc>
          <w:tcPr>
            <w:tcW w:w="353" w:type="pct"/>
            <w:tcMar>
              <w:left w:w="0" w:type="dxa"/>
              <w:right w:w="0" w:type="dxa"/>
            </w:tcMar>
            <w:vAlign w:val="center"/>
          </w:tcPr>
          <w:p w14:paraId="185D0E5D">
            <w:pPr>
              <w:adjustRightInd w:val="0"/>
              <w:snapToGrid w:val="0"/>
              <w:jc w:val="center"/>
              <w:rPr>
                <w:rFonts w:ascii="宋体" w:hAnsi="宋体"/>
                <w:color w:val="auto"/>
              </w:rPr>
            </w:pPr>
          </w:p>
        </w:tc>
        <w:tc>
          <w:tcPr>
            <w:tcW w:w="356" w:type="pct"/>
            <w:tcMar>
              <w:left w:w="0" w:type="dxa"/>
              <w:right w:w="0" w:type="dxa"/>
            </w:tcMar>
            <w:vAlign w:val="center"/>
          </w:tcPr>
          <w:p w14:paraId="74F72ECA">
            <w:pPr>
              <w:adjustRightInd w:val="0"/>
              <w:snapToGrid w:val="0"/>
              <w:jc w:val="center"/>
              <w:rPr>
                <w:rFonts w:ascii="宋体" w:hAnsi="宋体"/>
                <w:color w:val="auto"/>
              </w:rPr>
            </w:pPr>
          </w:p>
        </w:tc>
        <w:tc>
          <w:tcPr>
            <w:tcW w:w="694" w:type="pct"/>
            <w:gridSpan w:val="2"/>
            <w:tcMar>
              <w:left w:w="0" w:type="dxa"/>
              <w:right w:w="0" w:type="dxa"/>
            </w:tcMar>
            <w:vAlign w:val="center"/>
          </w:tcPr>
          <w:p w14:paraId="48195F03">
            <w:pPr>
              <w:adjustRightInd w:val="0"/>
              <w:snapToGrid w:val="0"/>
              <w:jc w:val="center"/>
              <w:rPr>
                <w:rFonts w:ascii="宋体" w:hAnsi="宋体"/>
                <w:color w:val="auto"/>
              </w:rPr>
            </w:pPr>
          </w:p>
        </w:tc>
        <w:tc>
          <w:tcPr>
            <w:tcW w:w="527" w:type="pct"/>
            <w:gridSpan w:val="2"/>
            <w:tcMar>
              <w:left w:w="0" w:type="dxa"/>
              <w:right w:w="0" w:type="dxa"/>
            </w:tcMar>
            <w:vAlign w:val="center"/>
          </w:tcPr>
          <w:p w14:paraId="48DA48A6">
            <w:pPr>
              <w:adjustRightInd w:val="0"/>
              <w:snapToGrid w:val="0"/>
              <w:jc w:val="center"/>
              <w:rPr>
                <w:rFonts w:ascii="宋体" w:hAnsi="宋体"/>
                <w:color w:val="auto"/>
              </w:rPr>
            </w:pPr>
          </w:p>
        </w:tc>
        <w:tc>
          <w:tcPr>
            <w:tcW w:w="1004" w:type="pct"/>
            <w:gridSpan w:val="2"/>
            <w:tcMar>
              <w:left w:w="0" w:type="dxa"/>
              <w:right w:w="0" w:type="dxa"/>
            </w:tcMar>
            <w:vAlign w:val="center"/>
          </w:tcPr>
          <w:p w14:paraId="0BCAE1B4">
            <w:pPr>
              <w:adjustRightInd w:val="0"/>
              <w:snapToGrid w:val="0"/>
              <w:jc w:val="center"/>
              <w:rPr>
                <w:rFonts w:ascii="宋体" w:hAnsi="宋体"/>
                <w:color w:val="auto"/>
              </w:rPr>
            </w:pPr>
          </w:p>
        </w:tc>
        <w:tc>
          <w:tcPr>
            <w:tcW w:w="529" w:type="pct"/>
            <w:gridSpan w:val="2"/>
            <w:tcMar>
              <w:left w:w="0" w:type="dxa"/>
              <w:right w:w="0" w:type="dxa"/>
            </w:tcMar>
            <w:vAlign w:val="center"/>
          </w:tcPr>
          <w:p w14:paraId="79EFA948">
            <w:pPr>
              <w:adjustRightInd w:val="0"/>
              <w:snapToGrid w:val="0"/>
              <w:jc w:val="center"/>
              <w:rPr>
                <w:rFonts w:ascii="宋体" w:hAnsi="宋体"/>
                <w:color w:val="auto"/>
              </w:rPr>
            </w:pPr>
          </w:p>
        </w:tc>
        <w:tc>
          <w:tcPr>
            <w:tcW w:w="812" w:type="pct"/>
            <w:gridSpan w:val="3"/>
            <w:tcMar>
              <w:left w:w="0" w:type="dxa"/>
              <w:right w:w="0" w:type="dxa"/>
            </w:tcMar>
            <w:vAlign w:val="center"/>
          </w:tcPr>
          <w:p w14:paraId="1A98A41B">
            <w:pPr>
              <w:adjustRightInd w:val="0"/>
              <w:snapToGrid w:val="0"/>
              <w:jc w:val="center"/>
              <w:rPr>
                <w:rFonts w:ascii="宋体" w:hAnsi="宋体"/>
                <w:color w:val="auto"/>
              </w:rPr>
            </w:pPr>
          </w:p>
        </w:tc>
      </w:tr>
    </w:tbl>
    <w:p w14:paraId="106ABBFD">
      <w:pPr>
        <w:adjustRightInd w:val="0"/>
        <w:snapToGrid w:val="0"/>
        <w:rPr>
          <w:rFonts w:ascii="宋体" w:hAnsi="宋体"/>
          <w:color w:val="auto"/>
        </w:rPr>
        <w:sectPr>
          <w:headerReference r:id="rId12" w:type="even"/>
          <w:pgSz w:w="23814" w:h="16839" w:orient="landscape"/>
          <w:pgMar w:top="851" w:right="1021" w:bottom="851" w:left="1021" w:header="1021" w:footer="851" w:gutter="0"/>
          <w:cols w:space="425" w:num="1"/>
          <w:docGrid w:type="lines" w:linePitch="312" w:charSpace="0"/>
        </w:sectPr>
      </w:pPr>
    </w:p>
    <w:p w14:paraId="4FBBBA9B">
      <w:pPr>
        <w:pStyle w:val="34"/>
        <w:outlineLvl w:val="0"/>
        <w:rPr>
          <w:color w:val="auto"/>
        </w:rPr>
      </w:pPr>
      <w:bookmarkStart w:id="575" w:name="_Toc231283686"/>
      <w:r>
        <w:rPr>
          <w:rFonts w:hint="eastAsia" w:ascii="宋体" w:hAnsi="宋体"/>
          <w:color w:val="auto"/>
        </w:rPr>
        <w:t>其他需要说明的事项</w:t>
      </w:r>
      <w:bookmarkEnd w:id="575"/>
    </w:p>
    <w:p w14:paraId="1CC0863F">
      <w:pPr>
        <w:pStyle w:val="4"/>
        <w:ind w:firstLine="480"/>
        <w:rPr>
          <w:color w:val="auto"/>
        </w:rPr>
      </w:pPr>
      <w:r>
        <w:rPr>
          <w:rFonts w:hint="eastAsia"/>
          <w:color w:val="auto"/>
        </w:rPr>
        <w:t xml:space="preserve"> </w:t>
      </w:r>
    </w:p>
    <w:p w14:paraId="3DD8BDEA">
      <w:pPr>
        <w:pStyle w:val="3"/>
        <w:numPr>
          <w:ilvl w:val="0"/>
          <w:numId w:val="32"/>
        </w:numPr>
        <w:ind w:left="567" w:hanging="567"/>
        <w:rPr>
          <w:color w:val="auto"/>
        </w:rPr>
      </w:pPr>
      <w:bookmarkStart w:id="576" w:name="_Toc231283687"/>
      <w:bookmarkStart w:id="577" w:name="_Toc225872334"/>
      <w:r>
        <w:rPr>
          <w:rFonts w:hint="eastAsia"/>
          <w:color w:val="auto"/>
        </w:rPr>
        <w:t>环境保护设施设计、施工和验收过程简况</w:t>
      </w:r>
      <w:bookmarkEnd w:id="576"/>
      <w:bookmarkEnd w:id="577"/>
    </w:p>
    <w:p w14:paraId="0370B025">
      <w:pPr>
        <w:pStyle w:val="5"/>
        <w:rPr>
          <w:color w:val="auto"/>
          <w:sz w:val="24"/>
          <w:szCs w:val="24"/>
        </w:rPr>
      </w:pPr>
      <w:bookmarkStart w:id="578" w:name="_Toc231283688"/>
      <w:bookmarkStart w:id="579" w:name="_Toc225872335"/>
      <w:r>
        <w:rPr>
          <w:rFonts w:hint="eastAsia"/>
          <w:color w:val="auto"/>
        </w:rPr>
        <w:t>设计简况</w:t>
      </w:r>
      <w:bookmarkEnd w:id="578"/>
      <w:bookmarkEnd w:id="579"/>
    </w:p>
    <w:p w14:paraId="65C01327">
      <w:pPr>
        <w:pStyle w:val="4"/>
        <w:ind w:firstLine="480"/>
        <w:rPr>
          <w:color w:val="auto"/>
          <w:kern w:val="0"/>
        </w:rPr>
      </w:pPr>
      <w:r>
        <w:rPr>
          <w:rFonts w:hint="eastAsia"/>
          <w:color w:val="auto"/>
        </w:rPr>
        <w:t>本期工程建设地点位于山东省淄博市高青县。</w:t>
      </w:r>
      <w:bookmarkStart w:id="580" w:name="OLE_LINK381"/>
      <w:bookmarkStart w:id="581" w:name="OLE_LINK382"/>
      <w:r>
        <w:rPr>
          <w:rFonts w:hint="eastAsia"/>
          <w:color w:val="auto"/>
        </w:rPr>
        <w:t>滚动开发工程共部署24口井，其中探井转开发井8口，新钻井</w:t>
      </w:r>
      <w:r>
        <w:rPr>
          <w:color w:val="auto"/>
        </w:rPr>
        <w:t>16口（油井9口、注水井7口）</w:t>
      </w:r>
      <w:r>
        <w:rPr>
          <w:rFonts w:hint="eastAsia"/>
          <w:color w:val="auto"/>
        </w:rPr>
        <w:t>，</w:t>
      </w:r>
      <w:r>
        <w:rPr>
          <w:color w:val="auto"/>
        </w:rPr>
        <w:t>分布于12座井场中</w:t>
      </w:r>
      <w:r>
        <w:rPr>
          <w:rFonts w:hint="eastAsia"/>
          <w:color w:val="auto"/>
        </w:rPr>
        <w:t>；</w:t>
      </w:r>
      <w:r>
        <w:rPr>
          <w:color w:val="auto"/>
        </w:rPr>
        <w:t>新建</w:t>
      </w:r>
      <w:r>
        <w:rPr>
          <w:rFonts w:hint="eastAsia"/>
          <w:color w:val="auto"/>
        </w:rPr>
        <w:t>了9座游梁式抽油机；</w:t>
      </w:r>
      <w:r>
        <w:rPr>
          <w:color w:val="auto"/>
        </w:rPr>
        <w:t>新建</w:t>
      </w:r>
      <w:r>
        <w:rPr>
          <w:rFonts w:hint="eastAsia"/>
          <w:color w:val="auto"/>
        </w:rPr>
        <w:t>了</w:t>
      </w:r>
      <w:r>
        <w:rPr>
          <w:color w:val="auto"/>
        </w:rPr>
        <w:t>17套</w:t>
      </w:r>
      <w:r>
        <w:rPr>
          <w:rFonts w:hint="eastAsia"/>
          <w:color w:val="auto"/>
        </w:rPr>
        <w:t>采油</w:t>
      </w:r>
      <w:r>
        <w:rPr>
          <w:color w:val="auto"/>
        </w:rPr>
        <w:t>井口装置</w:t>
      </w:r>
      <w:r>
        <w:rPr>
          <w:rFonts w:hint="eastAsia"/>
          <w:color w:val="auto"/>
        </w:rPr>
        <w:t>，7套注水井口装置；</w:t>
      </w:r>
      <w:r>
        <w:rPr>
          <w:rFonts w:hint="eastAsia"/>
          <w:snapToGrid w:val="0"/>
          <w:color w:val="auto"/>
        </w:rPr>
        <w:t>新建了</w:t>
      </w:r>
      <w:r>
        <w:rPr>
          <w:rFonts w:hint="eastAsia"/>
          <w:color w:val="auto"/>
          <w:kern w:val="0"/>
        </w:rPr>
        <w:t>φ6</w:t>
      </w:r>
      <w:r>
        <w:rPr>
          <w:color w:val="auto"/>
          <w:kern w:val="0"/>
        </w:rPr>
        <w:t>0×4mm</w:t>
      </w:r>
      <w:r>
        <w:rPr>
          <w:rFonts w:hint="eastAsia"/>
          <w:color w:val="auto"/>
          <w:kern w:val="0"/>
        </w:rPr>
        <w:t>单井集油管线共</w:t>
      </w:r>
      <w:r>
        <w:rPr>
          <w:color w:val="auto"/>
          <w:kern w:val="0"/>
        </w:rPr>
        <w:t>0.8km</w:t>
      </w:r>
      <w:r>
        <w:rPr>
          <w:rFonts w:hint="eastAsia"/>
          <w:color w:val="auto"/>
          <w:kern w:val="0"/>
        </w:rPr>
        <w:t>，新建了φ</w:t>
      </w:r>
      <w:r>
        <w:rPr>
          <w:color w:val="auto"/>
          <w:kern w:val="0"/>
        </w:rPr>
        <w:t>114×5mm</w:t>
      </w:r>
      <w:r>
        <w:rPr>
          <w:rFonts w:hint="eastAsia"/>
          <w:color w:val="auto"/>
          <w:kern w:val="0"/>
        </w:rPr>
        <w:t>集油支线共4</w:t>
      </w:r>
      <w:r>
        <w:rPr>
          <w:color w:val="auto"/>
          <w:kern w:val="0"/>
        </w:rPr>
        <w:t>.02km</w:t>
      </w:r>
      <w:r>
        <w:rPr>
          <w:rFonts w:hint="eastAsia"/>
          <w:color w:val="auto"/>
          <w:kern w:val="0"/>
        </w:rPr>
        <w:t>，</w:t>
      </w:r>
      <w:r>
        <w:rPr>
          <w:rFonts w:hint="eastAsia"/>
          <w:color w:val="auto"/>
          <w:kern w:val="0"/>
        </w:rPr>
        <w:t>新建了</w:t>
      </w:r>
      <w:r>
        <w:rPr>
          <w:rFonts w:hint="eastAsia"/>
          <w:color w:val="auto"/>
        </w:rPr>
        <w:t>φ48×4mm天然气管线0</w:t>
      </w:r>
      <w:r>
        <w:rPr>
          <w:color w:val="auto"/>
        </w:rPr>
        <w:t>.274km</w:t>
      </w:r>
      <w:r>
        <w:rPr>
          <w:rFonts w:hint="eastAsia"/>
          <w:color w:val="auto"/>
        </w:rPr>
        <w:t>；新建了φ76×11mm单井注水管线共0.05km，新建了DN150注水管线共2.2km，新建了DN110注水管线共0.5km，合计2.75km；新建了9台40m</w:t>
      </w:r>
      <w:r>
        <w:rPr>
          <w:rFonts w:hint="eastAsia"/>
          <w:color w:val="auto"/>
          <w:vertAlign w:val="superscript"/>
        </w:rPr>
        <w:t>3</w:t>
      </w:r>
      <w:r>
        <w:rPr>
          <w:rFonts w:hint="eastAsia"/>
          <w:color w:val="auto"/>
        </w:rPr>
        <w:t>多功能罐（电加热），燃气水套炉4座</w:t>
      </w:r>
      <w:bookmarkEnd w:id="580"/>
      <w:bookmarkEnd w:id="581"/>
      <w:r>
        <w:rPr>
          <w:rFonts w:hint="eastAsia"/>
          <w:color w:val="auto"/>
        </w:rPr>
        <w:t>；高青管理区地面系统优化建设工程实施了樊101、高21、樊18共3个区块集输系统改造；樊101块、樊121块、高21块、樊18区块、樊26区块、樊11区块等6个区块注水系统改造，</w:t>
      </w:r>
      <w:r>
        <w:rPr>
          <w:color w:val="auto"/>
        </w:rPr>
        <w:t>配套建设供配电、自控及道路等工程。</w:t>
      </w:r>
      <w:r>
        <w:rPr>
          <w:rFonts w:cs="宋体"/>
          <w:color w:val="auto"/>
          <w:spacing w:val="4"/>
        </w:rPr>
        <w:t>实际总投资为</w:t>
      </w:r>
      <w:r>
        <w:rPr>
          <w:rFonts w:hint="eastAsia" w:cs="宋体"/>
          <w:color w:val="auto"/>
          <w:spacing w:val="4"/>
        </w:rPr>
        <w:t>38353万元，实际</w:t>
      </w:r>
      <w:r>
        <w:rPr>
          <w:rFonts w:cs="宋体"/>
          <w:color w:val="auto"/>
          <w:spacing w:val="4"/>
        </w:rPr>
        <w:t>环保投资346万元</w:t>
      </w:r>
      <w:r>
        <w:rPr>
          <w:rFonts w:hint="eastAsia"/>
          <w:color w:val="auto"/>
          <w:kern w:val="0"/>
        </w:rPr>
        <w:t>。</w:t>
      </w:r>
    </w:p>
    <w:p w14:paraId="1FCD352D">
      <w:pPr>
        <w:pStyle w:val="5"/>
        <w:rPr>
          <w:color w:val="auto"/>
          <w:kern w:val="0"/>
        </w:rPr>
      </w:pPr>
      <w:bookmarkStart w:id="582" w:name="_Toc225872336"/>
      <w:bookmarkStart w:id="583" w:name="_Toc231283689"/>
      <w:r>
        <w:rPr>
          <w:rFonts w:hint="eastAsia"/>
          <w:color w:val="auto"/>
        </w:rPr>
        <w:t>施工简况</w:t>
      </w:r>
      <w:bookmarkEnd w:id="582"/>
      <w:bookmarkEnd w:id="583"/>
    </w:p>
    <w:p w14:paraId="7E40F249">
      <w:pPr>
        <w:pStyle w:val="4"/>
        <w:ind w:firstLine="480"/>
        <w:rPr>
          <w:rFonts w:ascii="TimesNewRomanPSMT"/>
          <w:color w:val="auto"/>
        </w:rPr>
      </w:pPr>
      <w:r>
        <w:rPr>
          <w:rFonts w:hint="eastAsia"/>
          <w:color w:val="auto"/>
        </w:rPr>
        <w:t>建设单位要求施工单位严格按照合同中要求，在确保环境保护措施的建设进度和资金的保障前提下，严格落实环境影响报告书及其审批意见中提出的生态保护工程和污染防治措施。</w:t>
      </w:r>
    </w:p>
    <w:p w14:paraId="7A17B8BD">
      <w:pPr>
        <w:pStyle w:val="5"/>
        <w:rPr>
          <w:color w:val="auto"/>
        </w:rPr>
      </w:pPr>
      <w:bookmarkStart w:id="584" w:name="_Toc231283690"/>
      <w:bookmarkStart w:id="585" w:name="_Toc225872337"/>
      <w:r>
        <w:rPr>
          <w:rFonts w:hint="eastAsia"/>
          <w:color w:val="auto"/>
        </w:rPr>
        <w:t>验收过程简况</w:t>
      </w:r>
      <w:bookmarkEnd w:id="584"/>
      <w:bookmarkEnd w:id="585"/>
    </w:p>
    <w:p w14:paraId="1C4E54BC">
      <w:pPr>
        <w:pStyle w:val="4"/>
        <w:ind w:firstLine="480"/>
        <w:rPr>
          <w:color w:val="auto"/>
        </w:rPr>
      </w:pPr>
      <w:r>
        <w:rPr>
          <w:rFonts w:hint="eastAsia"/>
          <w:color w:val="auto"/>
        </w:rPr>
        <w:t>1）环评编制及批复情况</w:t>
      </w:r>
    </w:p>
    <w:p w14:paraId="5BF9DEBF">
      <w:pPr>
        <w:pStyle w:val="4"/>
        <w:ind w:firstLine="480"/>
        <w:rPr>
          <w:color w:val="auto"/>
        </w:rPr>
      </w:pPr>
      <w:r>
        <w:rPr>
          <w:rFonts w:hint="eastAsia"/>
          <w:color w:val="auto"/>
        </w:rPr>
        <w:t>20</w:t>
      </w:r>
      <w:r>
        <w:rPr>
          <w:color w:val="auto"/>
        </w:rPr>
        <w:t>24</w:t>
      </w:r>
      <w:r>
        <w:rPr>
          <w:rFonts w:hint="eastAsia"/>
          <w:color w:val="auto"/>
        </w:rPr>
        <w:t>年</w:t>
      </w:r>
      <w:r>
        <w:rPr>
          <w:color w:val="auto"/>
        </w:rPr>
        <w:t>5</w:t>
      </w:r>
      <w:r>
        <w:rPr>
          <w:rFonts w:hint="eastAsia"/>
          <w:color w:val="auto"/>
        </w:rPr>
        <w:t>月，森诺科技有限公司编制完成《大芦湖油田产能建设项目（2023-2025年）环境影响报告书》；</w:t>
      </w:r>
    </w:p>
    <w:p w14:paraId="4B0D205A">
      <w:pPr>
        <w:pStyle w:val="4"/>
        <w:ind w:firstLine="480"/>
        <w:rPr>
          <w:color w:val="auto"/>
        </w:rPr>
      </w:pPr>
      <w:r>
        <w:rPr>
          <w:rFonts w:hint="eastAsia"/>
          <w:color w:val="auto"/>
        </w:rPr>
        <w:t>20</w:t>
      </w:r>
      <w:r>
        <w:rPr>
          <w:color w:val="auto"/>
        </w:rPr>
        <w:t>24</w:t>
      </w:r>
      <w:r>
        <w:rPr>
          <w:rFonts w:hint="eastAsia"/>
          <w:color w:val="auto"/>
        </w:rPr>
        <w:t>年</w:t>
      </w:r>
      <w:r>
        <w:rPr>
          <w:color w:val="auto"/>
        </w:rPr>
        <w:t>5</w:t>
      </w:r>
      <w:r>
        <w:rPr>
          <w:rFonts w:hint="eastAsia"/>
          <w:color w:val="auto"/>
        </w:rPr>
        <w:t>月</w:t>
      </w:r>
      <w:r>
        <w:rPr>
          <w:color w:val="auto"/>
        </w:rPr>
        <w:t>27</w:t>
      </w:r>
      <w:r>
        <w:rPr>
          <w:rFonts w:hint="eastAsia"/>
          <w:color w:val="auto"/>
        </w:rPr>
        <w:t>日，淄博市生态环境局高青分局以“高环审[20</w:t>
      </w:r>
      <w:r>
        <w:rPr>
          <w:color w:val="auto"/>
        </w:rPr>
        <w:t>24</w:t>
      </w:r>
      <w:r>
        <w:rPr>
          <w:rFonts w:hint="eastAsia"/>
          <w:color w:val="auto"/>
        </w:rPr>
        <w:t>]</w:t>
      </w:r>
      <w:r>
        <w:rPr>
          <w:color w:val="auto"/>
        </w:rPr>
        <w:t>12</w:t>
      </w:r>
      <w:r>
        <w:rPr>
          <w:rFonts w:hint="eastAsia"/>
          <w:color w:val="auto"/>
        </w:rPr>
        <w:t>号”文对本项目环境影响报告书予以批复；</w:t>
      </w:r>
    </w:p>
    <w:p w14:paraId="42F36EFE">
      <w:pPr>
        <w:pStyle w:val="4"/>
        <w:ind w:firstLine="480"/>
        <w:rPr>
          <w:color w:val="auto"/>
        </w:rPr>
      </w:pPr>
      <w:r>
        <w:rPr>
          <w:rFonts w:hint="eastAsia"/>
          <w:color w:val="auto"/>
        </w:rPr>
        <w:t>2）本期工程开工</w:t>
      </w:r>
    </w:p>
    <w:p w14:paraId="278BEB52">
      <w:pPr>
        <w:pStyle w:val="4"/>
        <w:ind w:firstLine="480"/>
        <w:rPr>
          <w:color w:val="auto"/>
        </w:rPr>
      </w:pPr>
      <w:r>
        <w:rPr>
          <w:rFonts w:hint="eastAsia"/>
          <w:color w:val="auto"/>
        </w:rPr>
        <w:t>2</w:t>
      </w:r>
      <w:r>
        <w:rPr>
          <w:color w:val="auto"/>
        </w:rPr>
        <w:t>024</w:t>
      </w:r>
      <w:r>
        <w:rPr>
          <w:rFonts w:hint="eastAsia"/>
          <w:color w:val="auto"/>
        </w:rPr>
        <w:t>年8月2</w:t>
      </w:r>
      <w:r>
        <w:rPr>
          <w:color w:val="auto"/>
        </w:rPr>
        <w:t>5</w:t>
      </w:r>
      <w:r>
        <w:rPr>
          <w:rFonts w:hint="eastAsia"/>
          <w:color w:val="auto"/>
        </w:rPr>
        <w:t>日，一期工程（后文称“本期工程”）地面工程开工，</w:t>
      </w:r>
      <w:r>
        <w:rPr>
          <w:color w:val="auto"/>
        </w:rPr>
        <w:t>2024年9</w:t>
      </w:r>
      <w:r>
        <w:rPr>
          <w:rFonts w:hint="eastAsia"/>
          <w:color w:val="auto"/>
        </w:rPr>
        <w:t>月</w:t>
      </w:r>
      <w:r>
        <w:rPr>
          <w:color w:val="auto"/>
        </w:rPr>
        <w:t>3</w:t>
      </w:r>
      <w:r>
        <w:rPr>
          <w:rFonts w:hint="eastAsia"/>
          <w:color w:val="auto"/>
        </w:rPr>
        <w:t>日，钻井工程开工。</w:t>
      </w:r>
      <w:r>
        <w:rPr>
          <w:rFonts w:hint="eastAsia"/>
          <w:color w:val="auto"/>
        </w:rPr>
        <w:t>施工单位主要为胜利石油工程有限公司黄河钻井总公司、胜利油田长城钻井技术有限责任公司、东营市东胜星源工程安装有限责任公司；</w:t>
      </w:r>
    </w:p>
    <w:p w14:paraId="48311722">
      <w:pPr>
        <w:pStyle w:val="4"/>
        <w:ind w:firstLine="480"/>
        <w:rPr>
          <w:color w:val="auto"/>
        </w:rPr>
      </w:pPr>
      <w:r>
        <w:rPr>
          <w:rFonts w:hint="eastAsia"/>
          <w:color w:val="auto"/>
        </w:rPr>
        <w:t>3）本期工程竣工</w:t>
      </w:r>
    </w:p>
    <w:p w14:paraId="24DAD671">
      <w:pPr>
        <w:pStyle w:val="4"/>
        <w:ind w:firstLine="480"/>
        <w:rPr>
          <w:color w:val="auto"/>
        </w:rPr>
      </w:pPr>
      <w:r>
        <w:rPr>
          <w:rFonts w:hint="eastAsia"/>
          <w:color w:val="auto"/>
        </w:rPr>
        <w:t>2</w:t>
      </w:r>
      <w:r>
        <w:rPr>
          <w:color w:val="auto"/>
        </w:rPr>
        <w:t>025年12</w:t>
      </w:r>
      <w:r>
        <w:rPr>
          <w:rFonts w:hint="eastAsia"/>
          <w:color w:val="auto"/>
        </w:rPr>
        <w:t>月</w:t>
      </w:r>
      <w:r>
        <w:rPr>
          <w:color w:val="auto"/>
        </w:rPr>
        <w:t>29日</w:t>
      </w:r>
      <w:r>
        <w:rPr>
          <w:rFonts w:hint="eastAsia"/>
          <w:color w:val="auto"/>
        </w:rPr>
        <w:t>，本期工程建设完成，实际建设内容不存在“重大变动”，剩余未建设部分，待建设完成后续开展竣工环保验收。</w:t>
      </w:r>
    </w:p>
    <w:p w14:paraId="6E65F00B">
      <w:pPr>
        <w:pStyle w:val="4"/>
        <w:ind w:firstLine="480"/>
        <w:rPr>
          <w:color w:val="auto"/>
        </w:rPr>
      </w:pPr>
      <w:r>
        <w:rPr>
          <w:rFonts w:hint="eastAsia"/>
          <w:color w:val="auto"/>
        </w:rPr>
        <w:t>4）本期工程自查</w:t>
      </w:r>
    </w:p>
    <w:p w14:paraId="7D7A7AEE">
      <w:pPr>
        <w:pStyle w:val="4"/>
        <w:ind w:firstLine="480"/>
        <w:rPr>
          <w:color w:val="auto"/>
        </w:rPr>
      </w:pPr>
      <w:r>
        <w:rPr>
          <w:rFonts w:hint="eastAsia"/>
          <w:color w:val="auto"/>
        </w:rPr>
        <w:t>2025年</w:t>
      </w:r>
      <w:r>
        <w:rPr>
          <w:color w:val="auto"/>
        </w:rPr>
        <w:t>12</w:t>
      </w:r>
      <w:r>
        <w:rPr>
          <w:rFonts w:hint="eastAsia"/>
          <w:color w:val="auto"/>
        </w:rPr>
        <w:t>月</w:t>
      </w:r>
      <w:r>
        <w:rPr>
          <w:color w:val="auto"/>
        </w:rPr>
        <w:t>30</w:t>
      </w:r>
      <w:r>
        <w:rPr>
          <w:rFonts w:hint="eastAsia"/>
          <w:color w:val="auto"/>
        </w:rPr>
        <w:t>日，东胜高青公司对本期工程进行自查，具备竣工环保验收条件。</w:t>
      </w:r>
    </w:p>
    <w:p w14:paraId="59CFE927">
      <w:pPr>
        <w:pStyle w:val="4"/>
        <w:ind w:firstLine="480"/>
        <w:rPr>
          <w:color w:val="auto"/>
        </w:rPr>
      </w:pPr>
      <w:r>
        <w:rPr>
          <w:rFonts w:hint="eastAsia"/>
          <w:color w:val="auto"/>
        </w:rPr>
        <w:t>5）本期工程公示时间</w:t>
      </w:r>
    </w:p>
    <w:p w14:paraId="1CE9BB52">
      <w:pPr>
        <w:pStyle w:val="4"/>
        <w:ind w:firstLine="480"/>
        <w:rPr>
          <w:color w:val="auto"/>
        </w:rPr>
      </w:pPr>
      <w:r>
        <w:rPr>
          <w:rFonts w:hint="eastAsia"/>
          <w:color w:val="auto"/>
        </w:rPr>
        <w:t>2025年</w:t>
      </w:r>
      <w:r>
        <w:rPr>
          <w:color w:val="auto"/>
        </w:rPr>
        <w:t>12</w:t>
      </w:r>
      <w:r>
        <w:rPr>
          <w:rFonts w:hint="eastAsia"/>
          <w:color w:val="auto"/>
        </w:rPr>
        <w:t>月</w:t>
      </w:r>
      <w:r>
        <w:rPr>
          <w:color w:val="auto"/>
        </w:rPr>
        <w:t>30</w:t>
      </w:r>
      <w:r>
        <w:rPr>
          <w:rFonts w:hint="eastAsia"/>
          <w:color w:val="auto"/>
        </w:rPr>
        <w:t>日，在中国石化胜利油田网站对本期工程的竣工日期和调试进行了网上公示（详见附件</w:t>
      </w:r>
      <w:r>
        <w:rPr>
          <w:color w:val="auto"/>
        </w:rPr>
        <w:t>3</w:t>
      </w:r>
      <w:r>
        <w:rPr>
          <w:rFonts w:hint="eastAsia"/>
          <w:color w:val="auto"/>
        </w:rPr>
        <w:t>）。</w:t>
      </w:r>
    </w:p>
    <w:p w14:paraId="11E58F73">
      <w:pPr>
        <w:pStyle w:val="4"/>
        <w:ind w:firstLine="480"/>
        <w:rPr>
          <w:color w:val="auto"/>
        </w:rPr>
      </w:pPr>
      <w:r>
        <w:rPr>
          <w:rFonts w:hint="eastAsia"/>
          <w:color w:val="auto"/>
        </w:rPr>
        <w:t>6）本期工程调试时间</w:t>
      </w:r>
    </w:p>
    <w:p w14:paraId="4D469BA2">
      <w:pPr>
        <w:pStyle w:val="4"/>
        <w:ind w:firstLine="480"/>
        <w:rPr>
          <w:color w:val="auto"/>
        </w:rPr>
      </w:pPr>
      <w:r>
        <w:rPr>
          <w:rFonts w:hint="eastAsia"/>
          <w:color w:val="auto"/>
        </w:rPr>
        <w:t>2025年</w:t>
      </w:r>
      <w:r>
        <w:rPr>
          <w:color w:val="auto"/>
        </w:rPr>
        <w:t>12</w:t>
      </w:r>
      <w:r>
        <w:rPr>
          <w:rFonts w:hint="eastAsia"/>
          <w:color w:val="auto"/>
        </w:rPr>
        <w:t>月</w:t>
      </w:r>
      <w:r>
        <w:rPr>
          <w:color w:val="auto"/>
        </w:rPr>
        <w:t>30</w:t>
      </w:r>
      <w:r>
        <w:rPr>
          <w:rFonts w:hint="eastAsia"/>
          <w:color w:val="auto"/>
        </w:rPr>
        <w:t>日，本期工程全面投入调试，在中国石化胜利油田网站对本期工程的调试日期（2025年</w:t>
      </w:r>
      <w:r>
        <w:rPr>
          <w:color w:val="auto"/>
        </w:rPr>
        <w:t>12</w:t>
      </w:r>
      <w:r>
        <w:rPr>
          <w:rFonts w:hint="eastAsia"/>
          <w:color w:val="auto"/>
        </w:rPr>
        <w:t>月</w:t>
      </w:r>
      <w:r>
        <w:rPr>
          <w:color w:val="auto"/>
        </w:rPr>
        <w:t>30</w:t>
      </w:r>
      <w:r>
        <w:rPr>
          <w:rFonts w:hint="eastAsia"/>
          <w:color w:val="auto"/>
        </w:rPr>
        <w:t>日～2026年</w:t>
      </w:r>
      <w:r>
        <w:rPr>
          <w:color w:val="auto"/>
        </w:rPr>
        <w:t>12</w:t>
      </w:r>
      <w:r>
        <w:rPr>
          <w:rFonts w:hint="eastAsia"/>
          <w:color w:val="auto"/>
        </w:rPr>
        <w:t>月</w:t>
      </w:r>
      <w:r>
        <w:rPr>
          <w:color w:val="auto"/>
        </w:rPr>
        <w:t>30</w:t>
      </w:r>
      <w:r>
        <w:rPr>
          <w:rFonts w:hint="eastAsia"/>
          <w:color w:val="auto"/>
        </w:rPr>
        <w:t>日）进行了网上公示。</w:t>
      </w:r>
    </w:p>
    <w:p w14:paraId="7F61C725">
      <w:pPr>
        <w:pStyle w:val="4"/>
        <w:ind w:firstLine="480"/>
        <w:rPr>
          <w:color w:val="auto"/>
        </w:rPr>
      </w:pPr>
      <w:r>
        <w:rPr>
          <w:rFonts w:hint="eastAsia"/>
          <w:color w:val="auto"/>
        </w:rPr>
        <w:t>7）本期工程验收编制委托时间</w:t>
      </w:r>
    </w:p>
    <w:p w14:paraId="50852E75">
      <w:pPr>
        <w:pStyle w:val="4"/>
        <w:ind w:firstLine="480"/>
        <w:rPr>
          <w:color w:val="auto"/>
        </w:rPr>
      </w:pPr>
      <w:r>
        <w:rPr>
          <w:rFonts w:hint="eastAsia"/>
          <w:color w:val="auto"/>
        </w:rPr>
        <w:t>2026年2月</w:t>
      </w:r>
      <w:r>
        <w:rPr>
          <w:color w:val="auto"/>
        </w:rPr>
        <w:t>10</w:t>
      </w:r>
      <w:r>
        <w:rPr>
          <w:rFonts w:hint="eastAsia"/>
          <w:color w:val="auto"/>
        </w:rPr>
        <w:t>日，建设单位委托山东蓝普检测技术有限公司承担本期工程竣工环境保护验收调查报告的编制工作（详见附件3）。2026年2月13日，验收调查组开始对本期工程进行现场调查，并制定了验收监测方案，开展了本期工程环境现状监测工作；</w:t>
      </w:r>
    </w:p>
    <w:p w14:paraId="7D128683">
      <w:pPr>
        <w:pStyle w:val="4"/>
        <w:ind w:firstLine="480"/>
        <w:rPr>
          <w:color w:val="auto"/>
        </w:rPr>
      </w:pPr>
      <w:r>
        <w:rPr>
          <w:rFonts w:hint="eastAsia"/>
          <w:color w:val="auto"/>
        </w:rPr>
        <w:t>8）本期工程验收报告编制时间</w:t>
      </w:r>
    </w:p>
    <w:p w14:paraId="194EBACA">
      <w:pPr>
        <w:pStyle w:val="4"/>
        <w:ind w:firstLine="480"/>
        <w:rPr>
          <w:color w:val="auto"/>
        </w:rPr>
      </w:pPr>
      <w:r>
        <w:rPr>
          <w:rFonts w:hint="eastAsia"/>
          <w:color w:val="auto"/>
        </w:rPr>
        <w:t>2026年3月，山东蓝普检测技术有限公司完成了本期工程竣工环境保护设施验收调查报告的编制工作。</w:t>
      </w:r>
    </w:p>
    <w:p w14:paraId="6E3BBB63">
      <w:pPr>
        <w:pStyle w:val="3"/>
        <w:rPr>
          <w:color w:val="auto"/>
        </w:rPr>
      </w:pPr>
      <w:bookmarkStart w:id="586" w:name="_Toc225872338"/>
      <w:bookmarkStart w:id="587" w:name="_Toc231283691"/>
      <w:r>
        <w:rPr>
          <w:rFonts w:hint="eastAsia"/>
          <w:color w:val="auto"/>
        </w:rPr>
        <w:t>信息公开和公众意见反馈</w:t>
      </w:r>
      <w:bookmarkEnd w:id="586"/>
      <w:bookmarkEnd w:id="587"/>
    </w:p>
    <w:p w14:paraId="3018BD8B">
      <w:pPr>
        <w:pStyle w:val="5"/>
        <w:rPr>
          <w:color w:val="auto"/>
          <w:sz w:val="24"/>
          <w:szCs w:val="24"/>
        </w:rPr>
      </w:pPr>
      <w:bookmarkStart w:id="588" w:name="_Toc225872339"/>
      <w:bookmarkStart w:id="589" w:name="_Toc231283692"/>
      <w:r>
        <w:rPr>
          <w:rFonts w:hint="eastAsia"/>
          <w:color w:val="auto"/>
        </w:rPr>
        <w:t>信息公开</w:t>
      </w:r>
      <w:bookmarkEnd w:id="588"/>
      <w:bookmarkEnd w:id="589"/>
    </w:p>
    <w:p w14:paraId="134BC842">
      <w:pPr>
        <w:pStyle w:val="4"/>
        <w:ind w:firstLine="480"/>
        <w:rPr>
          <w:color w:val="auto"/>
        </w:rPr>
      </w:pPr>
      <w:r>
        <w:rPr>
          <w:rFonts w:hint="eastAsia"/>
          <w:color w:val="auto"/>
        </w:rPr>
        <w:t>202</w:t>
      </w:r>
      <w:r>
        <w:rPr>
          <w:color w:val="auto"/>
        </w:rPr>
        <w:t>6</w:t>
      </w:r>
      <w:r>
        <w:rPr>
          <w:rFonts w:hint="eastAsia"/>
          <w:color w:val="auto"/>
        </w:rPr>
        <w:t>年</w:t>
      </w:r>
      <w:r>
        <w:rPr>
          <w:color w:val="auto"/>
        </w:rPr>
        <w:t>12</w:t>
      </w:r>
      <w:r>
        <w:rPr>
          <w:rFonts w:hint="eastAsia"/>
          <w:color w:val="auto"/>
        </w:rPr>
        <w:t>月</w:t>
      </w:r>
      <w:r>
        <w:rPr>
          <w:color w:val="auto"/>
        </w:rPr>
        <w:t>30</w:t>
      </w:r>
      <w:r>
        <w:rPr>
          <w:rFonts w:hint="eastAsia"/>
          <w:color w:val="auto"/>
        </w:rPr>
        <w:t>日，建设单位对该工程的竣工日期进行了网上公示（http：//slof.sinopec.com/slof/csr），向公众公示本期工程建设进度。</w:t>
      </w:r>
    </w:p>
    <w:p w14:paraId="02BE2F34">
      <w:pPr>
        <w:pStyle w:val="5"/>
        <w:rPr>
          <w:color w:val="auto"/>
        </w:rPr>
      </w:pPr>
      <w:bookmarkStart w:id="590" w:name="_Toc231283693"/>
      <w:bookmarkStart w:id="591" w:name="_Toc225872340"/>
      <w:r>
        <w:rPr>
          <w:rFonts w:hint="eastAsia"/>
          <w:color w:val="auto"/>
        </w:rPr>
        <w:t>公众参与渠道</w:t>
      </w:r>
      <w:bookmarkEnd w:id="590"/>
      <w:bookmarkEnd w:id="591"/>
    </w:p>
    <w:p w14:paraId="0AF07EE6">
      <w:pPr>
        <w:pStyle w:val="4"/>
        <w:ind w:firstLine="480"/>
        <w:rPr>
          <w:rFonts w:ascii="TimesNewRomanPSMT"/>
          <w:color w:val="auto"/>
          <w:kern w:val="0"/>
        </w:rPr>
      </w:pPr>
      <w:r>
        <w:rPr>
          <w:rStyle w:val="312"/>
          <w:rFonts w:hint="default"/>
          <w:color w:val="auto"/>
        </w:rPr>
        <w:t>根据</w:t>
      </w:r>
      <w:r>
        <w:rPr>
          <w:rFonts w:hint="eastAsia"/>
          <w:color w:val="auto"/>
        </w:rPr>
        <w:t>本期工程</w:t>
      </w:r>
      <w:r>
        <w:rPr>
          <w:rStyle w:val="312"/>
          <w:rFonts w:hint="default"/>
          <w:color w:val="auto"/>
        </w:rPr>
        <w:t>特点和实际建设情况，建设单位采用电话和网站回复的方式收集公众意见和建议</w:t>
      </w:r>
      <w:r>
        <w:rPr>
          <w:rFonts w:hint="eastAsia"/>
          <w:color w:val="auto"/>
          <w:kern w:val="0"/>
        </w:rPr>
        <w:t>。</w:t>
      </w:r>
    </w:p>
    <w:p w14:paraId="2B745CE2">
      <w:pPr>
        <w:pStyle w:val="5"/>
        <w:rPr>
          <w:color w:val="auto"/>
          <w:kern w:val="0"/>
        </w:rPr>
      </w:pPr>
      <w:bookmarkStart w:id="592" w:name="_Toc225872341"/>
      <w:bookmarkStart w:id="593" w:name="_Toc231283694"/>
      <w:r>
        <w:rPr>
          <w:rFonts w:hint="eastAsia"/>
          <w:color w:val="auto"/>
        </w:rPr>
        <w:t>公众意见处理</w:t>
      </w:r>
      <w:bookmarkEnd w:id="592"/>
      <w:bookmarkEnd w:id="593"/>
    </w:p>
    <w:p w14:paraId="4D93814A">
      <w:pPr>
        <w:pStyle w:val="4"/>
        <w:ind w:firstLine="480"/>
        <w:rPr>
          <w:color w:val="auto"/>
        </w:rPr>
      </w:pPr>
      <w:r>
        <w:rPr>
          <w:rFonts w:hint="eastAsia"/>
          <w:color w:val="auto"/>
        </w:rPr>
        <w:t>建设单位承诺会严格记录公众反馈意见或投诉、收到时间、渠道以及反馈或投诉的内容，并及时处理或解决公众意见，给出采纳与否的情况说明。</w:t>
      </w:r>
    </w:p>
    <w:p w14:paraId="40612865">
      <w:pPr>
        <w:pStyle w:val="4"/>
        <w:ind w:firstLine="480"/>
        <w:rPr>
          <w:rFonts w:ascii="TimesNewRomanPSMT"/>
          <w:color w:val="auto"/>
        </w:rPr>
      </w:pPr>
      <w:r>
        <w:rPr>
          <w:rFonts w:hint="eastAsia"/>
          <w:color w:val="auto"/>
        </w:rPr>
        <w:t>本期工程建设过程、验收调查期间未收到公众意见或投诉，表明公众支持该项目的建设和运营。</w:t>
      </w:r>
    </w:p>
    <w:p w14:paraId="05B07853">
      <w:pPr>
        <w:pStyle w:val="3"/>
        <w:rPr>
          <w:color w:val="auto"/>
        </w:rPr>
      </w:pPr>
      <w:bookmarkStart w:id="594" w:name="_Toc231283695"/>
      <w:bookmarkStart w:id="595" w:name="_Toc225872342"/>
      <w:r>
        <w:rPr>
          <w:rFonts w:hint="eastAsia" w:cs="TimesNewRomanPSMT"/>
          <w:color w:val="auto"/>
        </w:rPr>
        <w:t>其他</w:t>
      </w:r>
      <w:r>
        <w:rPr>
          <w:rFonts w:hint="eastAsia"/>
          <w:color w:val="auto"/>
        </w:rPr>
        <w:t>环境措施的落实情况</w:t>
      </w:r>
      <w:bookmarkEnd w:id="594"/>
      <w:bookmarkEnd w:id="595"/>
    </w:p>
    <w:p w14:paraId="1B36827C">
      <w:pPr>
        <w:pStyle w:val="5"/>
        <w:rPr>
          <w:color w:val="auto"/>
          <w:sz w:val="24"/>
          <w:szCs w:val="24"/>
        </w:rPr>
      </w:pPr>
      <w:bookmarkStart w:id="596" w:name="_Toc225872343"/>
      <w:bookmarkStart w:id="597" w:name="_Toc231283696"/>
      <w:r>
        <w:rPr>
          <w:rFonts w:hint="eastAsia"/>
          <w:color w:val="auto"/>
        </w:rPr>
        <w:t>制度措施落实情况</w:t>
      </w:r>
      <w:bookmarkEnd w:id="596"/>
      <w:bookmarkEnd w:id="597"/>
    </w:p>
    <w:p w14:paraId="368A0C39">
      <w:pPr>
        <w:pStyle w:val="6"/>
        <w:rPr>
          <w:rFonts w:ascii="宋体" w:hAnsi="宋体" w:eastAsia="宋体"/>
          <w:color w:val="auto"/>
        </w:rPr>
      </w:pPr>
      <w:r>
        <w:rPr>
          <w:rFonts w:hint="eastAsia"/>
          <w:color w:val="auto"/>
        </w:rPr>
        <w:t>制度措施落实情况</w:t>
      </w:r>
    </w:p>
    <w:p w14:paraId="4DD4ABAF">
      <w:pPr>
        <w:pStyle w:val="4"/>
        <w:ind w:firstLine="480"/>
        <w:rPr>
          <w:color w:val="auto"/>
        </w:rPr>
      </w:pPr>
      <w:r>
        <w:rPr>
          <w:rFonts w:hint="eastAsia"/>
          <w:color w:val="auto"/>
        </w:rPr>
        <w:t>1）环境保护组织机构</w:t>
      </w:r>
    </w:p>
    <w:p w14:paraId="47321A29">
      <w:pPr>
        <w:pStyle w:val="4"/>
        <w:ind w:firstLine="480"/>
        <w:rPr>
          <w:color w:val="auto"/>
        </w:rPr>
      </w:pPr>
      <w:r>
        <w:rPr>
          <w:rFonts w:hint="eastAsia"/>
          <w:color w:val="auto"/>
        </w:rPr>
        <w:t>东胜公司安全（QHSE）管理部有专职人员负责各管理区的安全环保工作。为了贯彻执行各项环保法规，落实可行性研究报告、环境影响报告书及批复中的环保措施，结合该项目的运营实际情况，东胜公司建立健全了HSE管理制度。从现场调查的情况看，项目所在管理区的工作纪律都比较严明，工作人员持证上岗，制定了巡检制度，有专人对各设备的工作状态进行检查。</w:t>
      </w:r>
    </w:p>
    <w:p w14:paraId="1831DAFF">
      <w:pPr>
        <w:pStyle w:val="4"/>
        <w:ind w:firstLine="480"/>
        <w:rPr>
          <w:color w:val="auto"/>
        </w:rPr>
      </w:pPr>
      <w:r>
        <w:rPr>
          <w:rFonts w:hint="eastAsia"/>
          <w:color w:val="auto"/>
        </w:rPr>
        <w:t>2）环保设施运行调查，维护情况</w:t>
      </w:r>
    </w:p>
    <w:p w14:paraId="67F4CEEF">
      <w:pPr>
        <w:pStyle w:val="4"/>
        <w:ind w:firstLine="480"/>
        <w:rPr>
          <w:color w:val="auto"/>
          <w:kern w:val="0"/>
        </w:rPr>
      </w:pPr>
      <w:r>
        <w:rPr>
          <w:rFonts w:hint="eastAsia"/>
          <w:color w:val="auto"/>
          <w:kern w:val="0"/>
        </w:rPr>
        <w:t>为了确保各项设施的</w:t>
      </w:r>
      <w:r>
        <w:rPr>
          <w:rFonts w:hint="eastAsia"/>
          <w:color w:val="auto"/>
        </w:rPr>
        <w:t>有效运行，东胜公司制定了各类设备操作规程、设备运转记录、保养记录。操作人员根据各项制度进行设备检修和保养，通过巡查等方式及时发现该项目设施运行中出现的问题，通过公司领导由生产调度安排解决问题，并严格督察解决的结果，以确</w:t>
      </w:r>
      <w:r>
        <w:rPr>
          <w:rFonts w:hint="eastAsia"/>
          <w:color w:val="auto"/>
          <w:kern w:val="0"/>
        </w:rPr>
        <w:t>保环保设施的正常运行。</w:t>
      </w:r>
    </w:p>
    <w:p w14:paraId="71D686C8">
      <w:pPr>
        <w:pStyle w:val="6"/>
        <w:rPr>
          <w:color w:val="auto"/>
          <w:kern w:val="0"/>
        </w:rPr>
      </w:pPr>
      <w:r>
        <w:rPr>
          <w:rFonts w:hint="eastAsia"/>
          <w:color w:val="auto"/>
        </w:rPr>
        <w:t>环境风险防范措施</w:t>
      </w:r>
    </w:p>
    <w:p w14:paraId="36DD5ED0">
      <w:pPr>
        <w:pStyle w:val="4"/>
        <w:ind w:firstLine="480"/>
        <w:rPr>
          <w:color w:val="auto"/>
        </w:rPr>
      </w:pPr>
      <w:r>
        <w:rPr>
          <w:rFonts w:hint="eastAsia"/>
          <w:color w:val="auto"/>
        </w:rPr>
        <w:t>为了提高对重大事故和险情的应急救援处理能力，确保在发生事故时，采取有效措施，避免或减少环境污染，建立了事故应急救援体系，制定并不断完善了各种事故发生后详细的应急预案。</w:t>
      </w:r>
    </w:p>
    <w:p w14:paraId="138514BA">
      <w:pPr>
        <w:pStyle w:val="4"/>
        <w:ind w:firstLine="480"/>
        <w:rPr>
          <w:color w:val="auto"/>
        </w:rPr>
      </w:pPr>
      <w:r>
        <w:rPr>
          <w:rFonts w:hint="eastAsia"/>
          <w:color w:val="auto"/>
        </w:rPr>
        <w:t>东胜公司对有可能发生泄漏的生产作业活动，编制了应急预案，配备了控制污染的应急设备并保证其随时处于可以使用的状态；对从事可能发生泄漏的生产作业活动的职工，进行了应急培训，定期组织演练。</w:t>
      </w:r>
    </w:p>
    <w:p w14:paraId="731BF496">
      <w:pPr>
        <w:pStyle w:val="4"/>
        <w:ind w:firstLine="480"/>
        <w:rPr>
          <w:color w:val="auto"/>
        </w:rPr>
      </w:pPr>
      <w:r>
        <w:rPr>
          <w:rFonts w:hint="eastAsia"/>
          <w:color w:val="auto"/>
        </w:rPr>
        <w:t>生产作业过程中发生或可能发生环境污染事故、生态破坏事故、与环境有关的非正常生产状况以及敏感环境事件，作业单位必须立即采取有效措施处理，及时通报可能受危害的单位和居民，及时向安全（QHSE）管理部汇报，并配合与接受调查处理。采油厂环境污染与破坏事故的上报、管理与处理工作按照油田环境污染与破坏事故相关处理规定执行。同时，东胜公司定期对环境保护内容及应急措施进行培训和演练，该内容已纳入生产工作考核中。</w:t>
      </w:r>
    </w:p>
    <w:p w14:paraId="5B922E4B">
      <w:pPr>
        <w:pStyle w:val="6"/>
        <w:rPr>
          <w:color w:val="auto"/>
        </w:rPr>
      </w:pPr>
      <w:r>
        <w:rPr>
          <w:rFonts w:hint="eastAsia"/>
          <w:color w:val="auto"/>
        </w:rPr>
        <w:t>生态环境监测和调查计划</w:t>
      </w:r>
    </w:p>
    <w:p w14:paraId="00ED90E3">
      <w:pPr>
        <w:pStyle w:val="4"/>
        <w:ind w:firstLine="480"/>
        <w:rPr>
          <w:color w:val="auto"/>
        </w:rPr>
      </w:pPr>
      <w:r>
        <w:rPr>
          <w:rFonts w:hint="eastAsia"/>
          <w:color w:val="auto"/>
        </w:rPr>
        <w:t>根据本期工程特点和实际建设情况，本期工程对在运行井场及周边土壤环境质量进行了检测。同时，建设单位将严格按照项目环评文件中提出的环境监测计划要求对生态环境进行</w:t>
      </w:r>
      <w:r>
        <w:rPr>
          <w:rFonts w:hint="eastAsia" w:cs="黑体"/>
          <w:color w:val="auto"/>
          <w:kern w:val="0"/>
        </w:rPr>
        <w:t>监测和调查</w:t>
      </w:r>
      <w:r>
        <w:rPr>
          <w:rFonts w:hint="eastAsia"/>
          <w:color w:val="auto"/>
        </w:rPr>
        <w:t>。</w:t>
      </w:r>
    </w:p>
    <w:p w14:paraId="377D62BB">
      <w:pPr>
        <w:pStyle w:val="5"/>
        <w:rPr>
          <w:color w:val="auto"/>
        </w:rPr>
      </w:pPr>
      <w:bookmarkStart w:id="598" w:name="_Toc225872344"/>
      <w:bookmarkStart w:id="599" w:name="_Toc231283697"/>
      <w:r>
        <w:rPr>
          <w:rFonts w:hint="eastAsia"/>
          <w:color w:val="auto"/>
        </w:rPr>
        <w:t>环境保护措施落实情况</w:t>
      </w:r>
      <w:bookmarkEnd w:id="598"/>
      <w:bookmarkEnd w:id="599"/>
    </w:p>
    <w:p w14:paraId="53500EEA">
      <w:pPr>
        <w:pStyle w:val="6"/>
        <w:rPr>
          <w:rFonts w:ascii="宋体" w:hAnsi="宋体" w:eastAsia="宋体"/>
          <w:color w:val="auto"/>
        </w:rPr>
      </w:pPr>
      <w:r>
        <w:rPr>
          <w:rFonts w:hint="eastAsia"/>
          <w:color w:val="auto"/>
        </w:rPr>
        <w:t>环境保护措施</w:t>
      </w:r>
    </w:p>
    <w:p w14:paraId="15C04A56">
      <w:pPr>
        <w:pStyle w:val="4"/>
        <w:ind w:firstLine="480"/>
        <w:rPr>
          <w:color w:val="auto"/>
        </w:rPr>
      </w:pPr>
      <w:r>
        <w:rPr>
          <w:rFonts w:hint="eastAsia"/>
          <w:color w:val="auto"/>
        </w:rPr>
        <w:t>1）生态环境保护措施和对策</w:t>
      </w:r>
    </w:p>
    <w:p w14:paraId="680526B7">
      <w:pPr>
        <w:pStyle w:val="4"/>
        <w:ind w:firstLine="480"/>
        <w:rPr>
          <w:color w:val="auto"/>
        </w:rPr>
      </w:pPr>
      <w:r>
        <w:rPr>
          <w:rFonts w:hint="eastAsia"/>
          <w:color w:val="auto"/>
        </w:rPr>
        <w:t>（1）施工人员、施工车辆以及各种设备按规定的路线行驶、操作，未随意破坏土地和道路设施。</w:t>
      </w:r>
    </w:p>
    <w:p w14:paraId="4414608C">
      <w:pPr>
        <w:pStyle w:val="4"/>
        <w:ind w:firstLine="480"/>
        <w:rPr>
          <w:color w:val="auto"/>
        </w:rPr>
      </w:pPr>
      <w:r>
        <w:rPr>
          <w:rFonts w:hint="eastAsia"/>
          <w:color w:val="auto"/>
        </w:rPr>
        <w:t>（2）材料堆放场、施工机械设备等临时占地布置紧凑，减少了临时占地。在现有征地以外地段设置时，利用附近现有堆放场地或植被覆盖少的区域。</w:t>
      </w:r>
    </w:p>
    <w:p w14:paraId="79E56CF6">
      <w:pPr>
        <w:pStyle w:val="4"/>
        <w:ind w:firstLine="480"/>
        <w:rPr>
          <w:color w:val="auto"/>
        </w:rPr>
      </w:pPr>
      <w:r>
        <w:rPr>
          <w:rFonts w:hint="eastAsia"/>
          <w:color w:val="auto"/>
        </w:rPr>
        <w:t>（3）建筑材料、钻井液材料等堆放场周围一定范围内，采取了一定的拦挡防护措施或设置仓库等，避免了化学品等污染物扩散；加强了施工期工程污染源的监督工作，减少了对土地的影响。</w:t>
      </w:r>
    </w:p>
    <w:p w14:paraId="6F6EE2DC">
      <w:pPr>
        <w:pStyle w:val="4"/>
        <w:ind w:firstLine="480"/>
        <w:rPr>
          <w:color w:val="auto"/>
        </w:rPr>
      </w:pPr>
      <w:r>
        <w:rPr>
          <w:rFonts w:hint="eastAsia"/>
          <w:color w:val="auto"/>
        </w:rPr>
        <w:t>（4）施工前作业带场地清理，注意了表层土壤的堆放及防护问题，避免了雨天施工，未造成水土流失危害并污染周边环境；临时用地使用完后，立即实施复垦措施；加强临时性工程占地复垦的管理工作。</w:t>
      </w:r>
    </w:p>
    <w:p w14:paraId="622E9E20">
      <w:pPr>
        <w:pStyle w:val="4"/>
        <w:ind w:firstLine="480"/>
        <w:rPr>
          <w:color w:val="auto"/>
        </w:rPr>
      </w:pPr>
      <w:r>
        <w:rPr>
          <w:rFonts w:hint="eastAsia"/>
          <w:color w:val="auto"/>
        </w:rPr>
        <w:t>以上措施符合本期工程环境影响报告书及其审批部门审批决定的要求。</w:t>
      </w:r>
    </w:p>
    <w:p w14:paraId="3CDA7DF4">
      <w:pPr>
        <w:pStyle w:val="4"/>
        <w:ind w:firstLine="480"/>
        <w:rPr>
          <w:color w:val="auto"/>
        </w:rPr>
      </w:pPr>
      <w:r>
        <w:rPr>
          <w:rFonts w:hint="eastAsia"/>
          <w:color w:val="auto"/>
        </w:rPr>
        <w:t>2）大气环境保护措施和对策</w:t>
      </w:r>
    </w:p>
    <w:p w14:paraId="7503AE2D">
      <w:pPr>
        <w:pStyle w:val="4"/>
        <w:ind w:firstLine="480"/>
        <w:rPr>
          <w:color w:val="auto"/>
        </w:rPr>
      </w:pPr>
      <w:r>
        <w:rPr>
          <w:rFonts w:hint="eastAsia"/>
          <w:color w:val="auto"/>
        </w:rPr>
        <w:t>（1）施工期</w:t>
      </w:r>
    </w:p>
    <w:p w14:paraId="1DDE607C">
      <w:pPr>
        <w:pStyle w:val="4"/>
        <w:ind w:firstLine="480"/>
        <w:rPr>
          <w:color w:val="auto"/>
        </w:rPr>
      </w:pPr>
      <w:r>
        <w:rPr>
          <w:rFonts w:hint="eastAsia"/>
          <w:color w:val="auto"/>
        </w:rPr>
        <w:t>①施工扬尘</w:t>
      </w:r>
    </w:p>
    <w:p w14:paraId="004597ED">
      <w:pPr>
        <w:pStyle w:val="4"/>
        <w:ind w:firstLine="480"/>
        <w:rPr>
          <w:color w:val="auto"/>
        </w:rPr>
      </w:pPr>
      <w:r>
        <w:rPr>
          <w:rFonts w:hint="eastAsia"/>
          <w:color w:val="auto"/>
        </w:rPr>
        <w:t>施工期采取了合理化管理、控制作业面积、定期洒水抑尘、控制车辆装载量并采取密闭或者遮盖措施、大风天停止作业等措施。</w:t>
      </w:r>
    </w:p>
    <w:p w14:paraId="4C45D470">
      <w:pPr>
        <w:pStyle w:val="4"/>
        <w:ind w:firstLine="480"/>
        <w:rPr>
          <w:color w:val="auto"/>
        </w:rPr>
      </w:pPr>
      <w:r>
        <w:rPr>
          <w:rFonts w:hint="eastAsia"/>
          <w:color w:val="auto"/>
        </w:rPr>
        <w:t>②施工废气</w:t>
      </w:r>
    </w:p>
    <w:p w14:paraId="179AA460">
      <w:pPr>
        <w:pStyle w:val="4"/>
        <w:ind w:firstLine="480"/>
        <w:rPr>
          <w:color w:val="auto"/>
        </w:rPr>
      </w:pPr>
      <w:r>
        <w:rPr>
          <w:rFonts w:hint="eastAsia"/>
          <w:color w:val="auto"/>
        </w:rPr>
        <w:t>施工期采用了符合国家标准的汽油、柴油，加强了设备保养，减轻了废气排放对周边环境的影响。</w:t>
      </w:r>
    </w:p>
    <w:p w14:paraId="4B741336">
      <w:pPr>
        <w:pStyle w:val="4"/>
        <w:ind w:firstLine="480"/>
        <w:rPr>
          <w:color w:val="auto"/>
        </w:rPr>
      </w:pPr>
      <w:r>
        <w:rPr>
          <w:rFonts w:hint="eastAsia"/>
          <w:color w:val="auto"/>
        </w:rPr>
        <w:t>③焊接烟尘</w:t>
      </w:r>
    </w:p>
    <w:p w14:paraId="68906DF1">
      <w:pPr>
        <w:pStyle w:val="4"/>
        <w:ind w:firstLine="480"/>
        <w:rPr>
          <w:color w:val="auto"/>
        </w:rPr>
      </w:pPr>
      <w:r>
        <w:rPr>
          <w:rFonts w:hint="eastAsia"/>
          <w:color w:val="auto"/>
        </w:rPr>
        <w:t>施工过程采取了规范焊接操作，使用低毒焊条等措施。</w:t>
      </w:r>
    </w:p>
    <w:p w14:paraId="4C2A8AE2">
      <w:pPr>
        <w:pStyle w:val="4"/>
        <w:ind w:firstLine="480"/>
        <w:rPr>
          <w:color w:val="auto"/>
        </w:rPr>
      </w:pPr>
      <w:r>
        <w:rPr>
          <w:rFonts w:hint="eastAsia"/>
          <w:color w:val="auto"/>
        </w:rPr>
        <w:t>（2）运营期</w:t>
      </w:r>
    </w:p>
    <w:p w14:paraId="08886BFD">
      <w:pPr>
        <w:pStyle w:val="4"/>
        <w:ind w:firstLine="480"/>
        <w:rPr>
          <w:color w:val="auto"/>
        </w:rPr>
      </w:pPr>
      <w:r>
        <w:rPr>
          <w:rFonts w:hint="eastAsia"/>
          <w:color w:val="auto"/>
        </w:rPr>
        <w:t>油井井口安装了油套连通装置，减少无组织烃类的挥发；水套加热炉安装低氮燃烧器，燃气废气</w:t>
      </w:r>
      <w:r>
        <w:rPr>
          <w:snapToGrid w:val="0"/>
          <w:color w:val="auto"/>
        </w:rPr>
        <w:t>通过</w:t>
      </w:r>
      <w:r>
        <w:rPr>
          <w:rFonts w:hint="eastAsia"/>
          <w:snapToGrid w:val="0"/>
          <w:color w:val="auto"/>
        </w:rPr>
        <w:t>不低于8m高,内径</w:t>
      </w:r>
      <w:r>
        <w:rPr>
          <w:rFonts w:hint="eastAsia"/>
          <w:color w:val="auto"/>
        </w:rPr>
        <w:t>0</w:t>
      </w:r>
      <w:r>
        <w:rPr>
          <w:color w:val="auto"/>
        </w:rPr>
        <w:t>.15</w:t>
      </w:r>
      <w:r>
        <w:rPr>
          <w:rFonts w:hint="eastAsia"/>
          <w:color w:val="auto"/>
        </w:rPr>
        <w:t>m排气筒排放；高青联合站加热炉安装低氮燃烧器，燃气废气</w:t>
      </w:r>
      <w:r>
        <w:rPr>
          <w:snapToGrid w:val="0"/>
          <w:color w:val="auto"/>
        </w:rPr>
        <w:t>通过1</w:t>
      </w:r>
      <w:r>
        <w:rPr>
          <w:rFonts w:hint="eastAsia"/>
          <w:snapToGrid w:val="0"/>
          <w:color w:val="auto"/>
        </w:rPr>
        <w:t>根</w:t>
      </w:r>
      <w:r>
        <w:rPr>
          <w:snapToGrid w:val="0"/>
          <w:color w:val="auto"/>
        </w:rPr>
        <w:t>15</w:t>
      </w:r>
      <w:r>
        <w:rPr>
          <w:rFonts w:hint="eastAsia"/>
          <w:snapToGrid w:val="0"/>
          <w:color w:val="auto"/>
        </w:rPr>
        <w:t>m高内径</w:t>
      </w:r>
      <w:r>
        <w:rPr>
          <w:color w:val="auto"/>
        </w:rPr>
        <w:t>0.2</w:t>
      </w:r>
      <w:r>
        <w:rPr>
          <w:rFonts w:hint="eastAsia"/>
          <w:color w:val="auto"/>
        </w:rPr>
        <w:t>m排气筒排放。</w:t>
      </w:r>
    </w:p>
    <w:p w14:paraId="70D9DD63">
      <w:pPr>
        <w:pStyle w:val="4"/>
        <w:ind w:firstLine="480"/>
        <w:rPr>
          <w:color w:val="auto"/>
        </w:rPr>
      </w:pPr>
      <w:r>
        <w:rPr>
          <w:rFonts w:hint="eastAsia"/>
          <w:color w:val="auto"/>
        </w:rPr>
        <w:t>3）水环境保护措施和对策</w:t>
      </w:r>
    </w:p>
    <w:p w14:paraId="716DFC9F">
      <w:pPr>
        <w:pStyle w:val="4"/>
        <w:ind w:firstLine="480"/>
        <w:rPr>
          <w:color w:val="auto"/>
        </w:rPr>
      </w:pPr>
      <w:r>
        <w:rPr>
          <w:rFonts w:hint="eastAsia"/>
          <w:color w:val="auto"/>
        </w:rPr>
        <w:t>（1）施工期</w:t>
      </w:r>
    </w:p>
    <w:p w14:paraId="2ED054C5">
      <w:pPr>
        <w:pStyle w:val="4"/>
        <w:ind w:firstLine="480"/>
        <w:rPr>
          <w:color w:val="auto"/>
        </w:rPr>
      </w:pPr>
      <w:r>
        <w:rPr>
          <w:rFonts w:hint="eastAsia"/>
          <w:color w:val="auto"/>
        </w:rPr>
        <w:t>①钻井废水</w:t>
      </w:r>
    </w:p>
    <w:p w14:paraId="44C4DE10">
      <w:pPr>
        <w:pStyle w:val="4"/>
        <w:ind w:firstLine="480"/>
        <w:rPr>
          <w:color w:val="auto"/>
        </w:rPr>
      </w:pPr>
      <w:r>
        <w:rPr>
          <w:rFonts w:hint="eastAsia"/>
          <w:color w:val="auto"/>
        </w:rPr>
        <w:t>本期工程钻井施工采用“泥浆不落地”工艺，</w:t>
      </w:r>
      <w:r>
        <w:rPr>
          <w:color w:val="auto"/>
        </w:rPr>
        <w:t>由“泥浆不落地”处置单位</w:t>
      </w:r>
      <w:r>
        <w:rPr>
          <w:rFonts w:hint="eastAsia"/>
          <w:color w:val="auto"/>
        </w:rPr>
        <w:t>天正浚源环保科技有限公司、东营丰实钻井工程有限公司、山东胜兴特种材料有限公司</w:t>
      </w:r>
      <w:r>
        <w:rPr>
          <w:color w:val="auto"/>
        </w:rPr>
        <w:t>拉运处理，施工现场无外排</w:t>
      </w:r>
      <w:r>
        <w:rPr>
          <w:rFonts w:hint="eastAsia"/>
          <w:color w:val="auto"/>
        </w:rPr>
        <w:t>。</w:t>
      </w:r>
    </w:p>
    <w:p w14:paraId="1283B659">
      <w:pPr>
        <w:pStyle w:val="4"/>
        <w:ind w:firstLine="480"/>
        <w:rPr>
          <w:color w:val="auto"/>
        </w:rPr>
      </w:pPr>
      <w:r>
        <w:rPr>
          <w:rFonts w:hint="eastAsia"/>
          <w:color w:val="auto"/>
        </w:rPr>
        <w:t>②施工作业废液</w:t>
      </w:r>
    </w:p>
    <w:p w14:paraId="3328A74A">
      <w:pPr>
        <w:pStyle w:val="4"/>
        <w:ind w:firstLine="480"/>
        <w:rPr>
          <w:color w:val="auto"/>
        </w:rPr>
      </w:pPr>
      <w:r>
        <w:rPr>
          <w:rFonts w:hint="eastAsia"/>
          <w:color w:val="auto"/>
        </w:rPr>
        <w:t>本期工程施工</w:t>
      </w:r>
      <w:r>
        <w:rPr>
          <w:color w:val="auto"/>
        </w:rPr>
        <w:t>完井时洗井产生的</w:t>
      </w:r>
      <w:r>
        <w:rPr>
          <w:rFonts w:hint="eastAsia"/>
          <w:color w:val="auto"/>
        </w:rPr>
        <w:t>施工</w:t>
      </w:r>
      <w:r>
        <w:rPr>
          <w:color w:val="auto"/>
        </w:rPr>
        <w:t>作业</w:t>
      </w:r>
      <w:r>
        <w:rPr>
          <w:rFonts w:hint="eastAsia"/>
          <w:color w:val="auto"/>
        </w:rPr>
        <w:t>废液</w:t>
      </w:r>
      <w:r>
        <w:rPr>
          <w:color w:val="auto"/>
        </w:rPr>
        <w:t>，</w:t>
      </w:r>
      <w:r>
        <w:rPr>
          <w:rFonts w:hint="eastAsia"/>
          <w:color w:val="auto"/>
        </w:rPr>
        <w:t>从</w:t>
      </w:r>
      <w:r>
        <w:rPr>
          <w:color w:val="auto"/>
        </w:rPr>
        <w:t>井口返排后</w:t>
      </w:r>
      <w:r>
        <w:rPr>
          <w:rFonts w:hint="eastAsia"/>
          <w:color w:val="auto"/>
        </w:rPr>
        <w:t>收集</w:t>
      </w:r>
      <w:r>
        <w:rPr>
          <w:color w:val="auto"/>
        </w:rPr>
        <w:t>至现场废液</w:t>
      </w:r>
      <w:r>
        <w:rPr>
          <w:rFonts w:hint="eastAsia"/>
          <w:color w:val="auto"/>
        </w:rPr>
        <w:t>罐</w:t>
      </w:r>
      <w:r>
        <w:rPr>
          <w:color w:val="auto"/>
        </w:rPr>
        <w:t>中</w:t>
      </w:r>
      <w:r>
        <w:rPr>
          <w:rFonts w:hint="eastAsia"/>
          <w:color w:val="auto"/>
        </w:rPr>
        <w:t>，已通过罐车拉运至高青联合站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r>
        <w:rPr>
          <w:rFonts w:hint="eastAsia"/>
          <w:color w:val="auto"/>
          <w:kern w:val="0"/>
        </w:rPr>
        <w:t>。</w:t>
      </w:r>
    </w:p>
    <w:p w14:paraId="4CBBBD99">
      <w:pPr>
        <w:pStyle w:val="4"/>
        <w:ind w:firstLine="480"/>
        <w:rPr>
          <w:color w:val="auto"/>
        </w:rPr>
      </w:pPr>
      <w:r>
        <w:rPr>
          <w:rFonts w:hint="eastAsia"/>
          <w:color w:val="auto"/>
        </w:rPr>
        <w:t>③管道试压废水</w:t>
      </w:r>
    </w:p>
    <w:p w14:paraId="602CD14B">
      <w:pPr>
        <w:pStyle w:val="4"/>
        <w:ind w:firstLine="480"/>
        <w:rPr>
          <w:color w:val="auto"/>
        </w:rPr>
      </w:pPr>
      <w:r>
        <w:rPr>
          <w:rFonts w:hint="eastAsia"/>
          <w:color w:val="auto"/>
        </w:rPr>
        <w:t>本期工程管道试压均采用清洁水，在施工过程中进行了循环利用，管道试压废水产生量较少，试压结束后已用于施工场地洒水降尘，未外排至施工场地外环境。</w:t>
      </w:r>
    </w:p>
    <w:p w14:paraId="285E79C8">
      <w:pPr>
        <w:pStyle w:val="4"/>
        <w:ind w:firstLine="480"/>
        <w:rPr>
          <w:color w:val="auto"/>
        </w:rPr>
      </w:pP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旧管道清洗废水</w:t>
      </w:r>
    </w:p>
    <w:p w14:paraId="79FFBCE5">
      <w:pPr>
        <w:pStyle w:val="4"/>
        <w:ind w:firstLine="480"/>
        <w:rPr>
          <w:color w:val="auto"/>
        </w:rPr>
      </w:pPr>
      <w:r>
        <w:rPr>
          <w:rFonts w:hint="eastAsia"/>
          <w:color w:val="auto"/>
        </w:rPr>
        <w:t>经收集后罐车拉运送高青联合站处理，</w:t>
      </w:r>
      <w:r>
        <w:rPr>
          <w:color w:val="auto"/>
        </w:rPr>
        <w:t>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p>
    <w:p w14:paraId="10BB9F6E">
      <w:pPr>
        <w:pStyle w:val="4"/>
        <w:ind w:firstLine="480"/>
        <w:rPr>
          <w:color w:val="auto"/>
        </w:rPr>
      </w:pPr>
      <w:r>
        <w:rPr>
          <w:color w:val="auto"/>
        </w:rPr>
        <w:fldChar w:fldCharType="begin"/>
      </w:r>
      <w:r>
        <w:rPr>
          <w:color w:val="auto"/>
        </w:rPr>
        <w:instrText xml:space="preserve"> </w:instrText>
      </w:r>
      <w:r>
        <w:rPr>
          <w:rFonts w:hint="eastAsia"/>
          <w:color w:val="auto"/>
        </w:rPr>
        <w:instrText xml:space="preserve">= 5 \* GB3</w:instrText>
      </w:r>
      <w:r>
        <w:rPr>
          <w:color w:val="auto"/>
        </w:rPr>
        <w:instrText xml:space="preserve"> </w:instrText>
      </w:r>
      <w:r>
        <w:rPr>
          <w:color w:val="auto"/>
        </w:rPr>
        <w:fldChar w:fldCharType="separate"/>
      </w:r>
      <w:r>
        <w:rPr>
          <w:rFonts w:hint="eastAsia"/>
          <w:color w:val="auto"/>
        </w:rPr>
        <w:t>⑤</w:t>
      </w:r>
      <w:r>
        <w:rPr>
          <w:color w:val="auto"/>
        </w:rPr>
        <w:fldChar w:fldCharType="end"/>
      </w:r>
      <w:r>
        <w:rPr>
          <w:rFonts w:hint="eastAsia"/>
          <w:color w:val="auto"/>
        </w:rPr>
        <w:t>生活污水</w:t>
      </w:r>
    </w:p>
    <w:p w14:paraId="41B9FA44">
      <w:pPr>
        <w:pStyle w:val="4"/>
        <w:ind w:firstLine="480"/>
        <w:rPr>
          <w:color w:val="auto"/>
        </w:rPr>
      </w:pPr>
      <w:r>
        <w:rPr>
          <w:rFonts w:hint="eastAsia"/>
          <w:color w:val="auto"/>
        </w:rPr>
        <w:t>经调查，施工人员生活污水排至施工现场设置的环保厕所内，未直接外排于区域环境中。</w:t>
      </w:r>
    </w:p>
    <w:p w14:paraId="426EFFDF">
      <w:pPr>
        <w:pStyle w:val="201"/>
        <w:spacing w:before="120" w:line="328" w:lineRule="auto"/>
        <w:rPr>
          <w:color w:val="auto"/>
        </w:rPr>
      </w:pPr>
      <w:r>
        <w:rPr>
          <w:rFonts w:hint="eastAsia"/>
          <w:color w:val="auto"/>
        </w:rPr>
        <w:t>（2）运营期</w:t>
      </w:r>
    </w:p>
    <w:p w14:paraId="491C105A">
      <w:pPr>
        <w:pStyle w:val="201"/>
        <w:spacing w:before="120" w:line="328" w:lineRule="auto"/>
        <w:rPr>
          <w:color w:val="auto"/>
        </w:rPr>
      </w:pPr>
      <w:r>
        <w:rPr>
          <w:rFonts w:hint="eastAsia"/>
          <w:color w:val="auto"/>
        </w:rPr>
        <w:t>①采出水</w:t>
      </w:r>
    </w:p>
    <w:p w14:paraId="2EAFF16B">
      <w:pPr>
        <w:pStyle w:val="4"/>
        <w:ind w:firstLine="480"/>
        <w:rPr>
          <w:color w:val="auto"/>
        </w:rPr>
      </w:pPr>
      <w:r>
        <w:rPr>
          <w:rFonts w:hint="eastAsia"/>
          <w:color w:val="auto"/>
        </w:rPr>
        <w:t>运营期本期工程</w:t>
      </w:r>
      <w:r>
        <w:rPr>
          <w:rFonts w:hint="eastAsia"/>
          <w:color w:val="auto"/>
          <w:kern w:val="0"/>
        </w:rPr>
        <w:t>采油污水（</w:t>
      </w:r>
      <w:r>
        <w:rPr>
          <w:rFonts w:hint="eastAsia"/>
          <w:snapToGrid w:val="0"/>
          <w:color w:val="auto"/>
          <w:kern w:val="0"/>
        </w:rPr>
        <w:t>采出水</w:t>
      </w:r>
      <w:r>
        <w:rPr>
          <w:rFonts w:hint="eastAsia"/>
          <w:color w:val="auto"/>
          <w:kern w:val="0"/>
        </w:rPr>
        <w:t>）依托高青联合站、滨博接转站内</w:t>
      </w:r>
      <w:r>
        <w:rPr>
          <w:rFonts w:hint="eastAsia"/>
          <w:snapToGrid w:val="0"/>
          <w:color w:val="auto"/>
          <w:kern w:val="0"/>
        </w:rPr>
        <w:t>采出水</w:t>
      </w:r>
      <w:r>
        <w:rPr>
          <w:rFonts w:hint="eastAsia"/>
          <w:color w:val="auto"/>
          <w:kern w:val="0"/>
        </w:rPr>
        <w:t>处理系统处理达</w:t>
      </w:r>
      <w:r>
        <w:rPr>
          <w:rFonts w:hint="eastAsia"/>
          <w:color w:val="auto"/>
        </w:rPr>
        <w:t>到《碎屑岩油藏注水水质指标技术要求及分析方法》（SY/T 5329-2022）中水质主要控制指标后回注地层，用于油田注水开发，无外排。</w:t>
      </w:r>
    </w:p>
    <w:p w14:paraId="0F6C892A">
      <w:pPr>
        <w:pStyle w:val="4"/>
        <w:ind w:firstLine="480"/>
        <w:rPr>
          <w:color w:val="auto"/>
        </w:rPr>
      </w:pPr>
      <w:r>
        <w:rPr>
          <w:rFonts w:hint="eastAsia"/>
          <w:color w:val="auto"/>
        </w:rPr>
        <w:t>②井下作业废水</w:t>
      </w:r>
    </w:p>
    <w:p w14:paraId="2BC5C5FB">
      <w:pPr>
        <w:pStyle w:val="4"/>
        <w:ind w:firstLine="480"/>
        <w:rPr>
          <w:color w:val="auto"/>
        </w:rPr>
      </w:pPr>
      <w:r>
        <w:rPr>
          <w:rFonts w:hint="eastAsia"/>
          <w:color w:val="auto"/>
        </w:rPr>
        <w:t>井下作业废水主要包括修井作业产生的井筒循环液、井口返排水、冲洗水等。本次</w:t>
      </w:r>
      <w:r>
        <w:rPr>
          <w:color w:val="auto"/>
        </w:rPr>
        <w:t>验收调查期间</w:t>
      </w:r>
      <w:r>
        <w:rPr>
          <w:rFonts w:hint="eastAsia"/>
          <w:color w:val="auto"/>
        </w:rPr>
        <w:t>，未进行</w:t>
      </w:r>
      <w:r>
        <w:rPr>
          <w:color w:val="auto"/>
        </w:rPr>
        <w:t>修井</w:t>
      </w:r>
      <w:r>
        <w:rPr>
          <w:rFonts w:hint="eastAsia"/>
          <w:color w:val="auto"/>
        </w:rPr>
        <w:t>作业，本期工程后期井下作业废液经收集后由罐车拉运至高青联合站进行处理，经站内</w:t>
      </w:r>
      <w:r>
        <w:rPr>
          <w:rFonts w:hint="eastAsia"/>
          <w:snapToGrid w:val="0"/>
          <w:color w:val="auto"/>
          <w:kern w:val="0"/>
        </w:rPr>
        <w:t>采出水</w:t>
      </w:r>
      <w:r>
        <w:rPr>
          <w:rFonts w:hint="eastAsia"/>
          <w:color w:val="auto"/>
        </w:rPr>
        <w:t>处理系统</w:t>
      </w:r>
      <w:r>
        <w:rPr>
          <w:rFonts w:hint="eastAsia"/>
          <w:color w:val="auto"/>
          <w:kern w:val="0"/>
        </w:rPr>
        <w:t>达</w:t>
      </w:r>
      <w:r>
        <w:rPr>
          <w:rFonts w:hint="eastAsia"/>
          <w:color w:val="auto"/>
        </w:rPr>
        <w:t>到《碎屑岩油藏注水水质指标技术要求及分析方法》（SY/T 5329-2022）中水质主要控制指标后回注地层，用于油田注水开发，不外排。</w:t>
      </w:r>
    </w:p>
    <w:p w14:paraId="5279FBE8">
      <w:pPr>
        <w:pStyle w:val="4"/>
        <w:ind w:firstLine="480"/>
        <w:rPr>
          <w:color w:val="auto"/>
        </w:rPr>
      </w:pPr>
      <w:r>
        <w:rPr>
          <w:rFonts w:hint="eastAsia"/>
          <w:color w:val="auto"/>
        </w:rPr>
        <w:t>4）声环境保护措施和对策</w:t>
      </w:r>
    </w:p>
    <w:p w14:paraId="2286D568">
      <w:pPr>
        <w:pStyle w:val="4"/>
        <w:ind w:firstLine="480"/>
        <w:rPr>
          <w:color w:val="auto"/>
        </w:rPr>
      </w:pPr>
      <w:r>
        <w:rPr>
          <w:rFonts w:hint="eastAsia"/>
          <w:color w:val="auto"/>
        </w:rPr>
        <w:t>（1）施工期</w:t>
      </w:r>
    </w:p>
    <w:p w14:paraId="1FA6F4AB">
      <w:pPr>
        <w:pStyle w:val="4"/>
        <w:ind w:firstLine="480"/>
        <w:rPr>
          <w:color w:val="auto"/>
        </w:rPr>
      </w:pPr>
      <w:r>
        <w:rPr>
          <w:rFonts w:hint="eastAsia"/>
          <w:color w:val="auto"/>
        </w:rPr>
        <w:t>施工期产生的噪声主要是施工机械运转噪声，本期工程钻井选用了低噪声设备，随着施工的结束，对周边环境的影响已消失，未产生不利影响。根据调查，施工期间未收到举报、投诉。</w:t>
      </w:r>
    </w:p>
    <w:p w14:paraId="6F47C153">
      <w:pPr>
        <w:pStyle w:val="4"/>
        <w:ind w:firstLine="480"/>
        <w:rPr>
          <w:color w:val="auto"/>
        </w:rPr>
      </w:pPr>
      <w:r>
        <w:rPr>
          <w:rFonts w:hint="eastAsia"/>
          <w:color w:val="auto"/>
        </w:rPr>
        <w:t>（2）运营期</w:t>
      </w:r>
    </w:p>
    <w:p w14:paraId="629C2F42">
      <w:pPr>
        <w:pStyle w:val="4"/>
        <w:ind w:firstLine="480"/>
        <w:rPr>
          <w:color w:val="auto"/>
        </w:rPr>
      </w:pPr>
      <w:r>
        <w:rPr>
          <w:rFonts w:hint="eastAsia"/>
          <w:color w:val="auto"/>
        </w:rPr>
        <w:t>①采油噪声</w:t>
      </w:r>
    </w:p>
    <w:p w14:paraId="7492269A">
      <w:pPr>
        <w:pStyle w:val="4"/>
        <w:ind w:firstLine="480"/>
        <w:rPr>
          <w:color w:val="auto"/>
        </w:rPr>
      </w:pPr>
      <w:r>
        <w:rPr>
          <w:rFonts w:hint="eastAsia"/>
          <w:color w:val="auto"/>
        </w:rPr>
        <w:t>本期工程油井抽油机采取了底座加固、旋转设备加注润滑油等措施，有效降低了采油噪声对周边环境的影响。</w:t>
      </w:r>
    </w:p>
    <w:p w14:paraId="1348BECA">
      <w:pPr>
        <w:pStyle w:val="4"/>
        <w:ind w:firstLine="480"/>
        <w:rPr>
          <w:color w:val="auto"/>
        </w:rPr>
      </w:pPr>
      <w:r>
        <w:rPr>
          <w:rFonts w:hint="eastAsia"/>
          <w:color w:val="auto"/>
        </w:rPr>
        <w:t>②井下作业噪声</w:t>
      </w:r>
    </w:p>
    <w:p w14:paraId="2A03AB4A">
      <w:pPr>
        <w:pStyle w:val="4"/>
        <w:ind w:firstLine="480"/>
        <w:rPr>
          <w:color w:val="auto"/>
        </w:rPr>
      </w:pPr>
      <w:r>
        <w:rPr>
          <w:rFonts w:hint="eastAsia"/>
          <w:color w:val="auto"/>
        </w:rPr>
        <w:t>本期工程验收调查期间未开展井下作业工作。</w:t>
      </w:r>
    </w:p>
    <w:p w14:paraId="64F924F2">
      <w:pPr>
        <w:pStyle w:val="4"/>
        <w:ind w:firstLine="480"/>
        <w:rPr>
          <w:color w:val="auto"/>
        </w:rPr>
      </w:pPr>
      <w:r>
        <w:rPr>
          <w:rFonts w:hint="eastAsia"/>
          <w:color w:val="auto"/>
        </w:rPr>
        <w:t>5）固体废物处置措施</w:t>
      </w:r>
    </w:p>
    <w:p w14:paraId="3FDD916F">
      <w:pPr>
        <w:pStyle w:val="4"/>
        <w:ind w:firstLine="480"/>
        <w:rPr>
          <w:color w:val="auto"/>
        </w:rPr>
      </w:pPr>
      <w:r>
        <w:rPr>
          <w:rFonts w:hint="eastAsia"/>
          <w:color w:val="auto"/>
        </w:rPr>
        <w:t>（1）施工期</w:t>
      </w:r>
    </w:p>
    <w:p w14:paraId="5F56C687">
      <w:pPr>
        <w:pStyle w:val="4"/>
        <w:ind w:firstLine="480"/>
        <w:rPr>
          <w:color w:val="auto"/>
        </w:rPr>
      </w:pPr>
      <w:r>
        <w:rPr>
          <w:rFonts w:hint="eastAsia"/>
          <w:color w:val="auto"/>
        </w:rPr>
        <w:t>①钻井固废</w:t>
      </w:r>
    </w:p>
    <w:p w14:paraId="0ED9B6B7">
      <w:pPr>
        <w:pStyle w:val="4"/>
        <w:ind w:firstLine="480"/>
        <w:rPr>
          <w:color w:val="auto"/>
        </w:rPr>
      </w:pPr>
      <w:r>
        <w:rPr>
          <w:rFonts w:hint="eastAsia"/>
          <w:color w:val="auto"/>
        </w:rPr>
        <w:t>钻井固废主要包括钻井过程中无法利用或钻井完工后剩余的废弃泥浆和钻井过程中岩石经钻头研磨而破碎形成的岩屑。本期工程钻井采用泥浆不落地工艺，钻井固废均按照《一般工业固体废物贮存和填埋污染控制标准》（GB 18599-2020）要求进行了管理，施工结束后均已由“泥浆不落地”处置单位拉运处置，进行了综合利用。验收调查期间，现场无钻井固废遗留。</w:t>
      </w:r>
    </w:p>
    <w:p w14:paraId="531B737A">
      <w:pPr>
        <w:pStyle w:val="4"/>
        <w:ind w:firstLine="48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施工废料及建筑垃圾</w:t>
      </w:r>
    </w:p>
    <w:p w14:paraId="0EB1840C">
      <w:pPr>
        <w:pStyle w:val="4"/>
        <w:ind w:firstLine="480"/>
        <w:rPr>
          <w:color w:val="auto"/>
        </w:rPr>
      </w:pPr>
      <w:r>
        <w:rPr>
          <w:rFonts w:hint="eastAsia"/>
          <w:color w:val="auto"/>
        </w:rPr>
        <w:t>施工废料及建筑垃圾已尽量回收利用，无法利用的已拉运至环卫部门指定地点处理，建筑垃圾用于井场及道路铺设。</w:t>
      </w:r>
    </w:p>
    <w:p w14:paraId="7DFDEA59">
      <w:pPr>
        <w:pStyle w:val="4"/>
        <w:ind w:firstLine="48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定向钻泥浆</w:t>
      </w:r>
    </w:p>
    <w:p w14:paraId="316F44F7">
      <w:pPr>
        <w:pStyle w:val="4"/>
        <w:ind w:firstLine="480"/>
        <w:rPr>
          <w:color w:val="auto"/>
        </w:rPr>
      </w:pPr>
      <w:r>
        <w:rPr>
          <w:rFonts w:hint="eastAsia"/>
          <w:color w:val="auto"/>
        </w:rPr>
        <w:t>定向钻穿越期间产生的泥浆已委托专业单位拉运处置，泥浆池回填，进行地貌和植被恢复</w:t>
      </w:r>
    </w:p>
    <w:p w14:paraId="4B9880C9">
      <w:pPr>
        <w:pStyle w:val="4"/>
        <w:ind w:firstLine="480"/>
        <w:rPr>
          <w:color w:val="auto"/>
        </w:rPr>
      </w:pP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废弃设备</w:t>
      </w:r>
    </w:p>
    <w:p w14:paraId="60E33CB7">
      <w:pPr>
        <w:pStyle w:val="4"/>
        <w:ind w:firstLine="480"/>
        <w:rPr>
          <w:color w:val="auto"/>
        </w:rPr>
      </w:pPr>
      <w:r>
        <w:rPr>
          <w:rFonts w:hint="eastAsia"/>
          <w:color w:val="auto"/>
        </w:rPr>
        <w:t>本期工程主要拆除旧加热炉、拉改输压减多功能罐等，已按照资产报废程序由胜利油田东胜精攻石油开发集团股份有限公司物资管理部门统一处理。</w:t>
      </w:r>
    </w:p>
    <w:p w14:paraId="0938E006">
      <w:pPr>
        <w:pStyle w:val="4"/>
        <w:ind w:firstLine="480"/>
        <w:rPr>
          <w:color w:val="auto"/>
        </w:rPr>
      </w:pPr>
      <w:r>
        <w:rPr>
          <w:color w:val="auto"/>
        </w:rPr>
        <w:fldChar w:fldCharType="begin"/>
      </w:r>
      <w:r>
        <w:rPr>
          <w:color w:val="auto"/>
        </w:rPr>
        <w:instrText xml:space="preserve"> </w:instrText>
      </w:r>
      <w:r>
        <w:rPr>
          <w:rFonts w:hint="eastAsia"/>
          <w:color w:val="auto"/>
        </w:rPr>
        <w:instrText xml:space="preserve">= 5 \* GB3</w:instrText>
      </w:r>
      <w:r>
        <w:rPr>
          <w:color w:val="auto"/>
        </w:rPr>
        <w:instrText xml:space="preserve"> </w:instrText>
      </w:r>
      <w:r>
        <w:rPr>
          <w:color w:val="auto"/>
        </w:rPr>
        <w:fldChar w:fldCharType="separate"/>
      </w:r>
      <w:r>
        <w:rPr>
          <w:rFonts w:hint="eastAsia"/>
          <w:color w:val="auto"/>
        </w:rPr>
        <w:t>⑤</w:t>
      </w:r>
      <w:r>
        <w:rPr>
          <w:color w:val="auto"/>
        </w:rPr>
        <w:fldChar w:fldCharType="end"/>
      </w:r>
      <w:r>
        <w:rPr>
          <w:rFonts w:hint="eastAsia"/>
          <w:color w:val="auto"/>
        </w:rPr>
        <w:t>生活垃圾</w:t>
      </w:r>
    </w:p>
    <w:p w14:paraId="4DFF0910">
      <w:pPr>
        <w:pStyle w:val="4"/>
        <w:ind w:firstLine="480"/>
        <w:rPr>
          <w:color w:val="auto"/>
          <w:kern w:val="0"/>
        </w:rPr>
      </w:pPr>
      <w:r>
        <w:rPr>
          <w:rFonts w:hint="eastAsia"/>
          <w:color w:val="auto"/>
        </w:rPr>
        <w:t>施工期间产生的生活垃圾均暂存于施工场地内临时垃圾桶中，后由施工单位统一拉运至市政部门指定地点处理，验收调查期间，现场未发现生活垃圾遗留，未对周围环境产生不利影响</w:t>
      </w:r>
      <w:r>
        <w:rPr>
          <w:rFonts w:hint="eastAsia"/>
          <w:color w:val="auto"/>
          <w:kern w:val="0"/>
        </w:rPr>
        <w:t>。</w:t>
      </w:r>
    </w:p>
    <w:p w14:paraId="5AD54752">
      <w:pPr>
        <w:pStyle w:val="4"/>
        <w:ind w:firstLine="480"/>
        <w:rPr>
          <w:color w:val="auto"/>
        </w:rPr>
      </w:pPr>
      <w:r>
        <w:rPr>
          <w:rFonts w:hint="eastAsia"/>
          <w:color w:val="auto"/>
        </w:rPr>
        <w:t>（2）运营期</w:t>
      </w:r>
    </w:p>
    <w:p w14:paraId="4412A820">
      <w:pPr>
        <w:pStyle w:val="4"/>
        <w:ind w:firstLine="480"/>
        <w:rPr>
          <w:color w:val="auto"/>
        </w:rPr>
      </w:pPr>
      <w:r>
        <w:rPr>
          <w:rFonts w:hint="eastAsia"/>
          <w:color w:val="auto"/>
        </w:rPr>
        <w:t>运营期本期工程产生的固体废物主要是</w:t>
      </w:r>
      <w:r>
        <w:rPr>
          <w:rFonts w:hint="eastAsia" w:cs="宋体"/>
          <w:color w:val="auto"/>
        </w:rPr>
        <w:t>落地油和清罐底泥</w:t>
      </w:r>
      <w:r>
        <w:rPr>
          <w:rFonts w:hint="eastAsia"/>
          <w:color w:val="auto"/>
        </w:rPr>
        <w:t>，来源于原油集输和井下作业流程，在采出液及采出水处理、井下作业环节中均会少量产生，验收调查期间，本期工程运营过程中暂未产生。后期运营期间产生的</w:t>
      </w:r>
      <w:r>
        <w:rPr>
          <w:rFonts w:hint="eastAsia" w:cs="宋体"/>
          <w:color w:val="auto"/>
        </w:rPr>
        <w:t>落地油和清罐底泥</w:t>
      </w:r>
      <w:r>
        <w:rPr>
          <w:rFonts w:hint="eastAsia" w:cs="宋体"/>
          <w:color w:val="auto"/>
          <w:kern w:val="0"/>
        </w:rPr>
        <w:t>随产随清，委托滨州市瑞峰环保科技有限公司处置</w:t>
      </w:r>
      <w:r>
        <w:rPr>
          <w:rFonts w:hint="eastAsia"/>
          <w:color w:val="auto"/>
        </w:rPr>
        <w:t>。</w:t>
      </w:r>
    </w:p>
    <w:p w14:paraId="751A8C0A">
      <w:pPr>
        <w:pStyle w:val="4"/>
        <w:ind w:firstLine="480"/>
        <w:rPr>
          <w:color w:val="auto"/>
        </w:rPr>
      </w:pPr>
      <w:r>
        <w:rPr>
          <w:rFonts w:hint="eastAsia" w:cs="宋体"/>
          <w:color w:val="auto"/>
          <w:kern w:val="0"/>
        </w:rPr>
        <w:t>后期</w:t>
      </w:r>
      <w:r>
        <w:rPr>
          <w:rFonts w:hint="eastAsia"/>
          <w:color w:val="auto"/>
        </w:rPr>
        <w:t>设备维护过程会产生少量的废含油抹布、废劳保用品、废机油等，及时委托</w:t>
      </w:r>
      <w:r>
        <w:rPr>
          <w:rFonts w:hint="eastAsia" w:cs="宋体"/>
          <w:color w:val="auto"/>
          <w:kern w:val="0"/>
        </w:rPr>
        <w:t>滨州市瑞峰环保科技有限公司处置</w:t>
      </w:r>
      <w:r>
        <w:rPr>
          <w:rFonts w:hint="eastAsia"/>
          <w:color w:val="auto"/>
        </w:rPr>
        <w:t>。</w:t>
      </w:r>
    </w:p>
    <w:p w14:paraId="001A77D1">
      <w:pPr>
        <w:pStyle w:val="6"/>
        <w:rPr>
          <w:color w:val="auto"/>
        </w:rPr>
      </w:pPr>
      <w:r>
        <w:rPr>
          <w:rFonts w:hint="eastAsia"/>
          <w:color w:val="auto"/>
        </w:rPr>
        <w:t>保障环境保护设施有效运行的措施</w:t>
      </w:r>
    </w:p>
    <w:p w14:paraId="179AAA31">
      <w:pPr>
        <w:pStyle w:val="4"/>
        <w:ind w:firstLine="480"/>
        <w:rPr>
          <w:color w:val="auto"/>
        </w:rPr>
      </w:pPr>
      <w:r>
        <w:rPr>
          <w:rFonts w:hint="eastAsia"/>
          <w:color w:val="auto"/>
        </w:rPr>
        <w:t>加强设备维护，严格执行井场和输油管线巡线制度。</w:t>
      </w:r>
    </w:p>
    <w:p w14:paraId="47D9230C">
      <w:pPr>
        <w:pStyle w:val="6"/>
        <w:rPr>
          <w:color w:val="auto"/>
        </w:rPr>
      </w:pPr>
      <w:r>
        <w:rPr>
          <w:rFonts w:hint="eastAsia"/>
          <w:color w:val="auto"/>
        </w:rPr>
        <w:t>生态系统功能恢复措施</w:t>
      </w:r>
    </w:p>
    <w:p w14:paraId="0300036C">
      <w:pPr>
        <w:pStyle w:val="4"/>
        <w:ind w:firstLine="480"/>
        <w:rPr>
          <w:color w:val="auto"/>
        </w:rPr>
      </w:pPr>
      <w:r>
        <w:rPr>
          <w:rFonts w:hint="eastAsia"/>
          <w:color w:val="auto"/>
        </w:rPr>
        <w:t>施工结束后，临时占地以不改变土地利用性质为原则，加快恢复为原用地类型；严格按照分层剥离、分层开挖、分层堆放和循序分层回填方式进行管沟开挖与土壤回填，及时恢复地貌和植被。</w:t>
      </w:r>
    </w:p>
    <w:p w14:paraId="169E6CBE">
      <w:pPr>
        <w:pStyle w:val="6"/>
        <w:rPr>
          <w:rFonts w:cs="黑体"/>
          <w:color w:val="auto"/>
        </w:rPr>
      </w:pPr>
      <w:r>
        <w:rPr>
          <w:rFonts w:hint="eastAsia"/>
          <w:color w:val="auto"/>
        </w:rPr>
        <w:t>生物多样性保护措施</w:t>
      </w:r>
    </w:p>
    <w:p w14:paraId="2859DF02">
      <w:pPr>
        <w:pStyle w:val="4"/>
        <w:ind w:firstLine="480"/>
        <w:rPr>
          <w:color w:val="auto"/>
        </w:rPr>
      </w:pPr>
      <w:r>
        <w:rPr>
          <w:rFonts w:hint="eastAsia"/>
          <w:color w:val="auto"/>
        </w:rPr>
        <w:t>1）严格控制施工作业带，减少对地表植被的破坏，且施工结束后及时恢复地表植被；</w:t>
      </w:r>
    </w:p>
    <w:p w14:paraId="598B6F42">
      <w:pPr>
        <w:pStyle w:val="4"/>
        <w:ind w:firstLine="480"/>
        <w:rPr>
          <w:color w:val="auto"/>
        </w:rPr>
      </w:pPr>
      <w:r>
        <w:rPr>
          <w:rFonts w:hint="eastAsia"/>
          <w:color w:val="auto"/>
        </w:rPr>
        <w:t>2）加快施工进度，缩短施工期，以减轻施工活动对区域野生动物的影响。</w:t>
      </w:r>
    </w:p>
    <w:p w14:paraId="2D176EC6">
      <w:pPr>
        <w:pStyle w:val="5"/>
        <w:rPr>
          <w:color w:val="auto"/>
        </w:rPr>
      </w:pPr>
      <w:bookmarkStart w:id="600" w:name="_Toc225872345"/>
      <w:bookmarkStart w:id="601" w:name="_Toc231283698"/>
      <w:r>
        <w:rPr>
          <w:rFonts w:hint="eastAsia"/>
          <w:color w:val="auto"/>
        </w:rPr>
        <w:t>3.3 配套措施落实情况</w:t>
      </w:r>
      <w:bookmarkEnd w:id="600"/>
      <w:bookmarkEnd w:id="601"/>
    </w:p>
    <w:p w14:paraId="272FC50E">
      <w:pPr>
        <w:pStyle w:val="6"/>
        <w:rPr>
          <w:rFonts w:ascii="宋体" w:hAnsi="宋体" w:eastAsia="宋体" w:cs="黑体"/>
          <w:color w:val="auto"/>
        </w:rPr>
      </w:pPr>
      <w:r>
        <w:rPr>
          <w:rFonts w:hint="eastAsia"/>
          <w:color w:val="auto"/>
        </w:rPr>
        <w:t>区域消减及淘汰落后产能</w:t>
      </w:r>
    </w:p>
    <w:p w14:paraId="4EE8F872">
      <w:pPr>
        <w:pStyle w:val="4"/>
        <w:ind w:firstLine="480"/>
        <w:rPr>
          <w:color w:val="auto"/>
        </w:rPr>
      </w:pPr>
      <w:r>
        <w:rPr>
          <w:rFonts w:hint="eastAsia"/>
          <w:color w:val="auto"/>
        </w:rPr>
        <w:t>本期工程不涉及。</w:t>
      </w:r>
    </w:p>
    <w:p w14:paraId="12387EF8">
      <w:pPr>
        <w:pStyle w:val="6"/>
        <w:rPr>
          <w:rFonts w:cs="黑体"/>
          <w:color w:val="auto"/>
        </w:rPr>
      </w:pPr>
      <w:r>
        <w:rPr>
          <w:rFonts w:hint="eastAsia"/>
          <w:color w:val="auto"/>
        </w:rPr>
        <w:t>防护距离控制及居民搬迁</w:t>
      </w:r>
    </w:p>
    <w:p w14:paraId="6FAACDFD">
      <w:pPr>
        <w:pStyle w:val="4"/>
        <w:ind w:firstLine="480"/>
        <w:rPr>
          <w:color w:val="auto"/>
        </w:rPr>
      </w:pPr>
      <w:r>
        <w:rPr>
          <w:rFonts w:hint="eastAsia"/>
          <w:color w:val="auto"/>
        </w:rPr>
        <w:t>本期工程不涉及。</w:t>
      </w:r>
    </w:p>
    <w:p w14:paraId="3A31FE7A">
      <w:pPr>
        <w:pStyle w:val="6"/>
        <w:rPr>
          <w:rFonts w:cs="黑体"/>
          <w:color w:val="auto"/>
        </w:rPr>
      </w:pPr>
      <w:r>
        <w:rPr>
          <w:rFonts w:hint="eastAsia"/>
          <w:color w:val="auto"/>
        </w:rPr>
        <w:t>其他措施</w:t>
      </w:r>
    </w:p>
    <w:p w14:paraId="348FC3F0">
      <w:pPr>
        <w:pStyle w:val="4"/>
        <w:ind w:firstLine="480"/>
        <w:rPr>
          <w:color w:val="auto"/>
        </w:rPr>
      </w:pPr>
      <w:r>
        <w:rPr>
          <w:rFonts w:hint="eastAsia"/>
          <w:color w:val="auto"/>
        </w:rPr>
        <w:t>本期工程不涉及区域环境整治、相关外围工程建设等措施。</w:t>
      </w:r>
    </w:p>
    <w:p w14:paraId="07759BBA">
      <w:pPr>
        <w:pStyle w:val="3"/>
        <w:rPr>
          <w:color w:val="auto"/>
        </w:rPr>
      </w:pPr>
      <w:bookmarkStart w:id="602" w:name="_Toc225872346"/>
      <w:bookmarkStart w:id="603" w:name="_Toc231283699"/>
      <w:r>
        <w:rPr>
          <w:rFonts w:hint="eastAsia"/>
          <w:color w:val="auto"/>
        </w:rPr>
        <w:t>整改工作情况</w:t>
      </w:r>
      <w:bookmarkEnd w:id="602"/>
      <w:bookmarkEnd w:id="603"/>
    </w:p>
    <w:p w14:paraId="6B483BB8">
      <w:pPr>
        <w:pStyle w:val="4"/>
        <w:ind w:firstLine="480"/>
        <w:rPr>
          <w:color w:val="auto"/>
        </w:rPr>
      </w:pPr>
      <w:r>
        <w:rPr>
          <w:rFonts w:hint="eastAsia"/>
          <w:color w:val="auto"/>
        </w:rPr>
        <w:t>本期工程不需要整改。</w:t>
      </w:r>
    </w:p>
    <w:p w14:paraId="58A15227">
      <w:pPr>
        <w:adjustRightInd w:val="0"/>
        <w:snapToGrid w:val="0"/>
        <w:rPr>
          <w:rFonts w:ascii="宋体" w:hAnsi="宋体"/>
          <w:color w:val="auto"/>
        </w:rPr>
      </w:pPr>
    </w:p>
    <w:sectPr>
      <w:pgSz w:w="11906" w:h="16838"/>
      <w:pgMar w:top="1701" w:right="1418" w:bottom="1418" w:left="1474" w:header="1021" w:footer="851"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Unicode MS">
    <w:altName w:val="Arial"/>
    <w:panose1 w:val="020B0604020202020204"/>
    <w:charset w:val="00"/>
    <w:family w:val="roman"/>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TimesNewRomanPSMT">
    <w:altName w:val="Yu Gothic"/>
    <w:panose1 w:val="00000000000000000000"/>
    <w:charset w:val="00"/>
    <w:family w:val="roman"/>
    <w:pitch w:val="default"/>
    <w:sig w:usb0="00000000" w:usb1="00000000" w:usb2="00000000" w:usb3="00000000" w:csb0="00000000" w:csb1="00000000"/>
  </w:font>
  <w:font w:name="Yu Gothic">
    <w:panose1 w:val="020B0400000000000000"/>
    <w:charset w:val="80"/>
    <w:family w:val="auto"/>
    <w:pitch w:val="default"/>
    <w:sig w:usb0="E00002FF" w:usb1="2AC7FDFF" w:usb2="00000016" w:usb3="00000000" w:csb0="2002009F" w:csb1="00000000"/>
  </w:font>
  <w:font w:name="Verdana">
    <w:panose1 w:val="020B0604030504040204"/>
    <w:charset w:val="00"/>
    <w:family w:val="swiss"/>
    <w:pitch w:val="default"/>
    <w:sig w:usb0="A00006FF" w:usb1="4000205B" w:usb2="00000010" w:usb3="00000000" w:csb0="2000019F" w:csb1="00000000"/>
  </w:font>
  <w:font w:name="华文细黑">
    <w:panose1 w:val="02010600040101010101"/>
    <w:charset w:val="86"/>
    <w:family w:val="auto"/>
    <w:pitch w:val="default"/>
    <w:sig w:usb0="00000287" w:usb1="080F0000" w:usb2="00000000" w:usb3="00000000" w:csb0="0004009F" w:csb1="DFD70000"/>
  </w:font>
  <w:font w:name="宋">
    <w:altName w:val="宋体"/>
    <w:panose1 w:val="00000000000000000000"/>
    <w:charset w:val="00"/>
    <w:family w:val="auto"/>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0054C0">
    <w:pPr>
      <w:pStyle w:val="29"/>
      <w:jc w:val="center"/>
    </w:pPr>
  </w:p>
  <w:p w14:paraId="54D19078">
    <w:pPr>
      <w:pStyle w:val="2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49012A">
    <w:pPr>
      <w:pStyle w:val="29"/>
      <w:jc w:val="center"/>
    </w:pPr>
  </w:p>
  <w:p w14:paraId="7E4E61BF">
    <w:pPr>
      <w:pStyle w:val="2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0E8352">
    <w:pPr>
      <w:pStyle w:val="29"/>
      <w:jc w:val="center"/>
    </w:pPr>
    <w:r>
      <w:fldChar w:fldCharType="begin"/>
    </w:r>
    <w:r>
      <w:instrText xml:space="preserve">PAGE   \* MERGEFORMAT</w:instrText>
    </w:r>
    <w:r>
      <w:fldChar w:fldCharType="separate"/>
    </w:r>
    <w:r>
      <w:rPr>
        <w:lang w:val="zh-CN"/>
      </w:rPr>
      <w:t>i</w:t>
    </w:r>
    <w:r>
      <w:fldChar w:fldCharType="end"/>
    </w:r>
  </w:p>
  <w:p w14:paraId="2795F479">
    <w:pPr>
      <w:pStyle w:val="2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2F0B6D">
    <w:pPr>
      <w:pStyle w:val="29"/>
      <w:jc w:val="center"/>
    </w:pPr>
    <w:r>
      <w:fldChar w:fldCharType="begin"/>
    </w:r>
    <w:r>
      <w:instrText xml:space="preserve">PAGE   \* MERGEFORMAT</w:instrText>
    </w:r>
    <w:r>
      <w:fldChar w:fldCharType="separate"/>
    </w:r>
    <w:r>
      <w:rPr>
        <w:lang w:val="zh-CN"/>
      </w:rPr>
      <w:t>11</w:t>
    </w:r>
    <w:r>
      <w:fldChar w:fldCharType="end"/>
    </w:r>
  </w:p>
  <w:p w14:paraId="106B1AD7">
    <w:pPr>
      <w:pStyle w:val="2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2B83A0">
    <w:pPr>
      <w:pStyle w:val="29"/>
      <w:jc w:val="center"/>
    </w:pPr>
    <w:r>
      <w:fldChar w:fldCharType="begin"/>
    </w:r>
    <w:r>
      <w:instrText xml:space="preserve">PAGE   \* MERGEFORMAT</w:instrText>
    </w:r>
    <w:r>
      <w:fldChar w:fldCharType="separate"/>
    </w:r>
    <w:r>
      <w:rPr>
        <w:lang w:val="zh-CN"/>
      </w:rPr>
      <w:t>172</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4CA0EA">
    <w:pPr>
      <w:jc w:val="right"/>
    </w:pPr>
    <w:r>
      <w:fldChar w:fldCharType="begin"/>
    </w:r>
    <w:r>
      <w:instrText xml:space="preserve"> REF 项目名称 \h </w:instrText>
    </w:r>
    <w:r>
      <w:fldChar w:fldCharType="separate"/>
    </w:r>
    <w:r>
      <w:rPr>
        <w:rFonts w:hint="eastAsia"/>
        <w:b/>
        <w:bCs/>
      </w:rPr>
      <w:t>错误!未找到引用源。</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69C13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DCF434">
    <w:pPr>
      <w:pStyle w:val="30"/>
      <w:spacing w:after="120" w:afterLines="50"/>
    </w:pPr>
    <w:r>
      <w:rPr>
        <w:rFonts w:hint="eastAsia" w:hAnsi="宋体"/>
      </w:rPr>
      <w:t>大芦湖油田产能建设项目（2023-2025年）（一期）</w:t>
    </w:r>
    <w:r>
      <w:rPr>
        <w:rFonts w:hAnsi="宋体"/>
      </w:rPr>
      <w:t>竣工环境保护</w:t>
    </w:r>
    <w:r>
      <w:rPr>
        <w:rFonts w:hint="eastAsia" w:hAnsi="宋体"/>
      </w:rPr>
      <w:t>设施</w:t>
    </w:r>
    <w:r>
      <w:rPr>
        <w:rFonts w:hAnsi="宋体"/>
      </w:rPr>
      <w:t>验收调查</w:t>
    </w:r>
    <w:r>
      <w:rPr>
        <w:rFonts w:hint="eastAsia" w:hAnsi="宋体"/>
      </w:rPr>
      <w:t>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4FE718">
    <w:pPr>
      <w:pStyle w:val="30"/>
      <w:spacing w:after="120" w:afterLines="50"/>
    </w:pPr>
    <w:r>
      <w:rPr>
        <w:rFonts w:hint="eastAsia" w:hAnsi="宋体"/>
      </w:rPr>
      <w:t>大芦湖油田产能建设项目（2023-2025年）（一期）</w:t>
    </w:r>
    <w:r>
      <w:rPr>
        <w:rFonts w:hAnsi="宋体"/>
      </w:rPr>
      <w:t>竣工环境保护</w:t>
    </w:r>
    <w:r>
      <w:rPr>
        <w:rFonts w:hint="eastAsia" w:hAnsi="宋体"/>
      </w:rPr>
      <w:t>设施</w:t>
    </w:r>
    <w:r>
      <w:rPr>
        <w:rFonts w:hAnsi="宋体"/>
      </w:rPr>
      <w:t>验收调查</w:t>
    </w:r>
    <w:r>
      <w:rPr>
        <w:rFonts w:hint="eastAsia" w:hAnsi="宋体"/>
      </w:rPr>
      <w:t>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93FDD">
    <w:pPr>
      <w:pStyle w:val="30"/>
    </w:pPr>
    <w:r>
      <w:fldChar w:fldCharType="begin"/>
    </w:r>
    <w:r>
      <w:instrText xml:space="preserve"> STYLEREF  "标题 1" \n </w:instrText>
    </w:r>
    <w:r>
      <w:fldChar w:fldCharType="separate"/>
    </w:r>
    <w:r>
      <w:t>1</w:t>
    </w:r>
    <w:r>
      <w:fldChar w:fldCharType="end"/>
    </w:r>
    <w:r>
      <w:fldChar w:fldCharType="begin"/>
    </w:r>
    <w:r>
      <w:instrText xml:space="preserve"> STYLEREF  "标题 1"  \* MERGEFORMAT </w:instrText>
    </w:r>
    <w:r>
      <w:fldChar w:fldCharType="separate"/>
    </w:r>
    <w:r>
      <w:t>项目概况</w:t>
    </w:r>
    <w:r>
      <w:fldChar w:fldCharType="end"/>
    </w:r>
    <w:r>
      <w:ptab w:relativeTo="margin" w:alignment="center" w:leader="none"/>
    </w:r>
    <w:r>
      <w:ptab w:relativeTo="margin" w:alignment="right" w:leader="none"/>
    </w:r>
    <w:r>
      <w:fldChar w:fldCharType="begin"/>
    </w:r>
    <w:r>
      <w:instrText xml:space="preserve"> REF 项目名称 \h </w:instrText>
    </w:r>
    <w:r>
      <w:fldChar w:fldCharType="separate"/>
    </w:r>
    <w:r>
      <w:rPr>
        <w:rFonts w:hint="eastAsia"/>
        <w:b/>
        <w:bCs/>
      </w:rPr>
      <w:t>错误!未找到引用源。</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B91AC31"/>
    <w:multiLevelType w:val="multilevel"/>
    <w:tmpl w:val="EB91AC31"/>
    <w:lvl w:ilvl="0" w:tentative="0">
      <w:start w:val="5"/>
      <w:numFmt w:val="decimal"/>
      <w:isLgl/>
      <w:lvlText w:val="图%1"/>
      <w:lvlJc w:val="left"/>
      <w:pPr>
        <w:tabs>
          <w:tab w:val="left" w:pos="567"/>
        </w:tabs>
        <w:ind w:left="567" w:hanging="567"/>
      </w:pPr>
      <w:rPr>
        <w:rFonts w:hint="eastAsia" w:ascii="宋体" w:hAnsi="宋体" w:eastAsia="宋体"/>
        <w:b w:val="0"/>
        <w:i w:val="0"/>
        <w:spacing w:val="0"/>
        <w:kern w:val="0"/>
        <w:sz w:val="24"/>
      </w:rPr>
    </w:lvl>
    <w:lvl w:ilvl="1" w:tentative="0">
      <w:start w:val="2"/>
      <w:numFmt w:val="decimal"/>
      <w:lvlRestart w:val="0"/>
      <w:pStyle w:val="42"/>
      <w:isLgl/>
      <w:lvlText w:val="图%1-%2"/>
      <w:lvlJc w:val="left"/>
      <w:pPr>
        <w:tabs>
          <w:tab w:val="left" w:pos="1985"/>
        </w:tabs>
        <w:ind w:left="1985" w:hanging="1985"/>
      </w:pPr>
      <w:rPr>
        <w:rFonts w:hint="eastAsia" w:ascii="宋体" w:hAnsi="宋体" w:eastAsia="宋体"/>
        <w:b/>
        <w:i w:val="0"/>
        <w:spacing w:val="0"/>
        <w:kern w:val="0"/>
        <w:sz w:val="21"/>
        <w:szCs w:val="21"/>
      </w:rPr>
    </w:lvl>
    <w:lvl w:ilvl="2" w:tentative="0">
      <w:start w:val="1"/>
      <w:numFmt w:val="decimal"/>
      <w:lvlText w:val="%1.%2.%3"/>
      <w:lvlJc w:val="left"/>
      <w:pPr>
        <w:tabs>
          <w:tab w:val="left" w:pos="720"/>
        </w:tabs>
        <w:ind w:left="567" w:hanging="567"/>
      </w:pPr>
      <w:rPr>
        <w:rFonts w:hint="eastAsia" w:ascii="宋体" w:hAnsi="宋体" w:eastAsia="宋体"/>
        <w:b/>
        <w:i w:val="0"/>
        <w:sz w:val="24"/>
      </w:rPr>
    </w:lvl>
    <w:lvl w:ilvl="3" w:tentative="0">
      <w:start w:val="1"/>
      <w:numFmt w:val="decimal"/>
      <w:lvlText w:val="%1.%2.%3.%4"/>
      <w:lvlJc w:val="left"/>
      <w:pPr>
        <w:tabs>
          <w:tab w:val="left" w:pos="144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
    <w:nsid w:val="0BC77C37"/>
    <w:multiLevelType w:val="multilevel"/>
    <w:tmpl w:val="0BC77C37"/>
    <w:lvl w:ilvl="0" w:tentative="0">
      <w:start w:val="1"/>
      <w:numFmt w:val="decimal"/>
      <w:isLgl/>
      <w:suff w:val="nothing"/>
      <w:lvlText w:val="（%1）"/>
      <w:lvlJc w:val="left"/>
      <w:pPr>
        <w:ind w:left="0" w:firstLine="476"/>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2">
    <w:nsid w:val="0EFD78DA"/>
    <w:multiLevelType w:val="singleLevel"/>
    <w:tmpl w:val="0EFD78DA"/>
    <w:lvl w:ilvl="0" w:tentative="0">
      <w:start w:val="3"/>
      <w:numFmt w:val="decimal"/>
      <w:suff w:val="nothing"/>
      <w:lvlText w:val="%1）"/>
      <w:lvlJc w:val="left"/>
    </w:lvl>
  </w:abstractNum>
  <w:abstractNum w:abstractNumId="3">
    <w:nsid w:val="15E348F6"/>
    <w:multiLevelType w:val="multilevel"/>
    <w:tmpl w:val="15E348F6"/>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4">
    <w:nsid w:val="16C123DC"/>
    <w:multiLevelType w:val="multilevel"/>
    <w:tmpl w:val="16C123DC"/>
    <w:lvl w:ilvl="0" w:tentative="0">
      <w:start w:val="1"/>
      <w:numFmt w:val="decimal"/>
      <w:pStyle w:val="76"/>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FAB194C"/>
    <w:multiLevelType w:val="multilevel"/>
    <w:tmpl w:val="1FAB194C"/>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6">
    <w:nsid w:val="2120BABD"/>
    <w:multiLevelType w:val="multilevel"/>
    <w:tmpl w:val="2120BABD"/>
    <w:lvl w:ilvl="0" w:tentative="0">
      <w:start w:val="3"/>
      <w:numFmt w:val="decimal"/>
      <w:pStyle w:val="32"/>
      <w:isLgl/>
      <w:lvlText w:val="%1"/>
      <w:lvlJc w:val="left"/>
      <w:pPr>
        <w:tabs>
          <w:tab w:val="left" w:pos="567"/>
        </w:tabs>
        <w:ind w:left="567" w:hanging="567"/>
      </w:pPr>
      <w:rPr>
        <w:rFonts w:hint="eastAsia" w:ascii="宋体" w:hAnsi="宋体" w:eastAsia="宋体"/>
        <w:b/>
        <w:i w:val="0"/>
        <w:sz w:val="24"/>
      </w:rPr>
    </w:lvl>
    <w:lvl w:ilvl="1" w:tentative="0">
      <w:start w:val="5"/>
      <w:numFmt w:val="decimal"/>
      <w:isLgl/>
      <w:lvlText w:val="%1.%2"/>
      <w:lvlJc w:val="left"/>
      <w:pPr>
        <w:tabs>
          <w:tab w:val="left" w:pos="1985"/>
        </w:tabs>
        <w:ind w:left="1985" w:hanging="1985"/>
      </w:pPr>
      <w:rPr>
        <w:rFonts w:hint="eastAsia" w:ascii="宋体" w:hAnsi="宋体" w:eastAsia="宋体"/>
        <w:b w:val="0"/>
        <w:i w:val="0"/>
        <w:sz w:val="24"/>
      </w:rPr>
    </w:lvl>
    <w:lvl w:ilvl="2" w:tentative="0">
      <w:start w:val="1"/>
      <w:numFmt w:val="decimal"/>
      <w:pStyle w:val="212"/>
      <w:lvlText w:val="%1.%2.%3"/>
      <w:lvlJc w:val="left"/>
      <w:pPr>
        <w:tabs>
          <w:tab w:val="left" w:pos="720"/>
        </w:tabs>
        <w:ind w:left="567" w:hanging="567"/>
      </w:pPr>
      <w:rPr>
        <w:rFonts w:hint="eastAsia" w:ascii="宋体" w:hAnsi="宋体" w:eastAsia="宋体"/>
        <w:b w:val="0"/>
        <w:i w:val="0"/>
        <w:sz w:val="24"/>
      </w:rPr>
    </w:lvl>
    <w:lvl w:ilvl="3" w:tentative="0">
      <w:start w:val="1"/>
      <w:numFmt w:val="decimal"/>
      <w:lvlText w:val="%1.%2.%3.%4"/>
      <w:lvlJc w:val="left"/>
      <w:pPr>
        <w:tabs>
          <w:tab w:val="left" w:pos="144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
    <w:nsid w:val="21EC2285"/>
    <w:multiLevelType w:val="multilevel"/>
    <w:tmpl w:val="21EC2285"/>
    <w:lvl w:ilvl="0" w:tentative="0">
      <w:start w:val="1"/>
      <w:numFmt w:val="decimal"/>
      <w:pStyle w:val="282"/>
      <w:lvlText w:val="10.%1"/>
      <w:lvlJc w:val="left"/>
      <w:pPr>
        <w:tabs>
          <w:tab w:val="left" w:pos="420"/>
        </w:tabs>
        <w:ind w:left="420" w:hanging="420"/>
      </w:pPr>
      <w:rPr>
        <w:rFonts w:hint="eastAsia"/>
        <w:b/>
        <w:i w:val="0"/>
        <w:spacing w:val="0"/>
        <w:sz w:val="32"/>
        <w:szCs w:val="32"/>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29B55251"/>
    <w:multiLevelType w:val="multilevel"/>
    <w:tmpl w:val="29B55251"/>
    <w:lvl w:ilvl="0" w:tentative="0">
      <w:start w:val="1"/>
      <w:numFmt w:val="decimal"/>
      <w:isLgl/>
      <w:suff w:val="nothing"/>
      <w:lvlText w:val="（%1）"/>
      <w:lvlJc w:val="left"/>
      <w:pPr>
        <w:ind w:left="0" w:firstLine="476"/>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9">
    <w:nsid w:val="3299551C"/>
    <w:multiLevelType w:val="multilevel"/>
    <w:tmpl w:val="3299551C"/>
    <w:lvl w:ilvl="0" w:tentative="0">
      <w:start w:val="2"/>
      <w:numFmt w:val="decimal"/>
      <w:isLgl/>
      <w:lvlText w:val="%1"/>
      <w:lvlJc w:val="left"/>
      <w:pPr>
        <w:tabs>
          <w:tab w:val="left" w:pos="567"/>
        </w:tabs>
        <w:ind w:left="567" w:hanging="567"/>
      </w:pPr>
      <w:rPr>
        <w:rFonts w:hint="eastAsia" w:ascii="宋体" w:eastAsia="宋体"/>
        <w:b w:val="0"/>
        <w:i w:val="0"/>
        <w:sz w:val="24"/>
      </w:rPr>
    </w:lvl>
    <w:lvl w:ilvl="1" w:tentative="0">
      <w:start w:val="1"/>
      <w:numFmt w:val="decimal"/>
      <w:pStyle w:val="27"/>
      <w:isLgl/>
      <w:lvlText w:val="表%1-%2"/>
      <w:lvlJc w:val="left"/>
      <w:pPr>
        <w:tabs>
          <w:tab w:val="left" w:pos="1985"/>
        </w:tabs>
        <w:ind w:left="1985" w:hanging="1985"/>
      </w:pPr>
      <w:rPr>
        <w:rFonts w:hint="eastAsia" w:ascii="宋体" w:eastAsia="宋体"/>
        <w:b/>
        <w:i w:val="0"/>
        <w:sz w:val="21"/>
        <w:szCs w:val="21"/>
      </w:rPr>
    </w:lvl>
    <w:lvl w:ilvl="2" w:tentative="0">
      <w:start w:val="1"/>
      <w:numFmt w:val="decimal"/>
      <w:lvlText w:val="%2%1--%3"/>
      <w:lvlJc w:val="left"/>
      <w:pPr>
        <w:tabs>
          <w:tab w:val="left" w:pos="720"/>
        </w:tabs>
        <w:ind w:left="567" w:hanging="567"/>
      </w:pPr>
      <w:rPr>
        <w:rFonts w:hint="eastAsia" w:ascii="宋体" w:eastAsia="宋体"/>
        <w:b/>
        <w:i w:val="0"/>
        <w:sz w:val="24"/>
      </w:rPr>
    </w:lvl>
    <w:lvl w:ilvl="3" w:tentative="0">
      <w:start w:val="1"/>
      <w:numFmt w:val="decimal"/>
      <w:lvlText w:val="2-%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0">
    <w:nsid w:val="33EF272B"/>
    <w:multiLevelType w:val="multilevel"/>
    <w:tmpl w:val="33EF272B"/>
    <w:lvl w:ilvl="0" w:tentative="0">
      <w:start w:val="1"/>
      <w:numFmt w:val="decimal"/>
      <w:isLgl/>
      <w:suff w:val="nothing"/>
      <w:lvlText w:val="（%1）"/>
      <w:lvlJc w:val="left"/>
      <w:pPr>
        <w:ind w:left="0" w:firstLine="476"/>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11">
    <w:nsid w:val="34875A70"/>
    <w:multiLevelType w:val="multilevel"/>
    <w:tmpl w:val="34875A70"/>
    <w:lvl w:ilvl="0" w:tentative="0">
      <w:start w:val="1"/>
      <w:numFmt w:val="decimal"/>
      <w:isLgl/>
      <w:suff w:val="nothing"/>
      <w:lvlText w:val="（%1）"/>
      <w:lvlJc w:val="left"/>
      <w:pPr>
        <w:ind w:left="0" w:firstLine="476"/>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12">
    <w:nsid w:val="3ECD795E"/>
    <w:multiLevelType w:val="multilevel"/>
    <w:tmpl w:val="3ECD795E"/>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3">
    <w:nsid w:val="46463192"/>
    <w:multiLevelType w:val="multilevel"/>
    <w:tmpl w:val="46463192"/>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4">
    <w:nsid w:val="4F006C0E"/>
    <w:multiLevelType w:val="multilevel"/>
    <w:tmpl w:val="4F006C0E"/>
    <w:lvl w:ilvl="0" w:tentative="0">
      <w:start w:val="1"/>
      <w:numFmt w:val="decimal"/>
      <w:pStyle w:val="87"/>
      <w:suff w:val="nothing"/>
      <w:lvlText w:val="附件%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5839548E"/>
    <w:multiLevelType w:val="multilevel"/>
    <w:tmpl w:val="5839548E"/>
    <w:lvl w:ilvl="0" w:tentative="0">
      <w:start w:val="1"/>
      <w:numFmt w:val="decimal"/>
      <w:pStyle w:val="3"/>
      <w:suff w:val="space"/>
      <w:lvlText w:val="%1"/>
      <w:lvlJc w:val="left"/>
      <w:pPr>
        <w:ind w:left="0" w:firstLine="0"/>
      </w:pPr>
      <w:rPr>
        <w:rFonts w:hint="eastAsia"/>
      </w:rPr>
    </w:lvl>
    <w:lvl w:ilvl="1" w:tentative="0">
      <w:start w:val="1"/>
      <w:numFmt w:val="decimal"/>
      <w:pStyle w:val="5"/>
      <w:suff w:val="space"/>
      <w:lvlText w:val="%1.%2"/>
      <w:lvlJc w:val="left"/>
      <w:pPr>
        <w:ind w:left="425" w:firstLine="0"/>
      </w:pPr>
      <w:rPr>
        <w:rFonts w:hint="eastAsia"/>
      </w:rPr>
    </w:lvl>
    <w:lvl w:ilvl="2" w:tentative="0">
      <w:start w:val="1"/>
      <w:numFmt w:val="decimal"/>
      <w:pStyle w:val="6"/>
      <w:suff w:val="space"/>
      <w:lvlText w:val="%1.%2.%3"/>
      <w:lvlJc w:val="left"/>
      <w:pPr>
        <w:ind w:left="0" w:firstLine="0"/>
      </w:pPr>
      <w:rPr>
        <w:rFonts w:hint="eastAsia"/>
      </w:rPr>
    </w:lvl>
    <w:lvl w:ilvl="3" w:tentative="0">
      <w:start w:val="1"/>
      <w:numFmt w:val="decimal"/>
      <w:pStyle w:val="7"/>
      <w:suff w:val="space"/>
      <w:lvlText w:val="%1.%2.%3.%4"/>
      <w:lvlJc w:val="left"/>
      <w:pPr>
        <w:ind w:left="0" w:firstLine="0"/>
      </w:pPr>
      <w:rPr>
        <w:rFonts w:hint="eastAsia"/>
      </w:rPr>
    </w:lvl>
    <w:lvl w:ilvl="4" w:tentative="0">
      <w:start w:val="1"/>
      <w:numFmt w:val="decimal"/>
      <w:pStyle w:val="8"/>
      <w:suff w:val="nothing"/>
      <w:lvlText w:val="%5）"/>
      <w:lvlJc w:val="left"/>
      <w:pPr>
        <w:ind w:left="592" w:firstLine="400"/>
      </w:pPr>
      <w:rPr>
        <w:rFonts w:hint="eastAsia"/>
      </w:rPr>
    </w:lvl>
    <w:lvl w:ilvl="5" w:tentative="0">
      <w:start w:val="1"/>
      <w:numFmt w:val="decimal"/>
      <w:pStyle w:val="9"/>
      <w:suff w:val="nothing"/>
      <w:lvlText w:val="（%6）"/>
      <w:lvlJc w:val="left"/>
      <w:pPr>
        <w:ind w:left="0" w:firstLine="420"/>
      </w:pPr>
      <w:rPr>
        <w:rFonts w:hint="eastAsia"/>
      </w:rPr>
    </w:lvl>
    <w:lvl w:ilvl="6" w:tentative="0">
      <w:start w:val="1"/>
      <w:numFmt w:val="decimalEnclosedCircle"/>
      <w:pStyle w:val="10"/>
      <w:suff w:val="nothing"/>
      <w:lvlText w:val="%7"/>
      <w:lvlJc w:val="left"/>
      <w:pPr>
        <w:ind w:left="0" w:firstLine="400"/>
      </w:pPr>
      <w:rPr>
        <w:rFonts w:hint="eastAsia"/>
        <w:b w:val="0"/>
        <w:bCs w:val="0"/>
        <w:i w:val="0"/>
        <w:iCs w:val="0"/>
        <w:caps w:val="0"/>
        <w:smallCaps w:val="0"/>
        <w:strike w:val="0"/>
        <w:dstrike w:val="0"/>
        <w:vanish w:val="0"/>
        <w:color w:val="000000"/>
        <w:spacing w:val="0"/>
        <w:position w:val="0"/>
        <w:u w:val="none"/>
        <w:vertAlign w:val="baseline"/>
      </w:rPr>
    </w:lvl>
    <w:lvl w:ilvl="7" w:tentative="0">
      <w:start w:val="1"/>
      <w:numFmt w:val="lowerLetter"/>
      <w:pStyle w:val="11"/>
      <w:suff w:val="nothing"/>
      <w:lvlText w:val="%8."/>
      <w:lvlJc w:val="left"/>
      <w:pPr>
        <w:ind w:left="0" w:firstLine="400"/>
      </w:pPr>
      <w:rPr>
        <w:rFonts w:hint="eastAsia"/>
      </w:rPr>
    </w:lvl>
    <w:lvl w:ilvl="8" w:tentative="0">
      <w:start w:val="1"/>
      <w:numFmt w:val="lowerRoman"/>
      <w:pStyle w:val="12"/>
      <w:suff w:val="nothing"/>
      <w:lvlText w:val="%9."/>
      <w:lvlJc w:val="left"/>
      <w:pPr>
        <w:ind w:left="0" w:firstLine="400"/>
      </w:pPr>
      <w:rPr>
        <w:rFonts w:hint="eastAsia"/>
      </w:rPr>
    </w:lvl>
  </w:abstractNum>
  <w:abstractNum w:abstractNumId="16">
    <w:nsid w:val="62581F5B"/>
    <w:multiLevelType w:val="multilevel"/>
    <w:tmpl w:val="62581F5B"/>
    <w:lvl w:ilvl="0" w:tentative="0">
      <w:start w:val="2"/>
      <w:numFmt w:val="decimal"/>
      <w:isLgl/>
      <w:suff w:val="nothing"/>
      <w:lvlText w:val="（%1）"/>
      <w:lvlJc w:val="left"/>
      <w:pPr>
        <w:ind w:left="0" w:firstLine="476"/>
      </w:pPr>
      <w:rPr>
        <w:rFonts w:hint="eastAsia" w:ascii="宋体" w:eastAsia="宋体"/>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17">
    <w:nsid w:val="62E236D1"/>
    <w:multiLevelType w:val="multilevel"/>
    <w:tmpl w:val="62E236D1"/>
    <w:lvl w:ilvl="0" w:tentative="0">
      <w:start w:val="1"/>
      <w:numFmt w:val="decimal"/>
      <w:pStyle w:val="261"/>
      <w:isLgl/>
      <w:suff w:val="nothing"/>
      <w:lvlText w:val="（%1）"/>
      <w:lvlJc w:val="left"/>
      <w:pPr>
        <w:ind w:left="0" w:firstLine="476"/>
      </w:pPr>
      <w:rPr>
        <w:rFonts w:hint="eastAsia" w:ascii="宋体" w:eastAsia="宋体"/>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18">
    <w:nsid w:val="699B31E6"/>
    <w:multiLevelType w:val="multilevel"/>
    <w:tmpl w:val="699B31E6"/>
    <w:lvl w:ilvl="0" w:tentative="0">
      <w:start w:val="1"/>
      <w:numFmt w:val="decimal"/>
      <w:pStyle w:val="91"/>
      <w:suff w:val="nothing"/>
      <w:lvlText w:val="附图%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71B21497"/>
    <w:multiLevelType w:val="multilevel"/>
    <w:tmpl w:val="71B21497"/>
    <w:lvl w:ilvl="0" w:tentative="0">
      <w:start w:val="1"/>
      <w:numFmt w:val="decimal"/>
      <w:isLgl/>
      <w:suff w:val="nothing"/>
      <w:lvlText w:val="（%1）"/>
      <w:lvlJc w:val="left"/>
      <w:pPr>
        <w:ind w:left="0" w:firstLine="397"/>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20">
    <w:nsid w:val="73F24953"/>
    <w:multiLevelType w:val="multilevel"/>
    <w:tmpl w:val="73F24953"/>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1">
    <w:nsid w:val="785518AA"/>
    <w:multiLevelType w:val="multilevel"/>
    <w:tmpl w:val="785518AA"/>
    <w:lvl w:ilvl="0" w:tentative="0">
      <w:start w:val="1"/>
      <w:numFmt w:val="lowerLetter"/>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2">
    <w:nsid w:val="7E0F1FBE"/>
    <w:multiLevelType w:val="multilevel"/>
    <w:tmpl w:val="7E0F1FBE"/>
    <w:lvl w:ilvl="0" w:tentative="0">
      <w:start w:val="2"/>
      <w:numFmt w:val="decimal"/>
      <w:isLgl/>
      <w:lvlText w:val="%1"/>
      <w:lvlJc w:val="left"/>
      <w:pPr>
        <w:tabs>
          <w:tab w:val="left" w:pos="567"/>
        </w:tabs>
        <w:ind w:left="567" w:hanging="567"/>
      </w:pPr>
      <w:rPr>
        <w:rFonts w:hint="eastAsia" w:ascii="宋体" w:hAnsi="宋体" w:eastAsia="宋体"/>
        <w:b/>
        <w:i w:val="0"/>
        <w:sz w:val="24"/>
      </w:rPr>
    </w:lvl>
    <w:lvl w:ilvl="1" w:tentative="0">
      <w:start w:val="1"/>
      <w:numFmt w:val="decimal"/>
      <w:pStyle w:val="287"/>
      <w:isLgl/>
      <w:lvlText w:val="%1.%2"/>
      <w:lvlJc w:val="left"/>
      <w:pPr>
        <w:tabs>
          <w:tab w:val="left" w:pos="1985"/>
        </w:tabs>
        <w:ind w:left="1985" w:hanging="1985"/>
      </w:pPr>
      <w:rPr>
        <w:rFonts w:hint="eastAsia" w:ascii="宋体" w:hAnsi="宋体" w:eastAsia="宋体"/>
        <w:b w:val="0"/>
        <w:i w:val="0"/>
        <w:sz w:val="24"/>
      </w:rPr>
    </w:lvl>
    <w:lvl w:ilvl="2" w:tentative="0">
      <w:start w:val="1"/>
      <w:numFmt w:val="decimal"/>
      <w:lvlText w:val="%1.%2.%3"/>
      <w:lvlJc w:val="left"/>
      <w:pPr>
        <w:tabs>
          <w:tab w:val="left" w:pos="720"/>
        </w:tabs>
        <w:ind w:left="567" w:hanging="567"/>
      </w:pPr>
      <w:rPr>
        <w:rFonts w:hint="eastAsia" w:ascii="宋体" w:hAnsi="宋体" w:eastAsia="宋体"/>
        <w:b/>
        <w:i w:val="0"/>
        <w:sz w:val="24"/>
      </w:rPr>
    </w:lvl>
    <w:lvl w:ilvl="3" w:tentative="0">
      <w:start w:val="1"/>
      <w:numFmt w:val="decimal"/>
      <w:lvlText w:val="%1.%2.%3.%4"/>
      <w:lvlJc w:val="left"/>
      <w:pPr>
        <w:tabs>
          <w:tab w:val="left" w:pos="144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3">
    <w:nsid w:val="7E752ED4"/>
    <w:multiLevelType w:val="multilevel"/>
    <w:tmpl w:val="7E752ED4"/>
    <w:lvl w:ilvl="0" w:tentative="0">
      <w:start w:val="1"/>
      <w:numFmt w:val="decimal"/>
      <w:pStyle w:val="92"/>
      <w:suff w:val="nothing"/>
      <w:lvlText w:val="附表%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5"/>
  </w:num>
  <w:num w:numId="2">
    <w:abstractNumId w:val="9"/>
  </w:num>
  <w:num w:numId="3">
    <w:abstractNumId w:val="6"/>
  </w:num>
  <w:num w:numId="4">
    <w:abstractNumId w:val="0"/>
  </w:num>
  <w:num w:numId="5">
    <w:abstractNumId w:val="4"/>
  </w:num>
  <w:num w:numId="6">
    <w:abstractNumId w:val="14"/>
  </w:num>
  <w:num w:numId="7">
    <w:abstractNumId w:val="18"/>
  </w:num>
  <w:num w:numId="8">
    <w:abstractNumId w:val="23"/>
  </w:num>
  <w:num w:numId="9">
    <w:abstractNumId w:val="17"/>
  </w:num>
  <w:num w:numId="10">
    <w:abstractNumId w:val="7"/>
  </w:num>
  <w:num w:numId="11">
    <w:abstractNumId w:val="22"/>
  </w:num>
  <w:num w:numId="12">
    <w:abstractNumId w:val="19"/>
  </w:num>
  <w:num w:numId="13">
    <w:abstractNumId w:val="10"/>
  </w:num>
  <w:num w:numId="14">
    <w:abstractNumId w:val="8"/>
  </w:num>
  <w:num w:numId="15">
    <w:abstractNumId w:val="1"/>
  </w:num>
  <w:num w:numId="16">
    <w:abstractNumId w:val="16"/>
  </w:num>
  <w:num w:numId="17">
    <w:abstractNumId w:val="11"/>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hideSpellingErrors/>
  <w:documentProtection w:edit="readOnly" w:formatting="1" w:enforcement="0"/>
  <w:styleLockTheme/>
  <w:styleLockQFSet/>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EwNTM5NzYwMDRjMzkwZTVkZjY2ODkwMGIxNGU0OTUifQ=="/>
  </w:docVars>
  <w:rsids>
    <w:rsidRoot w:val="006A084C"/>
    <w:rsid w:val="00000166"/>
    <w:rsid w:val="000009C2"/>
    <w:rsid w:val="000011AD"/>
    <w:rsid w:val="000013E6"/>
    <w:rsid w:val="0000142D"/>
    <w:rsid w:val="00001C0B"/>
    <w:rsid w:val="00001C73"/>
    <w:rsid w:val="00002215"/>
    <w:rsid w:val="0000229D"/>
    <w:rsid w:val="00002383"/>
    <w:rsid w:val="00002E12"/>
    <w:rsid w:val="00003327"/>
    <w:rsid w:val="00003DE5"/>
    <w:rsid w:val="0000447B"/>
    <w:rsid w:val="00004B32"/>
    <w:rsid w:val="00004B85"/>
    <w:rsid w:val="00005599"/>
    <w:rsid w:val="00005649"/>
    <w:rsid w:val="00005686"/>
    <w:rsid w:val="00006581"/>
    <w:rsid w:val="000068DD"/>
    <w:rsid w:val="00006994"/>
    <w:rsid w:val="00006FB2"/>
    <w:rsid w:val="0000731D"/>
    <w:rsid w:val="00007441"/>
    <w:rsid w:val="00007605"/>
    <w:rsid w:val="000076EF"/>
    <w:rsid w:val="00007790"/>
    <w:rsid w:val="0000792D"/>
    <w:rsid w:val="00007A53"/>
    <w:rsid w:val="00007B66"/>
    <w:rsid w:val="0001082B"/>
    <w:rsid w:val="00011087"/>
    <w:rsid w:val="000113B1"/>
    <w:rsid w:val="00011EDD"/>
    <w:rsid w:val="000121CC"/>
    <w:rsid w:val="000127F2"/>
    <w:rsid w:val="0001295D"/>
    <w:rsid w:val="000136AD"/>
    <w:rsid w:val="00014089"/>
    <w:rsid w:val="0001500D"/>
    <w:rsid w:val="00015012"/>
    <w:rsid w:val="0001574E"/>
    <w:rsid w:val="00016414"/>
    <w:rsid w:val="00016A1D"/>
    <w:rsid w:val="00016E25"/>
    <w:rsid w:val="00017EA5"/>
    <w:rsid w:val="00020084"/>
    <w:rsid w:val="00020115"/>
    <w:rsid w:val="000206E4"/>
    <w:rsid w:val="00020986"/>
    <w:rsid w:val="00020E6D"/>
    <w:rsid w:val="00021078"/>
    <w:rsid w:val="000213FC"/>
    <w:rsid w:val="00021C26"/>
    <w:rsid w:val="0002275E"/>
    <w:rsid w:val="0002292E"/>
    <w:rsid w:val="00022C54"/>
    <w:rsid w:val="00022DE1"/>
    <w:rsid w:val="00023033"/>
    <w:rsid w:val="000232E0"/>
    <w:rsid w:val="000234C0"/>
    <w:rsid w:val="000234C6"/>
    <w:rsid w:val="00023A99"/>
    <w:rsid w:val="00024EAA"/>
    <w:rsid w:val="0002516D"/>
    <w:rsid w:val="0002598A"/>
    <w:rsid w:val="00025F72"/>
    <w:rsid w:val="000260B6"/>
    <w:rsid w:val="0002669E"/>
    <w:rsid w:val="00026969"/>
    <w:rsid w:val="00026D2D"/>
    <w:rsid w:val="000273BC"/>
    <w:rsid w:val="000274B7"/>
    <w:rsid w:val="000274E5"/>
    <w:rsid w:val="000277F5"/>
    <w:rsid w:val="0002797C"/>
    <w:rsid w:val="00030019"/>
    <w:rsid w:val="000306D2"/>
    <w:rsid w:val="0003098B"/>
    <w:rsid w:val="000313D0"/>
    <w:rsid w:val="0003177B"/>
    <w:rsid w:val="00031AC3"/>
    <w:rsid w:val="00031EEC"/>
    <w:rsid w:val="00032314"/>
    <w:rsid w:val="0003240E"/>
    <w:rsid w:val="000327A1"/>
    <w:rsid w:val="00032B47"/>
    <w:rsid w:val="00032EA2"/>
    <w:rsid w:val="0003331D"/>
    <w:rsid w:val="00033CC1"/>
    <w:rsid w:val="00033F66"/>
    <w:rsid w:val="000347FE"/>
    <w:rsid w:val="00034BE5"/>
    <w:rsid w:val="00034FEA"/>
    <w:rsid w:val="000351EB"/>
    <w:rsid w:val="000357D6"/>
    <w:rsid w:val="00035B33"/>
    <w:rsid w:val="00035E7A"/>
    <w:rsid w:val="000360C4"/>
    <w:rsid w:val="00036318"/>
    <w:rsid w:val="0003686F"/>
    <w:rsid w:val="0003692D"/>
    <w:rsid w:val="00036A16"/>
    <w:rsid w:val="00037A47"/>
    <w:rsid w:val="00037BD5"/>
    <w:rsid w:val="00037D6A"/>
    <w:rsid w:val="00037FF3"/>
    <w:rsid w:val="0004047C"/>
    <w:rsid w:val="00040C4B"/>
    <w:rsid w:val="00040EF0"/>
    <w:rsid w:val="00041088"/>
    <w:rsid w:val="000413D4"/>
    <w:rsid w:val="000417BC"/>
    <w:rsid w:val="00042203"/>
    <w:rsid w:val="000424A0"/>
    <w:rsid w:val="00042860"/>
    <w:rsid w:val="00042C97"/>
    <w:rsid w:val="00042CD9"/>
    <w:rsid w:val="00042F6F"/>
    <w:rsid w:val="0004307E"/>
    <w:rsid w:val="000432E7"/>
    <w:rsid w:val="000435B1"/>
    <w:rsid w:val="00043ACA"/>
    <w:rsid w:val="00043C56"/>
    <w:rsid w:val="00043FE5"/>
    <w:rsid w:val="000447CB"/>
    <w:rsid w:val="00044998"/>
    <w:rsid w:val="00044EDD"/>
    <w:rsid w:val="00045C75"/>
    <w:rsid w:val="00045CA5"/>
    <w:rsid w:val="000461B3"/>
    <w:rsid w:val="00046973"/>
    <w:rsid w:val="0004746A"/>
    <w:rsid w:val="00047D32"/>
    <w:rsid w:val="0005023E"/>
    <w:rsid w:val="00050570"/>
    <w:rsid w:val="00050CD7"/>
    <w:rsid w:val="00050CD8"/>
    <w:rsid w:val="0005199B"/>
    <w:rsid w:val="00051BA6"/>
    <w:rsid w:val="00052AF3"/>
    <w:rsid w:val="00052B4B"/>
    <w:rsid w:val="00052C0D"/>
    <w:rsid w:val="0005321A"/>
    <w:rsid w:val="000532A0"/>
    <w:rsid w:val="000542A2"/>
    <w:rsid w:val="000545E2"/>
    <w:rsid w:val="000546C2"/>
    <w:rsid w:val="00054BBF"/>
    <w:rsid w:val="000556B1"/>
    <w:rsid w:val="00055E52"/>
    <w:rsid w:val="0005623D"/>
    <w:rsid w:val="0005679B"/>
    <w:rsid w:val="00056C05"/>
    <w:rsid w:val="00056D61"/>
    <w:rsid w:val="000573F7"/>
    <w:rsid w:val="000574F7"/>
    <w:rsid w:val="000575D5"/>
    <w:rsid w:val="0005764F"/>
    <w:rsid w:val="00057C4E"/>
    <w:rsid w:val="00060749"/>
    <w:rsid w:val="000607BC"/>
    <w:rsid w:val="00060825"/>
    <w:rsid w:val="00060855"/>
    <w:rsid w:val="0006259E"/>
    <w:rsid w:val="00062A09"/>
    <w:rsid w:val="000634B3"/>
    <w:rsid w:val="00063A36"/>
    <w:rsid w:val="0006595D"/>
    <w:rsid w:val="00065F0F"/>
    <w:rsid w:val="0006630D"/>
    <w:rsid w:val="000665ED"/>
    <w:rsid w:val="00066B7C"/>
    <w:rsid w:val="00066F8B"/>
    <w:rsid w:val="000671A6"/>
    <w:rsid w:val="00067366"/>
    <w:rsid w:val="00067D78"/>
    <w:rsid w:val="0007018A"/>
    <w:rsid w:val="000701D7"/>
    <w:rsid w:val="00071358"/>
    <w:rsid w:val="00071E94"/>
    <w:rsid w:val="000727C8"/>
    <w:rsid w:val="00072B6C"/>
    <w:rsid w:val="0007302D"/>
    <w:rsid w:val="00073592"/>
    <w:rsid w:val="00073DED"/>
    <w:rsid w:val="00074885"/>
    <w:rsid w:val="00075FF8"/>
    <w:rsid w:val="00076C73"/>
    <w:rsid w:val="00077D45"/>
    <w:rsid w:val="00077D95"/>
    <w:rsid w:val="00077E97"/>
    <w:rsid w:val="00077FF7"/>
    <w:rsid w:val="0008057C"/>
    <w:rsid w:val="00080A57"/>
    <w:rsid w:val="00080A89"/>
    <w:rsid w:val="00081632"/>
    <w:rsid w:val="0008168E"/>
    <w:rsid w:val="00081908"/>
    <w:rsid w:val="00081DB6"/>
    <w:rsid w:val="00081E91"/>
    <w:rsid w:val="000820C3"/>
    <w:rsid w:val="00082529"/>
    <w:rsid w:val="000825A9"/>
    <w:rsid w:val="000832B4"/>
    <w:rsid w:val="000839AC"/>
    <w:rsid w:val="000846FA"/>
    <w:rsid w:val="00084799"/>
    <w:rsid w:val="00084A22"/>
    <w:rsid w:val="00085375"/>
    <w:rsid w:val="000853FB"/>
    <w:rsid w:val="0008549C"/>
    <w:rsid w:val="000856BE"/>
    <w:rsid w:val="00085B63"/>
    <w:rsid w:val="00085E4A"/>
    <w:rsid w:val="00086F1F"/>
    <w:rsid w:val="00087AB0"/>
    <w:rsid w:val="00090031"/>
    <w:rsid w:val="0009009E"/>
    <w:rsid w:val="0009013C"/>
    <w:rsid w:val="000903A5"/>
    <w:rsid w:val="000903AD"/>
    <w:rsid w:val="0009079F"/>
    <w:rsid w:val="00091130"/>
    <w:rsid w:val="000911D5"/>
    <w:rsid w:val="0009148E"/>
    <w:rsid w:val="00091666"/>
    <w:rsid w:val="000917BB"/>
    <w:rsid w:val="00092712"/>
    <w:rsid w:val="000927E6"/>
    <w:rsid w:val="00093709"/>
    <w:rsid w:val="00093B70"/>
    <w:rsid w:val="0009402B"/>
    <w:rsid w:val="0009415E"/>
    <w:rsid w:val="000941C2"/>
    <w:rsid w:val="000941E4"/>
    <w:rsid w:val="00094202"/>
    <w:rsid w:val="00094BC3"/>
    <w:rsid w:val="000950A6"/>
    <w:rsid w:val="00095114"/>
    <w:rsid w:val="0009532E"/>
    <w:rsid w:val="000953C2"/>
    <w:rsid w:val="00096545"/>
    <w:rsid w:val="000965EF"/>
    <w:rsid w:val="00096DEC"/>
    <w:rsid w:val="00096E41"/>
    <w:rsid w:val="00097185"/>
    <w:rsid w:val="00097F37"/>
    <w:rsid w:val="000A04A7"/>
    <w:rsid w:val="000A0D9E"/>
    <w:rsid w:val="000A1C43"/>
    <w:rsid w:val="000A1E4D"/>
    <w:rsid w:val="000A253D"/>
    <w:rsid w:val="000A2D21"/>
    <w:rsid w:val="000A2E8A"/>
    <w:rsid w:val="000A3589"/>
    <w:rsid w:val="000A3E2F"/>
    <w:rsid w:val="000A41CE"/>
    <w:rsid w:val="000A42B3"/>
    <w:rsid w:val="000A5327"/>
    <w:rsid w:val="000A562D"/>
    <w:rsid w:val="000A5858"/>
    <w:rsid w:val="000A5A19"/>
    <w:rsid w:val="000A5CE5"/>
    <w:rsid w:val="000A62CC"/>
    <w:rsid w:val="000A6603"/>
    <w:rsid w:val="000A6651"/>
    <w:rsid w:val="000A693E"/>
    <w:rsid w:val="000A69F2"/>
    <w:rsid w:val="000A6AAA"/>
    <w:rsid w:val="000A7476"/>
    <w:rsid w:val="000A7492"/>
    <w:rsid w:val="000A75F7"/>
    <w:rsid w:val="000A7D5F"/>
    <w:rsid w:val="000A7F5B"/>
    <w:rsid w:val="000B0094"/>
    <w:rsid w:val="000B0172"/>
    <w:rsid w:val="000B0249"/>
    <w:rsid w:val="000B0393"/>
    <w:rsid w:val="000B07C5"/>
    <w:rsid w:val="000B0878"/>
    <w:rsid w:val="000B0A63"/>
    <w:rsid w:val="000B0BAC"/>
    <w:rsid w:val="000B0F3C"/>
    <w:rsid w:val="000B3329"/>
    <w:rsid w:val="000B33E9"/>
    <w:rsid w:val="000B35C8"/>
    <w:rsid w:val="000B3665"/>
    <w:rsid w:val="000B3E8F"/>
    <w:rsid w:val="000B3EB3"/>
    <w:rsid w:val="000B43CE"/>
    <w:rsid w:val="000B478A"/>
    <w:rsid w:val="000B4EAA"/>
    <w:rsid w:val="000B5397"/>
    <w:rsid w:val="000B6495"/>
    <w:rsid w:val="000B6DD8"/>
    <w:rsid w:val="000B716F"/>
    <w:rsid w:val="000B76CA"/>
    <w:rsid w:val="000B7A8D"/>
    <w:rsid w:val="000C03D0"/>
    <w:rsid w:val="000C15AE"/>
    <w:rsid w:val="000C1979"/>
    <w:rsid w:val="000C1E9A"/>
    <w:rsid w:val="000C220F"/>
    <w:rsid w:val="000C25F2"/>
    <w:rsid w:val="000C27D1"/>
    <w:rsid w:val="000C2D77"/>
    <w:rsid w:val="000C2DC3"/>
    <w:rsid w:val="000C4619"/>
    <w:rsid w:val="000C481C"/>
    <w:rsid w:val="000C4C0F"/>
    <w:rsid w:val="000C5477"/>
    <w:rsid w:val="000C54A6"/>
    <w:rsid w:val="000C5B6B"/>
    <w:rsid w:val="000C5CBD"/>
    <w:rsid w:val="000C618B"/>
    <w:rsid w:val="000C6482"/>
    <w:rsid w:val="000C7274"/>
    <w:rsid w:val="000D02CC"/>
    <w:rsid w:val="000D0920"/>
    <w:rsid w:val="000D12EA"/>
    <w:rsid w:val="000D1E8C"/>
    <w:rsid w:val="000D1F06"/>
    <w:rsid w:val="000D2D3D"/>
    <w:rsid w:val="000D333D"/>
    <w:rsid w:val="000D3B1B"/>
    <w:rsid w:val="000D3D35"/>
    <w:rsid w:val="000D3DC9"/>
    <w:rsid w:val="000D3EA0"/>
    <w:rsid w:val="000D42A8"/>
    <w:rsid w:val="000D511D"/>
    <w:rsid w:val="000D54DA"/>
    <w:rsid w:val="000D58EA"/>
    <w:rsid w:val="000D62FA"/>
    <w:rsid w:val="000D6853"/>
    <w:rsid w:val="000D6BD8"/>
    <w:rsid w:val="000D6DE0"/>
    <w:rsid w:val="000D6E87"/>
    <w:rsid w:val="000D6FAF"/>
    <w:rsid w:val="000D75B5"/>
    <w:rsid w:val="000D7639"/>
    <w:rsid w:val="000D7686"/>
    <w:rsid w:val="000D78CA"/>
    <w:rsid w:val="000E011F"/>
    <w:rsid w:val="000E066F"/>
    <w:rsid w:val="000E0947"/>
    <w:rsid w:val="000E0C83"/>
    <w:rsid w:val="000E13B5"/>
    <w:rsid w:val="000E168A"/>
    <w:rsid w:val="000E1C86"/>
    <w:rsid w:val="000E2987"/>
    <w:rsid w:val="000E2C39"/>
    <w:rsid w:val="000E2F9B"/>
    <w:rsid w:val="000E3457"/>
    <w:rsid w:val="000E3762"/>
    <w:rsid w:val="000E3C5E"/>
    <w:rsid w:val="000E3E65"/>
    <w:rsid w:val="000E42B8"/>
    <w:rsid w:val="000E4812"/>
    <w:rsid w:val="000E4B7C"/>
    <w:rsid w:val="000E510B"/>
    <w:rsid w:val="000E5B9C"/>
    <w:rsid w:val="000E5CE3"/>
    <w:rsid w:val="000E603B"/>
    <w:rsid w:val="000E6378"/>
    <w:rsid w:val="000E69FD"/>
    <w:rsid w:val="000E6DBE"/>
    <w:rsid w:val="000E71B6"/>
    <w:rsid w:val="000E7A8B"/>
    <w:rsid w:val="000E7DE0"/>
    <w:rsid w:val="000F03AF"/>
    <w:rsid w:val="000F07A8"/>
    <w:rsid w:val="000F1276"/>
    <w:rsid w:val="000F1835"/>
    <w:rsid w:val="000F1956"/>
    <w:rsid w:val="000F1B10"/>
    <w:rsid w:val="000F24E8"/>
    <w:rsid w:val="000F26EF"/>
    <w:rsid w:val="000F276A"/>
    <w:rsid w:val="000F3107"/>
    <w:rsid w:val="000F3195"/>
    <w:rsid w:val="000F3265"/>
    <w:rsid w:val="000F3415"/>
    <w:rsid w:val="000F4303"/>
    <w:rsid w:val="000F46C8"/>
    <w:rsid w:val="000F4FF0"/>
    <w:rsid w:val="000F576F"/>
    <w:rsid w:val="000F5818"/>
    <w:rsid w:val="000F604B"/>
    <w:rsid w:val="000F6DCF"/>
    <w:rsid w:val="000F7440"/>
    <w:rsid w:val="00100001"/>
    <w:rsid w:val="001005E6"/>
    <w:rsid w:val="00100A80"/>
    <w:rsid w:val="00101D3A"/>
    <w:rsid w:val="00101DC1"/>
    <w:rsid w:val="001022A9"/>
    <w:rsid w:val="001024CB"/>
    <w:rsid w:val="001029E4"/>
    <w:rsid w:val="00102E1C"/>
    <w:rsid w:val="001030F1"/>
    <w:rsid w:val="00103384"/>
    <w:rsid w:val="001035F0"/>
    <w:rsid w:val="00103793"/>
    <w:rsid w:val="001039D1"/>
    <w:rsid w:val="00103FC8"/>
    <w:rsid w:val="00104877"/>
    <w:rsid w:val="00104AC0"/>
    <w:rsid w:val="00104C22"/>
    <w:rsid w:val="00105096"/>
    <w:rsid w:val="0010547F"/>
    <w:rsid w:val="00105EEE"/>
    <w:rsid w:val="001067B2"/>
    <w:rsid w:val="00106D3C"/>
    <w:rsid w:val="0010734E"/>
    <w:rsid w:val="001076FC"/>
    <w:rsid w:val="00107CCE"/>
    <w:rsid w:val="001106BB"/>
    <w:rsid w:val="0011099D"/>
    <w:rsid w:val="001115F9"/>
    <w:rsid w:val="00112118"/>
    <w:rsid w:val="00112A7F"/>
    <w:rsid w:val="00112BD1"/>
    <w:rsid w:val="00112DA9"/>
    <w:rsid w:val="001133A5"/>
    <w:rsid w:val="0011383A"/>
    <w:rsid w:val="0011390E"/>
    <w:rsid w:val="00113D31"/>
    <w:rsid w:val="00113F5A"/>
    <w:rsid w:val="00113FB2"/>
    <w:rsid w:val="00114776"/>
    <w:rsid w:val="00114DA9"/>
    <w:rsid w:val="00115A3E"/>
    <w:rsid w:val="00115FED"/>
    <w:rsid w:val="00116176"/>
    <w:rsid w:val="00116240"/>
    <w:rsid w:val="0011632E"/>
    <w:rsid w:val="001164D2"/>
    <w:rsid w:val="0011683A"/>
    <w:rsid w:val="00116D80"/>
    <w:rsid w:val="00116D9F"/>
    <w:rsid w:val="001172FE"/>
    <w:rsid w:val="00117565"/>
    <w:rsid w:val="00117678"/>
    <w:rsid w:val="00117691"/>
    <w:rsid w:val="00117BD2"/>
    <w:rsid w:val="00120695"/>
    <w:rsid w:val="00120727"/>
    <w:rsid w:val="001207E3"/>
    <w:rsid w:val="001209FB"/>
    <w:rsid w:val="00120AA7"/>
    <w:rsid w:val="00121806"/>
    <w:rsid w:val="00121E0F"/>
    <w:rsid w:val="00122155"/>
    <w:rsid w:val="00122679"/>
    <w:rsid w:val="00122A78"/>
    <w:rsid w:val="00122F7B"/>
    <w:rsid w:val="001235F7"/>
    <w:rsid w:val="001241FF"/>
    <w:rsid w:val="00124354"/>
    <w:rsid w:val="0012436B"/>
    <w:rsid w:val="001245FA"/>
    <w:rsid w:val="00124DDD"/>
    <w:rsid w:val="00125A71"/>
    <w:rsid w:val="00125F06"/>
    <w:rsid w:val="001272EE"/>
    <w:rsid w:val="00130335"/>
    <w:rsid w:val="0013041E"/>
    <w:rsid w:val="001308CB"/>
    <w:rsid w:val="00131763"/>
    <w:rsid w:val="00131926"/>
    <w:rsid w:val="0013210A"/>
    <w:rsid w:val="00132298"/>
    <w:rsid w:val="0013283F"/>
    <w:rsid w:val="00132EA7"/>
    <w:rsid w:val="001336B5"/>
    <w:rsid w:val="00133771"/>
    <w:rsid w:val="00133B1E"/>
    <w:rsid w:val="00133B59"/>
    <w:rsid w:val="00133E04"/>
    <w:rsid w:val="001345F3"/>
    <w:rsid w:val="0013477B"/>
    <w:rsid w:val="00134FD0"/>
    <w:rsid w:val="00135308"/>
    <w:rsid w:val="00135379"/>
    <w:rsid w:val="00136AEA"/>
    <w:rsid w:val="00137007"/>
    <w:rsid w:val="00137032"/>
    <w:rsid w:val="001375B2"/>
    <w:rsid w:val="00137897"/>
    <w:rsid w:val="001379D4"/>
    <w:rsid w:val="0014168F"/>
    <w:rsid w:val="001418C5"/>
    <w:rsid w:val="001421CE"/>
    <w:rsid w:val="00142843"/>
    <w:rsid w:val="00142892"/>
    <w:rsid w:val="001430EC"/>
    <w:rsid w:val="00143335"/>
    <w:rsid w:val="0014335D"/>
    <w:rsid w:val="001438E3"/>
    <w:rsid w:val="00143F2B"/>
    <w:rsid w:val="0014426E"/>
    <w:rsid w:val="001443DA"/>
    <w:rsid w:val="00144B1A"/>
    <w:rsid w:val="00144B53"/>
    <w:rsid w:val="00145277"/>
    <w:rsid w:val="00145C4A"/>
    <w:rsid w:val="00146A92"/>
    <w:rsid w:val="00146AFF"/>
    <w:rsid w:val="00146C48"/>
    <w:rsid w:val="001474E1"/>
    <w:rsid w:val="0014789A"/>
    <w:rsid w:val="00147DBB"/>
    <w:rsid w:val="00150A42"/>
    <w:rsid w:val="00150B03"/>
    <w:rsid w:val="00150CE6"/>
    <w:rsid w:val="00151498"/>
    <w:rsid w:val="00152204"/>
    <w:rsid w:val="00152A46"/>
    <w:rsid w:val="00152F94"/>
    <w:rsid w:val="00153012"/>
    <w:rsid w:val="001531E8"/>
    <w:rsid w:val="001531F2"/>
    <w:rsid w:val="001539BF"/>
    <w:rsid w:val="00154259"/>
    <w:rsid w:val="00154572"/>
    <w:rsid w:val="001546B6"/>
    <w:rsid w:val="00155161"/>
    <w:rsid w:val="0015527D"/>
    <w:rsid w:val="00155AF1"/>
    <w:rsid w:val="00155D3A"/>
    <w:rsid w:val="00156020"/>
    <w:rsid w:val="00156A8D"/>
    <w:rsid w:val="00156AC4"/>
    <w:rsid w:val="0015753E"/>
    <w:rsid w:val="00157910"/>
    <w:rsid w:val="001604BA"/>
    <w:rsid w:val="00160A81"/>
    <w:rsid w:val="00160D02"/>
    <w:rsid w:val="00160F90"/>
    <w:rsid w:val="001614EB"/>
    <w:rsid w:val="0016187D"/>
    <w:rsid w:val="00161EB1"/>
    <w:rsid w:val="00162362"/>
    <w:rsid w:val="0016244B"/>
    <w:rsid w:val="00163486"/>
    <w:rsid w:val="00163923"/>
    <w:rsid w:val="00163CFA"/>
    <w:rsid w:val="00163D35"/>
    <w:rsid w:val="00164409"/>
    <w:rsid w:val="001649DB"/>
    <w:rsid w:val="0016526E"/>
    <w:rsid w:val="00165718"/>
    <w:rsid w:val="0016581C"/>
    <w:rsid w:val="00165A18"/>
    <w:rsid w:val="001663E2"/>
    <w:rsid w:val="00166F7D"/>
    <w:rsid w:val="001671F0"/>
    <w:rsid w:val="0016739E"/>
    <w:rsid w:val="00167910"/>
    <w:rsid w:val="00171077"/>
    <w:rsid w:val="00171A74"/>
    <w:rsid w:val="00171FAF"/>
    <w:rsid w:val="0017345D"/>
    <w:rsid w:val="00173688"/>
    <w:rsid w:val="00173FA1"/>
    <w:rsid w:val="00174477"/>
    <w:rsid w:val="0017495B"/>
    <w:rsid w:val="001751BD"/>
    <w:rsid w:val="00175203"/>
    <w:rsid w:val="00175842"/>
    <w:rsid w:val="00175911"/>
    <w:rsid w:val="001759AB"/>
    <w:rsid w:val="00176061"/>
    <w:rsid w:val="00176695"/>
    <w:rsid w:val="00176952"/>
    <w:rsid w:val="001769E3"/>
    <w:rsid w:val="00176AE8"/>
    <w:rsid w:val="00176CBD"/>
    <w:rsid w:val="001772F6"/>
    <w:rsid w:val="00177AA2"/>
    <w:rsid w:val="00177F3E"/>
    <w:rsid w:val="00177F94"/>
    <w:rsid w:val="00177FFA"/>
    <w:rsid w:val="00180191"/>
    <w:rsid w:val="0018025D"/>
    <w:rsid w:val="001804DA"/>
    <w:rsid w:val="00180DCB"/>
    <w:rsid w:val="00180F8A"/>
    <w:rsid w:val="001819E2"/>
    <w:rsid w:val="00181A95"/>
    <w:rsid w:val="00181D6A"/>
    <w:rsid w:val="00181F4D"/>
    <w:rsid w:val="0018250F"/>
    <w:rsid w:val="0018270F"/>
    <w:rsid w:val="00182C65"/>
    <w:rsid w:val="00182ED9"/>
    <w:rsid w:val="001830B7"/>
    <w:rsid w:val="00183B57"/>
    <w:rsid w:val="00183DE5"/>
    <w:rsid w:val="00184507"/>
    <w:rsid w:val="001849DA"/>
    <w:rsid w:val="00184C3B"/>
    <w:rsid w:val="00184DF6"/>
    <w:rsid w:val="00185784"/>
    <w:rsid w:val="00185BB6"/>
    <w:rsid w:val="0018626C"/>
    <w:rsid w:val="001864C2"/>
    <w:rsid w:val="0018674F"/>
    <w:rsid w:val="00186902"/>
    <w:rsid w:val="00187331"/>
    <w:rsid w:val="00187491"/>
    <w:rsid w:val="00187C56"/>
    <w:rsid w:val="001902BA"/>
    <w:rsid w:val="00190592"/>
    <w:rsid w:val="001909B9"/>
    <w:rsid w:val="00191929"/>
    <w:rsid w:val="00191C20"/>
    <w:rsid w:val="00192670"/>
    <w:rsid w:val="00192C86"/>
    <w:rsid w:val="0019347A"/>
    <w:rsid w:val="00193717"/>
    <w:rsid w:val="001938CB"/>
    <w:rsid w:val="00193C49"/>
    <w:rsid w:val="001941E1"/>
    <w:rsid w:val="001942F8"/>
    <w:rsid w:val="0019438A"/>
    <w:rsid w:val="001947C6"/>
    <w:rsid w:val="00194900"/>
    <w:rsid w:val="0019509A"/>
    <w:rsid w:val="00195377"/>
    <w:rsid w:val="00195727"/>
    <w:rsid w:val="0019578E"/>
    <w:rsid w:val="001959FE"/>
    <w:rsid w:val="00195AA0"/>
    <w:rsid w:val="00195E66"/>
    <w:rsid w:val="00195EB2"/>
    <w:rsid w:val="00195F3B"/>
    <w:rsid w:val="00196176"/>
    <w:rsid w:val="00196214"/>
    <w:rsid w:val="001966A6"/>
    <w:rsid w:val="00196FBF"/>
    <w:rsid w:val="001971AA"/>
    <w:rsid w:val="00197A58"/>
    <w:rsid w:val="001A015E"/>
    <w:rsid w:val="001A0D34"/>
    <w:rsid w:val="001A0DDF"/>
    <w:rsid w:val="001A1063"/>
    <w:rsid w:val="001A10AD"/>
    <w:rsid w:val="001A12A6"/>
    <w:rsid w:val="001A1577"/>
    <w:rsid w:val="001A1809"/>
    <w:rsid w:val="001A1CD1"/>
    <w:rsid w:val="001A2C04"/>
    <w:rsid w:val="001A33CF"/>
    <w:rsid w:val="001A3627"/>
    <w:rsid w:val="001A36B9"/>
    <w:rsid w:val="001A3FE7"/>
    <w:rsid w:val="001A4287"/>
    <w:rsid w:val="001A43BE"/>
    <w:rsid w:val="001A4716"/>
    <w:rsid w:val="001A4761"/>
    <w:rsid w:val="001A4C7D"/>
    <w:rsid w:val="001A4DD5"/>
    <w:rsid w:val="001A51CB"/>
    <w:rsid w:val="001A5488"/>
    <w:rsid w:val="001A5529"/>
    <w:rsid w:val="001A662D"/>
    <w:rsid w:val="001A7283"/>
    <w:rsid w:val="001A78D8"/>
    <w:rsid w:val="001A7B1D"/>
    <w:rsid w:val="001B11A2"/>
    <w:rsid w:val="001B16A9"/>
    <w:rsid w:val="001B1B8E"/>
    <w:rsid w:val="001B20D5"/>
    <w:rsid w:val="001B2922"/>
    <w:rsid w:val="001B2D91"/>
    <w:rsid w:val="001B31ED"/>
    <w:rsid w:val="001B4BE4"/>
    <w:rsid w:val="001B4C07"/>
    <w:rsid w:val="001B56D7"/>
    <w:rsid w:val="001B56FF"/>
    <w:rsid w:val="001B66FC"/>
    <w:rsid w:val="001B6A11"/>
    <w:rsid w:val="001B6A40"/>
    <w:rsid w:val="001B6CB4"/>
    <w:rsid w:val="001B70AA"/>
    <w:rsid w:val="001B748B"/>
    <w:rsid w:val="001B76C4"/>
    <w:rsid w:val="001B7708"/>
    <w:rsid w:val="001C089E"/>
    <w:rsid w:val="001C1088"/>
    <w:rsid w:val="001C1923"/>
    <w:rsid w:val="001C1B3A"/>
    <w:rsid w:val="001C2660"/>
    <w:rsid w:val="001C27E4"/>
    <w:rsid w:val="001C2867"/>
    <w:rsid w:val="001C2B8E"/>
    <w:rsid w:val="001C2E77"/>
    <w:rsid w:val="001C3053"/>
    <w:rsid w:val="001C35B6"/>
    <w:rsid w:val="001C3699"/>
    <w:rsid w:val="001C3DB1"/>
    <w:rsid w:val="001C4BFE"/>
    <w:rsid w:val="001C4C56"/>
    <w:rsid w:val="001C5505"/>
    <w:rsid w:val="001C5857"/>
    <w:rsid w:val="001C5AAD"/>
    <w:rsid w:val="001C5B04"/>
    <w:rsid w:val="001C6090"/>
    <w:rsid w:val="001C60BA"/>
    <w:rsid w:val="001C637E"/>
    <w:rsid w:val="001C6D2E"/>
    <w:rsid w:val="001C7235"/>
    <w:rsid w:val="001C76A5"/>
    <w:rsid w:val="001C782B"/>
    <w:rsid w:val="001C7A82"/>
    <w:rsid w:val="001D03B5"/>
    <w:rsid w:val="001D04F8"/>
    <w:rsid w:val="001D05E9"/>
    <w:rsid w:val="001D0B25"/>
    <w:rsid w:val="001D0C22"/>
    <w:rsid w:val="001D0F54"/>
    <w:rsid w:val="001D1351"/>
    <w:rsid w:val="001D1871"/>
    <w:rsid w:val="001D2149"/>
    <w:rsid w:val="001D299A"/>
    <w:rsid w:val="001D2B00"/>
    <w:rsid w:val="001D2E73"/>
    <w:rsid w:val="001D344A"/>
    <w:rsid w:val="001D3A7B"/>
    <w:rsid w:val="001D4211"/>
    <w:rsid w:val="001D4291"/>
    <w:rsid w:val="001D45F6"/>
    <w:rsid w:val="001D47FE"/>
    <w:rsid w:val="001D49C9"/>
    <w:rsid w:val="001D596B"/>
    <w:rsid w:val="001D5C15"/>
    <w:rsid w:val="001D7150"/>
    <w:rsid w:val="001D71C2"/>
    <w:rsid w:val="001E083D"/>
    <w:rsid w:val="001E1362"/>
    <w:rsid w:val="001E1AA8"/>
    <w:rsid w:val="001E1B25"/>
    <w:rsid w:val="001E2237"/>
    <w:rsid w:val="001E2242"/>
    <w:rsid w:val="001E258C"/>
    <w:rsid w:val="001E2A98"/>
    <w:rsid w:val="001E2E9A"/>
    <w:rsid w:val="001E2F5E"/>
    <w:rsid w:val="001E31E8"/>
    <w:rsid w:val="001E387C"/>
    <w:rsid w:val="001E39A1"/>
    <w:rsid w:val="001E3CD8"/>
    <w:rsid w:val="001E485E"/>
    <w:rsid w:val="001E4BEA"/>
    <w:rsid w:val="001E4CBB"/>
    <w:rsid w:val="001E5061"/>
    <w:rsid w:val="001E5062"/>
    <w:rsid w:val="001E5384"/>
    <w:rsid w:val="001E587E"/>
    <w:rsid w:val="001E5F99"/>
    <w:rsid w:val="001E6115"/>
    <w:rsid w:val="001E632E"/>
    <w:rsid w:val="001E663A"/>
    <w:rsid w:val="001E7D51"/>
    <w:rsid w:val="001E7D54"/>
    <w:rsid w:val="001F0474"/>
    <w:rsid w:val="001F065C"/>
    <w:rsid w:val="001F0727"/>
    <w:rsid w:val="001F0CED"/>
    <w:rsid w:val="001F0D5E"/>
    <w:rsid w:val="001F0E16"/>
    <w:rsid w:val="001F0EB2"/>
    <w:rsid w:val="001F10BC"/>
    <w:rsid w:val="001F1278"/>
    <w:rsid w:val="001F1730"/>
    <w:rsid w:val="001F28B2"/>
    <w:rsid w:val="001F2BBA"/>
    <w:rsid w:val="001F2E69"/>
    <w:rsid w:val="001F2EED"/>
    <w:rsid w:val="001F321C"/>
    <w:rsid w:val="001F38B3"/>
    <w:rsid w:val="001F3DAC"/>
    <w:rsid w:val="001F4048"/>
    <w:rsid w:val="001F4895"/>
    <w:rsid w:val="001F4D36"/>
    <w:rsid w:val="001F4D98"/>
    <w:rsid w:val="001F4FA4"/>
    <w:rsid w:val="001F4FAD"/>
    <w:rsid w:val="001F5BD5"/>
    <w:rsid w:val="001F5E4C"/>
    <w:rsid w:val="001F5F53"/>
    <w:rsid w:val="001F5F5E"/>
    <w:rsid w:val="001F683A"/>
    <w:rsid w:val="001F6C40"/>
    <w:rsid w:val="001F6C8F"/>
    <w:rsid w:val="001F6D2E"/>
    <w:rsid w:val="00200723"/>
    <w:rsid w:val="00200F6E"/>
    <w:rsid w:val="00201133"/>
    <w:rsid w:val="002013F2"/>
    <w:rsid w:val="00201CD7"/>
    <w:rsid w:val="00201D7C"/>
    <w:rsid w:val="00201FC8"/>
    <w:rsid w:val="002023B1"/>
    <w:rsid w:val="00202CC5"/>
    <w:rsid w:val="00203ADB"/>
    <w:rsid w:val="00203DE4"/>
    <w:rsid w:val="00204493"/>
    <w:rsid w:val="002048F1"/>
    <w:rsid w:val="00204E00"/>
    <w:rsid w:val="00204E88"/>
    <w:rsid w:val="00205020"/>
    <w:rsid w:val="00205640"/>
    <w:rsid w:val="00205B38"/>
    <w:rsid w:val="00205BB9"/>
    <w:rsid w:val="00206668"/>
    <w:rsid w:val="002067B3"/>
    <w:rsid w:val="0020685B"/>
    <w:rsid w:val="00206AC1"/>
    <w:rsid w:val="00206BC6"/>
    <w:rsid w:val="00206DCC"/>
    <w:rsid w:val="00207685"/>
    <w:rsid w:val="0021076A"/>
    <w:rsid w:val="0021084E"/>
    <w:rsid w:val="002109E9"/>
    <w:rsid w:val="00210A78"/>
    <w:rsid w:val="00210B9B"/>
    <w:rsid w:val="0021138F"/>
    <w:rsid w:val="002113BF"/>
    <w:rsid w:val="00212F50"/>
    <w:rsid w:val="002136EB"/>
    <w:rsid w:val="002137BB"/>
    <w:rsid w:val="00213943"/>
    <w:rsid w:val="00213D22"/>
    <w:rsid w:val="0021463F"/>
    <w:rsid w:val="00214828"/>
    <w:rsid w:val="002148E8"/>
    <w:rsid w:val="002152AA"/>
    <w:rsid w:val="00215EAA"/>
    <w:rsid w:val="00216129"/>
    <w:rsid w:val="00216311"/>
    <w:rsid w:val="0021699B"/>
    <w:rsid w:val="00216B29"/>
    <w:rsid w:val="00216D3A"/>
    <w:rsid w:val="00216D3E"/>
    <w:rsid w:val="0021768F"/>
    <w:rsid w:val="00217C6F"/>
    <w:rsid w:val="002201BE"/>
    <w:rsid w:val="00220421"/>
    <w:rsid w:val="002206DC"/>
    <w:rsid w:val="00220D76"/>
    <w:rsid w:val="0022115D"/>
    <w:rsid w:val="00221E78"/>
    <w:rsid w:val="0022246F"/>
    <w:rsid w:val="00222635"/>
    <w:rsid w:val="002226D5"/>
    <w:rsid w:val="0022297B"/>
    <w:rsid w:val="00222B35"/>
    <w:rsid w:val="00223012"/>
    <w:rsid w:val="002235AA"/>
    <w:rsid w:val="002236D6"/>
    <w:rsid w:val="00223E05"/>
    <w:rsid w:val="00223E5E"/>
    <w:rsid w:val="002242ED"/>
    <w:rsid w:val="00224319"/>
    <w:rsid w:val="00224DAA"/>
    <w:rsid w:val="00225206"/>
    <w:rsid w:val="00225251"/>
    <w:rsid w:val="0022551E"/>
    <w:rsid w:val="00225536"/>
    <w:rsid w:val="00225E4B"/>
    <w:rsid w:val="00225F34"/>
    <w:rsid w:val="00226608"/>
    <w:rsid w:val="00226808"/>
    <w:rsid w:val="00226952"/>
    <w:rsid w:val="00226C3B"/>
    <w:rsid w:val="00226DA9"/>
    <w:rsid w:val="00227310"/>
    <w:rsid w:val="002276E7"/>
    <w:rsid w:val="00227972"/>
    <w:rsid w:val="00227BED"/>
    <w:rsid w:val="00227DDE"/>
    <w:rsid w:val="002305C0"/>
    <w:rsid w:val="00230649"/>
    <w:rsid w:val="00230864"/>
    <w:rsid w:val="002313E8"/>
    <w:rsid w:val="00231522"/>
    <w:rsid w:val="00231AEF"/>
    <w:rsid w:val="0023260F"/>
    <w:rsid w:val="00232ABC"/>
    <w:rsid w:val="00232AFD"/>
    <w:rsid w:val="00232C2B"/>
    <w:rsid w:val="00232E64"/>
    <w:rsid w:val="00232FAB"/>
    <w:rsid w:val="00233246"/>
    <w:rsid w:val="00233C6E"/>
    <w:rsid w:val="00233FD9"/>
    <w:rsid w:val="00234671"/>
    <w:rsid w:val="00235056"/>
    <w:rsid w:val="002359DE"/>
    <w:rsid w:val="002359FB"/>
    <w:rsid w:val="00235D0B"/>
    <w:rsid w:val="00236789"/>
    <w:rsid w:val="00236897"/>
    <w:rsid w:val="00236A0A"/>
    <w:rsid w:val="00236AFB"/>
    <w:rsid w:val="00236F5C"/>
    <w:rsid w:val="00237A32"/>
    <w:rsid w:val="00237B17"/>
    <w:rsid w:val="00237D5E"/>
    <w:rsid w:val="00240062"/>
    <w:rsid w:val="002403D4"/>
    <w:rsid w:val="002405FB"/>
    <w:rsid w:val="00241264"/>
    <w:rsid w:val="00241351"/>
    <w:rsid w:val="002415D1"/>
    <w:rsid w:val="00241B94"/>
    <w:rsid w:val="002420E1"/>
    <w:rsid w:val="00243045"/>
    <w:rsid w:val="00243521"/>
    <w:rsid w:val="0024362E"/>
    <w:rsid w:val="00243940"/>
    <w:rsid w:val="00243B2C"/>
    <w:rsid w:val="00243CFD"/>
    <w:rsid w:val="0024504A"/>
    <w:rsid w:val="0024562C"/>
    <w:rsid w:val="0024621D"/>
    <w:rsid w:val="002466F3"/>
    <w:rsid w:val="002469DD"/>
    <w:rsid w:val="002470E3"/>
    <w:rsid w:val="00247117"/>
    <w:rsid w:val="002475BF"/>
    <w:rsid w:val="00247726"/>
    <w:rsid w:val="00247E80"/>
    <w:rsid w:val="00250716"/>
    <w:rsid w:val="002509CA"/>
    <w:rsid w:val="0025188D"/>
    <w:rsid w:val="00252096"/>
    <w:rsid w:val="00252257"/>
    <w:rsid w:val="00252864"/>
    <w:rsid w:val="00252C53"/>
    <w:rsid w:val="002535E3"/>
    <w:rsid w:val="00253D66"/>
    <w:rsid w:val="00253D75"/>
    <w:rsid w:val="002540FC"/>
    <w:rsid w:val="00255130"/>
    <w:rsid w:val="00255288"/>
    <w:rsid w:val="002557EF"/>
    <w:rsid w:val="002559DC"/>
    <w:rsid w:val="00255BD3"/>
    <w:rsid w:val="002562E9"/>
    <w:rsid w:val="002567F2"/>
    <w:rsid w:val="00256E8E"/>
    <w:rsid w:val="00256F53"/>
    <w:rsid w:val="00257619"/>
    <w:rsid w:val="00257D1B"/>
    <w:rsid w:val="00257F70"/>
    <w:rsid w:val="002601F5"/>
    <w:rsid w:val="00260254"/>
    <w:rsid w:val="002612B3"/>
    <w:rsid w:val="002612F2"/>
    <w:rsid w:val="00261A43"/>
    <w:rsid w:val="00262045"/>
    <w:rsid w:val="002622D3"/>
    <w:rsid w:val="00262322"/>
    <w:rsid w:val="00262E3B"/>
    <w:rsid w:val="00263618"/>
    <w:rsid w:val="002639A5"/>
    <w:rsid w:val="00263C1F"/>
    <w:rsid w:val="00264157"/>
    <w:rsid w:val="00264193"/>
    <w:rsid w:val="00264682"/>
    <w:rsid w:val="0026492E"/>
    <w:rsid w:val="00264BD3"/>
    <w:rsid w:val="00265433"/>
    <w:rsid w:val="00265769"/>
    <w:rsid w:val="00265FAA"/>
    <w:rsid w:val="002661EB"/>
    <w:rsid w:val="002662B2"/>
    <w:rsid w:val="002666D1"/>
    <w:rsid w:val="0026688C"/>
    <w:rsid w:val="002668F1"/>
    <w:rsid w:val="0026698A"/>
    <w:rsid w:val="00266C00"/>
    <w:rsid w:val="00266C46"/>
    <w:rsid w:val="00266F1B"/>
    <w:rsid w:val="00267113"/>
    <w:rsid w:val="002672CC"/>
    <w:rsid w:val="00267949"/>
    <w:rsid w:val="00270907"/>
    <w:rsid w:val="00270990"/>
    <w:rsid w:val="00270B39"/>
    <w:rsid w:val="00270B61"/>
    <w:rsid w:val="00271238"/>
    <w:rsid w:val="00271B3E"/>
    <w:rsid w:val="0027234B"/>
    <w:rsid w:val="00272470"/>
    <w:rsid w:val="002726B8"/>
    <w:rsid w:val="002732AA"/>
    <w:rsid w:val="002737B7"/>
    <w:rsid w:val="00273A4C"/>
    <w:rsid w:val="00273E3D"/>
    <w:rsid w:val="002740DF"/>
    <w:rsid w:val="0027454B"/>
    <w:rsid w:val="00274BAF"/>
    <w:rsid w:val="00274F31"/>
    <w:rsid w:val="002758FD"/>
    <w:rsid w:val="00275E36"/>
    <w:rsid w:val="0027609C"/>
    <w:rsid w:val="002760F7"/>
    <w:rsid w:val="0027645E"/>
    <w:rsid w:val="0027676B"/>
    <w:rsid w:val="00276935"/>
    <w:rsid w:val="00276D8B"/>
    <w:rsid w:val="002773FC"/>
    <w:rsid w:val="00277614"/>
    <w:rsid w:val="002777A0"/>
    <w:rsid w:val="002778C2"/>
    <w:rsid w:val="00277F85"/>
    <w:rsid w:val="002803B4"/>
    <w:rsid w:val="002803E2"/>
    <w:rsid w:val="0028052B"/>
    <w:rsid w:val="00280597"/>
    <w:rsid w:val="00280628"/>
    <w:rsid w:val="00281234"/>
    <w:rsid w:val="00281C9E"/>
    <w:rsid w:val="002821D7"/>
    <w:rsid w:val="00282644"/>
    <w:rsid w:val="00283095"/>
    <w:rsid w:val="002830A0"/>
    <w:rsid w:val="00283555"/>
    <w:rsid w:val="00283F76"/>
    <w:rsid w:val="002842EA"/>
    <w:rsid w:val="00284DDA"/>
    <w:rsid w:val="00284FB9"/>
    <w:rsid w:val="00285D64"/>
    <w:rsid w:val="00285E07"/>
    <w:rsid w:val="00285E28"/>
    <w:rsid w:val="0028676C"/>
    <w:rsid w:val="00287180"/>
    <w:rsid w:val="00287378"/>
    <w:rsid w:val="00287685"/>
    <w:rsid w:val="00290087"/>
    <w:rsid w:val="0029014A"/>
    <w:rsid w:val="00290581"/>
    <w:rsid w:val="00290682"/>
    <w:rsid w:val="00290B80"/>
    <w:rsid w:val="00291180"/>
    <w:rsid w:val="00291361"/>
    <w:rsid w:val="00291BD0"/>
    <w:rsid w:val="002929B5"/>
    <w:rsid w:val="00292A63"/>
    <w:rsid w:val="00292ACF"/>
    <w:rsid w:val="00293049"/>
    <w:rsid w:val="0029327D"/>
    <w:rsid w:val="00293816"/>
    <w:rsid w:val="00293823"/>
    <w:rsid w:val="00293C25"/>
    <w:rsid w:val="00293F79"/>
    <w:rsid w:val="0029489A"/>
    <w:rsid w:val="00294B61"/>
    <w:rsid w:val="00294FEB"/>
    <w:rsid w:val="0029554B"/>
    <w:rsid w:val="00295B69"/>
    <w:rsid w:val="00295C3A"/>
    <w:rsid w:val="00295EDD"/>
    <w:rsid w:val="002962CE"/>
    <w:rsid w:val="002962F0"/>
    <w:rsid w:val="00296848"/>
    <w:rsid w:val="002970E6"/>
    <w:rsid w:val="002978B4"/>
    <w:rsid w:val="00297D63"/>
    <w:rsid w:val="002A019B"/>
    <w:rsid w:val="002A0207"/>
    <w:rsid w:val="002A02E6"/>
    <w:rsid w:val="002A05BE"/>
    <w:rsid w:val="002A0B8A"/>
    <w:rsid w:val="002A1017"/>
    <w:rsid w:val="002A107D"/>
    <w:rsid w:val="002A1247"/>
    <w:rsid w:val="002A15C8"/>
    <w:rsid w:val="002A1B24"/>
    <w:rsid w:val="002A1E40"/>
    <w:rsid w:val="002A1E8F"/>
    <w:rsid w:val="002A1F7E"/>
    <w:rsid w:val="002A21BD"/>
    <w:rsid w:val="002A2467"/>
    <w:rsid w:val="002A270F"/>
    <w:rsid w:val="002A2898"/>
    <w:rsid w:val="002A28C7"/>
    <w:rsid w:val="002A2F76"/>
    <w:rsid w:val="002A2F87"/>
    <w:rsid w:val="002A3014"/>
    <w:rsid w:val="002A315B"/>
    <w:rsid w:val="002A33DE"/>
    <w:rsid w:val="002A38BC"/>
    <w:rsid w:val="002A3F53"/>
    <w:rsid w:val="002A43FF"/>
    <w:rsid w:val="002A4A53"/>
    <w:rsid w:val="002A4D64"/>
    <w:rsid w:val="002A4DEC"/>
    <w:rsid w:val="002A4EEF"/>
    <w:rsid w:val="002A5BA1"/>
    <w:rsid w:val="002A609B"/>
    <w:rsid w:val="002A60A4"/>
    <w:rsid w:val="002A64D6"/>
    <w:rsid w:val="002A6A3C"/>
    <w:rsid w:val="002A6BAD"/>
    <w:rsid w:val="002A6E5C"/>
    <w:rsid w:val="002A74B2"/>
    <w:rsid w:val="002A768E"/>
    <w:rsid w:val="002A769F"/>
    <w:rsid w:val="002A7B4C"/>
    <w:rsid w:val="002B00D1"/>
    <w:rsid w:val="002B0400"/>
    <w:rsid w:val="002B06E1"/>
    <w:rsid w:val="002B0B3D"/>
    <w:rsid w:val="002B0F06"/>
    <w:rsid w:val="002B1E89"/>
    <w:rsid w:val="002B1F19"/>
    <w:rsid w:val="002B1F47"/>
    <w:rsid w:val="002B22C7"/>
    <w:rsid w:val="002B2489"/>
    <w:rsid w:val="002B263C"/>
    <w:rsid w:val="002B2888"/>
    <w:rsid w:val="002B28DD"/>
    <w:rsid w:val="002B2B9D"/>
    <w:rsid w:val="002B4012"/>
    <w:rsid w:val="002B414A"/>
    <w:rsid w:val="002B4371"/>
    <w:rsid w:val="002B4602"/>
    <w:rsid w:val="002B487C"/>
    <w:rsid w:val="002B506F"/>
    <w:rsid w:val="002B5855"/>
    <w:rsid w:val="002B586E"/>
    <w:rsid w:val="002B5DCC"/>
    <w:rsid w:val="002B68FF"/>
    <w:rsid w:val="002B6A5F"/>
    <w:rsid w:val="002B6C62"/>
    <w:rsid w:val="002B7A36"/>
    <w:rsid w:val="002B7A38"/>
    <w:rsid w:val="002B7AA3"/>
    <w:rsid w:val="002B7CA0"/>
    <w:rsid w:val="002B7FDA"/>
    <w:rsid w:val="002C053F"/>
    <w:rsid w:val="002C0F9C"/>
    <w:rsid w:val="002C1166"/>
    <w:rsid w:val="002C1885"/>
    <w:rsid w:val="002C1FC0"/>
    <w:rsid w:val="002C2EE5"/>
    <w:rsid w:val="002C310A"/>
    <w:rsid w:val="002C3B6B"/>
    <w:rsid w:val="002C41BE"/>
    <w:rsid w:val="002C45FF"/>
    <w:rsid w:val="002C4A32"/>
    <w:rsid w:val="002C4B49"/>
    <w:rsid w:val="002C4F82"/>
    <w:rsid w:val="002C504D"/>
    <w:rsid w:val="002C52C8"/>
    <w:rsid w:val="002C5686"/>
    <w:rsid w:val="002C5AEA"/>
    <w:rsid w:val="002C5C72"/>
    <w:rsid w:val="002C5FCF"/>
    <w:rsid w:val="002C644B"/>
    <w:rsid w:val="002C6C36"/>
    <w:rsid w:val="002C70F8"/>
    <w:rsid w:val="002C75E5"/>
    <w:rsid w:val="002C75EE"/>
    <w:rsid w:val="002C77E1"/>
    <w:rsid w:val="002D01CA"/>
    <w:rsid w:val="002D04A0"/>
    <w:rsid w:val="002D0D3D"/>
    <w:rsid w:val="002D186F"/>
    <w:rsid w:val="002D1CC0"/>
    <w:rsid w:val="002D1E43"/>
    <w:rsid w:val="002D23C7"/>
    <w:rsid w:val="002D2E2A"/>
    <w:rsid w:val="002D2F37"/>
    <w:rsid w:val="002D443D"/>
    <w:rsid w:val="002D4495"/>
    <w:rsid w:val="002D4A4F"/>
    <w:rsid w:val="002D5536"/>
    <w:rsid w:val="002D5A58"/>
    <w:rsid w:val="002D5D11"/>
    <w:rsid w:val="002D64C6"/>
    <w:rsid w:val="002D64F0"/>
    <w:rsid w:val="002D6B79"/>
    <w:rsid w:val="002D6C64"/>
    <w:rsid w:val="002D6DE4"/>
    <w:rsid w:val="002D6E5C"/>
    <w:rsid w:val="002D6FED"/>
    <w:rsid w:val="002D77B2"/>
    <w:rsid w:val="002D7C81"/>
    <w:rsid w:val="002E004B"/>
    <w:rsid w:val="002E0164"/>
    <w:rsid w:val="002E08FB"/>
    <w:rsid w:val="002E0A78"/>
    <w:rsid w:val="002E0E74"/>
    <w:rsid w:val="002E1227"/>
    <w:rsid w:val="002E180A"/>
    <w:rsid w:val="002E1AEB"/>
    <w:rsid w:val="002E2B07"/>
    <w:rsid w:val="002E2E63"/>
    <w:rsid w:val="002E300A"/>
    <w:rsid w:val="002E3BFD"/>
    <w:rsid w:val="002E3C2C"/>
    <w:rsid w:val="002E3E8E"/>
    <w:rsid w:val="002E4C05"/>
    <w:rsid w:val="002E4C9C"/>
    <w:rsid w:val="002E508D"/>
    <w:rsid w:val="002E53F7"/>
    <w:rsid w:val="002E591D"/>
    <w:rsid w:val="002E5C4B"/>
    <w:rsid w:val="002E5C76"/>
    <w:rsid w:val="002E68D1"/>
    <w:rsid w:val="002E70F8"/>
    <w:rsid w:val="002E7607"/>
    <w:rsid w:val="002E78F5"/>
    <w:rsid w:val="002E7DEC"/>
    <w:rsid w:val="002E7FD6"/>
    <w:rsid w:val="002F022C"/>
    <w:rsid w:val="002F0694"/>
    <w:rsid w:val="002F0A13"/>
    <w:rsid w:val="002F1261"/>
    <w:rsid w:val="002F1FE9"/>
    <w:rsid w:val="002F2262"/>
    <w:rsid w:val="002F2580"/>
    <w:rsid w:val="002F3541"/>
    <w:rsid w:val="002F46C5"/>
    <w:rsid w:val="002F50AA"/>
    <w:rsid w:val="002F574F"/>
    <w:rsid w:val="002F598D"/>
    <w:rsid w:val="002F5B0C"/>
    <w:rsid w:val="002F5D2F"/>
    <w:rsid w:val="002F5EE6"/>
    <w:rsid w:val="002F5F25"/>
    <w:rsid w:val="002F6591"/>
    <w:rsid w:val="002F6884"/>
    <w:rsid w:val="002F68BD"/>
    <w:rsid w:val="002F72B3"/>
    <w:rsid w:val="002F72DA"/>
    <w:rsid w:val="002F7598"/>
    <w:rsid w:val="002F79C1"/>
    <w:rsid w:val="00300193"/>
    <w:rsid w:val="0030053C"/>
    <w:rsid w:val="00300E6F"/>
    <w:rsid w:val="0030152E"/>
    <w:rsid w:val="00301873"/>
    <w:rsid w:val="00301B4C"/>
    <w:rsid w:val="00301D51"/>
    <w:rsid w:val="00301E2D"/>
    <w:rsid w:val="0030217D"/>
    <w:rsid w:val="003024AB"/>
    <w:rsid w:val="00302BBD"/>
    <w:rsid w:val="00303864"/>
    <w:rsid w:val="00303B59"/>
    <w:rsid w:val="00303C8B"/>
    <w:rsid w:val="00304A61"/>
    <w:rsid w:val="0030534C"/>
    <w:rsid w:val="0030573C"/>
    <w:rsid w:val="003058A2"/>
    <w:rsid w:val="00305A28"/>
    <w:rsid w:val="00305BE9"/>
    <w:rsid w:val="00305ECB"/>
    <w:rsid w:val="0030618D"/>
    <w:rsid w:val="003063F2"/>
    <w:rsid w:val="00306682"/>
    <w:rsid w:val="00306D86"/>
    <w:rsid w:val="00307908"/>
    <w:rsid w:val="00307AD6"/>
    <w:rsid w:val="00307EFB"/>
    <w:rsid w:val="00310524"/>
    <w:rsid w:val="0031157E"/>
    <w:rsid w:val="00311A03"/>
    <w:rsid w:val="00312440"/>
    <w:rsid w:val="003126BC"/>
    <w:rsid w:val="003126E3"/>
    <w:rsid w:val="00312836"/>
    <w:rsid w:val="003131B2"/>
    <w:rsid w:val="00313497"/>
    <w:rsid w:val="003135D9"/>
    <w:rsid w:val="00313766"/>
    <w:rsid w:val="0031390E"/>
    <w:rsid w:val="00313B20"/>
    <w:rsid w:val="00313C34"/>
    <w:rsid w:val="003142D8"/>
    <w:rsid w:val="003149F4"/>
    <w:rsid w:val="00314CFF"/>
    <w:rsid w:val="00314F1A"/>
    <w:rsid w:val="0031514C"/>
    <w:rsid w:val="00315387"/>
    <w:rsid w:val="00315535"/>
    <w:rsid w:val="0031562E"/>
    <w:rsid w:val="0031576B"/>
    <w:rsid w:val="003168F6"/>
    <w:rsid w:val="00316E9B"/>
    <w:rsid w:val="0031721C"/>
    <w:rsid w:val="0031730D"/>
    <w:rsid w:val="003175AA"/>
    <w:rsid w:val="0031766E"/>
    <w:rsid w:val="00317EA8"/>
    <w:rsid w:val="0032020B"/>
    <w:rsid w:val="00320239"/>
    <w:rsid w:val="0032047E"/>
    <w:rsid w:val="0032060B"/>
    <w:rsid w:val="003206CC"/>
    <w:rsid w:val="0032132B"/>
    <w:rsid w:val="00321D5A"/>
    <w:rsid w:val="0032227A"/>
    <w:rsid w:val="003224BA"/>
    <w:rsid w:val="00322838"/>
    <w:rsid w:val="00322B3D"/>
    <w:rsid w:val="003231F5"/>
    <w:rsid w:val="00323A29"/>
    <w:rsid w:val="00323CBE"/>
    <w:rsid w:val="0032418F"/>
    <w:rsid w:val="003245CF"/>
    <w:rsid w:val="00324EDE"/>
    <w:rsid w:val="00325096"/>
    <w:rsid w:val="0032522B"/>
    <w:rsid w:val="003254F2"/>
    <w:rsid w:val="00325A12"/>
    <w:rsid w:val="00326715"/>
    <w:rsid w:val="00326911"/>
    <w:rsid w:val="00327BC3"/>
    <w:rsid w:val="003308FE"/>
    <w:rsid w:val="00331417"/>
    <w:rsid w:val="00331486"/>
    <w:rsid w:val="00331560"/>
    <w:rsid w:val="0033173D"/>
    <w:rsid w:val="00331A23"/>
    <w:rsid w:val="00331A42"/>
    <w:rsid w:val="00332990"/>
    <w:rsid w:val="00332A94"/>
    <w:rsid w:val="00332BBA"/>
    <w:rsid w:val="00332D00"/>
    <w:rsid w:val="00333F26"/>
    <w:rsid w:val="00334B78"/>
    <w:rsid w:val="003358F1"/>
    <w:rsid w:val="00335E2B"/>
    <w:rsid w:val="00336302"/>
    <w:rsid w:val="00336DF6"/>
    <w:rsid w:val="00337436"/>
    <w:rsid w:val="00337570"/>
    <w:rsid w:val="003375E4"/>
    <w:rsid w:val="003378CB"/>
    <w:rsid w:val="00340445"/>
    <w:rsid w:val="00340A37"/>
    <w:rsid w:val="00340B33"/>
    <w:rsid w:val="00340B5D"/>
    <w:rsid w:val="0034127F"/>
    <w:rsid w:val="00341F9C"/>
    <w:rsid w:val="00342994"/>
    <w:rsid w:val="0034387A"/>
    <w:rsid w:val="00344361"/>
    <w:rsid w:val="003448D0"/>
    <w:rsid w:val="00344B96"/>
    <w:rsid w:val="00344E90"/>
    <w:rsid w:val="00345263"/>
    <w:rsid w:val="003456AE"/>
    <w:rsid w:val="00345D27"/>
    <w:rsid w:val="00345D9D"/>
    <w:rsid w:val="00346801"/>
    <w:rsid w:val="00346A3C"/>
    <w:rsid w:val="003472C2"/>
    <w:rsid w:val="0034749C"/>
    <w:rsid w:val="00347BD8"/>
    <w:rsid w:val="0035034E"/>
    <w:rsid w:val="00350688"/>
    <w:rsid w:val="003508C4"/>
    <w:rsid w:val="00350A18"/>
    <w:rsid w:val="00350B98"/>
    <w:rsid w:val="00350C55"/>
    <w:rsid w:val="00350F2A"/>
    <w:rsid w:val="003510D8"/>
    <w:rsid w:val="00351593"/>
    <w:rsid w:val="00351D9C"/>
    <w:rsid w:val="00352ED0"/>
    <w:rsid w:val="00353470"/>
    <w:rsid w:val="003537CE"/>
    <w:rsid w:val="00353A66"/>
    <w:rsid w:val="00353D54"/>
    <w:rsid w:val="00353F49"/>
    <w:rsid w:val="003548E4"/>
    <w:rsid w:val="00354E92"/>
    <w:rsid w:val="003554B6"/>
    <w:rsid w:val="0035556D"/>
    <w:rsid w:val="00355998"/>
    <w:rsid w:val="00355C80"/>
    <w:rsid w:val="003565CC"/>
    <w:rsid w:val="0035693B"/>
    <w:rsid w:val="00356B5F"/>
    <w:rsid w:val="00356C68"/>
    <w:rsid w:val="003575D7"/>
    <w:rsid w:val="00357C11"/>
    <w:rsid w:val="00360025"/>
    <w:rsid w:val="00360CDF"/>
    <w:rsid w:val="00361088"/>
    <w:rsid w:val="00362229"/>
    <w:rsid w:val="00362A3D"/>
    <w:rsid w:val="0036366F"/>
    <w:rsid w:val="003642D5"/>
    <w:rsid w:val="003647E4"/>
    <w:rsid w:val="003649D3"/>
    <w:rsid w:val="0036532E"/>
    <w:rsid w:val="0036537E"/>
    <w:rsid w:val="003656C1"/>
    <w:rsid w:val="00365EB2"/>
    <w:rsid w:val="00367517"/>
    <w:rsid w:val="003676CA"/>
    <w:rsid w:val="00367F9D"/>
    <w:rsid w:val="00367FBD"/>
    <w:rsid w:val="00370015"/>
    <w:rsid w:val="00370983"/>
    <w:rsid w:val="00370F24"/>
    <w:rsid w:val="00371079"/>
    <w:rsid w:val="00371179"/>
    <w:rsid w:val="00371BA9"/>
    <w:rsid w:val="00371ECF"/>
    <w:rsid w:val="00372393"/>
    <w:rsid w:val="00372D8F"/>
    <w:rsid w:val="003731A6"/>
    <w:rsid w:val="00373B17"/>
    <w:rsid w:val="00373E55"/>
    <w:rsid w:val="0037517E"/>
    <w:rsid w:val="00375196"/>
    <w:rsid w:val="00375BAA"/>
    <w:rsid w:val="00375C77"/>
    <w:rsid w:val="00375CAF"/>
    <w:rsid w:val="00376714"/>
    <w:rsid w:val="0037713C"/>
    <w:rsid w:val="00377230"/>
    <w:rsid w:val="00377616"/>
    <w:rsid w:val="003778C8"/>
    <w:rsid w:val="00377DAE"/>
    <w:rsid w:val="00377E5A"/>
    <w:rsid w:val="00380DA2"/>
    <w:rsid w:val="00381183"/>
    <w:rsid w:val="003815E2"/>
    <w:rsid w:val="0038167A"/>
    <w:rsid w:val="003816F6"/>
    <w:rsid w:val="00382022"/>
    <w:rsid w:val="00382314"/>
    <w:rsid w:val="003825F8"/>
    <w:rsid w:val="00382648"/>
    <w:rsid w:val="00382E67"/>
    <w:rsid w:val="0038366D"/>
    <w:rsid w:val="00383A50"/>
    <w:rsid w:val="00383AA7"/>
    <w:rsid w:val="003858D2"/>
    <w:rsid w:val="003858E9"/>
    <w:rsid w:val="00385943"/>
    <w:rsid w:val="00385D5C"/>
    <w:rsid w:val="00385E46"/>
    <w:rsid w:val="00386DFD"/>
    <w:rsid w:val="0038747E"/>
    <w:rsid w:val="003879DB"/>
    <w:rsid w:val="003901D8"/>
    <w:rsid w:val="003902A1"/>
    <w:rsid w:val="00391726"/>
    <w:rsid w:val="003917F3"/>
    <w:rsid w:val="00391A6D"/>
    <w:rsid w:val="00392141"/>
    <w:rsid w:val="0039263E"/>
    <w:rsid w:val="0039268E"/>
    <w:rsid w:val="00392F47"/>
    <w:rsid w:val="00392FF8"/>
    <w:rsid w:val="003932E6"/>
    <w:rsid w:val="003938C1"/>
    <w:rsid w:val="0039466D"/>
    <w:rsid w:val="0039466E"/>
    <w:rsid w:val="00394AF3"/>
    <w:rsid w:val="003950C7"/>
    <w:rsid w:val="00395449"/>
    <w:rsid w:val="0039590B"/>
    <w:rsid w:val="00395B5E"/>
    <w:rsid w:val="00395CA4"/>
    <w:rsid w:val="00395F00"/>
    <w:rsid w:val="0039649E"/>
    <w:rsid w:val="00396D44"/>
    <w:rsid w:val="003975FA"/>
    <w:rsid w:val="003977D7"/>
    <w:rsid w:val="00397A73"/>
    <w:rsid w:val="00397F8E"/>
    <w:rsid w:val="003A0ED8"/>
    <w:rsid w:val="003A0FE9"/>
    <w:rsid w:val="003A176D"/>
    <w:rsid w:val="003A1C15"/>
    <w:rsid w:val="003A1F30"/>
    <w:rsid w:val="003A2216"/>
    <w:rsid w:val="003A2476"/>
    <w:rsid w:val="003A25C1"/>
    <w:rsid w:val="003A281C"/>
    <w:rsid w:val="003A29D6"/>
    <w:rsid w:val="003A2EDB"/>
    <w:rsid w:val="003A33CA"/>
    <w:rsid w:val="003A4346"/>
    <w:rsid w:val="003A455E"/>
    <w:rsid w:val="003A49C3"/>
    <w:rsid w:val="003A4D12"/>
    <w:rsid w:val="003A51BD"/>
    <w:rsid w:val="003A5CDC"/>
    <w:rsid w:val="003A66E8"/>
    <w:rsid w:val="003A6940"/>
    <w:rsid w:val="003A6ACE"/>
    <w:rsid w:val="003A6BA8"/>
    <w:rsid w:val="003A6C94"/>
    <w:rsid w:val="003A7021"/>
    <w:rsid w:val="003A7469"/>
    <w:rsid w:val="003A7B23"/>
    <w:rsid w:val="003B0912"/>
    <w:rsid w:val="003B0C16"/>
    <w:rsid w:val="003B1017"/>
    <w:rsid w:val="003B1044"/>
    <w:rsid w:val="003B192B"/>
    <w:rsid w:val="003B194B"/>
    <w:rsid w:val="003B1F5C"/>
    <w:rsid w:val="003B2600"/>
    <w:rsid w:val="003B3207"/>
    <w:rsid w:val="003B34F5"/>
    <w:rsid w:val="003B3C59"/>
    <w:rsid w:val="003B3D00"/>
    <w:rsid w:val="003B4081"/>
    <w:rsid w:val="003B40CB"/>
    <w:rsid w:val="003B40D9"/>
    <w:rsid w:val="003B495B"/>
    <w:rsid w:val="003B55F8"/>
    <w:rsid w:val="003B5609"/>
    <w:rsid w:val="003B5906"/>
    <w:rsid w:val="003B5A5D"/>
    <w:rsid w:val="003B5B70"/>
    <w:rsid w:val="003B7488"/>
    <w:rsid w:val="003B759C"/>
    <w:rsid w:val="003C0386"/>
    <w:rsid w:val="003C052F"/>
    <w:rsid w:val="003C165E"/>
    <w:rsid w:val="003C20A6"/>
    <w:rsid w:val="003C2333"/>
    <w:rsid w:val="003C246E"/>
    <w:rsid w:val="003C271A"/>
    <w:rsid w:val="003C28EB"/>
    <w:rsid w:val="003C30E8"/>
    <w:rsid w:val="003C3E4D"/>
    <w:rsid w:val="003C3F0B"/>
    <w:rsid w:val="003C3FFE"/>
    <w:rsid w:val="003C4465"/>
    <w:rsid w:val="003C4864"/>
    <w:rsid w:val="003C4E51"/>
    <w:rsid w:val="003C5166"/>
    <w:rsid w:val="003C52FA"/>
    <w:rsid w:val="003C5505"/>
    <w:rsid w:val="003C564A"/>
    <w:rsid w:val="003C5903"/>
    <w:rsid w:val="003C5D1E"/>
    <w:rsid w:val="003C5F0C"/>
    <w:rsid w:val="003C6BBD"/>
    <w:rsid w:val="003C7006"/>
    <w:rsid w:val="003C7836"/>
    <w:rsid w:val="003C7996"/>
    <w:rsid w:val="003C7AAD"/>
    <w:rsid w:val="003C7BCE"/>
    <w:rsid w:val="003D055D"/>
    <w:rsid w:val="003D0A1C"/>
    <w:rsid w:val="003D0C27"/>
    <w:rsid w:val="003D19F9"/>
    <w:rsid w:val="003D1B8C"/>
    <w:rsid w:val="003D1C43"/>
    <w:rsid w:val="003D20D4"/>
    <w:rsid w:val="003D224A"/>
    <w:rsid w:val="003D263A"/>
    <w:rsid w:val="003D27B9"/>
    <w:rsid w:val="003D2DF8"/>
    <w:rsid w:val="003D30A2"/>
    <w:rsid w:val="003D3122"/>
    <w:rsid w:val="003D3158"/>
    <w:rsid w:val="003D31FF"/>
    <w:rsid w:val="003D328C"/>
    <w:rsid w:val="003D3577"/>
    <w:rsid w:val="003D3C86"/>
    <w:rsid w:val="003D3D92"/>
    <w:rsid w:val="003D4307"/>
    <w:rsid w:val="003D4551"/>
    <w:rsid w:val="003D4F53"/>
    <w:rsid w:val="003D505F"/>
    <w:rsid w:val="003D5311"/>
    <w:rsid w:val="003D5749"/>
    <w:rsid w:val="003D5E57"/>
    <w:rsid w:val="003D5E96"/>
    <w:rsid w:val="003D71E3"/>
    <w:rsid w:val="003E02E4"/>
    <w:rsid w:val="003E086C"/>
    <w:rsid w:val="003E0CB0"/>
    <w:rsid w:val="003E1274"/>
    <w:rsid w:val="003E12C5"/>
    <w:rsid w:val="003E1335"/>
    <w:rsid w:val="003E16B4"/>
    <w:rsid w:val="003E1FF4"/>
    <w:rsid w:val="003E282F"/>
    <w:rsid w:val="003E2D1C"/>
    <w:rsid w:val="003E2E7C"/>
    <w:rsid w:val="003E2EDA"/>
    <w:rsid w:val="003E32B7"/>
    <w:rsid w:val="003E337A"/>
    <w:rsid w:val="003E3428"/>
    <w:rsid w:val="003E34CE"/>
    <w:rsid w:val="003E367C"/>
    <w:rsid w:val="003E488D"/>
    <w:rsid w:val="003E4C80"/>
    <w:rsid w:val="003E4C8F"/>
    <w:rsid w:val="003E4CD8"/>
    <w:rsid w:val="003E544C"/>
    <w:rsid w:val="003E5692"/>
    <w:rsid w:val="003E5809"/>
    <w:rsid w:val="003E637E"/>
    <w:rsid w:val="003E64B5"/>
    <w:rsid w:val="003E65F9"/>
    <w:rsid w:val="003E6FF6"/>
    <w:rsid w:val="003E7106"/>
    <w:rsid w:val="003E7589"/>
    <w:rsid w:val="003E7954"/>
    <w:rsid w:val="003E7F79"/>
    <w:rsid w:val="003F0074"/>
    <w:rsid w:val="003F04BE"/>
    <w:rsid w:val="003F0635"/>
    <w:rsid w:val="003F0736"/>
    <w:rsid w:val="003F0958"/>
    <w:rsid w:val="003F0E10"/>
    <w:rsid w:val="003F1357"/>
    <w:rsid w:val="003F1B3E"/>
    <w:rsid w:val="003F1CEE"/>
    <w:rsid w:val="003F1F31"/>
    <w:rsid w:val="003F2037"/>
    <w:rsid w:val="003F24BA"/>
    <w:rsid w:val="003F298A"/>
    <w:rsid w:val="003F2C67"/>
    <w:rsid w:val="003F2DA3"/>
    <w:rsid w:val="003F33C3"/>
    <w:rsid w:val="003F3607"/>
    <w:rsid w:val="003F40BF"/>
    <w:rsid w:val="003F46F7"/>
    <w:rsid w:val="003F488F"/>
    <w:rsid w:val="003F4BBE"/>
    <w:rsid w:val="003F4F86"/>
    <w:rsid w:val="003F511F"/>
    <w:rsid w:val="003F522E"/>
    <w:rsid w:val="003F5FF1"/>
    <w:rsid w:val="003F61D9"/>
    <w:rsid w:val="003F62F6"/>
    <w:rsid w:val="003F64C6"/>
    <w:rsid w:val="003F654A"/>
    <w:rsid w:val="003F6CD4"/>
    <w:rsid w:val="003F6DEF"/>
    <w:rsid w:val="003F6ECF"/>
    <w:rsid w:val="003F7550"/>
    <w:rsid w:val="003F763C"/>
    <w:rsid w:val="003F7D7E"/>
    <w:rsid w:val="004001E2"/>
    <w:rsid w:val="0040096E"/>
    <w:rsid w:val="00400A84"/>
    <w:rsid w:val="00401196"/>
    <w:rsid w:val="00402B40"/>
    <w:rsid w:val="00403540"/>
    <w:rsid w:val="00403E40"/>
    <w:rsid w:val="00404097"/>
    <w:rsid w:val="004042D3"/>
    <w:rsid w:val="00404B5B"/>
    <w:rsid w:val="00404BD4"/>
    <w:rsid w:val="00405374"/>
    <w:rsid w:val="0040699D"/>
    <w:rsid w:val="004074FE"/>
    <w:rsid w:val="0040773E"/>
    <w:rsid w:val="00407812"/>
    <w:rsid w:val="00407962"/>
    <w:rsid w:val="00407A36"/>
    <w:rsid w:val="004102D1"/>
    <w:rsid w:val="004103C8"/>
    <w:rsid w:val="004104E2"/>
    <w:rsid w:val="00411996"/>
    <w:rsid w:val="00412128"/>
    <w:rsid w:val="004123E0"/>
    <w:rsid w:val="0041257A"/>
    <w:rsid w:val="004129B7"/>
    <w:rsid w:val="00412BF5"/>
    <w:rsid w:val="00413A6C"/>
    <w:rsid w:val="00413A9F"/>
    <w:rsid w:val="00413C11"/>
    <w:rsid w:val="00413FC1"/>
    <w:rsid w:val="00414042"/>
    <w:rsid w:val="0041459A"/>
    <w:rsid w:val="004149DC"/>
    <w:rsid w:val="00414E0E"/>
    <w:rsid w:val="00414EA3"/>
    <w:rsid w:val="004150D2"/>
    <w:rsid w:val="004155DA"/>
    <w:rsid w:val="004157EB"/>
    <w:rsid w:val="00416332"/>
    <w:rsid w:val="004163AF"/>
    <w:rsid w:val="00416A1E"/>
    <w:rsid w:val="00416A22"/>
    <w:rsid w:val="00417B37"/>
    <w:rsid w:val="00417E26"/>
    <w:rsid w:val="00421557"/>
    <w:rsid w:val="004216A9"/>
    <w:rsid w:val="004218E4"/>
    <w:rsid w:val="00421926"/>
    <w:rsid w:val="00421BA6"/>
    <w:rsid w:val="00422202"/>
    <w:rsid w:val="004228FC"/>
    <w:rsid w:val="00423540"/>
    <w:rsid w:val="00423666"/>
    <w:rsid w:val="00424416"/>
    <w:rsid w:val="00424985"/>
    <w:rsid w:val="00424A10"/>
    <w:rsid w:val="00424E5E"/>
    <w:rsid w:val="00424E8C"/>
    <w:rsid w:val="0042546B"/>
    <w:rsid w:val="004255C4"/>
    <w:rsid w:val="00425A99"/>
    <w:rsid w:val="00426443"/>
    <w:rsid w:val="0042683A"/>
    <w:rsid w:val="004268B6"/>
    <w:rsid w:val="004269C2"/>
    <w:rsid w:val="00426F9F"/>
    <w:rsid w:val="00427223"/>
    <w:rsid w:val="0043059B"/>
    <w:rsid w:val="00430919"/>
    <w:rsid w:val="0043181E"/>
    <w:rsid w:val="00432074"/>
    <w:rsid w:val="0043215E"/>
    <w:rsid w:val="0043270D"/>
    <w:rsid w:val="00432902"/>
    <w:rsid w:val="00433391"/>
    <w:rsid w:val="004336AA"/>
    <w:rsid w:val="00433FB4"/>
    <w:rsid w:val="00435007"/>
    <w:rsid w:val="00435045"/>
    <w:rsid w:val="00435482"/>
    <w:rsid w:val="00435EBF"/>
    <w:rsid w:val="00436677"/>
    <w:rsid w:val="0043689B"/>
    <w:rsid w:val="00437ADC"/>
    <w:rsid w:val="00440448"/>
    <w:rsid w:val="00440679"/>
    <w:rsid w:val="00441249"/>
    <w:rsid w:val="004413DA"/>
    <w:rsid w:val="00442135"/>
    <w:rsid w:val="0044217A"/>
    <w:rsid w:val="00442393"/>
    <w:rsid w:val="00442B23"/>
    <w:rsid w:val="00442FB2"/>
    <w:rsid w:val="00443511"/>
    <w:rsid w:val="00443994"/>
    <w:rsid w:val="00443CB9"/>
    <w:rsid w:val="00443CDC"/>
    <w:rsid w:val="004441C4"/>
    <w:rsid w:val="00444303"/>
    <w:rsid w:val="004452E9"/>
    <w:rsid w:val="004455C7"/>
    <w:rsid w:val="004456EE"/>
    <w:rsid w:val="0044611A"/>
    <w:rsid w:val="004462F6"/>
    <w:rsid w:val="00446353"/>
    <w:rsid w:val="00446AD0"/>
    <w:rsid w:val="004500D1"/>
    <w:rsid w:val="004503E1"/>
    <w:rsid w:val="004505E6"/>
    <w:rsid w:val="00450654"/>
    <w:rsid w:val="0045112A"/>
    <w:rsid w:val="004516EC"/>
    <w:rsid w:val="0045191C"/>
    <w:rsid w:val="00452633"/>
    <w:rsid w:val="00452E6C"/>
    <w:rsid w:val="004532B9"/>
    <w:rsid w:val="00453D34"/>
    <w:rsid w:val="004546E8"/>
    <w:rsid w:val="00454A71"/>
    <w:rsid w:val="00454A76"/>
    <w:rsid w:val="00454CA2"/>
    <w:rsid w:val="00454F24"/>
    <w:rsid w:val="00455904"/>
    <w:rsid w:val="00455ABC"/>
    <w:rsid w:val="00455D8A"/>
    <w:rsid w:val="00455FCE"/>
    <w:rsid w:val="004564B1"/>
    <w:rsid w:val="00456ADF"/>
    <w:rsid w:val="004573EB"/>
    <w:rsid w:val="00457D7B"/>
    <w:rsid w:val="00457E17"/>
    <w:rsid w:val="0046026E"/>
    <w:rsid w:val="00460395"/>
    <w:rsid w:val="004604E3"/>
    <w:rsid w:val="00460B9A"/>
    <w:rsid w:val="00460E96"/>
    <w:rsid w:val="00460EA2"/>
    <w:rsid w:val="00461C4A"/>
    <w:rsid w:val="0046236A"/>
    <w:rsid w:val="004624CA"/>
    <w:rsid w:val="004627C5"/>
    <w:rsid w:val="00462C00"/>
    <w:rsid w:val="00462DAA"/>
    <w:rsid w:val="004630D8"/>
    <w:rsid w:val="004632F8"/>
    <w:rsid w:val="00464270"/>
    <w:rsid w:val="0046427E"/>
    <w:rsid w:val="004642EB"/>
    <w:rsid w:val="004649FB"/>
    <w:rsid w:val="00464F31"/>
    <w:rsid w:val="004655BB"/>
    <w:rsid w:val="004655F2"/>
    <w:rsid w:val="0046591E"/>
    <w:rsid w:val="00466337"/>
    <w:rsid w:val="004668AD"/>
    <w:rsid w:val="00466DF7"/>
    <w:rsid w:val="00466F9F"/>
    <w:rsid w:val="004673AA"/>
    <w:rsid w:val="00467489"/>
    <w:rsid w:val="00467F50"/>
    <w:rsid w:val="00470202"/>
    <w:rsid w:val="00470BB1"/>
    <w:rsid w:val="00471261"/>
    <w:rsid w:val="004717CB"/>
    <w:rsid w:val="00472424"/>
    <w:rsid w:val="00472D9F"/>
    <w:rsid w:val="00472E06"/>
    <w:rsid w:val="00473580"/>
    <w:rsid w:val="0047370C"/>
    <w:rsid w:val="00473DB8"/>
    <w:rsid w:val="00473F95"/>
    <w:rsid w:val="00474214"/>
    <w:rsid w:val="00474BD3"/>
    <w:rsid w:val="00474F32"/>
    <w:rsid w:val="00475011"/>
    <w:rsid w:val="004751A4"/>
    <w:rsid w:val="00475BDE"/>
    <w:rsid w:val="00475F61"/>
    <w:rsid w:val="0047685D"/>
    <w:rsid w:val="00476B2E"/>
    <w:rsid w:val="00476BC6"/>
    <w:rsid w:val="00476C84"/>
    <w:rsid w:val="00476E8A"/>
    <w:rsid w:val="00477168"/>
    <w:rsid w:val="004773C1"/>
    <w:rsid w:val="0047749A"/>
    <w:rsid w:val="004777D1"/>
    <w:rsid w:val="00477CF2"/>
    <w:rsid w:val="00480213"/>
    <w:rsid w:val="004802AD"/>
    <w:rsid w:val="0048073F"/>
    <w:rsid w:val="004809B6"/>
    <w:rsid w:val="00480CDD"/>
    <w:rsid w:val="00481020"/>
    <w:rsid w:val="004817D1"/>
    <w:rsid w:val="00481B0C"/>
    <w:rsid w:val="004821D1"/>
    <w:rsid w:val="004822AF"/>
    <w:rsid w:val="00482514"/>
    <w:rsid w:val="00482565"/>
    <w:rsid w:val="0048286F"/>
    <w:rsid w:val="00482977"/>
    <w:rsid w:val="00482A81"/>
    <w:rsid w:val="00482B85"/>
    <w:rsid w:val="00483011"/>
    <w:rsid w:val="00483340"/>
    <w:rsid w:val="00483AF9"/>
    <w:rsid w:val="0048445D"/>
    <w:rsid w:val="0048466E"/>
    <w:rsid w:val="004848A6"/>
    <w:rsid w:val="00484D4C"/>
    <w:rsid w:val="00484FEF"/>
    <w:rsid w:val="004850EF"/>
    <w:rsid w:val="00485504"/>
    <w:rsid w:val="00485631"/>
    <w:rsid w:val="004856FB"/>
    <w:rsid w:val="00485B7E"/>
    <w:rsid w:val="00485E9E"/>
    <w:rsid w:val="00486197"/>
    <w:rsid w:val="004861C8"/>
    <w:rsid w:val="0048668C"/>
    <w:rsid w:val="004867D9"/>
    <w:rsid w:val="00486DA2"/>
    <w:rsid w:val="00486FA9"/>
    <w:rsid w:val="00487383"/>
    <w:rsid w:val="0048775D"/>
    <w:rsid w:val="0048792F"/>
    <w:rsid w:val="00487A2C"/>
    <w:rsid w:val="00487B11"/>
    <w:rsid w:val="00490401"/>
    <w:rsid w:val="00490440"/>
    <w:rsid w:val="004906C1"/>
    <w:rsid w:val="0049113B"/>
    <w:rsid w:val="0049128F"/>
    <w:rsid w:val="004924C5"/>
    <w:rsid w:val="0049293A"/>
    <w:rsid w:val="00493B02"/>
    <w:rsid w:val="00493B3A"/>
    <w:rsid w:val="00493B8F"/>
    <w:rsid w:val="00493D60"/>
    <w:rsid w:val="00494001"/>
    <w:rsid w:val="004949BC"/>
    <w:rsid w:val="00494CE7"/>
    <w:rsid w:val="004952E5"/>
    <w:rsid w:val="00495BD6"/>
    <w:rsid w:val="00496010"/>
    <w:rsid w:val="004962B9"/>
    <w:rsid w:val="00496A74"/>
    <w:rsid w:val="00496D0E"/>
    <w:rsid w:val="00496F50"/>
    <w:rsid w:val="0049703D"/>
    <w:rsid w:val="004971E0"/>
    <w:rsid w:val="00497693"/>
    <w:rsid w:val="004A05A1"/>
    <w:rsid w:val="004A0CD3"/>
    <w:rsid w:val="004A0DCC"/>
    <w:rsid w:val="004A16EA"/>
    <w:rsid w:val="004A16F4"/>
    <w:rsid w:val="004A17EE"/>
    <w:rsid w:val="004A1978"/>
    <w:rsid w:val="004A2963"/>
    <w:rsid w:val="004A2E72"/>
    <w:rsid w:val="004A3548"/>
    <w:rsid w:val="004A4857"/>
    <w:rsid w:val="004A4EA5"/>
    <w:rsid w:val="004A50A6"/>
    <w:rsid w:val="004A5306"/>
    <w:rsid w:val="004A5398"/>
    <w:rsid w:val="004A57E6"/>
    <w:rsid w:val="004A602F"/>
    <w:rsid w:val="004A6083"/>
    <w:rsid w:val="004A645B"/>
    <w:rsid w:val="004A6528"/>
    <w:rsid w:val="004A6723"/>
    <w:rsid w:val="004A68CE"/>
    <w:rsid w:val="004A6D07"/>
    <w:rsid w:val="004A6EDA"/>
    <w:rsid w:val="004A7124"/>
    <w:rsid w:val="004B0207"/>
    <w:rsid w:val="004B120A"/>
    <w:rsid w:val="004B16A2"/>
    <w:rsid w:val="004B172B"/>
    <w:rsid w:val="004B1839"/>
    <w:rsid w:val="004B245B"/>
    <w:rsid w:val="004B2835"/>
    <w:rsid w:val="004B295C"/>
    <w:rsid w:val="004B30BF"/>
    <w:rsid w:val="004B32BF"/>
    <w:rsid w:val="004B32DA"/>
    <w:rsid w:val="004B4377"/>
    <w:rsid w:val="004B4AA0"/>
    <w:rsid w:val="004B4D65"/>
    <w:rsid w:val="004B5DAE"/>
    <w:rsid w:val="004B5DE8"/>
    <w:rsid w:val="004B6831"/>
    <w:rsid w:val="004B69BE"/>
    <w:rsid w:val="004B6FED"/>
    <w:rsid w:val="004B7242"/>
    <w:rsid w:val="004B7CDD"/>
    <w:rsid w:val="004B7E85"/>
    <w:rsid w:val="004C049A"/>
    <w:rsid w:val="004C0778"/>
    <w:rsid w:val="004C0853"/>
    <w:rsid w:val="004C104E"/>
    <w:rsid w:val="004C11D0"/>
    <w:rsid w:val="004C11F0"/>
    <w:rsid w:val="004C1EF3"/>
    <w:rsid w:val="004C2194"/>
    <w:rsid w:val="004C2C7E"/>
    <w:rsid w:val="004C2F89"/>
    <w:rsid w:val="004C3EF7"/>
    <w:rsid w:val="004C3F01"/>
    <w:rsid w:val="004C5036"/>
    <w:rsid w:val="004C54E0"/>
    <w:rsid w:val="004C58F9"/>
    <w:rsid w:val="004C5ACA"/>
    <w:rsid w:val="004C5E10"/>
    <w:rsid w:val="004C60B8"/>
    <w:rsid w:val="004C613B"/>
    <w:rsid w:val="004C662D"/>
    <w:rsid w:val="004C7A2F"/>
    <w:rsid w:val="004C7CE8"/>
    <w:rsid w:val="004D0DE9"/>
    <w:rsid w:val="004D0E5F"/>
    <w:rsid w:val="004D181D"/>
    <w:rsid w:val="004D189E"/>
    <w:rsid w:val="004D1FC5"/>
    <w:rsid w:val="004D1FEA"/>
    <w:rsid w:val="004D285F"/>
    <w:rsid w:val="004D2C1F"/>
    <w:rsid w:val="004D2CEE"/>
    <w:rsid w:val="004D3678"/>
    <w:rsid w:val="004D39A8"/>
    <w:rsid w:val="004D3CAC"/>
    <w:rsid w:val="004D47E1"/>
    <w:rsid w:val="004D4B10"/>
    <w:rsid w:val="004D4D2A"/>
    <w:rsid w:val="004D5850"/>
    <w:rsid w:val="004D5B3A"/>
    <w:rsid w:val="004D628A"/>
    <w:rsid w:val="004D67D7"/>
    <w:rsid w:val="004D6AFD"/>
    <w:rsid w:val="004D6EEC"/>
    <w:rsid w:val="004D7B4B"/>
    <w:rsid w:val="004D7C15"/>
    <w:rsid w:val="004D7F00"/>
    <w:rsid w:val="004E0008"/>
    <w:rsid w:val="004E05EA"/>
    <w:rsid w:val="004E0C0E"/>
    <w:rsid w:val="004E1002"/>
    <w:rsid w:val="004E131A"/>
    <w:rsid w:val="004E157E"/>
    <w:rsid w:val="004E171F"/>
    <w:rsid w:val="004E1C9A"/>
    <w:rsid w:val="004E26BD"/>
    <w:rsid w:val="004E2C6F"/>
    <w:rsid w:val="004E302B"/>
    <w:rsid w:val="004E345F"/>
    <w:rsid w:val="004E43EB"/>
    <w:rsid w:val="004E44B4"/>
    <w:rsid w:val="004E452B"/>
    <w:rsid w:val="004E4585"/>
    <w:rsid w:val="004E4730"/>
    <w:rsid w:val="004E4CCF"/>
    <w:rsid w:val="004E4E44"/>
    <w:rsid w:val="004E527A"/>
    <w:rsid w:val="004E5F42"/>
    <w:rsid w:val="004E6322"/>
    <w:rsid w:val="004E6874"/>
    <w:rsid w:val="004E6B40"/>
    <w:rsid w:val="004E6FF2"/>
    <w:rsid w:val="004E7990"/>
    <w:rsid w:val="004E7E20"/>
    <w:rsid w:val="004E7E55"/>
    <w:rsid w:val="004F002D"/>
    <w:rsid w:val="004F0C7B"/>
    <w:rsid w:val="004F0C84"/>
    <w:rsid w:val="004F0CAC"/>
    <w:rsid w:val="004F1566"/>
    <w:rsid w:val="004F16D4"/>
    <w:rsid w:val="004F1AA0"/>
    <w:rsid w:val="004F1D5B"/>
    <w:rsid w:val="004F20C9"/>
    <w:rsid w:val="004F277C"/>
    <w:rsid w:val="004F28E6"/>
    <w:rsid w:val="004F2AB2"/>
    <w:rsid w:val="004F2CB9"/>
    <w:rsid w:val="004F330C"/>
    <w:rsid w:val="004F33B8"/>
    <w:rsid w:val="004F3563"/>
    <w:rsid w:val="004F420F"/>
    <w:rsid w:val="004F4A71"/>
    <w:rsid w:val="004F4E0E"/>
    <w:rsid w:val="004F4F32"/>
    <w:rsid w:val="004F54A1"/>
    <w:rsid w:val="004F5A83"/>
    <w:rsid w:val="004F5ACF"/>
    <w:rsid w:val="004F60AA"/>
    <w:rsid w:val="004F6303"/>
    <w:rsid w:val="004F6CE7"/>
    <w:rsid w:val="004F6D37"/>
    <w:rsid w:val="004F714F"/>
    <w:rsid w:val="004F73BC"/>
    <w:rsid w:val="004F78E7"/>
    <w:rsid w:val="004F7DB9"/>
    <w:rsid w:val="004F7FFB"/>
    <w:rsid w:val="005002BD"/>
    <w:rsid w:val="005003EA"/>
    <w:rsid w:val="005006A1"/>
    <w:rsid w:val="0050086A"/>
    <w:rsid w:val="00500887"/>
    <w:rsid w:val="00500C43"/>
    <w:rsid w:val="00500E89"/>
    <w:rsid w:val="005010D5"/>
    <w:rsid w:val="005011A7"/>
    <w:rsid w:val="00502269"/>
    <w:rsid w:val="00502286"/>
    <w:rsid w:val="005022BD"/>
    <w:rsid w:val="00502702"/>
    <w:rsid w:val="0050344C"/>
    <w:rsid w:val="005043C3"/>
    <w:rsid w:val="00504422"/>
    <w:rsid w:val="0050444B"/>
    <w:rsid w:val="00504C78"/>
    <w:rsid w:val="005051C3"/>
    <w:rsid w:val="00505917"/>
    <w:rsid w:val="00505CB8"/>
    <w:rsid w:val="005060DD"/>
    <w:rsid w:val="0050628C"/>
    <w:rsid w:val="0050639A"/>
    <w:rsid w:val="00506634"/>
    <w:rsid w:val="00506686"/>
    <w:rsid w:val="0050685A"/>
    <w:rsid w:val="00506C5D"/>
    <w:rsid w:val="00506D8B"/>
    <w:rsid w:val="005108A6"/>
    <w:rsid w:val="005108C9"/>
    <w:rsid w:val="005112C3"/>
    <w:rsid w:val="005118F7"/>
    <w:rsid w:val="00511C61"/>
    <w:rsid w:val="0051251A"/>
    <w:rsid w:val="005126D6"/>
    <w:rsid w:val="00512CB4"/>
    <w:rsid w:val="0051319D"/>
    <w:rsid w:val="0051351E"/>
    <w:rsid w:val="005138F0"/>
    <w:rsid w:val="00514292"/>
    <w:rsid w:val="00514504"/>
    <w:rsid w:val="00514C1D"/>
    <w:rsid w:val="00514D94"/>
    <w:rsid w:val="00515352"/>
    <w:rsid w:val="00515814"/>
    <w:rsid w:val="00516356"/>
    <w:rsid w:val="005165A2"/>
    <w:rsid w:val="00517285"/>
    <w:rsid w:val="005172D4"/>
    <w:rsid w:val="00517B64"/>
    <w:rsid w:val="00517BB7"/>
    <w:rsid w:val="005211D8"/>
    <w:rsid w:val="00521543"/>
    <w:rsid w:val="00521C5D"/>
    <w:rsid w:val="00522109"/>
    <w:rsid w:val="005229A9"/>
    <w:rsid w:val="00522AD7"/>
    <w:rsid w:val="00522E7D"/>
    <w:rsid w:val="00523BC9"/>
    <w:rsid w:val="00523DFF"/>
    <w:rsid w:val="00523FEB"/>
    <w:rsid w:val="00524380"/>
    <w:rsid w:val="00524853"/>
    <w:rsid w:val="00524ED3"/>
    <w:rsid w:val="005253CC"/>
    <w:rsid w:val="0052571F"/>
    <w:rsid w:val="00525754"/>
    <w:rsid w:val="0052593C"/>
    <w:rsid w:val="00525BE1"/>
    <w:rsid w:val="00525FD2"/>
    <w:rsid w:val="005260E6"/>
    <w:rsid w:val="005265DF"/>
    <w:rsid w:val="005266B3"/>
    <w:rsid w:val="00526839"/>
    <w:rsid w:val="005268A2"/>
    <w:rsid w:val="00526B02"/>
    <w:rsid w:val="00526BFB"/>
    <w:rsid w:val="005277DD"/>
    <w:rsid w:val="00527A32"/>
    <w:rsid w:val="00527D35"/>
    <w:rsid w:val="0053058F"/>
    <w:rsid w:val="005308D4"/>
    <w:rsid w:val="00530C87"/>
    <w:rsid w:val="00531A97"/>
    <w:rsid w:val="00531AC1"/>
    <w:rsid w:val="00531F0E"/>
    <w:rsid w:val="00532A70"/>
    <w:rsid w:val="00532D82"/>
    <w:rsid w:val="0053320A"/>
    <w:rsid w:val="00534F34"/>
    <w:rsid w:val="0053514F"/>
    <w:rsid w:val="00535682"/>
    <w:rsid w:val="00535ABB"/>
    <w:rsid w:val="00535BF9"/>
    <w:rsid w:val="00536D21"/>
    <w:rsid w:val="005370A8"/>
    <w:rsid w:val="00537E10"/>
    <w:rsid w:val="00537FC1"/>
    <w:rsid w:val="0054007C"/>
    <w:rsid w:val="00540228"/>
    <w:rsid w:val="0054024E"/>
    <w:rsid w:val="00540CB1"/>
    <w:rsid w:val="00540F27"/>
    <w:rsid w:val="00541607"/>
    <w:rsid w:val="0054181F"/>
    <w:rsid w:val="00542A00"/>
    <w:rsid w:val="00542B2F"/>
    <w:rsid w:val="00543348"/>
    <w:rsid w:val="0054365A"/>
    <w:rsid w:val="005440E1"/>
    <w:rsid w:val="005442D7"/>
    <w:rsid w:val="005442DC"/>
    <w:rsid w:val="00544CB3"/>
    <w:rsid w:val="0054501B"/>
    <w:rsid w:val="00545E2E"/>
    <w:rsid w:val="00546582"/>
    <w:rsid w:val="005466A4"/>
    <w:rsid w:val="0054710A"/>
    <w:rsid w:val="005471C2"/>
    <w:rsid w:val="00547484"/>
    <w:rsid w:val="00550A1B"/>
    <w:rsid w:val="00551CBD"/>
    <w:rsid w:val="00551CFF"/>
    <w:rsid w:val="005520B4"/>
    <w:rsid w:val="0055224A"/>
    <w:rsid w:val="005522BD"/>
    <w:rsid w:val="005523E9"/>
    <w:rsid w:val="005524AC"/>
    <w:rsid w:val="0055289E"/>
    <w:rsid w:val="00552ECA"/>
    <w:rsid w:val="005532D9"/>
    <w:rsid w:val="005538CE"/>
    <w:rsid w:val="005538EA"/>
    <w:rsid w:val="00554044"/>
    <w:rsid w:val="00554C7F"/>
    <w:rsid w:val="0055514F"/>
    <w:rsid w:val="005554EA"/>
    <w:rsid w:val="005559B6"/>
    <w:rsid w:val="00555DCE"/>
    <w:rsid w:val="00555FA2"/>
    <w:rsid w:val="00556658"/>
    <w:rsid w:val="00556AFC"/>
    <w:rsid w:val="00556CFC"/>
    <w:rsid w:val="00557137"/>
    <w:rsid w:val="00557188"/>
    <w:rsid w:val="005571B9"/>
    <w:rsid w:val="005572BE"/>
    <w:rsid w:val="005576A3"/>
    <w:rsid w:val="00557AEB"/>
    <w:rsid w:val="00557D8E"/>
    <w:rsid w:val="0056014C"/>
    <w:rsid w:val="0056022E"/>
    <w:rsid w:val="00560A83"/>
    <w:rsid w:val="00560B8F"/>
    <w:rsid w:val="00560FA6"/>
    <w:rsid w:val="00561354"/>
    <w:rsid w:val="0056135F"/>
    <w:rsid w:val="00561AAC"/>
    <w:rsid w:val="005621F5"/>
    <w:rsid w:val="00562469"/>
    <w:rsid w:val="005636EC"/>
    <w:rsid w:val="00564ADB"/>
    <w:rsid w:val="00565BF7"/>
    <w:rsid w:val="00565CF4"/>
    <w:rsid w:val="00565D99"/>
    <w:rsid w:val="0056690D"/>
    <w:rsid w:val="005676F4"/>
    <w:rsid w:val="005677F2"/>
    <w:rsid w:val="005700A6"/>
    <w:rsid w:val="0057023B"/>
    <w:rsid w:val="00570382"/>
    <w:rsid w:val="005704F4"/>
    <w:rsid w:val="005709A6"/>
    <w:rsid w:val="00570B79"/>
    <w:rsid w:val="00571077"/>
    <w:rsid w:val="005715DB"/>
    <w:rsid w:val="0057170D"/>
    <w:rsid w:val="00571DA8"/>
    <w:rsid w:val="00572BC5"/>
    <w:rsid w:val="00572C87"/>
    <w:rsid w:val="00573113"/>
    <w:rsid w:val="00573E7E"/>
    <w:rsid w:val="00573F56"/>
    <w:rsid w:val="0057461D"/>
    <w:rsid w:val="00574C1A"/>
    <w:rsid w:val="005757A6"/>
    <w:rsid w:val="00575DFB"/>
    <w:rsid w:val="00576F88"/>
    <w:rsid w:val="0057707D"/>
    <w:rsid w:val="005778F8"/>
    <w:rsid w:val="00577E37"/>
    <w:rsid w:val="00577E3E"/>
    <w:rsid w:val="00580094"/>
    <w:rsid w:val="00580400"/>
    <w:rsid w:val="00580B31"/>
    <w:rsid w:val="00580D3C"/>
    <w:rsid w:val="005810AD"/>
    <w:rsid w:val="00581305"/>
    <w:rsid w:val="005813F7"/>
    <w:rsid w:val="005814BB"/>
    <w:rsid w:val="00581574"/>
    <w:rsid w:val="005819D9"/>
    <w:rsid w:val="00581A6B"/>
    <w:rsid w:val="00581ACB"/>
    <w:rsid w:val="00582A1F"/>
    <w:rsid w:val="00582E2E"/>
    <w:rsid w:val="00583022"/>
    <w:rsid w:val="005832A5"/>
    <w:rsid w:val="00583496"/>
    <w:rsid w:val="005836F6"/>
    <w:rsid w:val="00584268"/>
    <w:rsid w:val="005849D6"/>
    <w:rsid w:val="00584FCF"/>
    <w:rsid w:val="005852C5"/>
    <w:rsid w:val="005857E1"/>
    <w:rsid w:val="0058581D"/>
    <w:rsid w:val="0058623B"/>
    <w:rsid w:val="005867C8"/>
    <w:rsid w:val="00586A59"/>
    <w:rsid w:val="00586A97"/>
    <w:rsid w:val="00586F9B"/>
    <w:rsid w:val="005870A4"/>
    <w:rsid w:val="005876D2"/>
    <w:rsid w:val="00590D17"/>
    <w:rsid w:val="0059133B"/>
    <w:rsid w:val="00591836"/>
    <w:rsid w:val="00591966"/>
    <w:rsid w:val="00591D32"/>
    <w:rsid w:val="00591DB3"/>
    <w:rsid w:val="00592012"/>
    <w:rsid w:val="005922C3"/>
    <w:rsid w:val="0059341F"/>
    <w:rsid w:val="00593594"/>
    <w:rsid w:val="0059379E"/>
    <w:rsid w:val="005938B3"/>
    <w:rsid w:val="00593E45"/>
    <w:rsid w:val="0059439E"/>
    <w:rsid w:val="0059443B"/>
    <w:rsid w:val="0059463C"/>
    <w:rsid w:val="0059465C"/>
    <w:rsid w:val="00594A66"/>
    <w:rsid w:val="00594B7D"/>
    <w:rsid w:val="005950B5"/>
    <w:rsid w:val="005954BA"/>
    <w:rsid w:val="00595617"/>
    <w:rsid w:val="00595D2C"/>
    <w:rsid w:val="00595F13"/>
    <w:rsid w:val="00596264"/>
    <w:rsid w:val="0059633F"/>
    <w:rsid w:val="0059660D"/>
    <w:rsid w:val="00596DB6"/>
    <w:rsid w:val="00596E04"/>
    <w:rsid w:val="00597265"/>
    <w:rsid w:val="00597885"/>
    <w:rsid w:val="00597BAA"/>
    <w:rsid w:val="005A0882"/>
    <w:rsid w:val="005A0EA2"/>
    <w:rsid w:val="005A0F6F"/>
    <w:rsid w:val="005A1311"/>
    <w:rsid w:val="005A2146"/>
    <w:rsid w:val="005A3008"/>
    <w:rsid w:val="005A305F"/>
    <w:rsid w:val="005A3382"/>
    <w:rsid w:val="005A3571"/>
    <w:rsid w:val="005A40A7"/>
    <w:rsid w:val="005A5A5E"/>
    <w:rsid w:val="005A5EBB"/>
    <w:rsid w:val="005A686D"/>
    <w:rsid w:val="005A6E71"/>
    <w:rsid w:val="005A7000"/>
    <w:rsid w:val="005A705D"/>
    <w:rsid w:val="005A72AC"/>
    <w:rsid w:val="005A7467"/>
    <w:rsid w:val="005A76F8"/>
    <w:rsid w:val="005A7933"/>
    <w:rsid w:val="005A7C52"/>
    <w:rsid w:val="005B01DA"/>
    <w:rsid w:val="005B238F"/>
    <w:rsid w:val="005B2586"/>
    <w:rsid w:val="005B25F4"/>
    <w:rsid w:val="005B26A2"/>
    <w:rsid w:val="005B26F5"/>
    <w:rsid w:val="005B2BE7"/>
    <w:rsid w:val="005B32A3"/>
    <w:rsid w:val="005B32A5"/>
    <w:rsid w:val="005B3825"/>
    <w:rsid w:val="005B3880"/>
    <w:rsid w:val="005B39B6"/>
    <w:rsid w:val="005B3B98"/>
    <w:rsid w:val="005B3D2D"/>
    <w:rsid w:val="005B4BA8"/>
    <w:rsid w:val="005B4D25"/>
    <w:rsid w:val="005B4D53"/>
    <w:rsid w:val="005B4E40"/>
    <w:rsid w:val="005B53F2"/>
    <w:rsid w:val="005B55EC"/>
    <w:rsid w:val="005B5958"/>
    <w:rsid w:val="005B65B5"/>
    <w:rsid w:val="005B6671"/>
    <w:rsid w:val="005B693F"/>
    <w:rsid w:val="005B6BF3"/>
    <w:rsid w:val="005C0081"/>
    <w:rsid w:val="005C00F0"/>
    <w:rsid w:val="005C0ADB"/>
    <w:rsid w:val="005C0B36"/>
    <w:rsid w:val="005C0C9D"/>
    <w:rsid w:val="005C11A9"/>
    <w:rsid w:val="005C1600"/>
    <w:rsid w:val="005C1A4E"/>
    <w:rsid w:val="005C1B56"/>
    <w:rsid w:val="005C20D9"/>
    <w:rsid w:val="005C2ECF"/>
    <w:rsid w:val="005C3569"/>
    <w:rsid w:val="005C39AD"/>
    <w:rsid w:val="005C3B72"/>
    <w:rsid w:val="005C3C66"/>
    <w:rsid w:val="005C44CA"/>
    <w:rsid w:val="005C4EEF"/>
    <w:rsid w:val="005C52EE"/>
    <w:rsid w:val="005C571B"/>
    <w:rsid w:val="005C58D7"/>
    <w:rsid w:val="005C5BD5"/>
    <w:rsid w:val="005C5E06"/>
    <w:rsid w:val="005C603E"/>
    <w:rsid w:val="005C6431"/>
    <w:rsid w:val="005C65A4"/>
    <w:rsid w:val="005C6832"/>
    <w:rsid w:val="005C68F6"/>
    <w:rsid w:val="005C73EE"/>
    <w:rsid w:val="005C774D"/>
    <w:rsid w:val="005C7800"/>
    <w:rsid w:val="005C7B1E"/>
    <w:rsid w:val="005C7E04"/>
    <w:rsid w:val="005D07E0"/>
    <w:rsid w:val="005D0ADB"/>
    <w:rsid w:val="005D0BA3"/>
    <w:rsid w:val="005D0C6E"/>
    <w:rsid w:val="005D124D"/>
    <w:rsid w:val="005D1428"/>
    <w:rsid w:val="005D16DC"/>
    <w:rsid w:val="005D1A39"/>
    <w:rsid w:val="005D1C12"/>
    <w:rsid w:val="005D237F"/>
    <w:rsid w:val="005D3022"/>
    <w:rsid w:val="005D3C0D"/>
    <w:rsid w:val="005D428B"/>
    <w:rsid w:val="005D430E"/>
    <w:rsid w:val="005D52AF"/>
    <w:rsid w:val="005D545A"/>
    <w:rsid w:val="005D5912"/>
    <w:rsid w:val="005D5E20"/>
    <w:rsid w:val="005D5E8F"/>
    <w:rsid w:val="005D6390"/>
    <w:rsid w:val="005D6EF9"/>
    <w:rsid w:val="005D72A5"/>
    <w:rsid w:val="005D78A2"/>
    <w:rsid w:val="005D7D6B"/>
    <w:rsid w:val="005D7FC4"/>
    <w:rsid w:val="005E03F4"/>
    <w:rsid w:val="005E096C"/>
    <w:rsid w:val="005E0D5F"/>
    <w:rsid w:val="005E0EED"/>
    <w:rsid w:val="005E1022"/>
    <w:rsid w:val="005E12F7"/>
    <w:rsid w:val="005E178A"/>
    <w:rsid w:val="005E1B53"/>
    <w:rsid w:val="005E1E90"/>
    <w:rsid w:val="005E21CD"/>
    <w:rsid w:val="005E29D8"/>
    <w:rsid w:val="005E2B14"/>
    <w:rsid w:val="005E2BBA"/>
    <w:rsid w:val="005E31E2"/>
    <w:rsid w:val="005E3524"/>
    <w:rsid w:val="005E36B8"/>
    <w:rsid w:val="005E380A"/>
    <w:rsid w:val="005E480F"/>
    <w:rsid w:val="005E4C14"/>
    <w:rsid w:val="005E4C3B"/>
    <w:rsid w:val="005E59AC"/>
    <w:rsid w:val="005E5BC9"/>
    <w:rsid w:val="005E60E3"/>
    <w:rsid w:val="005E64DE"/>
    <w:rsid w:val="005E6645"/>
    <w:rsid w:val="005E6BF0"/>
    <w:rsid w:val="005E6CC6"/>
    <w:rsid w:val="005E707E"/>
    <w:rsid w:val="005E70F1"/>
    <w:rsid w:val="005E7174"/>
    <w:rsid w:val="005E748B"/>
    <w:rsid w:val="005E78EC"/>
    <w:rsid w:val="005F0DFE"/>
    <w:rsid w:val="005F135A"/>
    <w:rsid w:val="005F17E3"/>
    <w:rsid w:val="005F1B56"/>
    <w:rsid w:val="005F1C6F"/>
    <w:rsid w:val="005F1FB3"/>
    <w:rsid w:val="005F39B1"/>
    <w:rsid w:val="005F40A8"/>
    <w:rsid w:val="005F45DF"/>
    <w:rsid w:val="005F47D3"/>
    <w:rsid w:val="005F4982"/>
    <w:rsid w:val="005F4B41"/>
    <w:rsid w:val="005F5A89"/>
    <w:rsid w:val="005F5B84"/>
    <w:rsid w:val="005F653E"/>
    <w:rsid w:val="005F6B70"/>
    <w:rsid w:val="005F6E57"/>
    <w:rsid w:val="005F7093"/>
    <w:rsid w:val="005F7D34"/>
    <w:rsid w:val="006000A8"/>
    <w:rsid w:val="006001D9"/>
    <w:rsid w:val="00600FE3"/>
    <w:rsid w:val="00601449"/>
    <w:rsid w:val="006014F9"/>
    <w:rsid w:val="00601731"/>
    <w:rsid w:val="00601E4F"/>
    <w:rsid w:val="00601FC2"/>
    <w:rsid w:val="006022DE"/>
    <w:rsid w:val="0060282B"/>
    <w:rsid w:val="00602F12"/>
    <w:rsid w:val="0060335A"/>
    <w:rsid w:val="00603825"/>
    <w:rsid w:val="00603826"/>
    <w:rsid w:val="00603B15"/>
    <w:rsid w:val="00603F1F"/>
    <w:rsid w:val="00604984"/>
    <w:rsid w:val="00605748"/>
    <w:rsid w:val="00605854"/>
    <w:rsid w:val="0060655C"/>
    <w:rsid w:val="00610205"/>
    <w:rsid w:val="00610597"/>
    <w:rsid w:val="006106D0"/>
    <w:rsid w:val="00612095"/>
    <w:rsid w:val="006123D1"/>
    <w:rsid w:val="0061243B"/>
    <w:rsid w:val="00612B07"/>
    <w:rsid w:val="00612EE8"/>
    <w:rsid w:val="0061313A"/>
    <w:rsid w:val="00613FC3"/>
    <w:rsid w:val="00614279"/>
    <w:rsid w:val="006142BF"/>
    <w:rsid w:val="006143B9"/>
    <w:rsid w:val="0061446F"/>
    <w:rsid w:val="00614810"/>
    <w:rsid w:val="00614AB5"/>
    <w:rsid w:val="0061551E"/>
    <w:rsid w:val="00615D56"/>
    <w:rsid w:val="00615EF7"/>
    <w:rsid w:val="00616510"/>
    <w:rsid w:val="00616C8E"/>
    <w:rsid w:val="00617184"/>
    <w:rsid w:val="006171E9"/>
    <w:rsid w:val="0061784E"/>
    <w:rsid w:val="006178EC"/>
    <w:rsid w:val="00617B07"/>
    <w:rsid w:val="00617D08"/>
    <w:rsid w:val="00617FCF"/>
    <w:rsid w:val="00620124"/>
    <w:rsid w:val="0062016B"/>
    <w:rsid w:val="00620387"/>
    <w:rsid w:val="006204D1"/>
    <w:rsid w:val="00620706"/>
    <w:rsid w:val="00620CA4"/>
    <w:rsid w:val="006217A7"/>
    <w:rsid w:val="00621917"/>
    <w:rsid w:val="00621B25"/>
    <w:rsid w:val="00622A98"/>
    <w:rsid w:val="00623084"/>
    <w:rsid w:val="006230B1"/>
    <w:rsid w:val="00623996"/>
    <w:rsid w:val="006240C7"/>
    <w:rsid w:val="0062426B"/>
    <w:rsid w:val="00624AC8"/>
    <w:rsid w:val="00624FAA"/>
    <w:rsid w:val="0062574D"/>
    <w:rsid w:val="006259EF"/>
    <w:rsid w:val="00625B49"/>
    <w:rsid w:val="00625E0C"/>
    <w:rsid w:val="00625E5B"/>
    <w:rsid w:val="0062609E"/>
    <w:rsid w:val="006264C1"/>
    <w:rsid w:val="00626502"/>
    <w:rsid w:val="006269B2"/>
    <w:rsid w:val="00626A28"/>
    <w:rsid w:val="00627136"/>
    <w:rsid w:val="0062731C"/>
    <w:rsid w:val="006302AB"/>
    <w:rsid w:val="00630935"/>
    <w:rsid w:val="006312BB"/>
    <w:rsid w:val="00632719"/>
    <w:rsid w:val="006329AE"/>
    <w:rsid w:val="00632DB7"/>
    <w:rsid w:val="0063334D"/>
    <w:rsid w:val="0063346E"/>
    <w:rsid w:val="00633816"/>
    <w:rsid w:val="00633B46"/>
    <w:rsid w:val="00633C7D"/>
    <w:rsid w:val="0063411D"/>
    <w:rsid w:val="0063422F"/>
    <w:rsid w:val="00634440"/>
    <w:rsid w:val="006347C4"/>
    <w:rsid w:val="0063487A"/>
    <w:rsid w:val="00634AE7"/>
    <w:rsid w:val="00634E1C"/>
    <w:rsid w:val="006357C1"/>
    <w:rsid w:val="0063590C"/>
    <w:rsid w:val="00635B7C"/>
    <w:rsid w:val="00637993"/>
    <w:rsid w:val="00640009"/>
    <w:rsid w:val="00640099"/>
    <w:rsid w:val="00640C70"/>
    <w:rsid w:val="00641A11"/>
    <w:rsid w:val="00641B80"/>
    <w:rsid w:val="0064243E"/>
    <w:rsid w:val="0064268D"/>
    <w:rsid w:val="006426B5"/>
    <w:rsid w:val="006426CF"/>
    <w:rsid w:val="00642C7C"/>
    <w:rsid w:val="00642CBE"/>
    <w:rsid w:val="00642DD2"/>
    <w:rsid w:val="00642DD7"/>
    <w:rsid w:val="00642E5E"/>
    <w:rsid w:val="00642FC6"/>
    <w:rsid w:val="006437EF"/>
    <w:rsid w:val="00643AD2"/>
    <w:rsid w:val="00643E87"/>
    <w:rsid w:val="00644B9F"/>
    <w:rsid w:val="00644DA1"/>
    <w:rsid w:val="006454AD"/>
    <w:rsid w:val="00645538"/>
    <w:rsid w:val="006455F1"/>
    <w:rsid w:val="006456C7"/>
    <w:rsid w:val="00646BB5"/>
    <w:rsid w:val="00647C11"/>
    <w:rsid w:val="00650037"/>
    <w:rsid w:val="00650090"/>
    <w:rsid w:val="006504C0"/>
    <w:rsid w:val="00650933"/>
    <w:rsid w:val="00650955"/>
    <w:rsid w:val="00650F3B"/>
    <w:rsid w:val="006511EB"/>
    <w:rsid w:val="006517FC"/>
    <w:rsid w:val="00651E08"/>
    <w:rsid w:val="00652C74"/>
    <w:rsid w:val="00652CFA"/>
    <w:rsid w:val="00652ED8"/>
    <w:rsid w:val="0065368B"/>
    <w:rsid w:val="0065389A"/>
    <w:rsid w:val="006539C5"/>
    <w:rsid w:val="006541DE"/>
    <w:rsid w:val="00654A23"/>
    <w:rsid w:val="00654B0F"/>
    <w:rsid w:val="00654B5D"/>
    <w:rsid w:val="00654BCB"/>
    <w:rsid w:val="006553DE"/>
    <w:rsid w:val="00655658"/>
    <w:rsid w:val="00655C29"/>
    <w:rsid w:val="00655D73"/>
    <w:rsid w:val="006564CD"/>
    <w:rsid w:val="00656664"/>
    <w:rsid w:val="00656B22"/>
    <w:rsid w:val="00656E02"/>
    <w:rsid w:val="0065746C"/>
    <w:rsid w:val="00657B72"/>
    <w:rsid w:val="00657F51"/>
    <w:rsid w:val="00660697"/>
    <w:rsid w:val="00660814"/>
    <w:rsid w:val="00660CC9"/>
    <w:rsid w:val="00661262"/>
    <w:rsid w:val="00661462"/>
    <w:rsid w:val="006620F6"/>
    <w:rsid w:val="006625D2"/>
    <w:rsid w:val="0066322E"/>
    <w:rsid w:val="00663B0B"/>
    <w:rsid w:val="006643AC"/>
    <w:rsid w:val="00664B1E"/>
    <w:rsid w:val="00664DBE"/>
    <w:rsid w:val="00665766"/>
    <w:rsid w:val="00665B1E"/>
    <w:rsid w:val="00665FB3"/>
    <w:rsid w:val="00666151"/>
    <w:rsid w:val="006663AD"/>
    <w:rsid w:val="00666484"/>
    <w:rsid w:val="00666686"/>
    <w:rsid w:val="00667102"/>
    <w:rsid w:val="00670846"/>
    <w:rsid w:val="00670889"/>
    <w:rsid w:val="00670FAD"/>
    <w:rsid w:val="00671B5B"/>
    <w:rsid w:val="00672CC1"/>
    <w:rsid w:val="00672D2D"/>
    <w:rsid w:val="00672E9A"/>
    <w:rsid w:val="00673632"/>
    <w:rsid w:val="00673DB3"/>
    <w:rsid w:val="00673EFA"/>
    <w:rsid w:val="00673FB1"/>
    <w:rsid w:val="00673FDE"/>
    <w:rsid w:val="00674E4B"/>
    <w:rsid w:val="00676997"/>
    <w:rsid w:val="00676AE2"/>
    <w:rsid w:val="00676C3F"/>
    <w:rsid w:val="00677122"/>
    <w:rsid w:val="006771AF"/>
    <w:rsid w:val="0068031C"/>
    <w:rsid w:val="0068127F"/>
    <w:rsid w:val="006819D7"/>
    <w:rsid w:val="00681AAC"/>
    <w:rsid w:val="006824FA"/>
    <w:rsid w:val="00682A2D"/>
    <w:rsid w:val="00682B9F"/>
    <w:rsid w:val="00682E2F"/>
    <w:rsid w:val="0068315A"/>
    <w:rsid w:val="0068338D"/>
    <w:rsid w:val="006835B9"/>
    <w:rsid w:val="00683A71"/>
    <w:rsid w:val="006845DD"/>
    <w:rsid w:val="00684D12"/>
    <w:rsid w:val="00684D71"/>
    <w:rsid w:val="00684FC0"/>
    <w:rsid w:val="00685324"/>
    <w:rsid w:val="00686021"/>
    <w:rsid w:val="0068602C"/>
    <w:rsid w:val="00686052"/>
    <w:rsid w:val="00686B22"/>
    <w:rsid w:val="00686CB8"/>
    <w:rsid w:val="006874B4"/>
    <w:rsid w:val="00687742"/>
    <w:rsid w:val="00687781"/>
    <w:rsid w:val="006878D9"/>
    <w:rsid w:val="00687CDC"/>
    <w:rsid w:val="0069104B"/>
    <w:rsid w:val="006910C0"/>
    <w:rsid w:val="006911BA"/>
    <w:rsid w:val="00692824"/>
    <w:rsid w:val="00692CBF"/>
    <w:rsid w:val="006933FD"/>
    <w:rsid w:val="0069376C"/>
    <w:rsid w:val="006938E8"/>
    <w:rsid w:val="006941F1"/>
    <w:rsid w:val="00694395"/>
    <w:rsid w:val="006945C8"/>
    <w:rsid w:val="00694764"/>
    <w:rsid w:val="006949A8"/>
    <w:rsid w:val="006949E3"/>
    <w:rsid w:val="00695633"/>
    <w:rsid w:val="00695DF9"/>
    <w:rsid w:val="0069662B"/>
    <w:rsid w:val="00696810"/>
    <w:rsid w:val="00696A21"/>
    <w:rsid w:val="006974FF"/>
    <w:rsid w:val="00697F96"/>
    <w:rsid w:val="006A084C"/>
    <w:rsid w:val="006A0F14"/>
    <w:rsid w:val="006A2301"/>
    <w:rsid w:val="006A241F"/>
    <w:rsid w:val="006A2504"/>
    <w:rsid w:val="006A2F46"/>
    <w:rsid w:val="006A3179"/>
    <w:rsid w:val="006A34D0"/>
    <w:rsid w:val="006A384B"/>
    <w:rsid w:val="006A3A73"/>
    <w:rsid w:val="006A4B5D"/>
    <w:rsid w:val="006A5038"/>
    <w:rsid w:val="006A50CD"/>
    <w:rsid w:val="006A511B"/>
    <w:rsid w:val="006A5145"/>
    <w:rsid w:val="006A5503"/>
    <w:rsid w:val="006A5D03"/>
    <w:rsid w:val="006A62F2"/>
    <w:rsid w:val="006A6555"/>
    <w:rsid w:val="006A6C23"/>
    <w:rsid w:val="006A7170"/>
    <w:rsid w:val="006A74FA"/>
    <w:rsid w:val="006A7CEE"/>
    <w:rsid w:val="006B0348"/>
    <w:rsid w:val="006B0F1C"/>
    <w:rsid w:val="006B13D4"/>
    <w:rsid w:val="006B1E52"/>
    <w:rsid w:val="006B1E6A"/>
    <w:rsid w:val="006B1F6F"/>
    <w:rsid w:val="006B234B"/>
    <w:rsid w:val="006B2376"/>
    <w:rsid w:val="006B284E"/>
    <w:rsid w:val="006B29F8"/>
    <w:rsid w:val="006B2C7E"/>
    <w:rsid w:val="006B313C"/>
    <w:rsid w:val="006B3894"/>
    <w:rsid w:val="006B3AEE"/>
    <w:rsid w:val="006B43D0"/>
    <w:rsid w:val="006B4656"/>
    <w:rsid w:val="006B4838"/>
    <w:rsid w:val="006B5954"/>
    <w:rsid w:val="006B5E3B"/>
    <w:rsid w:val="006B5FAE"/>
    <w:rsid w:val="006B6082"/>
    <w:rsid w:val="006B60DE"/>
    <w:rsid w:val="006B63C0"/>
    <w:rsid w:val="006B67E1"/>
    <w:rsid w:val="006B6916"/>
    <w:rsid w:val="006B6E26"/>
    <w:rsid w:val="006B7314"/>
    <w:rsid w:val="006B73A8"/>
    <w:rsid w:val="006B79AD"/>
    <w:rsid w:val="006B7B47"/>
    <w:rsid w:val="006B7DCE"/>
    <w:rsid w:val="006C0188"/>
    <w:rsid w:val="006C09CA"/>
    <w:rsid w:val="006C0B7B"/>
    <w:rsid w:val="006C0D1D"/>
    <w:rsid w:val="006C10BC"/>
    <w:rsid w:val="006C1282"/>
    <w:rsid w:val="006C1382"/>
    <w:rsid w:val="006C13F4"/>
    <w:rsid w:val="006C236B"/>
    <w:rsid w:val="006C2AF6"/>
    <w:rsid w:val="006C4059"/>
    <w:rsid w:val="006C458E"/>
    <w:rsid w:val="006C4949"/>
    <w:rsid w:val="006C4E52"/>
    <w:rsid w:val="006C5150"/>
    <w:rsid w:val="006C5431"/>
    <w:rsid w:val="006C6075"/>
    <w:rsid w:val="006C6424"/>
    <w:rsid w:val="006C6769"/>
    <w:rsid w:val="006C6918"/>
    <w:rsid w:val="006C6B82"/>
    <w:rsid w:val="006C71B5"/>
    <w:rsid w:val="006C76BD"/>
    <w:rsid w:val="006D0020"/>
    <w:rsid w:val="006D03EA"/>
    <w:rsid w:val="006D06F1"/>
    <w:rsid w:val="006D07C6"/>
    <w:rsid w:val="006D0A95"/>
    <w:rsid w:val="006D0C77"/>
    <w:rsid w:val="006D10A3"/>
    <w:rsid w:val="006D10A6"/>
    <w:rsid w:val="006D121E"/>
    <w:rsid w:val="006D2217"/>
    <w:rsid w:val="006D2462"/>
    <w:rsid w:val="006D3035"/>
    <w:rsid w:val="006D30EF"/>
    <w:rsid w:val="006D35C5"/>
    <w:rsid w:val="006D3C05"/>
    <w:rsid w:val="006D45F1"/>
    <w:rsid w:val="006D58A5"/>
    <w:rsid w:val="006D5CFC"/>
    <w:rsid w:val="006D631A"/>
    <w:rsid w:val="006D6735"/>
    <w:rsid w:val="006D6997"/>
    <w:rsid w:val="006D6C30"/>
    <w:rsid w:val="006D6C42"/>
    <w:rsid w:val="006D777E"/>
    <w:rsid w:val="006D7BAD"/>
    <w:rsid w:val="006D7FC5"/>
    <w:rsid w:val="006E0178"/>
    <w:rsid w:val="006E0369"/>
    <w:rsid w:val="006E099A"/>
    <w:rsid w:val="006E0BFD"/>
    <w:rsid w:val="006E0C15"/>
    <w:rsid w:val="006E0D06"/>
    <w:rsid w:val="006E103A"/>
    <w:rsid w:val="006E125C"/>
    <w:rsid w:val="006E1F81"/>
    <w:rsid w:val="006E25CD"/>
    <w:rsid w:val="006E2A88"/>
    <w:rsid w:val="006E2AEB"/>
    <w:rsid w:val="006E2B9C"/>
    <w:rsid w:val="006E30E8"/>
    <w:rsid w:val="006E3263"/>
    <w:rsid w:val="006E3567"/>
    <w:rsid w:val="006E3B38"/>
    <w:rsid w:val="006E3C38"/>
    <w:rsid w:val="006E3E31"/>
    <w:rsid w:val="006E3FBF"/>
    <w:rsid w:val="006E44D9"/>
    <w:rsid w:val="006E4634"/>
    <w:rsid w:val="006E48DE"/>
    <w:rsid w:val="006E4E92"/>
    <w:rsid w:val="006E4FBE"/>
    <w:rsid w:val="006E536E"/>
    <w:rsid w:val="006E5553"/>
    <w:rsid w:val="006E55B6"/>
    <w:rsid w:val="006E62E8"/>
    <w:rsid w:val="006E690F"/>
    <w:rsid w:val="006E6C1B"/>
    <w:rsid w:val="006E6E6C"/>
    <w:rsid w:val="006E7195"/>
    <w:rsid w:val="006E75C8"/>
    <w:rsid w:val="006E7B74"/>
    <w:rsid w:val="006E7C15"/>
    <w:rsid w:val="006F09FA"/>
    <w:rsid w:val="006F0D4F"/>
    <w:rsid w:val="006F1512"/>
    <w:rsid w:val="006F1C44"/>
    <w:rsid w:val="006F2270"/>
    <w:rsid w:val="006F23EC"/>
    <w:rsid w:val="006F2901"/>
    <w:rsid w:val="006F2E1E"/>
    <w:rsid w:val="006F3C53"/>
    <w:rsid w:val="006F3F30"/>
    <w:rsid w:val="006F42B3"/>
    <w:rsid w:val="006F4620"/>
    <w:rsid w:val="006F4683"/>
    <w:rsid w:val="006F5B7A"/>
    <w:rsid w:val="006F5B9E"/>
    <w:rsid w:val="006F5C99"/>
    <w:rsid w:val="006F65AE"/>
    <w:rsid w:val="006F6F10"/>
    <w:rsid w:val="006F7439"/>
    <w:rsid w:val="006F7901"/>
    <w:rsid w:val="00700034"/>
    <w:rsid w:val="007004E9"/>
    <w:rsid w:val="00700A4D"/>
    <w:rsid w:val="007025AC"/>
    <w:rsid w:val="0070354D"/>
    <w:rsid w:val="007037EF"/>
    <w:rsid w:val="0070395C"/>
    <w:rsid w:val="007040FB"/>
    <w:rsid w:val="00704286"/>
    <w:rsid w:val="00704526"/>
    <w:rsid w:val="00704B44"/>
    <w:rsid w:val="00704EDC"/>
    <w:rsid w:val="00705317"/>
    <w:rsid w:val="00705829"/>
    <w:rsid w:val="00705891"/>
    <w:rsid w:val="00706696"/>
    <w:rsid w:val="00706AF8"/>
    <w:rsid w:val="00706FAB"/>
    <w:rsid w:val="00707401"/>
    <w:rsid w:val="00707650"/>
    <w:rsid w:val="0071050A"/>
    <w:rsid w:val="00710E45"/>
    <w:rsid w:val="0071117C"/>
    <w:rsid w:val="00711324"/>
    <w:rsid w:val="007120F3"/>
    <w:rsid w:val="0071273F"/>
    <w:rsid w:val="00712AA1"/>
    <w:rsid w:val="00712EC2"/>
    <w:rsid w:val="00714287"/>
    <w:rsid w:val="00714430"/>
    <w:rsid w:val="00714B0E"/>
    <w:rsid w:val="00714B56"/>
    <w:rsid w:val="00714C0D"/>
    <w:rsid w:val="00714E6A"/>
    <w:rsid w:val="007152C0"/>
    <w:rsid w:val="0071547C"/>
    <w:rsid w:val="00715A06"/>
    <w:rsid w:val="00715BA0"/>
    <w:rsid w:val="007165BD"/>
    <w:rsid w:val="007169A1"/>
    <w:rsid w:val="00716B9C"/>
    <w:rsid w:val="00717AA6"/>
    <w:rsid w:val="00717AC8"/>
    <w:rsid w:val="00717B0B"/>
    <w:rsid w:val="00717CCF"/>
    <w:rsid w:val="00717EB1"/>
    <w:rsid w:val="00720118"/>
    <w:rsid w:val="007202D9"/>
    <w:rsid w:val="007205A6"/>
    <w:rsid w:val="00720A9C"/>
    <w:rsid w:val="00720C00"/>
    <w:rsid w:val="0072163C"/>
    <w:rsid w:val="007216F8"/>
    <w:rsid w:val="0072180B"/>
    <w:rsid w:val="00721ABF"/>
    <w:rsid w:val="00721E0C"/>
    <w:rsid w:val="007222B5"/>
    <w:rsid w:val="0072337D"/>
    <w:rsid w:val="007239E6"/>
    <w:rsid w:val="007240A9"/>
    <w:rsid w:val="007241EF"/>
    <w:rsid w:val="00724552"/>
    <w:rsid w:val="0072553D"/>
    <w:rsid w:val="00725D33"/>
    <w:rsid w:val="0072681E"/>
    <w:rsid w:val="007269EE"/>
    <w:rsid w:val="00726E75"/>
    <w:rsid w:val="007271D2"/>
    <w:rsid w:val="00727423"/>
    <w:rsid w:val="0072776A"/>
    <w:rsid w:val="00727BFF"/>
    <w:rsid w:val="00727EF8"/>
    <w:rsid w:val="007307BA"/>
    <w:rsid w:val="007313EC"/>
    <w:rsid w:val="0073177B"/>
    <w:rsid w:val="00731BFC"/>
    <w:rsid w:val="007327C4"/>
    <w:rsid w:val="0073369A"/>
    <w:rsid w:val="00733DCF"/>
    <w:rsid w:val="0073412A"/>
    <w:rsid w:val="0073443C"/>
    <w:rsid w:val="007347D9"/>
    <w:rsid w:val="00734922"/>
    <w:rsid w:val="00734B22"/>
    <w:rsid w:val="007352EE"/>
    <w:rsid w:val="00735453"/>
    <w:rsid w:val="00735785"/>
    <w:rsid w:val="00735A5B"/>
    <w:rsid w:val="00736AE2"/>
    <w:rsid w:val="007373EE"/>
    <w:rsid w:val="00737A2D"/>
    <w:rsid w:val="00737B2B"/>
    <w:rsid w:val="00737C30"/>
    <w:rsid w:val="00740584"/>
    <w:rsid w:val="0074108A"/>
    <w:rsid w:val="007418E1"/>
    <w:rsid w:val="00741D5B"/>
    <w:rsid w:val="0074274C"/>
    <w:rsid w:val="00742DEA"/>
    <w:rsid w:val="00743017"/>
    <w:rsid w:val="00743421"/>
    <w:rsid w:val="0074361B"/>
    <w:rsid w:val="007437CB"/>
    <w:rsid w:val="00743F17"/>
    <w:rsid w:val="007440FE"/>
    <w:rsid w:val="007449FE"/>
    <w:rsid w:val="00745289"/>
    <w:rsid w:val="0074567D"/>
    <w:rsid w:val="00745E6F"/>
    <w:rsid w:val="007462DA"/>
    <w:rsid w:val="00746C5C"/>
    <w:rsid w:val="00747426"/>
    <w:rsid w:val="0074750C"/>
    <w:rsid w:val="00747647"/>
    <w:rsid w:val="007503C8"/>
    <w:rsid w:val="0075043B"/>
    <w:rsid w:val="0075066D"/>
    <w:rsid w:val="007508A5"/>
    <w:rsid w:val="007509F9"/>
    <w:rsid w:val="00751224"/>
    <w:rsid w:val="007517AB"/>
    <w:rsid w:val="0075201B"/>
    <w:rsid w:val="0075212E"/>
    <w:rsid w:val="007521A9"/>
    <w:rsid w:val="007525CD"/>
    <w:rsid w:val="00752978"/>
    <w:rsid w:val="00753658"/>
    <w:rsid w:val="007536C4"/>
    <w:rsid w:val="00753FEE"/>
    <w:rsid w:val="0075448A"/>
    <w:rsid w:val="007549D3"/>
    <w:rsid w:val="007555D9"/>
    <w:rsid w:val="007557A9"/>
    <w:rsid w:val="007558BD"/>
    <w:rsid w:val="00755F9E"/>
    <w:rsid w:val="007560B8"/>
    <w:rsid w:val="007562F4"/>
    <w:rsid w:val="007565DE"/>
    <w:rsid w:val="00756629"/>
    <w:rsid w:val="00756916"/>
    <w:rsid w:val="00756F5E"/>
    <w:rsid w:val="00757499"/>
    <w:rsid w:val="00757878"/>
    <w:rsid w:val="00757F28"/>
    <w:rsid w:val="00757F4F"/>
    <w:rsid w:val="0076005C"/>
    <w:rsid w:val="007600C9"/>
    <w:rsid w:val="007603CD"/>
    <w:rsid w:val="00760954"/>
    <w:rsid w:val="00760E1D"/>
    <w:rsid w:val="00760F29"/>
    <w:rsid w:val="007611DD"/>
    <w:rsid w:val="00761771"/>
    <w:rsid w:val="00761AE1"/>
    <w:rsid w:val="00761C2C"/>
    <w:rsid w:val="00761C50"/>
    <w:rsid w:val="00762441"/>
    <w:rsid w:val="007625B6"/>
    <w:rsid w:val="0076276A"/>
    <w:rsid w:val="007629B1"/>
    <w:rsid w:val="00762E7D"/>
    <w:rsid w:val="00763DDB"/>
    <w:rsid w:val="00763F7B"/>
    <w:rsid w:val="0076479A"/>
    <w:rsid w:val="0076489D"/>
    <w:rsid w:val="00764E2C"/>
    <w:rsid w:val="00764EE7"/>
    <w:rsid w:val="00765262"/>
    <w:rsid w:val="00765443"/>
    <w:rsid w:val="00765635"/>
    <w:rsid w:val="00765769"/>
    <w:rsid w:val="00765B3E"/>
    <w:rsid w:val="00765B6B"/>
    <w:rsid w:val="00766231"/>
    <w:rsid w:val="00766762"/>
    <w:rsid w:val="00770490"/>
    <w:rsid w:val="00770BDC"/>
    <w:rsid w:val="00770D89"/>
    <w:rsid w:val="00770FFF"/>
    <w:rsid w:val="00771605"/>
    <w:rsid w:val="007718A4"/>
    <w:rsid w:val="0077200F"/>
    <w:rsid w:val="00772417"/>
    <w:rsid w:val="007726D9"/>
    <w:rsid w:val="00772944"/>
    <w:rsid w:val="00772A93"/>
    <w:rsid w:val="00772AAB"/>
    <w:rsid w:val="00772D70"/>
    <w:rsid w:val="007736F0"/>
    <w:rsid w:val="00773759"/>
    <w:rsid w:val="0077397F"/>
    <w:rsid w:val="00773B9F"/>
    <w:rsid w:val="00774C34"/>
    <w:rsid w:val="00774EE1"/>
    <w:rsid w:val="00775176"/>
    <w:rsid w:val="007752A8"/>
    <w:rsid w:val="007752C0"/>
    <w:rsid w:val="00775870"/>
    <w:rsid w:val="00775D53"/>
    <w:rsid w:val="00775F59"/>
    <w:rsid w:val="007763B0"/>
    <w:rsid w:val="007764F6"/>
    <w:rsid w:val="00777466"/>
    <w:rsid w:val="00780073"/>
    <w:rsid w:val="007801B5"/>
    <w:rsid w:val="00780224"/>
    <w:rsid w:val="00780634"/>
    <w:rsid w:val="00780731"/>
    <w:rsid w:val="00780FC6"/>
    <w:rsid w:val="00781070"/>
    <w:rsid w:val="00781517"/>
    <w:rsid w:val="0078176E"/>
    <w:rsid w:val="0078192C"/>
    <w:rsid w:val="00781C8F"/>
    <w:rsid w:val="00781D34"/>
    <w:rsid w:val="00781FDC"/>
    <w:rsid w:val="00782743"/>
    <w:rsid w:val="00782DF6"/>
    <w:rsid w:val="007831AF"/>
    <w:rsid w:val="0078363E"/>
    <w:rsid w:val="007842CF"/>
    <w:rsid w:val="00784584"/>
    <w:rsid w:val="0078499B"/>
    <w:rsid w:val="00784A49"/>
    <w:rsid w:val="00785557"/>
    <w:rsid w:val="00785DB2"/>
    <w:rsid w:val="00786A60"/>
    <w:rsid w:val="00786D6F"/>
    <w:rsid w:val="007874A9"/>
    <w:rsid w:val="00790337"/>
    <w:rsid w:val="00790753"/>
    <w:rsid w:val="00790F41"/>
    <w:rsid w:val="00791F2B"/>
    <w:rsid w:val="00792B09"/>
    <w:rsid w:val="0079302B"/>
    <w:rsid w:val="0079302E"/>
    <w:rsid w:val="007933CE"/>
    <w:rsid w:val="0079374B"/>
    <w:rsid w:val="00793997"/>
    <w:rsid w:val="00793D59"/>
    <w:rsid w:val="00794139"/>
    <w:rsid w:val="007946C5"/>
    <w:rsid w:val="00794755"/>
    <w:rsid w:val="00794FF2"/>
    <w:rsid w:val="007955CA"/>
    <w:rsid w:val="007958A7"/>
    <w:rsid w:val="00795FB1"/>
    <w:rsid w:val="007963DB"/>
    <w:rsid w:val="00797632"/>
    <w:rsid w:val="00797A9B"/>
    <w:rsid w:val="00797AB0"/>
    <w:rsid w:val="007A0161"/>
    <w:rsid w:val="007A0719"/>
    <w:rsid w:val="007A0B3D"/>
    <w:rsid w:val="007A1569"/>
    <w:rsid w:val="007A18C5"/>
    <w:rsid w:val="007A2350"/>
    <w:rsid w:val="007A2615"/>
    <w:rsid w:val="007A284D"/>
    <w:rsid w:val="007A32B7"/>
    <w:rsid w:val="007A3C66"/>
    <w:rsid w:val="007A4E01"/>
    <w:rsid w:val="007A55CA"/>
    <w:rsid w:val="007A5AA6"/>
    <w:rsid w:val="007A62CF"/>
    <w:rsid w:val="007A6B76"/>
    <w:rsid w:val="007A7078"/>
    <w:rsid w:val="007A7120"/>
    <w:rsid w:val="007A7B5A"/>
    <w:rsid w:val="007A7D46"/>
    <w:rsid w:val="007A7E7E"/>
    <w:rsid w:val="007B0120"/>
    <w:rsid w:val="007B0371"/>
    <w:rsid w:val="007B06EC"/>
    <w:rsid w:val="007B0B24"/>
    <w:rsid w:val="007B0F3B"/>
    <w:rsid w:val="007B18B9"/>
    <w:rsid w:val="007B2101"/>
    <w:rsid w:val="007B22BF"/>
    <w:rsid w:val="007B2810"/>
    <w:rsid w:val="007B2EFB"/>
    <w:rsid w:val="007B34D2"/>
    <w:rsid w:val="007B3677"/>
    <w:rsid w:val="007B3ADD"/>
    <w:rsid w:val="007B3FB4"/>
    <w:rsid w:val="007B45FC"/>
    <w:rsid w:val="007B4646"/>
    <w:rsid w:val="007B4780"/>
    <w:rsid w:val="007B481D"/>
    <w:rsid w:val="007B4B7A"/>
    <w:rsid w:val="007B4DE8"/>
    <w:rsid w:val="007B4FD0"/>
    <w:rsid w:val="007B5F47"/>
    <w:rsid w:val="007B65BF"/>
    <w:rsid w:val="007B69DB"/>
    <w:rsid w:val="007B7D7D"/>
    <w:rsid w:val="007C0876"/>
    <w:rsid w:val="007C0968"/>
    <w:rsid w:val="007C0D21"/>
    <w:rsid w:val="007C0E86"/>
    <w:rsid w:val="007C1184"/>
    <w:rsid w:val="007C1765"/>
    <w:rsid w:val="007C26A1"/>
    <w:rsid w:val="007C26C0"/>
    <w:rsid w:val="007C3377"/>
    <w:rsid w:val="007C3A95"/>
    <w:rsid w:val="007C3C7B"/>
    <w:rsid w:val="007C3EA2"/>
    <w:rsid w:val="007C401E"/>
    <w:rsid w:val="007C43C1"/>
    <w:rsid w:val="007C46F0"/>
    <w:rsid w:val="007C5819"/>
    <w:rsid w:val="007C5A4F"/>
    <w:rsid w:val="007C5C8D"/>
    <w:rsid w:val="007C64A4"/>
    <w:rsid w:val="007C64B6"/>
    <w:rsid w:val="007C7855"/>
    <w:rsid w:val="007C7902"/>
    <w:rsid w:val="007D0005"/>
    <w:rsid w:val="007D0103"/>
    <w:rsid w:val="007D06CC"/>
    <w:rsid w:val="007D0AF1"/>
    <w:rsid w:val="007D18D5"/>
    <w:rsid w:val="007D1924"/>
    <w:rsid w:val="007D1B74"/>
    <w:rsid w:val="007D1D00"/>
    <w:rsid w:val="007D275F"/>
    <w:rsid w:val="007D2C4B"/>
    <w:rsid w:val="007D3986"/>
    <w:rsid w:val="007D3F16"/>
    <w:rsid w:val="007D46BA"/>
    <w:rsid w:val="007D4CC6"/>
    <w:rsid w:val="007D4D72"/>
    <w:rsid w:val="007D52AB"/>
    <w:rsid w:val="007D56B7"/>
    <w:rsid w:val="007D7BAD"/>
    <w:rsid w:val="007D7CDC"/>
    <w:rsid w:val="007E13ED"/>
    <w:rsid w:val="007E1658"/>
    <w:rsid w:val="007E1942"/>
    <w:rsid w:val="007E305C"/>
    <w:rsid w:val="007E3291"/>
    <w:rsid w:val="007E42BB"/>
    <w:rsid w:val="007E44B7"/>
    <w:rsid w:val="007E4646"/>
    <w:rsid w:val="007E4FAE"/>
    <w:rsid w:val="007E52FA"/>
    <w:rsid w:val="007E577D"/>
    <w:rsid w:val="007E58AE"/>
    <w:rsid w:val="007E5C51"/>
    <w:rsid w:val="007E5D5F"/>
    <w:rsid w:val="007E682C"/>
    <w:rsid w:val="007E6867"/>
    <w:rsid w:val="007E71DF"/>
    <w:rsid w:val="007E7325"/>
    <w:rsid w:val="007E7692"/>
    <w:rsid w:val="007E7958"/>
    <w:rsid w:val="007E7FC2"/>
    <w:rsid w:val="007F01DF"/>
    <w:rsid w:val="007F08B6"/>
    <w:rsid w:val="007F0C76"/>
    <w:rsid w:val="007F0D18"/>
    <w:rsid w:val="007F149B"/>
    <w:rsid w:val="007F15E4"/>
    <w:rsid w:val="007F1A19"/>
    <w:rsid w:val="007F2754"/>
    <w:rsid w:val="007F2BEB"/>
    <w:rsid w:val="007F3024"/>
    <w:rsid w:val="007F33B6"/>
    <w:rsid w:val="007F3646"/>
    <w:rsid w:val="007F448D"/>
    <w:rsid w:val="007F4653"/>
    <w:rsid w:val="007F48D5"/>
    <w:rsid w:val="007F4F52"/>
    <w:rsid w:val="007F549F"/>
    <w:rsid w:val="007F55ED"/>
    <w:rsid w:val="007F62D6"/>
    <w:rsid w:val="007F6460"/>
    <w:rsid w:val="007F6640"/>
    <w:rsid w:val="007F6A25"/>
    <w:rsid w:val="007F6C87"/>
    <w:rsid w:val="007F6FCA"/>
    <w:rsid w:val="007F75AC"/>
    <w:rsid w:val="007F7B1A"/>
    <w:rsid w:val="00800095"/>
    <w:rsid w:val="00800751"/>
    <w:rsid w:val="008020F3"/>
    <w:rsid w:val="008022B3"/>
    <w:rsid w:val="0080249F"/>
    <w:rsid w:val="008033C9"/>
    <w:rsid w:val="008035B4"/>
    <w:rsid w:val="008039E8"/>
    <w:rsid w:val="00803B74"/>
    <w:rsid w:val="00803B9A"/>
    <w:rsid w:val="00803E73"/>
    <w:rsid w:val="00804012"/>
    <w:rsid w:val="008040CC"/>
    <w:rsid w:val="008040F9"/>
    <w:rsid w:val="008041F4"/>
    <w:rsid w:val="008042F1"/>
    <w:rsid w:val="00804E74"/>
    <w:rsid w:val="00805227"/>
    <w:rsid w:val="00805471"/>
    <w:rsid w:val="008059CC"/>
    <w:rsid w:val="00805A25"/>
    <w:rsid w:val="00805C2D"/>
    <w:rsid w:val="00805F38"/>
    <w:rsid w:val="00806B27"/>
    <w:rsid w:val="00807075"/>
    <w:rsid w:val="00807441"/>
    <w:rsid w:val="008077C0"/>
    <w:rsid w:val="00807FCB"/>
    <w:rsid w:val="008101E3"/>
    <w:rsid w:val="008103CB"/>
    <w:rsid w:val="008105A6"/>
    <w:rsid w:val="008108DA"/>
    <w:rsid w:val="008109B0"/>
    <w:rsid w:val="00810A14"/>
    <w:rsid w:val="00810CA7"/>
    <w:rsid w:val="00811355"/>
    <w:rsid w:val="008125DC"/>
    <w:rsid w:val="00812DEC"/>
    <w:rsid w:val="00812E30"/>
    <w:rsid w:val="008136C3"/>
    <w:rsid w:val="00814604"/>
    <w:rsid w:val="00814A74"/>
    <w:rsid w:val="00815631"/>
    <w:rsid w:val="008159A8"/>
    <w:rsid w:val="00815A3F"/>
    <w:rsid w:val="00815F3F"/>
    <w:rsid w:val="00816355"/>
    <w:rsid w:val="00816719"/>
    <w:rsid w:val="008169C0"/>
    <w:rsid w:val="00817010"/>
    <w:rsid w:val="0081708E"/>
    <w:rsid w:val="0081797A"/>
    <w:rsid w:val="00817D04"/>
    <w:rsid w:val="00820B9F"/>
    <w:rsid w:val="0082310E"/>
    <w:rsid w:val="0082377C"/>
    <w:rsid w:val="008239F5"/>
    <w:rsid w:val="00824141"/>
    <w:rsid w:val="008242B4"/>
    <w:rsid w:val="0082451D"/>
    <w:rsid w:val="008254D2"/>
    <w:rsid w:val="00825591"/>
    <w:rsid w:val="00825D1F"/>
    <w:rsid w:val="00826007"/>
    <w:rsid w:val="00826887"/>
    <w:rsid w:val="00826C0E"/>
    <w:rsid w:val="00826E2E"/>
    <w:rsid w:val="00827488"/>
    <w:rsid w:val="008277E7"/>
    <w:rsid w:val="00827D89"/>
    <w:rsid w:val="00827E42"/>
    <w:rsid w:val="0083039B"/>
    <w:rsid w:val="00830453"/>
    <w:rsid w:val="008306BF"/>
    <w:rsid w:val="00830E51"/>
    <w:rsid w:val="00831C57"/>
    <w:rsid w:val="00831E89"/>
    <w:rsid w:val="0083220B"/>
    <w:rsid w:val="00832596"/>
    <w:rsid w:val="008327CA"/>
    <w:rsid w:val="008327EA"/>
    <w:rsid w:val="00832A7E"/>
    <w:rsid w:val="00832ADC"/>
    <w:rsid w:val="00832B77"/>
    <w:rsid w:val="00832BCA"/>
    <w:rsid w:val="008333FD"/>
    <w:rsid w:val="0083362C"/>
    <w:rsid w:val="008338CD"/>
    <w:rsid w:val="00833993"/>
    <w:rsid w:val="008343AF"/>
    <w:rsid w:val="00834673"/>
    <w:rsid w:val="00834D9B"/>
    <w:rsid w:val="008354B8"/>
    <w:rsid w:val="00835ED5"/>
    <w:rsid w:val="00836077"/>
    <w:rsid w:val="008361A6"/>
    <w:rsid w:val="00836587"/>
    <w:rsid w:val="008368AE"/>
    <w:rsid w:val="00837C7D"/>
    <w:rsid w:val="00840443"/>
    <w:rsid w:val="0084067A"/>
    <w:rsid w:val="00840B9F"/>
    <w:rsid w:val="00840FAF"/>
    <w:rsid w:val="0084107F"/>
    <w:rsid w:val="00841D6D"/>
    <w:rsid w:val="008423A4"/>
    <w:rsid w:val="008423B5"/>
    <w:rsid w:val="00842C2B"/>
    <w:rsid w:val="00842F65"/>
    <w:rsid w:val="00843046"/>
    <w:rsid w:val="00844101"/>
    <w:rsid w:val="008443AC"/>
    <w:rsid w:val="008447DD"/>
    <w:rsid w:val="0084489F"/>
    <w:rsid w:val="00844AF5"/>
    <w:rsid w:val="00844C01"/>
    <w:rsid w:val="00845C21"/>
    <w:rsid w:val="008462F8"/>
    <w:rsid w:val="008467A0"/>
    <w:rsid w:val="00846901"/>
    <w:rsid w:val="00846945"/>
    <w:rsid w:val="00846AEC"/>
    <w:rsid w:val="00846EAB"/>
    <w:rsid w:val="008475AF"/>
    <w:rsid w:val="00850035"/>
    <w:rsid w:val="008506F5"/>
    <w:rsid w:val="0085073A"/>
    <w:rsid w:val="00850EF1"/>
    <w:rsid w:val="00850F15"/>
    <w:rsid w:val="008514C3"/>
    <w:rsid w:val="008516D4"/>
    <w:rsid w:val="008518D6"/>
    <w:rsid w:val="00853295"/>
    <w:rsid w:val="008539F9"/>
    <w:rsid w:val="00853C3F"/>
    <w:rsid w:val="00853D99"/>
    <w:rsid w:val="00853E5C"/>
    <w:rsid w:val="00853F29"/>
    <w:rsid w:val="00854463"/>
    <w:rsid w:val="00854FB9"/>
    <w:rsid w:val="00855B5B"/>
    <w:rsid w:val="00855E43"/>
    <w:rsid w:val="00855FAC"/>
    <w:rsid w:val="00856199"/>
    <w:rsid w:val="00856825"/>
    <w:rsid w:val="0085696B"/>
    <w:rsid w:val="00857839"/>
    <w:rsid w:val="00857E9F"/>
    <w:rsid w:val="008601FD"/>
    <w:rsid w:val="00860617"/>
    <w:rsid w:val="0086066A"/>
    <w:rsid w:val="00860B13"/>
    <w:rsid w:val="00860C62"/>
    <w:rsid w:val="00860ECE"/>
    <w:rsid w:val="008622B5"/>
    <w:rsid w:val="0086265E"/>
    <w:rsid w:val="008628A9"/>
    <w:rsid w:val="00862B3B"/>
    <w:rsid w:val="00862E64"/>
    <w:rsid w:val="008633AB"/>
    <w:rsid w:val="0086343F"/>
    <w:rsid w:val="00863491"/>
    <w:rsid w:val="00863598"/>
    <w:rsid w:val="008635FE"/>
    <w:rsid w:val="00863F8A"/>
    <w:rsid w:val="00864677"/>
    <w:rsid w:val="00864742"/>
    <w:rsid w:val="00865BC6"/>
    <w:rsid w:val="00865C79"/>
    <w:rsid w:val="00865E72"/>
    <w:rsid w:val="0086764A"/>
    <w:rsid w:val="0086799E"/>
    <w:rsid w:val="00867CFC"/>
    <w:rsid w:val="008701E8"/>
    <w:rsid w:val="008702EE"/>
    <w:rsid w:val="00870924"/>
    <w:rsid w:val="00870BA4"/>
    <w:rsid w:val="008710E0"/>
    <w:rsid w:val="008714A6"/>
    <w:rsid w:val="00871713"/>
    <w:rsid w:val="00871A33"/>
    <w:rsid w:val="00871B6E"/>
    <w:rsid w:val="00871D56"/>
    <w:rsid w:val="0087216D"/>
    <w:rsid w:val="00872C12"/>
    <w:rsid w:val="00872E44"/>
    <w:rsid w:val="0087497C"/>
    <w:rsid w:val="00874B58"/>
    <w:rsid w:val="00874CBE"/>
    <w:rsid w:val="00875377"/>
    <w:rsid w:val="0087556E"/>
    <w:rsid w:val="00875599"/>
    <w:rsid w:val="008756E7"/>
    <w:rsid w:val="00875816"/>
    <w:rsid w:val="008758E0"/>
    <w:rsid w:val="008763CB"/>
    <w:rsid w:val="008765E5"/>
    <w:rsid w:val="0087672A"/>
    <w:rsid w:val="00876A99"/>
    <w:rsid w:val="00876C60"/>
    <w:rsid w:val="00876D3E"/>
    <w:rsid w:val="00877D3D"/>
    <w:rsid w:val="0088005F"/>
    <w:rsid w:val="008807DB"/>
    <w:rsid w:val="008816A0"/>
    <w:rsid w:val="00881785"/>
    <w:rsid w:val="00881ACA"/>
    <w:rsid w:val="00881C07"/>
    <w:rsid w:val="00881DE8"/>
    <w:rsid w:val="00882FD8"/>
    <w:rsid w:val="00883545"/>
    <w:rsid w:val="0088393C"/>
    <w:rsid w:val="008844B0"/>
    <w:rsid w:val="008845EC"/>
    <w:rsid w:val="008845F6"/>
    <w:rsid w:val="008846F3"/>
    <w:rsid w:val="008847D5"/>
    <w:rsid w:val="00884E41"/>
    <w:rsid w:val="00885BCC"/>
    <w:rsid w:val="00885F2B"/>
    <w:rsid w:val="0088607B"/>
    <w:rsid w:val="00886B80"/>
    <w:rsid w:val="0088706A"/>
    <w:rsid w:val="00887891"/>
    <w:rsid w:val="008902A1"/>
    <w:rsid w:val="008907AE"/>
    <w:rsid w:val="00890E83"/>
    <w:rsid w:val="0089158A"/>
    <w:rsid w:val="00891B04"/>
    <w:rsid w:val="008921E7"/>
    <w:rsid w:val="00892310"/>
    <w:rsid w:val="00892385"/>
    <w:rsid w:val="008923D0"/>
    <w:rsid w:val="008931CF"/>
    <w:rsid w:val="0089367F"/>
    <w:rsid w:val="008942DB"/>
    <w:rsid w:val="00894872"/>
    <w:rsid w:val="0089496B"/>
    <w:rsid w:val="00895452"/>
    <w:rsid w:val="008954D4"/>
    <w:rsid w:val="0089592D"/>
    <w:rsid w:val="00895ED3"/>
    <w:rsid w:val="008960D7"/>
    <w:rsid w:val="008962E1"/>
    <w:rsid w:val="008966A4"/>
    <w:rsid w:val="00896D20"/>
    <w:rsid w:val="008973EA"/>
    <w:rsid w:val="00897E9D"/>
    <w:rsid w:val="00897FDD"/>
    <w:rsid w:val="008A006B"/>
    <w:rsid w:val="008A0F7C"/>
    <w:rsid w:val="008A0FCB"/>
    <w:rsid w:val="008A1305"/>
    <w:rsid w:val="008A1506"/>
    <w:rsid w:val="008A185E"/>
    <w:rsid w:val="008A3CCE"/>
    <w:rsid w:val="008A4133"/>
    <w:rsid w:val="008A4379"/>
    <w:rsid w:val="008A4477"/>
    <w:rsid w:val="008A4F22"/>
    <w:rsid w:val="008A5003"/>
    <w:rsid w:val="008A5334"/>
    <w:rsid w:val="008A54E3"/>
    <w:rsid w:val="008A5733"/>
    <w:rsid w:val="008A5E7E"/>
    <w:rsid w:val="008A60F7"/>
    <w:rsid w:val="008A6229"/>
    <w:rsid w:val="008A65AB"/>
    <w:rsid w:val="008A7AAE"/>
    <w:rsid w:val="008A7CC5"/>
    <w:rsid w:val="008A7E8B"/>
    <w:rsid w:val="008B0590"/>
    <w:rsid w:val="008B0DBC"/>
    <w:rsid w:val="008B0E90"/>
    <w:rsid w:val="008B1035"/>
    <w:rsid w:val="008B14A5"/>
    <w:rsid w:val="008B17DE"/>
    <w:rsid w:val="008B1848"/>
    <w:rsid w:val="008B19D7"/>
    <w:rsid w:val="008B19ED"/>
    <w:rsid w:val="008B2185"/>
    <w:rsid w:val="008B2520"/>
    <w:rsid w:val="008B25B0"/>
    <w:rsid w:val="008B2659"/>
    <w:rsid w:val="008B27A9"/>
    <w:rsid w:val="008B2DF7"/>
    <w:rsid w:val="008B36EE"/>
    <w:rsid w:val="008B3788"/>
    <w:rsid w:val="008B3D24"/>
    <w:rsid w:val="008B4901"/>
    <w:rsid w:val="008B4C04"/>
    <w:rsid w:val="008B52DF"/>
    <w:rsid w:val="008B5632"/>
    <w:rsid w:val="008B5A6F"/>
    <w:rsid w:val="008B5C53"/>
    <w:rsid w:val="008B5D8D"/>
    <w:rsid w:val="008B5FB6"/>
    <w:rsid w:val="008B6344"/>
    <w:rsid w:val="008B66E3"/>
    <w:rsid w:val="008B6AA5"/>
    <w:rsid w:val="008B6C9C"/>
    <w:rsid w:val="008B733E"/>
    <w:rsid w:val="008B73BB"/>
    <w:rsid w:val="008B73C2"/>
    <w:rsid w:val="008B7566"/>
    <w:rsid w:val="008B78D1"/>
    <w:rsid w:val="008B79FF"/>
    <w:rsid w:val="008B7AD8"/>
    <w:rsid w:val="008C04A1"/>
    <w:rsid w:val="008C0636"/>
    <w:rsid w:val="008C0665"/>
    <w:rsid w:val="008C09E8"/>
    <w:rsid w:val="008C0AE5"/>
    <w:rsid w:val="008C0CD4"/>
    <w:rsid w:val="008C0FB8"/>
    <w:rsid w:val="008C199E"/>
    <w:rsid w:val="008C1ECA"/>
    <w:rsid w:val="008C211B"/>
    <w:rsid w:val="008C2A28"/>
    <w:rsid w:val="008C2A6E"/>
    <w:rsid w:val="008C2B95"/>
    <w:rsid w:val="008C2C59"/>
    <w:rsid w:val="008C2CFD"/>
    <w:rsid w:val="008C34E4"/>
    <w:rsid w:val="008C35AF"/>
    <w:rsid w:val="008C3684"/>
    <w:rsid w:val="008C3A64"/>
    <w:rsid w:val="008C49E2"/>
    <w:rsid w:val="008C4B8D"/>
    <w:rsid w:val="008C4DE5"/>
    <w:rsid w:val="008C4E4E"/>
    <w:rsid w:val="008C57F6"/>
    <w:rsid w:val="008C5C5E"/>
    <w:rsid w:val="008C629B"/>
    <w:rsid w:val="008C62D4"/>
    <w:rsid w:val="008C6550"/>
    <w:rsid w:val="008C679C"/>
    <w:rsid w:val="008C7CF2"/>
    <w:rsid w:val="008C7D7E"/>
    <w:rsid w:val="008C7DF9"/>
    <w:rsid w:val="008D029E"/>
    <w:rsid w:val="008D04A4"/>
    <w:rsid w:val="008D152C"/>
    <w:rsid w:val="008D1564"/>
    <w:rsid w:val="008D1766"/>
    <w:rsid w:val="008D1BE3"/>
    <w:rsid w:val="008D25A0"/>
    <w:rsid w:val="008D2D13"/>
    <w:rsid w:val="008D2ED2"/>
    <w:rsid w:val="008D3201"/>
    <w:rsid w:val="008D38AC"/>
    <w:rsid w:val="008D38E3"/>
    <w:rsid w:val="008D4079"/>
    <w:rsid w:val="008D40D0"/>
    <w:rsid w:val="008D42B1"/>
    <w:rsid w:val="008D440A"/>
    <w:rsid w:val="008D508D"/>
    <w:rsid w:val="008D51AA"/>
    <w:rsid w:val="008D529F"/>
    <w:rsid w:val="008D648D"/>
    <w:rsid w:val="008D661B"/>
    <w:rsid w:val="008D66F4"/>
    <w:rsid w:val="008D67AA"/>
    <w:rsid w:val="008D6901"/>
    <w:rsid w:val="008D6DB9"/>
    <w:rsid w:val="008D6E86"/>
    <w:rsid w:val="008D6EB2"/>
    <w:rsid w:val="008D6F7D"/>
    <w:rsid w:val="008D773B"/>
    <w:rsid w:val="008D7CF1"/>
    <w:rsid w:val="008E000D"/>
    <w:rsid w:val="008E081A"/>
    <w:rsid w:val="008E0837"/>
    <w:rsid w:val="008E0CE2"/>
    <w:rsid w:val="008E179D"/>
    <w:rsid w:val="008E1987"/>
    <w:rsid w:val="008E1A25"/>
    <w:rsid w:val="008E232C"/>
    <w:rsid w:val="008E330C"/>
    <w:rsid w:val="008E40BB"/>
    <w:rsid w:val="008E437A"/>
    <w:rsid w:val="008E43A9"/>
    <w:rsid w:val="008E503D"/>
    <w:rsid w:val="008E50C0"/>
    <w:rsid w:val="008E5E29"/>
    <w:rsid w:val="008E5E48"/>
    <w:rsid w:val="008E6038"/>
    <w:rsid w:val="008E61C2"/>
    <w:rsid w:val="008E6499"/>
    <w:rsid w:val="008E6568"/>
    <w:rsid w:val="008E6913"/>
    <w:rsid w:val="008E69CC"/>
    <w:rsid w:val="008E71DB"/>
    <w:rsid w:val="008E75BD"/>
    <w:rsid w:val="008E7885"/>
    <w:rsid w:val="008E7B32"/>
    <w:rsid w:val="008F0797"/>
    <w:rsid w:val="008F2373"/>
    <w:rsid w:val="008F32C2"/>
    <w:rsid w:val="008F3A73"/>
    <w:rsid w:val="008F3CCB"/>
    <w:rsid w:val="008F3CF7"/>
    <w:rsid w:val="008F3DEC"/>
    <w:rsid w:val="008F4E87"/>
    <w:rsid w:val="008F5154"/>
    <w:rsid w:val="008F57AF"/>
    <w:rsid w:val="008F5B21"/>
    <w:rsid w:val="008F5CB0"/>
    <w:rsid w:val="008F6207"/>
    <w:rsid w:val="008F6321"/>
    <w:rsid w:val="008F6898"/>
    <w:rsid w:val="008F6985"/>
    <w:rsid w:val="008F69A3"/>
    <w:rsid w:val="008F6CFB"/>
    <w:rsid w:val="008F73BE"/>
    <w:rsid w:val="008F7AC8"/>
    <w:rsid w:val="00900454"/>
    <w:rsid w:val="009006C1"/>
    <w:rsid w:val="0090156B"/>
    <w:rsid w:val="00901BE7"/>
    <w:rsid w:val="00902315"/>
    <w:rsid w:val="0090248D"/>
    <w:rsid w:val="0090257C"/>
    <w:rsid w:val="00902A69"/>
    <w:rsid w:val="00902C7A"/>
    <w:rsid w:val="00903177"/>
    <w:rsid w:val="0090383F"/>
    <w:rsid w:val="00903CE1"/>
    <w:rsid w:val="00903D50"/>
    <w:rsid w:val="00903DC9"/>
    <w:rsid w:val="009040EE"/>
    <w:rsid w:val="009041C9"/>
    <w:rsid w:val="00904DBC"/>
    <w:rsid w:val="009050DC"/>
    <w:rsid w:val="00905716"/>
    <w:rsid w:val="009059E7"/>
    <w:rsid w:val="00905D9E"/>
    <w:rsid w:val="00906153"/>
    <w:rsid w:val="0090719E"/>
    <w:rsid w:val="009073BF"/>
    <w:rsid w:val="0090775A"/>
    <w:rsid w:val="00911297"/>
    <w:rsid w:val="009116F0"/>
    <w:rsid w:val="00912468"/>
    <w:rsid w:val="0091281F"/>
    <w:rsid w:val="00912B57"/>
    <w:rsid w:val="0091364D"/>
    <w:rsid w:val="00913FB3"/>
    <w:rsid w:val="0091414A"/>
    <w:rsid w:val="009149D0"/>
    <w:rsid w:val="009154F9"/>
    <w:rsid w:val="00915565"/>
    <w:rsid w:val="00915749"/>
    <w:rsid w:val="00915B37"/>
    <w:rsid w:val="00916A38"/>
    <w:rsid w:val="00916A90"/>
    <w:rsid w:val="00916AE7"/>
    <w:rsid w:val="00916B0E"/>
    <w:rsid w:val="00917329"/>
    <w:rsid w:val="0091733C"/>
    <w:rsid w:val="00917F35"/>
    <w:rsid w:val="0092018B"/>
    <w:rsid w:val="00920368"/>
    <w:rsid w:val="009203A7"/>
    <w:rsid w:val="00920627"/>
    <w:rsid w:val="00920CBF"/>
    <w:rsid w:val="00920E35"/>
    <w:rsid w:val="0092105D"/>
    <w:rsid w:val="009216D5"/>
    <w:rsid w:val="009224CB"/>
    <w:rsid w:val="00922645"/>
    <w:rsid w:val="0092288F"/>
    <w:rsid w:val="00922BFE"/>
    <w:rsid w:val="00923089"/>
    <w:rsid w:val="0092346B"/>
    <w:rsid w:val="00923649"/>
    <w:rsid w:val="00923C16"/>
    <w:rsid w:val="0092431E"/>
    <w:rsid w:val="0092465C"/>
    <w:rsid w:val="00924E43"/>
    <w:rsid w:val="00925233"/>
    <w:rsid w:val="00925605"/>
    <w:rsid w:val="009259A5"/>
    <w:rsid w:val="009265AC"/>
    <w:rsid w:val="009266C4"/>
    <w:rsid w:val="00926781"/>
    <w:rsid w:val="00926AF4"/>
    <w:rsid w:val="00926FC0"/>
    <w:rsid w:val="009270A5"/>
    <w:rsid w:val="0093103E"/>
    <w:rsid w:val="00931399"/>
    <w:rsid w:val="00931842"/>
    <w:rsid w:val="00931AEE"/>
    <w:rsid w:val="009320A9"/>
    <w:rsid w:val="009335F1"/>
    <w:rsid w:val="009345BB"/>
    <w:rsid w:val="0093486C"/>
    <w:rsid w:val="00934DFC"/>
    <w:rsid w:val="009351B6"/>
    <w:rsid w:val="00935272"/>
    <w:rsid w:val="00935EED"/>
    <w:rsid w:val="00935F35"/>
    <w:rsid w:val="00935FDD"/>
    <w:rsid w:val="00936718"/>
    <w:rsid w:val="009368E4"/>
    <w:rsid w:val="0093703A"/>
    <w:rsid w:val="00937241"/>
    <w:rsid w:val="009376A4"/>
    <w:rsid w:val="009377A0"/>
    <w:rsid w:val="009377C8"/>
    <w:rsid w:val="009379C9"/>
    <w:rsid w:val="00937C49"/>
    <w:rsid w:val="00937DD6"/>
    <w:rsid w:val="009403B8"/>
    <w:rsid w:val="00940ED3"/>
    <w:rsid w:val="0094136B"/>
    <w:rsid w:val="009413A2"/>
    <w:rsid w:val="0094150E"/>
    <w:rsid w:val="00941BA5"/>
    <w:rsid w:val="00941D96"/>
    <w:rsid w:val="00942A5D"/>
    <w:rsid w:val="00942E69"/>
    <w:rsid w:val="00943422"/>
    <w:rsid w:val="009434E7"/>
    <w:rsid w:val="00943819"/>
    <w:rsid w:val="0094387F"/>
    <w:rsid w:val="00943DB1"/>
    <w:rsid w:val="00943F7E"/>
    <w:rsid w:val="00943FED"/>
    <w:rsid w:val="009441B4"/>
    <w:rsid w:val="00944EB3"/>
    <w:rsid w:val="00945F74"/>
    <w:rsid w:val="00946035"/>
    <w:rsid w:val="0094604F"/>
    <w:rsid w:val="00946456"/>
    <w:rsid w:val="009471A5"/>
    <w:rsid w:val="009476DA"/>
    <w:rsid w:val="00947775"/>
    <w:rsid w:val="00947C1F"/>
    <w:rsid w:val="00947C73"/>
    <w:rsid w:val="009504EC"/>
    <w:rsid w:val="0095052C"/>
    <w:rsid w:val="0095056E"/>
    <w:rsid w:val="00950D31"/>
    <w:rsid w:val="0095101B"/>
    <w:rsid w:val="0095117C"/>
    <w:rsid w:val="009513A0"/>
    <w:rsid w:val="00951948"/>
    <w:rsid w:val="00951A95"/>
    <w:rsid w:val="00951BAE"/>
    <w:rsid w:val="00952137"/>
    <w:rsid w:val="009537F5"/>
    <w:rsid w:val="00954733"/>
    <w:rsid w:val="0095482B"/>
    <w:rsid w:val="00954BC2"/>
    <w:rsid w:val="00954E18"/>
    <w:rsid w:val="0095515F"/>
    <w:rsid w:val="00955327"/>
    <w:rsid w:val="00955CA6"/>
    <w:rsid w:val="00955F1D"/>
    <w:rsid w:val="0095603B"/>
    <w:rsid w:val="009561B3"/>
    <w:rsid w:val="009566FF"/>
    <w:rsid w:val="00956D77"/>
    <w:rsid w:val="00956D90"/>
    <w:rsid w:val="00956DD8"/>
    <w:rsid w:val="009571A2"/>
    <w:rsid w:val="009572BA"/>
    <w:rsid w:val="0095740B"/>
    <w:rsid w:val="009608B5"/>
    <w:rsid w:val="00960BBC"/>
    <w:rsid w:val="00960F1B"/>
    <w:rsid w:val="0096118C"/>
    <w:rsid w:val="00961CD7"/>
    <w:rsid w:val="00961D40"/>
    <w:rsid w:val="00961F78"/>
    <w:rsid w:val="00962540"/>
    <w:rsid w:val="0096262F"/>
    <w:rsid w:val="00962B0D"/>
    <w:rsid w:val="00962EDD"/>
    <w:rsid w:val="00962F5C"/>
    <w:rsid w:val="00963623"/>
    <w:rsid w:val="00963749"/>
    <w:rsid w:val="00963DAC"/>
    <w:rsid w:val="0096403C"/>
    <w:rsid w:val="00964042"/>
    <w:rsid w:val="009641D9"/>
    <w:rsid w:val="0096464C"/>
    <w:rsid w:val="00964729"/>
    <w:rsid w:val="00964995"/>
    <w:rsid w:val="00964B05"/>
    <w:rsid w:val="00965530"/>
    <w:rsid w:val="009655CA"/>
    <w:rsid w:val="00965848"/>
    <w:rsid w:val="00965859"/>
    <w:rsid w:val="009658E9"/>
    <w:rsid w:val="00965E37"/>
    <w:rsid w:val="00967054"/>
    <w:rsid w:val="00967218"/>
    <w:rsid w:val="00967986"/>
    <w:rsid w:val="00970C70"/>
    <w:rsid w:val="0097111D"/>
    <w:rsid w:val="009711C0"/>
    <w:rsid w:val="00971466"/>
    <w:rsid w:val="009717D6"/>
    <w:rsid w:val="00971807"/>
    <w:rsid w:val="00971A77"/>
    <w:rsid w:val="00971D97"/>
    <w:rsid w:val="00971E2D"/>
    <w:rsid w:val="00972BFC"/>
    <w:rsid w:val="00972DA8"/>
    <w:rsid w:val="0097304A"/>
    <w:rsid w:val="00975152"/>
    <w:rsid w:val="009751FB"/>
    <w:rsid w:val="00975B82"/>
    <w:rsid w:val="0097612D"/>
    <w:rsid w:val="009776FF"/>
    <w:rsid w:val="00977857"/>
    <w:rsid w:val="009804B0"/>
    <w:rsid w:val="0098074A"/>
    <w:rsid w:val="00980759"/>
    <w:rsid w:val="00980C60"/>
    <w:rsid w:val="00981357"/>
    <w:rsid w:val="00981E11"/>
    <w:rsid w:val="00982249"/>
    <w:rsid w:val="00982898"/>
    <w:rsid w:val="00983031"/>
    <w:rsid w:val="00983051"/>
    <w:rsid w:val="0098311A"/>
    <w:rsid w:val="0098378A"/>
    <w:rsid w:val="00983890"/>
    <w:rsid w:val="00983B17"/>
    <w:rsid w:val="00983E47"/>
    <w:rsid w:val="00984052"/>
    <w:rsid w:val="00984841"/>
    <w:rsid w:val="00984854"/>
    <w:rsid w:val="00984B02"/>
    <w:rsid w:val="00984F40"/>
    <w:rsid w:val="0098514B"/>
    <w:rsid w:val="009859F1"/>
    <w:rsid w:val="00985AF3"/>
    <w:rsid w:val="00985B7D"/>
    <w:rsid w:val="00985D10"/>
    <w:rsid w:val="009868E8"/>
    <w:rsid w:val="00986E92"/>
    <w:rsid w:val="00987147"/>
    <w:rsid w:val="0099092C"/>
    <w:rsid w:val="00990E14"/>
    <w:rsid w:val="00991014"/>
    <w:rsid w:val="0099175C"/>
    <w:rsid w:val="009918FD"/>
    <w:rsid w:val="00991960"/>
    <w:rsid w:val="009921CD"/>
    <w:rsid w:val="0099269A"/>
    <w:rsid w:val="00992AF8"/>
    <w:rsid w:val="00992D0C"/>
    <w:rsid w:val="0099345D"/>
    <w:rsid w:val="00993568"/>
    <w:rsid w:val="00994026"/>
    <w:rsid w:val="00994067"/>
    <w:rsid w:val="0099442A"/>
    <w:rsid w:val="009946A1"/>
    <w:rsid w:val="00994784"/>
    <w:rsid w:val="00994A2D"/>
    <w:rsid w:val="00995026"/>
    <w:rsid w:val="009950E8"/>
    <w:rsid w:val="009957B4"/>
    <w:rsid w:val="009958EC"/>
    <w:rsid w:val="00996245"/>
    <w:rsid w:val="00996FC6"/>
    <w:rsid w:val="0099728E"/>
    <w:rsid w:val="00997712"/>
    <w:rsid w:val="00997AF2"/>
    <w:rsid w:val="00997BA7"/>
    <w:rsid w:val="00997D04"/>
    <w:rsid w:val="00997F0B"/>
    <w:rsid w:val="009A0200"/>
    <w:rsid w:val="009A02AB"/>
    <w:rsid w:val="009A03AD"/>
    <w:rsid w:val="009A03CF"/>
    <w:rsid w:val="009A0CE9"/>
    <w:rsid w:val="009A0DB1"/>
    <w:rsid w:val="009A10A8"/>
    <w:rsid w:val="009A1C45"/>
    <w:rsid w:val="009A1CF6"/>
    <w:rsid w:val="009A275F"/>
    <w:rsid w:val="009A2CD6"/>
    <w:rsid w:val="009A308C"/>
    <w:rsid w:val="009A316E"/>
    <w:rsid w:val="009A3B41"/>
    <w:rsid w:val="009A41D4"/>
    <w:rsid w:val="009A44AC"/>
    <w:rsid w:val="009A4554"/>
    <w:rsid w:val="009A478C"/>
    <w:rsid w:val="009A4F82"/>
    <w:rsid w:val="009A50A4"/>
    <w:rsid w:val="009A57BA"/>
    <w:rsid w:val="009A5857"/>
    <w:rsid w:val="009A644C"/>
    <w:rsid w:val="009A6D6F"/>
    <w:rsid w:val="009A71FE"/>
    <w:rsid w:val="009A7364"/>
    <w:rsid w:val="009A7828"/>
    <w:rsid w:val="009A7A37"/>
    <w:rsid w:val="009A7F6B"/>
    <w:rsid w:val="009B0156"/>
    <w:rsid w:val="009B01A7"/>
    <w:rsid w:val="009B094E"/>
    <w:rsid w:val="009B0E81"/>
    <w:rsid w:val="009B1B10"/>
    <w:rsid w:val="009B1C18"/>
    <w:rsid w:val="009B26A5"/>
    <w:rsid w:val="009B2A42"/>
    <w:rsid w:val="009B30C7"/>
    <w:rsid w:val="009B3E9A"/>
    <w:rsid w:val="009B5918"/>
    <w:rsid w:val="009B59F8"/>
    <w:rsid w:val="009B5B1B"/>
    <w:rsid w:val="009B6390"/>
    <w:rsid w:val="009B6B6D"/>
    <w:rsid w:val="009B6C4B"/>
    <w:rsid w:val="009B6F2F"/>
    <w:rsid w:val="009B7031"/>
    <w:rsid w:val="009B70D5"/>
    <w:rsid w:val="009B7C7E"/>
    <w:rsid w:val="009B7FF8"/>
    <w:rsid w:val="009C0C96"/>
    <w:rsid w:val="009C0D81"/>
    <w:rsid w:val="009C0D8E"/>
    <w:rsid w:val="009C0E39"/>
    <w:rsid w:val="009C188A"/>
    <w:rsid w:val="009C2734"/>
    <w:rsid w:val="009C2A66"/>
    <w:rsid w:val="009C2BE2"/>
    <w:rsid w:val="009C31DD"/>
    <w:rsid w:val="009C3273"/>
    <w:rsid w:val="009C357C"/>
    <w:rsid w:val="009C3C5A"/>
    <w:rsid w:val="009C4240"/>
    <w:rsid w:val="009C47A6"/>
    <w:rsid w:val="009C4B30"/>
    <w:rsid w:val="009C4BC6"/>
    <w:rsid w:val="009C4C96"/>
    <w:rsid w:val="009C5469"/>
    <w:rsid w:val="009C5FE3"/>
    <w:rsid w:val="009C6DA4"/>
    <w:rsid w:val="009C71C9"/>
    <w:rsid w:val="009C7662"/>
    <w:rsid w:val="009C76BC"/>
    <w:rsid w:val="009C7990"/>
    <w:rsid w:val="009C7A0A"/>
    <w:rsid w:val="009D021C"/>
    <w:rsid w:val="009D0B57"/>
    <w:rsid w:val="009D0B6A"/>
    <w:rsid w:val="009D0BD5"/>
    <w:rsid w:val="009D10AF"/>
    <w:rsid w:val="009D1492"/>
    <w:rsid w:val="009D15FC"/>
    <w:rsid w:val="009D1E41"/>
    <w:rsid w:val="009D1E6B"/>
    <w:rsid w:val="009D214A"/>
    <w:rsid w:val="009D28AD"/>
    <w:rsid w:val="009D28F6"/>
    <w:rsid w:val="009D299F"/>
    <w:rsid w:val="009D2EFF"/>
    <w:rsid w:val="009D3978"/>
    <w:rsid w:val="009D3BAD"/>
    <w:rsid w:val="009D3C4E"/>
    <w:rsid w:val="009D4F27"/>
    <w:rsid w:val="009D505A"/>
    <w:rsid w:val="009D53E0"/>
    <w:rsid w:val="009D6CAB"/>
    <w:rsid w:val="009D6D0E"/>
    <w:rsid w:val="009D76F4"/>
    <w:rsid w:val="009D78C3"/>
    <w:rsid w:val="009E012D"/>
    <w:rsid w:val="009E092F"/>
    <w:rsid w:val="009E0CC6"/>
    <w:rsid w:val="009E1300"/>
    <w:rsid w:val="009E2550"/>
    <w:rsid w:val="009E2957"/>
    <w:rsid w:val="009E3027"/>
    <w:rsid w:val="009E30CA"/>
    <w:rsid w:val="009E376B"/>
    <w:rsid w:val="009E39A9"/>
    <w:rsid w:val="009E3C16"/>
    <w:rsid w:val="009E3FF5"/>
    <w:rsid w:val="009E4953"/>
    <w:rsid w:val="009E4CB9"/>
    <w:rsid w:val="009E50A6"/>
    <w:rsid w:val="009E52ED"/>
    <w:rsid w:val="009E53B9"/>
    <w:rsid w:val="009E5B31"/>
    <w:rsid w:val="009E5E62"/>
    <w:rsid w:val="009E611C"/>
    <w:rsid w:val="009E61D5"/>
    <w:rsid w:val="009E625B"/>
    <w:rsid w:val="009E71AF"/>
    <w:rsid w:val="009E760A"/>
    <w:rsid w:val="009E78A1"/>
    <w:rsid w:val="009E7F81"/>
    <w:rsid w:val="009E7F8E"/>
    <w:rsid w:val="009F00DE"/>
    <w:rsid w:val="009F06BF"/>
    <w:rsid w:val="009F0CE4"/>
    <w:rsid w:val="009F1283"/>
    <w:rsid w:val="009F12A3"/>
    <w:rsid w:val="009F13AA"/>
    <w:rsid w:val="009F1792"/>
    <w:rsid w:val="009F1A4C"/>
    <w:rsid w:val="009F1D63"/>
    <w:rsid w:val="009F20AA"/>
    <w:rsid w:val="009F23EE"/>
    <w:rsid w:val="009F27E9"/>
    <w:rsid w:val="009F28F5"/>
    <w:rsid w:val="009F2A88"/>
    <w:rsid w:val="009F2C46"/>
    <w:rsid w:val="009F30D9"/>
    <w:rsid w:val="009F318D"/>
    <w:rsid w:val="009F3ECC"/>
    <w:rsid w:val="009F5864"/>
    <w:rsid w:val="009F5DCC"/>
    <w:rsid w:val="009F7907"/>
    <w:rsid w:val="00A002E6"/>
    <w:rsid w:val="00A00457"/>
    <w:rsid w:val="00A00729"/>
    <w:rsid w:val="00A00DFD"/>
    <w:rsid w:val="00A00E24"/>
    <w:rsid w:val="00A01057"/>
    <w:rsid w:val="00A01F3E"/>
    <w:rsid w:val="00A01F97"/>
    <w:rsid w:val="00A02198"/>
    <w:rsid w:val="00A02396"/>
    <w:rsid w:val="00A0265E"/>
    <w:rsid w:val="00A028B5"/>
    <w:rsid w:val="00A02E66"/>
    <w:rsid w:val="00A03478"/>
    <w:rsid w:val="00A03DFC"/>
    <w:rsid w:val="00A044BF"/>
    <w:rsid w:val="00A04750"/>
    <w:rsid w:val="00A0482F"/>
    <w:rsid w:val="00A04932"/>
    <w:rsid w:val="00A04C5A"/>
    <w:rsid w:val="00A05C65"/>
    <w:rsid w:val="00A06257"/>
    <w:rsid w:val="00A062AC"/>
    <w:rsid w:val="00A06510"/>
    <w:rsid w:val="00A06C9F"/>
    <w:rsid w:val="00A07B99"/>
    <w:rsid w:val="00A10788"/>
    <w:rsid w:val="00A1080F"/>
    <w:rsid w:val="00A112A1"/>
    <w:rsid w:val="00A1138E"/>
    <w:rsid w:val="00A1194B"/>
    <w:rsid w:val="00A11DE9"/>
    <w:rsid w:val="00A12187"/>
    <w:rsid w:val="00A12501"/>
    <w:rsid w:val="00A126CD"/>
    <w:rsid w:val="00A12879"/>
    <w:rsid w:val="00A129BD"/>
    <w:rsid w:val="00A12B93"/>
    <w:rsid w:val="00A12F6C"/>
    <w:rsid w:val="00A1327E"/>
    <w:rsid w:val="00A137A4"/>
    <w:rsid w:val="00A13883"/>
    <w:rsid w:val="00A146A1"/>
    <w:rsid w:val="00A14921"/>
    <w:rsid w:val="00A14A36"/>
    <w:rsid w:val="00A14D50"/>
    <w:rsid w:val="00A14D63"/>
    <w:rsid w:val="00A15258"/>
    <w:rsid w:val="00A15760"/>
    <w:rsid w:val="00A15A21"/>
    <w:rsid w:val="00A162CE"/>
    <w:rsid w:val="00A16338"/>
    <w:rsid w:val="00A171E6"/>
    <w:rsid w:val="00A1770C"/>
    <w:rsid w:val="00A177FD"/>
    <w:rsid w:val="00A17870"/>
    <w:rsid w:val="00A17E68"/>
    <w:rsid w:val="00A20306"/>
    <w:rsid w:val="00A20DC0"/>
    <w:rsid w:val="00A2109E"/>
    <w:rsid w:val="00A21189"/>
    <w:rsid w:val="00A21372"/>
    <w:rsid w:val="00A2151F"/>
    <w:rsid w:val="00A2255D"/>
    <w:rsid w:val="00A22A42"/>
    <w:rsid w:val="00A23291"/>
    <w:rsid w:val="00A239B1"/>
    <w:rsid w:val="00A23B94"/>
    <w:rsid w:val="00A24DE7"/>
    <w:rsid w:val="00A24FA1"/>
    <w:rsid w:val="00A2544A"/>
    <w:rsid w:val="00A25A6D"/>
    <w:rsid w:val="00A25FFB"/>
    <w:rsid w:val="00A2660C"/>
    <w:rsid w:val="00A269B6"/>
    <w:rsid w:val="00A278F3"/>
    <w:rsid w:val="00A27B6A"/>
    <w:rsid w:val="00A300C0"/>
    <w:rsid w:val="00A30DC0"/>
    <w:rsid w:val="00A31873"/>
    <w:rsid w:val="00A31B56"/>
    <w:rsid w:val="00A31D85"/>
    <w:rsid w:val="00A31FF2"/>
    <w:rsid w:val="00A325AF"/>
    <w:rsid w:val="00A32EA7"/>
    <w:rsid w:val="00A3335E"/>
    <w:rsid w:val="00A334E7"/>
    <w:rsid w:val="00A3386A"/>
    <w:rsid w:val="00A33969"/>
    <w:rsid w:val="00A3414E"/>
    <w:rsid w:val="00A3507F"/>
    <w:rsid w:val="00A35167"/>
    <w:rsid w:val="00A352C0"/>
    <w:rsid w:val="00A35CC2"/>
    <w:rsid w:val="00A35FB4"/>
    <w:rsid w:val="00A35FBD"/>
    <w:rsid w:val="00A36666"/>
    <w:rsid w:val="00A366A9"/>
    <w:rsid w:val="00A36A01"/>
    <w:rsid w:val="00A3723C"/>
    <w:rsid w:val="00A3730D"/>
    <w:rsid w:val="00A375FF"/>
    <w:rsid w:val="00A3785D"/>
    <w:rsid w:val="00A37AAE"/>
    <w:rsid w:val="00A40363"/>
    <w:rsid w:val="00A40A55"/>
    <w:rsid w:val="00A40AD1"/>
    <w:rsid w:val="00A40F42"/>
    <w:rsid w:val="00A412B9"/>
    <w:rsid w:val="00A414DB"/>
    <w:rsid w:val="00A419B9"/>
    <w:rsid w:val="00A41A83"/>
    <w:rsid w:val="00A41CBD"/>
    <w:rsid w:val="00A42CA3"/>
    <w:rsid w:val="00A42F84"/>
    <w:rsid w:val="00A436AE"/>
    <w:rsid w:val="00A43737"/>
    <w:rsid w:val="00A43C7C"/>
    <w:rsid w:val="00A43E4D"/>
    <w:rsid w:val="00A44892"/>
    <w:rsid w:val="00A448DC"/>
    <w:rsid w:val="00A44A2B"/>
    <w:rsid w:val="00A44ECC"/>
    <w:rsid w:val="00A45F27"/>
    <w:rsid w:val="00A469B8"/>
    <w:rsid w:val="00A47139"/>
    <w:rsid w:val="00A47C37"/>
    <w:rsid w:val="00A47F20"/>
    <w:rsid w:val="00A5032C"/>
    <w:rsid w:val="00A50E76"/>
    <w:rsid w:val="00A511EE"/>
    <w:rsid w:val="00A5152D"/>
    <w:rsid w:val="00A51719"/>
    <w:rsid w:val="00A51836"/>
    <w:rsid w:val="00A519FD"/>
    <w:rsid w:val="00A5222D"/>
    <w:rsid w:val="00A5226D"/>
    <w:rsid w:val="00A522BE"/>
    <w:rsid w:val="00A5270F"/>
    <w:rsid w:val="00A529ED"/>
    <w:rsid w:val="00A532F8"/>
    <w:rsid w:val="00A536C2"/>
    <w:rsid w:val="00A536F7"/>
    <w:rsid w:val="00A53E12"/>
    <w:rsid w:val="00A540CD"/>
    <w:rsid w:val="00A54172"/>
    <w:rsid w:val="00A54296"/>
    <w:rsid w:val="00A542B3"/>
    <w:rsid w:val="00A54436"/>
    <w:rsid w:val="00A548ED"/>
    <w:rsid w:val="00A549C6"/>
    <w:rsid w:val="00A550EC"/>
    <w:rsid w:val="00A5527C"/>
    <w:rsid w:val="00A558C4"/>
    <w:rsid w:val="00A56103"/>
    <w:rsid w:val="00A5681A"/>
    <w:rsid w:val="00A56BE9"/>
    <w:rsid w:val="00A571F4"/>
    <w:rsid w:val="00A57379"/>
    <w:rsid w:val="00A579E7"/>
    <w:rsid w:val="00A57BCC"/>
    <w:rsid w:val="00A60A1A"/>
    <w:rsid w:val="00A60A82"/>
    <w:rsid w:val="00A60DD7"/>
    <w:rsid w:val="00A6111B"/>
    <w:rsid w:val="00A61602"/>
    <w:rsid w:val="00A61AC7"/>
    <w:rsid w:val="00A61C59"/>
    <w:rsid w:val="00A62C09"/>
    <w:rsid w:val="00A62DA4"/>
    <w:rsid w:val="00A6324D"/>
    <w:rsid w:val="00A6342F"/>
    <w:rsid w:val="00A63B79"/>
    <w:rsid w:val="00A63C33"/>
    <w:rsid w:val="00A63CDC"/>
    <w:rsid w:val="00A643B6"/>
    <w:rsid w:val="00A64555"/>
    <w:rsid w:val="00A646AB"/>
    <w:rsid w:val="00A648F0"/>
    <w:rsid w:val="00A64923"/>
    <w:rsid w:val="00A64CD1"/>
    <w:rsid w:val="00A64E7F"/>
    <w:rsid w:val="00A64EE0"/>
    <w:rsid w:val="00A6527C"/>
    <w:rsid w:val="00A652F3"/>
    <w:rsid w:val="00A657FD"/>
    <w:rsid w:val="00A6585D"/>
    <w:rsid w:val="00A6646D"/>
    <w:rsid w:val="00A6663D"/>
    <w:rsid w:val="00A66958"/>
    <w:rsid w:val="00A66AAD"/>
    <w:rsid w:val="00A66DE8"/>
    <w:rsid w:val="00A66E43"/>
    <w:rsid w:val="00A67626"/>
    <w:rsid w:val="00A6795F"/>
    <w:rsid w:val="00A67D18"/>
    <w:rsid w:val="00A70AFC"/>
    <w:rsid w:val="00A70FCD"/>
    <w:rsid w:val="00A713C6"/>
    <w:rsid w:val="00A71466"/>
    <w:rsid w:val="00A71B50"/>
    <w:rsid w:val="00A71DB3"/>
    <w:rsid w:val="00A71F47"/>
    <w:rsid w:val="00A71F7F"/>
    <w:rsid w:val="00A72172"/>
    <w:rsid w:val="00A721C9"/>
    <w:rsid w:val="00A726EB"/>
    <w:rsid w:val="00A72C4F"/>
    <w:rsid w:val="00A72C76"/>
    <w:rsid w:val="00A733D6"/>
    <w:rsid w:val="00A73907"/>
    <w:rsid w:val="00A73A4C"/>
    <w:rsid w:val="00A73E77"/>
    <w:rsid w:val="00A73F0F"/>
    <w:rsid w:val="00A742E8"/>
    <w:rsid w:val="00A74B31"/>
    <w:rsid w:val="00A750D3"/>
    <w:rsid w:val="00A7534A"/>
    <w:rsid w:val="00A7541E"/>
    <w:rsid w:val="00A75BF7"/>
    <w:rsid w:val="00A76163"/>
    <w:rsid w:val="00A76453"/>
    <w:rsid w:val="00A770C3"/>
    <w:rsid w:val="00A80241"/>
    <w:rsid w:val="00A80E4B"/>
    <w:rsid w:val="00A8114F"/>
    <w:rsid w:val="00A813DB"/>
    <w:rsid w:val="00A81966"/>
    <w:rsid w:val="00A81A7D"/>
    <w:rsid w:val="00A81F32"/>
    <w:rsid w:val="00A82B42"/>
    <w:rsid w:val="00A82BF2"/>
    <w:rsid w:val="00A82FC2"/>
    <w:rsid w:val="00A83C3C"/>
    <w:rsid w:val="00A84629"/>
    <w:rsid w:val="00A84A8B"/>
    <w:rsid w:val="00A84E34"/>
    <w:rsid w:val="00A84EB2"/>
    <w:rsid w:val="00A853D4"/>
    <w:rsid w:val="00A85656"/>
    <w:rsid w:val="00A8566D"/>
    <w:rsid w:val="00A8597F"/>
    <w:rsid w:val="00A85E3D"/>
    <w:rsid w:val="00A864EE"/>
    <w:rsid w:val="00A86630"/>
    <w:rsid w:val="00A87A74"/>
    <w:rsid w:val="00A9122D"/>
    <w:rsid w:val="00A914E7"/>
    <w:rsid w:val="00A92399"/>
    <w:rsid w:val="00A9265E"/>
    <w:rsid w:val="00A92C90"/>
    <w:rsid w:val="00A92E37"/>
    <w:rsid w:val="00A936C6"/>
    <w:rsid w:val="00A95D5D"/>
    <w:rsid w:val="00A95F4B"/>
    <w:rsid w:val="00A95FE3"/>
    <w:rsid w:val="00A9638A"/>
    <w:rsid w:val="00A96733"/>
    <w:rsid w:val="00A9692E"/>
    <w:rsid w:val="00A96A4D"/>
    <w:rsid w:val="00A96BE1"/>
    <w:rsid w:val="00A97129"/>
    <w:rsid w:val="00A974DF"/>
    <w:rsid w:val="00A978E2"/>
    <w:rsid w:val="00A979E3"/>
    <w:rsid w:val="00AA05C0"/>
    <w:rsid w:val="00AA0999"/>
    <w:rsid w:val="00AA0AA5"/>
    <w:rsid w:val="00AA146C"/>
    <w:rsid w:val="00AA1519"/>
    <w:rsid w:val="00AA15B7"/>
    <w:rsid w:val="00AA1975"/>
    <w:rsid w:val="00AA1BEF"/>
    <w:rsid w:val="00AA1FDC"/>
    <w:rsid w:val="00AA2A93"/>
    <w:rsid w:val="00AA2B05"/>
    <w:rsid w:val="00AA3738"/>
    <w:rsid w:val="00AA40D0"/>
    <w:rsid w:val="00AA45F6"/>
    <w:rsid w:val="00AA50C7"/>
    <w:rsid w:val="00AA5B6F"/>
    <w:rsid w:val="00AA5C4C"/>
    <w:rsid w:val="00AA5F1A"/>
    <w:rsid w:val="00AA5F59"/>
    <w:rsid w:val="00AA6071"/>
    <w:rsid w:val="00AA66FF"/>
    <w:rsid w:val="00AA697C"/>
    <w:rsid w:val="00AA733C"/>
    <w:rsid w:val="00AB0751"/>
    <w:rsid w:val="00AB09F5"/>
    <w:rsid w:val="00AB0A29"/>
    <w:rsid w:val="00AB0C42"/>
    <w:rsid w:val="00AB1EA5"/>
    <w:rsid w:val="00AB25F7"/>
    <w:rsid w:val="00AB2761"/>
    <w:rsid w:val="00AB293D"/>
    <w:rsid w:val="00AB2B32"/>
    <w:rsid w:val="00AB2C6B"/>
    <w:rsid w:val="00AB2E4D"/>
    <w:rsid w:val="00AB342D"/>
    <w:rsid w:val="00AB3E25"/>
    <w:rsid w:val="00AB4DA1"/>
    <w:rsid w:val="00AB4E4E"/>
    <w:rsid w:val="00AB4FFE"/>
    <w:rsid w:val="00AB516D"/>
    <w:rsid w:val="00AB570F"/>
    <w:rsid w:val="00AB5BE7"/>
    <w:rsid w:val="00AB5D25"/>
    <w:rsid w:val="00AB62D0"/>
    <w:rsid w:val="00AB6588"/>
    <w:rsid w:val="00AB739F"/>
    <w:rsid w:val="00AB76C2"/>
    <w:rsid w:val="00AB77A1"/>
    <w:rsid w:val="00AB7DBC"/>
    <w:rsid w:val="00AB7E29"/>
    <w:rsid w:val="00AC04FC"/>
    <w:rsid w:val="00AC0BE1"/>
    <w:rsid w:val="00AC0D01"/>
    <w:rsid w:val="00AC10CB"/>
    <w:rsid w:val="00AC1160"/>
    <w:rsid w:val="00AC1247"/>
    <w:rsid w:val="00AC19B5"/>
    <w:rsid w:val="00AC25DE"/>
    <w:rsid w:val="00AC26EF"/>
    <w:rsid w:val="00AC36DD"/>
    <w:rsid w:val="00AC374E"/>
    <w:rsid w:val="00AC3863"/>
    <w:rsid w:val="00AC3BBE"/>
    <w:rsid w:val="00AC3DA2"/>
    <w:rsid w:val="00AC3DB0"/>
    <w:rsid w:val="00AC3ED1"/>
    <w:rsid w:val="00AC3F2C"/>
    <w:rsid w:val="00AC416A"/>
    <w:rsid w:val="00AC49A9"/>
    <w:rsid w:val="00AC4EB8"/>
    <w:rsid w:val="00AC5292"/>
    <w:rsid w:val="00AC595E"/>
    <w:rsid w:val="00AC5C27"/>
    <w:rsid w:val="00AC5CCE"/>
    <w:rsid w:val="00AC6CD6"/>
    <w:rsid w:val="00AC7BA2"/>
    <w:rsid w:val="00AC7DD8"/>
    <w:rsid w:val="00AD0306"/>
    <w:rsid w:val="00AD11F5"/>
    <w:rsid w:val="00AD136F"/>
    <w:rsid w:val="00AD1735"/>
    <w:rsid w:val="00AD1A18"/>
    <w:rsid w:val="00AD1CA2"/>
    <w:rsid w:val="00AD1EA3"/>
    <w:rsid w:val="00AD1FD3"/>
    <w:rsid w:val="00AD212C"/>
    <w:rsid w:val="00AD22B9"/>
    <w:rsid w:val="00AD24B3"/>
    <w:rsid w:val="00AD3D5B"/>
    <w:rsid w:val="00AD45AC"/>
    <w:rsid w:val="00AD4D15"/>
    <w:rsid w:val="00AD4E8C"/>
    <w:rsid w:val="00AD52CE"/>
    <w:rsid w:val="00AD53A5"/>
    <w:rsid w:val="00AD54CD"/>
    <w:rsid w:val="00AD5FCB"/>
    <w:rsid w:val="00AD5FDD"/>
    <w:rsid w:val="00AD6358"/>
    <w:rsid w:val="00AD653C"/>
    <w:rsid w:val="00AD6B06"/>
    <w:rsid w:val="00AD7355"/>
    <w:rsid w:val="00AD748F"/>
    <w:rsid w:val="00AD7769"/>
    <w:rsid w:val="00AD7850"/>
    <w:rsid w:val="00AD78F3"/>
    <w:rsid w:val="00AD7A58"/>
    <w:rsid w:val="00AE0340"/>
    <w:rsid w:val="00AE0AE0"/>
    <w:rsid w:val="00AE0E5E"/>
    <w:rsid w:val="00AE11EA"/>
    <w:rsid w:val="00AE1239"/>
    <w:rsid w:val="00AE12B6"/>
    <w:rsid w:val="00AE1457"/>
    <w:rsid w:val="00AE15C6"/>
    <w:rsid w:val="00AE1A5B"/>
    <w:rsid w:val="00AE1D96"/>
    <w:rsid w:val="00AE1DBD"/>
    <w:rsid w:val="00AE2B38"/>
    <w:rsid w:val="00AE2B61"/>
    <w:rsid w:val="00AE2FCE"/>
    <w:rsid w:val="00AE3031"/>
    <w:rsid w:val="00AE3435"/>
    <w:rsid w:val="00AE378A"/>
    <w:rsid w:val="00AE3940"/>
    <w:rsid w:val="00AE3C7B"/>
    <w:rsid w:val="00AE3EB8"/>
    <w:rsid w:val="00AE3EFE"/>
    <w:rsid w:val="00AE3F08"/>
    <w:rsid w:val="00AE42CA"/>
    <w:rsid w:val="00AE432A"/>
    <w:rsid w:val="00AE5AFC"/>
    <w:rsid w:val="00AE5B58"/>
    <w:rsid w:val="00AE5DDD"/>
    <w:rsid w:val="00AE6090"/>
    <w:rsid w:val="00AE60EB"/>
    <w:rsid w:val="00AE622A"/>
    <w:rsid w:val="00AE6DB6"/>
    <w:rsid w:val="00AE74D5"/>
    <w:rsid w:val="00AE7B3F"/>
    <w:rsid w:val="00AF0862"/>
    <w:rsid w:val="00AF0B26"/>
    <w:rsid w:val="00AF0B40"/>
    <w:rsid w:val="00AF134C"/>
    <w:rsid w:val="00AF1690"/>
    <w:rsid w:val="00AF17A7"/>
    <w:rsid w:val="00AF2937"/>
    <w:rsid w:val="00AF3437"/>
    <w:rsid w:val="00AF3ED1"/>
    <w:rsid w:val="00AF41B2"/>
    <w:rsid w:val="00AF4391"/>
    <w:rsid w:val="00AF4588"/>
    <w:rsid w:val="00AF5229"/>
    <w:rsid w:val="00AF5997"/>
    <w:rsid w:val="00AF59AF"/>
    <w:rsid w:val="00AF64B6"/>
    <w:rsid w:val="00AF6694"/>
    <w:rsid w:val="00AF7338"/>
    <w:rsid w:val="00AF7C6B"/>
    <w:rsid w:val="00B000EB"/>
    <w:rsid w:val="00B0098E"/>
    <w:rsid w:val="00B00A95"/>
    <w:rsid w:val="00B018A5"/>
    <w:rsid w:val="00B01D19"/>
    <w:rsid w:val="00B01DDD"/>
    <w:rsid w:val="00B01F18"/>
    <w:rsid w:val="00B022B8"/>
    <w:rsid w:val="00B025DF"/>
    <w:rsid w:val="00B02815"/>
    <w:rsid w:val="00B02BF8"/>
    <w:rsid w:val="00B02EA8"/>
    <w:rsid w:val="00B03615"/>
    <w:rsid w:val="00B0449A"/>
    <w:rsid w:val="00B04569"/>
    <w:rsid w:val="00B04CE9"/>
    <w:rsid w:val="00B05728"/>
    <w:rsid w:val="00B05CB3"/>
    <w:rsid w:val="00B06346"/>
    <w:rsid w:val="00B06927"/>
    <w:rsid w:val="00B06B93"/>
    <w:rsid w:val="00B06CAD"/>
    <w:rsid w:val="00B06FDE"/>
    <w:rsid w:val="00B0740A"/>
    <w:rsid w:val="00B07504"/>
    <w:rsid w:val="00B100E2"/>
    <w:rsid w:val="00B1044C"/>
    <w:rsid w:val="00B105F6"/>
    <w:rsid w:val="00B1075F"/>
    <w:rsid w:val="00B10773"/>
    <w:rsid w:val="00B10945"/>
    <w:rsid w:val="00B10B84"/>
    <w:rsid w:val="00B1100F"/>
    <w:rsid w:val="00B120AC"/>
    <w:rsid w:val="00B124AB"/>
    <w:rsid w:val="00B125EC"/>
    <w:rsid w:val="00B128CC"/>
    <w:rsid w:val="00B12B82"/>
    <w:rsid w:val="00B12E9E"/>
    <w:rsid w:val="00B12F04"/>
    <w:rsid w:val="00B13927"/>
    <w:rsid w:val="00B13C2C"/>
    <w:rsid w:val="00B144DE"/>
    <w:rsid w:val="00B14A62"/>
    <w:rsid w:val="00B15074"/>
    <w:rsid w:val="00B1514C"/>
    <w:rsid w:val="00B151AC"/>
    <w:rsid w:val="00B153B0"/>
    <w:rsid w:val="00B15CF7"/>
    <w:rsid w:val="00B15D41"/>
    <w:rsid w:val="00B15FAF"/>
    <w:rsid w:val="00B1620F"/>
    <w:rsid w:val="00B16573"/>
    <w:rsid w:val="00B16AC2"/>
    <w:rsid w:val="00B16EBF"/>
    <w:rsid w:val="00B16F3B"/>
    <w:rsid w:val="00B17960"/>
    <w:rsid w:val="00B1798F"/>
    <w:rsid w:val="00B2098D"/>
    <w:rsid w:val="00B20AA4"/>
    <w:rsid w:val="00B20B98"/>
    <w:rsid w:val="00B20C32"/>
    <w:rsid w:val="00B20DC1"/>
    <w:rsid w:val="00B20EBC"/>
    <w:rsid w:val="00B21218"/>
    <w:rsid w:val="00B2172A"/>
    <w:rsid w:val="00B2231A"/>
    <w:rsid w:val="00B22939"/>
    <w:rsid w:val="00B22AF9"/>
    <w:rsid w:val="00B2366A"/>
    <w:rsid w:val="00B24A9A"/>
    <w:rsid w:val="00B24FE6"/>
    <w:rsid w:val="00B25058"/>
    <w:rsid w:val="00B26771"/>
    <w:rsid w:val="00B2677B"/>
    <w:rsid w:val="00B26F89"/>
    <w:rsid w:val="00B2727E"/>
    <w:rsid w:val="00B301A7"/>
    <w:rsid w:val="00B30214"/>
    <w:rsid w:val="00B30DBC"/>
    <w:rsid w:val="00B30F15"/>
    <w:rsid w:val="00B310D6"/>
    <w:rsid w:val="00B312A8"/>
    <w:rsid w:val="00B31385"/>
    <w:rsid w:val="00B32D42"/>
    <w:rsid w:val="00B32E19"/>
    <w:rsid w:val="00B32EA1"/>
    <w:rsid w:val="00B32EBD"/>
    <w:rsid w:val="00B330E0"/>
    <w:rsid w:val="00B33823"/>
    <w:rsid w:val="00B347D2"/>
    <w:rsid w:val="00B34913"/>
    <w:rsid w:val="00B34AC8"/>
    <w:rsid w:val="00B34EE5"/>
    <w:rsid w:val="00B35034"/>
    <w:rsid w:val="00B3540A"/>
    <w:rsid w:val="00B36276"/>
    <w:rsid w:val="00B36761"/>
    <w:rsid w:val="00B3784D"/>
    <w:rsid w:val="00B37AE3"/>
    <w:rsid w:val="00B37B40"/>
    <w:rsid w:val="00B37E8D"/>
    <w:rsid w:val="00B37EB3"/>
    <w:rsid w:val="00B403F4"/>
    <w:rsid w:val="00B4048B"/>
    <w:rsid w:val="00B40C43"/>
    <w:rsid w:val="00B40D25"/>
    <w:rsid w:val="00B40FE2"/>
    <w:rsid w:val="00B4142C"/>
    <w:rsid w:val="00B41667"/>
    <w:rsid w:val="00B41CDF"/>
    <w:rsid w:val="00B41F9F"/>
    <w:rsid w:val="00B4207D"/>
    <w:rsid w:val="00B42CA4"/>
    <w:rsid w:val="00B43808"/>
    <w:rsid w:val="00B43816"/>
    <w:rsid w:val="00B43963"/>
    <w:rsid w:val="00B439EA"/>
    <w:rsid w:val="00B44113"/>
    <w:rsid w:val="00B4437C"/>
    <w:rsid w:val="00B443F2"/>
    <w:rsid w:val="00B452DA"/>
    <w:rsid w:val="00B458B5"/>
    <w:rsid w:val="00B45C4D"/>
    <w:rsid w:val="00B45F13"/>
    <w:rsid w:val="00B4624B"/>
    <w:rsid w:val="00B466B5"/>
    <w:rsid w:val="00B4680F"/>
    <w:rsid w:val="00B46B76"/>
    <w:rsid w:val="00B47A09"/>
    <w:rsid w:val="00B501ED"/>
    <w:rsid w:val="00B506A3"/>
    <w:rsid w:val="00B50826"/>
    <w:rsid w:val="00B50F08"/>
    <w:rsid w:val="00B50FD4"/>
    <w:rsid w:val="00B51449"/>
    <w:rsid w:val="00B51883"/>
    <w:rsid w:val="00B519C3"/>
    <w:rsid w:val="00B519D3"/>
    <w:rsid w:val="00B51C22"/>
    <w:rsid w:val="00B51D9A"/>
    <w:rsid w:val="00B51DE6"/>
    <w:rsid w:val="00B52990"/>
    <w:rsid w:val="00B52D20"/>
    <w:rsid w:val="00B52D55"/>
    <w:rsid w:val="00B52DDE"/>
    <w:rsid w:val="00B52F67"/>
    <w:rsid w:val="00B5303C"/>
    <w:rsid w:val="00B532BA"/>
    <w:rsid w:val="00B537C7"/>
    <w:rsid w:val="00B53DE6"/>
    <w:rsid w:val="00B54213"/>
    <w:rsid w:val="00B5425F"/>
    <w:rsid w:val="00B5478B"/>
    <w:rsid w:val="00B54CB1"/>
    <w:rsid w:val="00B5504C"/>
    <w:rsid w:val="00B5599F"/>
    <w:rsid w:val="00B55C26"/>
    <w:rsid w:val="00B55D8B"/>
    <w:rsid w:val="00B5697F"/>
    <w:rsid w:val="00B56A84"/>
    <w:rsid w:val="00B56D9F"/>
    <w:rsid w:val="00B57DAF"/>
    <w:rsid w:val="00B6031D"/>
    <w:rsid w:val="00B603E5"/>
    <w:rsid w:val="00B60914"/>
    <w:rsid w:val="00B62162"/>
    <w:rsid w:val="00B638CE"/>
    <w:rsid w:val="00B63A95"/>
    <w:rsid w:val="00B63CDE"/>
    <w:rsid w:val="00B64453"/>
    <w:rsid w:val="00B64A92"/>
    <w:rsid w:val="00B64B56"/>
    <w:rsid w:val="00B64EDB"/>
    <w:rsid w:val="00B64F79"/>
    <w:rsid w:val="00B65EB4"/>
    <w:rsid w:val="00B664B4"/>
    <w:rsid w:val="00B66786"/>
    <w:rsid w:val="00B66A52"/>
    <w:rsid w:val="00B66C0C"/>
    <w:rsid w:val="00B671AC"/>
    <w:rsid w:val="00B67DEF"/>
    <w:rsid w:val="00B700C5"/>
    <w:rsid w:val="00B700DE"/>
    <w:rsid w:val="00B7110F"/>
    <w:rsid w:val="00B71375"/>
    <w:rsid w:val="00B71C7F"/>
    <w:rsid w:val="00B71D2D"/>
    <w:rsid w:val="00B72449"/>
    <w:rsid w:val="00B7247C"/>
    <w:rsid w:val="00B72B2D"/>
    <w:rsid w:val="00B72CB9"/>
    <w:rsid w:val="00B72EA3"/>
    <w:rsid w:val="00B739D4"/>
    <w:rsid w:val="00B73B4C"/>
    <w:rsid w:val="00B73D7F"/>
    <w:rsid w:val="00B73E5F"/>
    <w:rsid w:val="00B73EFC"/>
    <w:rsid w:val="00B74182"/>
    <w:rsid w:val="00B745B5"/>
    <w:rsid w:val="00B74C88"/>
    <w:rsid w:val="00B75594"/>
    <w:rsid w:val="00B755BA"/>
    <w:rsid w:val="00B758BF"/>
    <w:rsid w:val="00B759C1"/>
    <w:rsid w:val="00B75C2F"/>
    <w:rsid w:val="00B75DA9"/>
    <w:rsid w:val="00B75E7B"/>
    <w:rsid w:val="00B764CE"/>
    <w:rsid w:val="00B7698D"/>
    <w:rsid w:val="00B76B5B"/>
    <w:rsid w:val="00B76B8A"/>
    <w:rsid w:val="00B76F9E"/>
    <w:rsid w:val="00B76FB4"/>
    <w:rsid w:val="00B8045D"/>
    <w:rsid w:val="00B806BF"/>
    <w:rsid w:val="00B80A27"/>
    <w:rsid w:val="00B812B3"/>
    <w:rsid w:val="00B81403"/>
    <w:rsid w:val="00B815C5"/>
    <w:rsid w:val="00B8172F"/>
    <w:rsid w:val="00B81AF0"/>
    <w:rsid w:val="00B81BED"/>
    <w:rsid w:val="00B824C0"/>
    <w:rsid w:val="00B82DF0"/>
    <w:rsid w:val="00B82EDD"/>
    <w:rsid w:val="00B831D9"/>
    <w:rsid w:val="00B8388D"/>
    <w:rsid w:val="00B83F9C"/>
    <w:rsid w:val="00B84006"/>
    <w:rsid w:val="00B84107"/>
    <w:rsid w:val="00B84DC3"/>
    <w:rsid w:val="00B856F5"/>
    <w:rsid w:val="00B85947"/>
    <w:rsid w:val="00B859D0"/>
    <w:rsid w:val="00B85A6B"/>
    <w:rsid w:val="00B85D18"/>
    <w:rsid w:val="00B86224"/>
    <w:rsid w:val="00B86524"/>
    <w:rsid w:val="00B86627"/>
    <w:rsid w:val="00B86790"/>
    <w:rsid w:val="00B86922"/>
    <w:rsid w:val="00B87041"/>
    <w:rsid w:val="00B876FD"/>
    <w:rsid w:val="00B87F6B"/>
    <w:rsid w:val="00B90764"/>
    <w:rsid w:val="00B90E63"/>
    <w:rsid w:val="00B90E75"/>
    <w:rsid w:val="00B93681"/>
    <w:rsid w:val="00B94131"/>
    <w:rsid w:val="00B94145"/>
    <w:rsid w:val="00B941B0"/>
    <w:rsid w:val="00B948D1"/>
    <w:rsid w:val="00B948D5"/>
    <w:rsid w:val="00B955A1"/>
    <w:rsid w:val="00B95DEB"/>
    <w:rsid w:val="00B95EF2"/>
    <w:rsid w:val="00B96330"/>
    <w:rsid w:val="00B9640C"/>
    <w:rsid w:val="00B96A64"/>
    <w:rsid w:val="00B96C8E"/>
    <w:rsid w:val="00B96FC2"/>
    <w:rsid w:val="00B970D6"/>
    <w:rsid w:val="00B975B3"/>
    <w:rsid w:val="00BA0235"/>
    <w:rsid w:val="00BA10F7"/>
    <w:rsid w:val="00BA1221"/>
    <w:rsid w:val="00BA14C2"/>
    <w:rsid w:val="00BA1688"/>
    <w:rsid w:val="00BA1BCD"/>
    <w:rsid w:val="00BA1C8F"/>
    <w:rsid w:val="00BA1F91"/>
    <w:rsid w:val="00BA20CF"/>
    <w:rsid w:val="00BA2C30"/>
    <w:rsid w:val="00BA2D4E"/>
    <w:rsid w:val="00BA33C0"/>
    <w:rsid w:val="00BA3467"/>
    <w:rsid w:val="00BA348E"/>
    <w:rsid w:val="00BA3B04"/>
    <w:rsid w:val="00BA3E53"/>
    <w:rsid w:val="00BA46DD"/>
    <w:rsid w:val="00BA50EC"/>
    <w:rsid w:val="00BA53B4"/>
    <w:rsid w:val="00BA58F8"/>
    <w:rsid w:val="00BA5C6A"/>
    <w:rsid w:val="00BA610A"/>
    <w:rsid w:val="00BA677E"/>
    <w:rsid w:val="00BA6A34"/>
    <w:rsid w:val="00BA6C3C"/>
    <w:rsid w:val="00BA6E10"/>
    <w:rsid w:val="00BA7118"/>
    <w:rsid w:val="00BA73F5"/>
    <w:rsid w:val="00BA749F"/>
    <w:rsid w:val="00BA7927"/>
    <w:rsid w:val="00BA7B7C"/>
    <w:rsid w:val="00BA7F8F"/>
    <w:rsid w:val="00BB11AB"/>
    <w:rsid w:val="00BB29F7"/>
    <w:rsid w:val="00BB2FE2"/>
    <w:rsid w:val="00BB3774"/>
    <w:rsid w:val="00BB3866"/>
    <w:rsid w:val="00BB450C"/>
    <w:rsid w:val="00BB45A5"/>
    <w:rsid w:val="00BB4C9A"/>
    <w:rsid w:val="00BB4E20"/>
    <w:rsid w:val="00BB5A3F"/>
    <w:rsid w:val="00BB5A88"/>
    <w:rsid w:val="00BB5CE6"/>
    <w:rsid w:val="00BB6019"/>
    <w:rsid w:val="00BB643E"/>
    <w:rsid w:val="00BB6746"/>
    <w:rsid w:val="00BB6774"/>
    <w:rsid w:val="00BB6844"/>
    <w:rsid w:val="00BB6A1B"/>
    <w:rsid w:val="00BB6AC7"/>
    <w:rsid w:val="00BB6FE5"/>
    <w:rsid w:val="00BB748A"/>
    <w:rsid w:val="00BB7D9A"/>
    <w:rsid w:val="00BC0467"/>
    <w:rsid w:val="00BC1223"/>
    <w:rsid w:val="00BC150F"/>
    <w:rsid w:val="00BC1A9A"/>
    <w:rsid w:val="00BC1B71"/>
    <w:rsid w:val="00BC1C94"/>
    <w:rsid w:val="00BC268C"/>
    <w:rsid w:val="00BC26E8"/>
    <w:rsid w:val="00BC2B13"/>
    <w:rsid w:val="00BC2B94"/>
    <w:rsid w:val="00BC2FD6"/>
    <w:rsid w:val="00BC2FF0"/>
    <w:rsid w:val="00BC37B7"/>
    <w:rsid w:val="00BC3C73"/>
    <w:rsid w:val="00BC4AAB"/>
    <w:rsid w:val="00BC4EDF"/>
    <w:rsid w:val="00BC5924"/>
    <w:rsid w:val="00BC6542"/>
    <w:rsid w:val="00BC67AE"/>
    <w:rsid w:val="00BC7139"/>
    <w:rsid w:val="00BC7861"/>
    <w:rsid w:val="00BC79D5"/>
    <w:rsid w:val="00BC7C5A"/>
    <w:rsid w:val="00BC7CCF"/>
    <w:rsid w:val="00BD00DB"/>
    <w:rsid w:val="00BD0421"/>
    <w:rsid w:val="00BD0447"/>
    <w:rsid w:val="00BD0901"/>
    <w:rsid w:val="00BD0A6E"/>
    <w:rsid w:val="00BD0EFB"/>
    <w:rsid w:val="00BD0FAB"/>
    <w:rsid w:val="00BD1009"/>
    <w:rsid w:val="00BD10A3"/>
    <w:rsid w:val="00BD1D75"/>
    <w:rsid w:val="00BD3405"/>
    <w:rsid w:val="00BD3504"/>
    <w:rsid w:val="00BD37AB"/>
    <w:rsid w:val="00BD38B7"/>
    <w:rsid w:val="00BD3BEA"/>
    <w:rsid w:val="00BD3DCE"/>
    <w:rsid w:val="00BD42CD"/>
    <w:rsid w:val="00BD46B5"/>
    <w:rsid w:val="00BD493F"/>
    <w:rsid w:val="00BD4E10"/>
    <w:rsid w:val="00BD59A9"/>
    <w:rsid w:val="00BD5B63"/>
    <w:rsid w:val="00BD5D4E"/>
    <w:rsid w:val="00BD77A6"/>
    <w:rsid w:val="00BD7D35"/>
    <w:rsid w:val="00BE02E7"/>
    <w:rsid w:val="00BE0480"/>
    <w:rsid w:val="00BE11DB"/>
    <w:rsid w:val="00BE1A81"/>
    <w:rsid w:val="00BE1D84"/>
    <w:rsid w:val="00BE25F3"/>
    <w:rsid w:val="00BE2975"/>
    <w:rsid w:val="00BE2C94"/>
    <w:rsid w:val="00BE2C9C"/>
    <w:rsid w:val="00BE2CE0"/>
    <w:rsid w:val="00BE2FB8"/>
    <w:rsid w:val="00BE3483"/>
    <w:rsid w:val="00BE3E23"/>
    <w:rsid w:val="00BE4227"/>
    <w:rsid w:val="00BE4572"/>
    <w:rsid w:val="00BE54CA"/>
    <w:rsid w:val="00BE6487"/>
    <w:rsid w:val="00BE6583"/>
    <w:rsid w:val="00BE6B13"/>
    <w:rsid w:val="00BE6D40"/>
    <w:rsid w:val="00BE6F59"/>
    <w:rsid w:val="00BE7095"/>
    <w:rsid w:val="00BE7239"/>
    <w:rsid w:val="00BE7353"/>
    <w:rsid w:val="00BE74A9"/>
    <w:rsid w:val="00BE74B7"/>
    <w:rsid w:val="00BF02C9"/>
    <w:rsid w:val="00BF02FC"/>
    <w:rsid w:val="00BF05C1"/>
    <w:rsid w:val="00BF097C"/>
    <w:rsid w:val="00BF0C28"/>
    <w:rsid w:val="00BF138D"/>
    <w:rsid w:val="00BF1598"/>
    <w:rsid w:val="00BF1C49"/>
    <w:rsid w:val="00BF1C6A"/>
    <w:rsid w:val="00BF1E1B"/>
    <w:rsid w:val="00BF24AA"/>
    <w:rsid w:val="00BF3071"/>
    <w:rsid w:val="00BF3301"/>
    <w:rsid w:val="00BF41DF"/>
    <w:rsid w:val="00BF49D5"/>
    <w:rsid w:val="00BF4F6A"/>
    <w:rsid w:val="00BF51AF"/>
    <w:rsid w:val="00BF5394"/>
    <w:rsid w:val="00BF54F4"/>
    <w:rsid w:val="00BF5ED0"/>
    <w:rsid w:val="00BF69FA"/>
    <w:rsid w:val="00BF6E4A"/>
    <w:rsid w:val="00BF72D3"/>
    <w:rsid w:val="00BF7810"/>
    <w:rsid w:val="00C00488"/>
    <w:rsid w:val="00C00B61"/>
    <w:rsid w:val="00C00D6F"/>
    <w:rsid w:val="00C00E23"/>
    <w:rsid w:val="00C0130A"/>
    <w:rsid w:val="00C013E7"/>
    <w:rsid w:val="00C015DF"/>
    <w:rsid w:val="00C01820"/>
    <w:rsid w:val="00C01B87"/>
    <w:rsid w:val="00C0258F"/>
    <w:rsid w:val="00C02896"/>
    <w:rsid w:val="00C02C2A"/>
    <w:rsid w:val="00C02EFA"/>
    <w:rsid w:val="00C0310E"/>
    <w:rsid w:val="00C03718"/>
    <w:rsid w:val="00C039B5"/>
    <w:rsid w:val="00C04002"/>
    <w:rsid w:val="00C042AC"/>
    <w:rsid w:val="00C0446B"/>
    <w:rsid w:val="00C04846"/>
    <w:rsid w:val="00C04AB6"/>
    <w:rsid w:val="00C04BE6"/>
    <w:rsid w:val="00C04EDA"/>
    <w:rsid w:val="00C056B6"/>
    <w:rsid w:val="00C0631C"/>
    <w:rsid w:val="00C06B72"/>
    <w:rsid w:val="00C06E15"/>
    <w:rsid w:val="00C0724B"/>
    <w:rsid w:val="00C07BFC"/>
    <w:rsid w:val="00C07EB9"/>
    <w:rsid w:val="00C1076B"/>
    <w:rsid w:val="00C10810"/>
    <w:rsid w:val="00C10DAA"/>
    <w:rsid w:val="00C10E14"/>
    <w:rsid w:val="00C10E72"/>
    <w:rsid w:val="00C1148B"/>
    <w:rsid w:val="00C11711"/>
    <w:rsid w:val="00C118CA"/>
    <w:rsid w:val="00C126F1"/>
    <w:rsid w:val="00C12C9E"/>
    <w:rsid w:val="00C13330"/>
    <w:rsid w:val="00C14496"/>
    <w:rsid w:val="00C14749"/>
    <w:rsid w:val="00C14C6B"/>
    <w:rsid w:val="00C1507B"/>
    <w:rsid w:val="00C1535F"/>
    <w:rsid w:val="00C15AC7"/>
    <w:rsid w:val="00C16248"/>
    <w:rsid w:val="00C1628F"/>
    <w:rsid w:val="00C16345"/>
    <w:rsid w:val="00C16E34"/>
    <w:rsid w:val="00C16E4A"/>
    <w:rsid w:val="00C1792F"/>
    <w:rsid w:val="00C20623"/>
    <w:rsid w:val="00C208C7"/>
    <w:rsid w:val="00C20D65"/>
    <w:rsid w:val="00C20F3A"/>
    <w:rsid w:val="00C20FFB"/>
    <w:rsid w:val="00C215B9"/>
    <w:rsid w:val="00C218D1"/>
    <w:rsid w:val="00C2196E"/>
    <w:rsid w:val="00C222E5"/>
    <w:rsid w:val="00C229E2"/>
    <w:rsid w:val="00C23062"/>
    <w:rsid w:val="00C2327C"/>
    <w:rsid w:val="00C236F7"/>
    <w:rsid w:val="00C237C3"/>
    <w:rsid w:val="00C23869"/>
    <w:rsid w:val="00C23A0A"/>
    <w:rsid w:val="00C23F9B"/>
    <w:rsid w:val="00C24604"/>
    <w:rsid w:val="00C24856"/>
    <w:rsid w:val="00C25054"/>
    <w:rsid w:val="00C25130"/>
    <w:rsid w:val="00C258FD"/>
    <w:rsid w:val="00C25DF2"/>
    <w:rsid w:val="00C25EA0"/>
    <w:rsid w:val="00C26797"/>
    <w:rsid w:val="00C26A63"/>
    <w:rsid w:val="00C26B0C"/>
    <w:rsid w:val="00C26B65"/>
    <w:rsid w:val="00C26BEF"/>
    <w:rsid w:val="00C26E18"/>
    <w:rsid w:val="00C30211"/>
    <w:rsid w:val="00C30A9C"/>
    <w:rsid w:val="00C31033"/>
    <w:rsid w:val="00C314CB"/>
    <w:rsid w:val="00C31560"/>
    <w:rsid w:val="00C3182D"/>
    <w:rsid w:val="00C31927"/>
    <w:rsid w:val="00C31C61"/>
    <w:rsid w:val="00C3225C"/>
    <w:rsid w:val="00C3263B"/>
    <w:rsid w:val="00C32682"/>
    <w:rsid w:val="00C328D2"/>
    <w:rsid w:val="00C32974"/>
    <w:rsid w:val="00C32A68"/>
    <w:rsid w:val="00C33058"/>
    <w:rsid w:val="00C330A6"/>
    <w:rsid w:val="00C3328C"/>
    <w:rsid w:val="00C333A2"/>
    <w:rsid w:val="00C33AB8"/>
    <w:rsid w:val="00C33C1E"/>
    <w:rsid w:val="00C33E54"/>
    <w:rsid w:val="00C34259"/>
    <w:rsid w:val="00C344A8"/>
    <w:rsid w:val="00C344F4"/>
    <w:rsid w:val="00C34CAA"/>
    <w:rsid w:val="00C34D8A"/>
    <w:rsid w:val="00C35D67"/>
    <w:rsid w:val="00C36534"/>
    <w:rsid w:val="00C36F89"/>
    <w:rsid w:val="00C36FA2"/>
    <w:rsid w:val="00C36FCB"/>
    <w:rsid w:val="00C374D4"/>
    <w:rsid w:val="00C37714"/>
    <w:rsid w:val="00C401ED"/>
    <w:rsid w:val="00C404A2"/>
    <w:rsid w:val="00C40564"/>
    <w:rsid w:val="00C40A11"/>
    <w:rsid w:val="00C41514"/>
    <w:rsid w:val="00C415D1"/>
    <w:rsid w:val="00C41BBF"/>
    <w:rsid w:val="00C42A5C"/>
    <w:rsid w:val="00C42D5B"/>
    <w:rsid w:val="00C42E01"/>
    <w:rsid w:val="00C4301D"/>
    <w:rsid w:val="00C433D7"/>
    <w:rsid w:val="00C43A71"/>
    <w:rsid w:val="00C43ADE"/>
    <w:rsid w:val="00C43AE8"/>
    <w:rsid w:val="00C44A8B"/>
    <w:rsid w:val="00C45919"/>
    <w:rsid w:val="00C45AE9"/>
    <w:rsid w:val="00C46FCB"/>
    <w:rsid w:val="00C4789B"/>
    <w:rsid w:val="00C4795E"/>
    <w:rsid w:val="00C5052A"/>
    <w:rsid w:val="00C50734"/>
    <w:rsid w:val="00C50855"/>
    <w:rsid w:val="00C50DCF"/>
    <w:rsid w:val="00C51080"/>
    <w:rsid w:val="00C51405"/>
    <w:rsid w:val="00C520D8"/>
    <w:rsid w:val="00C5253F"/>
    <w:rsid w:val="00C52ADC"/>
    <w:rsid w:val="00C5314C"/>
    <w:rsid w:val="00C53404"/>
    <w:rsid w:val="00C53525"/>
    <w:rsid w:val="00C53EAE"/>
    <w:rsid w:val="00C53EBC"/>
    <w:rsid w:val="00C54283"/>
    <w:rsid w:val="00C54A0A"/>
    <w:rsid w:val="00C54A32"/>
    <w:rsid w:val="00C54BCB"/>
    <w:rsid w:val="00C54C1C"/>
    <w:rsid w:val="00C54C5F"/>
    <w:rsid w:val="00C54FCC"/>
    <w:rsid w:val="00C5507F"/>
    <w:rsid w:val="00C55238"/>
    <w:rsid w:val="00C55463"/>
    <w:rsid w:val="00C55690"/>
    <w:rsid w:val="00C55907"/>
    <w:rsid w:val="00C55D0F"/>
    <w:rsid w:val="00C56096"/>
    <w:rsid w:val="00C5659D"/>
    <w:rsid w:val="00C56957"/>
    <w:rsid w:val="00C56B36"/>
    <w:rsid w:val="00C56C51"/>
    <w:rsid w:val="00C56EF1"/>
    <w:rsid w:val="00C5774D"/>
    <w:rsid w:val="00C57807"/>
    <w:rsid w:val="00C57B71"/>
    <w:rsid w:val="00C600C5"/>
    <w:rsid w:val="00C6043A"/>
    <w:rsid w:val="00C60503"/>
    <w:rsid w:val="00C60876"/>
    <w:rsid w:val="00C60A09"/>
    <w:rsid w:val="00C60E12"/>
    <w:rsid w:val="00C60F0B"/>
    <w:rsid w:val="00C6121A"/>
    <w:rsid w:val="00C6168E"/>
    <w:rsid w:val="00C618B4"/>
    <w:rsid w:val="00C61A32"/>
    <w:rsid w:val="00C61CAF"/>
    <w:rsid w:val="00C62264"/>
    <w:rsid w:val="00C62721"/>
    <w:rsid w:val="00C62DE4"/>
    <w:rsid w:val="00C62FE1"/>
    <w:rsid w:val="00C63A5C"/>
    <w:rsid w:val="00C64566"/>
    <w:rsid w:val="00C648DF"/>
    <w:rsid w:val="00C65320"/>
    <w:rsid w:val="00C6542B"/>
    <w:rsid w:val="00C65D42"/>
    <w:rsid w:val="00C664E3"/>
    <w:rsid w:val="00C6661B"/>
    <w:rsid w:val="00C66AF5"/>
    <w:rsid w:val="00C66DD0"/>
    <w:rsid w:val="00C66E00"/>
    <w:rsid w:val="00C67B08"/>
    <w:rsid w:val="00C67C1C"/>
    <w:rsid w:val="00C67ECB"/>
    <w:rsid w:val="00C7003A"/>
    <w:rsid w:val="00C701D9"/>
    <w:rsid w:val="00C703C2"/>
    <w:rsid w:val="00C70E84"/>
    <w:rsid w:val="00C71142"/>
    <w:rsid w:val="00C71376"/>
    <w:rsid w:val="00C71379"/>
    <w:rsid w:val="00C7144D"/>
    <w:rsid w:val="00C71E41"/>
    <w:rsid w:val="00C72019"/>
    <w:rsid w:val="00C725E3"/>
    <w:rsid w:val="00C72DDE"/>
    <w:rsid w:val="00C73716"/>
    <w:rsid w:val="00C73E67"/>
    <w:rsid w:val="00C74327"/>
    <w:rsid w:val="00C748C9"/>
    <w:rsid w:val="00C74BB5"/>
    <w:rsid w:val="00C75564"/>
    <w:rsid w:val="00C75939"/>
    <w:rsid w:val="00C75AF5"/>
    <w:rsid w:val="00C75D6D"/>
    <w:rsid w:val="00C75FC2"/>
    <w:rsid w:val="00C76C80"/>
    <w:rsid w:val="00C76E49"/>
    <w:rsid w:val="00C77317"/>
    <w:rsid w:val="00C77477"/>
    <w:rsid w:val="00C77573"/>
    <w:rsid w:val="00C77588"/>
    <w:rsid w:val="00C8007C"/>
    <w:rsid w:val="00C808E7"/>
    <w:rsid w:val="00C809E1"/>
    <w:rsid w:val="00C80A45"/>
    <w:rsid w:val="00C80D1F"/>
    <w:rsid w:val="00C81156"/>
    <w:rsid w:val="00C81370"/>
    <w:rsid w:val="00C81D19"/>
    <w:rsid w:val="00C81F00"/>
    <w:rsid w:val="00C8265F"/>
    <w:rsid w:val="00C828AB"/>
    <w:rsid w:val="00C82E71"/>
    <w:rsid w:val="00C83230"/>
    <w:rsid w:val="00C8375E"/>
    <w:rsid w:val="00C83CF6"/>
    <w:rsid w:val="00C83D4E"/>
    <w:rsid w:val="00C8409F"/>
    <w:rsid w:val="00C840D4"/>
    <w:rsid w:val="00C842D6"/>
    <w:rsid w:val="00C843C5"/>
    <w:rsid w:val="00C8461F"/>
    <w:rsid w:val="00C84D09"/>
    <w:rsid w:val="00C85C1F"/>
    <w:rsid w:val="00C8651C"/>
    <w:rsid w:val="00C86769"/>
    <w:rsid w:val="00C86BF0"/>
    <w:rsid w:val="00C86C6F"/>
    <w:rsid w:val="00C87010"/>
    <w:rsid w:val="00C87108"/>
    <w:rsid w:val="00C874C3"/>
    <w:rsid w:val="00C8773C"/>
    <w:rsid w:val="00C87A02"/>
    <w:rsid w:val="00C87DF3"/>
    <w:rsid w:val="00C90569"/>
    <w:rsid w:val="00C90739"/>
    <w:rsid w:val="00C90A68"/>
    <w:rsid w:val="00C90D26"/>
    <w:rsid w:val="00C90E31"/>
    <w:rsid w:val="00C91574"/>
    <w:rsid w:val="00C915D4"/>
    <w:rsid w:val="00C929C3"/>
    <w:rsid w:val="00C92D9E"/>
    <w:rsid w:val="00C93AFD"/>
    <w:rsid w:val="00C93BC9"/>
    <w:rsid w:val="00C948E8"/>
    <w:rsid w:val="00C94DEA"/>
    <w:rsid w:val="00C95030"/>
    <w:rsid w:val="00C951A4"/>
    <w:rsid w:val="00C952BE"/>
    <w:rsid w:val="00C95555"/>
    <w:rsid w:val="00C957AA"/>
    <w:rsid w:val="00C9597B"/>
    <w:rsid w:val="00C95BCD"/>
    <w:rsid w:val="00C9607C"/>
    <w:rsid w:val="00C96207"/>
    <w:rsid w:val="00C96F44"/>
    <w:rsid w:val="00C97A8A"/>
    <w:rsid w:val="00C97B71"/>
    <w:rsid w:val="00C97E86"/>
    <w:rsid w:val="00CA0ADD"/>
    <w:rsid w:val="00CA0BBC"/>
    <w:rsid w:val="00CA0D32"/>
    <w:rsid w:val="00CA0ED0"/>
    <w:rsid w:val="00CA1005"/>
    <w:rsid w:val="00CA2058"/>
    <w:rsid w:val="00CA208E"/>
    <w:rsid w:val="00CA2857"/>
    <w:rsid w:val="00CA2B40"/>
    <w:rsid w:val="00CA2F85"/>
    <w:rsid w:val="00CA301D"/>
    <w:rsid w:val="00CA4503"/>
    <w:rsid w:val="00CA5941"/>
    <w:rsid w:val="00CA5BA3"/>
    <w:rsid w:val="00CA697C"/>
    <w:rsid w:val="00CA6E64"/>
    <w:rsid w:val="00CA7069"/>
    <w:rsid w:val="00CA71D0"/>
    <w:rsid w:val="00CA7B69"/>
    <w:rsid w:val="00CA7F84"/>
    <w:rsid w:val="00CB0121"/>
    <w:rsid w:val="00CB0916"/>
    <w:rsid w:val="00CB09D2"/>
    <w:rsid w:val="00CB0E46"/>
    <w:rsid w:val="00CB1D8D"/>
    <w:rsid w:val="00CB1DB5"/>
    <w:rsid w:val="00CB1DC0"/>
    <w:rsid w:val="00CB3085"/>
    <w:rsid w:val="00CB43A5"/>
    <w:rsid w:val="00CB4D71"/>
    <w:rsid w:val="00CB511C"/>
    <w:rsid w:val="00CB52BF"/>
    <w:rsid w:val="00CB593C"/>
    <w:rsid w:val="00CB5955"/>
    <w:rsid w:val="00CB5C86"/>
    <w:rsid w:val="00CB5EF1"/>
    <w:rsid w:val="00CB6330"/>
    <w:rsid w:val="00CB6EDF"/>
    <w:rsid w:val="00CB72A7"/>
    <w:rsid w:val="00CB73C6"/>
    <w:rsid w:val="00CB785E"/>
    <w:rsid w:val="00CB794F"/>
    <w:rsid w:val="00CB7FB8"/>
    <w:rsid w:val="00CC01B5"/>
    <w:rsid w:val="00CC06B4"/>
    <w:rsid w:val="00CC13A3"/>
    <w:rsid w:val="00CC2449"/>
    <w:rsid w:val="00CC2502"/>
    <w:rsid w:val="00CC252A"/>
    <w:rsid w:val="00CC2678"/>
    <w:rsid w:val="00CC27F2"/>
    <w:rsid w:val="00CC2A42"/>
    <w:rsid w:val="00CC2E5A"/>
    <w:rsid w:val="00CC4685"/>
    <w:rsid w:val="00CC49B7"/>
    <w:rsid w:val="00CC4E3C"/>
    <w:rsid w:val="00CC54B8"/>
    <w:rsid w:val="00CC57A6"/>
    <w:rsid w:val="00CC5C6A"/>
    <w:rsid w:val="00CC5E46"/>
    <w:rsid w:val="00CC6EA2"/>
    <w:rsid w:val="00CC75CB"/>
    <w:rsid w:val="00CC7927"/>
    <w:rsid w:val="00CC7CD1"/>
    <w:rsid w:val="00CD037B"/>
    <w:rsid w:val="00CD0C18"/>
    <w:rsid w:val="00CD1088"/>
    <w:rsid w:val="00CD1495"/>
    <w:rsid w:val="00CD1CDA"/>
    <w:rsid w:val="00CD1E6E"/>
    <w:rsid w:val="00CD1FD9"/>
    <w:rsid w:val="00CD2015"/>
    <w:rsid w:val="00CD24DC"/>
    <w:rsid w:val="00CD28FF"/>
    <w:rsid w:val="00CD2953"/>
    <w:rsid w:val="00CD2C5E"/>
    <w:rsid w:val="00CD39DB"/>
    <w:rsid w:val="00CD3BB7"/>
    <w:rsid w:val="00CD4145"/>
    <w:rsid w:val="00CD4194"/>
    <w:rsid w:val="00CD46A7"/>
    <w:rsid w:val="00CD4E70"/>
    <w:rsid w:val="00CD559A"/>
    <w:rsid w:val="00CD5681"/>
    <w:rsid w:val="00CD5EFD"/>
    <w:rsid w:val="00CD60F0"/>
    <w:rsid w:val="00CD6874"/>
    <w:rsid w:val="00CD6AA0"/>
    <w:rsid w:val="00CD6B36"/>
    <w:rsid w:val="00CD6EAF"/>
    <w:rsid w:val="00CD70CE"/>
    <w:rsid w:val="00CD77AE"/>
    <w:rsid w:val="00CD7886"/>
    <w:rsid w:val="00CD79B1"/>
    <w:rsid w:val="00CD7AED"/>
    <w:rsid w:val="00CE025B"/>
    <w:rsid w:val="00CE044A"/>
    <w:rsid w:val="00CE05CA"/>
    <w:rsid w:val="00CE100E"/>
    <w:rsid w:val="00CE10EC"/>
    <w:rsid w:val="00CE19C5"/>
    <w:rsid w:val="00CE2737"/>
    <w:rsid w:val="00CE2909"/>
    <w:rsid w:val="00CE2B73"/>
    <w:rsid w:val="00CE369D"/>
    <w:rsid w:val="00CE3A3E"/>
    <w:rsid w:val="00CE435A"/>
    <w:rsid w:val="00CE438E"/>
    <w:rsid w:val="00CE5057"/>
    <w:rsid w:val="00CE54AB"/>
    <w:rsid w:val="00CE582F"/>
    <w:rsid w:val="00CE6359"/>
    <w:rsid w:val="00CE65DE"/>
    <w:rsid w:val="00CE6BAC"/>
    <w:rsid w:val="00CE7348"/>
    <w:rsid w:val="00CE7389"/>
    <w:rsid w:val="00CE7A43"/>
    <w:rsid w:val="00CE7C91"/>
    <w:rsid w:val="00CE7CEA"/>
    <w:rsid w:val="00CF00F8"/>
    <w:rsid w:val="00CF01B7"/>
    <w:rsid w:val="00CF071C"/>
    <w:rsid w:val="00CF0907"/>
    <w:rsid w:val="00CF0A83"/>
    <w:rsid w:val="00CF0F77"/>
    <w:rsid w:val="00CF1055"/>
    <w:rsid w:val="00CF1148"/>
    <w:rsid w:val="00CF142D"/>
    <w:rsid w:val="00CF161F"/>
    <w:rsid w:val="00CF17D2"/>
    <w:rsid w:val="00CF1E13"/>
    <w:rsid w:val="00CF1E7E"/>
    <w:rsid w:val="00CF2025"/>
    <w:rsid w:val="00CF2475"/>
    <w:rsid w:val="00CF287F"/>
    <w:rsid w:val="00CF30C3"/>
    <w:rsid w:val="00CF38B4"/>
    <w:rsid w:val="00CF38CF"/>
    <w:rsid w:val="00CF46F6"/>
    <w:rsid w:val="00CF4A42"/>
    <w:rsid w:val="00CF4CFA"/>
    <w:rsid w:val="00CF4F89"/>
    <w:rsid w:val="00CF512C"/>
    <w:rsid w:val="00CF560E"/>
    <w:rsid w:val="00CF5EC4"/>
    <w:rsid w:val="00CF657B"/>
    <w:rsid w:val="00CF68B7"/>
    <w:rsid w:val="00CF69E2"/>
    <w:rsid w:val="00D003BF"/>
    <w:rsid w:val="00D01881"/>
    <w:rsid w:val="00D01E36"/>
    <w:rsid w:val="00D029E5"/>
    <w:rsid w:val="00D03575"/>
    <w:rsid w:val="00D036B8"/>
    <w:rsid w:val="00D03968"/>
    <w:rsid w:val="00D0418E"/>
    <w:rsid w:val="00D04857"/>
    <w:rsid w:val="00D048AE"/>
    <w:rsid w:val="00D04A68"/>
    <w:rsid w:val="00D04D94"/>
    <w:rsid w:val="00D04E45"/>
    <w:rsid w:val="00D05225"/>
    <w:rsid w:val="00D0543F"/>
    <w:rsid w:val="00D059B0"/>
    <w:rsid w:val="00D05DF3"/>
    <w:rsid w:val="00D06133"/>
    <w:rsid w:val="00D0629D"/>
    <w:rsid w:val="00D066A1"/>
    <w:rsid w:val="00D07304"/>
    <w:rsid w:val="00D07A97"/>
    <w:rsid w:val="00D07FA3"/>
    <w:rsid w:val="00D1099D"/>
    <w:rsid w:val="00D10C76"/>
    <w:rsid w:val="00D10E69"/>
    <w:rsid w:val="00D11FB7"/>
    <w:rsid w:val="00D12091"/>
    <w:rsid w:val="00D12331"/>
    <w:rsid w:val="00D126B4"/>
    <w:rsid w:val="00D12812"/>
    <w:rsid w:val="00D12DF3"/>
    <w:rsid w:val="00D1329F"/>
    <w:rsid w:val="00D134BA"/>
    <w:rsid w:val="00D13613"/>
    <w:rsid w:val="00D14677"/>
    <w:rsid w:val="00D14745"/>
    <w:rsid w:val="00D147D1"/>
    <w:rsid w:val="00D14C74"/>
    <w:rsid w:val="00D15672"/>
    <w:rsid w:val="00D15894"/>
    <w:rsid w:val="00D159AE"/>
    <w:rsid w:val="00D159D1"/>
    <w:rsid w:val="00D15B46"/>
    <w:rsid w:val="00D15FA6"/>
    <w:rsid w:val="00D16399"/>
    <w:rsid w:val="00D16421"/>
    <w:rsid w:val="00D16953"/>
    <w:rsid w:val="00D16AD8"/>
    <w:rsid w:val="00D171E3"/>
    <w:rsid w:val="00D17253"/>
    <w:rsid w:val="00D20A09"/>
    <w:rsid w:val="00D20C94"/>
    <w:rsid w:val="00D213CB"/>
    <w:rsid w:val="00D21D17"/>
    <w:rsid w:val="00D21FA3"/>
    <w:rsid w:val="00D22221"/>
    <w:rsid w:val="00D22580"/>
    <w:rsid w:val="00D22778"/>
    <w:rsid w:val="00D23746"/>
    <w:rsid w:val="00D237AC"/>
    <w:rsid w:val="00D23B90"/>
    <w:rsid w:val="00D23DC9"/>
    <w:rsid w:val="00D24551"/>
    <w:rsid w:val="00D25EDE"/>
    <w:rsid w:val="00D264A0"/>
    <w:rsid w:val="00D265C1"/>
    <w:rsid w:val="00D26C6E"/>
    <w:rsid w:val="00D26CFF"/>
    <w:rsid w:val="00D277B6"/>
    <w:rsid w:val="00D27B6C"/>
    <w:rsid w:val="00D27FDA"/>
    <w:rsid w:val="00D30134"/>
    <w:rsid w:val="00D3098D"/>
    <w:rsid w:val="00D30B04"/>
    <w:rsid w:val="00D30DD2"/>
    <w:rsid w:val="00D30EED"/>
    <w:rsid w:val="00D31B5B"/>
    <w:rsid w:val="00D31C7B"/>
    <w:rsid w:val="00D320B3"/>
    <w:rsid w:val="00D32291"/>
    <w:rsid w:val="00D326A9"/>
    <w:rsid w:val="00D32D4B"/>
    <w:rsid w:val="00D33042"/>
    <w:rsid w:val="00D331BC"/>
    <w:rsid w:val="00D332F2"/>
    <w:rsid w:val="00D334B9"/>
    <w:rsid w:val="00D3390C"/>
    <w:rsid w:val="00D33A79"/>
    <w:rsid w:val="00D343D8"/>
    <w:rsid w:val="00D343E0"/>
    <w:rsid w:val="00D349BF"/>
    <w:rsid w:val="00D34CBB"/>
    <w:rsid w:val="00D35164"/>
    <w:rsid w:val="00D352CA"/>
    <w:rsid w:val="00D3538F"/>
    <w:rsid w:val="00D35ADB"/>
    <w:rsid w:val="00D35DCE"/>
    <w:rsid w:val="00D35F75"/>
    <w:rsid w:val="00D36109"/>
    <w:rsid w:val="00D36899"/>
    <w:rsid w:val="00D36AF9"/>
    <w:rsid w:val="00D37008"/>
    <w:rsid w:val="00D37272"/>
    <w:rsid w:val="00D37B93"/>
    <w:rsid w:val="00D37DE3"/>
    <w:rsid w:val="00D37F5C"/>
    <w:rsid w:val="00D37FA4"/>
    <w:rsid w:val="00D404D5"/>
    <w:rsid w:val="00D411E4"/>
    <w:rsid w:val="00D41384"/>
    <w:rsid w:val="00D4157E"/>
    <w:rsid w:val="00D4207B"/>
    <w:rsid w:val="00D423E9"/>
    <w:rsid w:val="00D4272A"/>
    <w:rsid w:val="00D42A63"/>
    <w:rsid w:val="00D42C27"/>
    <w:rsid w:val="00D433EF"/>
    <w:rsid w:val="00D435F7"/>
    <w:rsid w:val="00D43CEC"/>
    <w:rsid w:val="00D4402C"/>
    <w:rsid w:val="00D44201"/>
    <w:rsid w:val="00D444F9"/>
    <w:rsid w:val="00D4460C"/>
    <w:rsid w:val="00D448D0"/>
    <w:rsid w:val="00D44A22"/>
    <w:rsid w:val="00D44D80"/>
    <w:rsid w:val="00D45520"/>
    <w:rsid w:val="00D45852"/>
    <w:rsid w:val="00D45C79"/>
    <w:rsid w:val="00D45D2F"/>
    <w:rsid w:val="00D4611B"/>
    <w:rsid w:val="00D465EE"/>
    <w:rsid w:val="00D46D05"/>
    <w:rsid w:val="00D47A1C"/>
    <w:rsid w:val="00D47F79"/>
    <w:rsid w:val="00D50531"/>
    <w:rsid w:val="00D50834"/>
    <w:rsid w:val="00D5099F"/>
    <w:rsid w:val="00D5132C"/>
    <w:rsid w:val="00D51480"/>
    <w:rsid w:val="00D5182F"/>
    <w:rsid w:val="00D51856"/>
    <w:rsid w:val="00D5189A"/>
    <w:rsid w:val="00D51CEB"/>
    <w:rsid w:val="00D51F50"/>
    <w:rsid w:val="00D5273D"/>
    <w:rsid w:val="00D537A3"/>
    <w:rsid w:val="00D53817"/>
    <w:rsid w:val="00D550D2"/>
    <w:rsid w:val="00D55B5E"/>
    <w:rsid w:val="00D55C34"/>
    <w:rsid w:val="00D57519"/>
    <w:rsid w:val="00D57586"/>
    <w:rsid w:val="00D57975"/>
    <w:rsid w:val="00D60485"/>
    <w:rsid w:val="00D607EE"/>
    <w:rsid w:val="00D60A4F"/>
    <w:rsid w:val="00D60E57"/>
    <w:rsid w:val="00D61114"/>
    <w:rsid w:val="00D61413"/>
    <w:rsid w:val="00D615F8"/>
    <w:rsid w:val="00D61999"/>
    <w:rsid w:val="00D61CE5"/>
    <w:rsid w:val="00D61D31"/>
    <w:rsid w:val="00D62A03"/>
    <w:rsid w:val="00D63EA1"/>
    <w:rsid w:val="00D64A77"/>
    <w:rsid w:val="00D65401"/>
    <w:rsid w:val="00D65A68"/>
    <w:rsid w:val="00D65D8F"/>
    <w:rsid w:val="00D66A36"/>
    <w:rsid w:val="00D66E0B"/>
    <w:rsid w:val="00D67069"/>
    <w:rsid w:val="00D67A68"/>
    <w:rsid w:val="00D67BA9"/>
    <w:rsid w:val="00D67BEC"/>
    <w:rsid w:val="00D67DCA"/>
    <w:rsid w:val="00D704E1"/>
    <w:rsid w:val="00D70616"/>
    <w:rsid w:val="00D70683"/>
    <w:rsid w:val="00D70C15"/>
    <w:rsid w:val="00D70E77"/>
    <w:rsid w:val="00D7115B"/>
    <w:rsid w:val="00D71BC7"/>
    <w:rsid w:val="00D71BD9"/>
    <w:rsid w:val="00D72DE4"/>
    <w:rsid w:val="00D73408"/>
    <w:rsid w:val="00D73854"/>
    <w:rsid w:val="00D73F6F"/>
    <w:rsid w:val="00D7460E"/>
    <w:rsid w:val="00D75026"/>
    <w:rsid w:val="00D751B4"/>
    <w:rsid w:val="00D75402"/>
    <w:rsid w:val="00D756A6"/>
    <w:rsid w:val="00D766CD"/>
    <w:rsid w:val="00D7673C"/>
    <w:rsid w:val="00D76762"/>
    <w:rsid w:val="00D76866"/>
    <w:rsid w:val="00D77511"/>
    <w:rsid w:val="00D77AA0"/>
    <w:rsid w:val="00D8021E"/>
    <w:rsid w:val="00D804BE"/>
    <w:rsid w:val="00D81256"/>
    <w:rsid w:val="00D81840"/>
    <w:rsid w:val="00D82217"/>
    <w:rsid w:val="00D829F4"/>
    <w:rsid w:val="00D82AC6"/>
    <w:rsid w:val="00D82B88"/>
    <w:rsid w:val="00D837E3"/>
    <w:rsid w:val="00D83AA2"/>
    <w:rsid w:val="00D83D5C"/>
    <w:rsid w:val="00D84C84"/>
    <w:rsid w:val="00D851C0"/>
    <w:rsid w:val="00D85238"/>
    <w:rsid w:val="00D8698E"/>
    <w:rsid w:val="00D86A11"/>
    <w:rsid w:val="00D86A9C"/>
    <w:rsid w:val="00D86D82"/>
    <w:rsid w:val="00D86FEE"/>
    <w:rsid w:val="00D8717A"/>
    <w:rsid w:val="00D872D1"/>
    <w:rsid w:val="00D875E1"/>
    <w:rsid w:val="00D877CB"/>
    <w:rsid w:val="00D879B3"/>
    <w:rsid w:val="00D900B3"/>
    <w:rsid w:val="00D9019B"/>
    <w:rsid w:val="00D9053E"/>
    <w:rsid w:val="00D9086B"/>
    <w:rsid w:val="00D90A2F"/>
    <w:rsid w:val="00D90E50"/>
    <w:rsid w:val="00D915F3"/>
    <w:rsid w:val="00D9164C"/>
    <w:rsid w:val="00D91B78"/>
    <w:rsid w:val="00D9265D"/>
    <w:rsid w:val="00D92DB3"/>
    <w:rsid w:val="00D93006"/>
    <w:rsid w:val="00D93244"/>
    <w:rsid w:val="00D93469"/>
    <w:rsid w:val="00D937D8"/>
    <w:rsid w:val="00D9389A"/>
    <w:rsid w:val="00D93DC3"/>
    <w:rsid w:val="00D94A91"/>
    <w:rsid w:val="00D94BFA"/>
    <w:rsid w:val="00D95014"/>
    <w:rsid w:val="00D951A5"/>
    <w:rsid w:val="00D9571F"/>
    <w:rsid w:val="00D95BB3"/>
    <w:rsid w:val="00D962A5"/>
    <w:rsid w:val="00D968B0"/>
    <w:rsid w:val="00D96BFB"/>
    <w:rsid w:val="00D97523"/>
    <w:rsid w:val="00D97E1F"/>
    <w:rsid w:val="00DA00FD"/>
    <w:rsid w:val="00DA0812"/>
    <w:rsid w:val="00DA0C2F"/>
    <w:rsid w:val="00DA100C"/>
    <w:rsid w:val="00DA11A7"/>
    <w:rsid w:val="00DA176F"/>
    <w:rsid w:val="00DA21E6"/>
    <w:rsid w:val="00DA2539"/>
    <w:rsid w:val="00DA282F"/>
    <w:rsid w:val="00DA2A6D"/>
    <w:rsid w:val="00DA32BA"/>
    <w:rsid w:val="00DA36CC"/>
    <w:rsid w:val="00DA39C1"/>
    <w:rsid w:val="00DA3B0B"/>
    <w:rsid w:val="00DA3BD5"/>
    <w:rsid w:val="00DA3F38"/>
    <w:rsid w:val="00DA46B6"/>
    <w:rsid w:val="00DA4BE5"/>
    <w:rsid w:val="00DA53F0"/>
    <w:rsid w:val="00DA5432"/>
    <w:rsid w:val="00DA5BAB"/>
    <w:rsid w:val="00DA5C48"/>
    <w:rsid w:val="00DA6346"/>
    <w:rsid w:val="00DA6DE3"/>
    <w:rsid w:val="00DA72D5"/>
    <w:rsid w:val="00DA7B9B"/>
    <w:rsid w:val="00DB08D6"/>
    <w:rsid w:val="00DB10C3"/>
    <w:rsid w:val="00DB163D"/>
    <w:rsid w:val="00DB277D"/>
    <w:rsid w:val="00DB28FF"/>
    <w:rsid w:val="00DB2A64"/>
    <w:rsid w:val="00DB2C11"/>
    <w:rsid w:val="00DB2C5C"/>
    <w:rsid w:val="00DB2DEC"/>
    <w:rsid w:val="00DB32EB"/>
    <w:rsid w:val="00DB33A6"/>
    <w:rsid w:val="00DB43F4"/>
    <w:rsid w:val="00DB48AF"/>
    <w:rsid w:val="00DB4A4B"/>
    <w:rsid w:val="00DB4BC2"/>
    <w:rsid w:val="00DB4BC6"/>
    <w:rsid w:val="00DB5018"/>
    <w:rsid w:val="00DB5246"/>
    <w:rsid w:val="00DB539A"/>
    <w:rsid w:val="00DB556B"/>
    <w:rsid w:val="00DB5B9A"/>
    <w:rsid w:val="00DB5DEB"/>
    <w:rsid w:val="00DB6328"/>
    <w:rsid w:val="00DB66F1"/>
    <w:rsid w:val="00DB67CB"/>
    <w:rsid w:val="00DB6FDB"/>
    <w:rsid w:val="00DB7C05"/>
    <w:rsid w:val="00DC0033"/>
    <w:rsid w:val="00DC165E"/>
    <w:rsid w:val="00DC1854"/>
    <w:rsid w:val="00DC197C"/>
    <w:rsid w:val="00DC1A63"/>
    <w:rsid w:val="00DC1C3F"/>
    <w:rsid w:val="00DC205E"/>
    <w:rsid w:val="00DC20D8"/>
    <w:rsid w:val="00DC3D7F"/>
    <w:rsid w:val="00DC4214"/>
    <w:rsid w:val="00DC422A"/>
    <w:rsid w:val="00DC47B5"/>
    <w:rsid w:val="00DC4EE9"/>
    <w:rsid w:val="00DC4F87"/>
    <w:rsid w:val="00DC5889"/>
    <w:rsid w:val="00DC60C9"/>
    <w:rsid w:val="00DC62ED"/>
    <w:rsid w:val="00DC69D4"/>
    <w:rsid w:val="00DC70C4"/>
    <w:rsid w:val="00DC75E1"/>
    <w:rsid w:val="00DC785F"/>
    <w:rsid w:val="00DC7881"/>
    <w:rsid w:val="00DC7C23"/>
    <w:rsid w:val="00DC7D4E"/>
    <w:rsid w:val="00DD01B6"/>
    <w:rsid w:val="00DD02AE"/>
    <w:rsid w:val="00DD0FBC"/>
    <w:rsid w:val="00DD15D6"/>
    <w:rsid w:val="00DD1F74"/>
    <w:rsid w:val="00DD2230"/>
    <w:rsid w:val="00DD2542"/>
    <w:rsid w:val="00DD2990"/>
    <w:rsid w:val="00DD41F8"/>
    <w:rsid w:val="00DD4934"/>
    <w:rsid w:val="00DD4A87"/>
    <w:rsid w:val="00DD4D8E"/>
    <w:rsid w:val="00DD4D93"/>
    <w:rsid w:val="00DD4F19"/>
    <w:rsid w:val="00DD4F6A"/>
    <w:rsid w:val="00DD5622"/>
    <w:rsid w:val="00DD568B"/>
    <w:rsid w:val="00DD5BC5"/>
    <w:rsid w:val="00DD5F8E"/>
    <w:rsid w:val="00DD5FE4"/>
    <w:rsid w:val="00DD6064"/>
    <w:rsid w:val="00DD62E5"/>
    <w:rsid w:val="00DD6411"/>
    <w:rsid w:val="00DD64C4"/>
    <w:rsid w:val="00DD69E3"/>
    <w:rsid w:val="00DD6A20"/>
    <w:rsid w:val="00DD6A88"/>
    <w:rsid w:val="00DD6B2D"/>
    <w:rsid w:val="00DD6F08"/>
    <w:rsid w:val="00DD7682"/>
    <w:rsid w:val="00DD7B39"/>
    <w:rsid w:val="00DD7DC1"/>
    <w:rsid w:val="00DE0AE3"/>
    <w:rsid w:val="00DE0D7B"/>
    <w:rsid w:val="00DE14DD"/>
    <w:rsid w:val="00DE1ED1"/>
    <w:rsid w:val="00DE1F1A"/>
    <w:rsid w:val="00DE204C"/>
    <w:rsid w:val="00DE2E16"/>
    <w:rsid w:val="00DE31B3"/>
    <w:rsid w:val="00DE3D05"/>
    <w:rsid w:val="00DE4894"/>
    <w:rsid w:val="00DE4F49"/>
    <w:rsid w:val="00DE5BEA"/>
    <w:rsid w:val="00DE5D08"/>
    <w:rsid w:val="00DE605B"/>
    <w:rsid w:val="00DE6637"/>
    <w:rsid w:val="00DE6E03"/>
    <w:rsid w:val="00DE78CB"/>
    <w:rsid w:val="00DF016E"/>
    <w:rsid w:val="00DF02DD"/>
    <w:rsid w:val="00DF037B"/>
    <w:rsid w:val="00DF0386"/>
    <w:rsid w:val="00DF112D"/>
    <w:rsid w:val="00DF13E8"/>
    <w:rsid w:val="00DF1A15"/>
    <w:rsid w:val="00DF1AF1"/>
    <w:rsid w:val="00DF1BA9"/>
    <w:rsid w:val="00DF1C7A"/>
    <w:rsid w:val="00DF2104"/>
    <w:rsid w:val="00DF2BDF"/>
    <w:rsid w:val="00DF2EDD"/>
    <w:rsid w:val="00DF3AA3"/>
    <w:rsid w:val="00DF4509"/>
    <w:rsid w:val="00DF507A"/>
    <w:rsid w:val="00DF5D7A"/>
    <w:rsid w:val="00DF5F23"/>
    <w:rsid w:val="00DF5F45"/>
    <w:rsid w:val="00DF6AAF"/>
    <w:rsid w:val="00DF7E1E"/>
    <w:rsid w:val="00E008F3"/>
    <w:rsid w:val="00E00AE6"/>
    <w:rsid w:val="00E00B4E"/>
    <w:rsid w:val="00E013EF"/>
    <w:rsid w:val="00E016B7"/>
    <w:rsid w:val="00E01E24"/>
    <w:rsid w:val="00E0287E"/>
    <w:rsid w:val="00E02B6F"/>
    <w:rsid w:val="00E03115"/>
    <w:rsid w:val="00E03395"/>
    <w:rsid w:val="00E0372C"/>
    <w:rsid w:val="00E038D8"/>
    <w:rsid w:val="00E04809"/>
    <w:rsid w:val="00E04C91"/>
    <w:rsid w:val="00E04D19"/>
    <w:rsid w:val="00E05139"/>
    <w:rsid w:val="00E05B5E"/>
    <w:rsid w:val="00E0661D"/>
    <w:rsid w:val="00E068B5"/>
    <w:rsid w:val="00E06B77"/>
    <w:rsid w:val="00E0730A"/>
    <w:rsid w:val="00E07332"/>
    <w:rsid w:val="00E07A77"/>
    <w:rsid w:val="00E07D17"/>
    <w:rsid w:val="00E1087C"/>
    <w:rsid w:val="00E10925"/>
    <w:rsid w:val="00E10B8D"/>
    <w:rsid w:val="00E10DDC"/>
    <w:rsid w:val="00E111C5"/>
    <w:rsid w:val="00E11889"/>
    <w:rsid w:val="00E11A62"/>
    <w:rsid w:val="00E12209"/>
    <w:rsid w:val="00E13105"/>
    <w:rsid w:val="00E13173"/>
    <w:rsid w:val="00E1375E"/>
    <w:rsid w:val="00E13780"/>
    <w:rsid w:val="00E13A41"/>
    <w:rsid w:val="00E13B2C"/>
    <w:rsid w:val="00E1476C"/>
    <w:rsid w:val="00E14BAC"/>
    <w:rsid w:val="00E14E8E"/>
    <w:rsid w:val="00E15374"/>
    <w:rsid w:val="00E157C2"/>
    <w:rsid w:val="00E1662E"/>
    <w:rsid w:val="00E16D4C"/>
    <w:rsid w:val="00E1702A"/>
    <w:rsid w:val="00E172E6"/>
    <w:rsid w:val="00E17479"/>
    <w:rsid w:val="00E17493"/>
    <w:rsid w:val="00E17584"/>
    <w:rsid w:val="00E17ACF"/>
    <w:rsid w:val="00E17C6A"/>
    <w:rsid w:val="00E20772"/>
    <w:rsid w:val="00E20C3C"/>
    <w:rsid w:val="00E20EA1"/>
    <w:rsid w:val="00E21240"/>
    <w:rsid w:val="00E21463"/>
    <w:rsid w:val="00E221D4"/>
    <w:rsid w:val="00E22382"/>
    <w:rsid w:val="00E223B3"/>
    <w:rsid w:val="00E224C3"/>
    <w:rsid w:val="00E22FA4"/>
    <w:rsid w:val="00E2323E"/>
    <w:rsid w:val="00E235A8"/>
    <w:rsid w:val="00E238F9"/>
    <w:rsid w:val="00E239C3"/>
    <w:rsid w:val="00E23CC2"/>
    <w:rsid w:val="00E24013"/>
    <w:rsid w:val="00E242F4"/>
    <w:rsid w:val="00E2480A"/>
    <w:rsid w:val="00E24DF8"/>
    <w:rsid w:val="00E2506F"/>
    <w:rsid w:val="00E25326"/>
    <w:rsid w:val="00E254E5"/>
    <w:rsid w:val="00E25EC1"/>
    <w:rsid w:val="00E25F43"/>
    <w:rsid w:val="00E25F62"/>
    <w:rsid w:val="00E26320"/>
    <w:rsid w:val="00E2674F"/>
    <w:rsid w:val="00E26C1A"/>
    <w:rsid w:val="00E26FD7"/>
    <w:rsid w:val="00E27109"/>
    <w:rsid w:val="00E27394"/>
    <w:rsid w:val="00E2769B"/>
    <w:rsid w:val="00E279D9"/>
    <w:rsid w:val="00E30879"/>
    <w:rsid w:val="00E31290"/>
    <w:rsid w:val="00E31317"/>
    <w:rsid w:val="00E31877"/>
    <w:rsid w:val="00E318B0"/>
    <w:rsid w:val="00E31ADF"/>
    <w:rsid w:val="00E31ECA"/>
    <w:rsid w:val="00E338BE"/>
    <w:rsid w:val="00E33B31"/>
    <w:rsid w:val="00E343C2"/>
    <w:rsid w:val="00E34758"/>
    <w:rsid w:val="00E34C88"/>
    <w:rsid w:val="00E35E17"/>
    <w:rsid w:val="00E361E9"/>
    <w:rsid w:val="00E36398"/>
    <w:rsid w:val="00E36523"/>
    <w:rsid w:val="00E365DC"/>
    <w:rsid w:val="00E36CEC"/>
    <w:rsid w:val="00E370AB"/>
    <w:rsid w:val="00E37112"/>
    <w:rsid w:val="00E37398"/>
    <w:rsid w:val="00E37418"/>
    <w:rsid w:val="00E37805"/>
    <w:rsid w:val="00E37859"/>
    <w:rsid w:val="00E378B1"/>
    <w:rsid w:val="00E37E14"/>
    <w:rsid w:val="00E37FB0"/>
    <w:rsid w:val="00E4074E"/>
    <w:rsid w:val="00E407E3"/>
    <w:rsid w:val="00E41424"/>
    <w:rsid w:val="00E42754"/>
    <w:rsid w:val="00E42C24"/>
    <w:rsid w:val="00E437D8"/>
    <w:rsid w:val="00E43D56"/>
    <w:rsid w:val="00E44AF1"/>
    <w:rsid w:val="00E4506B"/>
    <w:rsid w:val="00E452FA"/>
    <w:rsid w:val="00E45866"/>
    <w:rsid w:val="00E45FB0"/>
    <w:rsid w:val="00E46569"/>
    <w:rsid w:val="00E46C22"/>
    <w:rsid w:val="00E46F56"/>
    <w:rsid w:val="00E4757D"/>
    <w:rsid w:val="00E47A0A"/>
    <w:rsid w:val="00E47B9D"/>
    <w:rsid w:val="00E50315"/>
    <w:rsid w:val="00E50A1C"/>
    <w:rsid w:val="00E50C85"/>
    <w:rsid w:val="00E50D37"/>
    <w:rsid w:val="00E51793"/>
    <w:rsid w:val="00E51D2B"/>
    <w:rsid w:val="00E52B65"/>
    <w:rsid w:val="00E52C3F"/>
    <w:rsid w:val="00E52F43"/>
    <w:rsid w:val="00E53224"/>
    <w:rsid w:val="00E53306"/>
    <w:rsid w:val="00E53806"/>
    <w:rsid w:val="00E53B0E"/>
    <w:rsid w:val="00E553BE"/>
    <w:rsid w:val="00E557A9"/>
    <w:rsid w:val="00E55E6C"/>
    <w:rsid w:val="00E56057"/>
    <w:rsid w:val="00E567A3"/>
    <w:rsid w:val="00E56CED"/>
    <w:rsid w:val="00E56D72"/>
    <w:rsid w:val="00E56EB5"/>
    <w:rsid w:val="00E57587"/>
    <w:rsid w:val="00E57C98"/>
    <w:rsid w:val="00E57DDF"/>
    <w:rsid w:val="00E60182"/>
    <w:rsid w:val="00E6019C"/>
    <w:rsid w:val="00E606CB"/>
    <w:rsid w:val="00E60B6A"/>
    <w:rsid w:val="00E61006"/>
    <w:rsid w:val="00E61129"/>
    <w:rsid w:val="00E61BC7"/>
    <w:rsid w:val="00E621F1"/>
    <w:rsid w:val="00E6264B"/>
    <w:rsid w:val="00E626D1"/>
    <w:rsid w:val="00E62703"/>
    <w:rsid w:val="00E63017"/>
    <w:rsid w:val="00E63590"/>
    <w:rsid w:val="00E63B1D"/>
    <w:rsid w:val="00E644C1"/>
    <w:rsid w:val="00E64A58"/>
    <w:rsid w:val="00E64DFC"/>
    <w:rsid w:val="00E64F33"/>
    <w:rsid w:val="00E65888"/>
    <w:rsid w:val="00E65A2A"/>
    <w:rsid w:val="00E65ADE"/>
    <w:rsid w:val="00E65E95"/>
    <w:rsid w:val="00E65F9E"/>
    <w:rsid w:val="00E661EC"/>
    <w:rsid w:val="00E6648E"/>
    <w:rsid w:val="00E66650"/>
    <w:rsid w:val="00E666C5"/>
    <w:rsid w:val="00E667EE"/>
    <w:rsid w:val="00E6683E"/>
    <w:rsid w:val="00E674C5"/>
    <w:rsid w:val="00E67B62"/>
    <w:rsid w:val="00E67CD0"/>
    <w:rsid w:val="00E67E45"/>
    <w:rsid w:val="00E70736"/>
    <w:rsid w:val="00E70A04"/>
    <w:rsid w:val="00E70A33"/>
    <w:rsid w:val="00E70B79"/>
    <w:rsid w:val="00E70DD2"/>
    <w:rsid w:val="00E716AC"/>
    <w:rsid w:val="00E719C5"/>
    <w:rsid w:val="00E719ED"/>
    <w:rsid w:val="00E72091"/>
    <w:rsid w:val="00E72840"/>
    <w:rsid w:val="00E72BCF"/>
    <w:rsid w:val="00E72CC6"/>
    <w:rsid w:val="00E72D2F"/>
    <w:rsid w:val="00E72DA3"/>
    <w:rsid w:val="00E73352"/>
    <w:rsid w:val="00E740EE"/>
    <w:rsid w:val="00E74306"/>
    <w:rsid w:val="00E74FEF"/>
    <w:rsid w:val="00E750AD"/>
    <w:rsid w:val="00E759AB"/>
    <w:rsid w:val="00E75D1F"/>
    <w:rsid w:val="00E76927"/>
    <w:rsid w:val="00E76E38"/>
    <w:rsid w:val="00E76F6B"/>
    <w:rsid w:val="00E779E9"/>
    <w:rsid w:val="00E80059"/>
    <w:rsid w:val="00E8042C"/>
    <w:rsid w:val="00E808D9"/>
    <w:rsid w:val="00E80CDD"/>
    <w:rsid w:val="00E81000"/>
    <w:rsid w:val="00E8162A"/>
    <w:rsid w:val="00E81984"/>
    <w:rsid w:val="00E82036"/>
    <w:rsid w:val="00E820E0"/>
    <w:rsid w:val="00E823D8"/>
    <w:rsid w:val="00E82955"/>
    <w:rsid w:val="00E82CB9"/>
    <w:rsid w:val="00E8365A"/>
    <w:rsid w:val="00E839BD"/>
    <w:rsid w:val="00E83D96"/>
    <w:rsid w:val="00E8426E"/>
    <w:rsid w:val="00E8499A"/>
    <w:rsid w:val="00E84C5C"/>
    <w:rsid w:val="00E84FBE"/>
    <w:rsid w:val="00E851C8"/>
    <w:rsid w:val="00E854F7"/>
    <w:rsid w:val="00E8644E"/>
    <w:rsid w:val="00E86CBA"/>
    <w:rsid w:val="00E8733E"/>
    <w:rsid w:val="00E87348"/>
    <w:rsid w:val="00E87791"/>
    <w:rsid w:val="00E87969"/>
    <w:rsid w:val="00E90241"/>
    <w:rsid w:val="00E9049B"/>
    <w:rsid w:val="00E906DC"/>
    <w:rsid w:val="00E90A62"/>
    <w:rsid w:val="00E90D84"/>
    <w:rsid w:val="00E90E17"/>
    <w:rsid w:val="00E912A8"/>
    <w:rsid w:val="00E92170"/>
    <w:rsid w:val="00E922CA"/>
    <w:rsid w:val="00E9236F"/>
    <w:rsid w:val="00E92B00"/>
    <w:rsid w:val="00E92C21"/>
    <w:rsid w:val="00E92FA8"/>
    <w:rsid w:val="00E9381A"/>
    <w:rsid w:val="00E93A7F"/>
    <w:rsid w:val="00E93B64"/>
    <w:rsid w:val="00E93DC8"/>
    <w:rsid w:val="00E941E0"/>
    <w:rsid w:val="00E94699"/>
    <w:rsid w:val="00E94F8F"/>
    <w:rsid w:val="00E954E3"/>
    <w:rsid w:val="00E95AE4"/>
    <w:rsid w:val="00E9611E"/>
    <w:rsid w:val="00E9616B"/>
    <w:rsid w:val="00E9667C"/>
    <w:rsid w:val="00E975FC"/>
    <w:rsid w:val="00E9777A"/>
    <w:rsid w:val="00E97C54"/>
    <w:rsid w:val="00EA1653"/>
    <w:rsid w:val="00EA1842"/>
    <w:rsid w:val="00EA184B"/>
    <w:rsid w:val="00EA1F0C"/>
    <w:rsid w:val="00EA1FB8"/>
    <w:rsid w:val="00EA22D1"/>
    <w:rsid w:val="00EA23E8"/>
    <w:rsid w:val="00EA3E2D"/>
    <w:rsid w:val="00EA48F9"/>
    <w:rsid w:val="00EA49FB"/>
    <w:rsid w:val="00EA4CE9"/>
    <w:rsid w:val="00EA4DD2"/>
    <w:rsid w:val="00EA4E5B"/>
    <w:rsid w:val="00EA563F"/>
    <w:rsid w:val="00EA6447"/>
    <w:rsid w:val="00EA667E"/>
    <w:rsid w:val="00EA6DFD"/>
    <w:rsid w:val="00EA6FB0"/>
    <w:rsid w:val="00EA7000"/>
    <w:rsid w:val="00EA761E"/>
    <w:rsid w:val="00EA7964"/>
    <w:rsid w:val="00EA79E9"/>
    <w:rsid w:val="00EA7B93"/>
    <w:rsid w:val="00EA7D37"/>
    <w:rsid w:val="00EB00AA"/>
    <w:rsid w:val="00EB06F3"/>
    <w:rsid w:val="00EB0BC4"/>
    <w:rsid w:val="00EB111C"/>
    <w:rsid w:val="00EB11AF"/>
    <w:rsid w:val="00EB1328"/>
    <w:rsid w:val="00EB15EB"/>
    <w:rsid w:val="00EB1748"/>
    <w:rsid w:val="00EB1AF8"/>
    <w:rsid w:val="00EB2242"/>
    <w:rsid w:val="00EB22A1"/>
    <w:rsid w:val="00EB25F1"/>
    <w:rsid w:val="00EB2849"/>
    <w:rsid w:val="00EB2B93"/>
    <w:rsid w:val="00EB318F"/>
    <w:rsid w:val="00EB3B70"/>
    <w:rsid w:val="00EB3C72"/>
    <w:rsid w:val="00EB3EE1"/>
    <w:rsid w:val="00EB41DF"/>
    <w:rsid w:val="00EB485C"/>
    <w:rsid w:val="00EB4D84"/>
    <w:rsid w:val="00EB557C"/>
    <w:rsid w:val="00EB56CA"/>
    <w:rsid w:val="00EB57E1"/>
    <w:rsid w:val="00EB5801"/>
    <w:rsid w:val="00EB59E2"/>
    <w:rsid w:val="00EB5DA3"/>
    <w:rsid w:val="00EB6092"/>
    <w:rsid w:val="00EB6509"/>
    <w:rsid w:val="00EB77D7"/>
    <w:rsid w:val="00EB77EB"/>
    <w:rsid w:val="00EB780D"/>
    <w:rsid w:val="00EB798D"/>
    <w:rsid w:val="00EC0397"/>
    <w:rsid w:val="00EC04A7"/>
    <w:rsid w:val="00EC0CE8"/>
    <w:rsid w:val="00EC0DEE"/>
    <w:rsid w:val="00EC0F98"/>
    <w:rsid w:val="00EC13AA"/>
    <w:rsid w:val="00EC2859"/>
    <w:rsid w:val="00EC2B82"/>
    <w:rsid w:val="00EC2E80"/>
    <w:rsid w:val="00EC2F3D"/>
    <w:rsid w:val="00EC30A3"/>
    <w:rsid w:val="00EC316E"/>
    <w:rsid w:val="00EC4028"/>
    <w:rsid w:val="00EC420B"/>
    <w:rsid w:val="00EC466D"/>
    <w:rsid w:val="00EC49BF"/>
    <w:rsid w:val="00EC4A3E"/>
    <w:rsid w:val="00EC4F36"/>
    <w:rsid w:val="00EC4F37"/>
    <w:rsid w:val="00EC5DE8"/>
    <w:rsid w:val="00EC62F8"/>
    <w:rsid w:val="00EC6558"/>
    <w:rsid w:val="00EC67FD"/>
    <w:rsid w:val="00EC68FC"/>
    <w:rsid w:val="00EC6AC5"/>
    <w:rsid w:val="00EC6CA5"/>
    <w:rsid w:val="00EC6EAD"/>
    <w:rsid w:val="00EC71D3"/>
    <w:rsid w:val="00EC7E60"/>
    <w:rsid w:val="00EC7EA5"/>
    <w:rsid w:val="00ED0C6F"/>
    <w:rsid w:val="00ED1081"/>
    <w:rsid w:val="00ED1D6E"/>
    <w:rsid w:val="00ED207C"/>
    <w:rsid w:val="00ED26F2"/>
    <w:rsid w:val="00ED2842"/>
    <w:rsid w:val="00ED2B0B"/>
    <w:rsid w:val="00ED35B0"/>
    <w:rsid w:val="00ED383E"/>
    <w:rsid w:val="00ED3AB2"/>
    <w:rsid w:val="00ED4404"/>
    <w:rsid w:val="00ED5135"/>
    <w:rsid w:val="00ED5AB4"/>
    <w:rsid w:val="00ED625D"/>
    <w:rsid w:val="00ED66A0"/>
    <w:rsid w:val="00ED671A"/>
    <w:rsid w:val="00ED6830"/>
    <w:rsid w:val="00ED6CF5"/>
    <w:rsid w:val="00ED70AE"/>
    <w:rsid w:val="00ED7533"/>
    <w:rsid w:val="00ED779E"/>
    <w:rsid w:val="00ED78AE"/>
    <w:rsid w:val="00ED7E6C"/>
    <w:rsid w:val="00ED7EC1"/>
    <w:rsid w:val="00EE005B"/>
    <w:rsid w:val="00EE005D"/>
    <w:rsid w:val="00EE0472"/>
    <w:rsid w:val="00EE148A"/>
    <w:rsid w:val="00EE1522"/>
    <w:rsid w:val="00EE1F85"/>
    <w:rsid w:val="00EE211E"/>
    <w:rsid w:val="00EE2147"/>
    <w:rsid w:val="00EE2416"/>
    <w:rsid w:val="00EE2B77"/>
    <w:rsid w:val="00EE2F64"/>
    <w:rsid w:val="00EE3536"/>
    <w:rsid w:val="00EE3608"/>
    <w:rsid w:val="00EE3EA0"/>
    <w:rsid w:val="00EE4487"/>
    <w:rsid w:val="00EE44EF"/>
    <w:rsid w:val="00EE48DB"/>
    <w:rsid w:val="00EE5521"/>
    <w:rsid w:val="00EE576E"/>
    <w:rsid w:val="00EE6100"/>
    <w:rsid w:val="00EE6147"/>
    <w:rsid w:val="00EE6A23"/>
    <w:rsid w:val="00EE6FE0"/>
    <w:rsid w:val="00EE7095"/>
    <w:rsid w:val="00EF06FA"/>
    <w:rsid w:val="00EF0AE9"/>
    <w:rsid w:val="00EF0B6D"/>
    <w:rsid w:val="00EF0CAA"/>
    <w:rsid w:val="00EF0CBE"/>
    <w:rsid w:val="00EF1122"/>
    <w:rsid w:val="00EF1238"/>
    <w:rsid w:val="00EF1483"/>
    <w:rsid w:val="00EF19BD"/>
    <w:rsid w:val="00EF1A5B"/>
    <w:rsid w:val="00EF1A6E"/>
    <w:rsid w:val="00EF1B06"/>
    <w:rsid w:val="00EF1FCE"/>
    <w:rsid w:val="00EF2122"/>
    <w:rsid w:val="00EF21F9"/>
    <w:rsid w:val="00EF231B"/>
    <w:rsid w:val="00EF29A6"/>
    <w:rsid w:val="00EF3128"/>
    <w:rsid w:val="00EF3352"/>
    <w:rsid w:val="00EF3603"/>
    <w:rsid w:val="00EF3E39"/>
    <w:rsid w:val="00EF3EAE"/>
    <w:rsid w:val="00EF4BDB"/>
    <w:rsid w:val="00EF5BA2"/>
    <w:rsid w:val="00EF5F76"/>
    <w:rsid w:val="00EF67AF"/>
    <w:rsid w:val="00EF6850"/>
    <w:rsid w:val="00EF6E54"/>
    <w:rsid w:val="00EF6E78"/>
    <w:rsid w:val="00EF6EA3"/>
    <w:rsid w:val="00F004A4"/>
    <w:rsid w:val="00F00540"/>
    <w:rsid w:val="00F006C6"/>
    <w:rsid w:val="00F006E8"/>
    <w:rsid w:val="00F00AAC"/>
    <w:rsid w:val="00F011F0"/>
    <w:rsid w:val="00F01687"/>
    <w:rsid w:val="00F02291"/>
    <w:rsid w:val="00F02864"/>
    <w:rsid w:val="00F02E03"/>
    <w:rsid w:val="00F02EBC"/>
    <w:rsid w:val="00F030B6"/>
    <w:rsid w:val="00F030C5"/>
    <w:rsid w:val="00F0358E"/>
    <w:rsid w:val="00F03B60"/>
    <w:rsid w:val="00F03BE1"/>
    <w:rsid w:val="00F03C08"/>
    <w:rsid w:val="00F03C67"/>
    <w:rsid w:val="00F03E92"/>
    <w:rsid w:val="00F0416E"/>
    <w:rsid w:val="00F044DE"/>
    <w:rsid w:val="00F048A2"/>
    <w:rsid w:val="00F0497A"/>
    <w:rsid w:val="00F04E32"/>
    <w:rsid w:val="00F04EBA"/>
    <w:rsid w:val="00F0515E"/>
    <w:rsid w:val="00F052EA"/>
    <w:rsid w:val="00F0534E"/>
    <w:rsid w:val="00F0562D"/>
    <w:rsid w:val="00F057FB"/>
    <w:rsid w:val="00F05A33"/>
    <w:rsid w:val="00F06559"/>
    <w:rsid w:val="00F065D3"/>
    <w:rsid w:val="00F06BEB"/>
    <w:rsid w:val="00F0750C"/>
    <w:rsid w:val="00F07844"/>
    <w:rsid w:val="00F078BD"/>
    <w:rsid w:val="00F07A36"/>
    <w:rsid w:val="00F07BC4"/>
    <w:rsid w:val="00F07EFD"/>
    <w:rsid w:val="00F07F2B"/>
    <w:rsid w:val="00F10114"/>
    <w:rsid w:val="00F10EE6"/>
    <w:rsid w:val="00F10F14"/>
    <w:rsid w:val="00F117CC"/>
    <w:rsid w:val="00F11B17"/>
    <w:rsid w:val="00F11B89"/>
    <w:rsid w:val="00F12381"/>
    <w:rsid w:val="00F12564"/>
    <w:rsid w:val="00F1317E"/>
    <w:rsid w:val="00F132BD"/>
    <w:rsid w:val="00F148D3"/>
    <w:rsid w:val="00F14B58"/>
    <w:rsid w:val="00F1517E"/>
    <w:rsid w:val="00F15708"/>
    <w:rsid w:val="00F15B67"/>
    <w:rsid w:val="00F15D33"/>
    <w:rsid w:val="00F16104"/>
    <w:rsid w:val="00F16106"/>
    <w:rsid w:val="00F1659E"/>
    <w:rsid w:val="00F16D14"/>
    <w:rsid w:val="00F17161"/>
    <w:rsid w:val="00F17541"/>
    <w:rsid w:val="00F1771A"/>
    <w:rsid w:val="00F17DC0"/>
    <w:rsid w:val="00F2021D"/>
    <w:rsid w:val="00F20437"/>
    <w:rsid w:val="00F20541"/>
    <w:rsid w:val="00F20668"/>
    <w:rsid w:val="00F207EB"/>
    <w:rsid w:val="00F20813"/>
    <w:rsid w:val="00F20954"/>
    <w:rsid w:val="00F20B99"/>
    <w:rsid w:val="00F215BC"/>
    <w:rsid w:val="00F21D4D"/>
    <w:rsid w:val="00F222FA"/>
    <w:rsid w:val="00F227B3"/>
    <w:rsid w:val="00F22D20"/>
    <w:rsid w:val="00F22E50"/>
    <w:rsid w:val="00F230C1"/>
    <w:rsid w:val="00F236E0"/>
    <w:rsid w:val="00F241AA"/>
    <w:rsid w:val="00F24563"/>
    <w:rsid w:val="00F2494F"/>
    <w:rsid w:val="00F25108"/>
    <w:rsid w:val="00F25161"/>
    <w:rsid w:val="00F26610"/>
    <w:rsid w:val="00F26A9F"/>
    <w:rsid w:val="00F26AB1"/>
    <w:rsid w:val="00F278D6"/>
    <w:rsid w:val="00F27C61"/>
    <w:rsid w:val="00F27F8D"/>
    <w:rsid w:val="00F30070"/>
    <w:rsid w:val="00F3012A"/>
    <w:rsid w:val="00F3032C"/>
    <w:rsid w:val="00F30761"/>
    <w:rsid w:val="00F30CC5"/>
    <w:rsid w:val="00F30D15"/>
    <w:rsid w:val="00F31065"/>
    <w:rsid w:val="00F3119B"/>
    <w:rsid w:val="00F3152D"/>
    <w:rsid w:val="00F31901"/>
    <w:rsid w:val="00F31B48"/>
    <w:rsid w:val="00F320D0"/>
    <w:rsid w:val="00F3222F"/>
    <w:rsid w:val="00F35B35"/>
    <w:rsid w:val="00F35C4D"/>
    <w:rsid w:val="00F35C9A"/>
    <w:rsid w:val="00F35E63"/>
    <w:rsid w:val="00F36003"/>
    <w:rsid w:val="00F362D4"/>
    <w:rsid w:val="00F36368"/>
    <w:rsid w:val="00F36491"/>
    <w:rsid w:val="00F365CE"/>
    <w:rsid w:val="00F36A9B"/>
    <w:rsid w:val="00F36CAE"/>
    <w:rsid w:val="00F37B5E"/>
    <w:rsid w:val="00F37DDA"/>
    <w:rsid w:val="00F4012A"/>
    <w:rsid w:val="00F4073B"/>
    <w:rsid w:val="00F40D9A"/>
    <w:rsid w:val="00F40ED8"/>
    <w:rsid w:val="00F40F03"/>
    <w:rsid w:val="00F41446"/>
    <w:rsid w:val="00F414F0"/>
    <w:rsid w:val="00F41B44"/>
    <w:rsid w:val="00F42044"/>
    <w:rsid w:val="00F44438"/>
    <w:rsid w:val="00F4454D"/>
    <w:rsid w:val="00F449D5"/>
    <w:rsid w:val="00F44D90"/>
    <w:rsid w:val="00F44EAD"/>
    <w:rsid w:val="00F45230"/>
    <w:rsid w:val="00F45271"/>
    <w:rsid w:val="00F4528A"/>
    <w:rsid w:val="00F459F4"/>
    <w:rsid w:val="00F464C4"/>
    <w:rsid w:val="00F46AB6"/>
    <w:rsid w:val="00F47F32"/>
    <w:rsid w:val="00F47FEF"/>
    <w:rsid w:val="00F502A3"/>
    <w:rsid w:val="00F50A9B"/>
    <w:rsid w:val="00F50ED0"/>
    <w:rsid w:val="00F521EF"/>
    <w:rsid w:val="00F522DC"/>
    <w:rsid w:val="00F5299F"/>
    <w:rsid w:val="00F52DD5"/>
    <w:rsid w:val="00F52E43"/>
    <w:rsid w:val="00F52EC3"/>
    <w:rsid w:val="00F53859"/>
    <w:rsid w:val="00F54497"/>
    <w:rsid w:val="00F54822"/>
    <w:rsid w:val="00F555E8"/>
    <w:rsid w:val="00F55D2F"/>
    <w:rsid w:val="00F56710"/>
    <w:rsid w:val="00F5691A"/>
    <w:rsid w:val="00F56E4B"/>
    <w:rsid w:val="00F57CE3"/>
    <w:rsid w:val="00F6046A"/>
    <w:rsid w:val="00F60A69"/>
    <w:rsid w:val="00F60B5B"/>
    <w:rsid w:val="00F60FBB"/>
    <w:rsid w:val="00F61013"/>
    <w:rsid w:val="00F61092"/>
    <w:rsid w:val="00F614C6"/>
    <w:rsid w:val="00F61BC3"/>
    <w:rsid w:val="00F62318"/>
    <w:rsid w:val="00F62B5B"/>
    <w:rsid w:val="00F62C02"/>
    <w:rsid w:val="00F63672"/>
    <w:rsid w:val="00F642CF"/>
    <w:rsid w:val="00F644D4"/>
    <w:rsid w:val="00F64976"/>
    <w:rsid w:val="00F64C03"/>
    <w:rsid w:val="00F64CAE"/>
    <w:rsid w:val="00F64DC6"/>
    <w:rsid w:val="00F6506A"/>
    <w:rsid w:val="00F65DF5"/>
    <w:rsid w:val="00F66471"/>
    <w:rsid w:val="00F668AD"/>
    <w:rsid w:val="00F668CD"/>
    <w:rsid w:val="00F66BC2"/>
    <w:rsid w:val="00F6747F"/>
    <w:rsid w:val="00F6775A"/>
    <w:rsid w:val="00F67988"/>
    <w:rsid w:val="00F679DF"/>
    <w:rsid w:val="00F67C9D"/>
    <w:rsid w:val="00F70871"/>
    <w:rsid w:val="00F714E5"/>
    <w:rsid w:val="00F71967"/>
    <w:rsid w:val="00F71C24"/>
    <w:rsid w:val="00F71CFF"/>
    <w:rsid w:val="00F72B10"/>
    <w:rsid w:val="00F72DA7"/>
    <w:rsid w:val="00F7332C"/>
    <w:rsid w:val="00F73B78"/>
    <w:rsid w:val="00F74AE2"/>
    <w:rsid w:val="00F758F8"/>
    <w:rsid w:val="00F761DB"/>
    <w:rsid w:val="00F7629E"/>
    <w:rsid w:val="00F762D0"/>
    <w:rsid w:val="00F763ED"/>
    <w:rsid w:val="00F76686"/>
    <w:rsid w:val="00F768F4"/>
    <w:rsid w:val="00F76D15"/>
    <w:rsid w:val="00F77849"/>
    <w:rsid w:val="00F8039C"/>
    <w:rsid w:val="00F803AD"/>
    <w:rsid w:val="00F8115A"/>
    <w:rsid w:val="00F8174B"/>
    <w:rsid w:val="00F81D84"/>
    <w:rsid w:val="00F82355"/>
    <w:rsid w:val="00F827E0"/>
    <w:rsid w:val="00F8368E"/>
    <w:rsid w:val="00F8387B"/>
    <w:rsid w:val="00F83899"/>
    <w:rsid w:val="00F83B77"/>
    <w:rsid w:val="00F840AD"/>
    <w:rsid w:val="00F84228"/>
    <w:rsid w:val="00F844C4"/>
    <w:rsid w:val="00F85C34"/>
    <w:rsid w:val="00F85C99"/>
    <w:rsid w:val="00F86822"/>
    <w:rsid w:val="00F86973"/>
    <w:rsid w:val="00F8712F"/>
    <w:rsid w:val="00F8722D"/>
    <w:rsid w:val="00F87F68"/>
    <w:rsid w:val="00F90137"/>
    <w:rsid w:val="00F903BF"/>
    <w:rsid w:val="00F9106D"/>
    <w:rsid w:val="00F916A0"/>
    <w:rsid w:val="00F9179D"/>
    <w:rsid w:val="00F9197E"/>
    <w:rsid w:val="00F92010"/>
    <w:rsid w:val="00F92231"/>
    <w:rsid w:val="00F92276"/>
    <w:rsid w:val="00F92468"/>
    <w:rsid w:val="00F928B1"/>
    <w:rsid w:val="00F92CC2"/>
    <w:rsid w:val="00F93357"/>
    <w:rsid w:val="00F936DF"/>
    <w:rsid w:val="00F93AFA"/>
    <w:rsid w:val="00F93C48"/>
    <w:rsid w:val="00F9463C"/>
    <w:rsid w:val="00F94B01"/>
    <w:rsid w:val="00F9546C"/>
    <w:rsid w:val="00F95B40"/>
    <w:rsid w:val="00F95B5B"/>
    <w:rsid w:val="00F95FEE"/>
    <w:rsid w:val="00F966FA"/>
    <w:rsid w:val="00F96D2F"/>
    <w:rsid w:val="00F96E5C"/>
    <w:rsid w:val="00F973EA"/>
    <w:rsid w:val="00F9793F"/>
    <w:rsid w:val="00F97E07"/>
    <w:rsid w:val="00FA0067"/>
    <w:rsid w:val="00FA085A"/>
    <w:rsid w:val="00FA0E9D"/>
    <w:rsid w:val="00FA12B7"/>
    <w:rsid w:val="00FA18E2"/>
    <w:rsid w:val="00FA1E51"/>
    <w:rsid w:val="00FA24A5"/>
    <w:rsid w:val="00FA25F2"/>
    <w:rsid w:val="00FA263D"/>
    <w:rsid w:val="00FA27A5"/>
    <w:rsid w:val="00FA2B5A"/>
    <w:rsid w:val="00FA3264"/>
    <w:rsid w:val="00FA33CB"/>
    <w:rsid w:val="00FA3605"/>
    <w:rsid w:val="00FA3E9A"/>
    <w:rsid w:val="00FA4320"/>
    <w:rsid w:val="00FA474F"/>
    <w:rsid w:val="00FA49C5"/>
    <w:rsid w:val="00FA4B62"/>
    <w:rsid w:val="00FA4FF4"/>
    <w:rsid w:val="00FA5BA8"/>
    <w:rsid w:val="00FA5C3C"/>
    <w:rsid w:val="00FA5E32"/>
    <w:rsid w:val="00FA63D7"/>
    <w:rsid w:val="00FA65F4"/>
    <w:rsid w:val="00FA6A93"/>
    <w:rsid w:val="00FA6B61"/>
    <w:rsid w:val="00FA6DA9"/>
    <w:rsid w:val="00FA7E01"/>
    <w:rsid w:val="00FA7E2E"/>
    <w:rsid w:val="00FB0231"/>
    <w:rsid w:val="00FB0395"/>
    <w:rsid w:val="00FB03B6"/>
    <w:rsid w:val="00FB0505"/>
    <w:rsid w:val="00FB0A67"/>
    <w:rsid w:val="00FB0E9F"/>
    <w:rsid w:val="00FB0F8A"/>
    <w:rsid w:val="00FB1095"/>
    <w:rsid w:val="00FB1378"/>
    <w:rsid w:val="00FB16F1"/>
    <w:rsid w:val="00FB2584"/>
    <w:rsid w:val="00FB276C"/>
    <w:rsid w:val="00FB2D7B"/>
    <w:rsid w:val="00FB2FA6"/>
    <w:rsid w:val="00FB3537"/>
    <w:rsid w:val="00FB4611"/>
    <w:rsid w:val="00FB505C"/>
    <w:rsid w:val="00FB5236"/>
    <w:rsid w:val="00FB5A21"/>
    <w:rsid w:val="00FB6619"/>
    <w:rsid w:val="00FB6949"/>
    <w:rsid w:val="00FB6A19"/>
    <w:rsid w:val="00FB6C31"/>
    <w:rsid w:val="00FB7086"/>
    <w:rsid w:val="00FB7101"/>
    <w:rsid w:val="00FB7248"/>
    <w:rsid w:val="00FB7317"/>
    <w:rsid w:val="00FC1EF0"/>
    <w:rsid w:val="00FC2118"/>
    <w:rsid w:val="00FC2A56"/>
    <w:rsid w:val="00FC35CA"/>
    <w:rsid w:val="00FC3985"/>
    <w:rsid w:val="00FC3A7A"/>
    <w:rsid w:val="00FC3E81"/>
    <w:rsid w:val="00FC3E99"/>
    <w:rsid w:val="00FC5273"/>
    <w:rsid w:val="00FC53AB"/>
    <w:rsid w:val="00FC5472"/>
    <w:rsid w:val="00FC5ED7"/>
    <w:rsid w:val="00FC5FC4"/>
    <w:rsid w:val="00FC603D"/>
    <w:rsid w:val="00FC6208"/>
    <w:rsid w:val="00FC63D9"/>
    <w:rsid w:val="00FC6669"/>
    <w:rsid w:val="00FC6793"/>
    <w:rsid w:val="00FC684C"/>
    <w:rsid w:val="00FC6A5F"/>
    <w:rsid w:val="00FC6FE3"/>
    <w:rsid w:val="00FC7A3D"/>
    <w:rsid w:val="00FD017E"/>
    <w:rsid w:val="00FD0508"/>
    <w:rsid w:val="00FD0754"/>
    <w:rsid w:val="00FD0AA5"/>
    <w:rsid w:val="00FD13A8"/>
    <w:rsid w:val="00FD155D"/>
    <w:rsid w:val="00FD162D"/>
    <w:rsid w:val="00FD1773"/>
    <w:rsid w:val="00FD1B56"/>
    <w:rsid w:val="00FD29C2"/>
    <w:rsid w:val="00FD29EE"/>
    <w:rsid w:val="00FD36EC"/>
    <w:rsid w:val="00FD370C"/>
    <w:rsid w:val="00FD3733"/>
    <w:rsid w:val="00FD3820"/>
    <w:rsid w:val="00FD3E01"/>
    <w:rsid w:val="00FD40F9"/>
    <w:rsid w:val="00FD4701"/>
    <w:rsid w:val="00FD4808"/>
    <w:rsid w:val="00FD4C24"/>
    <w:rsid w:val="00FD5A49"/>
    <w:rsid w:val="00FD6733"/>
    <w:rsid w:val="00FD6B79"/>
    <w:rsid w:val="00FD7891"/>
    <w:rsid w:val="00FE0202"/>
    <w:rsid w:val="00FE024A"/>
    <w:rsid w:val="00FE03C8"/>
    <w:rsid w:val="00FE0929"/>
    <w:rsid w:val="00FE0ED4"/>
    <w:rsid w:val="00FE1D4F"/>
    <w:rsid w:val="00FE1FC7"/>
    <w:rsid w:val="00FE20C7"/>
    <w:rsid w:val="00FE2678"/>
    <w:rsid w:val="00FE2A26"/>
    <w:rsid w:val="00FE2EF7"/>
    <w:rsid w:val="00FE33AE"/>
    <w:rsid w:val="00FE35F9"/>
    <w:rsid w:val="00FE3801"/>
    <w:rsid w:val="00FE3FDF"/>
    <w:rsid w:val="00FE416F"/>
    <w:rsid w:val="00FE49DE"/>
    <w:rsid w:val="00FE579A"/>
    <w:rsid w:val="00FE62C5"/>
    <w:rsid w:val="00FE66A4"/>
    <w:rsid w:val="00FE6BB4"/>
    <w:rsid w:val="00FE6F55"/>
    <w:rsid w:val="00FE6F7B"/>
    <w:rsid w:val="00FE7DB8"/>
    <w:rsid w:val="00FF0298"/>
    <w:rsid w:val="00FF131D"/>
    <w:rsid w:val="00FF16F5"/>
    <w:rsid w:val="00FF1A57"/>
    <w:rsid w:val="00FF1D70"/>
    <w:rsid w:val="00FF2077"/>
    <w:rsid w:val="00FF227E"/>
    <w:rsid w:val="00FF2478"/>
    <w:rsid w:val="00FF2C4B"/>
    <w:rsid w:val="00FF2ECB"/>
    <w:rsid w:val="00FF3569"/>
    <w:rsid w:val="00FF3F09"/>
    <w:rsid w:val="00FF3F65"/>
    <w:rsid w:val="00FF40F1"/>
    <w:rsid w:val="00FF4306"/>
    <w:rsid w:val="00FF4462"/>
    <w:rsid w:val="00FF59D6"/>
    <w:rsid w:val="00FF5D2D"/>
    <w:rsid w:val="00FF5D57"/>
    <w:rsid w:val="00FF5D8E"/>
    <w:rsid w:val="00FF662F"/>
    <w:rsid w:val="00FF6D28"/>
    <w:rsid w:val="00FF6D94"/>
    <w:rsid w:val="00FF6DD4"/>
    <w:rsid w:val="00FF77CA"/>
    <w:rsid w:val="00FF7B6E"/>
    <w:rsid w:val="00FF7E04"/>
    <w:rsid w:val="00FF7F2D"/>
    <w:rsid w:val="01034EC1"/>
    <w:rsid w:val="01161381"/>
    <w:rsid w:val="013C690E"/>
    <w:rsid w:val="014827ED"/>
    <w:rsid w:val="01675739"/>
    <w:rsid w:val="01931D09"/>
    <w:rsid w:val="01C47DAA"/>
    <w:rsid w:val="01CA5CC8"/>
    <w:rsid w:val="01CC1A40"/>
    <w:rsid w:val="02251150"/>
    <w:rsid w:val="02574D41"/>
    <w:rsid w:val="026305F6"/>
    <w:rsid w:val="02654FC5"/>
    <w:rsid w:val="02897931"/>
    <w:rsid w:val="028E672C"/>
    <w:rsid w:val="02B250DA"/>
    <w:rsid w:val="02C44E0D"/>
    <w:rsid w:val="02D84414"/>
    <w:rsid w:val="02ED7EC0"/>
    <w:rsid w:val="02FA438B"/>
    <w:rsid w:val="030C1F48"/>
    <w:rsid w:val="034A3564"/>
    <w:rsid w:val="03830824"/>
    <w:rsid w:val="03AD4CF8"/>
    <w:rsid w:val="03B46C2F"/>
    <w:rsid w:val="03BD489A"/>
    <w:rsid w:val="03BE7AAE"/>
    <w:rsid w:val="03D7775F"/>
    <w:rsid w:val="03D96696"/>
    <w:rsid w:val="03FA6D38"/>
    <w:rsid w:val="040F20B8"/>
    <w:rsid w:val="04187FA4"/>
    <w:rsid w:val="042E0790"/>
    <w:rsid w:val="04642403"/>
    <w:rsid w:val="046E6DDE"/>
    <w:rsid w:val="047120E6"/>
    <w:rsid w:val="04B520C2"/>
    <w:rsid w:val="04C01397"/>
    <w:rsid w:val="04F2751D"/>
    <w:rsid w:val="04F96FF0"/>
    <w:rsid w:val="051E53CA"/>
    <w:rsid w:val="0523406D"/>
    <w:rsid w:val="05370260"/>
    <w:rsid w:val="05791EDF"/>
    <w:rsid w:val="058014BF"/>
    <w:rsid w:val="06167EA8"/>
    <w:rsid w:val="06320490"/>
    <w:rsid w:val="063578F3"/>
    <w:rsid w:val="06414539"/>
    <w:rsid w:val="06744454"/>
    <w:rsid w:val="067B5FB4"/>
    <w:rsid w:val="069D112F"/>
    <w:rsid w:val="06B331CE"/>
    <w:rsid w:val="06C62F02"/>
    <w:rsid w:val="06CB676A"/>
    <w:rsid w:val="06DF5D71"/>
    <w:rsid w:val="07035F04"/>
    <w:rsid w:val="07462294"/>
    <w:rsid w:val="07666493"/>
    <w:rsid w:val="07754928"/>
    <w:rsid w:val="07B0770E"/>
    <w:rsid w:val="07F7358F"/>
    <w:rsid w:val="07FE3434"/>
    <w:rsid w:val="080C0DE8"/>
    <w:rsid w:val="08387E2F"/>
    <w:rsid w:val="0898267C"/>
    <w:rsid w:val="08AE00F1"/>
    <w:rsid w:val="08D61E31"/>
    <w:rsid w:val="08DD4532"/>
    <w:rsid w:val="08DF64FD"/>
    <w:rsid w:val="092B7994"/>
    <w:rsid w:val="093F0D49"/>
    <w:rsid w:val="09843E60"/>
    <w:rsid w:val="09A70349"/>
    <w:rsid w:val="09AD410D"/>
    <w:rsid w:val="09E747E3"/>
    <w:rsid w:val="09ED18B2"/>
    <w:rsid w:val="0A255F1A"/>
    <w:rsid w:val="0A2C751F"/>
    <w:rsid w:val="0A5711EF"/>
    <w:rsid w:val="0A634F0B"/>
    <w:rsid w:val="0A670558"/>
    <w:rsid w:val="0A99033B"/>
    <w:rsid w:val="0B0264D2"/>
    <w:rsid w:val="0B163D2C"/>
    <w:rsid w:val="0B2D6764"/>
    <w:rsid w:val="0B646F99"/>
    <w:rsid w:val="0B860EB1"/>
    <w:rsid w:val="0BD53BE7"/>
    <w:rsid w:val="0BD95485"/>
    <w:rsid w:val="0BEF4CA9"/>
    <w:rsid w:val="0C3E353A"/>
    <w:rsid w:val="0C590374"/>
    <w:rsid w:val="0C95086D"/>
    <w:rsid w:val="0C9C64B3"/>
    <w:rsid w:val="0CAC4948"/>
    <w:rsid w:val="0CDB6FDB"/>
    <w:rsid w:val="0CFB2875"/>
    <w:rsid w:val="0D2A3ABE"/>
    <w:rsid w:val="0D3D1A44"/>
    <w:rsid w:val="0DD73C46"/>
    <w:rsid w:val="0E0163C8"/>
    <w:rsid w:val="0E034A3B"/>
    <w:rsid w:val="0E4137B5"/>
    <w:rsid w:val="0E453D70"/>
    <w:rsid w:val="0E4F7C80"/>
    <w:rsid w:val="0E574D87"/>
    <w:rsid w:val="0EAF4BC3"/>
    <w:rsid w:val="0EBC4ED5"/>
    <w:rsid w:val="0EBD108E"/>
    <w:rsid w:val="0ED8043D"/>
    <w:rsid w:val="0EDD1871"/>
    <w:rsid w:val="0F201938"/>
    <w:rsid w:val="0F615EBD"/>
    <w:rsid w:val="0F9D4A1B"/>
    <w:rsid w:val="0FB705B3"/>
    <w:rsid w:val="1017657C"/>
    <w:rsid w:val="102B0279"/>
    <w:rsid w:val="103F5AD3"/>
    <w:rsid w:val="104B26C9"/>
    <w:rsid w:val="1057106E"/>
    <w:rsid w:val="10AF0D4E"/>
    <w:rsid w:val="10D95F27"/>
    <w:rsid w:val="10F9281E"/>
    <w:rsid w:val="110A069A"/>
    <w:rsid w:val="11480062"/>
    <w:rsid w:val="11845E93"/>
    <w:rsid w:val="11916802"/>
    <w:rsid w:val="11AE4CBE"/>
    <w:rsid w:val="11B17C1D"/>
    <w:rsid w:val="11BA7B07"/>
    <w:rsid w:val="11EB5F12"/>
    <w:rsid w:val="11EF5EC1"/>
    <w:rsid w:val="11FC1EDA"/>
    <w:rsid w:val="121511E1"/>
    <w:rsid w:val="122338FE"/>
    <w:rsid w:val="1250095A"/>
    <w:rsid w:val="12597320"/>
    <w:rsid w:val="127952CC"/>
    <w:rsid w:val="127C11B0"/>
    <w:rsid w:val="12A56A47"/>
    <w:rsid w:val="12DE15D3"/>
    <w:rsid w:val="12F42BA4"/>
    <w:rsid w:val="130F5C30"/>
    <w:rsid w:val="133B24EE"/>
    <w:rsid w:val="139803DC"/>
    <w:rsid w:val="142350FE"/>
    <w:rsid w:val="1461426A"/>
    <w:rsid w:val="14681A9C"/>
    <w:rsid w:val="14691370"/>
    <w:rsid w:val="155B6F0B"/>
    <w:rsid w:val="15610299"/>
    <w:rsid w:val="156E30FA"/>
    <w:rsid w:val="15AE34DE"/>
    <w:rsid w:val="15C03212"/>
    <w:rsid w:val="15C90318"/>
    <w:rsid w:val="15D6782C"/>
    <w:rsid w:val="1606156C"/>
    <w:rsid w:val="161C0D90"/>
    <w:rsid w:val="16500A3A"/>
    <w:rsid w:val="16610EEA"/>
    <w:rsid w:val="16685D83"/>
    <w:rsid w:val="16922E00"/>
    <w:rsid w:val="169528F0"/>
    <w:rsid w:val="16EE0A94"/>
    <w:rsid w:val="170D502C"/>
    <w:rsid w:val="17163A31"/>
    <w:rsid w:val="172D48D7"/>
    <w:rsid w:val="17451C21"/>
    <w:rsid w:val="17812E3E"/>
    <w:rsid w:val="17D336D0"/>
    <w:rsid w:val="17DB4333"/>
    <w:rsid w:val="17E256C1"/>
    <w:rsid w:val="17ED00EC"/>
    <w:rsid w:val="182B52BA"/>
    <w:rsid w:val="183B1275"/>
    <w:rsid w:val="184D3CED"/>
    <w:rsid w:val="18602A8A"/>
    <w:rsid w:val="18697B91"/>
    <w:rsid w:val="1881137E"/>
    <w:rsid w:val="18B0756E"/>
    <w:rsid w:val="18C66D91"/>
    <w:rsid w:val="18D47700"/>
    <w:rsid w:val="18F558C8"/>
    <w:rsid w:val="19232435"/>
    <w:rsid w:val="19512F8F"/>
    <w:rsid w:val="198F1879"/>
    <w:rsid w:val="19AF7825"/>
    <w:rsid w:val="19BA5A77"/>
    <w:rsid w:val="19C31523"/>
    <w:rsid w:val="19C63549"/>
    <w:rsid w:val="19D11E91"/>
    <w:rsid w:val="19E00D1D"/>
    <w:rsid w:val="19E971DB"/>
    <w:rsid w:val="1A383CBF"/>
    <w:rsid w:val="1A393593"/>
    <w:rsid w:val="1A725422"/>
    <w:rsid w:val="1A78230D"/>
    <w:rsid w:val="1A7F5449"/>
    <w:rsid w:val="1A824F3A"/>
    <w:rsid w:val="1ABD2416"/>
    <w:rsid w:val="1AC217DA"/>
    <w:rsid w:val="1AC92D76"/>
    <w:rsid w:val="1AD03EF7"/>
    <w:rsid w:val="1B0F0EC3"/>
    <w:rsid w:val="1B6F1962"/>
    <w:rsid w:val="1B762CF0"/>
    <w:rsid w:val="1BAD5FE6"/>
    <w:rsid w:val="1BBB41D7"/>
    <w:rsid w:val="1BEA2D97"/>
    <w:rsid w:val="1BEE3AB9"/>
    <w:rsid w:val="1C2C7853"/>
    <w:rsid w:val="1C381D54"/>
    <w:rsid w:val="1C462C0C"/>
    <w:rsid w:val="1C6C3060"/>
    <w:rsid w:val="1C766D20"/>
    <w:rsid w:val="1C844F99"/>
    <w:rsid w:val="1D303373"/>
    <w:rsid w:val="1D65301C"/>
    <w:rsid w:val="1D750D86"/>
    <w:rsid w:val="1DC255B6"/>
    <w:rsid w:val="1DC615E1"/>
    <w:rsid w:val="1E0A7E55"/>
    <w:rsid w:val="1E74728F"/>
    <w:rsid w:val="1E85149C"/>
    <w:rsid w:val="1EAC4C7B"/>
    <w:rsid w:val="1ECC2C27"/>
    <w:rsid w:val="1EDF3841"/>
    <w:rsid w:val="1F1F71FB"/>
    <w:rsid w:val="1F341281"/>
    <w:rsid w:val="1F354C71"/>
    <w:rsid w:val="1FA94D17"/>
    <w:rsid w:val="1FB57B5F"/>
    <w:rsid w:val="1FE12702"/>
    <w:rsid w:val="1FE44472"/>
    <w:rsid w:val="1FFB7C68"/>
    <w:rsid w:val="20344F28"/>
    <w:rsid w:val="20370574"/>
    <w:rsid w:val="20477D81"/>
    <w:rsid w:val="204A64FA"/>
    <w:rsid w:val="205A075B"/>
    <w:rsid w:val="20801F1B"/>
    <w:rsid w:val="2091237A"/>
    <w:rsid w:val="20CD2CFB"/>
    <w:rsid w:val="20CF755B"/>
    <w:rsid w:val="20DB1848"/>
    <w:rsid w:val="20F94EDF"/>
    <w:rsid w:val="212D20A3"/>
    <w:rsid w:val="21404870"/>
    <w:rsid w:val="219263AA"/>
    <w:rsid w:val="21977012"/>
    <w:rsid w:val="21C92576"/>
    <w:rsid w:val="21E46746"/>
    <w:rsid w:val="22123047"/>
    <w:rsid w:val="221674FF"/>
    <w:rsid w:val="221943D6"/>
    <w:rsid w:val="22274D44"/>
    <w:rsid w:val="224D4D75"/>
    <w:rsid w:val="2272638E"/>
    <w:rsid w:val="227E06DD"/>
    <w:rsid w:val="229528BC"/>
    <w:rsid w:val="22DD5403"/>
    <w:rsid w:val="22E5075C"/>
    <w:rsid w:val="23160915"/>
    <w:rsid w:val="23305E7B"/>
    <w:rsid w:val="233D40F4"/>
    <w:rsid w:val="235F22BC"/>
    <w:rsid w:val="237C4C1C"/>
    <w:rsid w:val="2389558B"/>
    <w:rsid w:val="23B41767"/>
    <w:rsid w:val="23B720F8"/>
    <w:rsid w:val="23B73EA6"/>
    <w:rsid w:val="23F15BAD"/>
    <w:rsid w:val="24107A5A"/>
    <w:rsid w:val="24545B99"/>
    <w:rsid w:val="2491139C"/>
    <w:rsid w:val="24C25545"/>
    <w:rsid w:val="24F84776"/>
    <w:rsid w:val="250F386E"/>
    <w:rsid w:val="251A293E"/>
    <w:rsid w:val="25285D38"/>
    <w:rsid w:val="254F38C5"/>
    <w:rsid w:val="256B319A"/>
    <w:rsid w:val="25F72C80"/>
    <w:rsid w:val="2604539D"/>
    <w:rsid w:val="264B2FCC"/>
    <w:rsid w:val="2656428B"/>
    <w:rsid w:val="2674499C"/>
    <w:rsid w:val="2677486B"/>
    <w:rsid w:val="2677791D"/>
    <w:rsid w:val="26926505"/>
    <w:rsid w:val="26A526DC"/>
    <w:rsid w:val="26B26F4A"/>
    <w:rsid w:val="26FE3B9A"/>
    <w:rsid w:val="27196C26"/>
    <w:rsid w:val="272B56AA"/>
    <w:rsid w:val="273A4F05"/>
    <w:rsid w:val="279156F1"/>
    <w:rsid w:val="27D05536"/>
    <w:rsid w:val="27D72D69"/>
    <w:rsid w:val="27E92A9C"/>
    <w:rsid w:val="28100718"/>
    <w:rsid w:val="283D6944"/>
    <w:rsid w:val="285A5748"/>
    <w:rsid w:val="2876480D"/>
    <w:rsid w:val="287A3686"/>
    <w:rsid w:val="28814A83"/>
    <w:rsid w:val="28C57065"/>
    <w:rsid w:val="28FB65E3"/>
    <w:rsid w:val="28FE4325"/>
    <w:rsid w:val="294D7D27"/>
    <w:rsid w:val="295F6AE4"/>
    <w:rsid w:val="29932CBF"/>
    <w:rsid w:val="29982084"/>
    <w:rsid w:val="29C16A0B"/>
    <w:rsid w:val="2A2E0C3A"/>
    <w:rsid w:val="2A56595E"/>
    <w:rsid w:val="2A566386"/>
    <w:rsid w:val="2AB23619"/>
    <w:rsid w:val="2B0100FD"/>
    <w:rsid w:val="2B2B0E7F"/>
    <w:rsid w:val="2B312790"/>
    <w:rsid w:val="2B400742"/>
    <w:rsid w:val="2B434271"/>
    <w:rsid w:val="2B4C1378"/>
    <w:rsid w:val="2B577D1D"/>
    <w:rsid w:val="2B7F799F"/>
    <w:rsid w:val="2BA10F54"/>
    <w:rsid w:val="2BA72A52"/>
    <w:rsid w:val="2BDE3F9A"/>
    <w:rsid w:val="2BE617CC"/>
    <w:rsid w:val="2C131E96"/>
    <w:rsid w:val="2CAB6572"/>
    <w:rsid w:val="2CFE66A2"/>
    <w:rsid w:val="2D391DD0"/>
    <w:rsid w:val="2D404F0C"/>
    <w:rsid w:val="2DA5275C"/>
    <w:rsid w:val="2DC25921"/>
    <w:rsid w:val="2DD152BB"/>
    <w:rsid w:val="2DEC299E"/>
    <w:rsid w:val="2DF126AA"/>
    <w:rsid w:val="2DF6381D"/>
    <w:rsid w:val="2E2458CB"/>
    <w:rsid w:val="2E51591A"/>
    <w:rsid w:val="2E6E7857"/>
    <w:rsid w:val="2E862DF3"/>
    <w:rsid w:val="2E8D1EB2"/>
    <w:rsid w:val="2E951288"/>
    <w:rsid w:val="2E9A4AF0"/>
    <w:rsid w:val="2E9C3E3E"/>
    <w:rsid w:val="2EAC3C4E"/>
    <w:rsid w:val="2EAE5EA6"/>
    <w:rsid w:val="2ED26038"/>
    <w:rsid w:val="2F3A598B"/>
    <w:rsid w:val="2F452CAE"/>
    <w:rsid w:val="2F5A64AE"/>
    <w:rsid w:val="2F756890"/>
    <w:rsid w:val="2FCA31B3"/>
    <w:rsid w:val="2FD1009E"/>
    <w:rsid w:val="2FF81ACE"/>
    <w:rsid w:val="3005243D"/>
    <w:rsid w:val="306A53C9"/>
    <w:rsid w:val="308A649E"/>
    <w:rsid w:val="308B2942"/>
    <w:rsid w:val="30BC0D4E"/>
    <w:rsid w:val="30D342E9"/>
    <w:rsid w:val="30EC0F07"/>
    <w:rsid w:val="31083F93"/>
    <w:rsid w:val="310A17BD"/>
    <w:rsid w:val="311D448D"/>
    <w:rsid w:val="311E37B6"/>
    <w:rsid w:val="31436D79"/>
    <w:rsid w:val="31442AF1"/>
    <w:rsid w:val="31540F86"/>
    <w:rsid w:val="31723B02"/>
    <w:rsid w:val="31A35A6A"/>
    <w:rsid w:val="31D16F03"/>
    <w:rsid w:val="31D57F25"/>
    <w:rsid w:val="32916F6F"/>
    <w:rsid w:val="32A95302"/>
    <w:rsid w:val="32BF2D77"/>
    <w:rsid w:val="332C7D87"/>
    <w:rsid w:val="3337290D"/>
    <w:rsid w:val="3363357A"/>
    <w:rsid w:val="336D1938"/>
    <w:rsid w:val="336D4581"/>
    <w:rsid w:val="338726E0"/>
    <w:rsid w:val="341744ED"/>
    <w:rsid w:val="34207846"/>
    <w:rsid w:val="343E5F1E"/>
    <w:rsid w:val="345800AF"/>
    <w:rsid w:val="34796F56"/>
    <w:rsid w:val="34802092"/>
    <w:rsid w:val="348C6C89"/>
    <w:rsid w:val="34943D90"/>
    <w:rsid w:val="349873DC"/>
    <w:rsid w:val="34AA710F"/>
    <w:rsid w:val="350C7DCA"/>
    <w:rsid w:val="35131158"/>
    <w:rsid w:val="35154ED0"/>
    <w:rsid w:val="355A6D87"/>
    <w:rsid w:val="35604F79"/>
    <w:rsid w:val="3566572C"/>
    <w:rsid w:val="35690D78"/>
    <w:rsid w:val="35B30245"/>
    <w:rsid w:val="35CD4AB6"/>
    <w:rsid w:val="35E623C9"/>
    <w:rsid w:val="36014A89"/>
    <w:rsid w:val="360D3DFA"/>
    <w:rsid w:val="360F7B72"/>
    <w:rsid w:val="36252EF1"/>
    <w:rsid w:val="362C24D2"/>
    <w:rsid w:val="36317AE8"/>
    <w:rsid w:val="364E3013"/>
    <w:rsid w:val="36D6068F"/>
    <w:rsid w:val="36DF5285"/>
    <w:rsid w:val="37361ECE"/>
    <w:rsid w:val="374B4BD9"/>
    <w:rsid w:val="37620175"/>
    <w:rsid w:val="376C68FE"/>
    <w:rsid w:val="377309D7"/>
    <w:rsid w:val="378E4AC6"/>
    <w:rsid w:val="379B27FA"/>
    <w:rsid w:val="37C329C2"/>
    <w:rsid w:val="37DE48FE"/>
    <w:rsid w:val="37E8067A"/>
    <w:rsid w:val="3809239F"/>
    <w:rsid w:val="38116581"/>
    <w:rsid w:val="3834566E"/>
    <w:rsid w:val="385C6972"/>
    <w:rsid w:val="388C54AA"/>
    <w:rsid w:val="38B44A00"/>
    <w:rsid w:val="38FB618B"/>
    <w:rsid w:val="391B4A7F"/>
    <w:rsid w:val="39237490"/>
    <w:rsid w:val="39706B79"/>
    <w:rsid w:val="39925A7C"/>
    <w:rsid w:val="39987E7E"/>
    <w:rsid w:val="399F120C"/>
    <w:rsid w:val="39C12F31"/>
    <w:rsid w:val="39CE1C00"/>
    <w:rsid w:val="39F458C7"/>
    <w:rsid w:val="39F9594E"/>
    <w:rsid w:val="3A06468C"/>
    <w:rsid w:val="3A1E4827"/>
    <w:rsid w:val="3A2B2AA0"/>
    <w:rsid w:val="3A3F02FA"/>
    <w:rsid w:val="3A443B62"/>
    <w:rsid w:val="3A6A6B44"/>
    <w:rsid w:val="3A6E2866"/>
    <w:rsid w:val="3A91655B"/>
    <w:rsid w:val="3AB64A60"/>
    <w:rsid w:val="3AC34280"/>
    <w:rsid w:val="3ACD0E2C"/>
    <w:rsid w:val="3B1E43B3"/>
    <w:rsid w:val="3B2A0FAA"/>
    <w:rsid w:val="3B2F65C0"/>
    <w:rsid w:val="3B4262F3"/>
    <w:rsid w:val="3B4E6A46"/>
    <w:rsid w:val="3B712735"/>
    <w:rsid w:val="3B8561E0"/>
    <w:rsid w:val="3B90705F"/>
    <w:rsid w:val="3BA64AD4"/>
    <w:rsid w:val="3BB541CC"/>
    <w:rsid w:val="3BD16A31"/>
    <w:rsid w:val="3BD66A3C"/>
    <w:rsid w:val="3C3814A4"/>
    <w:rsid w:val="3C3C2D43"/>
    <w:rsid w:val="3C7827F3"/>
    <w:rsid w:val="3C796E58"/>
    <w:rsid w:val="3C91052B"/>
    <w:rsid w:val="3C9C5ED7"/>
    <w:rsid w:val="3CB90837"/>
    <w:rsid w:val="3CC35212"/>
    <w:rsid w:val="3CC50F8A"/>
    <w:rsid w:val="3CD1792F"/>
    <w:rsid w:val="3CD63197"/>
    <w:rsid w:val="3CE05DC4"/>
    <w:rsid w:val="3D9A2417"/>
    <w:rsid w:val="3DB65437"/>
    <w:rsid w:val="3E13765C"/>
    <w:rsid w:val="3EDC6A5F"/>
    <w:rsid w:val="3F081602"/>
    <w:rsid w:val="3F185CE9"/>
    <w:rsid w:val="3F2F6B8F"/>
    <w:rsid w:val="3F395C5F"/>
    <w:rsid w:val="3F4C5993"/>
    <w:rsid w:val="3FB672B0"/>
    <w:rsid w:val="3FCC262F"/>
    <w:rsid w:val="3FD20E97"/>
    <w:rsid w:val="3FF658FE"/>
    <w:rsid w:val="3FFE65EB"/>
    <w:rsid w:val="40152228"/>
    <w:rsid w:val="40181D19"/>
    <w:rsid w:val="406E1939"/>
    <w:rsid w:val="408A6758"/>
    <w:rsid w:val="409F5F96"/>
    <w:rsid w:val="40AE6264"/>
    <w:rsid w:val="40C652D1"/>
    <w:rsid w:val="40E57890"/>
    <w:rsid w:val="40E83499"/>
    <w:rsid w:val="41010C1D"/>
    <w:rsid w:val="411029F0"/>
    <w:rsid w:val="41285CCA"/>
    <w:rsid w:val="41517290"/>
    <w:rsid w:val="41597EF3"/>
    <w:rsid w:val="41764A74"/>
    <w:rsid w:val="41807B75"/>
    <w:rsid w:val="418272A9"/>
    <w:rsid w:val="41A970CC"/>
    <w:rsid w:val="41FB544E"/>
    <w:rsid w:val="420750EE"/>
    <w:rsid w:val="420936C7"/>
    <w:rsid w:val="42134546"/>
    <w:rsid w:val="42310E70"/>
    <w:rsid w:val="423962E2"/>
    <w:rsid w:val="4264483B"/>
    <w:rsid w:val="428471F1"/>
    <w:rsid w:val="42DC527F"/>
    <w:rsid w:val="42FA0E54"/>
    <w:rsid w:val="42FE794C"/>
    <w:rsid w:val="4335673E"/>
    <w:rsid w:val="435B43F6"/>
    <w:rsid w:val="43A044FF"/>
    <w:rsid w:val="43CC0E50"/>
    <w:rsid w:val="43E443EC"/>
    <w:rsid w:val="43EF0FE2"/>
    <w:rsid w:val="443D1DF4"/>
    <w:rsid w:val="44523338"/>
    <w:rsid w:val="446F5205"/>
    <w:rsid w:val="449657B8"/>
    <w:rsid w:val="44973D85"/>
    <w:rsid w:val="44977AAE"/>
    <w:rsid w:val="44B648CE"/>
    <w:rsid w:val="44E4666D"/>
    <w:rsid w:val="450F4A4B"/>
    <w:rsid w:val="45525385"/>
    <w:rsid w:val="45627112"/>
    <w:rsid w:val="4568582E"/>
    <w:rsid w:val="45AD36BD"/>
    <w:rsid w:val="45EF52CA"/>
    <w:rsid w:val="45F428E0"/>
    <w:rsid w:val="461E795D"/>
    <w:rsid w:val="465D66D7"/>
    <w:rsid w:val="46930C2F"/>
    <w:rsid w:val="46971BE9"/>
    <w:rsid w:val="469B52E6"/>
    <w:rsid w:val="46BD2AA0"/>
    <w:rsid w:val="47505671"/>
    <w:rsid w:val="476B4E24"/>
    <w:rsid w:val="47941C85"/>
    <w:rsid w:val="47A91720"/>
    <w:rsid w:val="47B71E17"/>
    <w:rsid w:val="47FB212C"/>
    <w:rsid w:val="48013092"/>
    <w:rsid w:val="488C6E00"/>
    <w:rsid w:val="48D6308C"/>
    <w:rsid w:val="4907292A"/>
    <w:rsid w:val="491237A9"/>
    <w:rsid w:val="493A2D00"/>
    <w:rsid w:val="494D67E4"/>
    <w:rsid w:val="49CE4FF8"/>
    <w:rsid w:val="49F33550"/>
    <w:rsid w:val="4A2144A0"/>
    <w:rsid w:val="4A2D4613"/>
    <w:rsid w:val="4A315EB1"/>
    <w:rsid w:val="4A5D6CA6"/>
    <w:rsid w:val="4A6F2535"/>
    <w:rsid w:val="4AD134FA"/>
    <w:rsid w:val="4AF56EDE"/>
    <w:rsid w:val="4B24349F"/>
    <w:rsid w:val="4B2A7B08"/>
    <w:rsid w:val="4B3A552E"/>
    <w:rsid w:val="4B756271"/>
    <w:rsid w:val="4BA6467C"/>
    <w:rsid w:val="4BED5E07"/>
    <w:rsid w:val="4C1F5286"/>
    <w:rsid w:val="4C3F73EA"/>
    <w:rsid w:val="4C871DB8"/>
    <w:rsid w:val="4CC12A17"/>
    <w:rsid w:val="4CF00139"/>
    <w:rsid w:val="4D1A0E7E"/>
    <w:rsid w:val="4D1B0752"/>
    <w:rsid w:val="4D371A30"/>
    <w:rsid w:val="4D994499"/>
    <w:rsid w:val="4D9D385D"/>
    <w:rsid w:val="4DF53699"/>
    <w:rsid w:val="4DFA218C"/>
    <w:rsid w:val="4E510BE4"/>
    <w:rsid w:val="4E7C6D11"/>
    <w:rsid w:val="4EA20A2F"/>
    <w:rsid w:val="4EB86BA1"/>
    <w:rsid w:val="4ED67027"/>
    <w:rsid w:val="4EDD03B5"/>
    <w:rsid w:val="4EFB083B"/>
    <w:rsid w:val="4F1813ED"/>
    <w:rsid w:val="4F3D70A6"/>
    <w:rsid w:val="4F3D7535"/>
    <w:rsid w:val="4F5A1A06"/>
    <w:rsid w:val="4F610FE6"/>
    <w:rsid w:val="4F952A3E"/>
    <w:rsid w:val="4FCD667C"/>
    <w:rsid w:val="50751E9E"/>
    <w:rsid w:val="507B3F9D"/>
    <w:rsid w:val="50D0101F"/>
    <w:rsid w:val="50DD28EE"/>
    <w:rsid w:val="510F4A72"/>
    <w:rsid w:val="51246A30"/>
    <w:rsid w:val="512C1180"/>
    <w:rsid w:val="51313987"/>
    <w:rsid w:val="5156444F"/>
    <w:rsid w:val="51705511"/>
    <w:rsid w:val="519C1532"/>
    <w:rsid w:val="51B53B82"/>
    <w:rsid w:val="51DD6414"/>
    <w:rsid w:val="51FC6DA4"/>
    <w:rsid w:val="52192B0A"/>
    <w:rsid w:val="52483D98"/>
    <w:rsid w:val="52557E49"/>
    <w:rsid w:val="52741030"/>
    <w:rsid w:val="527B511F"/>
    <w:rsid w:val="528154FB"/>
    <w:rsid w:val="52911BE2"/>
    <w:rsid w:val="52C22F41"/>
    <w:rsid w:val="52C75604"/>
    <w:rsid w:val="534A7FE3"/>
    <w:rsid w:val="534F1156"/>
    <w:rsid w:val="53590226"/>
    <w:rsid w:val="53C37568"/>
    <w:rsid w:val="53F266B1"/>
    <w:rsid w:val="53FF6A44"/>
    <w:rsid w:val="542C74E6"/>
    <w:rsid w:val="54685FAB"/>
    <w:rsid w:val="54A61249"/>
    <w:rsid w:val="54B020C8"/>
    <w:rsid w:val="54EA55DA"/>
    <w:rsid w:val="54FC70BB"/>
    <w:rsid w:val="558477DD"/>
    <w:rsid w:val="55BD684B"/>
    <w:rsid w:val="56150435"/>
    <w:rsid w:val="56500090"/>
    <w:rsid w:val="56530F5D"/>
    <w:rsid w:val="56597F92"/>
    <w:rsid w:val="566B44F9"/>
    <w:rsid w:val="56876E58"/>
    <w:rsid w:val="56BA5480"/>
    <w:rsid w:val="570F528A"/>
    <w:rsid w:val="576A2A02"/>
    <w:rsid w:val="576F0018"/>
    <w:rsid w:val="57805D82"/>
    <w:rsid w:val="57813CF1"/>
    <w:rsid w:val="57A2219C"/>
    <w:rsid w:val="58276B45"/>
    <w:rsid w:val="58544863"/>
    <w:rsid w:val="58676F42"/>
    <w:rsid w:val="588D4BFA"/>
    <w:rsid w:val="58B303D9"/>
    <w:rsid w:val="58D82053"/>
    <w:rsid w:val="590C5CE8"/>
    <w:rsid w:val="59170968"/>
    <w:rsid w:val="592A2449"/>
    <w:rsid w:val="592F3F03"/>
    <w:rsid w:val="594828CF"/>
    <w:rsid w:val="5996188C"/>
    <w:rsid w:val="59F12F67"/>
    <w:rsid w:val="59F82547"/>
    <w:rsid w:val="5A496133"/>
    <w:rsid w:val="5A5F4374"/>
    <w:rsid w:val="5A647BDD"/>
    <w:rsid w:val="5A715E56"/>
    <w:rsid w:val="5A90452E"/>
    <w:rsid w:val="5AC02939"/>
    <w:rsid w:val="5B2B362C"/>
    <w:rsid w:val="5B3F7D02"/>
    <w:rsid w:val="5B4E4478"/>
    <w:rsid w:val="5B6D74AB"/>
    <w:rsid w:val="5B6F05E7"/>
    <w:rsid w:val="5BBB382C"/>
    <w:rsid w:val="5BD42B40"/>
    <w:rsid w:val="5BDC1471"/>
    <w:rsid w:val="5BF84A80"/>
    <w:rsid w:val="5C001B87"/>
    <w:rsid w:val="5C566A01"/>
    <w:rsid w:val="5C735EB5"/>
    <w:rsid w:val="5C763BF7"/>
    <w:rsid w:val="5C95407D"/>
    <w:rsid w:val="5CDA5F34"/>
    <w:rsid w:val="5CDD77D2"/>
    <w:rsid w:val="5CEE3F34"/>
    <w:rsid w:val="5D7D134E"/>
    <w:rsid w:val="5DDD2180"/>
    <w:rsid w:val="5E2E21D2"/>
    <w:rsid w:val="5EB10F16"/>
    <w:rsid w:val="5F015CCB"/>
    <w:rsid w:val="5F853CC6"/>
    <w:rsid w:val="5F904FD0"/>
    <w:rsid w:val="5FCD7AD9"/>
    <w:rsid w:val="5FD07731"/>
    <w:rsid w:val="5FE5531C"/>
    <w:rsid w:val="604C0EF7"/>
    <w:rsid w:val="607D37A6"/>
    <w:rsid w:val="608763D3"/>
    <w:rsid w:val="60A056E7"/>
    <w:rsid w:val="60A46A8A"/>
    <w:rsid w:val="60BE3BD6"/>
    <w:rsid w:val="60C176DC"/>
    <w:rsid w:val="60EE0200"/>
    <w:rsid w:val="60F11A9E"/>
    <w:rsid w:val="60F172C3"/>
    <w:rsid w:val="60FF065F"/>
    <w:rsid w:val="60FF240D"/>
    <w:rsid w:val="6109328C"/>
    <w:rsid w:val="61753349"/>
    <w:rsid w:val="618F3064"/>
    <w:rsid w:val="61A92379"/>
    <w:rsid w:val="61AA7929"/>
    <w:rsid w:val="61B01959"/>
    <w:rsid w:val="61D92C5E"/>
    <w:rsid w:val="620B6B90"/>
    <w:rsid w:val="623065F6"/>
    <w:rsid w:val="62680AD9"/>
    <w:rsid w:val="626F711E"/>
    <w:rsid w:val="62B60097"/>
    <w:rsid w:val="62E96ED1"/>
    <w:rsid w:val="62F53AC8"/>
    <w:rsid w:val="62FC2EBF"/>
    <w:rsid w:val="63220635"/>
    <w:rsid w:val="633F11E7"/>
    <w:rsid w:val="63737BAF"/>
    <w:rsid w:val="63750765"/>
    <w:rsid w:val="638135AD"/>
    <w:rsid w:val="638210D3"/>
    <w:rsid w:val="6384309D"/>
    <w:rsid w:val="63A31776"/>
    <w:rsid w:val="63A86D8C"/>
    <w:rsid w:val="63AC34B2"/>
    <w:rsid w:val="63CB2A7A"/>
    <w:rsid w:val="63FC2C34"/>
    <w:rsid w:val="642342DE"/>
    <w:rsid w:val="64A67BA6"/>
    <w:rsid w:val="64BD6867"/>
    <w:rsid w:val="65187464"/>
    <w:rsid w:val="651D7306"/>
    <w:rsid w:val="657533E6"/>
    <w:rsid w:val="657C227E"/>
    <w:rsid w:val="65853702"/>
    <w:rsid w:val="65A12D42"/>
    <w:rsid w:val="65A43583"/>
    <w:rsid w:val="65B50011"/>
    <w:rsid w:val="65DC32A2"/>
    <w:rsid w:val="65FA7647"/>
    <w:rsid w:val="65FC516D"/>
    <w:rsid w:val="66103D3D"/>
    <w:rsid w:val="66293A88"/>
    <w:rsid w:val="664934C0"/>
    <w:rsid w:val="6678077E"/>
    <w:rsid w:val="668F5FE1"/>
    <w:rsid w:val="66DB1226"/>
    <w:rsid w:val="67002A3B"/>
    <w:rsid w:val="67A930D3"/>
    <w:rsid w:val="67AB6E4B"/>
    <w:rsid w:val="68024591"/>
    <w:rsid w:val="680E2F36"/>
    <w:rsid w:val="68155500"/>
    <w:rsid w:val="68953657"/>
    <w:rsid w:val="689773CF"/>
    <w:rsid w:val="690F6F65"/>
    <w:rsid w:val="69280027"/>
    <w:rsid w:val="6962178B"/>
    <w:rsid w:val="699301F7"/>
    <w:rsid w:val="69A2602B"/>
    <w:rsid w:val="69E82B0F"/>
    <w:rsid w:val="69E95A08"/>
    <w:rsid w:val="6A024D1C"/>
    <w:rsid w:val="6A440E91"/>
    <w:rsid w:val="6A645B73"/>
    <w:rsid w:val="6A687275"/>
    <w:rsid w:val="6A941E18"/>
    <w:rsid w:val="6AB26742"/>
    <w:rsid w:val="6AD20B92"/>
    <w:rsid w:val="6AE74987"/>
    <w:rsid w:val="6AF705F9"/>
    <w:rsid w:val="6AFA59F3"/>
    <w:rsid w:val="6B0845B4"/>
    <w:rsid w:val="6B826114"/>
    <w:rsid w:val="6B8359E9"/>
    <w:rsid w:val="6B8729D0"/>
    <w:rsid w:val="6B930322"/>
    <w:rsid w:val="6C0C1E82"/>
    <w:rsid w:val="6C2F033A"/>
    <w:rsid w:val="6C9A0567"/>
    <w:rsid w:val="6CD8748D"/>
    <w:rsid w:val="6CE30E35"/>
    <w:rsid w:val="6CF070AE"/>
    <w:rsid w:val="6D2D0302"/>
    <w:rsid w:val="6DAD31F1"/>
    <w:rsid w:val="6DAF51BB"/>
    <w:rsid w:val="6DE210EC"/>
    <w:rsid w:val="6DF42BCE"/>
    <w:rsid w:val="6E201C15"/>
    <w:rsid w:val="6E3A4A84"/>
    <w:rsid w:val="6E641B01"/>
    <w:rsid w:val="6F084B83"/>
    <w:rsid w:val="6F4E1D04"/>
    <w:rsid w:val="6F9E1043"/>
    <w:rsid w:val="6FA35C9B"/>
    <w:rsid w:val="6FD2576A"/>
    <w:rsid w:val="6FE57D3C"/>
    <w:rsid w:val="701557F7"/>
    <w:rsid w:val="701D640C"/>
    <w:rsid w:val="70321B8C"/>
    <w:rsid w:val="70422316"/>
    <w:rsid w:val="706C7393"/>
    <w:rsid w:val="70761FC0"/>
    <w:rsid w:val="70A00DEB"/>
    <w:rsid w:val="70AD3C34"/>
    <w:rsid w:val="70DF5DB7"/>
    <w:rsid w:val="70F71F0C"/>
    <w:rsid w:val="71431EA2"/>
    <w:rsid w:val="71461992"/>
    <w:rsid w:val="714A7BC4"/>
    <w:rsid w:val="715C23EB"/>
    <w:rsid w:val="71D022E5"/>
    <w:rsid w:val="71D65D0A"/>
    <w:rsid w:val="721101F2"/>
    <w:rsid w:val="72111FA0"/>
    <w:rsid w:val="721F290F"/>
    <w:rsid w:val="72301D3E"/>
    <w:rsid w:val="72462175"/>
    <w:rsid w:val="72516841"/>
    <w:rsid w:val="72800ED4"/>
    <w:rsid w:val="72A45C65"/>
    <w:rsid w:val="73214465"/>
    <w:rsid w:val="73261F61"/>
    <w:rsid w:val="732F57AE"/>
    <w:rsid w:val="73326C54"/>
    <w:rsid w:val="73544E2B"/>
    <w:rsid w:val="73724CC1"/>
    <w:rsid w:val="73E57241"/>
    <w:rsid w:val="73FB2F08"/>
    <w:rsid w:val="740F0E60"/>
    <w:rsid w:val="74321EB0"/>
    <w:rsid w:val="74575C64"/>
    <w:rsid w:val="748051BB"/>
    <w:rsid w:val="749D3CF7"/>
    <w:rsid w:val="749F700F"/>
    <w:rsid w:val="74A94712"/>
    <w:rsid w:val="74D30C9A"/>
    <w:rsid w:val="7516369A"/>
    <w:rsid w:val="75383CE8"/>
    <w:rsid w:val="754601B3"/>
    <w:rsid w:val="75952250"/>
    <w:rsid w:val="75EE4FE2"/>
    <w:rsid w:val="76320737"/>
    <w:rsid w:val="7641097A"/>
    <w:rsid w:val="765156FF"/>
    <w:rsid w:val="7690584F"/>
    <w:rsid w:val="76B92B53"/>
    <w:rsid w:val="76D8308D"/>
    <w:rsid w:val="778356EE"/>
    <w:rsid w:val="77BC65ED"/>
    <w:rsid w:val="77DC095A"/>
    <w:rsid w:val="780E43A3"/>
    <w:rsid w:val="78115311"/>
    <w:rsid w:val="786C6920"/>
    <w:rsid w:val="78705D77"/>
    <w:rsid w:val="790E548B"/>
    <w:rsid w:val="79314CD6"/>
    <w:rsid w:val="79330A4E"/>
    <w:rsid w:val="795A247F"/>
    <w:rsid w:val="799C01CB"/>
    <w:rsid w:val="79C21DD2"/>
    <w:rsid w:val="79C542E2"/>
    <w:rsid w:val="79C773E8"/>
    <w:rsid w:val="79C913B2"/>
    <w:rsid w:val="79ED18FC"/>
    <w:rsid w:val="79F86452"/>
    <w:rsid w:val="7A7C01D3"/>
    <w:rsid w:val="7A807CC3"/>
    <w:rsid w:val="7A9814B1"/>
    <w:rsid w:val="7AAD65DE"/>
    <w:rsid w:val="7AC202DC"/>
    <w:rsid w:val="7AC8166A"/>
    <w:rsid w:val="7AD4000F"/>
    <w:rsid w:val="7AE40AEA"/>
    <w:rsid w:val="7AF95CC7"/>
    <w:rsid w:val="7B2745E3"/>
    <w:rsid w:val="7B776F12"/>
    <w:rsid w:val="7BCB31C0"/>
    <w:rsid w:val="7BED557B"/>
    <w:rsid w:val="7C376AA7"/>
    <w:rsid w:val="7C474858"/>
    <w:rsid w:val="7C556F2D"/>
    <w:rsid w:val="7C5807CC"/>
    <w:rsid w:val="7C5C02BC"/>
    <w:rsid w:val="7C5D2607"/>
    <w:rsid w:val="7C7A4BE6"/>
    <w:rsid w:val="7C7C270C"/>
    <w:rsid w:val="7C8D2B6B"/>
    <w:rsid w:val="7CA116D8"/>
    <w:rsid w:val="7CAE7E69"/>
    <w:rsid w:val="7CB63D1B"/>
    <w:rsid w:val="7CC1513C"/>
    <w:rsid w:val="7CEF2EDE"/>
    <w:rsid w:val="7D124D40"/>
    <w:rsid w:val="7D6438CC"/>
    <w:rsid w:val="7D850AE8"/>
    <w:rsid w:val="7DC12ACC"/>
    <w:rsid w:val="7DF970C0"/>
    <w:rsid w:val="7E1150D6"/>
    <w:rsid w:val="7E265C1F"/>
    <w:rsid w:val="7E350DC4"/>
    <w:rsid w:val="7E694F12"/>
    <w:rsid w:val="7ECD54A1"/>
    <w:rsid w:val="7EDC1B88"/>
    <w:rsid w:val="7EDD4EE5"/>
    <w:rsid w:val="7F2826D7"/>
    <w:rsid w:val="7F5B2AAD"/>
    <w:rsid w:val="7F64085D"/>
    <w:rsid w:val="7F713F9C"/>
    <w:rsid w:val="7F846F1D"/>
    <w:rsid w:val="7FA97CBC"/>
    <w:rsid w:val="7FC543CA"/>
    <w:rsid w:val="7FCC57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iPriority="39" w:semiHidden="0" w:name="toc 1"/>
    <w:lsdException w:qFormat="1" w:uiPriority="39" w:semiHidden="0" w:name="toc 2"/>
    <w:lsdException w:qFormat="1" w:uiPriority="0" w:semiHidden="0" w:name="toc 3"/>
    <w:lsdException w:qFormat="1" w:uiPriority="0" w:semiHidden="0" w:name="toc 4" w:locked="1"/>
    <w:lsdException w:qFormat="1" w:uiPriority="0" w:semiHidden="0" w:name="toc 5" w:locked="1"/>
    <w:lsdException w:qFormat="1" w:uiPriority="0" w:semiHidden="0" w:name="toc 6" w:locked="1"/>
    <w:lsdException w:qFormat="1" w:uiPriority="0" w:semiHidden="0" w:name="toc 7" w:locked="1"/>
    <w:lsdException w:qFormat="1" w:uiPriority="0" w:semiHidden="0" w:name="toc 8" w:locked="1"/>
    <w:lsdException w:qFormat="1" w:uiPriority="0" w:semiHidden="0" w:name="toc 9" w:locked="1"/>
    <w:lsdException w:qFormat="1" w:unhideWhenUsed="0" w:uiPriority="0" w:semiHidden="0" w:name="Normal Indent" w:locked="1"/>
    <w:lsdException w:uiPriority="99" w:name="footnote text" w:locked="1"/>
    <w:lsdException w:qFormat="1" w:uiPriority="99" w:semiHidden="0" w:name="annotation text" w:locked="1"/>
    <w:lsdException w:qFormat="1" w:uiPriority="99" w:semiHidden="0" w:name="header"/>
    <w:lsdException w:qFormat="1" w:uiPriority="99" w:semiHidden="0" w:name="footer"/>
    <w:lsdException w:uiPriority="99" w:name="index heading" w:locked="1"/>
    <w:lsdException w:qFormat="1" w:unhideWhenUsed="0" w:uiPriority="99" w:semiHidden="0" w:name="caption"/>
    <w:lsdException w:uiPriority="99" w:name="table of figures" w:locked="1"/>
    <w:lsdException w:uiPriority="99" w:name="envelope address" w:locked="1"/>
    <w:lsdException w:uiPriority="99" w:name="envelope return" w:locked="1"/>
    <w:lsdException w:uiPriority="99" w:name="footnote reference" w:locked="1"/>
    <w:lsdException w:qFormat="1" w:uiPriority="0" w:semiHidden="0" w:name="annotation reference" w:locked="1"/>
    <w:lsdException w:uiPriority="99" w:name="line number" w:locked="1"/>
    <w:lsdException w:qFormat="1" w:unhideWhenUsed="0" w:uiPriority="0" w:semiHidden="0" w:name="page number"/>
    <w:lsdException w:qFormat="1" w:uiPriority="99" w:semiHidden="0" w:name="endnote reference" w:locked="1"/>
    <w:lsdException w:qFormat="1" w:unhideWhenUsed="0" w:uiPriority="99" w:semiHidden="0" w:name="endnote text" w:locked="1"/>
    <w:lsdException w:uiPriority="99" w:name="table of authorities" w:locked="1"/>
    <w:lsdException w:qFormat="1" w:uiPriority="99" w:semiHidden="0" w:name="macro" w:locked="1"/>
    <w:lsdException w:uiPriority="99" w:name="toa heading" w:locked="1"/>
    <w:lsdException w:qFormat="1" w:unhideWhenUsed="0" w:uiPriority="0" w:semiHidden="0"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uiPriority="1" w:name="Default Paragraph Font"/>
    <w:lsdException w:qFormat="1" w:uiPriority="0" w:semiHidden="0" w:name="Body Text" w:locked="1"/>
    <w:lsdException w:qFormat="1" w:unhideWhenUsed="0" w:uiPriority="0" w:semiHidden="0" w:name="Body Text Indent" w:locked="1"/>
    <w:lsdException w:uiPriority="99" w:name="List Continue" w:locked="1"/>
    <w:lsdException w:uiPriority="99" w:name="List Continue 2" w:locked="1"/>
    <w:lsdException w:uiPriority="99" w:name="List Continue 3" w:locked="1"/>
    <w:lsdException w:qFormat="1" w:unhideWhenUsed="0" w:uiPriority="0" w:semiHidden="0" w:name="List Continue 4" w:locked="1"/>
    <w:lsdException w:uiPriority="99" w:name="List Continue 5" w:locked="1"/>
    <w:lsdException w:uiPriority="99" w:name="Message Header" w:locked="1"/>
    <w:lsdException w:qFormat="1" w:unhideWhenUsed="0" w:uiPriority="99" w:semiHidden="0" w:name="Subtitle" w:locked="1"/>
    <w:lsdException w:uiPriority="99" w:name="Salutation" w:locked="1"/>
    <w:lsdException w:qFormat="1" w:uiPriority="0" w:semiHidden="0" w:name="Date" w:locked="1"/>
    <w:lsdException w:qFormat="1" w:unhideWhenUsed="0" w:uiPriority="0" w:semiHidden="0" w:name="Body Text First Indent" w:locked="1"/>
    <w:lsdException w:uiPriority="99" w:name="Body Text First Indent 2" w:locked="1"/>
    <w:lsdException w:uiPriority="99"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iPriority="0" w:semiHidden="0" w:name="Body Text Indent 3" w:locked="1"/>
    <w:lsdException w:uiPriority="99" w:name="Block Text" w:locked="1"/>
    <w:lsdException w:qFormat="1" w:uiPriority="99" w:semiHidden="0" w:name="Hyperlink"/>
    <w:lsdException w:qFormat="1" w:unhideWhenUsed="0" w:uiPriority="0" w:semiHidden="0" w:name="FollowedHyperlink" w:locked="1"/>
    <w:lsdException w:qFormat="1" w:unhideWhenUsed="0" w:uiPriority="22" w:semiHidden="0" w:name="Strong" w:locked="1"/>
    <w:lsdException w:qFormat="1" w:unhideWhenUsed="0" w:uiPriority="20" w:semiHidden="0" w:name="Emphasis" w:locked="1"/>
    <w:lsdException w:qFormat="1" w:uiPriority="0" w:semiHidden="0" w:name="Document Map" w:locked="1"/>
    <w:lsdException w:qFormat="1" w:uiPriority="0" w:semiHidden="0" w:name="Plain Text" w:locked="1"/>
    <w:lsdException w:uiPriority="99" w:name="E-mail Signature" w:locked="1"/>
    <w:lsdException w:qFormat="1" w:unhideWhenUsed="0" w:uiPriority="99" w:semiHidden="0" w:name="Normal (Web)" w:locked="1"/>
    <w:lsdException w:qFormat="1" w:unhideWhenUsed="0" w:uiPriority="0" w:semiHidden="0" w:name="HTML Acronym" w:locked="1"/>
    <w:lsdException w:uiPriority="99" w:name="HTML Address" w:locked="1"/>
    <w:lsdException w:qFormat="1" w:unhideWhenUsed="0" w:uiPriority="0" w:semiHidden="0" w:name="HTML Cite" w:locked="1"/>
    <w:lsdException w:qFormat="1" w:unhideWhenUsed="0" w:uiPriority="0" w:semiHidden="0" w:name="HTML Code" w:locked="1"/>
    <w:lsdException w:qFormat="1" w:unhideWhenUsed="0" w:uiPriority="0" w:semiHidden="0" w:name="HTML Definition" w:locked="1"/>
    <w:lsdException w:uiPriority="99" w:name="HTML Keyboard" w:locked="1"/>
    <w:lsdException w:qFormat="1" w:unhideWhenUsed="0" w:uiPriority="0" w:semiHidden="0" w:name="HTML Preformatted" w:locked="1"/>
    <w:lsdException w:uiPriority="99" w:name="HTML Sample" w:locked="1"/>
    <w:lsdException w:uiPriority="99" w:name="HTML Typewriter" w:locked="1"/>
    <w:lsdException w:qFormat="1" w:unhideWhenUsed="0" w:uiPriority="0" w:semiHidden="0" w:name="HTML Variable" w:locked="1"/>
    <w:lsdException w:uiPriority="99" w:name="Normal Table"/>
    <w:lsdException w:qFormat="1" w:uiPriority="0" w:semiHidden="0"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qFormat="1"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qFormat="1" w:unhideWhenUsed="0" w:uiPriority="0" w:semiHidden="0"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0" w:semiHidden="0" w:name="Balloon Text" w:locked="1"/>
    <w:lsdException w:qFormat="1" w:unhideWhenUsed="0" w:uiPriority="99" w:semiHidden="0" w:name="Table Grid" w:locked="1"/>
    <w:lsdException w:qFormat="1" w:unhideWhenUsed="0" w:uiPriority="0" w:semiHidden="0" w:name="Table Theme" w:locked="1"/>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1"/>
      <w:lang w:val="en-US" w:eastAsia="zh-CN" w:bidi="ar-SA"/>
    </w:rPr>
  </w:style>
  <w:style w:type="paragraph" w:styleId="3">
    <w:name w:val="heading 1"/>
    <w:next w:val="4"/>
    <w:link w:val="145"/>
    <w:qFormat/>
    <w:uiPriority w:val="0"/>
    <w:pPr>
      <w:widowControl w:val="0"/>
      <w:numPr>
        <w:ilvl w:val="0"/>
        <w:numId w:val="1"/>
      </w:numPr>
      <w:adjustRightInd w:val="0"/>
      <w:snapToGrid w:val="0"/>
      <w:spacing w:before="100" w:beforeAutospacing="1" w:line="360" w:lineRule="auto"/>
      <w:outlineLvl w:val="0"/>
    </w:pPr>
    <w:rPr>
      <w:rFonts w:ascii="黑体" w:hAnsi="Times New Roman" w:eastAsia="黑体" w:cs="Times New Roman"/>
      <w:kern w:val="44"/>
      <w:sz w:val="30"/>
      <w:szCs w:val="44"/>
      <w:lang w:val="en-US" w:eastAsia="zh-CN" w:bidi="ar-SA"/>
    </w:rPr>
  </w:style>
  <w:style w:type="paragraph" w:styleId="5">
    <w:name w:val="heading 2"/>
    <w:next w:val="4"/>
    <w:link w:val="65"/>
    <w:qFormat/>
    <w:uiPriority w:val="0"/>
    <w:pPr>
      <w:keepNext/>
      <w:widowControl w:val="0"/>
      <w:numPr>
        <w:ilvl w:val="1"/>
        <w:numId w:val="1"/>
      </w:numPr>
      <w:adjustRightInd w:val="0"/>
      <w:snapToGrid w:val="0"/>
      <w:spacing w:before="100" w:beforeAutospacing="1" w:line="360" w:lineRule="auto"/>
      <w:outlineLvl w:val="1"/>
    </w:pPr>
    <w:rPr>
      <w:rFonts w:ascii="黑体" w:hAnsi="Cambria" w:eastAsia="黑体" w:cs="Times New Roman"/>
      <w:bCs/>
      <w:kern w:val="2"/>
      <w:sz w:val="28"/>
      <w:szCs w:val="32"/>
      <w:lang w:val="en-US" w:eastAsia="zh-CN" w:bidi="ar-SA"/>
    </w:rPr>
  </w:style>
  <w:style w:type="paragraph" w:styleId="6">
    <w:name w:val="heading 3"/>
    <w:next w:val="4"/>
    <w:link w:val="66"/>
    <w:qFormat/>
    <w:uiPriority w:val="0"/>
    <w:pPr>
      <w:keepNext/>
      <w:widowControl w:val="0"/>
      <w:numPr>
        <w:ilvl w:val="2"/>
        <w:numId w:val="1"/>
      </w:numPr>
      <w:adjustRightInd w:val="0"/>
      <w:snapToGrid w:val="0"/>
      <w:spacing w:before="100" w:beforeAutospacing="1" w:line="360" w:lineRule="auto"/>
      <w:outlineLvl w:val="2"/>
    </w:pPr>
    <w:rPr>
      <w:rFonts w:ascii="黑体" w:hAnsi="Calibri" w:eastAsia="黑体" w:cs="Times New Roman"/>
      <w:bCs/>
      <w:kern w:val="2"/>
      <w:sz w:val="24"/>
      <w:szCs w:val="32"/>
      <w:lang w:val="en-US" w:eastAsia="zh-CN" w:bidi="ar-SA"/>
    </w:rPr>
  </w:style>
  <w:style w:type="paragraph" w:styleId="7">
    <w:name w:val="heading 4"/>
    <w:next w:val="4"/>
    <w:link w:val="67"/>
    <w:qFormat/>
    <w:uiPriority w:val="0"/>
    <w:pPr>
      <w:keepNext/>
      <w:widowControl w:val="0"/>
      <w:numPr>
        <w:ilvl w:val="3"/>
        <w:numId w:val="1"/>
      </w:numPr>
      <w:adjustRightInd w:val="0"/>
      <w:snapToGrid w:val="0"/>
      <w:spacing w:before="100" w:beforeAutospacing="1" w:line="360" w:lineRule="auto"/>
      <w:outlineLvl w:val="3"/>
    </w:pPr>
    <w:rPr>
      <w:rFonts w:ascii="宋体" w:hAnsi="Cambria" w:eastAsia="宋体" w:cs="Times New Roman"/>
      <w:b/>
      <w:bCs/>
      <w:kern w:val="2"/>
      <w:sz w:val="24"/>
      <w:szCs w:val="28"/>
      <w:lang w:val="en-US" w:eastAsia="zh-CN" w:bidi="ar-SA"/>
    </w:rPr>
  </w:style>
  <w:style w:type="paragraph" w:styleId="8">
    <w:name w:val="heading 5"/>
    <w:next w:val="4"/>
    <w:link w:val="68"/>
    <w:qFormat/>
    <w:uiPriority w:val="0"/>
    <w:pPr>
      <w:keepNext/>
      <w:keepLines/>
      <w:numPr>
        <w:ilvl w:val="4"/>
        <w:numId w:val="1"/>
      </w:numPr>
      <w:spacing w:before="100" w:beforeAutospacing="1" w:line="360" w:lineRule="auto"/>
      <w:outlineLvl w:val="4"/>
    </w:pPr>
    <w:rPr>
      <w:rFonts w:ascii="宋体" w:hAnsi="Calibri" w:eastAsia="宋体" w:cs="Times New Roman"/>
      <w:bCs/>
      <w:kern w:val="2"/>
      <w:sz w:val="24"/>
      <w:szCs w:val="28"/>
      <w:lang w:val="en-US" w:eastAsia="zh-CN" w:bidi="ar-SA"/>
    </w:rPr>
  </w:style>
  <w:style w:type="paragraph" w:styleId="9">
    <w:name w:val="heading 6"/>
    <w:next w:val="4"/>
    <w:link w:val="69"/>
    <w:qFormat/>
    <w:uiPriority w:val="0"/>
    <w:pPr>
      <w:keepNext/>
      <w:keepLines/>
      <w:numPr>
        <w:ilvl w:val="5"/>
        <w:numId w:val="1"/>
      </w:numPr>
      <w:spacing w:line="360" w:lineRule="auto"/>
      <w:outlineLvl w:val="5"/>
    </w:pPr>
    <w:rPr>
      <w:rFonts w:ascii="宋体" w:hAnsi="Cambria" w:eastAsia="宋体" w:cs="Times New Roman"/>
      <w:bCs/>
      <w:kern w:val="2"/>
      <w:sz w:val="24"/>
      <w:szCs w:val="24"/>
      <w:lang w:val="en-US" w:eastAsia="zh-CN" w:bidi="ar-SA"/>
    </w:rPr>
  </w:style>
  <w:style w:type="paragraph" w:styleId="10">
    <w:name w:val="heading 7"/>
    <w:next w:val="4"/>
    <w:link w:val="70"/>
    <w:qFormat/>
    <w:uiPriority w:val="0"/>
    <w:pPr>
      <w:keepNext/>
      <w:keepLines/>
      <w:numPr>
        <w:ilvl w:val="6"/>
        <w:numId w:val="1"/>
      </w:numPr>
      <w:spacing w:line="360" w:lineRule="auto"/>
      <w:outlineLvl w:val="6"/>
    </w:pPr>
    <w:rPr>
      <w:rFonts w:ascii="宋体" w:hAnsi="Calibri" w:eastAsia="宋体" w:cs="Times New Roman"/>
      <w:bCs/>
      <w:kern w:val="2"/>
      <w:sz w:val="24"/>
      <w:szCs w:val="24"/>
      <w:lang w:val="en-US" w:eastAsia="zh-CN" w:bidi="ar-SA"/>
    </w:rPr>
  </w:style>
  <w:style w:type="paragraph" w:styleId="11">
    <w:name w:val="heading 8"/>
    <w:next w:val="4"/>
    <w:link w:val="71"/>
    <w:qFormat/>
    <w:uiPriority w:val="0"/>
    <w:pPr>
      <w:keepNext/>
      <w:keepLines/>
      <w:numPr>
        <w:ilvl w:val="7"/>
        <w:numId w:val="1"/>
      </w:numPr>
      <w:spacing w:line="360" w:lineRule="auto"/>
      <w:outlineLvl w:val="7"/>
    </w:pPr>
    <w:rPr>
      <w:rFonts w:ascii="宋体" w:hAnsi="Cambria" w:eastAsia="宋体" w:cs="Times New Roman"/>
      <w:kern w:val="2"/>
      <w:sz w:val="24"/>
      <w:szCs w:val="24"/>
      <w:lang w:val="en-US" w:eastAsia="zh-CN" w:bidi="ar-SA"/>
    </w:rPr>
  </w:style>
  <w:style w:type="paragraph" w:styleId="12">
    <w:name w:val="heading 9"/>
    <w:next w:val="4"/>
    <w:link w:val="72"/>
    <w:qFormat/>
    <w:uiPriority w:val="0"/>
    <w:pPr>
      <w:keepNext/>
      <w:keepLines/>
      <w:numPr>
        <w:ilvl w:val="8"/>
        <w:numId w:val="1"/>
      </w:numPr>
      <w:spacing w:line="360" w:lineRule="auto"/>
      <w:outlineLvl w:val="8"/>
    </w:pPr>
    <w:rPr>
      <w:rFonts w:ascii="宋体" w:hAnsi="Cambria" w:eastAsia="宋体" w:cs="Times New Roman"/>
      <w:kern w:val="2"/>
      <w:sz w:val="24"/>
      <w:szCs w:val="21"/>
      <w:lang w:val="en-US" w:eastAsia="zh-CN" w:bidi="ar-SA"/>
    </w:rPr>
  </w:style>
  <w:style w:type="character" w:default="1" w:styleId="51">
    <w:name w:val="Default Paragraph Font"/>
    <w:semiHidden/>
    <w:unhideWhenUsed/>
    <w:uiPriority w:val="1"/>
  </w:style>
  <w:style w:type="table" w:default="1" w:styleId="46">
    <w:name w:val="Normal Table"/>
    <w:semiHidden/>
    <w:unhideWhenUsed/>
    <w:uiPriority w:val="99"/>
    <w:tblPr>
      <w:tblCellMar>
        <w:top w:w="0" w:type="dxa"/>
        <w:left w:w="108" w:type="dxa"/>
        <w:bottom w:w="0" w:type="dxa"/>
        <w:right w:w="108" w:type="dxa"/>
      </w:tblCellMar>
    </w:tblPr>
  </w:style>
  <w:style w:type="paragraph" w:styleId="2">
    <w:name w:val="macro"/>
    <w:link w:val="317"/>
    <w:autoRedefine/>
    <w:unhideWhenUsed/>
    <w:qFormat/>
    <w:locked/>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customStyle="1" w:styleId="4">
    <w:name w:val="SSEC 正文"/>
    <w:link w:val="73"/>
    <w:qFormat/>
    <w:uiPriority w:val="0"/>
    <w:pPr>
      <w:widowControl w:val="0"/>
      <w:adjustRightInd w:val="0"/>
      <w:snapToGrid w:val="0"/>
      <w:spacing w:line="331" w:lineRule="auto"/>
      <w:ind w:firstLine="200" w:firstLineChars="200"/>
      <w:jc w:val="both"/>
    </w:pPr>
    <w:rPr>
      <w:rFonts w:ascii="宋体" w:hAnsi="宋体" w:eastAsia="宋体" w:cs="Times New Roman"/>
      <w:kern w:val="2"/>
      <w:sz w:val="24"/>
      <w:szCs w:val="24"/>
      <w:lang w:val="en-US" w:eastAsia="zh-CN" w:bidi="ar-SA"/>
    </w:rPr>
  </w:style>
  <w:style w:type="paragraph" w:styleId="13">
    <w:name w:val="toc 7"/>
    <w:basedOn w:val="1"/>
    <w:next w:val="1"/>
    <w:unhideWhenUsed/>
    <w:qFormat/>
    <w:locked/>
    <w:uiPriority w:val="0"/>
    <w:pPr>
      <w:ind w:left="2520" w:leftChars="1200"/>
    </w:pPr>
    <w:rPr>
      <w:szCs w:val="22"/>
    </w:rPr>
  </w:style>
  <w:style w:type="paragraph" w:styleId="14">
    <w:name w:val="Normal Indent"/>
    <w:basedOn w:val="1"/>
    <w:link w:val="114"/>
    <w:qFormat/>
    <w:locked/>
    <w:uiPriority w:val="0"/>
    <w:pPr>
      <w:snapToGrid w:val="0"/>
      <w:spacing w:line="360" w:lineRule="auto"/>
      <w:ind w:firstLine="420"/>
    </w:pPr>
    <w:rPr>
      <w:rFonts w:ascii="Times New Roman" w:hAnsi="Times New Roman"/>
      <w:spacing w:val="10"/>
      <w:sz w:val="24"/>
      <w:szCs w:val="20"/>
    </w:rPr>
  </w:style>
  <w:style w:type="paragraph" w:styleId="15">
    <w:name w:val="caption"/>
    <w:next w:val="1"/>
    <w:link w:val="139"/>
    <w:qFormat/>
    <w:uiPriority w:val="99"/>
    <w:pPr>
      <w:widowControl w:val="0"/>
      <w:adjustRightInd w:val="0"/>
      <w:snapToGrid w:val="0"/>
      <w:spacing w:beforeLines="50" w:line="360" w:lineRule="auto"/>
      <w:jc w:val="center"/>
    </w:pPr>
    <w:rPr>
      <w:rFonts w:ascii="宋体" w:hAnsi="Cambria" w:eastAsia="宋体" w:cs="Times New Roman"/>
      <w:kern w:val="2"/>
      <w:sz w:val="21"/>
      <w:lang w:val="en-US" w:eastAsia="zh-CN" w:bidi="ar-SA"/>
    </w:rPr>
  </w:style>
  <w:style w:type="paragraph" w:styleId="16">
    <w:name w:val="Document Map"/>
    <w:basedOn w:val="1"/>
    <w:link w:val="160"/>
    <w:unhideWhenUsed/>
    <w:qFormat/>
    <w:locked/>
    <w:uiPriority w:val="0"/>
    <w:rPr>
      <w:rFonts w:ascii="宋体"/>
      <w:sz w:val="18"/>
      <w:szCs w:val="18"/>
    </w:rPr>
  </w:style>
  <w:style w:type="paragraph" w:styleId="17">
    <w:name w:val="annotation text"/>
    <w:basedOn w:val="1"/>
    <w:link w:val="110"/>
    <w:unhideWhenUsed/>
    <w:qFormat/>
    <w:locked/>
    <w:uiPriority w:val="99"/>
    <w:pPr>
      <w:jc w:val="left"/>
    </w:pPr>
  </w:style>
  <w:style w:type="paragraph" w:styleId="18">
    <w:name w:val="Body Text 3"/>
    <w:basedOn w:val="1"/>
    <w:link w:val="188"/>
    <w:qFormat/>
    <w:locked/>
    <w:uiPriority w:val="0"/>
    <w:pPr>
      <w:spacing w:line="360" w:lineRule="auto"/>
    </w:pPr>
    <w:rPr>
      <w:color w:val="000000"/>
      <w:sz w:val="24"/>
      <w:szCs w:val="20"/>
    </w:rPr>
  </w:style>
  <w:style w:type="paragraph" w:styleId="19">
    <w:name w:val="Body Text"/>
    <w:basedOn w:val="1"/>
    <w:link w:val="193"/>
    <w:unhideWhenUsed/>
    <w:qFormat/>
    <w:locked/>
    <w:uiPriority w:val="0"/>
    <w:pPr>
      <w:spacing w:after="120"/>
    </w:pPr>
  </w:style>
  <w:style w:type="paragraph" w:styleId="20">
    <w:name w:val="Body Text Indent"/>
    <w:basedOn w:val="1"/>
    <w:link w:val="189"/>
    <w:qFormat/>
    <w:locked/>
    <w:uiPriority w:val="0"/>
    <w:pPr>
      <w:spacing w:line="360" w:lineRule="auto"/>
      <w:ind w:firstLine="480" w:firstLineChars="200"/>
    </w:pPr>
    <w:rPr>
      <w:rFonts w:eastAsia="仿宋_GB2312"/>
      <w:color w:val="0000FF"/>
      <w:sz w:val="24"/>
      <w:szCs w:val="20"/>
    </w:rPr>
  </w:style>
  <w:style w:type="paragraph" w:styleId="21">
    <w:name w:val="toc 5"/>
    <w:basedOn w:val="1"/>
    <w:next w:val="1"/>
    <w:unhideWhenUsed/>
    <w:qFormat/>
    <w:locked/>
    <w:uiPriority w:val="0"/>
    <w:pPr>
      <w:ind w:left="1680" w:leftChars="800"/>
    </w:pPr>
    <w:rPr>
      <w:szCs w:val="22"/>
    </w:rPr>
  </w:style>
  <w:style w:type="paragraph" w:styleId="22">
    <w:name w:val="toc 3"/>
    <w:basedOn w:val="1"/>
    <w:next w:val="1"/>
    <w:unhideWhenUsed/>
    <w:qFormat/>
    <w:uiPriority w:val="0"/>
    <w:pPr>
      <w:ind w:left="420"/>
      <w:jc w:val="left"/>
    </w:pPr>
    <w:rPr>
      <w:rFonts w:cs="Calibri"/>
      <w:sz w:val="20"/>
      <w:szCs w:val="20"/>
    </w:rPr>
  </w:style>
  <w:style w:type="paragraph" w:styleId="23">
    <w:name w:val="Plain Text"/>
    <w:basedOn w:val="1"/>
    <w:link w:val="89"/>
    <w:unhideWhenUsed/>
    <w:qFormat/>
    <w:locked/>
    <w:uiPriority w:val="0"/>
    <w:rPr>
      <w:rFonts w:ascii="宋体" w:hAnsi="Courier New" w:cs="Courier New"/>
    </w:rPr>
  </w:style>
  <w:style w:type="paragraph" w:styleId="24">
    <w:name w:val="toc 8"/>
    <w:basedOn w:val="1"/>
    <w:next w:val="1"/>
    <w:unhideWhenUsed/>
    <w:qFormat/>
    <w:locked/>
    <w:uiPriority w:val="0"/>
    <w:pPr>
      <w:ind w:left="2940" w:leftChars="1400"/>
    </w:pPr>
    <w:rPr>
      <w:szCs w:val="22"/>
    </w:rPr>
  </w:style>
  <w:style w:type="paragraph" w:styleId="25">
    <w:name w:val="Date"/>
    <w:basedOn w:val="1"/>
    <w:next w:val="1"/>
    <w:link w:val="132"/>
    <w:unhideWhenUsed/>
    <w:qFormat/>
    <w:locked/>
    <w:uiPriority w:val="0"/>
    <w:pPr>
      <w:ind w:left="100" w:leftChars="2500"/>
    </w:pPr>
  </w:style>
  <w:style w:type="paragraph" w:styleId="26">
    <w:name w:val="Body Text Indent 2"/>
    <w:basedOn w:val="1"/>
    <w:link w:val="180"/>
    <w:qFormat/>
    <w:locked/>
    <w:uiPriority w:val="0"/>
    <w:pPr>
      <w:spacing w:line="360" w:lineRule="auto"/>
      <w:ind w:firstLine="520" w:firstLineChars="200"/>
    </w:pPr>
    <w:rPr>
      <w:rFonts w:ascii="宋体" w:hAnsi="宋体" w:eastAsia="楷体_GB2312"/>
      <w:color w:val="000000"/>
      <w:spacing w:val="10"/>
      <w:sz w:val="24"/>
      <w:szCs w:val="20"/>
    </w:rPr>
  </w:style>
  <w:style w:type="paragraph" w:styleId="27">
    <w:name w:val="endnote text"/>
    <w:basedOn w:val="1"/>
    <w:link w:val="154"/>
    <w:qFormat/>
    <w:locked/>
    <w:uiPriority w:val="99"/>
    <w:pPr>
      <w:numPr>
        <w:ilvl w:val="1"/>
        <w:numId w:val="2"/>
      </w:numPr>
      <w:autoSpaceDE w:val="0"/>
      <w:autoSpaceDN w:val="0"/>
      <w:adjustRightInd w:val="0"/>
      <w:snapToGrid w:val="0"/>
      <w:spacing w:line="360" w:lineRule="auto"/>
      <w:ind w:left="0" w:firstLine="0"/>
      <w:jc w:val="left"/>
    </w:pPr>
    <w:rPr>
      <w:rFonts w:ascii="Times New Roman" w:hAnsi="Times New Roman"/>
      <w:kern w:val="0"/>
      <w:sz w:val="24"/>
      <w:szCs w:val="20"/>
    </w:rPr>
  </w:style>
  <w:style w:type="paragraph" w:styleId="28">
    <w:name w:val="Balloon Text"/>
    <w:basedOn w:val="1"/>
    <w:link w:val="109"/>
    <w:qFormat/>
    <w:locked/>
    <w:uiPriority w:val="0"/>
    <w:rPr>
      <w:rFonts w:ascii="Times New Roman" w:hAnsi="Times New Roman"/>
      <w:sz w:val="18"/>
      <w:szCs w:val="18"/>
    </w:rPr>
  </w:style>
  <w:style w:type="paragraph" w:styleId="29">
    <w:name w:val="footer"/>
    <w:link w:val="125"/>
    <w:unhideWhenUsed/>
    <w:qFormat/>
    <w:uiPriority w:val="99"/>
    <w:pPr>
      <w:tabs>
        <w:tab w:val="center" w:pos="4153"/>
        <w:tab w:val="right" w:pos="8306"/>
      </w:tabs>
      <w:snapToGrid w:val="0"/>
      <w:textAlignment w:val="center"/>
    </w:pPr>
    <w:rPr>
      <w:rFonts w:ascii="宋体" w:hAnsi="Calibri" w:eastAsia="宋体" w:cs="Times New Roman"/>
      <w:kern w:val="2"/>
      <w:sz w:val="18"/>
      <w:szCs w:val="18"/>
      <w:lang w:val="en-US" w:eastAsia="zh-CN" w:bidi="ar-SA"/>
    </w:rPr>
  </w:style>
  <w:style w:type="paragraph" w:styleId="30">
    <w:name w:val="header"/>
    <w:link w:val="74"/>
    <w:unhideWhenUsed/>
    <w:qFormat/>
    <w:uiPriority w:val="99"/>
    <w:pPr>
      <w:pBdr>
        <w:bottom w:val="single" w:color="auto" w:sz="4" w:space="1"/>
      </w:pBdr>
      <w:tabs>
        <w:tab w:val="center" w:pos="4153"/>
        <w:tab w:val="right" w:pos="8306"/>
      </w:tabs>
      <w:snapToGrid w:val="0"/>
      <w:jc w:val="center"/>
    </w:pPr>
    <w:rPr>
      <w:rFonts w:ascii="宋体" w:hAnsi="Calibri" w:eastAsia="宋体" w:cs="Times New Roman"/>
      <w:kern w:val="2"/>
      <w:sz w:val="18"/>
      <w:szCs w:val="18"/>
      <w:lang w:val="en-US" w:eastAsia="zh-CN" w:bidi="ar-SA"/>
    </w:rPr>
  </w:style>
  <w:style w:type="paragraph" w:styleId="31">
    <w:name w:val="toc 1"/>
    <w:next w:val="1"/>
    <w:link w:val="85"/>
    <w:unhideWhenUsed/>
    <w:qFormat/>
    <w:uiPriority w:val="39"/>
    <w:pPr>
      <w:tabs>
        <w:tab w:val="right" w:leader="dot" w:pos="8720"/>
      </w:tabs>
      <w:adjustRightInd w:val="0"/>
      <w:snapToGrid w:val="0"/>
      <w:spacing w:line="360" w:lineRule="auto"/>
      <w:jc w:val="both"/>
    </w:pPr>
    <w:rPr>
      <w:rFonts w:ascii="黑体" w:hAnsi="Calibri" w:eastAsia="宋体" w:cs="Calibri"/>
      <w:b/>
      <w:bCs/>
      <w:kern w:val="2"/>
      <w:sz w:val="28"/>
      <w:lang w:val="en-US" w:eastAsia="zh-CN" w:bidi="ar-SA"/>
    </w:rPr>
  </w:style>
  <w:style w:type="paragraph" w:styleId="32">
    <w:name w:val="List Continue 4"/>
    <w:basedOn w:val="1"/>
    <w:qFormat/>
    <w:locked/>
    <w:uiPriority w:val="0"/>
    <w:pPr>
      <w:numPr>
        <w:ilvl w:val="0"/>
        <w:numId w:val="3"/>
      </w:numPr>
      <w:tabs>
        <w:tab w:val="left" w:pos="377"/>
        <w:tab w:val="clear" w:pos="567"/>
      </w:tabs>
      <w:spacing w:after="120"/>
      <w:ind w:left="1680" w:firstLine="0"/>
    </w:pPr>
    <w:rPr>
      <w:rFonts w:ascii="Times New Roman" w:hAnsi="Times New Roman"/>
      <w:szCs w:val="24"/>
    </w:rPr>
  </w:style>
  <w:style w:type="paragraph" w:styleId="33">
    <w:name w:val="toc 4"/>
    <w:basedOn w:val="1"/>
    <w:next w:val="1"/>
    <w:unhideWhenUsed/>
    <w:qFormat/>
    <w:locked/>
    <w:uiPriority w:val="0"/>
    <w:pPr>
      <w:ind w:left="1260" w:leftChars="600"/>
    </w:pPr>
    <w:rPr>
      <w:szCs w:val="22"/>
    </w:rPr>
  </w:style>
  <w:style w:type="paragraph" w:styleId="34">
    <w:name w:val="Subtitle"/>
    <w:basedOn w:val="1"/>
    <w:next w:val="1"/>
    <w:link w:val="323"/>
    <w:qFormat/>
    <w:locked/>
    <w:uiPriority w:val="99"/>
    <w:pPr>
      <w:widowControl/>
      <w:spacing w:before="240" w:after="60" w:line="312" w:lineRule="auto"/>
      <w:jc w:val="center"/>
      <w:outlineLvl w:val="1"/>
    </w:pPr>
    <w:rPr>
      <w:b/>
      <w:bCs/>
      <w:kern w:val="28"/>
      <w:sz w:val="32"/>
      <w:szCs w:val="32"/>
    </w:rPr>
  </w:style>
  <w:style w:type="paragraph" w:styleId="35">
    <w:name w:val="List"/>
    <w:basedOn w:val="1"/>
    <w:qFormat/>
    <w:locked/>
    <w:uiPriority w:val="0"/>
    <w:pPr>
      <w:widowControl/>
      <w:overflowPunct w:val="0"/>
      <w:autoSpaceDE w:val="0"/>
      <w:autoSpaceDN w:val="0"/>
      <w:adjustRightInd w:val="0"/>
      <w:spacing w:line="360" w:lineRule="auto"/>
      <w:ind w:left="360" w:leftChars="200" w:hanging="360"/>
      <w:jc w:val="left"/>
      <w:textAlignment w:val="baseline"/>
    </w:pPr>
    <w:rPr>
      <w:rFonts w:ascii="Times New Roman" w:hAnsi="Times New Roman"/>
      <w:kern w:val="0"/>
      <w:sz w:val="20"/>
      <w:szCs w:val="20"/>
    </w:rPr>
  </w:style>
  <w:style w:type="paragraph" w:styleId="36">
    <w:name w:val="toc 6"/>
    <w:basedOn w:val="1"/>
    <w:next w:val="1"/>
    <w:unhideWhenUsed/>
    <w:qFormat/>
    <w:locked/>
    <w:uiPriority w:val="0"/>
    <w:pPr>
      <w:ind w:left="2100" w:leftChars="1000"/>
    </w:pPr>
    <w:rPr>
      <w:szCs w:val="22"/>
    </w:rPr>
  </w:style>
  <w:style w:type="paragraph" w:styleId="37">
    <w:name w:val="Body Text Indent 3"/>
    <w:basedOn w:val="1"/>
    <w:link w:val="163"/>
    <w:unhideWhenUsed/>
    <w:qFormat/>
    <w:locked/>
    <w:uiPriority w:val="0"/>
    <w:pPr>
      <w:spacing w:after="120"/>
      <w:ind w:left="420" w:leftChars="200"/>
    </w:pPr>
    <w:rPr>
      <w:sz w:val="16"/>
      <w:szCs w:val="16"/>
    </w:rPr>
  </w:style>
  <w:style w:type="paragraph" w:styleId="38">
    <w:name w:val="toc 2"/>
    <w:next w:val="1"/>
    <w:link w:val="86"/>
    <w:unhideWhenUsed/>
    <w:qFormat/>
    <w:uiPriority w:val="39"/>
    <w:pPr>
      <w:adjustRightInd w:val="0"/>
      <w:snapToGrid w:val="0"/>
      <w:spacing w:line="360" w:lineRule="auto"/>
      <w:ind w:left="420" w:leftChars="200"/>
      <w:jc w:val="both"/>
    </w:pPr>
    <w:rPr>
      <w:rFonts w:ascii="黑体" w:hAnsi="Calibri" w:eastAsia="宋体" w:cs="Calibri"/>
      <w:iCs/>
      <w:kern w:val="2"/>
      <w:sz w:val="24"/>
      <w:lang w:val="en-US" w:eastAsia="zh-CN" w:bidi="ar-SA"/>
    </w:rPr>
  </w:style>
  <w:style w:type="paragraph" w:styleId="39">
    <w:name w:val="toc 9"/>
    <w:basedOn w:val="1"/>
    <w:next w:val="1"/>
    <w:unhideWhenUsed/>
    <w:qFormat/>
    <w:locked/>
    <w:uiPriority w:val="0"/>
    <w:pPr>
      <w:ind w:left="3360" w:leftChars="1600"/>
    </w:pPr>
    <w:rPr>
      <w:szCs w:val="22"/>
    </w:rPr>
  </w:style>
  <w:style w:type="paragraph" w:styleId="40">
    <w:name w:val="Body Text 2"/>
    <w:basedOn w:val="1"/>
    <w:link w:val="155"/>
    <w:qFormat/>
    <w:locked/>
    <w:uiPriority w:val="0"/>
    <w:pPr>
      <w:spacing w:after="120" w:line="480" w:lineRule="auto"/>
    </w:pPr>
    <w:rPr>
      <w:rFonts w:ascii="Times New Roman" w:hAnsi="Times New Roman"/>
      <w:szCs w:val="20"/>
    </w:rPr>
  </w:style>
  <w:style w:type="paragraph" w:styleId="41">
    <w:name w:val="HTML Preformatted"/>
    <w:basedOn w:val="1"/>
    <w:link w:val="186"/>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kern w:val="0"/>
      <w:sz w:val="20"/>
      <w:szCs w:val="20"/>
    </w:rPr>
  </w:style>
  <w:style w:type="paragraph" w:styleId="42">
    <w:name w:val="Normal (Web)"/>
    <w:basedOn w:val="1"/>
    <w:qFormat/>
    <w:locked/>
    <w:uiPriority w:val="99"/>
    <w:pPr>
      <w:widowControl/>
      <w:numPr>
        <w:ilvl w:val="1"/>
        <w:numId w:val="4"/>
      </w:numPr>
      <w:tabs>
        <w:tab w:val="left" w:pos="377"/>
        <w:tab w:val="clear" w:pos="1985"/>
      </w:tabs>
      <w:spacing w:before="100" w:beforeAutospacing="1" w:after="100" w:afterAutospacing="1"/>
      <w:ind w:left="0" w:firstLine="0"/>
      <w:jc w:val="left"/>
    </w:pPr>
    <w:rPr>
      <w:rFonts w:ascii="宋体" w:hAnsi="Times New Roman" w:cs="宋体"/>
      <w:color w:val="000000"/>
      <w:kern w:val="0"/>
      <w:sz w:val="24"/>
      <w:szCs w:val="24"/>
    </w:rPr>
  </w:style>
  <w:style w:type="paragraph" w:styleId="43">
    <w:name w:val="Title"/>
    <w:basedOn w:val="1"/>
    <w:next w:val="1"/>
    <w:link w:val="88"/>
    <w:qFormat/>
    <w:locked/>
    <w:uiPriority w:val="10"/>
    <w:pPr>
      <w:spacing w:before="240" w:after="60"/>
      <w:jc w:val="center"/>
      <w:outlineLvl w:val="0"/>
    </w:pPr>
    <w:rPr>
      <w:rFonts w:ascii="Cambria" w:hAnsi="Cambria"/>
      <w:b/>
      <w:bCs/>
      <w:sz w:val="32"/>
      <w:szCs w:val="32"/>
    </w:rPr>
  </w:style>
  <w:style w:type="paragraph" w:styleId="44">
    <w:name w:val="annotation subject"/>
    <w:basedOn w:val="17"/>
    <w:next w:val="17"/>
    <w:link w:val="111"/>
    <w:unhideWhenUsed/>
    <w:qFormat/>
    <w:locked/>
    <w:uiPriority w:val="0"/>
    <w:rPr>
      <w:b/>
      <w:bCs/>
    </w:rPr>
  </w:style>
  <w:style w:type="paragraph" w:styleId="45">
    <w:name w:val="Body Text First Indent"/>
    <w:basedOn w:val="19"/>
    <w:link w:val="176"/>
    <w:qFormat/>
    <w:locked/>
    <w:uiPriority w:val="0"/>
    <w:pPr>
      <w:ind w:firstLine="420" w:firstLineChars="100"/>
    </w:pPr>
    <w:rPr>
      <w:szCs w:val="20"/>
    </w:rPr>
  </w:style>
  <w:style w:type="table" w:styleId="47">
    <w:name w:val="Table Grid"/>
    <w:basedOn w:val="46"/>
    <w:qFormat/>
    <w:locked/>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8">
    <w:name w:val="Table Theme"/>
    <w:basedOn w:val="46"/>
    <w:qFormat/>
    <w:locked/>
    <w:uiPriority w:val="0"/>
    <w:pPr>
      <w:widowControl w:val="0"/>
      <w:jc w:val="both"/>
    </w:pPr>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9">
    <w:name w:val="Table Grid 1"/>
    <w:basedOn w:val="46"/>
    <w:semiHidden/>
    <w:unhideWhenUsed/>
    <w:qFormat/>
    <w:locked/>
    <w:uiPriority w:val="99"/>
    <w:pPr>
      <w:widowControl w:val="0"/>
      <w:jc w:val="both"/>
    </w:pPr>
    <w:rPr>
      <w:rFonts w:asciiTheme="minorHAnsi" w:hAnsiTheme="minorHAnsi" w:eastAsiaTheme="minorEastAsia" w:cstheme="minorBid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50">
    <w:name w:val="Table Professional"/>
    <w:basedOn w:val="46"/>
    <w:qFormat/>
    <w:locked/>
    <w:uiPriority w:val="0"/>
    <w:pPr>
      <w:widowControl w:val="0"/>
      <w:jc w:val="both"/>
    </w:pPr>
    <w:rPr>
      <w:kern w:val="2"/>
      <w:sz w:val="21"/>
      <w:szCs w:val="22"/>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52">
    <w:name w:val="Strong"/>
    <w:qFormat/>
    <w:locked/>
    <w:uiPriority w:val="22"/>
    <w:rPr>
      <w:b/>
      <w:bCs/>
    </w:rPr>
  </w:style>
  <w:style w:type="character" w:styleId="53">
    <w:name w:val="endnote reference"/>
    <w:unhideWhenUsed/>
    <w:qFormat/>
    <w:locked/>
    <w:uiPriority w:val="99"/>
    <w:rPr>
      <w:vertAlign w:val="superscript"/>
    </w:rPr>
  </w:style>
  <w:style w:type="character" w:styleId="54">
    <w:name w:val="page number"/>
    <w:qFormat/>
    <w:uiPriority w:val="0"/>
  </w:style>
  <w:style w:type="character" w:styleId="55">
    <w:name w:val="FollowedHyperlink"/>
    <w:qFormat/>
    <w:locked/>
    <w:uiPriority w:val="0"/>
    <w:rPr>
      <w:color w:val="000000"/>
      <w:u w:val="none"/>
    </w:rPr>
  </w:style>
  <w:style w:type="character" w:styleId="56">
    <w:name w:val="Emphasis"/>
    <w:qFormat/>
    <w:locked/>
    <w:uiPriority w:val="20"/>
    <w:rPr>
      <w:color w:val="CC0000"/>
    </w:rPr>
  </w:style>
  <w:style w:type="character" w:styleId="57">
    <w:name w:val="HTML Definition"/>
    <w:qFormat/>
    <w:locked/>
    <w:uiPriority w:val="0"/>
  </w:style>
  <w:style w:type="character" w:styleId="58">
    <w:name w:val="HTML Acronym"/>
    <w:basedOn w:val="51"/>
    <w:qFormat/>
    <w:locked/>
    <w:uiPriority w:val="0"/>
  </w:style>
  <w:style w:type="character" w:styleId="59">
    <w:name w:val="HTML Variable"/>
    <w:qFormat/>
    <w:locked/>
    <w:uiPriority w:val="0"/>
  </w:style>
  <w:style w:type="character" w:styleId="60">
    <w:name w:val="Hyperlink"/>
    <w:unhideWhenUsed/>
    <w:qFormat/>
    <w:uiPriority w:val="99"/>
    <w:rPr>
      <w:color w:val="0000FF"/>
      <w:u w:val="single"/>
    </w:rPr>
  </w:style>
  <w:style w:type="character" w:styleId="61">
    <w:name w:val="HTML Code"/>
    <w:qFormat/>
    <w:locked/>
    <w:uiPriority w:val="0"/>
    <w:rPr>
      <w:rFonts w:hint="eastAsia" w:ascii="Arial" w:hAnsi="Arial" w:cs="Arial"/>
      <w:sz w:val="18"/>
      <w:szCs w:val="18"/>
    </w:rPr>
  </w:style>
  <w:style w:type="character" w:styleId="62">
    <w:name w:val="annotation reference"/>
    <w:unhideWhenUsed/>
    <w:qFormat/>
    <w:locked/>
    <w:uiPriority w:val="0"/>
    <w:rPr>
      <w:sz w:val="21"/>
      <w:szCs w:val="21"/>
    </w:rPr>
  </w:style>
  <w:style w:type="character" w:styleId="63">
    <w:name w:val="HTML Cite"/>
    <w:qFormat/>
    <w:locked/>
    <w:uiPriority w:val="0"/>
  </w:style>
  <w:style w:type="character" w:customStyle="1" w:styleId="64">
    <w:name w:val="标题 1 字符"/>
    <w:qFormat/>
    <w:uiPriority w:val="0"/>
    <w:rPr>
      <w:rFonts w:ascii="黑体" w:hAnsi="Times New Roman" w:eastAsia="黑体"/>
      <w:kern w:val="44"/>
      <w:sz w:val="30"/>
      <w:szCs w:val="44"/>
    </w:rPr>
  </w:style>
  <w:style w:type="character" w:customStyle="1" w:styleId="65">
    <w:name w:val="标题 2 字符"/>
    <w:link w:val="5"/>
    <w:qFormat/>
    <w:uiPriority w:val="0"/>
    <w:rPr>
      <w:rFonts w:ascii="黑体" w:hAnsi="Cambria" w:eastAsia="黑体" w:cs="Times New Roman"/>
      <w:bCs/>
      <w:kern w:val="2"/>
      <w:sz w:val="28"/>
      <w:szCs w:val="32"/>
    </w:rPr>
  </w:style>
  <w:style w:type="character" w:customStyle="1" w:styleId="66">
    <w:name w:val="标题 3 字符"/>
    <w:link w:val="6"/>
    <w:qFormat/>
    <w:uiPriority w:val="0"/>
    <w:rPr>
      <w:rFonts w:ascii="黑体" w:eastAsia="黑体"/>
      <w:bCs/>
      <w:kern w:val="2"/>
      <w:sz w:val="24"/>
      <w:szCs w:val="32"/>
    </w:rPr>
  </w:style>
  <w:style w:type="character" w:customStyle="1" w:styleId="67">
    <w:name w:val="标题 4 字符"/>
    <w:link w:val="7"/>
    <w:qFormat/>
    <w:uiPriority w:val="0"/>
    <w:rPr>
      <w:rFonts w:ascii="宋体" w:hAnsi="Cambria" w:eastAsia="宋体" w:cs="Times New Roman"/>
      <w:b/>
      <w:bCs/>
      <w:kern w:val="2"/>
      <w:sz w:val="24"/>
      <w:szCs w:val="28"/>
    </w:rPr>
  </w:style>
  <w:style w:type="character" w:customStyle="1" w:styleId="68">
    <w:name w:val="标题 5 字符"/>
    <w:link w:val="8"/>
    <w:qFormat/>
    <w:uiPriority w:val="0"/>
    <w:rPr>
      <w:rFonts w:ascii="宋体" w:eastAsia="宋体"/>
      <w:bCs/>
      <w:kern w:val="2"/>
      <w:sz w:val="24"/>
      <w:szCs w:val="28"/>
    </w:rPr>
  </w:style>
  <w:style w:type="character" w:customStyle="1" w:styleId="69">
    <w:name w:val="标题 6 字符"/>
    <w:link w:val="9"/>
    <w:qFormat/>
    <w:uiPriority w:val="0"/>
    <w:rPr>
      <w:rFonts w:ascii="宋体" w:hAnsi="Cambria" w:eastAsia="宋体" w:cs="Times New Roman"/>
      <w:bCs/>
      <w:kern w:val="2"/>
      <w:sz w:val="24"/>
      <w:szCs w:val="24"/>
    </w:rPr>
  </w:style>
  <w:style w:type="character" w:customStyle="1" w:styleId="70">
    <w:name w:val="标题 7 字符"/>
    <w:link w:val="10"/>
    <w:qFormat/>
    <w:uiPriority w:val="0"/>
    <w:rPr>
      <w:rFonts w:ascii="宋体" w:eastAsia="宋体"/>
      <w:bCs/>
      <w:kern w:val="2"/>
      <w:sz w:val="24"/>
      <w:szCs w:val="24"/>
    </w:rPr>
  </w:style>
  <w:style w:type="character" w:customStyle="1" w:styleId="71">
    <w:name w:val="标题 8 字符"/>
    <w:link w:val="11"/>
    <w:qFormat/>
    <w:uiPriority w:val="0"/>
    <w:rPr>
      <w:rFonts w:ascii="宋体" w:hAnsi="Cambria" w:eastAsia="宋体" w:cs="Times New Roman"/>
      <w:kern w:val="2"/>
      <w:sz w:val="24"/>
      <w:szCs w:val="24"/>
    </w:rPr>
  </w:style>
  <w:style w:type="character" w:customStyle="1" w:styleId="72">
    <w:name w:val="标题 9 字符"/>
    <w:link w:val="12"/>
    <w:qFormat/>
    <w:uiPriority w:val="0"/>
    <w:rPr>
      <w:rFonts w:ascii="宋体" w:hAnsi="Cambria" w:eastAsia="宋体" w:cs="Times New Roman"/>
      <w:kern w:val="2"/>
      <w:sz w:val="24"/>
      <w:szCs w:val="21"/>
    </w:rPr>
  </w:style>
  <w:style w:type="character" w:customStyle="1" w:styleId="73">
    <w:name w:val="SSEC 正文 字符"/>
    <w:link w:val="4"/>
    <w:qFormat/>
    <w:uiPriority w:val="0"/>
    <w:rPr>
      <w:rFonts w:ascii="宋体" w:hAnsi="宋体" w:eastAsia="宋体"/>
      <w:sz w:val="24"/>
      <w:szCs w:val="24"/>
    </w:rPr>
  </w:style>
  <w:style w:type="character" w:customStyle="1" w:styleId="74">
    <w:name w:val="页眉 字符"/>
    <w:link w:val="30"/>
    <w:qFormat/>
    <w:uiPriority w:val="99"/>
    <w:rPr>
      <w:rFonts w:ascii="宋体" w:eastAsia="宋体"/>
      <w:sz w:val="18"/>
      <w:szCs w:val="18"/>
    </w:rPr>
  </w:style>
  <w:style w:type="character" w:customStyle="1" w:styleId="75">
    <w:name w:val="页脚 字符"/>
    <w:qFormat/>
    <w:uiPriority w:val="99"/>
  </w:style>
  <w:style w:type="paragraph" w:customStyle="1" w:styleId="76">
    <w:name w:val="SSEC 表内序号"/>
    <w:link w:val="77"/>
    <w:qFormat/>
    <w:uiPriority w:val="0"/>
    <w:pPr>
      <w:widowControl w:val="0"/>
      <w:numPr>
        <w:ilvl w:val="0"/>
        <w:numId w:val="5"/>
      </w:numPr>
      <w:adjustRightInd w:val="0"/>
      <w:snapToGrid w:val="0"/>
      <w:jc w:val="center"/>
      <w:textAlignment w:val="center"/>
    </w:pPr>
    <w:rPr>
      <w:rFonts w:ascii="宋体" w:hAnsi="Times New Roman" w:eastAsia="宋体" w:cs="Times New Roman"/>
      <w:kern w:val="2"/>
      <w:sz w:val="21"/>
      <w:szCs w:val="21"/>
      <w:lang w:val="en-US" w:eastAsia="zh-CN" w:bidi="ar-SA"/>
    </w:rPr>
  </w:style>
  <w:style w:type="character" w:customStyle="1" w:styleId="77">
    <w:name w:val="SSEC 表内序号 字符"/>
    <w:link w:val="76"/>
    <w:qFormat/>
    <w:uiPriority w:val="0"/>
    <w:rPr>
      <w:rFonts w:ascii="宋体"/>
      <w:kern w:val="2"/>
      <w:sz w:val="21"/>
      <w:szCs w:val="21"/>
    </w:rPr>
  </w:style>
  <w:style w:type="paragraph" w:customStyle="1" w:styleId="78">
    <w:name w:val="SSEC 目录名"/>
    <w:link w:val="79"/>
    <w:qFormat/>
    <w:uiPriority w:val="0"/>
    <w:pPr>
      <w:widowControl w:val="0"/>
      <w:adjustRightInd w:val="0"/>
      <w:snapToGrid w:val="0"/>
      <w:spacing w:before="100" w:beforeAutospacing="1" w:line="360" w:lineRule="auto"/>
      <w:jc w:val="center"/>
    </w:pPr>
    <w:rPr>
      <w:rFonts w:ascii="黑体" w:hAnsi="黑体" w:eastAsia="黑体" w:cs="Times New Roman"/>
      <w:kern w:val="2"/>
      <w:sz w:val="32"/>
      <w:szCs w:val="30"/>
      <w:lang w:val="en-US" w:eastAsia="zh-CN" w:bidi="ar-SA"/>
    </w:rPr>
  </w:style>
  <w:style w:type="character" w:customStyle="1" w:styleId="79">
    <w:name w:val="SSEC 目录名 字符"/>
    <w:link w:val="78"/>
    <w:qFormat/>
    <w:uiPriority w:val="0"/>
    <w:rPr>
      <w:rFonts w:ascii="黑体" w:hAnsi="黑体" w:eastAsia="黑体"/>
      <w:sz w:val="32"/>
      <w:szCs w:val="30"/>
    </w:rPr>
  </w:style>
  <w:style w:type="paragraph" w:customStyle="1" w:styleId="80">
    <w:name w:val="SSEC 表字居左"/>
    <w:link w:val="84"/>
    <w:qFormat/>
    <w:uiPriority w:val="0"/>
    <w:pPr>
      <w:keepNext/>
      <w:widowControl w:val="0"/>
      <w:adjustRightInd w:val="0"/>
      <w:snapToGrid w:val="0"/>
    </w:pPr>
    <w:rPr>
      <w:rFonts w:ascii="宋体" w:hAnsi="Calibri" w:eastAsia="宋体" w:cs="Times New Roman"/>
      <w:kern w:val="2"/>
      <w:sz w:val="21"/>
      <w:szCs w:val="21"/>
      <w:lang w:val="en-US" w:eastAsia="zh-CN" w:bidi="ar-SA"/>
    </w:rPr>
  </w:style>
  <w:style w:type="paragraph" w:customStyle="1" w:styleId="81">
    <w:name w:val="SSEC 表字居中"/>
    <w:link w:val="83"/>
    <w:qFormat/>
    <w:uiPriority w:val="0"/>
    <w:pPr>
      <w:widowControl w:val="0"/>
      <w:adjustRightInd w:val="0"/>
      <w:snapToGrid w:val="0"/>
      <w:jc w:val="center"/>
      <w:textAlignment w:val="center"/>
    </w:pPr>
    <w:rPr>
      <w:rFonts w:ascii="宋体" w:hAnsi="Times New Roman" w:eastAsia="宋体" w:cs="Times New Roman"/>
      <w:kern w:val="2"/>
      <w:sz w:val="21"/>
      <w:szCs w:val="21"/>
      <w:lang w:val="en-US" w:eastAsia="zh-CN" w:bidi="ar-SA"/>
    </w:rPr>
  </w:style>
  <w:style w:type="table" w:customStyle="1" w:styleId="82">
    <w:name w:val="SSEC表格样式"/>
    <w:basedOn w:val="46"/>
    <w:qFormat/>
    <w:uiPriority w:val="0"/>
    <w:pPr>
      <w:adjustRightInd w:val="0"/>
      <w:snapToGrid w:val="0"/>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character" w:customStyle="1" w:styleId="83">
    <w:name w:val="SSEC 表字居中 字符"/>
    <w:link w:val="81"/>
    <w:qFormat/>
    <w:uiPriority w:val="0"/>
    <w:rPr>
      <w:rFonts w:ascii="宋体"/>
      <w:kern w:val="2"/>
      <w:sz w:val="21"/>
      <w:szCs w:val="21"/>
    </w:rPr>
  </w:style>
  <w:style w:type="character" w:customStyle="1" w:styleId="84">
    <w:name w:val="SSEC 表字居左 字符"/>
    <w:link w:val="80"/>
    <w:qFormat/>
    <w:uiPriority w:val="0"/>
    <w:rPr>
      <w:rFonts w:ascii="宋体" w:eastAsia="宋体"/>
    </w:rPr>
  </w:style>
  <w:style w:type="character" w:customStyle="1" w:styleId="85">
    <w:name w:val="目录 1 字符"/>
    <w:link w:val="31"/>
    <w:qFormat/>
    <w:uiPriority w:val="39"/>
    <w:rPr>
      <w:rFonts w:ascii="黑体" w:eastAsia="宋体" w:cs="Calibri"/>
      <w:b/>
      <w:bCs/>
      <w:sz w:val="28"/>
      <w:szCs w:val="20"/>
    </w:rPr>
  </w:style>
  <w:style w:type="character" w:customStyle="1" w:styleId="86">
    <w:name w:val="目录 2 字符"/>
    <w:link w:val="38"/>
    <w:qFormat/>
    <w:uiPriority w:val="39"/>
    <w:rPr>
      <w:rFonts w:ascii="黑体" w:eastAsia="宋体" w:cs="Calibri"/>
      <w:iCs/>
      <w:sz w:val="24"/>
      <w:szCs w:val="20"/>
    </w:rPr>
  </w:style>
  <w:style w:type="paragraph" w:customStyle="1" w:styleId="87">
    <w:name w:val="附件"/>
    <w:basedOn w:val="5"/>
    <w:link w:val="90"/>
    <w:qFormat/>
    <w:uiPriority w:val="0"/>
    <w:pPr>
      <w:numPr>
        <w:ilvl w:val="0"/>
        <w:numId w:val="6"/>
      </w:numPr>
      <w:spacing w:before="0" w:beforeAutospacing="0"/>
    </w:pPr>
  </w:style>
  <w:style w:type="character" w:customStyle="1" w:styleId="88">
    <w:name w:val="标题 字符"/>
    <w:link w:val="43"/>
    <w:qFormat/>
    <w:uiPriority w:val="10"/>
    <w:rPr>
      <w:rFonts w:ascii="Cambria" w:hAnsi="Cambria" w:eastAsia="宋体" w:cs="Times New Roman"/>
      <w:b/>
      <w:bCs/>
      <w:sz w:val="32"/>
      <w:szCs w:val="32"/>
    </w:rPr>
  </w:style>
  <w:style w:type="character" w:customStyle="1" w:styleId="89">
    <w:name w:val="纯文本 字符"/>
    <w:link w:val="23"/>
    <w:qFormat/>
    <w:uiPriority w:val="0"/>
    <w:rPr>
      <w:rFonts w:ascii="宋体" w:hAnsi="Courier New" w:eastAsia="宋体" w:cs="Courier New"/>
    </w:rPr>
  </w:style>
  <w:style w:type="character" w:customStyle="1" w:styleId="90">
    <w:name w:val="附件 Char"/>
    <w:link w:val="87"/>
    <w:qFormat/>
    <w:uiPriority w:val="0"/>
    <w:rPr>
      <w:rFonts w:ascii="黑体" w:hAnsi="Cambria" w:eastAsia="黑体" w:cs="Times New Roman"/>
      <w:bCs/>
      <w:kern w:val="2"/>
      <w:sz w:val="28"/>
      <w:szCs w:val="32"/>
    </w:rPr>
  </w:style>
  <w:style w:type="paragraph" w:customStyle="1" w:styleId="91">
    <w:name w:val="附图"/>
    <w:link w:val="93"/>
    <w:qFormat/>
    <w:uiPriority w:val="0"/>
    <w:pPr>
      <w:keepNext/>
      <w:numPr>
        <w:ilvl w:val="0"/>
        <w:numId w:val="7"/>
      </w:numPr>
      <w:outlineLvl w:val="1"/>
    </w:pPr>
    <w:rPr>
      <w:rFonts w:ascii="黑体" w:hAnsi="黑体" w:eastAsia="黑体" w:cs="Times New Roman"/>
      <w:kern w:val="2"/>
      <w:sz w:val="28"/>
      <w:szCs w:val="28"/>
      <w:lang w:val="en-US" w:eastAsia="zh-CN" w:bidi="ar-SA"/>
    </w:rPr>
  </w:style>
  <w:style w:type="paragraph" w:customStyle="1" w:styleId="92">
    <w:name w:val="附表"/>
    <w:basedOn w:val="1"/>
    <w:link w:val="94"/>
    <w:qFormat/>
    <w:uiPriority w:val="0"/>
    <w:pPr>
      <w:keepNext/>
      <w:numPr>
        <w:ilvl w:val="0"/>
        <w:numId w:val="8"/>
      </w:numPr>
      <w:outlineLvl w:val="1"/>
    </w:pPr>
    <w:rPr>
      <w:rFonts w:ascii="黑体" w:hAnsi="黑体" w:eastAsia="黑体"/>
      <w:sz w:val="28"/>
      <w:szCs w:val="28"/>
    </w:rPr>
  </w:style>
  <w:style w:type="character" w:customStyle="1" w:styleId="93">
    <w:name w:val="附图 Char"/>
    <w:link w:val="91"/>
    <w:qFormat/>
    <w:uiPriority w:val="0"/>
    <w:rPr>
      <w:rFonts w:ascii="黑体" w:hAnsi="黑体" w:eastAsia="黑体"/>
      <w:kern w:val="2"/>
      <w:sz w:val="28"/>
      <w:szCs w:val="28"/>
    </w:rPr>
  </w:style>
  <w:style w:type="character" w:customStyle="1" w:styleId="94">
    <w:name w:val="附表 Char"/>
    <w:link w:val="92"/>
    <w:qFormat/>
    <w:uiPriority w:val="0"/>
    <w:rPr>
      <w:rFonts w:ascii="黑体" w:hAnsi="黑体" w:eastAsia="黑体"/>
      <w:kern w:val="2"/>
      <w:sz w:val="28"/>
      <w:szCs w:val="28"/>
    </w:rPr>
  </w:style>
  <w:style w:type="paragraph" w:customStyle="1" w:styleId="95">
    <w:name w:val="SSEC 1级序号"/>
    <w:link w:val="96"/>
    <w:qFormat/>
    <w:uiPriority w:val="0"/>
    <w:pPr>
      <w:widowControl w:val="0"/>
      <w:adjustRightInd w:val="0"/>
      <w:snapToGrid w:val="0"/>
      <w:spacing w:line="331" w:lineRule="auto"/>
      <w:jc w:val="both"/>
    </w:pPr>
    <w:rPr>
      <w:rFonts w:ascii="宋体" w:hAnsi="宋体" w:eastAsia="宋体" w:cs="Times New Roman"/>
      <w:kern w:val="2"/>
      <w:sz w:val="24"/>
      <w:szCs w:val="24"/>
      <w:lang w:val="en-US" w:eastAsia="zh-CN" w:bidi="ar-SA"/>
    </w:rPr>
  </w:style>
  <w:style w:type="character" w:customStyle="1" w:styleId="96">
    <w:name w:val="SSEC 1级序号 字符"/>
    <w:link w:val="95"/>
    <w:qFormat/>
    <w:uiPriority w:val="0"/>
    <w:rPr>
      <w:rFonts w:ascii="宋体" w:hAnsi="宋体" w:eastAsia="宋体"/>
      <w:kern w:val="2"/>
      <w:sz w:val="24"/>
      <w:szCs w:val="24"/>
    </w:rPr>
  </w:style>
  <w:style w:type="paragraph" w:customStyle="1" w:styleId="97">
    <w:name w:val="SSEC 2级序号"/>
    <w:basedOn w:val="95"/>
    <w:link w:val="99"/>
    <w:qFormat/>
    <w:uiPriority w:val="0"/>
  </w:style>
  <w:style w:type="paragraph" w:customStyle="1" w:styleId="98">
    <w:name w:val="SSEC 3级序号"/>
    <w:basedOn w:val="95"/>
    <w:link w:val="101"/>
    <w:qFormat/>
    <w:uiPriority w:val="0"/>
  </w:style>
  <w:style w:type="character" w:customStyle="1" w:styleId="99">
    <w:name w:val="SSEC 2级序号 字符"/>
    <w:link w:val="97"/>
    <w:qFormat/>
    <w:uiPriority w:val="0"/>
    <w:rPr>
      <w:rFonts w:ascii="宋体" w:hAnsi="宋体" w:eastAsia="宋体"/>
      <w:kern w:val="2"/>
      <w:sz w:val="24"/>
      <w:szCs w:val="24"/>
    </w:rPr>
  </w:style>
  <w:style w:type="paragraph" w:customStyle="1" w:styleId="100">
    <w:name w:val="SSEC 4级序号"/>
    <w:basedOn w:val="95"/>
    <w:link w:val="103"/>
    <w:qFormat/>
    <w:uiPriority w:val="0"/>
  </w:style>
  <w:style w:type="character" w:customStyle="1" w:styleId="101">
    <w:name w:val="SSEC 3级序号 字符"/>
    <w:link w:val="98"/>
    <w:qFormat/>
    <w:uiPriority w:val="0"/>
    <w:rPr>
      <w:rFonts w:ascii="宋体" w:hAnsi="宋体" w:eastAsia="宋体"/>
      <w:kern w:val="2"/>
      <w:sz w:val="24"/>
      <w:szCs w:val="24"/>
    </w:rPr>
  </w:style>
  <w:style w:type="paragraph" w:customStyle="1" w:styleId="102">
    <w:name w:val="SSEC 5级序号"/>
    <w:basedOn w:val="95"/>
    <w:link w:val="105"/>
    <w:qFormat/>
    <w:uiPriority w:val="0"/>
  </w:style>
  <w:style w:type="character" w:customStyle="1" w:styleId="103">
    <w:name w:val="SSEC 4级序号 字符"/>
    <w:link w:val="100"/>
    <w:qFormat/>
    <w:uiPriority w:val="0"/>
    <w:rPr>
      <w:rFonts w:ascii="宋体" w:hAnsi="宋体" w:eastAsia="宋体"/>
      <w:kern w:val="2"/>
      <w:sz w:val="24"/>
      <w:szCs w:val="24"/>
    </w:rPr>
  </w:style>
  <w:style w:type="paragraph" w:customStyle="1" w:styleId="104">
    <w:name w:val="SSEC 6级序号"/>
    <w:basedOn w:val="95"/>
    <w:link w:val="107"/>
    <w:qFormat/>
    <w:uiPriority w:val="0"/>
  </w:style>
  <w:style w:type="character" w:customStyle="1" w:styleId="105">
    <w:name w:val="SSEC 5级序号 字符"/>
    <w:link w:val="102"/>
    <w:qFormat/>
    <w:uiPriority w:val="0"/>
    <w:rPr>
      <w:rFonts w:ascii="宋体" w:hAnsi="宋体" w:eastAsia="宋体"/>
      <w:kern w:val="2"/>
      <w:sz w:val="24"/>
      <w:szCs w:val="24"/>
    </w:rPr>
  </w:style>
  <w:style w:type="paragraph" w:customStyle="1" w:styleId="106">
    <w:name w:val="SSEC 7级序号"/>
    <w:basedOn w:val="95"/>
    <w:link w:val="108"/>
    <w:qFormat/>
    <w:uiPriority w:val="0"/>
  </w:style>
  <w:style w:type="character" w:customStyle="1" w:styleId="107">
    <w:name w:val="SSEC 6级序号 字符"/>
    <w:link w:val="104"/>
    <w:qFormat/>
    <w:uiPriority w:val="0"/>
    <w:rPr>
      <w:rFonts w:ascii="宋体" w:hAnsi="宋体" w:eastAsia="宋体"/>
      <w:kern w:val="2"/>
      <w:sz w:val="24"/>
      <w:szCs w:val="24"/>
    </w:rPr>
  </w:style>
  <w:style w:type="character" w:customStyle="1" w:styleId="108">
    <w:name w:val="SSEC 7级序号 字符"/>
    <w:link w:val="106"/>
    <w:qFormat/>
    <w:uiPriority w:val="0"/>
    <w:rPr>
      <w:rFonts w:ascii="宋体" w:hAnsi="宋体" w:eastAsia="宋体"/>
      <w:kern w:val="2"/>
      <w:sz w:val="24"/>
      <w:szCs w:val="24"/>
    </w:rPr>
  </w:style>
  <w:style w:type="character" w:customStyle="1" w:styleId="109">
    <w:name w:val="批注框文本 字符"/>
    <w:link w:val="28"/>
    <w:qFormat/>
    <w:uiPriority w:val="0"/>
    <w:rPr>
      <w:rFonts w:ascii="Times New Roman" w:hAnsi="Times New Roman" w:eastAsia="宋体" w:cs="Times New Roman"/>
      <w:sz w:val="18"/>
      <w:szCs w:val="18"/>
    </w:rPr>
  </w:style>
  <w:style w:type="character" w:customStyle="1" w:styleId="110">
    <w:name w:val="批注文字 字符"/>
    <w:basedOn w:val="51"/>
    <w:link w:val="17"/>
    <w:qFormat/>
    <w:uiPriority w:val="99"/>
  </w:style>
  <w:style w:type="character" w:customStyle="1" w:styleId="111">
    <w:name w:val="批注主题 字符"/>
    <w:link w:val="44"/>
    <w:semiHidden/>
    <w:qFormat/>
    <w:uiPriority w:val="99"/>
    <w:rPr>
      <w:b/>
      <w:bCs/>
    </w:rPr>
  </w:style>
  <w:style w:type="paragraph" w:customStyle="1" w:styleId="112">
    <w:name w:val="修订1"/>
    <w:hidden/>
    <w:semiHidden/>
    <w:qFormat/>
    <w:uiPriority w:val="99"/>
    <w:rPr>
      <w:rFonts w:ascii="Calibri" w:hAnsi="Calibri" w:eastAsia="宋体" w:cs="Times New Roman"/>
      <w:kern w:val="2"/>
      <w:sz w:val="21"/>
      <w:szCs w:val="21"/>
      <w:lang w:val="en-US" w:eastAsia="zh-CN" w:bidi="ar-SA"/>
    </w:rPr>
  </w:style>
  <w:style w:type="paragraph" w:customStyle="1" w:styleId="113">
    <w:name w:val="修订12"/>
    <w:hidden/>
    <w:semiHidden/>
    <w:qFormat/>
    <w:uiPriority w:val="99"/>
    <w:rPr>
      <w:rFonts w:ascii="Calibri" w:hAnsi="Calibri" w:eastAsia="宋体" w:cs="Times New Roman"/>
      <w:kern w:val="2"/>
      <w:sz w:val="21"/>
      <w:szCs w:val="21"/>
      <w:lang w:val="en-US" w:eastAsia="zh-CN" w:bidi="ar-SA"/>
    </w:rPr>
  </w:style>
  <w:style w:type="character" w:customStyle="1" w:styleId="114">
    <w:name w:val="正文缩进 字符"/>
    <w:link w:val="14"/>
    <w:qFormat/>
    <w:uiPriority w:val="0"/>
    <w:rPr>
      <w:rFonts w:ascii="Times New Roman" w:hAnsi="Times New Roman" w:eastAsia="宋体" w:cs="Times New Roman"/>
      <w:spacing w:val="10"/>
      <w:sz w:val="24"/>
      <w:szCs w:val="20"/>
    </w:rPr>
  </w:style>
  <w:style w:type="character" w:customStyle="1" w:styleId="115">
    <w:name w:val="标题 3 SL CON Char"/>
    <w:link w:val="116"/>
    <w:qFormat/>
    <w:uiPriority w:val="0"/>
    <w:rPr>
      <w:rFonts w:ascii="Times New Roman" w:hAnsi="Times New Roman" w:eastAsia="黑体" w:cs="Times New Roman"/>
      <w:sz w:val="24"/>
      <w:szCs w:val="24"/>
    </w:rPr>
  </w:style>
  <w:style w:type="paragraph" w:customStyle="1" w:styleId="116">
    <w:name w:val="标题 3 SL CON"/>
    <w:basedOn w:val="1"/>
    <w:next w:val="1"/>
    <w:link w:val="115"/>
    <w:qFormat/>
    <w:uiPriority w:val="0"/>
    <w:pPr>
      <w:keepNext/>
      <w:keepLines/>
      <w:widowControl/>
      <w:tabs>
        <w:tab w:val="left" w:pos="377"/>
        <w:tab w:val="left" w:pos="960"/>
        <w:tab w:val="left" w:pos="1221"/>
      </w:tabs>
      <w:spacing w:before="100" w:beforeAutospacing="1" w:line="360" w:lineRule="auto"/>
      <w:ind w:left="1221" w:hanging="681"/>
      <w:outlineLvl w:val="2"/>
    </w:pPr>
    <w:rPr>
      <w:rFonts w:ascii="Times New Roman" w:hAnsi="Times New Roman" w:eastAsia="黑体"/>
      <w:kern w:val="0"/>
      <w:sz w:val="24"/>
      <w:szCs w:val="24"/>
    </w:rPr>
  </w:style>
  <w:style w:type="character" w:customStyle="1" w:styleId="117">
    <w:name w:val="ky标题3 Char"/>
    <w:link w:val="118"/>
    <w:qFormat/>
    <w:uiPriority w:val="0"/>
    <w:rPr>
      <w:rFonts w:ascii="黑体" w:hAnsi="黑体" w:eastAsia="黑体" w:cs="宋体"/>
      <w:sz w:val="24"/>
      <w:szCs w:val="24"/>
    </w:rPr>
  </w:style>
  <w:style w:type="paragraph" w:customStyle="1" w:styleId="118">
    <w:name w:val="ky标题3"/>
    <w:basedOn w:val="1"/>
    <w:link w:val="117"/>
    <w:qFormat/>
    <w:uiPriority w:val="0"/>
    <w:pPr>
      <w:keepNext/>
      <w:tabs>
        <w:tab w:val="left" w:pos="0"/>
        <w:tab w:val="left" w:pos="720"/>
      </w:tabs>
      <w:adjustRightInd w:val="0"/>
      <w:snapToGrid w:val="0"/>
      <w:spacing w:before="100" w:beforeAutospacing="1" w:line="360" w:lineRule="auto"/>
      <w:outlineLvl w:val="2"/>
    </w:pPr>
    <w:rPr>
      <w:rFonts w:ascii="黑体" w:hAnsi="黑体" w:eastAsia="黑体" w:cs="宋体"/>
      <w:sz w:val="24"/>
      <w:szCs w:val="24"/>
    </w:rPr>
  </w:style>
  <w:style w:type="character" w:customStyle="1" w:styleId="119">
    <w:name w:val="纯文本 Char Char Char Char"/>
    <w:qFormat/>
    <w:uiPriority w:val="0"/>
    <w:rPr>
      <w:rFonts w:ascii="宋体" w:hAnsi="Courier New" w:eastAsia="宋体" w:cs="Courier New"/>
      <w:kern w:val="2"/>
      <w:sz w:val="21"/>
      <w:szCs w:val="21"/>
      <w:lang w:val="en-US" w:eastAsia="zh-CN" w:bidi="ar-SA"/>
    </w:rPr>
  </w:style>
  <w:style w:type="character" w:customStyle="1" w:styleId="120">
    <w:name w:val="占位符文本1"/>
    <w:semiHidden/>
    <w:qFormat/>
    <w:locked/>
    <w:uiPriority w:val="99"/>
    <w:rPr>
      <w:color w:val="808080"/>
    </w:rPr>
  </w:style>
  <w:style w:type="character" w:customStyle="1" w:styleId="121">
    <w:name w:val="正文 首行缩进:  2 字符 SL CON Char"/>
    <w:link w:val="122"/>
    <w:qFormat/>
    <w:uiPriority w:val="0"/>
    <w:rPr>
      <w:rFonts w:ascii="宋体" w:hAnsi="Times New Roman" w:eastAsia="宋体" w:cs="宋体"/>
      <w:kern w:val="0"/>
      <w:sz w:val="24"/>
      <w:szCs w:val="24"/>
    </w:rPr>
  </w:style>
  <w:style w:type="paragraph" w:customStyle="1" w:styleId="122">
    <w:name w:val="正文 首行缩进:  2 字符 SL CON"/>
    <w:basedOn w:val="1"/>
    <w:link w:val="121"/>
    <w:qFormat/>
    <w:uiPriority w:val="0"/>
    <w:pPr>
      <w:widowControl/>
      <w:tabs>
        <w:tab w:val="left" w:pos="377"/>
      </w:tabs>
      <w:spacing w:line="360" w:lineRule="auto"/>
      <w:ind w:firstLine="200" w:firstLineChars="200"/>
    </w:pPr>
    <w:rPr>
      <w:rFonts w:ascii="宋体" w:hAnsi="Times New Roman" w:cs="宋体"/>
      <w:kern w:val="0"/>
      <w:sz w:val="24"/>
      <w:szCs w:val="24"/>
    </w:rPr>
  </w:style>
  <w:style w:type="character" w:customStyle="1" w:styleId="123">
    <w:name w:val="表（或图）标题 样式 宋体 五号 居中 SL CON Char"/>
    <w:link w:val="124"/>
    <w:qFormat/>
    <w:uiPriority w:val="0"/>
    <w:rPr>
      <w:rFonts w:ascii="宋体" w:hAnsi="宋体" w:eastAsia="宋体" w:cs="宋体"/>
      <w:b/>
      <w:kern w:val="0"/>
      <w:szCs w:val="20"/>
    </w:rPr>
  </w:style>
  <w:style w:type="paragraph" w:customStyle="1" w:styleId="124">
    <w:name w:val="表（或图）标题 样式 宋体 五号 居中 SL CON"/>
    <w:basedOn w:val="1"/>
    <w:link w:val="123"/>
    <w:qFormat/>
    <w:uiPriority w:val="0"/>
    <w:pPr>
      <w:widowControl/>
      <w:tabs>
        <w:tab w:val="left" w:pos="377"/>
      </w:tabs>
      <w:spacing w:before="100" w:beforeAutospacing="1" w:line="360" w:lineRule="auto"/>
      <w:jc w:val="center"/>
    </w:pPr>
    <w:rPr>
      <w:rFonts w:ascii="宋体" w:hAnsi="宋体" w:cs="宋体"/>
      <w:b/>
      <w:kern w:val="0"/>
      <w:szCs w:val="20"/>
    </w:rPr>
  </w:style>
  <w:style w:type="character" w:customStyle="1" w:styleId="125">
    <w:name w:val="页脚 字符1"/>
    <w:link w:val="29"/>
    <w:qFormat/>
    <w:uiPriority w:val="99"/>
    <w:rPr>
      <w:rFonts w:ascii="宋体" w:eastAsia="宋体"/>
      <w:sz w:val="18"/>
      <w:szCs w:val="18"/>
    </w:rPr>
  </w:style>
  <w:style w:type="character" w:customStyle="1" w:styleId="126">
    <w:name w:val="正文ky Char"/>
    <w:link w:val="127"/>
    <w:qFormat/>
    <w:uiPriority w:val="0"/>
    <w:rPr>
      <w:rFonts w:ascii="宋体" w:hAnsi="宋体"/>
      <w:sz w:val="24"/>
    </w:rPr>
  </w:style>
  <w:style w:type="paragraph" w:customStyle="1" w:styleId="127">
    <w:name w:val="正文ky"/>
    <w:basedOn w:val="128"/>
    <w:link w:val="126"/>
    <w:qFormat/>
    <w:uiPriority w:val="0"/>
    <w:pPr>
      <w:widowControl w:val="0"/>
      <w:tabs>
        <w:tab w:val="left" w:pos="377"/>
      </w:tabs>
      <w:adjustRightInd w:val="0"/>
      <w:snapToGrid w:val="0"/>
    </w:pPr>
    <w:rPr>
      <w:lang w:val="en-US"/>
    </w:rPr>
  </w:style>
  <w:style w:type="paragraph" w:customStyle="1" w:styleId="128">
    <w:name w:val="样式 正文 首行缩进:  2 字符 SL CON + 首行缩进:  2 字符"/>
    <w:basedOn w:val="1"/>
    <w:link w:val="140"/>
    <w:qFormat/>
    <w:uiPriority w:val="0"/>
    <w:pPr>
      <w:widowControl/>
      <w:tabs>
        <w:tab w:val="left" w:pos="377"/>
      </w:tabs>
      <w:spacing w:line="360" w:lineRule="auto"/>
      <w:ind w:firstLine="200" w:firstLineChars="200"/>
      <w:jc w:val="left"/>
    </w:pPr>
    <w:rPr>
      <w:rFonts w:ascii="宋体" w:hAnsi="宋体"/>
      <w:kern w:val="0"/>
      <w:sz w:val="24"/>
      <w:szCs w:val="20"/>
      <w:lang w:val="zh-CN"/>
    </w:rPr>
  </w:style>
  <w:style w:type="character" w:styleId="129">
    <w:name w:val="Placeholder Text"/>
    <w:semiHidden/>
    <w:qFormat/>
    <w:uiPriority w:val="99"/>
    <w:rPr>
      <w:color w:val="808080"/>
    </w:rPr>
  </w:style>
  <w:style w:type="character" w:customStyle="1" w:styleId="130">
    <w:name w:val="样式 表（或图）标题 Char"/>
    <w:link w:val="131"/>
    <w:qFormat/>
    <w:uiPriority w:val="0"/>
    <w:rPr>
      <w:rFonts w:ascii="宋体" w:hAnsi="宋体" w:eastAsia="宋体" w:cs="宋体"/>
      <w:kern w:val="0"/>
      <w:szCs w:val="20"/>
    </w:rPr>
  </w:style>
  <w:style w:type="paragraph" w:customStyle="1" w:styleId="131">
    <w:name w:val="样式 表（或图）标题"/>
    <w:basedOn w:val="1"/>
    <w:link w:val="130"/>
    <w:qFormat/>
    <w:uiPriority w:val="0"/>
    <w:pPr>
      <w:widowControl/>
      <w:tabs>
        <w:tab w:val="left" w:pos="377"/>
      </w:tabs>
      <w:spacing w:before="100" w:beforeAutospacing="1" w:line="360" w:lineRule="auto"/>
      <w:jc w:val="center"/>
    </w:pPr>
    <w:rPr>
      <w:rFonts w:ascii="宋体" w:hAnsi="宋体" w:cs="宋体"/>
      <w:kern w:val="0"/>
      <w:szCs w:val="20"/>
    </w:rPr>
  </w:style>
  <w:style w:type="character" w:customStyle="1" w:styleId="132">
    <w:name w:val="日期 字符"/>
    <w:basedOn w:val="51"/>
    <w:link w:val="25"/>
    <w:qFormat/>
    <w:uiPriority w:val="0"/>
  </w:style>
  <w:style w:type="character" w:customStyle="1" w:styleId="133">
    <w:name w:val="表格内容 Char"/>
    <w:link w:val="134"/>
    <w:qFormat/>
    <w:uiPriority w:val="0"/>
    <w:rPr>
      <w:rFonts w:ascii="宋体" w:hAnsi="Times New Roman" w:eastAsia="宋体" w:cs="Times New Roman"/>
      <w:kern w:val="0"/>
      <w:sz w:val="24"/>
      <w:szCs w:val="20"/>
      <w:lang w:val="zh-CN" w:eastAsia="zh-CN"/>
    </w:rPr>
  </w:style>
  <w:style w:type="paragraph" w:customStyle="1" w:styleId="134">
    <w:name w:val="表格内容"/>
    <w:basedOn w:val="1"/>
    <w:link w:val="133"/>
    <w:qFormat/>
    <w:uiPriority w:val="0"/>
    <w:pPr>
      <w:autoSpaceDE w:val="0"/>
      <w:autoSpaceDN w:val="0"/>
      <w:adjustRightInd w:val="0"/>
      <w:snapToGrid w:val="0"/>
      <w:jc w:val="center"/>
    </w:pPr>
    <w:rPr>
      <w:rFonts w:ascii="宋体" w:hAnsi="Times New Roman"/>
      <w:kern w:val="0"/>
      <w:sz w:val="24"/>
      <w:szCs w:val="20"/>
      <w:lang w:val="zh-CN"/>
    </w:rPr>
  </w:style>
  <w:style w:type="character" w:customStyle="1" w:styleId="135">
    <w:name w:val="表格内字体 Char"/>
    <w:link w:val="136"/>
    <w:qFormat/>
    <w:uiPriority w:val="0"/>
    <w:rPr>
      <w:rFonts w:ascii="宋体" w:hAnsi="宋体" w:eastAsia="宋体" w:cs="Times New Roman"/>
      <w:bCs/>
      <w:lang w:val="zh-CN" w:eastAsia="zh-CN"/>
    </w:rPr>
  </w:style>
  <w:style w:type="paragraph" w:customStyle="1" w:styleId="136">
    <w:name w:val="表格内字体"/>
    <w:basedOn w:val="1"/>
    <w:next w:val="1"/>
    <w:link w:val="135"/>
    <w:qFormat/>
    <w:uiPriority w:val="0"/>
    <w:pPr>
      <w:jc w:val="center"/>
    </w:pPr>
    <w:rPr>
      <w:rFonts w:ascii="宋体" w:hAnsi="宋体"/>
      <w:bCs/>
      <w:lang w:val="zh-CN"/>
    </w:rPr>
  </w:style>
  <w:style w:type="character" w:customStyle="1" w:styleId="137">
    <w:name w:val="fontstyle21"/>
    <w:qFormat/>
    <w:uiPriority w:val="0"/>
    <w:rPr>
      <w:rFonts w:hint="default" w:ascii="TimesNewRomanPSMT" w:hAnsi="TimesNewRomanPSMT"/>
      <w:color w:val="000000"/>
      <w:sz w:val="24"/>
      <w:szCs w:val="24"/>
    </w:rPr>
  </w:style>
  <w:style w:type="character" w:customStyle="1" w:styleId="138">
    <w:name w:val="fontstyle01"/>
    <w:qFormat/>
    <w:uiPriority w:val="0"/>
    <w:rPr>
      <w:rFonts w:hint="eastAsia" w:ascii="宋体" w:hAnsi="宋体" w:eastAsia="宋体"/>
      <w:color w:val="000000"/>
      <w:sz w:val="24"/>
      <w:szCs w:val="24"/>
    </w:rPr>
  </w:style>
  <w:style w:type="character" w:customStyle="1" w:styleId="139">
    <w:name w:val="题注 字符1"/>
    <w:link w:val="15"/>
    <w:qFormat/>
    <w:uiPriority w:val="99"/>
    <w:rPr>
      <w:rFonts w:ascii="宋体" w:hAnsi="Cambria" w:eastAsia="宋体" w:cs="Times New Roman"/>
      <w:kern w:val="2"/>
      <w:sz w:val="21"/>
    </w:rPr>
  </w:style>
  <w:style w:type="character" w:customStyle="1" w:styleId="140">
    <w:name w:val="样式 正文 首行缩进:  2 字符 SL CON + 首行缩进:  2 字符 Char"/>
    <w:link w:val="128"/>
    <w:qFormat/>
    <w:uiPriority w:val="0"/>
    <w:rPr>
      <w:rFonts w:ascii="宋体" w:hAnsi="宋体" w:eastAsia="宋体" w:cs="Times New Roman"/>
      <w:kern w:val="0"/>
      <w:sz w:val="24"/>
      <w:szCs w:val="20"/>
      <w:lang w:val="zh-CN" w:eastAsia="zh-CN"/>
    </w:rPr>
  </w:style>
  <w:style w:type="character" w:customStyle="1" w:styleId="141">
    <w:name w:val="font11"/>
    <w:qFormat/>
    <w:uiPriority w:val="0"/>
    <w:rPr>
      <w:rFonts w:hint="eastAsia" w:ascii="宋体" w:hAnsi="宋体" w:eastAsia="宋体"/>
      <w:color w:val="000000"/>
      <w:sz w:val="21"/>
      <w:szCs w:val="21"/>
      <w:u w:val="none"/>
      <w:vertAlign w:val="subscript"/>
    </w:rPr>
  </w:style>
  <w:style w:type="character" w:customStyle="1" w:styleId="142">
    <w:name w:val="正文格式 Char"/>
    <w:link w:val="143"/>
    <w:qFormat/>
    <w:uiPriority w:val="0"/>
    <w:rPr>
      <w:rFonts w:ascii="宋体" w:hAnsi="宋体" w:eastAsia="宋体" w:cs="Times New Roman"/>
      <w:kern w:val="2"/>
      <w:sz w:val="24"/>
      <w:szCs w:val="24"/>
    </w:rPr>
  </w:style>
  <w:style w:type="paragraph" w:customStyle="1" w:styleId="143">
    <w:name w:val="正文格式"/>
    <w:basedOn w:val="1"/>
    <w:link w:val="142"/>
    <w:qFormat/>
    <w:uiPriority w:val="0"/>
    <w:pPr>
      <w:spacing w:line="360" w:lineRule="auto"/>
      <w:ind w:firstLine="482"/>
    </w:pPr>
    <w:rPr>
      <w:rFonts w:ascii="宋体" w:hAnsi="宋体"/>
      <w:sz w:val="24"/>
      <w:szCs w:val="24"/>
    </w:rPr>
  </w:style>
  <w:style w:type="character" w:customStyle="1" w:styleId="144">
    <w:name w:val="showspan1"/>
    <w:basedOn w:val="51"/>
    <w:qFormat/>
    <w:uiPriority w:val="0"/>
  </w:style>
  <w:style w:type="character" w:customStyle="1" w:styleId="145">
    <w:name w:val="标题 1 字符1"/>
    <w:link w:val="3"/>
    <w:qFormat/>
    <w:uiPriority w:val="0"/>
    <w:rPr>
      <w:rFonts w:ascii="黑体" w:eastAsia="黑体"/>
      <w:kern w:val="44"/>
      <w:sz w:val="30"/>
      <w:szCs w:val="44"/>
    </w:rPr>
  </w:style>
  <w:style w:type="character" w:customStyle="1" w:styleId="146">
    <w:name w:val="表内文字 样式 五号 居中 行距: 单倍行距 SL CON Char"/>
    <w:link w:val="147"/>
    <w:qFormat/>
    <w:uiPriority w:val="0"/>
    <w:rPr>
      <w:rFonts w:ascii="宋体" w:hAnsi="Times New Roman" w:eastAsia="宋体" w:cs="宋体"/>
      <w:kern w:val="0"/>
    </w:rPr>
  </w:style>
  <w:style w:type="paragraph" w:customStyle="1" w:styleId="147">
    <w:name w:val="表内文字 样式 五号 居中 行距: 单倍行距 SL CON"/>
    <w:basedOn w:val="1"/>
    <w:link w:val="146"/>
    <w:qFormat/>
    <w:uiPriority w:val="0"/>
    <w:pPr>
      <w:widowControl/>
      <w:tabs>
        <w:tab w:val="left" w:pos="377"/>
      </w:tabs>
      <w:jc w:val="center"/>
    </w:pPr>
    <w:rPr>
      <w:rFonts w:ascii="宋体" w:hAnsi="Times New Roman" w:cs="宋体"/>
      <w:kern w:val="0"/>
    </w:rPr>
  </w:style>
  <w:style w:type="character" w:customStyle="1" w:styleId="148">
    <w:name w:val="SSEC正文 20150323 Char"/>
    <w:link w:val="149"/>
    <w:qFormat/>
    <w:uiPriority w:val="0"/>
    <w:rPr>
      <w:rFonts w:ascii="宋体" w:hAnsi="宋体"/>
      <w:sz w:val="24"/>
      <w:szCs w:val="24"/>
    </w:rPr>
  </w:style>
  <w:style w:type="paragraph" w:customStyle="1" w:styleId="149">
    <w:name w:val="SSEC正文 20150323"/>
    <w:link w:val="148"/>
    <w:qFormat/>
    <w:uiPriority w:val="0"/>
    <w:pPr>
      <w:adjustRightInd w:val="0"/>
      <w:snapToGrid w:val="0"/>
      <w:spacing w:line="331" w:lineRule="auto"/>
      <w:ind w:firstLine="200" w:firstLineChars="200"/>
      <w:jc w:val="both"/>
    </w:pPr>
    <w:rPr>
      <w:rFonts w:ascii="宋体" w:hAnsi="宋体" w:eastAsia="宋体" w:cs="Times New Roman"/>
      <w:sz w:val="24"/>
      <w:szCs w:val="24"/>
      <w:lang w:val="en-US" w:eastAsia="zh-CN" w:bidi="ar-SA"/>
    </w:rPr>
  </w:style>
  <w:style w:type="character" w:customStyle="1" w:styleId="150">
    <w:name w:val="图题 Char"/>
    <w:link w:val="151"/>
    <w:qFormat/>
    <w:uiPriority w:val="0"/>
    <w:rPr>
      <w:rFonts w:ascii="宋体" w:hAnsi="宋体" w:eastAsia="宋体" w:cs="宋体"/>
      <w:bCs/>
      <w:kern w:val="2"/>
      <w:sz w:val="21"/>
      <w:szCs w:val="24"/>
    </w:rPr>
  </w:style>
  <w:style w:type="paragraph" w:customStyle="1" w:styleId="151">
    <w:name w:val="图题"/>
    <w:basedOn w:val="143"/>
    <w:next w:val="143"/>
    <w:link w:val="150"/>
    <w:qFormat/>
    <w:uiPriority w:val="0"/>
    <w:pPr>
      <w:adjustRightInd w:val="0"/>
      <w:snapToGrid w:val="0"/>
      <w:spacing w:before="100" w:beforeAutospacing="1"/>
      <w:ind w:firstLine="0"/>
      <w:jc w:val="center"/>
    </w:pPr>
    <w:rPr>
      <w:rFonts w:cs="宋体"/>
      <w:bCs/>
      <w:sz w:val="21"/>
    </w:rPr>
  </w:style>
  <w:style w:type="character" w:customStyle="1" w:styleId="152">
    <w:name w:val="lm正文 Char"/>
    <w:link w:val="153"/>
    <w:qFormat/>
    <w:uiPriority w:val="0"/>
    <w:rPr>
      <w:rFonts w:ascii="宋体" w:hAnsi="宋体" w:eastAsia="宋体" w:cs="宋体"/>
      <w:sz w:val="24"/>
      <w:lang w:val="zh-CN"/>
    </w:rPr>
  </w:style>
  <w:style w:type="paragraph" w:customStyle="1" w:styleId="153">
    <w:name w:val="lm正文"/>
    <w:basedOn w:val="1"/>
    <w:link w:val="152"/>
    <w:qFormat/>
    <w:uiPriority w:val="0"/>
    <w:pPr>
      <w:adjustRightInd w:val="0"/>
      <w:snapToGrid w:val="0"/>
      <w:spacing w:line="331" w:lineRule="auto"/>
      <w:ind w:firstLine="480" w:firstLineChars="200"/>
    </w:pPr>
    <w:rPr>
      <w:rFonts w:ascii="宋体" w:hAnsi="宋体" w:cs="宋体"/>
      <w:kern w:val="0"/>
      <w:sz w:val="24"/>
      <w:szCs w:val="20"/>
      <w:lang w:val="zh-CN"/>
    </w:rPr>
  </w:style>
  <w:style w:type="character" w:customStyle="1" w:styleId="154">
    <w:name w:val="尾注文本 字符"/>
    <w:link w:val="27"/>
    <w:qFormat/>
    <w:uiPriority w:val="99"/>
    <w:rPr>
      <w:rFonts w:ascii="Times New Roman" w:hAnsi="Times New Roman" w:eastAsia="宋体" w:cs="Times New Roman"/>
      <w:sz w:val="24"/>
    </w:rPr>
  </w:style>
  <w:style w:type="character" w:customStyle="1" w:styleId="155">
    <w:name w:val="正文文本 2 字符"/>
    <w:link w:val="40"/>
    <w:qFormat/>
    <w:uiPriority w:val="0"/>
    <w:rPr>
      <w:rFonts w:ascii="Times New Roman" w:hAnsi="Times New Roman" w:eastAsia="宋体" w:cs="Times New Roman"/>
      <w:kern w:val="2"/>
      <w:sz w:val="21"/>
    </w:rPr>
  </w:style>
  <w:style w:type="character" w:customStyle="1" w:styleId="156">
    <w:name w:val="样式 样式 正文首行缩进正文5号 + Times New Roman + 首行缩进:  1 字符 Char"/>
    <w:link w:val="157"/>
    <w:qFormat/>
    <w:uiPriority w:val="0"/>
    <w:rPr>
      <w:rFonts w:ascii="宋体" w:hAnsi="宋体" w:eastAsia="宋体" w:cs="宋体"/>
      <w:sz w:val="24"/>
    </w:rPr>
  </w:style>
  <w:style w:type="paragraph" w:customStyle="1" w:styleId="157">
    <w:name w:val="样式 样式 正文首行缩进正文5号 + Times New Roman + 首行缩进:  1 字符"/>
    <w:basedOn w:val="1"/>
    <w:link w:val="156"/>
    <w:qFormat/>
    <w:uiPriority w:val="0"/>
    <w:pPr>
      <w:widowControl/>
      <w:tabs>
        <w:tab w:val="left" w:pos="377"/>
      </w:tabs>
      <w:spacing w:line="360" w:lineRule="auto"/>
      <w:ind w:firstLine="200" w:firstLineChars="200"/>
    </w:pPr>
    <w:rPr>
      <w:rFonts w:ascii="宋体" w:hAnsi="宋体" w:cs="宋体"/>
      <w:kern w:val="0"/>
      <w:sz w:val="24"/>
      <w:szCs w:val="20"/>
    </w:rPr>
  </w:style>
  <w:style w:type="character" w:customStyle="1" w:styleId="158">
    <w:name w:val="Char Char Char Char Char Char Char Char"/>
    <w:link w:val="159"/>
    <w:qFormat/>
    <w:uiPriority w:val="0"/>
    <w:rPr>
      <w:rFonts w:ascii="Verdana" w:hAnsi="Verdana" w:eastAsia="宋体" w:cs="Times New Roman"/>
      <w:lang w:eastAsia="en-US"/>
    </w:rPr>
  </w:style>
  <w:style w:type="paragraph" w:customStyle="1" w:styleId="159">
    <w:name w:val="Char Char Char Char Char Char Char"/>
    <w:basedOn w:val="1"/>
    <w:link w:val="158"/>
    <w:qFormat/>
    <w:uiPriority w:val="0"/>
    <w:pPr>
      <w:widowControl/>
      <w:spacing w:after="160" w:line="240" w:lineRule="exact"/>
      <w:jc w:val="left"/>
    </w:pPr>
    <w:rPr>
      <w:rFonts w:ascii="Verdana" w:hAnsi="Verdana"/>
      <w:kern w:val="0"/>
      <w:sz w:val="20"/>
      <w:szCs w:val="20"/>
      <w:lang w:eastAsia="en-US"/>
    </w:rPr>
  </w:style>
  <w:style w:type="character" w:customStyle="1" w:styleId="160">
    <w:name w:val="文档结构图 字符"/>
    <w:link w:val="16"/>
    <w:qFormat/>
    <w:uiPriority w:val="0"/>
    <w:rPr>
      <w:rFonts w:ascii="宋体" w:eastAsia="宋体"/>
      <w:kern w:val="2"/>
      <w:sz w:val="18"/>
      <w:szCs w:val="18"/>
    </w:rPr>
  </w:style>
  <w:style w:type="character" w:customStyle="1" w:styleId="161">
    <w:name w:val="标题 2 SL CON Char"/>
    <w:link w:val="162"/>
    <w:qFormat/>
    <w:uiPriority w:val="99"/>
    <w:rPr>
      <w:rFonts w:ascii="Times New Roman" w:hAnsi="Times New Roman" w:eastAsia="黑体" w:cs="Times New Roman"/>
      <w:sz w:val="28"/>
      <w:szCs w:val="28"/>
    </w:rPr>
  </w:style>
  <w:style w:type="paragraph" w:customStyle="1" w:styleId="162">
    <w:name w:val="标题 2 SL CON"/>
    <w:basedOn w:val="1"/>
    <w:next w:val="1"/>
    <w:link w:val="161"/>
    <w:qFormat/>
    <w:uiPriority w:val="99"/>
    <w:pPr>
      <w:widowControl/>
      <w:tabs>
        <w:tab w:val="left" w:pos="377"/>
        <w:tab w:val="left" w:pos="858"/>
      </w:tabs>
      <w:spacing w:before="100" w:beforeAutospacing="1" w:line="360" w:lineRule="auto"/>
      <w:ind w:left="858" w:hanging="680"/>
      <w:outlineLvl w:val="1"/>
    </w:pPr>
    <w:rPr>
      <w:rFonts w:ascii="Times New Roman" w:hAnsi="Times New Roman" w:eastAsia="黑体"/>
      <w:kern w:val="0"/>
      <w:sz w:val="28"/>
      <w:szCs w:val="28"/>
    </w:rPr>
  </w:style>
  <w:style w:type="character" w:customStyle="1" w:styleId="163">
    <w:name w:val="正文文本缩进 3 字符"/>
    <w:link w:val="37"/>
    <w:qFormat/>
    <w:uiPriority w:val="0"/>
    <w:rPr>
      <w:kern w:val="2"/>
      <w:sz w:val="16"/>
      <w:szCs w:val="16"/>
    </w:rPr>
  </w:style>
  <w:style w:type="character" w:customStyle="1" w:styleId="164">
    <w:name w:val="MTDisplayEquation Char"/>
    <w:link w:val="165"/>
    <w:qFormat/>
    <w:uiPriority w:val="0"/>
    <w:rPr>
      <w:rFonts w:ascii="宋体" w:hAnsi="宋体"/>
      <w:snapToGrid/>
      <w:kern w:val="2"/>
      <w:sz w:val="24"/>
      <w:szCs w:val="24"/>
    </w:rPr>
  </w:style>
  <w:style w:type="paragraph" w:customStyle="1" w:styleId="165">
    <w:name w:val="MTDisplayEquation"/>
    <w:basedOn w:val="1"/>
    <w:next w:val="1"/>
    <w:link w:val="164"/>
    <w:qFormat/>
    <w:uiPriority w:val="0"/>
    <w:pPr>
      <w:tabs>
        <w:tab w:val="center" w:pos="4360"/>
        <w:tab w:val="right" w:pos="8740"/>
      </w:tabs>
      <w:adjustRightInd w:val="0"/>
      <w:snapToGrid w:val="0"/>
      <w:spacing w:line="331" w:lineRule="auto"/>
      <w:ind w:firstLine="480" w:firstLineChars="200"/>
    </w:pPr>
    <w:rPr>
      <w:rFonts w:ascii="宋体" w:hAnsi="宋体"/>
      <w:sz w:val="24"/>
      <w:szCs w:val="24"/>
    </w:rPr>
  </w:style>
  <w:style w:type="character" w:customStyle="1" w:styleId="166">
    <w:name w:val="正文1 Char"/>
    <w:link w:val="167"/>
    <w:qFormat/>
    <w:uiPriority w:val="0"/>
    <w:rPr>
      <w:kern w:val="2"/>
      <w:sz w:val="24"/>
      <w:szCs w:val="24"/>
    </w:rPr>
  </w:style>
  <w:style w:type="paragraph" w:customStyle="1" w:styleId="167">
    <w:name w:val="正文1"/>
    <w:basedOn w:val="1"/>
    <w:next w:val="1"/>
    <w:link w:val="166"/>
    <w:qFormat/>
    <w:uiPriority w:val="0"/>
    <w:pPr>
      <w:spacing w:line="360" w:lineRule="auto"/>
      <w:ind w:firstLine="200" w:firstLineChars="200"/>
    </w:pPr>
    <w:rPr>
      <w:sz w:val="24"/>
      <w:szCs w:val="24"/>
    </w:rPr>
  </w:style>
  <w:style w:type="character" w:customStyle="1" w:styleId="168">
    <w:name w:val="lv3"/>
    <w:qFormat/>
    <w:uiPriority w:val="0"/>
    <w:rPr>
      <w:rFonts w:hint="default"/>
      <w:color w:val="2E7713"/>
      <w:sz w:val="20"/>
      <w:szCs w:val="20"/>
      <w:u w:val="none"/>
    </w:rPr>
  </w:style>
  <w:style w:type="character" w:customStyle="1" w:styleId="169">
    <w:name w:val="表格 Char"/>
    <w:link w:val="170"/>
    <w:qFormat/>
    <w:uiPriority w:val="0"/>
    <w:rPr>
      <w:rFonts w:ascii="宋体" w:eastAsia="宋体"/>
      <w:kern w:val="2"/>
      <w:sz w:val="21"/>
    </w:rPr>
  </w:style>
  <w:style w:type="paragraph" w:customStyle="1" w:styleId="170">
    <w:name w:val="表格"/>
    <w:basedOn w:val="1"/>
    <w:link w:val="169"/>
    <w:qFormat/>
    <w:uiPriority w:val="0"/>
    <w:pPr>
      <w:spacing w:before="62" w:beforeLines="20" w:after="62" w:afterLines="20"/>
      <w:jc w:val="center"/>
    </w:pPr>
    <w:rPr>
      <w:rFonts w:ascii="宋体"/>
      <w:szCs w:val="20"/>
    </w:rPr>
  </w:style>
  <w:style w:type="character" w:customStyle="1" w:styleId="171">
    <w:name w:val="正文的格式 Char"/>
    <w:link w:val="172"/>
    <w:qFormat/>
    <w:locked/>
    <w:uiPriority w:val="0"/>
    <w:rPr>
      <w:sz w:val="24"/>
    </w:rPr>
  </w:style>
  <w:style w:type="paragraph" w:customStyle="1" w:styleId="172">
    <w:name w:val="正文的格式"/>
    <w:basedOn w:val="1"/>
    <w:link w:val="171"/>
    <w:qFormat/>
    <w:uiPriority w:val="0"/>
    <w:pPr>
      <w:adjustRightInd w:val="0"/>
      <w:spacing w:line="360" w:lineRule="auto"/>
      <w:ind w:firstLine="200" w:firstLineChars="200"/>
    </w:pPr>
    <w:rPr>
      <w:kern w:val="0"/>
      <w:sz w:val="24"/>
      <w:szCs w:val="20"/>
    </w:rPr>
  </w:style>
  <w:style w:type="character" w:customStyle="1" w:styleId="173">
    <w:name w:val="样式 正文 首行缩进:  2 字符 SL CON + 首行缩进:  2 字符 + 首行缩进:  2 字符 + 首行缩... Char"/>
    <w:link w:val="174"/>
    <w:qFormat/>
    <w:uiPriority w:val="0"/>
    <w:rPr>
      <w:rFonts w:ascii="宋体" w:cs="宋体"/>
      <w:sz w:val="28"/>
    </w:rPr>
  </w:style>
  <w:style w:type="paragraph" w:customStyle="1" w:styleId="174">
    <w:name w:val="样式 正文 首行缩进:  2 字符 SL CON + 首行缩进:  2 字符 + 首行缩进:  2 字符 + 首行缩..."/>
    <w:basedOn w:val="1"/>
    <w:link w:val="173"/>
    <w:qFormat/>
    <w:uiPriority w:val="0"/>
    <w:pPr>
      <w:widowControl/>
      <w:tabs>
        <w:tab w:val="left" w:pos="377"/>
      </w:tabs>
      <w:spacing w:line="331" w:lineRule="auto"/>
      <w:ind w:firstLine="560" w:firstLineChars="200"/>
    </w:pPr>
    <w:rPr>
      <w:rFonts w:ascii="宋体" w:cs="宋体"/>
      <w:kern w:val="0"/>
      <w:sz w:val="28"/>
      <w:szCs w:val="20"/>
    </w:rPr>
  </w:style>
  <w:style w:type="character" w:customStyle="1" w:styleId="175">
    <w:name w:val="f151"/>
    <w:qFormat/>
    <w:uiPriority w:val="0"/>
    <w:rPr>
      <w:sz w:val="23"/>
    </w:rPr>
  </w:style>
  <w:style w:type="character" w:customStyle="1" w:styleId="176">
    <w:name w:val="正文首行缩进 字符"/>
    <w:link w:val="45"/>
    <w:qFormat/>
    <w:uiPriority w:val="0"/>
    <w:rPr>
      <w:rFonts w:eastAsia="宋体"/>
      <w:kern w:val="2"/>
      <w:sz w:val="21"/>
    </w:rPr>
  </w:style>
  <w:style w:type="character" w:customStyle="1" w:styleId="177">
    <w:name w:val="SSEC表字居中 20150323 Char"/>
    <w:link w:val="178"/>
    <w:qFormat/>
    <w:uiPriority w:val="0"/>
    <w:rPr>
      <w:rFonts w:ascii="宋体"/>
      <w:kern w:val="2"/>
      <w:sz w:val="21"/>
      <w:szCs w:val="21"/>
    </w:rPr>
  </w:style>
  <w:style w:type="paragraph" w:customStyle="1" w:styleId="178">
    <w:name w:val="SSEC表字居中 20150323"/>
    <w:link w:val="177"/>
    <w:qFormat/>
    <w:uiPriority w:val="0"/>
    <w:pPr>
      <w:adjustRightInd w:val="0"/>
      <w:snapToGrid w:val="0"/>
      <w:jc w:val="center"/>
      <w:textAlignment w:val="center"/>
    </w:pPr>
    <w:rPr>
      <w:rFonts w:ascii="宋体" w:hAnsi="Calibri" w:eastAsia="宋体" w:cs="Times New Roman"/>
      <w:kern w:val="2"/>
      <w:sz w:val="21"/>
      <w:szCs w:val="21"/>
      <w:lang w:val="en-US" w:eastAsia="zh-CN" w:bidi="ar-SA"/>
    </w:rPr>
  </w:style>
  <w:style w:type="character" w:customStyle="1" w:styleId="179">
    <w:name w:val="批注框文本 Char1"/>
    <w:qFormat/>
    <w:uiPriority w:val="0"/>
    <w:rPr>
      <w:kern w:val="2"/>
      <w:sz w:val="18"/>
      <w:szCs w:val="18"/>
    </w:rPr>
  </w:style>
  <w:style w:type="character" w:customStyle="1" w:styleId="180">
    <w:name w:val="正文文本缩进 2 字符"/>
    <w:link w:val="26"/>
    <w:qFormat/>
    <w:uiPriority w:val="0"/>
    <w:rPr>
      <w:rFonts w:ascii="宋体" w:hAnsi="宋体" w:eastAsia="楷体_GB2312"/>
      <w:color w:val="000000"/>
      <w:spacing w:val="10"/>
      <w:kern w:val="2"/>
      <w:sz w:val="24"/>
    </w:rPr>
  </w:style>
  <w:style w:type="character" w:customStyle="1" w:styleId="181">
    <w:name w:val="正文首行缩进 Char1"/>
    <w:qFormat/>
    <w:uiPriority w:val="0"/>
    <w:rPr>
      <w:kern w:val="2"/>
      <w:sz w:val="21"/>
    </w:rPr>
  </w:style>
  <w:style w:type="character" w:customStyle="1" w:styleId="182">
    <w:name w:val="标题 3 Char Char Char Char Char Char Char Char Char Char Char Char Char Char Char Char Char Char Char Char Char Char Char Char Char Char Char Char Char Char Char Char Char Char Char Char Char Char Char Char Char Char Char Char Char Char Char Char Char Cha"/>
    <w:basedOn w:val="51"/>
    <w:qFormat/>
    <w:uiPriority w:val="0"/>
  </w:style>
  <w:style w:type="character" w:customStyle="1" w:styleId="183">
    <w:name w:val="Char Char5"/>
    <w:qFormat/>
    <w:uiPriority w:val="0"/>
    <w:rPr>
      <w:rFonts w:ascii="宋体" w:hAnsi="Courier New"/>
      <w:kern w:val="2"/>
      <w:sz w:val="26"/>
    </w:rPr>
  </w:style>
  <w:style w:type="character" w:customStyle="1" w:styleId="184">
    <w:name w:val="表格内容ky Char"/>
    <w:link w:val="185"/>
    <w:qFormat/>
    <w:uiPriority w:val="0"/>
    <w:rPr>
      <w:rFonts w:ascii="宋体" w:hAnsi="宋体"/>
      <w:sz w:val="21"/>
      <w:szCs w:val="21"/>
    </w:rPr>
  </w:style>
  <w:style w:type="paragraph" w:customStyle="1" w:styleId="185">
    <w:name w:val="表格内容ky"/>
    <w:basedOn w:val="1"/>
    <w:link w:val="184"/>
    <w:qFormat/>
    <w:uiPriority w:val="0"/>
    <w:pPr>
      <w:tabs>
        <w:tab w:val="left" w:pos="377"/>
      </w:tabs>
      <w:adjustRightInd w:val="0"/>
      <w:snapToGrid w:val="0"/>
      <w:jc w:val="center"/>
    </w:pPr>
    <w:rPr>
      <w:rFonts w:ascii="宋体" w:hAnsi="宋体"/>
      <w:kern w:val="0"/>
    </w:rPr>
  </w:style>
  <w:style w:type="character" w:customStyle="1" w:styleId="186">
    <w:name w:val="HTML 预设格式 字符"/>
    <w:link w:val="41"/>
    <w:qFormat/>
    <w:uiPriority w:val="0"/>
    <w:rPr>
      <w:rFonts w:ascii="Arial Unicode MS" w:hAnsi="Arial Unicode MS" w:eastAsia="Arial Unicode MS"/>
    </w:rPr>
  </w:style>
  <w:style w:type="character" w:customStyle="1" w:styleId="187">
    <w:name w:val="f141"/>
    <w:qFormat/>
    <w:uiPriority w:val="0"/>
    <w:rPr>
      <w:sz w:val="21"/>
    </w:rPr>
  </w:style>
  <w:style w:type="character" w:customStyle="1" w:styleId="188">
    <w:name w:val="正文文本 3 字符"/>
    <w:link w:val="18"/>
    <w:qFormat/>
    <w:uiPriority w:val="0"/>
    <w:rPr>
      <w:rFonts w:eastAsia="宋体"/>
      <w:color w:val="000000"/>
      <w:kern w:val="2"/>
      <w:sz w:val="24"/>
    </w:rPr>
  </w:style>
  <w:style w:type="character" w:customStyle="1" w:styleId="189">
    <w:name w:val="正文文本缩进 字符"/>
    <w:link w:val="20"/>
    <w:qFormat/>
    <w:uiPriority w:val="0"/>
    <w:rPr>
      <w:rFonts w:eastAsia="仿宋_GB2312"/>
      <w:color w:val="0000FF"/>
      <w:kern w:val="2"/>
      <w:sz w:val="24"/>
    </w:rPr>
  </w:style>
  <w:style w:type="character" w:customStyle="1" w:styleId="190">
    <w:name w:val="px141"/>
    <w:qFormat/>
    <w:uiPriority w:val="0"/>
    <w:rPr>
      <w:rFonts w:hint="default"/>
      <w:sz w:val="21"/>
    </w:rPr>
  </w:style>
  <w:style w:type="character" w:customStyle="1" w:styleId="191">
    <w:name w:val="c1"/>
    <w:qFormat/>
    <w:uiPriority w:val="0"/>
    <w:rPr>
      <w:rFonts w:hint="default"/>
      <w:color w:val="000000"/>
      <w:sz w:val="21"/>
      <w:u w:val="none"/>
    </w:rPr>
  </w:style>
  <w:style w:type="character" w:customStyle="1" w:styleId="192">
    <w:name w:val="正文文本 Char"/>
    <w:qFormat/>
    <w:uiPriority w:val="0"/>
    <w:rPr>
      <w:rFonts w:eastAsia="楷体_GB2312"/>
      <w:kern w:val="2"/>
      <w:sz w:val="32"/>
      <w:lang w:val="en-US" w:eastAsia="zh-CN" w:bidi="ar-SA"/>
    </w:rPr>
  </w:style>
  <w:style w:type="character" w:customStyle="1" w:styleId="193">
    <w:name w:val="正文文本 字符"/>
    <w:link w:val="19"/>
    <w:semiHidden/>
    <w:qFormat/>
    <w:uiPriority w:val="99"/>
    <w:rPr>
      <w:kern w:val="2"/>
      <w:sz w:val="21"/>
      <w:szCs w:val="21"/>
    </w:rPr>
  </w:style>
  <w:style w:type="character" w:customStyle="1" w:styleId="194">
    <w:name w:val="正文首行缩进 Char2"/>
    <w:semiHidden/>
    <w:qFormat/>
    <w:uiPriority w:val="99"/>
    <w:rPr>
      <w:kern w:val="2"/>
      <w:sz w:val="21"/>
      <w:szCs w:val="21"/>
    </w:rPr>
  </w:style>
  <w:style w:type="character" w:customStyle="1" w:styleId="195">
    <w:name w:val="正文文本缩进 2 Char1"/>
    <w:semiHidden/>
    <w:qFormat/>
    <w:uiPriority w:val="99"/>
    <w:rPr>
      <w:kern w:val="2"/>
      <w:sz w:val="21"/>
      <w:szCs w:val="21"/>
    </w:rPr>
  </w:style>
  <w:style w:type="character" w:customStyle="1" w:styleId="196">
    <w:name w:val="正文文本缩进 Char1"/>
    <w:semiHidden/>
    <w:qFormat/>
    <w:uiPriority w:val="99"/>
    <w:rPr>
      <w:kern w:val="2"/>
      <w:sz w:val="21"/>
      <w:szCs w:val="21"/>
    </w:rPr>
  </w:style>
  <w:style w:type="character" w:customStyle="1" w:styleId="197">
    <w:name w:val="正文文本 3 Char1"/>
    <w:semiHidden/>
    <w:qFormat/>
    <w:uiPriority w:val="99"/>
    <w:rPr>
      <w:kern w:val="2"/>
      <w:sz w:val="16"/>
      <w:szCs w:val="16"/>
    </w:rPr>
  </w:style>
  <w:style w:type="character" w:customStyle="1" w:styleId="198">
    <w:name w:val="HTML 预设格式 Char1"/>
    <w:semiHidden/>
    <w:qFormat/>
    <w:uiPriority w:val="99"/>
    <w:rPr>
      <w:rFonts w:ascii="Courier New" w:hAnsi="Courier New" w:cs="Courier New"/>
      <w:kern w:val="2"/>
    </w:rPr>
  </w:style>
  <w:style w:type="character" w:customStyle="1" w:styleId="199">
    <w:name w:val="正文 首行缩进:  2 字符 SL CON Char Char"/>
    <w:qFormat/>
    <w:uiPriority w:val="0"/>
    <w:rPr>
      <w:rFonts w:cs="宋体"/>
      <w:kern w:val="2"/>
      <w:sz w:val="21"/>
    </w:rPr>
  </w:style>
  <w:style w:type="character" w:customStyle="1" w:styleId="200">
    <w:name w:val="样式 宋体 小四 行距: 1.5 倍行距 Char"/>
    <w:link w:val="201"/>
    <w:qFormat/>
    <w:uiPriority w:val="0"/>
    <w:rPr>
      <w:rFonts w:ascii="宋体" w:hAnsi="宋体" w:eastAsia="宋体" w:cs="宋体"/>
      <w:kern w:val="2"/>
      <w:sz w:val="24"/>
    </w:rPr>
  </w:style>
  <w:style w:type="paragraph" w:customStyle="1" w:styleId="201">
    <w:name w:val="样式 宋体 小四 行距: 1.5 倍行距"/>
    <w:basedOn w:val="1"/>
    <w:link w:val="200"/>
    <w:qFormat/>
    <w:uiPriority w:val="0"/>
    <w:pPr>
      <w:spacing w:line="360" w:lineRule="auto"/>
      <w:ind w:firstLine="480" w:firstLineChars="200"/>
    </w:pPr>
    <w:rPr>
      <w:rFonts w:ascii="宋体" w:hAnsi="宋体" w:cs="宋体"/>
      <w:sz w:val="24"/>
      <w:szCs w:val="20"/>
    </w:rPr>
  </w:style>
  <w:style w:type="character" w:customStyle="1" w:styleId="202">
    <w:name w:val="样式 样式 正文 首行缩进:  2 字符 SL CON + 首行缩进:  2 字符 + 首行缩进:  2 字符 Char Char"/>
    <w:link w:val="203"/>
    <w:qFormat/>
    <w:uiPriority w:val="0"/>
    <w:rPr>
      <w:rFonts w:ascii="Calibri" w:hAnsi="Calibri" w:cs="宋体"/>
      <w:sz w:val="28"/>
      <w:lang w:eastAsia="en-US" w:bidi="en-US"/>
    </w:rPr>
  </w:style>
  <w:style w:type="paragraph" w:customStyle="1" w:styleId="203">
    <w:name w:val="样式 样式 正文 首行缩进:  2 字符 SL CON + 首行缩进:  2 字符 + 首行缩进:  2 字符"/>
    <w:basedOn w:val="1"/>
    <w:link w:val="202"/>
    <w:qFormat/>
    <w:uiPriority w:val="0"/>
    <w:pPr>
      <w:widowControl/>
      <w:ind w:firstLine="200" w:firstLineChars="200"/>
      <w:jc w:val="left"/>
    </w:pPr>
    <w:rPr>
      <w:rFonts w:cs="宋体"/>
      <w:kern w:val="0"/>
      <w:sz w:val="28"/>
      <w:szCs w:val="20"/>
      <w:lang w:eastAsia="en-US" w:bidi="en-US"/>
    </w:rPr>
  </w:style>
  <w:style w:type="character" w:customStyle="1" w:styleId="204">
    <w:name w:val="标题2"/>
    <w:qFormat/>
    <w:uiPriority w:val="0"/>
  </w:style>
  <w:style w:type="character" w:customStyle="1" w:styleId="205">
    <w:name w:val="表（或图）标题 样式 宋体 五号 居中 SL CON Char Char"/>
    <w:qFormat/>
    <w:uiPriority w:val="0"/>
    <w:rPr>
      <w:rFonts w:ascii="宋体" w:hAnsi="宋体" w:cs="宋体"/>
      <w:b/>
      <w:sz w:val="21"/>
    </w:rPr>
  </w:style>
  <w:style w:type="character" w:customStyle="1" w:styleId="206">
    <w:name w:val="题注 字符"/>
    <w:qFormat/>
    <w:uiPriority w:val="0"/>
    <w:rPr>
      <w:rFonts w:ascii="宋体" w:hAnsi="Cambria" w:eastAsia="宋体" w:cs="Times New Roman"/>
      <w:szCs w:val="20"/>
    </w:rPr>
  </w:style>
  <w:style w:type="paragraph" w:customStyle="1" w:styleId="207">
    <w:name w:val="xl40"/>
    <w:basedOn w:val="1"/>
    <w:qFormat/>
    <w:uiPriority w:val="0"/>
    <w:pPr>
      <w:widowControl/>
      <w:spacing w:before="100" w:beforeAutospacing="1" w:after="100" w:afterAutospacing="1"/>
      <w:jc w:val="center"/>
    </w:pPr>
    <w:rPr>
      <w:rFonts w:hint="eastAsia" w:ascii="宋体" w:hAnsi="宋体"/>
      <w:color w:val="000000"/>
      <w:kern w:val="0"/>
      <w:sz w:val="24"/>
      <w:szCs w:val="20"/>
    </w:rPr>
  </w:style>
  <w:style w:type="paragraph" w:customStyle="1" w:styleId="208">
    <w:name w:val="xl50"/>
    <w:basedOn w:val="1"/>
    <w:qFormat/>
    <w:uiPriority w:val="0"/>
    <w:pPr>
      <w:widowControl/>
      <w:pBdr>
        <w:bottom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09">
    <w:name w:val="报告正文"/>
    <w:basedOn w:val="1"/>
    <w:semiHidden/>
    <w:qFormat/>
    <w:uiPriority w:val="0"/>
    <w:pPr>
      <w:widowControl/>
      <w:adjustRightInd w:val="0"/>
      <w:snapToGrid w:val="0"/>
      <w:spacing w:before="50" w:beforeLines="50"/>
      <w:ind w:firstLine="200" w:firstLineChars="200"/>
      <w:jc w:val="left"/>
    </w:pPr>
    <w:rPr>
      <w:rFonts w:ascii="宋体" w:hAnsi="宋体" w:cs="宋体"/>
      <w:kern w:val="0"/>
    </w:rPr>
  </w:style>
  <w:style w:type="paragraph" w:customStyle="1" w:styleId="210">
    <w:name w:val="表内式样"/>
    <w:qFormat/>
    <w:uiPriority w:val="0"/>
    <w:pPr>
      <w:keepLines/>
      <w:widowControl w:val="0"/>
      <w:kinsoku w:val="0"/>
      <w:overflowPunct w:val="0"/>
      <w:adjustRightInd w:val="0"/>
      <w:jc w:val="center"/>
    </w:pPr>
    <w:rPr>
      <w:rFonts w:ascii="宋体" w:hAnsi="Times New Roman" w:eastAsia="宋体" w:cs="Times New Roman"/>
      <w:sz w:val="21"/>
      <w:lang w:val="en-US" w:eastAsia="zh-CN" w:bidi="ar-SA"/>
    </w:rPr>
  </w:style>
  <w:style w:type="paragraph" w:customStyle="1" w:styleId="211">
    <w:name w:val="前言、引言标题"/>
    <w:next w:val="1"/>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212">
    <w:name w:val="标题3-4.3"/>
    <w:basedOn w:val="6"/>
    <w:qFormat/>
    <w:uiPriority w:val="0"/>
    <w:pPr>
      <w:keepLines/>
      <w:numPr>
        <w:numId w:val="3"/>
      </w:numPr>
      <w:tabs>
        <w:tab w:val="left" w:pos="377"/>
        <w:tab w:val="left" w:pos="567"/>
        <w:tab w:val="left" w:pos="720"/>
        <w:tab w:val="left" w:pos="840"/>
      </w:tabs>
      <w:autoSpaceDE w:val="0"/>
      <w:autoSpaceDN w:val="0"/>
      <w:spacing w:before="0" w:beforeAutospacing="0"/>
      <w:ind w:left="0" w:firstLine="0"/>
      <w:jc w:val="both"/>
    </w:pPr>
    <w:rPr>
      <w:rFonts w:ascii="Times New Roman" w:hAnsi="Times New Roman" w:eastAsia="宋体"/>
      <w:bCs w:val="0"/>
      <w:spacing w:val="10"/>
      <w:kern w:val="0"/>
      <w:szCs w:val="20"/>
    </w:rPr>
  </w:style>
  <w:style w:type="paragraph" w:customStyle="1" w:styleId="213">
    <w:name w:val="font10"/>
    <w:basedOn w:val="1"/>
    <w:qFormat/>
    <w:uiPriority w:val="0"/>
    <w:pPr>
      <w:widowControl/>
      <w:spacing w:before="100" w:beforeAutospacing="1" w:after="100" w:afterAutospacing="1"/>
      <w:jc w:val="left"/>
    </w:pPr>
    <w:rPr>
      <w:rFonts w:ascii="Times New Roman" w:hAnsi="Times New Roman"/>
      <w:b/>
      <w:kern w:val="0"/>
      <w:sz w:val="24"/>
      <w:szCs w:val="20"/>
    </w:rPr>
  </w:style>
  <w:style w:type="paragraph" w:customStyle="1" w:styleId="214">
    <w:name w:val="三级条标题"/>
    <w:basedOn w:val="215"/>
    <w:next w:val="7"/>
    <w:qFormat/>
    <w:uiPriority w:val="0"/>
    <w:pPr>
      <w:tabs>
        <w:tab w:val="left" w:pos="360"/>
        <w:tab w:val="left" w:pos="1260"/>
        <w:tab w:val="left" w:pos="1680"/>
        <w:tab w:val="left" w:pos="1830"/>
        <w:tab w:val="left" w:pos="2100"/>
        <w:tab w:val="left" w:pos="2250"/>
        <w:tab w:val="left" w:pos="2670"/>
      </w:tabs>
      <w:ind w:left="2670"/>
      <w:outlineLvl w:val="4"/>
    </w:pPr>
  </w:style>
  <w:style w:type="paragraph" w:customStyle="1" w:styleId="215">
    <w:name w:val="二级条标题"/>
    <w:basedOn w:val="216"/>
    <w:next w:val="7"/>
    <w:qFormat/>
    <w:uiPriority w:val="0"/>
    <w:pPr>
      <w:tabs>
        <w:tab w:val="left" w:pos="360"/>
        <w:tab w:val="left" w:pos="1260"/>
        <w:tab w:val="left" w:pos="1680"/>
        <w:tab w:val="left" w:pos="1830"/>
        <w:tab w:val="left" w:pos="2250"/>
      </w:tabs>
      <w:ind w:left="2250" w:hanging="420"/>
      <w:outlineLvl w:val="3"/>
    </w:pPr>
  </w:style>
  <w:style w:type="paragraph" w:customStyle="1" w:styleId="216">
    <w:name w:val="一级条标题"/>
    <w:basedOn w:val="3"/>
    <w:next w:val="1"/>
    <w:qFormat/>
    <w:uiPriority w:val="0"/>
    <w:pPr>
      <w:widowControl/>
      <w:numPr>
        <w:numId w:val="0"/>
      </w:numPr>
      <w:tabs>
        <w:tab w:val="left" w:pos="360"/>
      </w:tabs>
      <w:adjustRightInd/>
      <w:snapToGrid/>
      <w:spacing w:before="0" w:beforeAutospacing="0" w:line="240" w:lineRule="auto"/>
      <w:ind w:left="1125" w:hanging="495"/>
      <w:jc w:val="both"/>
      <w:outlineLvl w:val="2"/>
    </w:pPr>
    <w:rPr>
      <w:kern w:val="0"/>
      <w:sz w:val="21"/>
      <w:szCs w:val="20"/>
    </w:rPr>
  </w:style>
  <w:style w:type="paragraph" w:customStyle="1" w:styleId="217">
    <w:name w:val="样式2"/>
    <w:basedOn w:val="1"/>
    <w:qFormat/>
    <w:uiPriority w:val="0"/>
    <w:pPr>
      <w:keepNext/>
      <w:keepLines/>
      <w:spacing w:line="360" w:lineRule="auto"/>
      <w:jc w:val="left"/>
      <w:outlineLvl w:val="0"/>
    </w:pPr>
    <w:rPr>
      <w:rFonts w:ascii="Times New Roman" w:hAnsi="Times New Roman" w:eastAsia="黑体"/>
      <w:b/>
      <w:bCs/>
      <w:spacing w:val="10"/>
      <w:kern w:val="44"/>
      <w:sz w:val="30"/>
      <w:szCs w:val="32"/>
    </w:rPr>
  </w:style>
  <w:style w:type="paragraph" w:customStyle="1" w:styleId="218">
    <w:name w:val="font5"/>
    <w:basedOn w:val="1"/>
    <w:qFormat/>
    <w:uiPriority w:val="0"/>
    <w:pPr>
      <w:widowControl/>
      <w:spacing w:before="100" w:beforeAutospacing="1" w:after="100" w:afterAutospacing="1"/>
      <w:jc w:val="left"/>
    </w:pPr>
    <w:rPr>
      <w:rFonts w:ascii="Times New Roman" w:hAnsi="Times New Roman"/>
      <w:kern w:val="0"/>
      <w:szCs w:val="20"/>
    </w:rPr>
  </w:style>
  <w:style w:type="paragraph" w:customStyle="1" w:styleId="219">
    <w:name w:val="样式 小四 首行缩进:  1.11 厘米 行距: 1.5 倍行距"/>
    <w:basedOn w:val="1"/>
    <w:qFormat/>
    <w:uiPriority w:val="0"/>
    <w:pPr>
      <w:spacing w:line="360" w:lineRule="auto"/>
      <w:ind w:firstLine="480" w:firstLineChars="200"/>
    </w:pPr>
    <w:rPr>
      <w:rFonts w:ascii="Times New Roman" w:hAnsi="Times New Roman" w:cs="宋体"/>
      <w:sz w:val="24"/>
      <w:szCs w:val="20"/>
    </w:rPr>
  </w:style>
  <w:style w:type="paragraph" w:customStyle="1" w:styleId="220">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21">
    <w:name w:val="font7"/>
    <w:basedOn w:val="1"/>
    <w:qFormat/>
    <w:uiPriority w:val="0"/>
    <w:pPr>
      <w:widowControl/>
      <w:spacing w:before="100" w:beforeAutospacing="1" w:after="100" w:afterAutospacing="1"/>
      <w:jc w:val="left"/>
    </w:pPr>
    <w:rPr>
      <w:rFonts w:hint="eastAsia" w:ascii="宋体" w:hAnsi="宋体"/>
      <w:kern w:val="0"/>
      <w:szCs w:val="20"/>
    </w:rPr>
  </w:style>
  <w:style w:type="paragraph" w:customStyle="1" w:styleId="222">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Cs w:val="20"/>
    </w:rPr>
  </w:style>
  <w:style w:type="paragraph" w:customStyle="1" w:styleId="223">
    <w:name w:val="2"/>
    <w:basedOn w:val="1"/>
    <w:next w:val="23"/>
    <w:qFormat/>
    <w:uiPriority w:val="0"/>
    <w:rPr>
      <w:rFonts w:ascii="宋体" w:hAnsi="Courier New"/>
      <w:szCs w:val="20"/>
    </w:rPr>
  </w:style>
  <w:style w:type="paragraph" w:customStyle="1" w:styleId="224">
    <w:name w:val="lm表格内文字"/>
    <w:basedOn w:val="1"/>
    <w:qFormat/>
    <w:uiPriority w:val="0"/>
    <w:pPr>
      <w:jc w:val="center"/>
      <w:textAlignment w:val="center"/>
    </w:pPr>
    <w:rPr>
      <w:rFonts w:ascii="Times New Roman" w:hAnsi="Times New Roman"/>
    </w:rPr>
  </w:style>
  <w:style w:type="paragraph" w:customStyle="1" w:styleId="225">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pPr>
    <w:rPr>
      <w:rFonts w:ascii="Arial Unicode MS" w:hAnsi="Arial Unicode MS"/>
      <w:kern w:val="0"/>
      <w:szCs w:val="20"/>
    </w:rPr>
  </w:style>
  <w:style w:type="paragraph" w:customStyle="1" w:styleId="226">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4"/>
      <w:szCs w:val="20"/>
    </w:rPr>
  </w:style>
  <w:style w:type="paragraph" w:customStyle="1" w:styleId="227">
    <w:name w:val="小四正文"/>
    <w:qFormat/>
    <w:uiPriority w:val="0"/>
    <w:pPr>
      <w:adjustRightInd w:val="0"/>
      <w:snapToGrid w:val="0"/>
      <w:spacing w:line="331" w:lineRule="auto"/>
      <w:ind w:firstLine="480" w:firstLineChars="200"/>
      <w:jc w:val="both"/>
    </w:pPr>
    <w:rPr>
      <w:rFonts w:ascii="宋体" w:hAnsi="宋体" w:eastAsia="宋体" w:cs="Times New Roman"/>
      <w:snapToGrid w:val="0"/>
      <w:kern w:val="2"/>
      <w:sz w:val="24"/>
      <w:szCs w:val="24"/>
      <w:lang w:val="en-US" w:eastAsia="zh-CN" w:bidi="ar-SA"/>
    </w:rPr>
  </w:style>
  <w:style w:type="paragraph" w:customStyle="1" w:styleId="228">
    <w:name w:val="二级无标题条"/>
    <w:basedOn w:val="1"/>
    <w:qFormat/>
    <w:uiPriority w:val="0"/>
    <w:rPr>
      <w:rFonts w:ascii="Times New Roman" w:hAnsi="Times New Roman"/>
      <w:szCs w:val="20"/>
    </w:rPr>
  </w:style>
  <w:style w:type="paragraph" w:customStyle="1" w:styleId="229">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230">
    <w:name w:val="xl37"/>
    <w:basedOn w:val="1"/>
    <w:qFormat/>
    <w:uiPriority w:val="0"/>
    <w:pPr>
      <w:widowControl/>
      <w:pBdr>
        <w:top w:val="single" w:color="auto" w:sz="4" w:space="0"/>
      </w:pBdr>
      <w:spacing w:before="100" w:beforeAutospacing="1" w:after="100" w:afterAutospacing="1"/>
      <w:jc w:val="center"/>
    </w:pPr>
    <w:rPr>
      <w:rFonts w:ascii="Times New Roman" w:hAnsi="Times New Roman"/>
      <w:kern w:val="0"/>
      <w:szCs w:val="20"/>
    </w:rPr>
  </w:style>
  <w:style w:type="paragraph" w:customStyle="1" w:styleId="231">
    <w:name w:val="xl43"/>
    <w:basedOn w:val="1"/>
    <w:qFormat/>
    <w:uiPriority w:val="0"/>
    <w:pPr>
      <w:widowControl/>
      <w:pBdr>
        <w:left w:val="single" w:color="auto" w:sz="4" w:space="0"/>
        <w:bottom w:val="single" w:color="000000" w:sz="4" w:space="0"/>
        <w:right w:val="single" w:color="auto" w:sz="4" w:space="0"/>
      </w:pBdr>
      <w:spacing w:before="100" w:beforeAutospacing="1" w:after="100" w:afterAutospacing="1"/>
      <w:jc w:val="center"/>
    </w:pPr>
    <w:rPr>
      <w:rFonts w:ascii="Arial Unicode MS" w:hAnsi="Arial Unicode MS"/>
      <w:kern w:val="0"/>
      <w:sz w:val="22"/>
      <w:szCs w:val="20"/>
    </w:rPr>
  </w:style>
  <w:style w:type="paragraph" w:customStyle="1" w:styleId="232">
    <w:name w:val="表头"/>
    <w:basedOn w:val="1"/>
    <w:qFormat/>
    <w:uiPriority w:val="0"/>
    <w:pPr>
      <w:jc w:val="center"/>
    </w:pPr>
    <w:rPr>
      <w:rFonts w:ascii="宋体" w:hAnsi="宋体"/>
      <w:szCs w:val="20"/>
    </w:rPr>
  </w:style>
  <w:style w:type="paragraph" w:customStyle="1" w:styleId="233">
    <w:name w:val="font9"/>
    <w:basedOn w:val="1"/>
    <w:qFormat/>
    <w:uiPriority w:val="0"/>
    <w:pPr>
      <w:widowControl/>
      <w:spacing w:before="100" w:beforeAutospacing="1" w:after="100" w:afterAutospacing="1"/>
      <w:jc w:val="left"/>
    </w:pPr>
    <w:rPr>
      <w:rFonts w:hint="eastAsia" w:ascii="宋体" w:hAnsi="宋体"/>
      <w:b/>
      <w:kern w:val="0"/>
      <w:sz w:val="24"/>
      <w:szCs w:val="20"/>
    </w:rPr>
  </w:style>
  <w:style w:type="paragraph" w:customStyle="1" w:styleId="234">
    <w:name w:val="IDDS表图注"/>
    <w:basedOn w:val="1"/>
    <w:qFormat/>
    <w:uiPriority w:val="0"/>
    <w:pPr>
      <w:spacing w:line="360" w:lineRule="auto"/>
      <w:jc w:val="center"/>
    </w:pPr>
    <w:rPr>
      <w:rFonts w:ascii="宋体" w:hAnsi="宋体" w:cs="宋体"/>
      <w:b/>
      <w:bCs/>
      <w:szCs w:val="20"/>
    </w:rPr>
  </w:style>
  <w:style w:type="paragraph" w:customStyle="1" w:styleId="235">
    <w:name w:val="xl2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36">
    <w:name w:val="xl4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0"/>
    </w:rPr>
  </w:style>
  <w:style w:type="paragraph" w:customStyle="1" w:styleId="237">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4"/>
      <w:szCs w:val="20"/>
    </w:rPr>
  </w:style>
  <w:style w:type="paragraph" w:customStyle="1" w:styleId="238">
    <w:name w:val="列出段落1"/>
    <w:basedOn w:val="1"/>
    <w:qFormat/>
    <w:uiPriority w:val="34"/>
    <w:pPr>
      <w:ind w:firstLine="420" w:firstLineChars="200"/>
    </w:pPr>
    <w:rPr>
      <w:szCs w:val="22"/>
    </w:rPr>
  </w:style>
  <w:style w:type="paragraph" w:customStyle="1" w:styleId="239">
    <w:name w:val="样式13"/>
    <w:basedOn w:val="1"/>
    <w:qFormat/>
    <w:uiPriority w:val="0"/>
    <w:pPr>
      <w:tabs>
        <w:tab w:val="left" w:pos="0"/>
      </w:tabs>
      <w:adjustRightInd w:val="0"/>
      <w:snapToGrid w:val="0"/>
      <w:jc w:val="center"/>
    </w:pPr>
    <w:rPr>
      <w:rFonts w:ascii="宋体" w:hAnsi="宋体"/>
      <w:sz w:val="24"/>
      <w:szCs w:val="20"/>
    </w:rPr>
  </w:style>
  <w:style w:type="paragraph" w:customStyle="1" w:styleId="240">
    <w:name w:val="xl49"/>
    <w:basedOn w:val="1"/>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41">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42">
    <w:name w:val="封面标准名称"/>
    <w:qFormat/>
    <w:uiPriority w:val="0"/>
    <w:pPr>
      <w:framePr w:w="9639" w:h="6917" w:hRule="exact" w:wrap="around" w:vAnchor="page" w:hAnchor="page" w:xAlign="center" w:y="6408"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243">
    <w:name w:val="xl4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sz w:val="22"/>
      <w:szCs w:val="20"/>
    </w:rPr>
  </w:style>
  <w:style w:type="paragraph" w:customStyle="1" w:styleId="244">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4"/>
      <w:szCs w:val="20"/>
    </w:rPr>
  </w:style>
  <w:style w:type="paragraph" w:customStyle="1" w:styleId="245">
    <w:name w:val="五级条标题"/>
    <w:basedOn w:val="246"/>
    <w:next w:val="7"/>
    <w:qFormat/>
    <w:uiPriority w:val="0"/>
    <w:pPr>
      <w:tabs>
        <w:tab w:val="left" w:pos="360"/>
        <w:tab w:val="left" w:pos="1260"/>
        <w:tab w:val="left" w:pos="1680"/>
        <w:tab w:val="left" w:pos="1830"/>
        <w:tab w:val="left" w:pos="2100"/>
        <w:tab w:val="left" w:pos="2250"/>
        <w:tab w:val="left" w:pos="2520"/>
        <w:tab w:val="left" w:pos="2670"/>
        <w:tab w:val="left" w:pos="2940"/>
        <w:tab w:val="left" w:pos="3090"/>
        <w:tab w:val="left" w:pos="3510"/>
      </w:tabs>
      <w:ind w:left="3510"/>
      <w:outlineLvl w:val="6"/>
    </w:pPr>
  </w:style>
  <w:style w:type="paragraph" w:customStyle="1" w:styleId="246">
    <w:name w:val="四级条标题"/>
    <w:basedOn w:val="214"/>
    <w:next w:val="7"/>
    <w:qFormat/>
    <w:uiPriority w:val="0"/>
    <w:pPr>
      <w:tabs>
        <w:tab w:val="left" w:pos="2520"/>
        <w:tab w:val="left" w:pos="3090"/>
      </w:tabs>
      <w:ind w:left="3090"/>
      <w:outlineLvl w:val="5"/>
    </w:pPr>
  </w:style>
  <w:style w:type="paragraph" w:customStyle="1" w:styleId="247">
    <w:name w:val="Char Char Char Char Char Char Char Char Char Char Char Char Char Char Char Char Char Char Char Char Char Char Char Char"/>
    <w:basedOn w:val="1"/>
    <w:qFormat/>
    <w:uiPriority w:val="0"/>
    <w:pPr>
      <w:widowControl/>
      <w:spacing w:line="360" w:lineRule="auto"/>
      <w:jc w:val="left"/>
    </w:pPr>
    <w:rPr>
      <w:rFonts w:ascii="Times New Roman" w:hAnsi="Times New Roman"/>
    </w:rPr>
  </w:style>
  <w:style w:type="paragraph" w:customStyle="1" w:styleId="248">
    <w:name w:val="5"/>
    <w:basedOn w:val="1"/>
    <w:next w:val="23"/>
    <w:qFormat/>
    <w:uiPriority w:val="0"/>
    <w:rPr>
      <w:rFonts w:ascii="宋体" w:hAnsi="Courier New"/>
      <w:szCs w:val="20"/>
    </w:rPr>
  </w:style>
  <w:style w:type="paragraph" w:customStyle="1" w:styleId="249">
    <w:name w:val="注释"/>
    <w:basedOn w:val="1"/>
    <w:next w:val="1"/>
    <w:qFormat/>
    <w:uiPriority w:val="0"/>
    <w:rPr>
      <w:rFonts w:ascii="Times New Roman" w:hAnsi="Times New Roman" w:eastAsia="华文细黑"/>
      <w:kern w:val="24"/>
      <w:sz w:val="24"/>
      <w:szCs w:val="20"/>
    </w:rPr>
  </w:style>
  <w:style w:type="paragraph" w:customStyle="1" w:styleId="250">
    <w:name w:val="xl24"/>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kern w:val="0"/>
      <w:sz w:val="24"/>
      <w:szCs w:val="20"/>
    </w:rPr>
  </w:style>
  <w:style w:type="paragraph" w:customStyle="1" w:styleId="251">
    <w:name w:val="Char Char4 Char Char Char Char Char Char"/>
    <w:basedOn w:val="1"/>
    <w:qFormat/>
    <w:uiPriority w:val="0"/>
    <w:rPr>
      <w:rFonts w:ascii="Times New Roman" w:hAnsi="Times New Roman"/>
      <w:szCs w:val="24"/>
    </w:rPr>
  </w:style>
  <w:style w:type="paragraph" w:customStyle="1" w:styleId="252">
    <w:name w:val="font8"/>
    <w:basedOn w:val="1"/>
    <w:qFormat/>
    <w:uiPriority w:val="0"/>
    <w:pPr>
      <w:widowControl/>
      <w:spacing w:before="100" w:beforeAutospacing="1" w:after="100" w:afterAutospacing="1"/>
      <w:jc w:val="left"/>
    </w:pPr>
    <w:rPr>
      <w:rFonts w:hint="eastAsia" w:ascii="宋体" w:hAnsi="宋体"/>
      <w:kern w:val="0"/>
      <w:sz w:val="18"/>
      <w:szCs w:val="20"/>
    </w:rPr>
  </w:style>
  <w:style w:type="paragraph" w:customStyle="1" w:styleId="253">
    <w:name w:val="默认段落字体 Para Char Char Char Char"/>
    <w:basedOn w:val="1"/>
    <w:qFormat/>
    <w:uiPriority w:val="0"/>
    <w:rPr>
      <w:rFonts w:ascii="Times New Roman" w:hAnsi="Times New Roman"/>
      <w:szCs w:val="24"/>
    </w:rPr>
  </w:style>
  <w:style w:type="paragraph" w:customStyle="1" w:styleId="254">
    <w:name w:val="表格2"/>
    <w:qFormat/>
    <w:uiPriority w:val="0"/>
    <w:pPr>
      <w:spacing w:line="400" w:lineRule="exact"/>
      <w:jc w:val="center"/>
    </w:pPr>
    <w:rPr>
      <w:rFonts w:ascii="Times New Roman" w:hAnsi="Times New Roman" w:eastAsia="宋体" w:cs="Times New Roman"/>
      <w:sz w:val="21"/>
      <w:lang w:val="en-US" w:eastAsia="zh-CN" w:bidi="ar-SA"/>
    </w:rPr>
  </w:style>
  <w:style w:type="paragraph" w:customStyle="1" w:styleId="255">
    <w:name w:val="xl27"/>
    <w:basedOn w:val="1"/>
    <w:qFormat/>
    <w:uiPriority w:val="0"/>
    <w:pPr>
      <w:widowControl/>
      <w:pBdr>
        <w:top w:val="single" w:color="auto" w:sz="4" w:space="0"/>
        <w:bottom w:val="single" w:color="auto" w:sz="4" w:space="0"/>
      </w:pBdr>
      <w:spacing w:before="100" w:beforeAutospacing="1" w:after="100" w:afterAutospacing="1"/>
      <w:jc w:val="center"/>
    </w:pPr>
    <w:rPr>
      <w:rFonts w:ascii="Times New Roman" w:hAnsi="Times New Roman"/>
      <w:kern w:val="0"/>
      <w:szCs w:val="20"/>
    </w:rPr>
  </w:style>
  <w:style w:type="paragraph" w:customStyle="1" w:styleId="256">
    <w:name w:val="Default"/>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257">
    <w:name w:val="xl48"/>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58">
    <w:name w:val="Char1 Char Char Char"/>
    <w:basedOn w:val="1"/>
    <w:qFormat/>
    <w:uiPriority w:val="0"/>
    <w:pPr>
      <w:widowControl/>
      <w:spacing w:after="160" w:line="240" w:lineRule="exact"/>
      <w:jc w:val="left"/>
    </w:pPr>
    <w:rPr>
      <w:rFonts w:ascii="Times New Roman" w:hAnsi="Times New Roman"/>
      <w:szCs w:val="20"/>
    </w:rPr>
  </w:style>
  <w:style w:type="paragraph" w:customStyle="1" w:styleId="259">
    <w:name w:val="修订111"/>
    <w:qFormat/>
    <w:uiPriority w:val="99"/>
    <w:rPr>
      <w:rFonts w:ascii="Calibri" w:hAnsi="Calibri" w:eastAsia="宋体" w:cs="Times New Roman"/>
      <w:kern w:val="2"/>
      <w:sz w:val="21"/>
      <w:szCs w:val="21"/>
      <w:lang w:val="en-US" w:eastAsia="zh-CN" w:bidi="ar-SA"/>
    </w:rPr>
  </w:style>
  <w:style w:type="paragraph" w:customStyle="1" w:styleId="260">
    <w:name w:val="xl30"/>
    <w:basedOn w:val="1"/>
    <w:qFormat/>
    <w:uiPriority w:val="0"/>
    <w:pPr>
      <w:widowControl/>
      <w:pBdr>
        <w:top w:val="single" w:color="auto" w:sz="4" w:space="0"/>
        <w:left w:val="single" w:color="auto" w:sz="4" w:space="0"/>
      </w:pBdr>
      <w:spacing w:before="100" w:beforeAutospacing="1" w:after="100" w:afterAutospacing="1"/>
      <w:jc w:val="center"/>
    </w:pPr>
    <w:rPr>
      <w:rFonts w:ascii="Times New Roman" w:hAnsi="Times New Roman"/>
      <w:kern w:val="0"/>
      <w:szCs w:val="20"/>
    </w:rPr>
  </w:style>
  <w:style w:type="paragraph" w:customStyle="1" w:styleId="261">
    <w:name w:val="TOC 标题1"/>
    <w:basedOn w:val="3"/>
    <w:next w:val="1"/>
    <w:unhideWhenUsed/>
    <w:qFormat/>
    <w:locked/>
    <w:uiPriority w:val="39"/>
    <w:pPr>
      <w:keepNext/>
      <w:keepLines/>
      <w:widowControl/>
      <w:numPr>
        <w:numId w:val="9"/>
      </w:numPr>
      <w:adjustRightInd/>
      <w:snapToGrid/>
      <w:spacing w:before="240" w:beforeAutospacing="0" w:line="259" w:lineRule="auto"/>
      <w:outlineLvl w:val="9"/>
    </w:pPr>
    <w:rPr>
      <w:rFonts w:ascii="Cambria" w:hAnsi="Cambria" w:eastAsia="宋体"/>
      <w:color w:val="365F91"/>
      <w:kern w:val="0"/>
      <w:sz w:val="32"/>
      <w:szCs w:val="32"/>
    </w:rPr>
  </w:style>
  <w:style w:type="paragraph" w:customStyle="1" w:styleId="262">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63">
    <w:name w:val="xl4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64">
    <w:name w:val="表格文字"/>
    <w:basedOn w:val="1"/>
    <w:qFormat/>
    <w:uiPriority w:val="0"/>
    <w:pPr>
      <w:adjustRightInd w:val="0"/>
      <w:snapToGrid w:val="0"/>
      <w:jc w:val="center"/>
    </w:pPr>
    <w:rPr>
      <w:rFonts w:ascii="宋体" w:hAnsi="宋体"/>
      <w:szCs w:val="20"/>
    </w:rPr>
  </w:style>
  <w:style w:type="paragraph" w:customStyle="1" w:styleId="265">
    <w:name w:val="Table Paragraph"/>
    <w:basedOn w:val="1"/>
    <w:qFormat/>
    <w:uiPriority w:val="0"/>
    <w:pPr>
      <w:spacing w:before="8"/>
      <w:jc w:val="center"/>
    </w:pPr>
    <w:rPr>
      <w:rFonts w:ascii="宋体" w:hAnsi="宋体" w:cs="宋体"/>
      <w:kern w:val="0"/>
      <w:sz w:val="22"/>
      <w:szCs w:val="22"/>
      <w:lang w:eastAsia="en-US"/>
    </w:rPr>
  </w:style>
  <w:style w:type="paragraph" w:customStyle="1" w:styleId="266">
    <w:name w:val="修订11"/>
    <w:qFormat/>
    <w:uiPriority w:val="99"/>
    <w:rPr>
      <w:rFonts w:ascii="Times New Roman" w:hAnsi="Times New Roman" w:eastAsia="宋体" w:cs="Times New Roman"/>
      <w:kern w:val="2"/>
      <w:sz w:val="21"/>
      <w:szCs w:val="24"/>
      <w:lang w:val="en-US" w:eastAsia="zh-CN" w:bidi="ar-SA"/>
    </w:rPr>
  </w:style>
  <w:style w:type="paragraph" w:customStyle="1" w:styleId="267">
    <w:name w:val="IDDS表格正文"/>
    <w:basedOn w:val="1"/>
    <w:qFormat/>
    <w:uiPriority w:val="0"/>
    <w:pPr>
      <w:spacing w:line="300" w:lineRule="auto"/>
      <w:jc w:val="center"/>
    </w:pPr>
    <w:rPr>
      <w:rFonts w:ascii="Times New Roman" w:hAnsi="Times New Roman" w:cs="宋体"/>
      <w:szCs w:val="20"/>
    </w:rPr>
  </w:style>
  <w:style w:type="paragraph" w:customStyle="1" w:styleId="268">
    <w:name w:val="xl39"/>
    <w:basedOn w:val="1"/>
    <w:qFormat/>
    <w:uiPriority w:val="0"/>
    <w:pPr>
      <w:widowControl/>
      <w:pBdr>
        <w:top w:val="single" w:color="auto" w:sz="4" w:space="0"/>
      </w:pBdr>
      <w:spacing w:before="100" w:beforeAutospacing="1" w:after="100" w:afterAutospacing="1"/>
      <w:jc w:val="center"/>
    </w:pPr>
    <w:rPr>
      <w:rFonts w:ascii="Arial Unicode MS" w:hAnsi="Arial Unicode MS"/>
      <w:b/>
      <w:kern w:val="0"/>
      <w:sz w:val="24"/>
      <w:szCs w:val="20"/>
    </w:rPr>
  </w:style>
  <w:style w:type="paragraph" w:customStyle="1" w:styleId="269">
    <w:name w:val="Char"/>
    <w:basedOn w:val="1"/>
    <w:qFormat/>
    <w:uiPriority w:val="0"/>
    <w:rPr>
      <w:rFonts w:ascii="Times New Roman" w:hAnsi="Times New Roman"/>
    </w:rPr>
  </w:style>
  <w:style w:type="paragraph" w:customStyle="1" w:styleId="270">
    <w:name w:val="主标题 样式 小一 加粗 居中(SL CON)"/>
    <w:basedOn w:val="1"/>
    <w:qFormat/>
    <w:uiPriority w:val="0"/>
    <w:pPr>
      <w:widowControl/>
      <w:tabs>
        <w:tab w:val="left" w:pos="377"/>
      </w:tabs>
      <w:spacing w:line="300" w:lineRule="auto"/>
      <w:jc w:val="center"/>
    </w:pPr>
    <w:rPr>
      <w:rFonts w:ascii="宋体" w:hAnsi="Times New Roman" w:cs="宋体"/>
      <w:b/>
      <w:bCs/>
      <w:kern w:val="0"/>
      <w:sz w:val="48"/>
      <w:szCs w:val="20"/>
    </w:rPr>
  </w:style>
  <w:style w:type="paragraph" w:customStyle="1" w:styleId="271">
    <w:name w:val="标题2-建设项目概况"/>
    <w:basedOn w:val="5"/>
    <w:qFormat/>
    <w:uiPriority w:val="0"/>
    <w:pPr>
      <w:keepLines/>
      <w:numPr>
        <w:ilvl w:val="0"/>
        <w:numId w:val="0"/>
      </w:numPr>
      <w:tabs>
        <w:tab w:val="left" w:pos="576"/>
        <w:tab w:val="left" w:pos="680"/>
        <w:tab w:val="left" w:pos="852"/>
      </w:tabs>
      <w:adjustRightInd/>
      <w:spacing w:before="0" w:beforeAutospacing="0"/>
      <w:jc w:val="both"/>
    </w:pPr>
    <w:rPr>
      <w:rFonts w:hAnsi="Times New Roman"/>
      <w:bCs w:val="0"/>
      <w:kern w:val="0"/>
      <w:szCs w:val="28"/>
    </w:rPr>
  </w:style>
  <w:style w:type="paragraph" w:customStyle="1" w:styleId="272">
    <w:name w:val="font6"/>
    <w:basedOn w:val="1"/>
    <w:qFormat/>
    <w:uiPriority w:val="0"/>
    <w:pPr>
      <w:widowControl/>
      <w:spacing w:before="100" w:beforeAutospacing="1" w:after="100" w:afterAutospacing="1"/>
      <w:jc w:val="left"/>
    </w:pPr>
    <w:rPr>
      <w:rFonts w:ascii="Times New Roman" w:hAnsi="Times New Roman"/>
      <w:kern w:val="0"/>
      <w:sz w:val="20"/>
      <w:szCs w:val="20"/>
    </w:rPr>
  </w:style>
  <w:style w:type="paragraph" w:styleId="273">
    <w:name w:val="List Paragraph"/>
    <w:basedOn w:val="1"/>
    <w:qFormat/>
    <w:uiPriority w:val="0"/>
    <w:pPr>
      <w:ind w:firstLine="420" w:firstLineChars="200"/>
    </w:pPr>
    <w:rPr>
      <w:szCs w:val="22"/>
    </w:rPr>
  </w:style>
  <w:style w:type="paragraph" w:customStyle="1" w:styleId="274">
    <w:name w:val="Char2"/>
    <w:basedOn w:val="1"/>
    <w:qFormat/>
    <w:uiPriority w:val="0"/>
    <w:pPr>
      <w:spacing w:line="360" w:lineRule="auto"/>
      <w:ind w:firstLine="200" w:firstLineChars="200"/>
    </w:pPr>
    <w:rPr>
      <w:rFonts w:ascii="宋体" w:hAnsi="宋体"/>
      <w:sz w:val="24"/>
      <w:szCs w:val="20"/>
    </w:rPr>
  </w:style>
  <w:style w:type="paragraph" w:customStyle="1" w:styleId="275">
    <w:name w:val="xl45"/>
    <w:basedOn w:val="1"/>
    <w:qFormat/>
    <w:uiPriority w:val="0"/>
    <w:pPr>
      <w:widowControl/>
      <w:spacing w:before="100" w:beforeAutospacing="1" w:after="100" w:afterAutospacing="1"/>
      <w:jc w:val="center"/>
    </w:pPr>
    <w:rPr>
      <w:rFonts w:ascii="Arial Unicode MS" w:hAnsi="Arial Unicode MS"/>
      <w:b/>
      <w:kern w:val="0"/>
      <w:sz w:val="24"/>
      <w:szCs w:val="20"/>
    </w:rPr>
  </w:style>
  <w:style w:type="paragraph" w:customStyle="1" w:styleId="276">
    <w:name w:val="8"/>
    <w:basedOn w:val="1"/>
    <w:qFormat/>
    <w:uiPriority w:val="0"/>
    <w:pPr>
      <w:spacing w:line="360" w:lineRule="auto"/>
      <w:ind w:firstLine="478" w:firstLineChars="199"/>
    </w:pPr>
    <w:rPr>
      <w:rFonts w:ascii="Times New Roman" w:hAnsi="Times New Roman"/>
      <w:color w:val="000000"/>
      <w:sz w:val="24"/>
      <w:szCs w:val="20"/>
    </w:rPr>
  </w:style>
  <w:style w:type="paragraph" w:customStyle="1" w:styleId="277">
    <w:name w:val="xl47"/>
    <w:basedOn w:val="1"/>
    <w:qFormat/>
    <w:uiPriority w:val="0"/>
    <w:pPr>
      <w:widowControl/>
      <w:pBdr>
        <w:left w:val="single" w:color="auto" w:sz="4" w:space="0"/>
        <w:bottom w:val="single" w:color="000000"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78">
    <w:name w:val="xl4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2"/>
      <w:szCs w:val="20"/>
    </w:rPr>
  </w:style>
  <w:style w:type="paragraph" w:customStyle="1" w:styleId="279">
    <w:name w:val="普通(网站)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80">
    <w:name w:val="xl28"/>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Times New Roman" w:hAnsi="Times New Roman"/>
      <w:kern w:val="0"/>
      <w:szCs w:val="20"/>
    </w:rPr>
  </w:style>
  <w:style w:type="paragraph" w:customStyle="1" w:styleId="281">
    <w:name w:val="表格正文"/>
    <w:basedOn w:val="1"/>
    <w:next w:val="1"/>
    <w:qFormat/>
    <w:uiPriority w:val="0"/>
    <w:pPr>
      <w:adjustRightInd w:val="0"/>
      <w:snapToGrid w:val="0"/>
      <w:jc w:val="center"/>
      <w:textAlignment w:val="baseline"/>
    </w:pPr>
    <w:rPr>
      <w:rFonts w:ascii="宋体" w:hAnsi="宋体"/>
      <w:spacing w:val="4"/>
      <w:w w:val="90"/>
      <w:kern w:val="0"/>
      <w:szCs w:val="20"/>
    </w:rPr>
  </w:style>
  <w:style w:type="paragraph" w:customStyle="1" w:styleId="282">
    <w:name w:val="标题2－公众意见"/>
    <w:basedOn w:val="1"/>
    <w:qFormat/>
    <w:uiPriority w:val="0"/>
    <w:pPr>
      <w:keepNext/>
      <w:keepLines/>
      <w:numPr>
        <w:ilvl w:val="0"/>
        <w:numId w:val="10"/>
      </w:numPr>
      <w:tabs>
        <w:tab w:val="left" w:pos="-2160"/>
        <w:tab w:val="left" w:pos="540"/>
        <w:tab w:val="clear" w:pos="420"/>
      </w:tabs>
      <w:snapToGrid w:val="0"/>
      <w:spacing w:line="360" w:lineRule="auto"/>
      <w:ind w:left="0" w:firstLine="0"/>
      <w:outlineLvl w:val="1"/>
    </w:pPr>
    <w:rPr>
      <w:rFonts w:ascii="Times New Roman" w:hAnsi="Times New Roman"/>
      <w:b/>
      <w:bCs/>
      <w:sz w:val="32"/>
      <w:szCs w:val="32"/>
    </w:rPr>
  </w:style>
  <w:style w:type="paragraph" w:customStyle="1" w:styleId="283">
    <w:name w:val="纯文本1"/>
    <w:basedOn w:val="1"/>
    <w:qFormat/>
    <w:uiPriority w:val="0"/>
    <w:pPr>
      <w:adjustRightInd w:val="0"/>
    </w:pPr>
    <w:rPr>
      <w:rFonts w:hint="eastAsia" w:ascii="宋体" w:hAnsi="Courier New"/>
      <w:szCs w:val="20"/>
    </w:rPr>
  </w:style>
  <w:style w:type="paragraph" w:customStyle="1" w:styleId="284">
    <w:name w:val="表5"/>
    <w:basedOn w:val="1"/>
    <w:qFormat/>
    <w:uiPriority w:val="0"/>
    <w:pPr>
      <w:snapToGrid w:val="0"/>
      <w:jc w:val="center"/>
    </w:pPr>
    <w:rPr>
      <w:rFonts w:ascii="Times New Roman" w:hAnsi="Times New Roman"/>
      <w:spacing w:val="10"/>
      <w:sz w:val="24"/>
      <w:szCs w:val="24"/>
    </w:rPr>
  </w:style>
  <w:style w:type="paragraph" w:customStyle="1" w:styleId="285">
    <w:name w:val="陈光的正文"/>
    <w:basedOn w:val="1"/>
    <w:qFormat/>
    <w:uiPriority w:val="0"/>
    <w:pPr>
      <w:adjustRightInd w:val="0"/>
      <w:snapToGrid w:val="0"/>
      <w:spacing w:beforeLines="10" w:afterLines="10" w:line="360" w:lineRule="auto"/>
      <w:ind w:firstLine="560" w:firstLineChars="200"/>
    </w:pPr>
    <w:rPr>
      <w:rFonts w:ascii="Times New Roman" w:hAnsi="Times New Roman"/>
      <w:sz w:val="28"/>
      <w:szCs w:val="20"/>
    </w:rPr>
  </w:style>
  <w:style w:type="paragraph" w:customStyle="1" w:styleId="286">
    <w:name w:val="默认段落字体 Para Char"/>
    <w:basedOn w:val="1"/>
    <w:next w:val="1"/>
    <w:qFormat/>
    <w:uiPriority w:val="0"/>
    <w:pPr>
      <w:spacing w:line="360" w:lineRule="auto"/>
      <w:ind w:firstLine="200" w:firstLineChars="200"/>
    </w:pPr>
    <w:rPr>
      <w:rFonts w:ascii="宋体" w:hAnsi="宋体" w:cs="宋体"/>
      <w:sz w:val="24"/>
      <w:szCs w:val="24"/>
    </w:rPr>
  </w:style>
  <w:style w:type="paragraph" w:customStyle="1" w:styleId="287">
    <w:name w:val="标题3-3.5"/>
    <w:basedOn w:val="6"/>
    <w:qFormat/>
    <w:uiPriority w:val="0"/>
    <w:pPr>
      <w:keepLines/>
      <w:numPr>
        <w:ilvl w:val="1"/>
        <w:numId w:val="11"/>
      </w:numPr>
      <w:tabs>
        <w:tab w:val="left" w:pos="377"/>
        <w:tab w:val="left" w:pos="1320"/>
        <w:tab w:val="clear" w:pos="1985"/>
      </w:tabs>
      <w:autoSpaceDE w:val="0"/>
      <w:autoSpaceDN w:val="0"/>
      <w:spacing w:before="0" w:beforeAutospacing="0"/>
      <w:ind w:left="0" w:firstLine="480"/>
      <w:jc w:val="both"/>
    </w:pPr>
    <w:rPr>
      <w:rFonts w:ascii="Times New Roman" w:hAnsi="Times New Roman" w:eastAsia="宋体"/>
      <w:bCs w:val="0"/>
      <w:kern w:val="0"/>
      <w:szCs w:val="20"/>
    </w:rPr>
  </w:style>
  <w:style w:type="paragraph" w:customStyle="1" w:styleId="288">
    <w:name w:val="xl31"/>
    <w:basedOn w:val="1"/>
    <w:qFormat/>
    <w:uiPriority w:val="0"/>
    <w:pPr>
      <w:widowControl/>
      <w:pBdr>
        <w:top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89">
    <w:name w:val="标题3-3.8"/>
    <w:basedOn w:val="6"/>
    <w:qFormat/>
    <w:uiPriority w:val="0"/>
    <w:pPr>
      <w:keepLines/>
      <w:numPr>
        <w:ilvl w:val="0"/>
        <w:numId w:val="0"/>
      </w:numPr>
      <w:tabs>
        <w:tab w:val="left" w:pos="1221"/>
        <w:tab w:val="left" w:pos="1440"/>
        <w:tab w:val="left" w:pos="1560"/>
      </w:tabs>
      <w:autoSpaceDE w:val="0"/>
      <w:autoSpaceDN w:val="0"/>
      <w:spacing w:before="0" w:beforeAutospacing="0"/>
      <w:ind w:firstLine="480"/>
      <w:jc w:val="both"/>
    </w:pPr>
    <w:rPr>
      <w:rFonts w:ascii="宋体" w:hAnsi="Times New Roman" w:eastAsia="宋体"/>
      <w:b/>
      <w:bCs w:val="0"/>
      <w:kern w:val="0"/>
      <w:szCs w:val="20"/>
    </w:rPr>
  </w:style>
  <w:style w:type="paragraph" w:customStyle="1" w:styleId="290">
    <w:name w:val="正文文字缩进"/>
    <w:basedOn w:val="1"/>
    <w:qFormat/>
    <w:uiPriority w:val="0"/>
    <w:pPr>
      <w:widowControl/>
      <w:spacing w:line="1360" w:lineRule="atLeast"/>
      <w:ind w:firstLine="719"/>
      <w:textAlignment w:val="baseline"/>
    </w:pPr>
    <w:rPr>
      <w:rFonts w:ascii="宋" w:hAnsi="宋体"/>
      <w:color w:val="000000"/>
      <w:kern w:val="0"/>
      <w:sz w:val="30"/>
      <w:szCs w:val="20"/>
      <w:u w:color="000000"/>
    </w:rPr>
  </w:style>
  <w:style w:type="paragraph" w:customStyle="1" w:styleId="291">
    <w:name w:val="吾·5表内居中"/>
    <w:basedOn w:val="1"/>
    <w:qFormat/>
    <w:uiPriority w:val="99"/>
    <w:pPr>
      <w:widowControl/>
      <w:jc w:val="center"/>
    </w:pPr>
    <w:rPr>
      <w:rFonts w:ascii="宋体" w:hAnsi="宋体" w:cs="宋体"/>
      <w:color w:val="000000"/>
      <w:kern w:val="0"/>
    </w:rPr>
  </w:style>
  <w:style w:type="paragraph" w:customStyle="1" w:styleId="292">
    <w:name w:val="Char1"/>
    <w:basedOn w:val="1"/>
    <w:qFormat/>
    <w:uiPriority w:val="0"/>
    <w:rPr>
      <w:rFonts w:ascii="Times New Roman" w:hAnsi="Times New Roman" w:eastAsia="仿宋_GB2312"/>
      <w:sz w:val="32"/>
    </w:rPr>
  </w:style>
  <w:style w:type="paragraph" w:customStyle="1" w:styleId="293">
    <w:name w:val="xl26"/>
    <w:basedOn w:val="1"/>
    <w:qFormat/>
    <w:uiPriority w:val="0"/>
    <w:pPr>
      <w:widowControl/>
      <w:pBdr>
        <w:bottom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94">
    <w:name w:val="Char Char Char Char Char Char Char1"/>
    <w:basedOn w:val="1"/>
    <w:qFormat/>
    <w:uiPriority w:val="0"/>
    <w:pPr>
      <w:widowControl/>
      <w:spacing w:after="160" w:line="240" w:lineRule="exact"/>
      <w:jc w:val="left"/>
    </w:pPr>
    <w:rPr>
      <w:rFonts w:ascii="Times New Roman" w:hAnsi="Times New Roman"/>
      <w:szCs w:val="20"/>
    </w:rPr>
  </w:style>
  <w:style w:type="paragraph" w:customStyle="1" w:styleId="295">
    <w:name w:val="1"/>
    <w:basedOn w:val="1"/>
    <w:next w:val="23"/>
    <w:qFormat/>
    <w:uiPriority w:val="0"/>
    <w:rPr>
      <w:rFonts w:ascii="宋体" w:hAnsi="Courier New"/>
      <w:szCs w:val="20"/>
    </w:rPr>
  </w:style>
  <w:style w:type="paragraph" w:customStyle="1" w:styleId="296">
    <w:name w:val="Char Char Char Char"/>
    <w:basedOn w:val="1"/>
    <w:qFormat/>
    <w:uiPriority w:val="0"/>
    <w:pPr>
      <w:widowControl/>
      <w:spacing w:line="360" w:lineRule="auto"/>
      <w:jc w:val="left"/>
    </w:pPr>
    <w:rPr>
      <w:rFonts w:ascii="宋体" w:hAnsi="宋体" w:cs="宋体"/>
      <w:kern w:val="0"/>
      <w:sz w:val="24"/>
      <w:szCs w:val="24"/>
    </w:rPr>
  </w:style>
  <w:style w:type="paragraph" w:customStyle="1" w:styleId="297">
    <w:name w:val="表内文字"/>
    <w:basedOn w:val="1"/>
    <w:qFormat/>
    <w:uiPriority w:val="0"/>
    <w:pPr>
      <w:adjustRightInd w:val="0"/>
      <w:snapToGrid w:val="0"/>
      <w:spacing w:line="360" w:lineRule="auto"/>
      <w:jc w:val="center"/>
    </w:pPr>
    <w:rPr>
      <w:rFonts w:ascii="Times New Roman" w:hAnsi="Times New Roman"/>
    </w:rPr>
  </w:style>
  <w:style w:type="table" w:customStyle="1" w:styleId="298">
    <w:name w:val="网格型2"/>
    <w:basedOn w:val="4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99">
    <w:name w:val="吾·图表标题"/>
    <w:basedOn w:val="1"/>
    <w:qFormat/>
    <w:uiPriority w:val="0"/>
    <w:pPr>
      <w:adjustRightInd w:val="0"/>
      <w:spacing w:before="100" w:beforeAutospacing="1" w:line="360" w:lineRule="auto"/>
      <w:jc w:val="center"/>
    </w:pPr>
    <w:rPr>
      <w:rFonts w:ascii="宋体" w:hAnsi="宋体"/>
      <w:color w:val="000000" w:themeColor="text1"/>
      <w:kern w:val="0"/>
      <w14:textFill>
        <w14:solidFill>
          <w14:schemeClr w14:val="tx1"/>
        </w14:solidFill>
      </w14:textFill>
    </w:rPr>
  </w:style>
  <w:style w:type="paragraph" w:customStyle="1" w:styleId="300">
    <w:name w:val="msonormal"/>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301">
    <w:name w:val="修订2"/>
    <w:hidden/>
    <w:semiHidden/>
    <w:qFormat/>
    <w:uiPriority w:val="99"/>
    <w:rPr>
      <w:rFonts w:ascii="Calibri" w:hAnsi="Calibri" w:eastAsia="宋体" w:cs="Times New Roman"/>
      <w:kern w:val="2"/>
      <w:sz w:val="21"/>
      <w:szCs w:val="21"/>
      <w:lang w:val="en-US" w:eastAsia="zh-CN" w:bidi="ar-SA"/>
    </w:rPr>
  </w:style>
  <w:style w:type="character" w:customStyle="1" w:styleId="302">
    <w:name w:val="标题 1 Char"/>
    <w:qFormat/>
    <w:uiPriority w:val="0"/>
    <w:rPr>
      <w:rFonts w:ascii="黑体" w:hAnsi="Times New Roman" w:eastAsia="黑体"/>
      <w:kern w:val="44"/>
      <w:sz w:val="30"/>
      <w:szCs w:val="44"/>
      <w:lang w:bidi="ar-SA"/>
    </w:rPr>
  </w:style>
  <w:style w:type="paragraph" w:customStyle="1" w:styleId="303">
    <w:name w:val="STC表头"/>
    <w:basedOn w:val="15"/>
    <w:link w:val="304"/>
    <w:qFormat/>
    <w:uiPriority w:val="0"/>
    <w:pPr>
      <w:spacing w:before="50"/>
    </w:pPr>
    <w:rPr>
      <w:rFonts w:cs="宋体" w:asciiTheme="minorEastAsia" w:hAnsiTheme="minorEastAsia" w:eastAsiaTheme="minorEastAsia"/>
    </w:rPr>
  </w:style>
  <w:style w:type="character" w:customStyle="1" w:styleId="304">
    <w:name w:val="STC表头 字符"/>
    <w:basedOn w:val="51"/>
    <w:link w:val="303"/>
    <w:qFormat/>
    <w:uiPriority w:val="0"/>
    <w:rPr>
      <w:rFonts w:cs="宋体" w:asciiTheme="minorEastAsia" w:hAnsiTheme="minorEastAsia" w:eastAsiaTheme="minorEastAsia"/>
      <w:kern w:val="2"/>
      <w:sz w:val="21"/>
    </w:rPr>
  </w:style>
  <w:style w:type="character" w:customStyle="1" w:styleId="305">
    <w:name w:val="STC 正文 字符"/>
    <w:basedOn w:val="51"/>
    <w:link w:val="306"/>
    <w:qFormat/>
    <w:locked/>
    <w:uiPriority w:val="0"/>
    <w:rPr>
      <w:rFonts w:ascii="宋体" w:hAnsi="宋体"/>
      <w:sz w:val="24"/>
    </w:rPr>
  </w:style>
  <w:style w:type="paragraph" w:customStyle="1" w:styleId="306">
    <w:name w:val="STC 正文"/>
    <w:link w:val="305"/>
    <w:qFormat/>
    <w:uiPriority w:val="0"/>
    <w:pPr>
      <w:widowControl w:val="0"/>
      <w:adjustRightInd w:val="0"/>
      <w:snapToGrid w:val="0"/>
      <w:spacing w:line="331" w:lineRule="auto"/>
      <w:ind w:firstLine="200" w:firstLineChars="200"/>
      <w:jc w:val="both"/>
    </w:pPr>
    <w:rPr>
      <w:rFonts w:ascii="宋体" w:hAnsi="宋体" w:eastAsia="宋体" w:cs="Times New Roman"/>
      <w:sz w:val="24"/>
      <w:lang w:val="en-US" w:eastAsia="zh-CN" w:bidi="ar-SA"/>
    </w:rPr>
  </w:style>
  <w:style w:type="paragraph" w:customStyle="1" w:styleId="307">
    <w:name w:val="正文3"/>
    <w:qFormat/>
    <w:uiPriority w:val="0"/>
    <w:pPr>
      <w:jc w:val="both"/>
    </w:pPr>
    <w:rPr>
      <w:rFonts w:ascii="Times New Roman" w:hAnsi="Times New Roman" w:eastAsia="宋体" w:cs="Times New Roman"/>
      <w:kern w:val="2"/>
      <w:sz w:val="21"/>
      <w:szCs w:val="21"/>
      <w:lang w:val="en-US" w:eastAsia="zh-CN" w:bidi="ar-SA"/>
    </w:rPr>
  </w:style>
  <w:style w:type="table" w:customStyle="1" w:styleId="308">
    <w:name w:val="Table Normal"/>
    <w:basedOn w:val="46"/>
    <w:qFormat/>
    <w:uiPriority w:val="0"/>
    <w:rPr>
      <w:rFonts w:eastAsia="Times New Roman"/>
    </w:rPr>
    <w:tblPr>
      <w:tblCellMar>
        <w:left w:w="0" w:type="dxa"/>
        <w:right w:w="0" w:type="dxa"/>
      </w:tblCellMar>
    </w:tblPr>
  </w:style>
  <w:style w:type="table" w:customStyle="1" w:styleId="309">
    <w:name w:val="Table Normal1"/>
    <w:basedOn w:val="46"/>
    <w:qFormat/>
    <w:uiPriority w:val="0"/>
    <w:rPr>
      <w:rFonts w:eastAsia="Times New Roman"/>
    </w:rPr>
    <w:tblPr>
      <w:tblCellMar>
        <w:left w:w="0" w:type="dxa"/>
        <w:right w:w="0" w:type="dxa"/>
      </w:tblCellMar>
    </w:tblPr>
  </w:style>
  <w:style w:type="character" w:customStyle="1" w:styleId="310">
    <w:name w:val="STC 表格 字符"/>
    <w:link w:val="311"/>
    <w:qFormat/>
    <w:locked/>
    <w:uiPriority w:val="0"/>
    <w:rPr>
      <w:rFonts w:ascii="宋体" w:hAnsi="宋体"/>
      <w:szCs w:val="22"/>
      <w:lang w:eastAsia="en-US"/>
    </w:rPr>
  </w:style>
  <w:style w:type="paragraph" w:customStyle="1" w:styleId="311">
    <w:name w:val="STC 表格"/>
    <w:basedOn w:val="1"/>
    <w:link w:val="310"/>
    <w:qFormat/>
    <w:uiPriority w:val="0"/>
    <w:pPr>
      <w:adjustRightInd w:val="0"/>
      <w:snapToGrid w:val="0"/>
      <w:jc w:val="center"/>
    </w:pPr>
    <w:rPr>
      <w:rFonts w:ascii="宋体" w:hAnsi="宋体"/>
      <w:kern w:val="0"/>
      <w:sz w:val="20"/>
      <w:szCs w:val="22"/>
      <w:lang w:eastAsia="en-US"/>
    </w:rPr>
  </w:style>
  <w:style w:type="character" w:customStyle="1" w:styleId="312">
    <w:name w:val="15"/>
    <w:basedOn w:val="51"/>
    <w:qFormat/>
    <w:uiPriority w:val="0"/>
    <w:rPr>
      <w:rFonts w:hint="eastAsia" w:ascii="宋体" w:hAnsi="宋体" w:eastAsia="宋体"/>
      <w:sz w:val="24"/>
      <w:szCs w:val="24"/>
    </w:rPr>
  </w:style>
  <w:style w:type="paragraph" w:customStyle="1" w:styleId="313">
    <w:name w:val="正文4"/>
    <w:qFormat/>
    <w:uiPriority w:val="0"/>
    <w:pPr>
      <w:jc w:val="both"/>
    </w:pPr>
    <w:rPr>
      <w:rFonts w:ascii="Calibri" w:hAnsi="Calibri" w:eastAsia="宋体" w:cs="宋体"/>
      <w:kern w:val="2"/>
      <w:sz w:val="21"/>
      <w:szCs w:val="21"/>
      <w:lang w:val="en-US" w:eastAsia="zh-CN" w:bidi="ar-SA"/>
    </w:rPr>
  </w:style>
  <w:style w:type="paragraph" w:customStyle="1" w:styleId="314">
    <w:name w:val="正文5"/>
    <w:qFormat/>
    <w:uiPriority w:val="0"/>
    <w:pPr>
      <w:jc w:val="both"/>
    </w:pPr>
    <w:rPr>
      <w:rFonts w:ascii="Calibri" w:hAnsi="Calibri" w:eastAsia="宋体" w:cs="Calibri"/>
      <w:kern w:val="2"/>
      <w:sz w:val="21"/>
      <w:szCs w:val="21"/>
      <w:lang w:val="en-US" w:eastAsia="zh-CN" w:bidi="ar-SA"/>
    </w:rPr>
  </w:style>
  <w:style w:type="paragraph" w:customStyle="1" w:styleId="315">
    <w:name w:val="正文6"/>
    <w:qFormat/>
    <w:uiPriority w:val="0"/>
    <w:pPr>
      <w:jc w:val="both"/>
    </w:pPr>
    <w:rPr>
      <w:rFonts w:ascii="Times New Roman" w:hAnsi="Times New Roman" w:eastAsia="宋体" w:cs="Times New Roman"/>
      <w:kern w:val="2"/>
      <w:sz w:val="21"/>
      <w:szCs w:val="21"/>
      <w:lang w:val="en-US" w:eastAsia="zh-CN" w:bidi="ar-SA"/>
    </w:rPr>
  </w:style>
  <w:style w:type="table" w:customStyle="1" w:styleId="316">
    <w:name w:val="网格型1"/>
    <w:basedOn w:val="46"/>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17">
    <w:name w:val="宏文本 字符"/>
    <w:basedOn w:val="51"/>
    <w:link w:val="2"/>
    <w:qFormat/>
    <w:uiPriority w:val="99"/>
    <w:rPr>
      <w:rFonts w:ascii="Courier New" w:hAnsi="Courier New" w:cs="Courier New"/>
      <w:kern w:val="2"/>
      <w:sz w:val="24"/>
      <w:szCs w:val="24"/>
    </w:rPr>
  </w:style>
  <w:style w:type="paragraph" w:customStyle="1" w:styleId="318">
    <w:name w:val="修订3"/>
    <w:hidden/>
    <w:semiHidden/>
    <w:qFormat/>
    <w:uiPriority w:val="99"/>
    <w:rPr>
      <w:rFonts w:ascii="Calibri" w:hAnsi="Calibri" w:eastAsia="宋体" w:cs="Times New Roman"/>
      <w:kern w:val="2"/>
      <w:sz w:val="21"/>
      <w:szCs w:val="21"/>
      <w:lang w:val="en-US" w:eastAsia="zh-CN" w:bidi="ar-SA"/>
    </w:rPr>
  </w:style>
  <w:style w:type="character" w:customStyle="1" w:styleId="319">
    <w:name w:val="吾·正文 Char"/>
    <w:link w:val="320"/>
    <w:qFormat/>
    <w:locked/>
    <w:uiPriority w:val="0"/>
    <w:rPr>
      <w:rFonts w:ascii="宋体" w:hAnsi="宋体" w:cs="宋体"/>
      <w:color w:val="000000"/>
      <w:sz w:val="24"/>
      <w:szCs w:val="24"/>
    </w:rPr>
  </w:style>
  <w:style w:type="paragraph" w:customStyle="1" w:styleId="320">
    <w:name w:val="吾·正文"/>
    <w:basedOn w:val="1"/>
    <w:link w:val="319"/>
    <w:qFormat/>
    <w:uiPriority w:val="0"/>
    <w:pPr>
      <w:widowControl/>
      <w:tabs>
        <w:tab w:val="left" w:pos="377"/>
      </w:tabs>
      <w:spacing w:line="328" w:lineRule="auto"/>
      <w:ind w:firstLine="480" w:firstLineChars="200"/>
      <w:jc w:val="left"/>
    </w:pPr>
    <w:rPr>
      <w:rFonts w:ascii="宋体" w:hAnsi="宋体" w:cs="宋体"/>
      <w:color w:val="000000"/>
      <w:kern w:val="0"/>
      <w:sz w:val="24"/>
      <w:szCs w:val="24"/>
    </w:rPr>
  </w:style>
  <w:style w:type="paragraph" w:customStyle="1" w:styleId="321">
    <w:name w:val="Table Text"/>
    <w:basedOn w:val="1"/>
    <w:semiHidden/>
    <w:qFormat/>
    <w:uiPriority w:val="0"/>
    <w:pPr>
      <w:widowControl/>
      <w:kinsoku w:val="0"/>
      <w:autoSpaceDE w:val="0"/>
      <w:autoSpaceDN w:val="0"/>
      <w:adjustRightInd w:val="0"/>
      <w:snapToGrid w:val="0"/>
      <w:jc w:val="left"/>
      <w:textAlignment w:val="baseline"/>
    </w:pPr>
    <w:rPr>
      <w:rFonts w:ascii="微软雅黑" w:hAnsi="微软雅黑" w:eastAsia="微软雅黑" w:cs="宋体"/>
      <w:color w:val="000000"/>
      <w:kern w:val="0"/>
      <w:sz w:val="20"/>
      <w:szCs w:val="20"/>
    </w:rPr>
  </w:style>
  <w:style w:type="table" w:customStyle="1" w:styleId="322">
    <w:name w:val="SSEC表格样式2"/>
    <w:basedOn w:val="46"/>
    <w:qFormat/>
    <w:uiPriority w:val="99"/>
    <w:pPr>
      <w:adjustRightInd w:val="0"/>
      <w:snapToGrid w:val="0"/>
    </w:pPr>
    <w:rPr>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character" w:customStyle="1" w:styleId="323">
    <w:name w:val="副标题 字符"/>
    <w:basedOn w:val="51"/>
    <w:link w:val="34"/>
    <w:qFormat/>
    <w:uiPriority w:val="99"/>
    <w:rPr>
      <w:rFonts w:ascii="Calibri" w:hAnsi="Calibri"/>
      <w:b/>
      <w:bCs/>
      <w:kern w:val="28"/>
      <w:sz w:val="32"/>
      <w:szCs w:val="32"/>
    </w:rPr>
  </w:style>
  <w:style w:type="character" w:customStyle="1" w:styleId="324">
    <w:name w:val="font31"/>
    <w:basedOn w:val="51"/>
    <w:qFormat/>
    <w:uiPriority w:val="0"/>
    <w:rPr>
      <w:rFonts w:hint="eastAsia" w:ascii="宋体" w:hAnsi="宋体" w:eastAsia="宋体"/>
      <w:color w:val="000000"/>
      <w:sz w:val="21"/>
      <w:szCs w:val="21"/>
      <w:u w:val="none"/>
      <w:vertAlign w:val="subscript"/>
    </w:rPr>
  </w:style>
  <w:style w:type="character" w:customStyle="1" w:styleId="325">
    <w:name w:val="font41"/>
    <w:basedOn w:val="51"/>
    <w:qFormat/>
    <w:uiPriority w:val="0"/>
    <w:rPr>
      <w:rFonts w:hint="eastAsia" w:ascii="宋体" w:hAnsi="宋体" w:eastAsia="宋体"/>
      <w:color w:val="000000"/>
      <w:sz w:val="21"/>
      <w:szCs w:val="21"/>
      <w:u w:val="none"/>
      <w:vertAlign w:val="superscript"/>
    </w:rPr>
  </w:style>
  <w:style w:type="character" w:customStyle="1" w:styleId="326">
    <w:name w:val="font21"/>
    <w:basedOn w:val="51"/>
    <w:qFormat/>
    <w:uiPriority w:val="0"/>
    <w:rPr>
      <w:rFonts w:hint="eastAsia" w:ascii="宋体" w:hAnsi="宋体" w:eastAsia="宋体"/>
      <w:color w:val="000000"/>
      <w:sz w:val="21"/>
      <w:szCs w:val="21"/>
      <w:u w:val="none"/>
    </w:rPr>
  </w:style>
  <w:style w:type="paragraph" w:customStyle="1" w:styleId="327">
    <w:name w:val="List Paragraph1"/>
    <w:basedOn w:val="1"/>
    <w:qFormat/>
    <w:uiPriority w:val="0"/>
    <w:pPr>
      <w:ind w:firstLine="420" w:firstLineChars="200"/>
    </w:pPr>
    <w:rPr>
      <w:rFonts w:ascii="宋体" w:hAnsi="宋体"/>
      <w:kern w:val="0"/>
      <w:sz w:val="24"/>
      <w:szCs w:val="24"/>
    </w:rPr>
  </w:style>
  <w:style w:type="paragraph" w:customStyle="1" w:styleId="328">
    <w:name w:val="WordSection1_table_td_p"/>
    <w:basedOn w:val="1"/>
    <w:qFormat/>
    <w:uiPriority w:val="0"/>
    <w:pPr>
      <w:widowControl/>
      <w:jc w:val="left"/>
    </w:pPr>
    <w:rPr>
      <w:rFonts w:ascii="宋体" w:hAnsi="宋体" w:cs="宋体"/>
      <w:kern w:val="0"/>
    </w:rPr>
  </w:style>
</w:style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84" Type="http://schemas.openxmlformats.org/officeDocument/2006/relationships/image" Target="media/image71.png"/><Relationship Id="rId63" Type="http://schemas.openxmlformats.org/officeDocument/2006/relationships/image" Target="media/image50.jpeg"/><Relationship Id="rId42" Type="http://schemas.openxmlformats.org/officeDocument/2006/relationships/image" Target="media/image29.jpeg"/><Relationship Id="rId21" Type="http://schemas.openxmlformats.org/officeDocument/2006/relationships/image" Target="media/image8.png"/><Relationship Id="rId138" Type="http://schemas.openxmlformats.org/officeDocument/2006/relationships/image" Target="media/image125.jpeg"/><Relationship Id="rId107" Type="http://schemas.openxmlformats.org/officeDocument/2006/relationships/image" Target="media/image94.png"/><Relationship Id="rId74" Type="http://schemas.openxmlformats.org/officeDocument/2006/relationships/image" Target="media/image61.png"/><Relationship Id="rId53" Type="http://schemas.openxmlformats.org/officeDocument/2006/relationships/image" Target="media/image40.png"/><Relationship Id="rId32" Type="http://schemas.openxmlformats.org/officeDocument/2006/relationships/image" Target="media/image19.png"/><Relationship Id="rId128" Type="http://schemas.openxmlformats.org/officeDocument/2006/relationships/image" Target="media/image115.jpeg"/><Relationship Id="rId11" Type="http://schemas.openxmlformats.org/officeDocument/2006/relationships/footer" Target="footer5.xml"/><Relationship Id="rId149" Type="http://schemas.openxmlformats.org/officeDocument/2006/relationships/customXml" Target="../customXml/item6.xml"/><Relationship Id="rId95" Type="http://schemas.openxmlformats.org/officeDocument/2006/relationships/image" Target="media/image82.png"/><Relationship Id="rId5" Type="http://schemas.openxmlformats.org/officeDocument/2006/relationships/header" Target="header2.xml"/><Relationship Id="rId69" Type="http://schemas.openxmlformats.org/officeDocument/2006/relationships/image" Target="media/image56.png"/><Relationship Id="rId64" Type="http://schemas.openxmlformats.org/officeDocument/2006/relationships/image" Target="media/image51.png"/><Relationship Id="rId48" Type="http://schemas.openxmlformats.org/officeDocument/2006/relationships/image" Target="media/image35.png"/><Relationship Id="rId43" Type="http://schemas.openxmlformats.org/officeDocument/2006/relationships/image" Target="media/image30.png"/><Relationship Id="rId27" Type="http://schemas.openxmlformats.org/officeDocument/2006/relationships/image" Target="media/image14.png"/><Relationship Id="rId22" Type="http://schemas.openxmlformats.org/officeDocument/2006/relationships/image" Target="media/image9.png"/><Relationship Id="rId139" Type="http://schemas.openxmlformats.org/officeDocument/2006/relationships/image" Target="media/image126.jpeg"/><Relationship Id="rId134" Type="http://schemas.openxmlformats.org/officeDocument/2006/relationships/image" Target="media/image121.jpeg"/><Relationship Id="rId118" Type="http://schemas.openxmlformats.org/officeDocument/2006/relationships/image" Target="media/image105.jpeg"/><Relationship Id="rId113" Type="http://schemas.openxmlformats.org/officeDocument/2006/relationships/image" Target="media/image100.jpeg"/><Relationship Id="rId85" Type="http://schemas.openxmlformats.org/officeDocument/2006/relationships/image" Target="media/image72.png"/><Relationship Id="rId80" Type="http://schemas.openxmlformats.org/officeDocument/2006/relationships/image" Target="media/image67.png"/><Relationship Id="rId150" Type="http://schemas.openxmlformats.org/officeDocument/2006/relationships/customXml" Target="../customXml/item7.xml"/><Relationship Id="rId59" Type="http://schemas.openxmlformats.org/officeDocument/2006/relationships/image" Target="media/image46.png"/><Relationship Id="rId38" Type="http://schemas.openxmlformats.org/officeDocument/2006/relationships/image" Target="media/image25.png"/><Relationship Id="rId33" Type="http://schemas.openxmlformats.org/officeDocument/2006/relationships/image" Target="media/image20.png"/><Relationship Id="rId17" Type="http://schemas.openxmlformats.org/officeDocument/2006/relationships/image" Target="media/image4.png"/><Relationship Id="rId129" Type="http://schemas.openxmlformats.org/officeDocument/2006/relationships/image" Target="media/image116.jpeg"/><Relationship Id="rId124" Type="http://schemas.openxmlformats.org/officeDocument/2006/relationships/image" Target="media/image111.png"/><Relationship Id="rId12" Type="http://schemas.openxmlformats.org/officeDocument/2006/relationships/header" Target="header5.xml"/><Relationship Id="rId108" Type="http://schemas.openxmlformats.org/officeDocument/2006/relationships/image" Target="media/image95.jpeg"/><Relationship Id="rId103" Type="http://schemas.openxmlformats.org/officeDocument/2006/relationships/image" Target="media/image90.png"/><Relationship Id="rId96" Type="http://schemas.openxmlformats.org/officeDocument/2006/relationships/image" Target="media/image83.png"/><Relationship Id="rId91" Type="http://schemas.openxmlformats.org/officeDocument/2006/relationships/image" Target="media/image78.jpeg"/><Relationship Id="rId75" Type="http://schemas.openxmlformats.org/officeDocument/2006/relationships/image" Target="media/image62.jpeg"/><Relationship Id="rId70" Type="http://schemas.openxmlformats.org/officeDocument/2006/relationships/image" Target="media/image57.png"/><Relationship Id="rId54" Type="http://schemas.openxmlformats.org/officeDocument/2006/relationships/image" Target="media/image41.png"/><Relationship Id="rId145" Type="http://schemas.openxmlformats.org/officeDocument/2006/relationships/customXml" Target="../customXml/item3.xml"/><Relationship Id="rId140" Type="http://schemas.openxmlformats.org/officeDocument/2006/relationships/image" Target="media/image127.png"/><Relationship Id="rId6" Type="http://schemas.openxmlformats.org/officeDocument/2006/relationships/footer" Target="footer2.xml"/><Relationship Id="rId1" Type="http://schemas.openxmlformats.org/officeDocument/2006/relationships/styles" Target="styles.xml"/><Relationship Id="rId49" Type="http://schemas.openxmlformats.org/officeDocument/2006/relationships/image" Target="media/image36.jpeg"/><Relationship Id="rId28" Type="http://schemas.openxmlformats.org/officeDocument/2006/relationships/image" Target="media/image15.png"/><Relationship Id="rId23" Type="http://schemas.openxmlformats.org/officeDocument/2006/relationships/image" Target="media/image10.png"/><Relationship Id="rId119" Type="http://schemas.openxmlformats.org/officeDocument/2006/relationships/image" Target="media/image106.jpeg"/><Relationship Id="rId114" Type="http://schemas.openxmlformats.org/officeDocument/2006/relationships/image" Target="media/image101.jpeg"/><Relationship Id="rId86" Type="http://schemas.openxmlformats.org/officeDocument/2006/relationships/image" Target="media/image73.png"/><Relationship Id="rId81" Type="http://schemas.openxmlformats.org/officeDocument/2006/relationships/image" Target="media/image68.png"/><Relationship Id="rId65" Type="http://schemas.openxmlformats.org/officeDocument/2006/relationships/image" Target="media/image52.png"/><Relationship Id="rId60" Type="http://schemas.openxmlformats.org/officeDocument/2006/relationships/image" Target="media/image47.png"/><Relationship Id="rId44" Type="http://schemas.openxmlformats.org/officeDocument/2006/relationships/image" Target="media/image31.png"/><Relationship Id="rId135" Type="http://schemas.openxmlformats.org/officeDocument/2006/relationships/image" Target="media/image122.jpeg"/><Relationship Id="rId130" Type="http://schemas.openxmlformats.org/officeDocument/2006/relationships/image" Target="media/image117.jpeg"/><Relationship Id="rId39" Type="http://schemas.openxmlformats.org/officeDocument/2006/relationships/image" Target="media/image26.png"/><Relationship Id="rId18" Type="http://schemas.openxmlformats.org/officeDocument/2006/relationships/image" Target="media/image5.png"/><Relationship Id="rId13" Type="http://schemas.openxmlformats.org/officeDocument/2006/relationships/theme" Target="theme/theme1.xml"/><Relationship Id="rId109" Type="http://schemas.openxmlformats.org/officeDocument/2006/relationships/image" Target="media/image96.jpeg"/><Relationship Id="rId97" Type="http://schemas.openxmlformats.org/officeDocument/2006/relationships/image" Target="media/image84.png"/><Relationship Id="rId76" Type="http://schemas.openxmlformats.org/officeDocument/2006/relationships/image" Target="media/image63.png"/><Relationship Id="rId55" Type="http://schemas.openxmlformats.org/officeDocument/2006/relationships/image" Target="media/image42.png"/><Relationship Id="rId50" Type="http://schemas.openxmlformats.org/officeDocument/2006/relationships/image" Target="media/image37.png"/><Relationship Id="rId34" Type="http://schemas.openxmlformats.org/officeDocument/2006/relationships/image" Target="media/image21.png"/><Relationship Id="rId146" Type="http://schemas.openxmlformats.org/officeDocument/2006/relationships/customXml" Target="../customXml/item4.xml"/><Relationship Id="rId141" Type="http://schemas.openxmlformats.org/officeDocument/2006/relationships/image" Target="media/image128.png"/><Relationship Id="rId125" Type="http://schemas.openxmlformats.org/officeDocument/2006/relationships/image" Target="media/image112.png"/><Relationship Id="rId120" Type="http://schemas.openxmlformats.org/officeDocument/2006/relationships/image" Target="media/image107.jpeg"/><Relationship Id="rId104" Type="http://schemas.openxmlformats.org/officeDocument/2006/relationships/image" Target="media/image91.png"/><Relationship Id="rId92" Type="http://schemas.openxmlformats.org/officeDocument/2006/relationships/image" Target="media/image79.jpeg"/><Relationship Id="rId71" Type="http://schemas.openxmlformats.org/officeDocument/2006/relationships/image" Target="media/image58.jpeg"/><Relationship Id="rId7" Type="http://schemas.openxmlformats.org/officeDocument/2006/relationships/footer" Target="footer3.xml"/><Relationship Id="rId29" Type="http://schemas.openxmlformats.org/officeDocument/2006/relationships/image" Target="media/image16.png"/><Relationship Id="rId2" Type="http://schemas.openxmlformats.org/officeDocument/2006/relationships/settings" Target="settings.xml"/><Relationship Id="rId87" Type="http://schemas.openxmlformats.org/officeDocument/2006/relationships/image" Target="media/image74.png"/><Relationship Id="rId66" Type="http://schemas.openxmlformats.org/officeDocument/2006/relationships/image" Target="media/image53.png"/><Relationship Id="rId45" Type="http://schemas.openxmlformats.org/officeDocument/2006/relationships/image" Target="media/image32.png"/><Relationship Id="rId40" Type="http://schemas.openxmlformats.org/officeDocument/2006/relationships/image" Target="media/image27.png"/><Relationship Id="rId24" Type="http://schemas.openxmlformats.org/officeDocument/2006/relationships/image" Target="media/image11.png"/><Relationship Id="rId136" Type="http://schemas.openxmlformats.org/officeDocument/2006/relationships/image" Target="media/image123.jpeg"/><Relationship Id="rId131" Type="http://schemas.openxmlformats.org/officeDocument/2006/relationships/image" Target="media/image118.jpeg"/><Relationship Id="rId115" Type="http://schemas.openxmlformats.org/officeDocument/2006/relationships/image" Target="media/image102.jpeg"/><Relationship Id="rId110" Type="http://schemas.openxmlformats.org/officeDocument/2006/relationships/image" Target="media/image97.jpeg"/><Relationship Id="rId82" Type="http://schemas.openxmlformats.org/officeDocument/2006/relationships/image" Target="media/image69.png"/><Relationship Id="rId61" Type="http://schemas.openxmlformats.org/officeDocument/2006/relationships/image" Target="media/image48.jpeg"/><Relationship Id="rId19" Type="http://schemas.openxmlformats.org/officeDocument/2006/relationships/image" Target="media/image6.png"/><Relationship Id="rId77" Type="http://schemas.openxmlformats.org/officeDocument/2006/relationships/image" Target="media/image64.png"/><Relationship Id="rId56" Type="http://schemas.openxmlformats.org/officeDocument/2006/relationships/image" Target="media/image43.png"/><Relationship Id="rId35" Type="http://schemas.openxmlformats.org/officeDocument/2006/relationships/image" Target="media/image22.png"/><Relationship Id="rId30" Type="http://schemas.openxmlformats.org/officeDocument/2006/relationships/image" Target="media/image17.jpeg"/><Relationship Id="rId147" Type="http://schemas.openxmlformats.org/officeDocument/2006/relationships/fontTable" Target="fontTable.xml"/><Relationship Id="rId14" Type="http://schemas.openxmlformats.org/officeDocument/2006/relationships/image" Target="media/image1.jpeg"/><Relationship Id="rId126" Type="http://schemas.openxmlformats.org/officeDocument/2006/relationships/image" Target="media/image113.png"/><Relationship Id="rId105" Type="http://schemas.openxmlformats.org/officeDocument/2006/relationships/image" Target="media/image92.png"/><Relationship Id="rId100" Type="http://schemas.openxmlformats.org/officeDocument/2006/relationships/image" Target="media/image87.jpeg"/><Relationship Id="rId98" Type="http://schemas.openxmlformats.org/officeDocument/2006/relationships/image" Target="media/image85.png"/><Relationship Id="rId93" Type="http://schemas.openxmlformats.org/officeDocument/2006/relationships/image" Target="media/image80.png"/><Relationship Id="rId8" Type="http://schemas.openxmlformats.org/officeDocument/2006/relationships/header" Target="header3.xml"/><Relationship Id="rId72" Type="http://schemas.openxmlformats.org/officeDocument/2006/relationships/image" Target="media/image59.png"/><Relationship Id="rId51" Type="http://schemas.openxmlformats.org/officeDocument/2006/relationships/image" Target="media/image38.png"/><Relationship Id="rId142" Type="http://schemas.openxmlformats.org/officeDocument/2006/relationships/customXml" Target="../customXml/item1.xml"/><Relationship Id="rId121" Type="http://schemas.openxmlformats.org/officeDocument/2006/relationships/image" Target="media/image108.png"/><Relationship Id="rId3" Type="http://schemas.openxmlformats.org/officeDocument/2006/relationships/header" Target="header1.xml"/><Relationship Id="rId67" Type="http://schemas.openxmlformats.org/officeDocument/2006/relationships/image" Target="media/image54.png"/><Relationship Id="rId46" Type="http://schemas.openxmlformats.org/officeDocument/2006/relationships/image" Target="media/image33.png"/><Relationship Id="rId25" Type="http://schemas.openxmlformats.org/officeDocument/2006/relationships/image" Target="media/image12.png"/><Relationship Id="rId137" Type="http://schemas.openxmlformats.org/officeDocument/2006/relationships/image" Target="media/image124.jpeg"/><Relationship Id="rId116" Type="http://schemas.openxmlformats.org/officeDocument/2006/relationships/image" Target="media/image103.jpeg"/><Relationship Id="rId88" Type="http://schemas.openxmlformats.org/officeDocument/2006/relationships/image" Target="media/image75.png"/><Relationship Id="rId83" Type="http://schemas.openxmlformats.org/officeDocument/2006/relationships/image" Target="media/image70.jpeg"/><Relationship Id="rId62" Type="http://schemas.openxmlformats.org/officeDocument/2006/relationships/image" Target="media/image49.jpeg"/><Relationship Id="rId41" Type="http://schemas.openxmlformats.org/officeDocument/2006/relationships/image" Target="media/image28.png"/><Relationship Id="rId20" Type="http://schemas.openxmlformats.org/officeDocument/2006/relationships/image" Target="media/image7.png"/><Relationship Id="rId132" Type="http://schemas.openxmlformats.org/officeDocument/2006/relationships/image" Target="media/image119.jpeg"/><Relationship Id="rId111" Type="http://schemas.openxmlformats.org/officeDocument/2006/relationships/image" Target="media/image98.jpeg"/><Relationship Id="rId57" Type="http://schemas.openxmlformats.org/officeDocument/2006/relationships/image" Target="media/image44.png"/><Relationship Id="rId36" Type="http://schemas.openxmlformats.org/officeDocument/2006/relationships/image" Target="media/image23.png"/><Relationship Id="rId15" Type="http://schemas.openxmlformats.org/officeDocument/2006/relationships/image" Target="media/image2.png"/><Relationship Id="rId127" Type="http://schemas.openxmlformats.org/officeDocument/2006/relationships/image" Target="media/image114.jpeg"/><Relationship Id="rId106" Type="http://schemas.openxmlformats.org/officeDocument/2006/relationships/image" Target="media/image93.png"/><Relationship Id="rId99" Type="http://schemas.openxmlformats.org/officeDocument/2006/relationships/image" Target="media/image86.png"/><Relationship Id="rId94" Type="http://schemas.openxmlformats.org/officeDocument/2006/relationships/image" Target="media/image81.png"/><Relationship Id="rId78" Type="http://schemas.openxmlformats.org/officeDocument/2006/relationships/image" Target="media/image65.png"/><Relationship Id="rId73" Type="http://schemas.openxmlformats.org/officeDocument/2006/relationships/image" Target="media/image60.png"/><Relationship Id="rId52" Type="http://schemas.openxmlformats.org/officeDocument/2006/relationships/image" Target="media/image39.png"/><Relationship Id="rId31" Type="http://schemas.openxmlformats.org/officeDocument/2006/relationships/image" Target="media/image18.png"/><Relationship Id="rId143" Type="http://schemas.openxmlformats.org/officeDocument/2006/relationships/numbering" Target="numbering.xml"/><Relationship Id="rId122" Type="http://schemas.openxmlformats.org/officeDocument/2006/relationships/image" Target="media/image109.png"/><Relationship Id="rId101" Type="http://schemas.openxmlformats.org/officeDocument/2006/relationships/image" Target="media/image88.png"/><Relationship Id="rId10" Type="http://schemas.openxmlformats.org/officeDocument/2006/relationships/header" Target="header4.xml"/><Relationship Id="rId148" Type="http://schemas.openxmlformats.org/officeDocument/2006/relationships/customXml" Target="../customXml/item5.xml"/><Relationship Id="rId9" Type="http://schemas.openxmlformats.org/officeDocument/2006/relationships/footer" Target="footer4.xml"/><Relationship Id="rId4" Type="http://schemas.openxmlformats.org/officeDocument/2006/relationships/footer" Target="footer1.xml"/><Relationship Id="rId26" Type="http://schemas.openxmlformats.org/officeDocument/2006/relationships/image" Target="media/image13.png"/><Relationship Id="rId89" Type="http://schemas.openxmlformats.org/officeDocument/2006/relationships/image" Target="media/image76.png"/><Relationship Id="rId68" Type="http://schemas.openxmlformats.org/officeDocument/2006/relationships/image" Target="media/image55.png"/><Relationship Id="rId47" Type="http://schemas.openxmlformats.org/officeDocument/2006/relationships/image" Target="media/image34.png"/><Relationship Id="rId133" Type="http://schemas.openxmlformats.org/officeDocument/2006/relationships/image" Target="media/image120.jpeg"/><Relationship Id="rId112" Type="http://schemas.openxmlformats.org/officeDocument/2006/relationships/image" Target="media/image99.jpeg"/><Relationship Id="rId16" Type="http://schemas.openxmlformats.org/officeDocument/2006/relationships/image" Target="media/image3.png"/><Relationship Id="rId79" Type="http://schemas.openxmlformats.org/officeDocument/2006/relationships/image" Target="media/image66.png"/><Relationship Id="rId58" Type="http://schemas.openxmlformats.org/officeDocument/2006/relationships/image" Target="media/image45.png"/><Relationship Id="rId37" Type="http://schemas.openxmlformats.org/officeDocument/2006/relationships/image" Target="media/image24.png"/><Relationship Id="rId144" Type="http://schemas.openxmlformats.org/officeDocument/2006/relationships/customXml" Target="../customXml/item2.xml"/><Relationship Id="rId123" Type="http://schemas.openxmlformats.org/officeDocument/2006/relationships/image" Target="media/image110.png"/><Relationship Id="rId102" Type="http://schemas.openxmlformats.org/officeDocument/2006/relationships/image" Target="media/image89.png"/><Relationship Id="rId90" Type="http://schemas.openxmlformats.org/officeDocument/2006/relationships/image" Target="media/image7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ontractReview xmlns="http://schemas.wps.cn/vas-ai-hub/contract-review">
  <reviewItems>
    <reviewItem>
      <errorID>d33574a6-2559-4129-85e6-7bc2fed2b657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6FDBD84</paraID>
      <start>16</start>
      <end>17</end>
      <status>unmodified</status>
      <modifiedWord/>
      <trackRevisions>false</trackRevisions>
    </reviewItem>
    <reviewItem>
      <errorID>88477dd8-0995-4e69-b546-d32befbca594</errorID>
      <errorWord>：</errorWord>
      <group>L1_Punc</group>
      <groupName>标点问题</groupName>
      <ability>L2_Punc</ability>
      <abilityName>标点符号检查</abilityName>
      <candidateList/>
      <explain/>
      <paraID>1C2E8C8F</paraID>
      <start>0</start>
      <end>1</end>
      <status>unmodified</status>
      <modifiedWord/>
      <trackRevisions>false</trackRevisions>
    </reviewItem>
    <reviewItem>
      <errorID>e398a6f9-2353-441a-bcd0-39f24f9590ec</errorID>
      <errorWord>：</errorWord>
      <group>L1_Punc</group>
      <groupName>标点问题</groupName>
      <ability>L2_Punc</ability>
      <abilityName>标点符号检查</abilityName>
      <candidateList/>
      <explain/>
      <paraID>29BE6A45</paraID>
      <start>0</start>
      <end>1</end>
      <status>unmodified</status>
      <modifiedWord/>
      <trackRevisions>false</trackRevisions>
    </reviewItem>
    <reviewItem>
      <errorID>891008f1-4301-4a38-a5ff-f654a34106c7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8B4995B</paraID>
      <start>16</start>
      <end>17</end>
      <status>unmodified</status>
      <modifiedWord/>
      <trackRevisions>false</trackRevisions>
    </reviewItem>
    <reviewItem>
      <errorID>30140418-0ed1-4d8a-bff9-eb0b69410552</errorID>
      <errorWord>：</errorWord>
      <group>L1_Punc</group>
      <groupName>标点问题</groupName>
      <ability>L2_Punc</ability>
      <abilityName>标点符号检查</abilityName>
      <candidateList/>
      <explain/>
      <paraID>6C8EB656</paraID>
      <start>0</start>
      <end>1</end>
      <status>unmodified</status>
      <modifiedWord/>
      <trackRevisions>false</trackRevisions>
    </reviewItem>
    <reviewItem>
      <errorID>23146f15-9632-4028-bcda-4d3749d41b9b</errorID>
      <errorWord>：</errorWord>
      <group>L1_Punc</group>
      <groupName>标点问题</groupName>
      <ability>L2_Punc</ability>
      <abilityName>标点符号检查</abilityName>
      <candidateList/>
      <explain/>
      <paraID> 5F1D061</paraID>
      <start>0</start>
      <end>1</end>
      <status>unmodified</status>
      <modifiedWord/>
      <trackRevisions>false</trackRevisions>
    </reviewItem>
    <reviewItem>
      <errorID>f8f7a5fe-6b64-46c6-8548-8177a4f72eb5</errorID>
      <errorWord>：</errorWord>
      <group>L1_Punc</group>
      <groupName>标点问题</groupName>
      <ability>L2_Punc</ability>
      <abilityName>标点符号检查</abilityName>
      <candidateList/>
      <explain/>
      <paraID>51FE01C1</paraID>
      <start>0</start>
      <end>1</end>
      <status>unmodified</status>
      <modifiedWord/>
      <trackRevisions>false</trackRevisions>
    </reviewItem>
    <reviewItem>
      <errorID>f9b67900-395b-4808-abad-301c6605b57f</errorID>
      <errorWord>：</errorWord>
      <group>L1_Punc</group>
      <groupName>标点问题</groupName>
      <ability>L2_Punc</ability>
      <abilityName>标点符号检查</abilityName>
      <candidateList/>
      <explain/>
      <paraID>2C8EB6F5</paraID>
      <start>0</start>
      <end>1</end>
      <status>unmodified</status>
      <modifiedWord/>
      <trackRevisions>false</trackRevisions>
    </reviewItem>
    <reviewItem>
      <errorID>ec7ac6ab-2ca7-4ea9-abed-93a47d09334c</errorID>
      <errorWord>精攻</errorWord>
      <group>L1_Word</group>
      <groupName>字词问题</groupName>
      <ability>L2_Typo</ability>
      <abilityName>字词错误</abilityName>
      <candidateList>
        <item>精工</item>
      </candidateList>
      <explain>存在发音相同字词的误用。</explain>
      <paraID>3BCE0C44</paraID>
      <start>11</start>
      <end>13</end>
      <status>unmodified</status>
      <modifiedWord/>
      <trackRevisions>false</trackRevisions>
    </reviewItem>
    <reviewItem>
      <errorID>6d93ef3e-4520-4172-9642-d2b6acc45e98</errorID>
      <errorWord>：</errorWord>
      <group>L1_Punc</group>
      <groupName>标点问题</groupName>
      <ability>L2_Punc</ability>
      <abilityName>标点符号检查</abilityName>
      <candidateList/>
      <explain/>
      <paraID>7D2716C8</paraID>
      <start>0</start>
      <end>1</end>
      <status>unmodified</status>
      <modifiedWord/>
      <trackRevisions>false</trackRevisions>
    </reviewItem>
    <reviewItem>
      <errorID>1053e8b8-6251-4f0c-b1a0-6e9bb1ab6d46</errorID>
      <errorWord>：</errorWord>
      <group>L1_Punc</group>
      <groupName>标点问题</groupName>
      <ability>L2_Punc</ability>
      <abilityName>标点符号检查</abilityName>
      <candidateList/>
      <explain/>
      <paraID>27925B09</paraID>
      <start>0</start>
      <end>1</end>
      <status>unmodified</status>
      <modifiedWord/>
      <trackRevisions>false</trackRevisions>
    </reviewItem>
    <reviewItem>
      <errorID>eeb47d3a-7683-4318-ae43-083f81257ace</errorID>
      <errorWord>：</errorWord>
      <group>L1_Punc</group>
      <groupName>标点问题</groupName>
      <ability>L2_Punc</ability>
      <abilityName>标点符号检查</abilityName>
      <candidateList/>
      <explain/>
      <paraID> 376E061</paraID>
      <start>0</start>
      <end>1</end>
      <status>unmodified</status>
      <modifiedWord/>
      <trackRevisions>false</trackRevisions>
    </reviewItem>
    <reviewItem>
      <errorID>c5577832-0584-44f6-8e75-3d85adb9d5ca</errorID>
      <errorWord>：</errorWord>
      <group>L1_Punc</group>
      <groupName>标点问题</groupName>
      <ability>L2_Punc</ability>
      <abilityName>标点符号检查</abilityName>
      <candidateList/>
      <explain/>
      <paraID>43445BC2</paraID>
      <start>0</start>
      <end>1</end>
      <status>unmodified</status>
      <modifiedWord/>
      <trackRevisions>false</trackRevisions>
    </reviewItem>
    <reviewItem>
      <errorID>9854d321-4028-490d-b927-33c58934691c</errorID>
      <errorWord>：</errorWord>
      <group>L1_Punc</group>
      <groupName>标点问题</groupName>
      <ability>L2_Punc</ability>
      <abilityName>标点符号检查</abilityName>
      <candidateList/>
      <explain/>
      <paraID> FF6157E</paraID>
      <start>0</start>
      <end>1</end>
      <status>unmodified</status>
      <modifiedWord/>
      <trackRevisions>false</trackRevisions>
    </reviewItem>
    <reviewItem>
      <errorID>63e088e6-ba0b-48df-9846-095c097a0677</errorID>
      <errorWord>：</errorWord>
      <group>L1_Punc</group>
      <groupName>标点问题</groupName>
      <ability>L2_Punc</ability>
      <abilityName>标点符号检查</abilityName>
      <candidateList/>
      <explain/>
      <paraID>16905F76</paraID>
      <start>0</start>
      <end>1</end>
      <status>unmodified</status>
      <modifiedWord/>
      <trackRevisions>false</trackRevisions>
    </reviewItem>
    <reviewItem>
      <errorID>e1d5d02a-87f5-4868-9049-5419226d3f5a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1BEAECE8</paraID>
      <start>118</start>
      <end>119</end>
      <status>unmodified</status>
      <modifiedWord/>
      <trackRevisions>false</trackRevisions>
    </reviewItem>
    <reviewItem>
      <errorID>d8e01938-1859-4222-a494-8f084db40898</errorID>
      <errorWord>[2024]12号</errorWord>
      <group>L1_Knowledge</group>
      <groupName>知识性问题</groupName>
      <ability>L2_Knowledge</ability>
      <abilityName>其他知识</abilityName>
      <candidateList>
        <item>〔2024〕12号</item>
      </candidateList>
      <explain>发文字号格式错误。</explain>
      <paraID>1BEAECE8</paraID>
      <start>162</start>
      <end>171</end>
      <status>unmodified</status>
      <modifiedWord/>
      <trackRevisions>false</trackRevisions>
    </reviewItem>
    <reviewItem>
      <errorID>3ae2ffce-4818-4f84-a613-62510c496816</errorID>
      <errorWord>[2015]52号</errorWord>
      <group>L1_Knowledge</group>
      <groupName>知识性问题</groupName>
      <ability>L2_Knowledge</ability>
      <abilityName>其他知识</abilityName>
      <candidateList>
        <item>〔2015〕52号</item>
      </candidateList>
      <explain>发文字号格式错误。</explain>
      <paraID>18199726</paraID>
      <start>405</start>
      <end>414</end>
      <status>unmodified</status>
      <modifiedWord/>
      <trackRevisions>false</trackRevisions>
    </reviewItem>
    <reviewItem>
      <errorID>8acfc158-dfc0-4925-ab4d-491202ed9da6</errorID>
      <errorWord>[2019]910号</errorWord>
      <group>L1_Knowledge</group>
      <groupName>知识性问题</groupName>
      <ability>L2_Knowledge</ability>
      <abilityName>其他知识</abilityName>
      <candidateList>
        <item>〔2019〕910号</item>
      </candidateList>
      <explain>发文字号格式错误。</explain>
      <paraID>18199726</paraID>
      <start>449</start>
      <end>459</end>
      <status>unmodified</status>
      <modifiedWord/>
      <trackRevisions>false</trackRevisions>
    </reviewItem>
    <reviewItem>
      <errorID>bf6bbae2-c332-4f35-b582-0d4aa494aea0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28171C25</paraID>
      <start>259</start>
      <end>260</end>
      <status>unmodified</status>
      <modifiedWord/>
      <trackRevisions>false</trackRevisions>
    </reviewItem>
    <reviewItem>
      <errorID>68c9e60e-99bc-4e79-a6e1-d7d042233fcc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28171C25</paraID>
      <start>276</start>
      <end>277</end>
      <status>unmodified</status>
      <modifiedWord/>
      <trackRevisions>false</trackRevisions>
    </reviewItem>
    <reviewItem>
      <errorID>b9cd66c1-0a0d-4f20-9636-146b8ce22c6d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28171C25</paraID>
      <start>322</start>
      <end>323</end>
      <status>unmodified</status>
      <modifiedWord/>
      <trackRevisions>false</trackRevisions>
    </reviewItem>
    <reviewItem>
      <errorID>71809de5-75f0-47ef-bfc0-6ae7ed909157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2FD5A649</paraID>
      <start>21</start>
      <end>22</end>
      <status>unmodified</status>
      <modifiedWord/>
      <trackRevisions>false</trackRevisions>
    </reviewItem>
    <reviewItem>
      <errorID>9e701571-2690-4d2f-afa5-f6ec9f566051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582B75CB</paraID>
      <start>37</start>
      <end>38</end>
      <status>unmodified</status>
      <modifiedWord/>
      <trackRevisions>false</trackRevisions>
    </reviewItem>
    <reviewItem>
      <errorID>30421e54-9ac2-4b48-bf12-f2aa80ab3056</errorID>
      <errorWord>[2024]12号</errorWord>
      <group>L1_Knowledge</group>
      <groupName>知识性问题</groupName>
      <ability>L2_Knowledge</ability>
      <abilityName>其他知识</abilityName>
      <candidateList>
        <item>〔2024〕12号</item>
      </candidateList>
      <explain>发文字号格式错误。</explain>
      <paraID>1652D486</paraID>
      <start>28</start>
      <end>37</end>
      <status>unmodified</status>
      <modifiedWord/>
      <trackRevisions>false</trackRevisions>
    </reviewItem>
    <reviewItem>
      <errorID>b6242e23-82ca-46a6-aec3-a11f530ffc68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7AB4E60E</paraID>
      <start>10</start>
      <end>11</end>
      <status>unmodified</status>
      <modifiedWord/>
      <trackRevisions>false</trackRevisions>
    </reviewItem>
    <reviewItem>
      <errorID>9e8e6da6-23c0-4941-aff0-2f231ca0b38c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7AB4E60E</paraID>
      <start>22</start>
      <end>23</end>
      <status>unmodified</status>
      <modifiedWord/>
      <trackRevisions>false</trackRevisions>
    </reviewItem>
    <reviewItem>
      <errorID>5db72038-57a8-4efa-948b-0582c6e39d2d</errorID>
      <errorWord>法律、法规</errorWord>
      <group>L1_Word</group>
      <groupName>字词问题</groupName>
      <ability>L2_Typo</ability>
      <abilityName>字词错误</abilityName>
      <candidateList>
        <item>法律法规</item>
      </candidateList>
      <explain/>
      <paraID>44374538</paraID>
      <start>10</start>
      <end>15</end>
      <status>unmodified</status>
      <modifiedWord/>
      <trackRevisions>false</trackRevisions>
    </reviewItem>
    <reviewItem>
      <errorID>d977937f-cd36-474a-bb8a-02daba405db0</errorID>
      <errorWord>中华人民共和国环境保护法</errorWord>
      <group>L1_Knowledge</group>
      <groupName>知识性问题</groupName>
      <ability>L2_Knowledge</ability>
      <abilityName>其他知识</abilityName>
      <candidateList/>
      <explain>当前法律法规未收录或尚未生效，注意核查是否正确。</explain>
      <paraID>17673C61</paraID>
      <start>1</start>
      <end>13</end>
      <status>unmodified</status>
      <modifiedWord/>
      <trackRevisions>false</trackRevisions>
    </reviewItem>
    <reviewItem>
      <errorID>b0ebcacf-25d8-4c4e-8fc1-0c2e650c8c7d</errorID>
      <errorWord>中华人民共和国水污染防治法</errorWord>
      <group>L1_Knowledge</group>
      <groupName>知识性问题</groupName>
      <ability>L2_Knowledge</ability>
      <abilityName>其他知识</abilityName>
      <candidateList/>
      <explain>当前法律法规未收录或尚未生效，注意核查是否正确。</explain>
      <paraID>6E841034</paraID>
      <start>1</start>
      <end>14</end>
      <status>unmodified</status>
      <modifiedWord/>
      <trackRevisions>false</trackRevisions>
    </reviewItem>
    <reviewItem>
      <errorID>7ae36605-9778-4dba-843a-8bc798104583</errorID>
      <errorWord>中华人民共和国循环经济促进法</errorWord>
      <group>L1_Knowledge</group>
      <groupName>知识性问题</groupName>
      <ability>L2_Knowledge</ability>
      <abilityName>其他知识</abilityName>
      <candidateList>
        <item>中华人民共和国民营经济促进法</item>
      </candidateList>
      <explain>当前法律法规未收录或尚未生效，注意核查是否正确。</explain>
      <paraID>3A3C504D</paraID>
      <start>1</start>
      <end>15</end>
      <status>unmodified</status>
      <modifiedWord/>
      <trackRevisions>false</trackRevisions>
    </reviewItem>
    <reviewItem>
      <errorID>21e6c22f-3ded-434d-9f99-2359d47284d2</errorID>
      <errorWord>[2015]52号</errorWord>
      <group>L1_Knowledge</group>
      <groupName>知识性问题</groupName>
      <ability>L2_Knowledge</ability>
      <abilityName>其他知识</abilityName>
      <candidateList>
        <item>〔2015〕52号</item>
      </candidateList>
      <explain>发文字号格式错误。</explain>
      <paraID> C2CA2F2</paraID>
      <start>31</start>
      <end>40</end>
      <status>unmodified</status>
      <modifiedWord/>
      <trackRevisions>false</trackRevisions>
    </reviewItem>
    <reviewItem>
      <errorID>536fd0a8-5300-4a3d-9792-ea22d5974753</errorID>
      <errorWord>[2019]910号</errorWord>
      <group>L1_Knowledge</group>
      <groupName>知识性问题</groupName>
      <ability>L2_Knowledge</ability>
      <abilityName>其他知识</abilityName>
      <candidateList>
        <item>〔2019〕910号</item>
      </candidateList>
      <explain>发文字号格式错误。</explain>
      <paraID>2176D807</paraID>
      <start>33</start>
      <end>43</end>
      <status>unmodified</status>
      <modifiedWord/>
      <trackRevisions>false</trackRevisions>
    </reviewItem>
    <reviewItem>
      <errorID>70e4e73d-9d6a-4d95-87d8-480af623d046</errorID>
      <errorWord>&lt;</errorWord>
      <group>L1_Format</group>
      <groupName>格式问题</groupName>
      <ability>L2_HalfPunc</ability>
      <abilityName>全半角检查</abilityName>
      <candidateList>
        <item>〈</item>
      </candidateList>
      <explain>文本全半角错误。</explain>
      <paraID>2882416F</paraID>
      <start>6</start>
      <end>7</end>
      <status>unmodified</status>
      <modifiedWord/>
      <trackRevisions>false</trackRevisions>
    </reviewItem>
    <reviewItem>
      <errorID>883ba047-2968-4749-9d02-f42642af7c9d</errorID>
      <errorWord>&gt;</errorWord>
      <group>L1_Format</group>
      <groupName>格式问题</groupName>
      <ability>L2_HalfPunc</ability>
      <abilityName>全半角检查</abilityName>
      <candidateList>
        <item>〉</item>
      </candidateList>
      <explain>文本全半角错误。</explain>
      <paraID>2882416F</paraID>
      <start>25</start>
      <end>26</end>
      <status>unmodified</status>
      <modifiedWord/>
      <trackRevisions>false</trackRevisions>
    </reviewItem>
    <reviewItem>
      <errorID>b03556c2-ab95-48cc-aedf-1aa0b5306773</errorID>
      <errorWord>[2014]15号</errorWord>
      <group>L1_Knowledge</group>
      <groupName>知识性问题</groupName>
      <ability>L2_Knowledge</ability>
      <abilityName>其他知识</abilityName>
      <candidateList>
        <item>〔2014〕15号</item>
      </candidateList>
      <explain>发文字号格式错误。</explain>
      <paraID>2814FE91</paraID>
      <start>39</start>
      <end>48</end>
      <status>unmodified</status>
      <modifiedWord/>
      <trackRevisions>false</trackRevisions>
    </reviewItem>
    <reviewItem>
      <errorID>80ee73de-b886-4e75-a62b-330b6db688bf</errorID>
      <errorWord>&lt;</errorWord>
      <group>L1_Format</group>
      <groupName>格式问题</groupName>
      <ability>L2_HalfPunc</ability>
      <abilityName>全半角检查</abilityName>
      <candidateList>
        <item>〈</item>
      </candidateList>
      <explain>文本全半角错误。</explain>
      <paraID>4876BFD7</paraID>
      <start>13</start>
      <end>14</end>
      <status>unmodified</status>
      <modifiedWord/>
      <trackRevisions>false</trackRevisions>
    </reviewItem>
    <reviewItem>
      <errorID>56b85be1-2b79-4be5-be2a-413b3819acdb</errorID>
      <errorWord>&gt;的通知》</errorWord>
      <group>L1_Punc</group>
      <groupName>标点问题</groupName>
      <ability>L2_Punc</ability>
      <abilityName>标点符号检查</abilityName>
      <candidateList>
        <item>〉的通知》</item>
      </candidateList>
      <explain/>
      <paraID>4876BFD7</paraID>
      <start>32</start>
      <end>37</end>
      <status>unmodified</status>
      <modifiedWord/>
      <trackRevisions>false</trackRevisions>
    </reviewItem>
    <reviewItem>
      <errorID>e3a6fa18-b03d-42bc-9b1c-34e885c0557d</errorID>
      <errorWord>[2014]126号</errorWord>
      <group>L1_Knowledge</group>
      <groupName>知识性问题</groupName>
      <ability>L2_Knowledge</ability>
      <abilityName>其他知识</abilityName>
      <candidateList>
        <item>〔2014〕126号</item>
      </candidateList>
      <explain>发文字号格式错误。</explain>
      <paraID>4876BFD7</paraID>
      <start>41</start>
      <end>51</end>
      <status>unmodified</status>
      <modifiedWord/>
      <trackRevisions>false</trackRevisions>
    </reviewItem>
    <reviewItem>
      <errorID>a1037bd3-fd28-40ea-bc9a-9a85e295ba38</errorID>
      <errorWord>[2016]37号</errorWord>
      <group>L1_Knowledge</group>
      <groupName>知识性问题</groupName>
      <ability>L2_Knowledge</ability>
      <abilityName>其他知识</abilityName>
      <candidateList>
        <item>〔2016〕37号</item>
      </candidateList>
      <explain>发文字号格式错误。</explain>
      <paraID> EAA79AB</paraID>
      <start>33</start>
      <end>42</end>
      <status>unmodified</status>
      <modifiedWord/>
      <trackRevisions>false</trackRevisions>
    </reviewItem>
    <reviewItem>
      <errorID>f1f7a6f9-0c15-4c36-a5cd-67b9d8d4378f</errorID>
      <errorWord>[2016]141号</errorWord>
      <group>L1_Knowledge</group>
      <groupName>知识性问题</groupName>
      <ability>L2_Knowledge</ability>
      <abilityName>其他知识</abilityName>
      <candidateList>
        <item>〔2016〕141号</item>
      </candidateList>
      <explain>发文字号格式错误。</explain>
      <paraID>3D0A5170</paraID>
      <start>29</start>
      <end>39</end>
      <status>unmodified</status>
      <modifiedWord/>
      <trackRevisions>false</trackRevisions>
    </reviewItem>
    <reviewItem>
      <errorID>0c798b5e-9bf9-428a-9165-b755184225d3</errorID>
      <errorWord>[2017]151号</errorWord>
      <group>L1_Knowledge</group>
      <groupName>知识性问题</groupName>
      <ability>L2_Knowledge</ability>
      <abilityName>其他知识</abilityName>
      <candidateList>
        <item>〔2017〕151号</item>
      </candidateList>
      <explain>发文字号格式错误。</explain>
      <paraID>4FE317FE</paraID>
      <start>32</start>
      <end>42</end>
      <status>unmodified</status>
      <modifiedWord/>
      <trackRevisions>false</trackRevisions>
    </reviewItem>
    <reviewItem>
      <errorID>e7f827a5-45bf-4928-b0eb-feab00fedc57</errorID>
      <errorWord>[2019]112号</errorWord>
      <group>L1_Knowledge</group>
      <groupName>知识性问题</groupName>
      <ability>L2_Knowledge</ability>
      <abilityName>其他知识</abilityName>
      <candidateList>
        <item>〔2019〕112号</item>
      </candidateList>
      <explain>发文字号格式错误。</explain>
      <paraID>561C511A</paraID>
      <start>26</start>
      <end>36</end>
      <status>unmodified</status>
      <modifiedWord/>
      <trackRevisions>false</trackRevisions>
    </reviewItem>
    <reviewItem>
      <errorID>826af592-aa2f-45af-bf13-9e554d1cebcf</errorID>
      <errorWord>[2018]261号</errorWord>
      <group>L1_Knowledge</group>
      <groupName>知识性问题</groupName>
      <ability>L2_Knowledge</ability>
      <abilityName>其他知识</abilityName>
      <candidateList>
        <item>〔2018〕261号</item>
      </candidateList>
      <explain>发文字号格式错误。</explain>
      <paraID>17602685</paraID>
      <start>46</start>
      <end>56</end>
      <status>unmodified</status>
      <modifiedWord/>
      <trackRevisions>false</trackRevisions>
    </reviewItem>
    <reviewItem>
      <errorID>80e3b497-097c-4985-86ae-d496d02864b4</errorID>
      <errorWord>[2010]60号</errorWord>
      <group>L1_Knowledge</group>
      <groupName>知识性问题</groupName>
      <ability>L2_Knowledge</ability>
      <abilityName>其他知识</abilityName>
      <candidateList>
        <item>〔2010〕60号</item>
      </candidateList>
      <explain>发文字号格式错误。</explain>
      <paraID>30502A7C</paraID>
      <start>25</start>
      <end>34</end>
      <status>unmodified</status>
      <modifiedWord/>
      <trackRevisions>false</trackRevisions>
    </reviewItem>
    <reviewItem>
      <errorID>37d7fd50-7194-4610-9eac-e268034800d4</errorID>
      <errorWord>[2019]43号</errorWord>
      <group>L1_Knowledge</group>
      <groupName>知识性问题</groupName>
      <ability>L2_Knowledge</ability>
      <abilityName>其他知识</abilityName>
      <candidateList>
        <item>〔2019〕43号</item>
      </candidateList>
      <explain>发文字号格式错误。</explain>
      <paraID> E7A917F</paraID>
      <start>27</start>
      <end>36</end>
      <status>unmodified</status>
      <modifiedWord/>
      <trackRevisions>false</trackRevisions>
    </reviewItem>
    <reviewItem>
      <errorID>b4460830-7551-4e9a-b6af-b32a866d113a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F2C5C54</paraID>
      <start>17</start>
      <end>18</end>
      <status>unmodified</status>
      <modifiedWord/>
      <trackRevisions>false</trackRevisions>
    </reviewItem>
    <reviewItem>
      <errorID>678cc35c-9248-4c85-bfda-04c230c5ccf0</errorID>
      <errorWord>[2021]66号</errorWord>
      <group>L1_Knowledge</group>
      <groupName>知识性问题</groupName>
      <ability>L2_Knowledge</ability>
      <abilityName>其他知识</abilityName>
      <candidateList>
        <item>〔2021〕66号</item>
      </candidateList>
      <explain>发文字号格式错误。</explain>
      <paraID>33DEB5EB</paraID>
      <start>37</start>
      <end>46</end>
      <status>unmodified</status>
      <modifiedWord/>
      <trackRevisions>false</trackRevisions>
    </reviewItem>
    <reviewItem>
      <errorID>54979131-d119-492f-a310-92b0121d1dc8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3CC2E95C</paraID>
      <start>15</start>
      <end>16</end>
      <status>unmodified</status>
      <modifiedWord/>
      <trackRevisions>false</trackRevisions>
    </reviewItem>
    <reviewItem>
      <errorID>5730fdb6-00f7-4334-a6ca-788488ca91b3</errorID>
      <errorWord>[2020]31号</errorWord>
      <group>L1_Knowledge</group>
      <groupName>知识性问题</groupName>
      <ability>L2_Knowledge</ability>
      <abilityName>其他知识</abilityName>
      <candidateList>
        <item>〔2020〕31号</item>
      </candidateList>
      <explain>发文字号格式错误。</explain>
      <paraID>1C7F54B4</paraID>
      <start>31</start>
      <end>40</end>
      <status>unmodified</status>
      <modifiedWord/>
      <trackRevisions>false</trackRevisions>
    </reviewItem>
    <reviewItem>
      <errorID>8e5cfeae-ed2c-45a2-a65d-0ecad26d2005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5BE12E8B</paraID>
      <start>15</start>
      <end>16</end>
      <status>unmodified</status>
      <modifiedWord/>
      <trackRevisions>false</trackRevisions>
    </reviewItem>
    <reviewItem>
      <errorID>9113d544-67ab-46fb-9f30-3c77d1587af1</errorID>
      <errorWord>[2021]49号</errorWord>
      <group>L1_Knowledge</group>
      <groupName>知识性问题</groupName>
      <ability>L2_Knowledge</ability>
      <abilityName>其他知识</abilityName>
      <candidateList>
        <item>〔2021〕49号</item>
      </candidateList>
      <explain>发文字号格式错误。</explain>
      <paraID>68C36A54</paraID>
      <start>39</start>
      <end>48</end>
      <status>unmodified</status>
      <modifiedWord/>
      <trackRevisions>false</trackRevisions>
    </reviewItem>
    <reviewItem>
      <errorID>3d2c770c-2617-470c-af79-890f1b5e9216</errorID>
      <errorWord>(</errorWord>
      <group>L1_Format</group>
      <groupName>格式问题</groupName>
      <ability>L2_HalfPunc</ability>
      <abilityName>全半角检查</abilityName>
      <candidateList>
        <item>（</item>
      </candidateList>
      <explain>文本全半角错误。</explain>
      <paraID>11FADA44</paraID>
      <start>12</start>
      <end>13</end>
      <status>unmodified</status>
      <modifiedWord/>
      <trackRevisions>false</trackRevisions>
    </reviewItem>
    <reviewItem>
      <errorID>30cc0afc-4502-4e61-88ed-bd4eeb234303</errorID>
      <errorWord>)</errorWord>
      <group>L1_Format</group>
      <groupName>格式问题</groupName>
      <ability>L2_HalfPunc</ability>
      <abilityName>全半角检查</abilityName>
      <candidateList>
        <item>）</item>
      </candidateList>
      <explain>文本全半角错误。</explain>
      <paraID>11FADA44</paraID>
      <start>26</start>
      <end>27</end>
      <status>unmodified</status>
      <modifiedWord/>
      <trackRevisions>false</trackRevisions>
    </reviewItem>
    <reviewItem>
      <errorID>d421557a-26f6-4639-ae0d-000495fc9b44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78A7B966</paraID>
      <start>17</start>
      <end>18</end>
      <status>unmodified</status>
      <modifiedWord/>
      <trackRevisions>false</trackRevisions>
    </reviewItem>
    <reviewItem>
      <errorID>ce6a8b1b-dd3f-47ea-949b-9ce3c0434b04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55806993</paraID>
      <start>17</start>
      <end>18</end>
      <status>unmodified</status>
      <modifiedWord/>
      <trackRevisions>false</trackRevisions>
    </reviewItem>
    <reviewItem>
      <errorID>2c9689c6-ecc4-4380-af35-d6c373a381d8</errorID>
      <errorWord>[2024]12号</errorWord>
      <group>L1_Knowledge</group>
      <groupName>知识性问题</groupName>
      <ability>L2_Knowledge</ability>
      <abilityName>其他知识</abilityName>
      <candidateList>
        <item>〔2024〕12号</item>
      </candidateList>
      <explain>发文字号格式错误。</explain>
      <paraID>55806993</paraID>
      <start>39</start>
      <end>48</end>
      <status>unmodified</status>
      <modifiedWord/>
      <trackRevisions>false</trackRevisions>
    </reviewItem>
    <reviewItem>
      <errorID>29770c54-4bac-4970-8e3f-d6256a091ca0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3A5F1F6B</paraID>
      <start>17</start>
      <end>18</end>
      <status>unmodified</status>
      <modifiedWord/>
      <trackRevisions>false</trackRevisions>
    </reviewItem>
    <reviewItem>
      <errorID>201e0f15-23bb-44be-8fc3-bda98e1c6e9a</errorID>
      <errorWord>（</errorWord>
      <group>L1_Format</group>
      <groupName>格式问题</groupName>
      <ability>L2_HalfPunc</ability>
      <abilityName>全半角检查</abilityName>
      <candidateList>
        <item>(</item>
      </candidateList>
      <explain>文本全半角错误。</explain>
      <paraID>5E8D3827</paraID>
      <start>3</start>
      <end>4</end>
      <status>unmodified</status>
      <modifiedWord/>
      <trackRevisions>false</trackRevisions>
    </reviewItem>
    <reviewItem>
      <errorID>28563f2c-ff82-4c66-a0f5-29d72fc0bf6f</errorID>
      <errorWord>）</errorWord>
      <group>L1_Format</group>
      <groupName>格式问题</groupName>
      <ability>L2_HalfPunc</ability>
      <abilityName>全半角检查</abilityName>
      <candidateList>
        <item>)</item>
      </candidateList>
      <explain>文本全半角错误。</explain>
      <paraID>5E8D3827</paraID>
      <start>8</start>
      <end>9</end>
      <status>unmodified</status>
      <modifiedWord/>
      <trackRevisions>false</trackRevisions>
    </reviewItem>
    <reviewItem>
      <errorID>1aec4ee4-56e0-4c32-bfe4-796299bc23c6</errorID>
      <errorWord>（</errorWord>
      <group>L1_Format</group>
      <groupName>格式问题</groupName>
      <ability>L2_HalfPunc</ability>
      <abilityName>全半角检查</abilityName>
      <candidateList>
        <item>(</item>
      </candidateList>
      <explain>文本全半角错误。</explain>
      <paraID> 187586C</paraID>
      <start>3</start>
      <end>4</end>
      <status>unmodified</status>
      <modifiedWord/>
      <trackRevisions>false</trackRevisions>
    </reviewItem>
    <reviewItem>
      <errorID>c7d7002d-6f6f-4b39-b3a8-7a0f986c6550</errorID>
      <errorWord>）</errorWord>
      <group>L1_Format</group>
      <groupName>格式问题</groupName>
      <ability>L2_HalfPunc</ability>
      <abilityName>全半角检查</abilityName>
      <candidateList>
        <item>)</item>
      </candidateList>
      <explain>文本全半角错误。</explain>
      <paraID> 187586C</paraID>
      <start>8</start>
      <end>9</end>
      <status>unmodified</status>
      <modifiedWord/>
      <trackRevisions>false</trackRevisions>
    </reviewItem>
    <reviewItem>
      <errorID>3bf05054-f997-44c6-acc4-6fdd894d3863</errorID>
      <errorWord>(</errorWord>
      <group>L1_Format</group>
      <groupName>格式问题</groupName>
      <ability>L2_HalfPunc</ability>
      <abilityName>全半角检查</abilityName>
      <candidateList>
        <item>（</item>
      </candidateList>
      <explain>文本全半角错误。</explain>
      <paraID>5A3AA974</paraID>
      <start>67</start>
      <end>68</end>
      <status>unmodified</status>
      <modifiedWord/>
      <trackRevisions>false</trackRevisions>
    </reviewItem>
    <reviewItem>
      <errorID>db127975-2512-4afa-a4ac-7fc7fa1519cf</errorID>
      <errorWord>)</errorWord>
      <group>L1_Format</group>
      <groupName>格式问题</groupName>
      <ability>L2_HalfPunc</ability>
      <abilityName>全半角检查</abilityName>
      <candidateList>
        <item>）</item>
      </candidateList>
      <explain>文本全半角错误。</explain>
      <paraID>5A3AA974</paraID>
      <start>89</start>
      <end>90</end>
      <status>unmodified</status>
      <modifiedWord/>
      <trackRevisions>false</trackRevisions>
    </reviewItem>
    <reviewItem>
      <errorID>c31732d0-1c10-464b-be8f-324a77cae36d</errorID>
      <errorWord>程</errorWord>
      <group>L1_Word</group>
      <groupName>字词问题</groupName>
      <ability>L2_Typo</ability>
      <abilityName>字词错误</abilityName>
      <candidateList>
        <item>程中</item>
      </candidateList>
      <explain/>
      <paraID>3736447A</paraID>
      <start>5</start>
      <end>6</end>
      <status>unmodified</status>
      <modifiedWord/>
      <trackRevisions>false</trackRevisions>
    </reviewItem>
    <reviewItem>
      <errorID>056eea33-4903-4c34-8604-d2d408c47fa7</errorID>
      <errorWord>,</errorWord>
      <group>L1_Format</group>
      <groupName>格式问题</groupName>
      <ability>L2_HalfPunc</ability>
      <abilityName>全半角检查</abilityName>
      <candidateList>
        <item>，</item>
      </candidateList>
      <explain>文本全半角错误。</explain>
      <paraID>4385B4F7</paraID>
      <start>25</start>
      <end>26</end>
      <status>unmodified</status>
      <modifiedWord/>
      <trackRevisions>false</trackRevisions>
    </reviewItem>
    <reviewItem>
      <errorID>e4576021-e475-4ce2-93fa-b2fb56c1ebca</errorID>
      <errorWord>避开了</errorWord>
      <group>L1_Word</group>
      <groupName>字词问题</groupName>
      <ability>L2_Typo</ability>
      <abilityName>字词错误</abilityName>
      <candidateList>
        <item>避开</item>
      </candidateList>
      <explain/>
      <paraID>796B990E</paraID>
      <start>10</start>
      <end>13</end>
      <status>unmodified</status>
      <modifiedWord/>
      <trackRevisions>false</trackRevisions>
    </reviewItem>
    <reviewItem>
      <errorID>e2cf4245-52b1-4cc5-9dbf-30bd79d1b897</errorID>
      <errorWord>-</errorWord>
      <group>L1_Format</group>
      <groupName>格式问题</groupName>
      <ability>L2_HalfPunc</ability>
      <abilityName>全半角检查</abilityName>
      <candidateList>
        <item>－</item>
      </candidateList>
      <explain>文本全半角错误。</explain>
      <paraID>7888F33A</paraID>
      <start>6</start>
      <end>7</end>
      <status>unmodified</status>
      <modifiedWord/>
      <trackRevisions>false</trackRevisions>
    </reviewItem>
    <reviewItem>
      <errorID>82585401-d80f-4b40-a086-0e53c414d356</errorID>
      <errorWord>-</errorWord>
      <group>L1_Format</group>
      <groupName>格式问题</groupName>
      <ability>L2_HalfPunc</ability>
      <abilityName>全半角检查</abilityName>
      <candidateList>
        <item>－</item>
      </candidateList>
      <explain>文本全半角错误。</explain>
      <paraID>52C4C7CD</paraID>
      <start>6</start>
      <end>7</end>
      <status>unmodified</status>
      <modifiedWord/>
      <trackRevisions>false</trackRevisions>
    </reviewItem>
    <reviewItem>
      <errorID>d0541e3b-f6c9-4536-a71f-397eb912ec6b</errorID>
      <errorWord>-</errorWord>
      <group>L1_Format</group>
      <groupName>格式问题</groupName>
      <ability>L2_HalfPunc</ability>
      <abilityName>全半角检查</abilityName>
      <candidateList>
        <item>－</item>
      </candidateList>
      <explain>文本全半角错误。</explain>
      <paraID>2F4FB6EC</paraID>
      <start>6</start>
      <end>7</end>
      <status>unmodified</status>
      <modifiedWord/>
      <trackRevisions>false</trackRevisions>
    </reviewItem>
    <reviewItem>
      <errorID>5ef351f7-b075-423e-bf78-bdae5653c992</errorID>
      <errorWord>：</errorWord>
      <group>L1_Format</group>
      <groupName>格式问题</groupName>
      <ability>L2_HalfPunc</ability>
      <abilityName>全半角检查</abilityName>
      <candidateList>
        <item>: </item>
      </candidateList>
      <explain>文本全半角错误。</explain>
      <paraID>198ED5D1</paraID>
      <start>2</start>
      <end>3</end>
      <status>unmodified</status>
      <modifiedWord/>
      <trackRevisions>false</trackRevisions>
    </reviewItem>
    <reviewItem>
      <errorID>a38aa907-1440-499d-9331-9d1b4eefe6c3</errorID>
      <errorWord>：</errorWord>
      <group>L1_Format</group>
      <groupName>格式问题</groupName>
      <ability>L2_HalfPunc</ability>
      <abilityName>全半角检查</abilityName>
      <candidateList>
        <item>: </item>
      </candidateList>
      <explain>文本全半角错误。</explain>
      <paraID>17AD8487</paraID>
      <start>2</start>
      <end>3</end>
      <status>unmodified</status>
      <modifiedWord/>
      <trackRevisions>false</trackRevisions>
    </reviewItem>
    <reviewItem>
      <errorID>da38a577-ee02-4e54-b0ad-bc60018a29b7</errorID>
      <errorWord>：</errorWord>
      <group>L1_Format</group>
      <groupName>格式问题</groupName>
      <ability>L2_HalfPunc</ability>
      <abilityName>全半角检查</abilityName>
      <candidateList>
        <item>: </item>
      </candidateList>
      <explain>文本全半角错误。</explain>
      <paraID>7FF4E0A3</paraID>
      <start>2</start>
      <end>3</end>
      <status>unmodified</status>
      <modifiedWord/>
      <trackRevisions>false</trackRevisions>
    </reviewItem>
    <reviewItem>
      <errorID>d36283cd-f4b5-44a9-b2a3-357fbd124353</errorID>
      <errorWord>：</errorWord>
      <group>L1_Format</group>
      <groupName>格式问题</groupName>
      <ability>L2_HalfPunc</ability>
      <abilityName>全半角检查</abilityName>
      <candidateList>
        <item>: </item>
      </candidateList>
      <explain>文本全半角错误。</explain>
      <paraID>65BA4D44</paraID>
      <start>2</start>
      <end>3</end>
      <status>unmodified</status>
      <modifiedWord/>
      <trackRevisions>false</trackRevisions>
    </reviewItem>
    <reviewItem>
      <errorID>3904553a-24ee-44cd-892d-624d3d43810e</errorID>
      <errorWord>：</errorWord>
      <group>L1_Format</group>
      <groupName>格式问题</groupName>
      <ability>L2_HalfPunc</ability>
      <abilityName>全半角检查</abilityName>
      <candidateList>
        <item>: </item>
      </candidateList>
      <explain>文本全半角错误。</explain>
      <paraID>66E496D8</paraID>
      <start>2</start>
      <end>3</end>
      <status>unmodified</status>
      <modifiedWord/>
      <trackRevisions>false</trackRevisions>
    </reviewItem>
    <reviewItem>
      <errorID>cab8eb0d-44d2-49e9-8d83-0fac2fbeea49</errorID>
      <errorWord>：</errorWord>
      <group>L1_Format</group>
      <groupName>格式问题</groupName>
      <ability>L2_HalfPunc</ability>
      <abilityName>全半角检查</abilityName>
      <candidateList>
        <item>: </item>
      </candidateList>
      <explain>文本全半角错误。</explain>
      <paraID> 6FC0B9A</paraID>
      <start>2</start>
      <end>3</end>
      <status>unmodified</status>
      <modifiedWord/>
      <trackRevisions>false</trackRevisions>
    </reviewItem>
    <reviewItem>
      <errorID>a3c8ec08-b48f-4dd6-80e8-0d4bdccb7ea2</errorID>
      <errorWord>：</errorWord>
      <group>L1_Format</group>
      <groupName>格式问题</groupName>
      <ability>L2_HalfPunc</ability>
      <abilityName>全半角检查</abilityName>
      <candidateList>
        <item>: </item>
      </candidateList>
      <explain>文本全半角错误。</explain>
      <paraID> E55C839</paraID>
      <start>2</start>
      <end>3</end>
      <status>unmodified</status>
      <modifiedWord/>
      <trackRevisions>false</trackRevisions>
    </reviewItem>
    <reviewItem>
      <errorID>e9ca1aab-b958-4299-8d16-f2c660c9a6a8</errorID>
      <errorWord>：</errorWord>
      <group>L1_Format</group>
      <groupName>格式问题</groupName>
      <ability>L2_HalfPunc</ability>
      <abilityName>全半角检查</abilityName>
      <candidateList>
        <item>: </item>
      </candidateList>
      <explain>文本全半角错误。</explain>
      <paraID>337A3CBF</paraID>
      <start>3</start>
      <end>4</end>
      <status>unmodified</status>
      <modifiedWord/>
      <trackRevisions>false</trackRevisions>
    </reviewItem>
    <reviewItem>
      <errorID>78fd9eb5-53be-4758-a2c6-7775736c5916</errorID>
      <errorWord>：</errorWord>
      <group>L1_Format</group>
      <groupName>格式问题</groupName>
      <ability>L2_HalfPunc</ability>
      <abilityName>全半角检查</abilityName>
      <candidateList>
        <item>: </item>
      </candidateList>
      <explain>文本全半角错误。</explain>
      <paraID>73792C7F</paraID>
      <start>3</start>
      <end>4</end>
      <status>unmodified</status>
      <modifiedWord/>
      <trackRevisions>false</trackRevisions>
    </reviewItem>
    <reviewItem>
      <errorID>d17a6b22-a874-4079-938f-13c558d19c14</errorID>
      <errorWord>进</errorWord>
      <group>L1_Word</group>
      <groupName>字词问题</groupName>
      <ability>L2_Typo</ability>
      <abilityName>字词错误</abilityName>
      <candidateList>
        <item>进入</item>
      </candidateList>
      <explain>〈动〉支进到某个范围或某个时期里：～学校｜～新阶段◇～角色。</explain>
      <paraID>51158FAA</paraID>
      <start>45</start>
      <end>46</end>
      <status>unmodified</status>
      <modifiedWord/>
      <trackRevisions>false</trackRevisions>
    </reviewItem>
    <reviewItem>
      <errorID>ac9a11a4-90a1-47dd-b841-16b29bc3afef</errorID>
      <errorWord>(</errorWord>
      <group>L1_Format</group>
      <groupName>格式问题</groupName>
      <ability>L2_HalfPunc</ability>
      <abilityName>全半角检查</abilityName>
      <candidateList>
        <item>（</item>
      </candidateList>
      <explain>文本全半角错误。</explain>
      <paraID>3E2CC077</paraID>
      <start>4</start>
      <end>5</end>
      <status>unmodified</status>
      <modifiedWord/>
      <trackRevisions>false</trackRevisions>
    </reviewItem>
    <reviewItem>
      <errorID>bd2995a4-9deb-4351-9b11-8ece38acbcd7</errorID>
      <errorWord>)</errorWord>
      <group>L1_Format</group>
      <groupName>格式问题</groupName>
      <ability>L2_HalfPunc</ability>
      <abilityName>全半角检查</abilityName>
      <candidateList>
        <item>）</item>
      </candidateList>
      <explain>文本全半角错误。</explain>
      <paraID>3E2CC077</paraID>
      <start>7</start>
      <end>8</end>
      <status>unmodified</status>
      <modifiedWord/>
      <trackRevisions>false</trackRevisions>
    </reviewItem>
    <reviewItem>
      <errorID>ad911532-5f7d-4f9b-a6da-84d4532e3c71</errorID>
      <errorWord>(</errorWord>
      <group>L1_Format</group>
      <groupName>格式问题</groupName>
      <ability>L2_HalfPunc</ability>
      <abilityName>全半角检查</abilityName>
      <candidateList>
        <item>（</item>
      </candidateList>
      <explain>文本全半角错误。</explain>
      <paraID>4B3953F3</paraID>
      <start>4</start>
      <end>5</end>
      <status>unmodified</status>
      <modifiedWord/>
      <trackRevisions>false</trackRevisions>
    </reviewItem>
    <reviewItem>
      <errorID>0aabc3c2-9ed6-4061-8531-c950e75ec5da</errorID>
      <errorWord>)</errorWord>
      <group>L1_Format</group>
      <groupName>格式问题</groupName>
      <ability>L2_HalfPunc</ability>
      <abilityName>全半角检查</abilityName>
      <candidateList>
        <item>）</item>
      </candidateList>
      <explain>文本全半角错误。</explain>
      <paraID>4B3953F3</paraID>
      <start>6</start>
      <end>7</end>
      <status>unmodified</status>
      <modifiedWord/>
      <trackRevisions>false</trackRevisions>
    </reviewItem>
    <reviewItem>
      <errorID>ad43c0a7-9bc3-4cb3-b6a7-e746bc13fd7c</errorID>
      <errorWord>KW</errorWord>
      <group>L1_Word</group>
      <groupName>字词问题</groupName>
      <ability>L2_Typo</ability>
      <abilityName>字词错误</abilityName>
      <candidateList>
        <item>kW</item>
      </candidateList>
      <explain/>
      <paraID>4C8F454B</paraID>
      <start>3</start>
      <end>5</end>
      <status>unmodified</status>
      <modifiedWord/>
      <trackRevisions>false</trackRevisions>
    </reviewItem>
    <reviewItem>
      <errorID>87dec78d-2f8a-4b35-b29f-af3285895fdb</errorID>
      <errorWord>站站</errorWord>
      <group>L1_Word</group>
      <groupName>字词问题</groupName>
      <ability>L2_Typo</ability>
      <abilityName>字词错误</abilityName>
      <candidateList>
        <item>站</item>
      </candidateList>
      <explain/>
      <paraID>1845595F</paraID>
      <start>120</start>
      <end>122</end>
      <status>unmodified</status>
      <modifiedWord/>
      <trackRevisions>false</trackRevisions>
    </reviewItem>
    <reviewItem>
      <errorID>7a9190e4-b8a5-46ec-abc3-6f1d96a0f6e4</errorID>
      <errorWord>站站</errorWord>
      <group>L1_Word</group>
      <groupName>字词问题</groupName>
      <ability>L2_Typo</ability>
      <abilityName>字词错误</abilityName>
      <candidateList>
        <item>站</item>
      </candidateList>
      <explain/>
      <paraID>220F1189</paraID>
      <start>113</start>
      <end>115</end>
      <status>unmodified</status>
      <modifiedWord/>
      <trackRevisions>false</trackRevisions>
    </reviewItem>
    <reviewItem>
      <errorID>14f5eb4f-0db1-44ee-a40d-bf7931f411f1</errorID>
      <errorWord>-</errorWord>
      <group>L1_Format</group>
      <groupName>格式问题</groupName>
      <ability>L2_HalfPunc</ability>
      <abilityName>全半角检查</abilityName>
      <candidateList>
        <item>－</item>
      </candidateList>
      <explain>文本全半角错误。</explain>
      <paraID>5312BC31</paraID>
      <start>55</start>
      <end>56</end>
      <status>unmodified</status>
      <modifiedWord/>
      <trackRevisions>false</trackRevisions>
    </reviewItem>
    <reviewItem>
      <errorID>891b60de-c92b-4a2e-9e81-8b49d912dfa3</errorID>
      <errorWord>-</errorWord>
      <group>L1_Format</group>
      <groupName>格式问题</groupName>
      <ability>L2_HalfPunc</ability>
      <abilityName>全半角检查</abilityName>
      <candidateList>
        <item>－</item>
      </candidateList>
      <explain>文本全半角错误。</explain>
      <paraID>5312BC31</paraID>
      <start>82</start>
      <end>83</end>
      <status>unmodified</status>
      <modifiedWord/>
      <trackRevisions>false</trackRevisions>
    </reviewItem>
    <reviewItem>
      <errorID>a1542643-b521-4508-a813-c6ca55e96ea2</errorID>
      <errorWord>-</errorWord>
      <group>L1_Format</group>
      <groupName>格式问题</groupName>
      <ability>L2_HalfPunc</ability>
      <abilityName>全半角检查</abilityName>
      <candidateList>
        <item>－</item>
      </candidateList>
      <explain>文本全半角错误。</explain>
      <paraID>5312BC31</paraID>
      <start>111</start>
      <end>112</end>
      <status>unmodified</status>
      <modifiedWord/>
      <trackRevisions>false</trackRevisions>
    </reviewItem>
    <reviewItem>
      <errorID>1e89c73d-031c-4ebd-8afa-0b347386480f</errorID>
      <errorWord>站站</errorWord>
      <group>L1_Word</group>
      <groupName>字词问题</groupName>
      <ability>L2_Typo</ability>
      <abilityName>字词错误</abilityName>
      <candidateList>
        <item>站</item>
      </candidateList>
      <explain/>
      <paraID>2004415E</paraID>
      <start>43</start>
      <end>45</end>
      <status>unmodified</status>
      <modifiedWord/>
      <trackRevisions>false</trackRevisions>
    </reviewItem>
    <reviewItem>
      <errorID>59efd08b-250b-4015-abe9-49e85d5a788a</errorID>
      <errorWord>站站</errorWord>
      <group>L1_Word</group>
      <groupName>字词问题</groupName>
      <ability>L2_Typo</ability>
      <abilityName>字词错误</abilityName>
      <candidateList>
        <item>站</item>
      </candidateList>
      <explain/>
      <paraID>7CEACC2A</paraID>
      <start>40</start>
      <end>42</end>
      <status>unmodified</status>
      <modifiedWord/>
      <trackRevisions>false</trackRevisions>
    </reviewItem>
    <reviewItem>
      <errorID>dd6a91ec-8636-4b96-b65d-dc8baf58966c</errorID>
      <errorWord>-</errorWord>
      <group>L1_Format</group>
      <groupName>格式问题</groupName>
      <ability>L2_HalfPunc</ability>
      <abilityName>全半角检查</abilityName>
      <candidateList>
        <item>－</item>
      </candidateList>
      <explain>文本全半角错误。</explain>
      <paraID>5DEF41CE</paraID>
      <start>34</start>
      <end>35</end>
      <status>unmodified</status>
      <modifiedWord/>
      <trackRevisions>false</trackRevisions>
    </reviewItem>
    <reviewItem>
      <errorID>6aee5f3d-213d-4ead-a557-31300eccfc8b</errorID>
      <errorWord>来自于</errorWord>
      <group>L1_Grammar</group>
      <groupName>语法问题</groupName>
      <ability>L2_Grammar</ability>
      <abilityName>语法错误</abilityName>
      <candidateList>
        <item>来自</item>
      </candidateList>
      <explain/>
      <paraID>16DB8B48</paraID>
      <start>90</start>
      <end>93</end>
      <status>unmodified</status>
      <modifiedWord/>
      <trackRevisions>false</trackRevisions>
    </reviewItem>
    <reviewItem>
      <errorID>b6d5aa14-4aaf-4750-84f8-28a0b7eacf3a</errorID>
      <errorWord>,</errorWord>
      <group>L1_Format</group>
      <groupName>格式问题</groupName>
      <ability>L2_HalfPunc</ability>
      <abilityName>全半角检查</abilityName>
      <candidateList>
        <item>，</item>
      </candidateList>
      <explain>文本全半角错误。</explain>
      <paraID>2D04A713</paraID>
      <start>20</start>
      <end>21</end>
      <status>unmodified</status>
      <modifiedWord/>
      <trackRevisions>false</trackRevisions>
    </reviewItem>
    <reviewItem>
      <errorID>606bb1c3-7c3d-47a4-b455-54ac63f73e89</errorID>
      <errorWord>-</errorWord>
      <group>L1_Format</group>
      <groupName>格式问题</groupName>
      <ability>L2_HalfPunc</ability>
      <abilityName>全半角检查</abilityName>
      <candidateList>
        <item>－</item>
      </candidateList>
      <explain>文本全半角错误。</explain>
      <paraID>68772121</paraID>
      <start>12</start>
      <end>13</end>
      <status>unmodified</status>
      <modifiedWord/>
      <trackRevisions>false</trackRevisions>
    </reviewItem>
    <reviewItem>
      <errorID>0108bffe-f9a8-46b7-b480-d915f8805067</errorID>
      <errorWord>-</errorWord>
      <group>L1_Format</group>
      <groupName>格式问题</groupName>
      <ability>L2_HalfPunc</ability>
      <abilityName>全半角检查</abilityName>
      <candidateList>
        <item>－</item>
      </candidateList>
      <explain>文本全半角错误。</explain>
      <paraID>68772121</paraID>
      <start>27</start>
      <end>28</end>
      <status>unmodified</status>
      <modifiedWord/>
      <trackRevisions>false</trackRevisions>
    </reviewItem>
    <reviewItem>
      <errorID>e1451b6c-2551-408e-af4f-41f88633a587</errorID>
      <errorWord>-</errorWord>
      <group>L1_Format</group>
      <groupName>格式问题</groupName>
      <ability>L2_HalfPunc</ability>
      <abilityName>全半角检查</abilityName>
      <candidateList>
        <item>－</item>
      </candidateList>
      <explain>文本全半角错误。</explain>
      <paraID>4674F898</paraID>
      <start>24</start>
      <end>25</end>
      <status>unmodified</status>
      <modifiedWord/>
      <trackRevisions>false</trackRevisions>
    </reviewItem>
    <reviewItem>
      <errorID>53e3c1eb-4eec-41a3-a33e-cca415a9c0bd</errorID>
      <errorWord>-</errorWord>
      <group>L1_Format</group>
      <groupName>格式问题</groupName>
      <ability>L2_HalfPunc</ability>
      <abilityName>全半角检查</abilityName>
      <candidateList>
        <item>－</item>
      </candidateList>
      <explain>文本全半角错误。</explain>
      <paraID> D5C7476</paraID>
      <start>26</start>
      <end>27</end>
      <status>unmodified</status>
      <modifiedWord/>
      <trackRevisions>false</trackRevisions>
    </reviewItem>
    <reviewItem>
      <errorID>b54b053b-fa32-42cb-b5ed-6b21dec2fcec</errorID>
      <errorWord>-</errorWord>
      <group>L1_Format</group>
      <groupName>格式问题</groupName>
      <ability>L2_HalfPunc</ability>
      <abilityName>全半角检查</abilityName>
      <candidateList>
        <item>－</item>
      </candidateList>
      <explain>文本全半角错误。</explain>
      <paraID> D5C7476</paraID>
      <start>48</start>
      <end>49</end>
      <status>unmodified</status>
      <modifiedWord/>
      <trackRevisions>false</trackRevisions>
    </reviewItem>
    <reviewItem>
      <errorID>069e3a2b-d1e4-4986-ba9f-c7a06128eded</errorID>
      <errorWord>-</errorWord>
      <group>L1_Format</group>
      <groupName>格式问题</groupName>
      <ability>L2_HalfPunc</ability>
      <abilityName>全半角检查</abilityName>
      <candidateList>
        <item>－</item>
      </candidateList>
      <explain>文本全半角错误。</explain>
      <paraID>179CC3E6</paraID>
      <start>15</start>
      <end>16</end>
      <status>unmodified</status>
      <modifiedWord/>
      <trackRevisions>false</trackRevisions>
    </reviewItem>
    <reviewItem>
      <errorID>8c46c9af-5ef2-443c-b22a-606522fdd0c3</errorID>
      <errorWord>)</errorWord>
      <group>L1_Format</group>
      <groupName>格式问题</groupName>
      <ability>L2_HalfPunc</ability>
      <abilityName>全半角检查</abilityName>
      <candidateList>
        <item>）</item>
      </candidateList>
      <explain>文本全半角错误。</explain>
      <paraID>78841618</paraID>
      <start>5</start>
      <end>6</end>
      <status>unmodified</status>
      <modifiedWord/>
      <trackRevisions>false</trackRevisions>
    </reviewItem>
    <reviewItem>
      <errorID>fa29fe78-b40b-40f0-b7fc-690fadd60aff</errorID>
      <errorWord>)</errorWord>
      <group>L1_Format</group>
      <groupName>格式问题</groupName>
      <ability>L2_HalfPunc</ability>
      <abilityName>全半角检查</abilityName>
      <candidateList>
        <item>）</item>
      </candidateList>
      <explain>文本全半角错误。</explain>
      <paraID>73649CCB</paraID>
      <start>5</start>
      <end>6</end>
      <status>unmodified</status>
      <modifiedWord/>
      <trackRevisions>false</trackRevisions>
    </reviewItem>
    <reviewItem>
      <errorID>f5385483-1c01-44f8-a073-db96dce3ff75</errorID>
      <errorWord>)</errorWord>
      <group>L1_Format</group>
      <groupName>格式问题</groupName>
      <ability>L2_HalfPunc</ability>
      <abilityName>全半角检查</abilityName>
      <candidateList>
        <item>）</item>
      </candidateList>
      <explain>文本全半角错误。</explain>
      <paraID>2FB62607</paraID>
      <start>5</start>
      <end>6</end>
      <status>unmodified</status>
      <modifiedWord/>
      <trackRevisions>false</trackRevisions>
    </reviewItem>
    <reviewItem>
      <errorID>8c6bf534-8709-4d50-acc2-6575544a22d7</errorID>
      <errorWord>（</errorWord>
      <group>L1_Format</group>
      <groupName>格式问题</groupName>
      <ability>L2_HalfPunc</ability>
      <abilityName>全半角检查</abilityName>
      <candidateList>
        <item>(</item>
      </candidateList>
      <explain>文本全半角错误。</explain>
      <paraID>1E155B9E</paraID>
      <start>0</start>
      <end>1</end>
      <status>unmodified</status>
      <modifiedWord/>
      <trackRevisions>false</trackRevisions>
    </reviewItem>
    <reviewItem>
      <errorID>943b94b1-979a-43f4-8e6d-f8018c8e4d74</errorID>
      <errorWord>）</errorWord>
      <group>L1_Format</group>
      <groupName>格式问题</groupName>
      <ability>L2_HalfPunc</ability>
      <abilityName>全半角检查</abilityName>
      <candidateList>
        <item>)</item>
      </candidateList>
      <explain>文本全半角错误。</explain>
      <paraID>1E155B9E</paraID>
      <start>6</start>
      <end>7</end>
      <status>unmodified</status>
      <modifiedWord/>
      <trackRevisions>false</trackRevisions>
    </reviewItem>
    <reviewItem>
      <errorID>6b86df8c-0d98-4f3f-9aae-66f446cce9cf</errorID>
      <errorWord>）</errorWord>
      <group>L1_Format</group>
      <groupName>格式问题</groupName>
      <ability>L2_HalfPunc</ability>
      <abilityName>全半角检查</abilityName>
      <candidateList>
        <item>)</item>
      </candidateList>
      <explain>文本全半角错误。</explain>
      <paraID>3BF75F1F</paraID>
      <start>2</start>
      <end>3</end>
      <status>unmodified</status>
      <modifiedWord/>
      <trackRevisions>false</trackRevisions>
    </reviewItem>
    <reviewItem>
      <errorID>fbe50f7f-fa1d-4deb-a2cb-3b3af0330f28</errorID>
      <errorWord>：</errorWord>
      <group>L1_Format</group>
      <groupName>格式问题</groupName>
      <ability>L2_HalfPunc</ability>
      <abilityName>全半角检查</abilityName>
      <candidateList>
        <item>:</item>
      </candidateList>
      <explain>文本全半角错误。</explain>
      <paraID>49D4D7B7</paraID>
      <start>83</start>
      <end>84</end>
      <status>unmodified</status>
      <modifiedWord/>
      <trackRevisions>false</trackRevisions>
    </reviewItem>
    <reviewItem>
      <errorID>a6212b6a-2d38-408d-b9db-13c7fb4789de</errorID>
      <errorWord>,</errorWord>
      <group>L1_Format</group>
      <groupName>格式问题</groupName>
      <ability>L2_HalfPunc</ability>
      <abilityName>全半角检查</abilityName>
      <candidateList>
        <item>，</item>
      </candidateList>
      <explain>文本全半角错误。</explain>
      <paraID>70614247</paraID>
      <start>41</start>
      <end>42</end>
      <status>unmodified</status>
      <modifiedWord/>
      <trackRevisions>false</trackRevisions>
    </reviewItem>
    <reviewItem>
      <errorID>fec87ec1-510e-4bfb-9b21-53618eac6ccd</errorID>
      <errorWord>-</errorWord>
      <group>L1_Format</group>
      <groupName>格式问题</groupName>
      <ability>L2_HalfPunc</ability>
      <abilityName>全半角检查</abilityName>
      <candidateList>
        <item>－</item>
      </candidateList>
      <explain>文本全半角错误。</explain>
      <paraID>4EA8C190</paraID>
      <start>67</start>
      <end>68</end>
      <status>unmodified</status>
      <modifiedWord/>
      <trackRevisions>false</trackRevisions>
    </reviewItem>
    <reviewItem>
      <errorID>7adf8fa0-392f-456d-b4df-fc0cccf70106</errorID>
      <errorWord>-</errorWord>
      <group>L1_Format</group>
      <groupName>格式问题</groupName>
      <ability>L2_HalfPunc</ability>
      <abilityName>全半角检查</abilityName>
      <candidateList>
        <item>－</item>
      </candidateList>
      <explain>文本全半角错误。</explain>
      <paraID>4EA8C190</paraID>
      <start>70</start>
      <end>71</end>
      <status>unmodified</status>
      <modifiedWord/>
      <trackRevisions>false</trackRevisions>
    </reviewItem>
    <reviewItem>
      <errorID>6054f4f8-2375-479b-acea-ebaf8e6998a2</errorID>
      <errorWord>，</errorWord>
      <group>L1_Format</group>
      <groupName>格式问题</groupName>
      <ability>L2_HalfPunc</ability>
      <abilityName>全半角检查</abilityName>
      <candidateList>
        <item>, </item>
      </candidateList>
      <explain>文本全半角错误。</explain>
      <paraID>24BD4CCB</paraID>
      <start>1</start>
      <end>2</end>
      <status>unmodified</status>
      <modifiedWord/>
      <trackRevisions>false</trackRevisions>
    </reviewItem>
    <reviewItem>
      <errorID>c6d14135-d4a1-4cb1-90c5-dced9e4e3823</errorID>
      <errorWord>，</errorWord>
      <group>L1_Format</group>
      <groupName>格式问题</groupName>
      <ability>L2_HalfPunc</ability>
      <abilityName>全半角检查</abilityName>
      <candidateList>
        <item>, </item>
      </candidateList>
      <explain>文本全半角错误。</explain>
      <paraID> D37BF0C</paraID>
      <start>1</start>
      <end>2</end>
      <status>unmodified</status>
      <modifiedWord/>
      <trackRevisions>false</trackRevisions>
    </reviewItem>
    <reviewItem>
      <errorID>d223df84-bcad-4802-b28a-f052736fe735</errorID>
      <errorWord>，</errorWord>
      <group>L1_Format</group>
      <groupName>格式问题</groupName>
      <ability>L2_HalfPunc</ability>
      <abilityName>全半角检查</abilityName>
      <candidateList>
        <item>, </item>
      </candidateList>
      <explain>文本全半角错误。</explain>
      <paraID>2EA8E4C9</paraID>
      <start>1</start>
      <end>2</end>
      <status>unmodified</status>
      <modifiedWord/>
      <trackRevisions>false</trackRevisions>
    </reviewItem>
    <reviewItem>
      <errorID>2b77261e-2746-4285-9735-9785a0c76c42</errorID>
      <errorWord>，</errorWord>
      <group>L1_Format</group>
      <groupName>格式问题</groupName>
      <ability>L2_HalfPunc</ability>
      <abilityName>全半角检查</abilityName>
      <candidateList>
        <item>, </item>
      </candidateList>
      <explain>文本全半角错误。</explain>
      <paraID>205DBA0E</paraID>
      <start>1</start>
      <end>2</end>
      <status>unmodified</status>
      <modifiedWord/>
      <trackRevisions>false</trackRevisions>
    </reviewItem>
    <reviewItem>
      <errorID>73dc6c1e-cbb4-46e2-b380-c466c1fbfc86</errorID>
      <errorWord>生物多样性维护</errorWord>
      <group>L1_Political</group>
      <groupName>政治性问题</groupName>
      <ability>L2_Keyword</ability>
      <abilityName>固定表述</abilityName>
      <candidateList>
        <item>生物多样性保护</item>
      </candidateList>
      <explain>词汇“生物多样性保护”在特定场景下为固定表述形式，请确认此处的“生物多样性维护”是否存在不当。</explain>
      <paraID>2219781C</paraID>
      <start>33</start>
      <end>40</end>
      <status>unmodified</status>
      <modifiedWord/>
      <trackRevisions>false</trackRevisions>
    </reviewItem>
    <reviewItem>
      <errorID>6b7b3535-3a04-4865-9138-6322b800bc0c</errorID>
      <errorWord>（</errorWord>
      <group>L1_Format</group>
      <groupName>格式问题</groupName>
      <ability>L2_HalfPunc</ability>
      <abilityName>全半角检查</abilityName>
      <candidateList>
        <item>(</item>
      </candidateList>
      <explain>文本全半角错误。</explain>
      <paraID>23864097</paraID>
      <start>0</start>
      <end>1</end>
      <status>unmodified</status>
      <modifiedWord/>
      <trackRevisions>false</trackRevisions>
    </reviewItem>
    <reviewItem>
      <errorID>227b3268-4cbc-472b-be90-a905704aeb5c</errorID>
      <errorWord>）</errorWord>
      <group>L1_Format</group>
      <groupName>格式问题</groupName>
      <ability>L2_HalfPunc</ability>
      <abilityName>全半角检查</abilityName>
      <candidateList>
        <item>)</item>
      </candidateList>
      <explain>文本全半角错误。</explain>
      <paraID>23864097</paraID>
      <start>2</start>
      <end>3</end>
      <status>unmodified</status>
      <modifiedWord/>
      <trackRevisions>false</trackRevisions>
    </reviewItem>
    <reviewItem>
      <errorID>156f7337-a207-42fc-bc22-2e7eebeb7558</errorID>
      <errorWord>(</errorWord>
      <group>L1_Format</group>
      <groupName>格式问题</groupName>
      <ability>L2_HalfPunc</ability>
      <abilityName>全半角检查</abilityName>
      <candidateList>
        <item>（</item>
      </candidateList>
      <explain>文本全半角错误。</explain>
      <paraID>2B49563A</paraID>
      <start>67</start>
      <end>68</end>
      <status>unmodified</status>
      <modifiedWord/>
      <trackRevisions>false</trackRevisions>
    </reviewItem>
    <reviewItem>
      <errorID>cd10c26d-2b1b-471d-a8f7-d5a767c256f8</errorID>
      <errorWord>)</errorWord>
      <group>L1_Format</group>
      <groupName>格式问题</groupName>
      <ability>L2_HalfPunc</ability>
      <abilityName>全半角检查</abilityName>
      <candidateList>
        <item>）</item>
      </candidateList>
      <explain>文本全半角错误。</explain>
      <paraID>2B49563A</paraID>
      <start>89</start>
      <end>90</end>
      <status>unmodified</status>
      <modifiedWord/>
      <trackRevisions>false</trackRevisions>
    </reviewItem>
    <reviewItem>
      <errorID>764ca218-655e-4404-9408-920526703528</errorID>
      <errorWord>Kw</errorWord>
      <group>L1_Word</group>
      <groupName>字词问题</groupName>
      <ability>L2_Typo</ability>
      <abilityName>字词错误</abilityName>
      <candidateList>
        <item>kW</item>
      </candidateList>
      <explain/>
      <paraID>3F53E671</paraID>
      <start>55</start>
      <end>57</end>
      <status>unmodified</status>
      <modifiedWord/>
      <trackRevisions>false</trackRevisions>
    </reviewItem>
    <reviewItem>
      <errorID>e6dd41ee-d5d1-444c-9092-5fb090369ea8</errorID>
      <errorWord>[2015]52号</errorWord>
      <group>L1_Knowledge</group>
      <groupName>知识性问题</groupName>
      <ability>L2_Knowledge</ability>
      <abilityName>其他知识</abilityName>
      <candidateList>
        <item>〔2015〕52号</item>
      </candidateList>
      <explain>发文字号格式错误。</explain>
      <paraID> 53560FC</paraID>
      <start>33</start>
      <end>42</end>
      <status>unmodified</status>
      <modifiedWord/>
      <trackRevisions>false</trackRevisions>
    </reviewItem>
    <reviewItem>
      <errorID>c7391d7c-5100-4a2f-ac59-e5126823d4f1</errorID>
      <errorWord>[2019]910号</errorWord>
      <group>L1_Knowledge</group>
      <groupName>知识性问题</groupName>
      <ability>L2_Knowledge</ability>
      <abilityName>其他知识</abilityName>
      <candidateList>
        <item>〔2019〕910号</item>
      </candidateList>
      <explain>发文字号格式错误。</explain>
      <paraID>6BD66675</paraID>
      <start>35</start>
      <end>45</end>
      <status>unmodified</status>
      <modifiedWord/>
      <trackRevisions>false</trackRevisions>
    </reviewItem>
    <reviewItem>
      <errorID>8d5ff514-06f5-4408-a7e0-7a196af888bc</errorID>
      <errorWord>[2015]52号</errorWord>
      <group>L1_Knowledge</group>
      <groupName>知识性问题</groupName>
      <ability>L2_Knowledge</ability>
      <abilityName>其他知识</abilityName>
      <candidateList>
        <item>〔2015〕52号</item>
      </candidateList>
      <explain>发文字号格式错误。</explain>
      <paraID>69141E36</paraID>
      <start>52</start>
      <end>61</end>
      <status>unmodified</status>
      <modifiedWord/>
      <trackRevisions>false</trackRevisions>
    </reviewItem>
    <reviewItem>
      <errorID>77da1f1a-3a36-425f-9ab2-795e6f758f18</errorID>
      <errorWord>[2019]910号</errorWord>
      <group>L1_Knowledge</group>
      <groupName>知识性问题</groupName>
      <ability>L2_Knowledge</ability>
      <abilityName>其他知识</abilityName>
      <candidateList>
        <item>〔2019〕910号</item>
      </candidateList>
      <explain>发文字号格式错误。</explain>
      <paraID>69141E36</paraID>
      <start>96</start>
      <end>106</end>
      <status>unmodified</status>
      <modifiedWord/>
      <trackRevisions>false</trackRevisions>
    </reviewItem>
    <reviewItem>
      <errorID>06a782a8-3685-434c-850d-dbc748214e07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997C7C8</paraID>
      <start>69</start>
      <end>70</end>
      <status>unmodified</status>
      <modifiedWord/>
      <trackRevisions>false</trackRevisions>
    </reviewItem>
    <reviewItem>
      <errorID>e0fd71bd-dd87-42d1-9e8b-6f7b9ca43086</errorID>
      <errorWord>,</errorWord>
      <group>L1_Format</group>
      <groupName>格式问题</groupName>
      <ability>L2_HalfPunc</ability>
      <abilityName>全半角检查</abilityName>
      <candidateList>
        <item>，</item>
      </candidateList>
      <explain>文本全半角错误。</explain>
      <paraID> 997C7C8</paraID>
      <start>284</start>
      <end>285</end>
      <status>unmodified</status>
      <modifiedWord/>
      <trackRevisions>false</trackRevisions>
    </reviewItem>
    <reviewItem>
      <errorID>f22f4e4f-d312-47c0-b316-f9e364962390</errorID>
      <errorWord>约为</errorWord>
      <group>L1_Word</group>
      <groupName>字词问题</groupName>
      <ability>L2_Typo</ability>
      <abilityName>字词错误</abilityName>
      <candidateList>
        <item>约</item>
      </candidateList>
      <explain/>
      <paraID>2D0F6273</paraID>
      <start>21</start>
      <end>23</end>
      <status>unmodified</status>
      <modifiedWord/>
      <trackRevisions>false</trackRevisions>
    </reviewItem>
    <reviewItem>
      <errorID>9d4a6278-ef62-4cfd-bca8-22fa6dbb0177</errorID>
      <errorWord>或者</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778565DD</paraID>
      <start>49</start>
      <end>51</end>
      <status>unmodified</status>
      <modifiedWord/>
      <trackRevisions>false</trackRevisions>
    </reviewItem>
    <reviewItem>
      <errorID>cc3ab463-93c1-485a-8d5c-f83c6b6fd4a8</errorID>
      <errorWord>使用</errorWord>
      <group>L1_Grammar</group>
      <groupName>语法问题</groupName>
      <ability>L2_Grammar</ability>
      <abilityName>语法错误</abilityName>
      <candidateList>
        <item>采取</item>
      </candidateList>
      <explain>“使用～措施”搭配不当，建议修改为“采取～措施”。</explain>
      <paraID>17504687</paraID>
      <start>18</start>
      <end>20</end>
      <status>unmodified</status>
      <modifiedWord/>
      <trackRevisions>false</trackRevisions>
    </reviewItem>
    <reviewItem>
      <errorID>2aa1fd1f-0271-48b6-952a-8fe679f00314</errorID>
      <errorWord>-</errorWord>
      <group>L1_Format</group>
      <groupName>格式问题</groupName>
      <ability>L2_HalfPunc</ability>
      <abilityName>全半角检查</abilityName>
      <candidateList>
        <item>－</item>
      </candidateList>
      <explain>文本全半角错误。</explain>
      <paraID>6E9D8352</paraID>
      <start>24</start>
      <end>25</end>
      <status>unmodified</status>
      <modifiedWord/>
      <trackRevisions>false</trackRevisions>
    </reviewItem>
    <reviewItem>
      <errorID>ee880be2-af09-433c-a1ee-66a6561ecc61</errorID>
      <errorWord>。。</errorWord>
      <group>L1_Punc</group>
      <groupName>标点问题</groupName>
      <ability>L2_Punc</ability>
      <abilityName>标点符号检查</abilityName>
      <candidateList>
        <item>。</item>
      </candidateList>
      <explain/>
      <paraID>35F0BD6E</paraID>
      <start>187</start>
      <end>189</end>
      <status>unmodified</status>
      <modifiedWord/>
      <trackRevisions>false</trackRevisions>
    </reviewItem>
    <reviewItem>
      <errorID>a7f15b46-228b-4d18-acf6-6516b6d25fdd</errorID>
      <errorWord>(</errorWord>
      <group>L1_Format</group>
      <groupName>格式问题</groupName>
      <ability>L2_HalfPunc</ability>
      <abilityName>全半角检查</abilityName>
      <candidateList>
        <item>（</item>
      </candidateList>
      <explain>文本全半角错误。</explain>
      <paraID>50027CB3</paraID>
      <start>33</start>
      <end>34</end>
      <status>unmodified</status>
      <modifiedWord/>
      <trackRevisions>false</trackRevisions>
    </reviewItem>
    <reviewItem>
      <errorID>e1b603c0-ddce-4e78-affb-2705d9f16272</errorID>
      <errorWord>[2021]55号</errorWord>
      <group>L1_Knowledge</group>
      <groupName>知识性问题</groupName>
      <ability>L2_Knowledge</ability>
      <abilityName>其他知识</abilityName>
      <candidateList>
        <item>〔2021〕55号</item>
      </candidateList>
      <explain>发文字号格式错误。</explain>
      <paraID>50027CB3</paraID>
      <start>37</start>
      <end>46</end>
      <status>unmodified</status>
      <modifiedWord/>
      <trackRevisions>false</trackRevisions>
    </reviewItem>
    <reviewItem>
      <errorID>e3d85c81-31f7-416b-86e9-fdbf1e0fa66f</errorID>
      <errorWord>)</errorWord>
      <group>L1_Format</group>
      <groupName>格式问题</groupName>
      <ability>L2_HalfPunc</ability>
      <abilityName>全半角检查</abilityName>
      <candidateList>
        <item>）</item>
      </candidateList>
      <explain>文本全半角错误。</explain>
      <paraID>50027CB3</paraID>
      <start>46</start>
      <end>47</end>
      <status>unmodified</status>
      <modifiedWord/>
      <trackRevisions>false</trackRevisions>
    </reviewItem>
    <reviewItem>
      <errorID>3a27c60b-c952-4d6b-b9ea-e03c3ad9908e</errorID>
      <errorWord>(</errorWord>
      <group>L1_Format</group>
      <groupName>格式问题</groupName>
      <ability>L2_HalfPunc</ability>
      <abilityName>全半角检查</abilityName>
      <candidateList>
        <item>（</item>
      </candidateList>
      <explain>文本全半角错误。</explain>
      <paraID>50027CB3</paraID>
      <start>67</start>
      <end>68</end>
      <status>unmodified</status>
      <modifiedWord/>
      <trackRevisions>false</trackRevisions>
    </reviewItem>
    <reviewItem>
      <errorID>d2afc17c-402d-4f1b-88c6-2db3fb022db3</errorID>
      <errorWord>)</errorWord>
      <group>L1_Format</group>
      <groupName>格式问题</groupName>
      <ability>L2_HalfPunc</ability>
      <abilityName>全半角检查</abilityName>
      <candidateList>
        <item>）</item>
      </candidateList>
      <explain>文本全半角错误。</explain>
      <paraID>50027CB3</paraID>
      <start>88</start>
      <end>89</end>
      <status>unmodified</status>
      <modifiedWord/>
      <trackRevisions>false</trackRevisions>
    </reviewItem>
    <reviewItem>
      <errorID>56decefd-cd6e-48a3-8e89-d5ebdabb21f7</errorID>
      <errorWord>(</errorWord>
      <group>L1_Format</group>
      <groupName>格式问题</groupName>
      <ability>L2_HalfPunc</ability>
      <abilityName>全半角检查</abilityName>
      <candidateList>
        <item>（</item>
      </candidateList>
      <explain>文本全半角错误。</explain>
      <paraID>50027CB3</paraID>
      <start>132</start>
      <end>133</end>
      <status>unmodified</status>
      <modifiedWord/>
      <trackRevisions>false</trackRevisions>
    </reviewItem>
    <reviewItem>
      <errorID>d001e209-fb6a-4bf0-8cd4-466bf8928354</errorID>
      <errorWord>[2019]132号</errorWord>
      <group>L1_Knowledge</group>
      <groupName>知识性问题</groupName>
      <ability>L2_Knowledge</ability>
      <abilityName>其他知识</abilityName>
      <candidateList>
        <item>〔2019〕132号</item>
      </candidateList>
      <explain>发文字号格式错误。</explain>
      <paraID>50027CB3</paraID>
      <start>136</start>
      <end>146</end>
      <status>unmodified</status>
      <modifiedWord/>
      <trackRevisions>false</trackRevisions>
    </reviewItem>
    <reviewItem>
      <errorID>84ae0115-2cb0-4df8-bcaa-97fe0bf16c84</errorID>
      <errorWord>)</errorWord>
      <group>L1_Format</group>
      <groupName>格式问题</groupName>
      <ability>L2_HalfPunc</ability>
      <abilityName>全半角检查</abilityName>
      <candidateList>
        <item>）</item>
      </candidateList>
      <explain>文本全半角错误。</explain>
      <paraID>50027CB3</paraID>
      <start>146</start>
      <end>147</end>
      <status>unmodified</status>
      <modifiedWord/>
      <trackRevisions>false</trackRevisions>
    </reviewItem>
    <reviewItem>
      <errorID>04bd6276-67e6-46e4-aa18-bd08dd30a533</errorID>
      <errorWord>(</errorWord>
      <group>L1_Format</group>
      <groupName>格式问题</groupName>
      <ability>L2_HalfPunc</ability>
      <abilityName>全半角检查</abilityName>
      <candidateList>
        <item>（</item>
      </candidateList>
      <explain>文本全半角错误。</explain>
      <paraID>50027CB3</paraID>
      <start>175</start>
      <end>176</end>
      <status>unmodified</status>
      <modifiedWord/>
      <trackRevisions>false</trackRevisions>
    </reviewItem>
    <reviewItem>
      <errorID>df460448-5025-4971-94bc-0153399062b3</errorID>
      <errorWord>[2021]57号</errorWord>
      <group>L1_Knowledge</group>
      <groupName>知识性问题</groupName>
      <ability>L2_Knowledge</ability>
      <abilityName>其他知识</abilityName>
      <candidateList>
        <item>〔2021〕57号</item>
      </candidateList>
      <explain>发文字号格式错误。</explain>
      <paraID>50027CB3</paraID>
      <start>180</start>
      <end>189</end>
      <status>unmodified</status>
      <modifiedWord/>
      <trackRevisions>false</trackRevisions>
    </reviewItem>
    <reviewItem>
      <errorID>6c598949-d735-4c56-be31-2a8bd10d76d6</errorID>
      <errorWord>)</errorWord>
      <group>L1_Format</group>
      <groupName>格式问题</groupName>
      <ability>L2_HalfPunc</ability>
      <abilityName>全半角检查</abilityName>
      <candidateList>
        <item>）</item>
      </candidateList>
      <explain>文本全半角错误。</explain>
      <paraID>50027CB3</paraID>
      <start>189</start>
      <end>190</end>
      <status>unmodified</status>
      <modifiedWord/>
      <trackRevisions>false</trackRevisions>
    </reviewItem>
    <reviewItem>
      <errorID>bd38b470-4b40-49cc-9f79-544f47026d2d</errorID>
      <errorWord>:</errorWord>
      <group>L1_Format</group>
      <groupName>格式问题</groupName>
      <ability>L2_HalfPunc</ability>
      <abilityName>全半角检查</abilityName>
      <candidateList>
        <item>：</item>
      </candidateList>
      <explain>文本全半角错误。</explain>
      <paraID>50027CB3</paraID>
      <start>317</start>
      <end>318</end>
      <status>unmodified</status>
      <modifiedWord/>
      <trackRevisions>false</trackRevisions>
    </reviewItem>
    <reviewItem>
      <errorID>0b95fa46-75c8-4940-874d-5d78989f887c</errorID>
      <errorWord>实施对</errorWord>
      <group>L1_Word</group>
      <groupName>字词问题</groupName>
      <ability>L2_Typo</ability>
      <abilityName>字词错误</abilityName>
      <candidateList>
        <item>实施</item>
      </candidateList>
      <explain>〈动〉实行（法令、政策等）：付诸～｜～细则｜～新的办法。</explain>
      <paraID>579C29B9</paraID>
      <start>71</start>
      <end>74</end>
      <status>unmodified</status>
      <modifiedWord/>
      <trackRevisions>false</trackRevisions>
    </reviewItem>
    <reviewItem>
      <errorID>b69257ea-b5ba-448d-9b0b-437a1fcf0c9b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51355B25</paraID>
      <start>109</start>
      <end>110</end>
      <status>unmodified</status>
      <modifiedWord/>
      <trackRevisions>false</trackRevisions>
    </reviewItem>
    <reviewItem>
      <errorID>e685e61d-2f2c-434a-9d73-ac433ec8b105</errorID>
      <errorWord>[2021]49号</errorWord>
      <group>L1_Knowledge</group>
      <groupName>知识性问题</groupName>
      <ability>L2_Knowledge</ability>
      <abilityName>其他知识</abilityName>
      <candidateList>
        <item>〔2021〕49号</item>
      </candidateList>
      <explain>发文字号格式错误。</explain>
      <paraID>51355B25</paraID>
      <start>200</start>
      <end>209</end>
      <status>unmodified</status>
      <modifiedWord/>
      <trackRevisions>false</trackRevisions>
    </reviewItem>
    <reviewItem>
      <errorID>0c60d0b9-2488-4cc6-a221-29357548b194</errorID>
      <errorWord>。</errorWord>
      <group>L1_Punc</group>
      <groupName>标点问题</groupName>
      <ability>L2_Punc</ability>
      <abilityName>标点符号检查</abilityName>
      <candidateList/>
      <explain/>
      <paraID>47036599</paraID>
      <start>0</start>
      <end>1</end>
      <status>unmodified</status>
      <modifiedWord/>
      <trackRevisions>false</trackRevisions>
    </reviewItem>
    <reviewItem>
      <errorID>ac131e62-df13-4cb0-a870-0de475ff72c3</errorID>
      <errorWord>：</errorWord>
      <group>L1_Word</group>
      <groupName>字词问题</groupName>
      <ability>L2_Typo</ability>
      <abilityName>字词错误</abilityName>
      <candidateList>
        <item>：通</item>
      </candidateList>
      <explain/>
      <paraID>727EC4BD</paraID>
      <start>5</start>
      <end>6</end>
      <status>unmodified</status>
      <modifiedWord/>
      <trackRevisions>false</trackRevisions>
    </reviewItem>
    <reviewItem>
      <errorID>07b31b1c-2241-4073-ad91-a929c2582677</errorID>
      <errorWord>使用</errorWord>
      <group>L1_Grammar</group>
      <groupName>语法问题</groupName>
      <ability>L2_Grammar</ability>
      <abilityName>语法错误</abilityName>
      <candidateList>
        <item>采取</item>
      </candidateList>
      <explain>“使用～措施”搭配不当，建议修改为“采取～措施”。</explain>
      <paraID>727EC4BD</paraID>
      <start>14</start>
      <end>16</end>
      <status>unmodified</status>
      <modifiedWord/>
      <trackRevisions>false</trackRevisions>
    </reviewItem>
    <reviewItem>
      <errorID>d38668b7-a3a2-4f12-a297-186171e5e91b</errorID>
      <errorWord>网电</errorWord>
      <group>L1_Word</group>
      <groupName>字词问题</groupName>
      <ability>L2_Typo</ability>
      <abilityName>字词错误</abilityName>
      <candidateList>
        <item>电网</item>
      </candidateList>
      <explain/>
      <paraID>149480F7</paraID>
      <start>13</start>
      <end>15</end>
      <status>unmodified</status>
      <modifiedWord/>
      <trackRevisions>false</trackRevisions>
    </reviewItem>
    <reviewItem>
      <errorID>0106d97d-36af-4a4a-b29f-cca8555de512</errorID>
      <errorWord>[2024]12号</errorWord>
      <group>L1_Knowledge</group>
      <groupName>知识性问题</groupName>
      <ability>L2_Knowledge</ability>
      <abilityName>其他知识</abilityName>
      <candidateList>
        <item>〔2024〕12号</item>
      </candidateList>
      <explain>发文字号格式错误。</explain>
      <paraID>5A56FFD9</paraID>
      <start>28</start>
      <end>37</end>
      <status>unmodified</status>
      <modifiedWord/>
      <trackRevisions>false</trackRevisions>
    </reviewItem>
    <reviewItem>
      <errorID>97cdf382-c959-4082-8445-7a71e54f0103</errorID>
      <errorWord>,</errorWord>
      <group>L1_Format</group>
      <groupName>格式问题</groupName>
      <ability>L2_HalfPunc</ability>
      <abilityName>全半角检查</abilityName>
      <candidateList>
        <item>，</item>
      </candidateList>
      <explain>文本全半角错误。</explain>
      <paraID>20943A00</paraID>
      <start>335</start>
      <end>336</end>
      <status>unmodified</status>
      <modifiedWord/>
      <trackRevisions>false</trackRevisions>
    </reviewItem>
    <reviewItem>
      <errorID>6527066c-373e-4e79-8177-3bb2bd7af898</errorID>
      <errorWord>,</errorWord>
      <group>L1_Format</group>
      <groupName>格式问题</groupName>
      <ability>L2_HalfPunc</ability>
      <abilityName>全半角检查</abilityName>
      <candidateList>
        <item>，</item>
      </candidateList>
      <explain>文本全半角错误。</explain>
      <paraID>20943A00</paraID>
      <start>437</start>
      <end>438</end>
      <status>unmodified</status>
      <modifiedWord/>
      <trackRevisions>false</trackRevisions>
    </reviewItem>
    <reviewItem>
      <errorID>9ef40983-2c41-46bf-aa57-b773eba16e31</errorID>
      <errorWord>,</errorWord>
      <group>L1_Format</group>
      <groupName>格式问题</groupName>
      <ability>L2_HalfPunc</ability>
      <abilityName>全半角检查</abilityName>
      <candidateList>
        <item>，</item>
      </candidateList>
      <explain>文本全半角错误。</explain>
      <paraID>20943A00</paraID>
      <start>461</start>
      <end>462</end>
      <status>unmodified</status>
      <modifiedWord/>
      <trackRevisions>false</trackRevisions>
    </reviewItem>
    <reviewItem>
      <errorID>d7ca5da2-604d-4a2a-88bb-0b3896855efe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4C49A19E</paraID>
      <start>0</start>
      <end>2</end>
      <status>unmodified</status>
      <modifiedWord/>
      <trackRevisions>false</trackRevisions>
    </reviewItem>
    <reviewItem>
      <errorID>f8e1fd03-eca6-44c7-8663-eb1aaa99d09d</errorID>
      <errorWord>期问</errorWord>
      <group>L1_Word</group>
      <groupName>字词问题</groupName>
      <ability>L2_Typo</ability>
      <abilityName>字词错误</abilityName>
      <candidateList>
        <item>期间</item>
      </candidateList>
      <explain>〈名〉某个时期里面：农忙～｜春节～｜抗战～。</explain>
      <paraID>4C49A19E</paraID>
      <start>43</start>
      <end>45</end>
      <status>unmodified</status>
      <modifiedWord/>
      <trackRevisions>false</trackRevisions>
    </reviewItem>
    <reviewItem>
      <errorID>ed70ca55-bc36-4370-b197-71248de88547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3FC9FE8B</paraID>
      <start>0</start>
      <end>2</end>
      <status>unmodified</status>
      <modifiedWord/>
      <trackRevisions>false</trackRevisions>
    </reviewItem>
    <reviewItem>
      <errorID>81f7d65c-69d1-478d-91ac-ccfd8a8ee6f1</errorID>
      <errorWord>(</errorWord>
      <group>L1_Format</group>
      <groupName>格式问题</groupName>
      <ability>L2_HalfPunc</ability>
      <abilityName>全半角检查</abilityName>
      <candidateList>
        <item>（</item>
      </candidateList>
      <explain>文本全半角错误。</explain>
      <paraID>3FC9FE8B</paraID>
      <start>228</start>
      <end>229</end>
      <status>unmodified</status>
      <modifiedWord/>
      <trackRevisions>false</trackRevisions>
    </reviewItem>
    <reviewItem>
      <errorID>3518d8fb-5b6d-4a67-bbcc-441d22ccd141</errorID>
      <errorWord>)</errorWord>
      <group>L1_Format</group>
      <groupName>格式问题</groupName>
      <ability>L2_HalfPunc</ability>
      <abilityName>全半角检查</abilityName>
      <candidateList>
        <item>）</item>
      </candidateList>
      <explain>文本全半角错误。</explain>
      <paraID>3FC9FE8B</paraID>
      <start>242</start>
      <end>243</end>
      <status>unmodified</status>
      <modifiedWord/>
      <trackRevisions>false</trackRevisions>
    </reviewItem>
    <reviewItem>
      <errorID>db4c66cd-a7bb-4a55-8ecf-03fc9b0c6e41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4336F3A9</paraID>
      <start>0</start>
      <end>2</end>
      <status>unmodified</status>
      <modifiedWord/>
      <trackRevisions>false</trackRevisions>
    </reviewItem>
    <reviewItem>
      <errorID>0798b3d2-7376-464f-8090-8db7459b51ee</errorID>
      <errorWord>(</errorWord>
      <group>L1_Format</group>
      <groupName>格式问题</groupName>
      <ability>L2_HalfPunc</ability>
      <abilityName>全半角检查</abilityName>
      <candidateList>
        <item>（</item>
      </candidateList>
      <explain>文本全半角错误。</explain>
      <paraID>4336F3A9</paraID>
      <start>167</start>
      <end>168</end>
      <status>unmodified</status>
      <modifiedWord/>
      <trackRevisions>false</trackRevisions>
    </reviewItem>
    <reviewItem>
      <errorID>9bac1151-d7f9-4c7e-a7a5-bbb1f026c5fc</errorID>
      <errorWord>)</errorWord>
      <group>L1_Format</group>
      <groupName>格式问题</groupName>
      <ability>L2_HalfPunc</ability>
      <abilityName>全半角检查</abilityName>
      <candidateList>
        <item>）</item>
      </candidateList>
      <explain>文本全半角错误。</explain>
      <paraID>4336F3A9</paraID>
      <start>182</start>
      <end>183</end>
      <status>unmodified</status>
      <modifiedWord/>
      <trackRevisions>false</trackRevisions>
    </reviewItem>
    <reviewItem>
      <errorID>e89bf037-d0f5-4fe2-a190-b9d491ef7875</errorID>
      <errorWord>(</errorWord>
      <group>L1_Format</group>
      <groupName>格式问题</groupName>
      <ability>L2_HalfPunc</ability>
      <abilityName>全半角检查</abilityName>
      <candidateList>
        <item>（</item>
      </candidateList>
      <explain>文本全半角错误。</explain>
      <paraID>4336F3A9</paraID>
      <start>212</start>
      <end>213</end>
      <status>unmodified</status>
      <modifiedWord/>
      <trackRevisions>false</trackRevisions>
    </reviewItem>
    <reviewItem>
      <errorID>9a34fc7b-7fa5-4956-a5e2-2231574b97ce</errorID>
      <errorWord>)</errorWord>
      <group>L1_Format</group>
      <groupName>格式问题</groupName>
      <ability>L2_HalfPunc</ability>
      <abilityName>全半角检查</abilityName>
      <candidateList>
        <item>）</item>
      </candidateList>
      <explain>文本全半角错误。</explain>
      <paraID>4336F3A9</paraID>
      <start>227</start>
      <end>228</end>
      <status>unmodified</status>
      <modifiedWord/>
      <trackRevisions>false</trackRevisions>
    </reviewItem>
    <reviewItem>
      <errorID>10c1cb5d-850f-42db-b236-6307d07698a1</errorID>
      <errorWord>(</errorWord>
      <group>L1_Format</group>
      <groupName>格式问题</groupName>
      <ability>L2_HalfPunc</ability>
      <abilityName>全半角检查</abilityName>
      <candidateList>
        <item>（</item>
      </candidateList>
      <explain>文本全半角错误。</explain>
      <paraID>4336F3A9</paraID>
      <start>259</start>
      <end>260</end>
      <status>unmodified</status>
      <modifiedWord/>
      <trackRevisions>false</trackRevisions>
    </reviewItem>
    <reviewItem>
      <errorID>0a2a0d1b-7c94-4ba1-9bcc-e2a99ae3b5b9</errorID>
      <errorWord>)</errorWord>
      <group>L1_Format</group>
      <groupName>格式问题</groupName>
      <ability>L2_HalfPunc</ability>
      <abilityName>全半角检查</abilityName>
      <candidateList>
        <item>）</item>
      </candidateList>
      <explain>文本全半角错误。</explain>
      <paraID>4336F3A9</paraID>
      <start>272</start>
      <end>273</end>
      <status>unmodified</status>
      <modifiedWord/>
      <trackRevisions>false</trackRevisions>
    </reviewItem>
    <reviewItem>
      <errorID>7013d9ab-7bf6-4415-b628-b1a2000d12e9</errorID>
      <errorWord>(</errorWord>
      <group>L1_Format</group>
      <groupName>格式问题</groupName>
      <ability>L2_HalfPunc</ability>
      <abilityName>全半角检查</abilityName>
      <candidateList>
        <item>（</item>
      </candidateList>
      <explain>文本全半角错误。</explain>
      <paraID>4336F3A9</paraID>
      <start>299</start>
      <end>300</end>
      <status>unmodified</status>
      <modifiedWord/>
      <trackRevisions>false</trackRevisions>
    </reviewItem>
    <reviewItem>
      <errorID>8ca37c20-cca6-44a9-aae6-46bb11b48481</errorID>
      <errorWord>)</errorWord>
      <group>L1_Format</group>
      <groupName>格式问题</groupName>
      <ability>L2_HalfPunc</ability>
      <abilityName>全半角检查</abilityName>
      <candidateList>
        <item>）</item>
      </candidateList>
      <explain>文本全半角错误。</explain>
      <paraID>4336F3A9</paraID>
      <start>316</start>
      <end>317</end>
      <status>unmodified</status>
      <modifiedWord/>
      <trackRevisions>false</trackRevisions>
    </reviewItem>
    <reviewItem>
      <errorID>7649e92e-91f2-4518-b747-09876b4870a0</errorID>
      <errorWord>(</errorWord>
      <group>L1_Format</group>
      <groupName>格式问题</groupName>
      <ability>L2_HalfPunc</ability>
      <abilityName>全半角检查</abilityName>
      <candidateList>
        <item>（</item>
      </candidateList>
      <explain>文本全半角错误。</explain>
      <paraID>4336F3A9</paraID>
      <start>338</start>
      <end>339</end>
      <status>unmodified</status>
      <modifiedWord/>
      <trackRevisions>false</trackRevisions>
    </reviewItem>
    <reviewItem>
      <errorID>ab491a44-faf4-41d9-8378-eee8d3cd674f</errorID>
      <errorWord>)</errorWord>
      <group>L1_Format</group>
      <groupName>格式问题</groupName>
      <ability>L2_HalfPunc</ability>
      <abilityName>全半角检查</abilityName>
      <candidateList>
        <item>）</item>
      </candidateList>
      <explain>文本全半角错误。</explain>
      <paraID>4336F3A9</paraID>
      <start>351</start>
      <end>352</end>
      <status>unmodified</status>
      <modifiedWord/>
      <trackRevisions>false</trackRevisions>
    </reviewItem>
    <reviewItem>
      <errorID>05f33dae-4203-458d-b4e7-5a558a5e6802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4CF0888</paraID>
      <start>0</start>
      <end>2</end>
      <status>unmodified</status>
      <modifiedWord/>
      <trackRevisions>false</trackRevisions>
    </reviewItem>
    <reviewItem>
      <errorID>a86edf21-5ece-4b12-a595-7961b3e7fe34</errorID>
      <errorWord>(</errorWord>
      <group>L1_Format</group>
      <groupName>格式问题</groupName>
      <ability>L2_HalfPunc</ability>
      <abilityName>全半角检查</abilityName>
      <candidateList>
        <item>（</item>
      </candidateList>
      <explain>文本全半角错误。</explain>
      <paraID> 4CF0888</paraID>
      <start>422</start>
      <end>423</end>
      <status>unmodified</status>
      <modifiedWord/>
      <trackRevisions>false</trackRevisions>
    </reviewItem>
    <reviewItem>
      <errorID>db6ce7a4-a929-4cba-9a5c-3cbd4353d424</errorID>
      <errorWord>)</errorWord>
      <group>L1_Format</group>
      <groupName>格式问题</groupName>
      <ability>L2_HalfPunc</ability>
      <abilityName>全半角检查</abilityName>
      <candidateList>
        <item>）</item>
      </candidateList>
      <explain>文本全半角错误。</explain>
      <paraID> 4CF0888</paraID>
      <start>435</start>
      <end>436</end>
      <status>unmodified</status>
      <modifiedWord/>
      <trackRevisions>false</trackRevisions>
    </reviewItem>
    <reviewItem>
      <errorID>422b420b-2649-478d-b17d-827c3f94df67</errorID>
      <errorWord>(</errorWord>
      <group>L1_Format</group>
      <groupName>格式问题</groupName>
      <ability>L2_HalfPunc</ability>
      <abilityName>全半角检查</abilityName>
      <candidateList>
        <item>（</item>
      </candidateList>
      <explain>文本全半角错误。</explain>
      <paraID> 4CF0888</paraID>
      <start>462</start>
      <end>463</end>
      <status>unmodified</status>
      <modifiedWord/>
      <trackRevisions>false</trackRevisions>
    </reviewItem>
    <reviewItem>
      <errorID>1d090bea-ecae-43d5-88ee-19f68b518e17</errorID>
      <errorWord>)</errorWord>
      <group>L1_Format</group>
      <groupName>格式问题</groupName>
      <ability>L2_HalfPunc</ability>
      <abilityName>全半角检查</abilityName>
      <candidateList>
        <item>）</item>
      </candidateList>
      <explain>文本全半角错误。</explain>
      <paraID> 4CF0888</paraID>
      <start>475</start>
      <end>476</end>
      <status>unmodified</status>
      <modifiedWord/>
      <trackRevisions>false</trackRevisions>
    </reviewItem>
    <reviewItem>
      <errorID>9848d7b5-a003-4d8c-95d7-88c64d6d0180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158701E8</paraID>
      <start>0</start>
      <end>2</end>
      <status>unmodified</status>
      <modifiedWord/>
      <trackRevisions>false</trackRevisions>
    </reviewItem>
    <reviewItem>
      <errorID>39e3eb00-62a6-42c2-b081-993ff819682b</errorID>
      <errorWord>(</errorWord>
      <group>L1_Format</group>
      <groupName>格式问题</groupName>
      <ability>L2_HalfPunc</ability>
      <abilityName>全半角检查</abilityName>
      <candidateList>
        <item>（</item>
      </candidateList>
      <explain>文本全半角错误。</explain>
      <paraID>158701E8</paraID>
      <start>70</start>
      <end>71</end>
      <status>unmodified</status>
      <modifiedWord/>
      <trackRevisions>false</trackRevisions>
    </reviewItem>
    <reviewItem>
      <errorID>89c9b29a-df63-4fb8-8300-f4fa8f63a05d</errorID>
      <errorWord>)</errorWord>
      <group>L1_Format</group>
      <groupName>格式问题</groupName>
      <ability>L2_HalfPunc</ability>
      <abilityName>全半角检查</abilityName>
      <candidateList>
        <item>）</item>
      </candidateList>
      <explain>文本全半角错误。</explain>
      <paraID>158701E8</paraID>
      <start>83</start>
      <end>84</end>
      <status>unmodified</status>
      <modifiedWord/>
      <trackRevisions>false</trackRevisions>
    </reviewItem>
    <reviewItem>
      <errorID>13db181d-981c-469f-a922-9ac9bbe44910</errorID>
      <errorWord>(</errorWord>
      <group>L1_Format</group>
      <groupName>格式问题</groupName>
      <ability>L2_HalfPunc</ability>
      <abilityName>全半角检查</abilityName>
      <candidateList>
        <item>（</item>
      </candidateList>
      <explain>文本全半角错误。</explain>
      <paraID>158701E8</paraID>
      <start>141</start>
      <end>142</end>
      <status>unmodified</status>
      <modifiedWord/>
      <trackRevisions>false</trackRevisions>
    </reviewItem>
    <reviewItem>
      <errorID>73638863-6c76-464b-a750-c46b01785ed1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7760D31B</paraID>
      <start>0</start>
      <end>2</end>
      <status>unmodified</status>
      <modifiedWord/>
      <trackRevisions>false</trackRevisions>
    </reviewItem>
    <reviewItem>
      <errorID>51de27b8-6a91-4e4d-8f04-2e5381c27da0</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588FAAFE</paraID>
      <start>0</start>
      <end>2</end>
      <status>unmodified</status>
      <modifiedWord/>
      <trackRevisions>false</trackRevisions>
    </reviewItem>
    <reviewItem>
      <errorID>76391d81-e175-4cdb-9548-c56639dab0e7</errorID>
      <errorWord>(</errorWord>
      <group>L1_Format</group>
      <groupName>格式问题</groupName>
      <ability>L2_HalfPunc</ability>
      <abilityName>全半角检查</abilityName>
      <candidateList>
        <item>（</item>
      </candidateList>
      <explain>文本全半角错误。</explain>
      <paraID>588FAAFE</paraID>
      <start>67</start>
      <end>68</end>
      <status>unmodified</status>
      <modifiedWord/>
      <trackRevisions>false</trackRevisions>
    </reviewItem>
    <reviewItem>
      <errorID>3c6057dd-4164-4cb4-8e9b-3c39ed4edec0</errorID>
      <errorWord>)</errorWord>
      <group>L1_Format</group>
      <groupName>格式问题</groupName>
      <ability>L2_HalfPunc</ability>
      <abilityName>全半角检查</abilityName>
      <candidateList>
        <item>）</item>
      </candidateList>
      <explain>文本全半角错误。</explain>
      <paraID>588FAAFE</paraID>
      <start>74</start>
      <end>75</end>
      <status>unmodified</status>
      <modifiedWord/>
      <trackRevisions>false</trackRevisions>
    </reviewItem>
    <reviewItem>
      <errorID>e07b7140-ed46-45f7-a199-ffb2bcafd414</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1FB5C49B</paraID>
      <start>0</start>
      <end>2</end>
      <status>unmodified</status>
      <modifiedWord/>
      <trackRevisions>false</trackRevisions>
    </reviewItem>
    <reviewItem>
      <errorID>c11ad746-9f9c-4969-b987-0de48e866a28</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6A9B5162</paraID>
      <start>0</start>
      <end>2</end>
      <status>unmodified</status>
      <modifiedWord/>
      <trackRevisions>false</trackRevisions>
    </reviewItem>
    <reviewItem>
      <errorID>3f764c59-562e-4e49-a2c7-110f81edaa29</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598D0F34</paraID>
      <start>0</start>
      <end>3</end>
      <status>unmodified</status>
      <modifiedWord/>
      <trackRevisions>false</trackRevisions>
    </reviewItem>
    <reviewItem>
      <errorID>c02ee8c4-3057-4720-b4c5-c21ab14b940f</errorID>
      <errorWord>&lt;</errorWord>
      <group>L1_Format</group>
      <groupName>格式问题</groupName>
      <ability>L2_HalfPunc</ability>
      <abilityName>全半角检查</abilityName>
      <candidateList>
        <item>〈</item>
      </candidateList>
      <explain>文本全半角错误。</explain>
      <paraID>138D1B7B</paraID>
      <start>11</start>
      <end>12</end>
      <status>unmodified</status>
      <modifiedWord/>
      <trackRevisions>false</trackRevisions>
    </reviewItem>
    <reviewItem>
      <errorID>cd509d10-6d89-4f19-9f17-c1715564edb8</errorID>
      <errorWord>(</errorWord>
      <group>L1_Format</group>
      <groupName>格式问题</groupName>
      <ability>L2_HalfPunc</ability>
      <abilityName>全半角检查</abilityName>
      <candidateList>
        <item>（</item>
      </candidateList>
      <explain>文本全半角错误。</explain>
      <paraID>138D1B7B</paraID>
      <start>27</start>
      <end>28</end>
      <status>unmodified</status>
      <modifiedWord/>
      <trackRevisions>false</trackRevisions>
    </reviewItem>
    <reviewItem>
      <errorID>b62c60d1-697f-4dfd-9af1-95d664a00926</errorID>
      <errorWord>)</errorWord>
      <group>L1_Format</group>
      <groupName>格式问题</groupName>
      <ability>L2_HalfPunc</ability>
      <abilityName>全半角检查</abilityName>
      <candidateList>
        <item>）</item>
      </candidateList>
      <explain>文本全半角错误。</explain>
      <paraID>138D1B7B</paraID>
      <start>30</start>
      <end>31</end>
      <status>unmodified</status>
      <modifiedWord/>
      <trackRevisions>false</trackRevisions>
    </reviewItem>
    <reviewItem>
      <errorID>f8397bf8-b51b-44ff-873e-ea520760a15d</errorID>
      <errorWord>&gt;的通知》</errorWord>
      <group>L1_Punc</group>
      <groupName>标点问题</groupName>
      <ability>L2_Punc</ability>
      <abilityName>标点符号检查</abilityName>
      <candidateList>
        <item>〉的通知》</item>
      </candidateList>
      <explain/>
      <paraID>138D1B7B</paraID>
      <start>31</start>
      <end>36</end>
      <status>unmodified</status>
      <modifiedWord/>
      <trackRevisions>false</trackRevisions>
    </reviewItem>
    <reviewItem>
      <errorID>e1c5da25-6f2a-4f42-a882-53aab534f65d</errorID>
      <errorWord>(</errorWord>
      <group>L1_Format</group>
      <groupName>格式问题</groupName>
      <ability>L2_HalfPunc</ability>
      <abilityName>全半角检查</abilityName>
      <candidateList>
        <item>（</item>
      </candidateList>
      <explain>文本全半角错误。</explain>
      <paraID>138D1B7B</paraID>
      <start>36</start>
      <end>37</end>
      <status>unmodified</status>
      <modifiedWord/>
      <trackRevisions>false</trackRevisions>
    </reviewItem>
    <reviewItem>
      <errorID>7a8cd79d-759a-42b6-a0cc-79de25b4e172</errorID>
      <errorWord>)</errorWord>
      <group>L1_Format</group>
      <groupName>格式问题</groupName>
      <ability>L2_HalfPunc</ability>
      <abilityName>全半角检查</abilityName>
      <candidateList>
        <item>）</item>
      </candidateList>
      <explain>文本全半角错误。</explain>
      <paraID>138D1B7B</paraID>
      <start>52</start>
      <end>53</end>
      <status>unmodified</status>
      <modifiedWord/>
      <trackRevisions>false</trackRevisions>
    </reviewItem>
    <reviewItem>
      <errorID>12d7322e-c54e-4f4b-a390-0f994ab8b274</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138D1B7B</paraID>
      <start>53</start>
      <end>54</end>
      <status>unmodified</status>
      <modifiedWord/>
      <trackRevisions>false</trackRevisions>
    </reviewItem>
    <reviewItem>
      <errorID>06fe25ff-60e9-4c82-8de1-c857a2f2309f</errorID>
      <errorWord>(</errorWord>
      <group>L1_Format</group>
      <groupName>格式问题</groupName>
      <ability>L2_HalfPunc</ability>
      <abilityName>全半角检查</abilityName>
      <candidateList>
        <item>（</item>
      </candidateList>
      <explain>文本全半角错误。</explain>
      <paraID>138D1B7B</paraID>
      <start>89</start>
      <end>90</end>
      <status>unmodified</status>
      <modifiedWord/>
      <trackRevisions>false</trackRevisions>
    </reviewItem>
    <reviewItem>
      <errorID>a8f09e85-9e4d-46d9-8383-115969816a79</errorID>
      <errorWord>)</errorWord>
      <group>L1_Format</group>
      <groupName>格式问题</groupName>
      <ability>L2_HalfPunc</ability>
      <abilityName>全半角检查</abilityName>
      <candidateList>
        <item>）</item>
      </candidateList>
      <explain>文本全半角错误。</explain>
      <paraID>138D1B7B</paraID>
      <start>101</start>
      <end>102</end>
      <status>unmodified</status>
      <modifiedWord/>
      <trackRevisions>false</trackRevisions>
    </reviewItem>
    <reviewItem>
      <errorID>73a0b239-eb10-48c0-a850-de0dc4165883</errorID>
      <errorWord>[2018]53号</errorWord>
      <group>L1_Knowledge</group>
      <groupName>知识性问题</groupName>
      <ability>L2_Knowledge</ability>
      <abilityName>其他知识</abilityName>
      <candidateList>
        <item>〔2018〕53号</item>
      </candidateList>
      <explain>发文字号格式错误。</explain>
      <paraID> 791DCA3</paraID>
      <start>41</start>
      <end>50</end>
      <status>unmodified</status>
      <modifiedWord/>
      <trackRevisions>false</trackRevisions>
    </reviewItem>
    <reviewItem>
      <errorID>111dec22-6df6-41f1-bab5-6433ee064e8d</errorID>
      <errorWord>(</errorWord>
      <group>L1_Format</group>
      <groupName>格式问题</groupName>
      <ability>L2_HalfPunc</ability>
      <abilityName>全半角检查</abilityName>
      <candidateList>
        <item>（</item>
      </candidateList>
      <explain>文本全半角错误。</explain>
      <paraID>354EBC4A</paraID>
      <start>12</start>
      <end>13</end>
      <status>unmodified</status>
      <modifiedWord/>
      <trackRevisions>false</trackRevisions>
    </reviewItem>
    <reviewItem>
      <errorID>d351f1d9-b9c9-4f2e-9c43-d28f64fe44ce</errorID>
      <errorWord>[2020]第43号</errorWord>
      <group>L1_Knowledge</group>
      <groupName>知识性问题</groupName>
      <ability>L2_Knowledge</ability>
      <abilityName>其他知识</abilityName>
      <candidateList>
        <item>〔2020〕43号</item>
      </candidateList>
      <explain>发文字号格式错误。</explain>
      <paraID>7F7CBF10</paraID>
      <start>24</start>
      <end>34</end>
      <status>unmodified</status>
      <modifiedWord/>
      <trackRevisions>false</trackRevisions>
    </reviewItem>
    <reviewItem>
      <errorID>4d5c3501-6328-4ee7-b850-8c93601e1ae6</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7F7CBF10</paraID>
      <start>63</start>
      <end>64</end>
      <status>unmodified</status>
      <modifiedWord/>
      <trackRevisions>false</trackRevisions>
    </reviewItem>
    <reviewItem>
      <errorID>d37ea8ef-1049-4c48-8820-f2f335c725ea</errorID>
      <errorWord>-</errorWord>
      <group>L1_Format</group>
      <groupName>格式问题</groupName>
      <ability>L2_HalfPunc</ability>
      <abilityName>全半角检查</abilityName>
      <candidateList>
        <item>－</item>
      </candidateList>
      <explain>文本全半角错误。</explain>
      <paraID>463F0C13</paraID>
      <start>35</start>
      <end>36</end>
      <status>unmodified</status>
      <modifiedWord/>
      <trackRevisions>false</trackRevisions>
    </reviewItem>
    <reviewItem>
      <errorID>caeddb5e-7f6a-4023-98dc-52cc8cc7a50c</errorID>
      <errorWord>使用</errorWord>
      <group>L1_Grammar</group>
      <groupName>语法问题</groupName>
      <ability>L2_Grammar</ability>
      <abilityName>语法错误</abilityName>
      <candidateList>
        <item>采取</item>
      </candidateList>
      <explain>“使用～措施”搭配不当，建议修改为“采取～措施”。</explain>
      <paraID>27B9FB8F</paraID>
      <start>13</start>
      <end>15</end>
      <status>unmodified</status>
      <modifiedWord/>
      <trackRevisions>false</trackRevisions>
    </reviewItem>
    <reviewItem>
      <errorID>09688be1-21e3-414a-be05-c279855d75b4</errorID>
      <errorWord>使用</errorWord>
      <group>L1_Grammar</group>
      <groupName>语法问题</groupName>
      <ability>L2_Grammar</ability>
      <abilityName>语法错误</abilityName>
      <candidateList>
        <item>采取</item>
      </candidateList>
      <explain>“使用～措施”搭配不当，建议修改为“采取～措施”。</explain>
      <paraID>24F46D33</paraID>
      <start>7</start>
      <end>9</end>
      <status>unmodified</status>
      <modifiedWord/>
      <trackRevisions>false</trackRevisions>
    </reviewItem>
    <reviewItem>
      <errorID>4af15df2-26c5-4938-bc17-f509973aa8d9</errorID>
      <errorWord>网电</errorWord>
      <group>L1_Word</group>
      <groupName>字词问题</groupName>
      <ability>L2_Typo</ability>
      <abilityName>字词错误</abilityName>
      <candidateList>
        <item>电网</item>
      </candidateList>
      <explain/>
      <paraID> C92725A</paraID>
      <start>13</start>
      <end>15</end>
      <status>unmodified</status>
      <modifiedWord/>
      <trackRevisions>false</trackRevisions>
    </reviewItem>
    <reviewItem>
      <errorID>652734be-a6c1-4b68-9968-d4b858210939</errorID>
      <errorWord>-</errorWord>
      <group>L1_Format</group>
      <groupName>格式问题</groupName>
      <ability>L2_HalfPunc</ability>
      <abilityName>全半角检查</abilityName>
      <candidateList>
        <item>－</item>
      </candidateList>
      <explain>文本全半角错误。</explain>
      <paraID>5DC2B657</paraID>
      <start>33</start>
      <end>34</end>
      <status>unmodified</status>
      <modifiedWord/>
      <trackRevisions>false</trackRevisions>
    </reviewItem>
    <reviewItem>
      <errorID>c4ac06e7-55e9-4c03-930e-c7606655ecd7</errorID>
      <errorWord>-</errorWord>
      <group>L1_Format</group>
      <groupName>格式问题</groupName>
      <ability>L2_HalfPunc</ability>
      <abilityName>全半角检查</abilityName>
      <candidateList>
        <item>－</item>
      </candidateList>
      <explain>文本全半角错误。</explain>
      <paraID>5DC2B657</paraID>
      <start>36</start>
      <end>37</end>
      <status>unmodified</status>
      <modifiedWord/>
      <trackRevisions>false</trackRevisions>
    </reviewItem>
    <reviewItem>
      <errorID>1c277537-fdbc-4508-b8b7-803573af0ca1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5996C5ED</paraID>
      <start>0</start>
      <end>2</end>
      <status>unmodified</status>
      <modifiedWord/>
      <trackRevisions>false</trackRevisions>
    </reviewItem>
    <reviewItem>
      <errorID>fb5365ae-713a-419e-80bf-a31f7330a3d2</errorID>
      <errorWord>期问</errorWord>
      <group>L1_Word</group>
      <groupName>字词问题</groupName>
      <ability>L2_Typo</ability>
      <abilityName>字词错误</abilityName>
      <candidateList>
        <item>期间</item>
      </candidateList>
      <explain>〈名〉某个时期里面：农忙～｜春节～｜抗战～。</explain>
      <paraID>5996C5ED</paraID>
      <start>43</start>
      <end>45</end>
      <status>unmodified</status>
      <modifiedWord/>
      <trackRevisions>false</trackRevisions>
    </reviewItem>
    <reviewItem>
      <errorID>f15e252f-5270-4ab7-89fa-66906330dce6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53A721C3</paraID>
      <start>0</start>
      <end>2</end>
      <status>unmodified</status>
      <modifiedWord/>
      <trackRevisions>false</trackRevisions>
    </reviewItem>
    <reviewItem>
      <errorID>8eb902ff-ddf4-4fe5-bbb7-b374a0d95921</errorID>
      <errorWord>(</errorWord>
      <group>L1_Format</group>
      <groupName>格式问题</groupName>
      <ability>L2_HalfPunc</ability>
      <abilityName>全半角检查</abilityName>
      <candidateList>
        <item>（</item>
      </candidateList>
      <explain>文本全半角错误。</explain>
      <paraID>53A721C3</paraID>
      <start>160</start>
      <end>161</end>
      <status>unmodified</status>
      <modifiedWord/>
      <trackRevisions>false</trackRevisions>
    </reviewItem>
    <reviewItem>
      <errorID>ce40856c-9f21-45f0-950d-d9fa27373562</errorID>
      <errorWord>)</errorWord>
      <group>L1_Format</group>
      <groupName>格式问题</groupName>
      <ability>L2_HalfPunc</ability>
      <abilityName>全半角检查</abilityName>
      <candidateList>
        <item>）</item>
      </candidateList>
      <explain>文本全半角错误。</explain>
      <paraID>53A721C3</paraID>
      <start>175</start>
      <end>176</end>
      <status>unmodified</status>
      <modifiedWord/>
      <trackRevisions>false</trackRevisions>
    </reviewItem>
    <reviewItem>
      <errorID>639fea7a-5bfb-4ab8-a8c8-0332e0dede4a</errorID>
      <errorWord>(</errorWord>
      <group>L1_Format</group>
      <groupName>格式问题</groupName>
      <ability>L2_HalfPunc</ability>
      <abilityName>全半角检查</abilityName>
      <candidateList>
        <item>（</item>
      </candidateList>
      <explain>文本全半角错误。</explain>
      <paraID>53A721C3</paraID>
      <start>205</start>
      <end>206</end>
      <status>unmodified</status>
      <modifiedWord/>
      <trackRevisions>false</trackRevisions>
    </reviewItem>
    <reviewItem>
      <errorID>760b1ec6-4804-492f-8ded-62c4252894b1</errorID>
      <errorWord>)</errorWord>
      <group>L1_Format</group>
      <groupName>格式问题</groupName>
      <ability>L2_HalfPunc</ability>
      <abilityName>全半角检查</abilityName>
      <candidateList>
        <item>）</item>
      </candidateList>
      <explain>文本全半角错误。</explain>
      <paraID>53A721C3</paraID>
      <start>220</start>
      <end>221</end>
      <status>unmodified</status>
      <modifiedWord/>
      <trackRevisions>false</trackRevisions>
    </reviewItem>
    <reviewItem>
      <errorID>17b1ca92-cd69-4fdf-ad86-c0bcfebc130a</errorID>
      <errorWord>(</errorWord>
      <group>L1_Format</group>
      <groupName>格式问题</groupName>
      <ability>L2_HalfPunc</ability>
      <abilityName>全半角检查</abilityName>
      <candidateList>
        <item>（</item>
      </candidateList>
      <explain>文本全半角错误。</explain>
      <paraID>53A721C3</paraID>
      <start>252</start>
      <end>253</end>
      <status>unmodified</status>
      <modifiedWord/>
      <trackRevisions>false</trackRevisions>
    </reviewItem>
    <reviewItem>
      <errorID>bec2458a-fc6a-4857-8121-020d003d991d</errorID>
      <errorWord>)</errorWord>
      <group>L1_Format</group>
      <groupName>格式问题</groupName>
      <ability>L2_HalfPunc</ability>
      <abilityName>全半角检查</abilityName>
      <candidateList>
        <item>）</item>
      </candidateList>
      <explain>文本全半角错误。</explain>
      <paraID>53A721C3</paraID>
      <start>265</start>
      <end>266</end>
      <status>unmodified</status>
      <modifiedWord/>
      <trackRevisions>false</trackRevisions>
    </reviewItem>
    <reviewItem>
      <errorID>83bc34b9-c9c3-4157-9f78-eca02df48ef1</errorID>
      <errorWord>(</errorWord>
      <group>L1_Format</group>
      <groupName>格式问题</groupName>
      <ability>L2_HalfPunc</ability>
      <abilityName>全半角检查</abilityName>
      <candidateList>
        <item>（</item>
      </candidateList>
      <explain>文本全半角错误。</explain>
      <paraID>53A721C3</paraID>
      <start>292</start>
      <end>293</end>
      <status>unmodified</status>
      <modifiedWord/>
      <trackRevisions>false</trackRevisions>
    </reviewItem>
    <reviewItem>
      <errorID>55285455-4334-45f1-baa7-46d171356ae4</errorID>
      <errorWord>)</errorWord>
      <group>L1_Format</group>
      <groupName>格式问题</groupName>
      <ability>L2_HalfPunc</ability>
      <abilityName>全半角检查</abilityName>
      <candidateList>
        <item>）</item>
      </candidateList>
      <explain>文本全半角错误。</explain>
      <paraID>53A721C3</paraID>
      <start>309</start>
      <end>310</end>
      <status>unmodified</status>
      <modifiedWord/>
      <trackRevisions>false</trackRevisions>
    </reviewItem>
    <reviewItem>
      <errorID>b64c6b54-824b-4e4c-be33-f74e6ca2e0ef</errorID>
      <errorWord>(</errorWord>
      <group>L1_Format</group>
      <groupName>格式问题</groupName>
      <ability>L2_HalfPunc</ability>
      <abilityName>全半角检查</abilityName>
      <candidateList>
        <item>（</item>
      </candidateList>
      <explain>文本全半角错误。</explain>
      <paraID>53A721C3</paraID>
      <start>331</start>
      <end>332</end>
      <status>unmodified</status>
      <modifiedWord/>
      <trackRevisions>false</trackRevisions>
    </reviewItem>
    <reviewItem>
      <errorID>0e6575d6-f468-4ce5-bbb3-fe562e9fc8a3</errorID>
      <errorWord>)</errorWord>
      <group>L1_Format</group>
      <groupName>格式问题</groupName>
      <ability>L2_HalfPunc</ability>
      <abilityName>全半角检查</abilityName>
      <candidateList>
        <item>）</item>
      </candidateList>
      <explain>文本全半角错误。</explain>
      <paraID>53A721C3</paraID>
      <start>344</start>
      <end>345</end>
      <status>unmodified</status>
      <modifiedWord/>
      <trackRevisions>false</trackRevisions>
    </reviewItem>
    <reviewItem>
      <errorID>f1c4baa8-2fcd-49f0-b000-d0ff78a6336f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4DC71B38</paraID>
      <start>0</start>
      <end>2</end>
      <status>unmodified</status>
      <modifiedWord/>
      <trackRevisions>false</trackRevisions>
    </reviewItem>
    <reviewItem>
      <errorID>c97e521f-f3d3-4112-a8f3-f823bbe28a4b</errorID>
      <errorWord>防止</errorWord>
      <group>L1_Word</group>
      <groupName>字词问题</groupName>
      <ability>L2_Typo</ability>
      <abilityName>字词错误</abilityName>
      <candidateList>
        <item>防治</item>
      </candidateList>
      <explain>〈动〉预防和治疗、治理（疾病、灾害等）：～结核病｜～病虫害｜～风沙。</explain>
      <paraID>4DC71B38</paraID>
      <start>9</start>
      <end>11</end>
      <status>unmodified</status>
      <modifiedWord/>
      <trackRevisions>false</trackRevisions>
    </reviewItem>
    <reviewItem>
      <errorID>b4bea9aa-708a-44c2-852b-95ea00ac658c</errorID>
      <errorWord>期</errorWord>
      <group>L1_Word</group>
      <groupName>字词问题</groupName>
      <ability>L2_Typo</ability>
      <abilityName>字词错误</abilityName>
      <candidateList>
        <item>期间</item>
      </candidateList>
      <explain>〈名〉某个时期里面：农忙～｜春节～｜抗战～。</explain>
      <paraID>4DC71B38</paraID>
      <start>32</start>
      <end>33</end>
      <status>unmodified</status>
      <modifiedWord/>
      <trackRevisions>false</trackRevisions>
    </reviewItem>
    <reviewItem>
      <errorID>87c2a5fe-c884-478a-a2cb-c83e5506a6a9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6A6C03F7</paraID>
      <start>0</start>
      <end>2</end>
      <status>unmodified</status>
      <modifiedWord/>
      <trackRevisions>false</trackRevisions>
    </reviewItem>
    <reviewItem>
      <errorID>3155689b-48c5-4a54-af18-d1adb29bcdc7</errorID>
      <errorWord>(</errorWord>
      <group>L1_Format</group>
      <groupName>格式问题</groupName>
      <ability>L2_HalfPunc</ability>
      <abilityName>全半角检查</abilityName>
      <candidateList>
        <item>（</item>
      </candidateList>
      <explain>文本全半角错误。</explain>
      <paraID>71F180C1</paraID>
      <start>219</start>
      <end>220</end>
      <status>unmodified</status>
      <modifiedWord/>
      <trackRevisions>false</trackRevisions>
    </reviewItem>
    <reviewItem>
      <errorID>d1a1877c-df1b-4298-a2a0-84de1c32b3a9</errorID>
      <errorWord>)</errorWord>
      <group>L1_Format</group>
      <groupName>格式问题</groupName>
      <ability>L2_HalfPunc</ability>
      <abilityName>全半角检查</abilityName>
      <candidateList>
        <item>）</item>
      </candidateList>
      <explain>文本全半角错误。</explain>
      <paraID>71F180C1</paraID>
      <start>233</start>
      <end>234</end>
      <status>unmodified</status>
      <modifiedWord/>
      <trackRevisions>false</trackRevisions>
    </reviewItem>
    <reviewItem>
      <errorID>23900088-4b72-48b3-81ea-2ed2707278f3</errorID>
      <errorWord>(</errorWord>
      <group>L1_Format</group>
      <groupName>格式问题</groupName>
      <ability>L2_HalfPunc</ability>
      <abilityName>全半角检查</abilityName>
      <candidateList>
        <item>（</item>
      </candidateList>
      <explain>文本全半角错误。</explain>
      <paraID>3A096BB1</paraID>
      <start>61</start>
      <end>62</end>
      <status>unmodified</status>
      <modifiedWord/>
      <trackRevisions>false</trackRevisions>
    </reviewItem>
    <reviewItem>
      <errorID>2fda9028-0e01-4cce-81d9-b6dbfd202b5d</errorID>
      <errorWord>)</errorWord>
      <group>L1_Format</group>
      <groupName>格式问题</groupName>
      <ability>L2_HalfPunc</ability>
      <abilityName>全半角检查</abilityName>
      <candidateList>
        <item>）</item>
      </candidateList>
      <explain>文本全半角错误。</explain>
      <paraID>3A096BB1</paraID>
      <start>74</start>
      <end>75</end>
      <status>unmodified</status>
      <modifiedWord/>
      <trackRevisions>false</trackRevisions>
    </reviewItem>
    <reviewItem>
      <errorID>4de7e3a1-472e-41b3-912c-da488992977b</errorID>
      <errorWord>(</errorWord>
      <group>L1_Format</group>
      <groupName>格式问题</groupName>
      <ability>L2_HalfPunc</ability>
      <abilityName>全半角检查</abilityName>
      <candidateList>
        <item>（</item>
      </candidateList>
      <explain>文本全半角错误。</explain>
      <paraID>3A096BB1</paraID>
      <start>132</start>
      <end>133</end>
      <status>unmodified</status>
      <modifiedWord/>
      <trackRevisions>false</trackRevisions>
    </reviewItem>
    <reviewItem>
      <errorID>496812d0-9b5a-4a19-9ba1-8be91e709bc8</errorID>
      <errorWord>程</errorWord>
      <group>L1_Word</group>
      <groupName>字词问题</groupName>
      <ability>L2_Typo</ability>
      <abilityName>字词错误</abilityName>
      <candidateList>
        <item>程中</item>
      </candidateList>
      <explain/>
      <paraID>16752E22</paraID>
      <start>12</start>
      <end>13</end>
      <status>unmodified</status>
      <modifiedWord/>
      <trackRevisions>false</trackRevisions>
    </reviewItem>
    <reviewItem>
      <errorID>904d074b-5320-41dc-8827-03ffb52effd5</errorID>
      <errorWord>(</errorWord>
      <group>L1_Format</group>
      <groupName>格式问题</groupName>
      <ability>L2_HalfPunc</ability>
      <abilityName>全半角检查</abilityName>
      <candidateList>
        <item>（</item>
      </candidateList>
      <explain>文本全半角错误。</explain>
      <paraID>16752E22</paraID>
      <start>141</start>
      <end>142</end>
      <status>unmodified</status>
      <modifiedWord/>
      <trackRevisions>false</trackRevisions>
    </reviewItem>
    <reviewItem>
      <errorID>306e5f5e-e423-4003-a733-abbf50aad932</errorID>
      <errorWord>(</errorWord>
      <group>L1_Format</group>
      <groupName>格式问题</groupName>
      <ability>L2_HalfPunc</ability>
      <abilityName>全半角检查</abilityName>
      <candidateList>
        <item>（</item>
      </candidateList>
      <explain>文本全半角错误。</explain>
      <paraID>18555E54</paraID>
      <start>413</start>
      <end>414</end>
      <status>unmodified</status>
      <modifiedWord/>
      <trackRevisions>false</trackRevisions>
    </reviewItem>
    <reviewItem>
      <errorID>89b6c29f-39c3-4259-b797-b9418558cca3</errorID>
      <errorWord>)</errorWord>
      <group>L1_Format</group>
      <groupName>格式问题</groupName>
      <ability>L2_HalfPunc</ability>
      <abilityName>全半角检查</abilityName>
      <candidateList>
        <item>）</item>
      </candidateList>
      <explain>文本全半角错误。</explain>
      <paraID>18555E54</paraID>
      <start>426</start>
      <end>427</end>
      <status>unmodified</status>
      <modifiedWord/>
      <trackRevisions>false</trackRevisions>
    </reviewItem>
    <reviewItem>
      <errorID>13aff7fd-5b22-4695-950e-38a1deb0ddf9</errorID>
      <errorWord>(</errorWord>
      <group>L1_Format</group>
      <groupName>格式问题</groupName>
      <ability>L2_HalfPunc</ability>
      <abilityName>全半角检查</abilityName>
      <candidateList>
        <item>（</item>
      </candidateList>
      <explain>文本全半角错误。</explain>
      <paraID>18555E54</paraID>
      <start>453</start>
      <end>454</end>
      <status>unmodified</status>
      <modifiedWord/>
      <trackRevisions>false</trackRevisions>
    </reviewItem>
    <reviewItem>
      <errorID>d38c1410-23b9-493b-a75f-f577c10c4ea8</errorID>
      <errorWord>)</errorWord>
      <group>L1_Format</group>
      <groupName>格式问题</groupName>
      <ability>L2_HalfPunc</ability>
      <abilityName>全半角检查</abilityName>
      <candidateList>
        <item>）</item>
      </candidateList>
      <explain>文本全半角错误。</explain>
      <paraID>18555E54</paraID>
      <start>466</start>
      <end>467</end>
      <status>unmodified</status>
      <modifiedWord/>
      <trackRevisions>false</trackRevisions>
    </reviewItem>
    <reviewItem>
      <errorID>02858293-668b-4509-8d7c-b028c52432e8</errorID>
      <errorWord>固相</errorWord>
      <group>L1_Word</group>
      <groupName>字词问题</groupName>
      <ability>L2_Typo</ability>
      <abilityName>字词错误</abilityName>
      <candidateList>
        <item>土地</item>
      </candidateList>
      <explain/>
      <paraID>1E108593</paraID>
      <start>113</start>
      <end>115</end>
      <status>unmodified</status>
      <modifiedWord/>
      <trackRevisions>false</trackRevisions>
    </reviewItem>
    <reviewItem>
      <errorID>ccd279ad-970c-4eb4-b3ca-4dac38ccfe94</errorID>
      <errorWord>-</errorWord>
      <group>L1_Format</group>
      <groupName>格式问题</groupName>
      <ability>L2_HalfPunc</ability>
      <abilityName>全半角检查</abilityName>
      <candidateList>
        <item>－</item>
      </candidateList>
      <explain>文本全半角错误。</explain>
      <paraID>1DA2E517</paraID>
      <start>34</start>
      <end>35</end>
      <status>unmodified</status>
      <modifiedWord/>
      <trackRevisions>false</trackRevisions>
    </reviewItem>
    <reviewItem>
      <errorID>39773eeb-6e84-426c-ac30-563b4dd5b267</errorID>
      <errorWord>-</errorWord>
      <group>L1_Format</group>
      <groupName>格式问题</groupName>
      <ability>L2_HalfPunc</ability>
      <abilityName>全半角检查</abilityName>
      <candidateList>
        <item>－</item>
      </candidateList>
      <explain>文本全半角错误。</explain>
      <paraID>1DA2E517</paraID>
      <start>37</start>
      <end>38</end>
      <status>unmodified</status>
      <modifiedWord/>
      <trackRevisions>false</trackRevisions>
    </reviewItem>
    <reviewItem>
      <errorID>85bbe5b4-d70b-4ab3-847a-26f9df045157</errorID>
      <errorWord>精攻</errorWord>
      <group>L1_Word</group>
      <groupName>字词问题</groupName>
      <ability>L2_Typo</ability>
      <abilityName>字词错误</abilityName>
      <candidateList>
        <item>精工</item>
      </candidateList>
      <explain>存在发音相同字词的误用。</explain>
      <paraID>5E81F120</paraID>
      <start>36</start>
      <end>38</end>
      <status>unmodified</status>
      <modifiedWord/>
      <trackRevisions>false</trackRevisions>
    </reviewItem>
    <reviewItem>
      <errorID>7aab273d-811f-4a08-9d6e-addd73068916</errorID>
      <errorWord>法律、法规</errorWord>
      <group>L1_Word</group>
      <groupName>字词问题</groupName>
      <ability>L2_Typo</ability>
      <abilityName>字词错误</abilityName>
      <candidateList>
        <item>法律法规</item>
      </candidateList>
      <explain/>
      <paraID>596BBD10</paraID>
      <start>16</start>
      <end>21</end>
      <status>unmodified</status>
      <modifiedWord/>
      <trackRevisions>false</trackRevisions>
    </reviewItem>
    <reviewItem>
      <errorID>9f3859df-c360-4afc-a8ba-4f01b96f6123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ED775D</paraID>
      <start>0</start>
      <end>2</end>
      <status>unmodified</status>
      <modifiedWord/>
      <trackRevisions>false</trackRevisions>
    </reviewItem>
    <reviewItem>
      <errorID>53c3050a-6944-44bc-980a-c03077594df9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3108E3E2</paraID>
      <start>0</start>
      <end>2</end>
      <status>unmodified</status>
      <modifiedWord/>
      <trackRevisions>false</trackRevisions>
    </reviewItem>
    <reviewItem>
      <errorID>def12331-420a-4d49-ab8f-ffd12420572c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74BA63B</paraID>
      <start>0</start>
      <end>2</end>
      <status>unmodified</status>
      <modifiedWord/>
      <trackRevisions>false</trackRevisions>
    </reviewItem>
    <reviewItem>
      <errorID>90a649ec-8f4d-4e92-8248-97641bca9ec9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7C34DF5A</paraID>
      <start>0</start>
      <end>2</end>
      <status>unmodified</status>
      <modifiedWord/>
      <trackRevisions>false</trackRevisions>
    </reviewItem>
    <reviewItem>
      <errorID>9c55a304-f221-48ce-a318-c5f0e13588ef</errorID>
      <errorWord>应急物资的储备</errorWord>
      <group>L1_Political</group>
      <groupName>政治性问题</groupName>
      <ability>L2_Keyword</ability>
      <abilityName>固定表述</abilityName>
      <candidateList>
        <item>应急物资储备</item>
      </candidateList>
      <explain>词汇“应急物资储备”在特定场景下为固定表述形式，请确认此处的“应急物资的储备”是否存在不当。</explain>
      <paraID>7C34DF5A</paraID>
      <start>2</start>
      <end>9</end>
      <status>unmodified</status>
      <modifiedWord/>
      <trackRevisions>false</trackRevisions>
    </reviewItem>
    <reviewItem>
      <errorID>86f86c59-374f-4bc2-b0dc-4979eb97fe29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5903C3D1</paraID>
      <start>16</start>
      <end>17</end>
      <status>unmodified</status>
      <modifiedWord/>
      <trackRevisions>false</trackRevisions>
    </reviewItem>
    <reviewItem>
      <errorID>bbfaaac3-14fe-45bc-a104-93bb5af26a95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5903C3D1</paraID>
      <start>33</start>
      <end>34</end>
      <status>unmodified</status>
      <modifiedWord/>
      <trackRevisions>false</trackRevisions>
    </reviewItem>
    <reviewItem>
      <errorID>21fe6a83-dd88-48de-867c-7f4345abef4b</errorID>
      <errorWord>(</errorWord>
      <group>L1_Format</group>
      <groupName>格式问题</groupName>
      <ability>L2_HalfPunc</ability>
      <abilityName>全半角检查</abilityName>
      <candidateList>
        <item>（</item>
      </candidateList>
      <explain>文本全半角错误。</explain>
      <paraID>7E4EDEDA</paraID>
      <start>22</start>
      <end>23</end>
      <status>unmodified</status>
      <modifiedWord/>
      <trackRevisions>false</trackRevisions>
    </reviewItem>
    <reviewItem>
      <errorID>0d3d376c-7405-4a6c-b156-7ebab610972f</errorID>
      <errorWord>)</errorWord>
      <group>L1_Format</group>
      <groupName>格式问题</groupName>
      <ability>L2_HalfPunc</ability>
      <abilityName>全半角检查</abilityName>
      <candidateList>
        <item>）</item>
      </candidateList>
      <explain>文本全半角错误。</explain>
      <paraID>7E4EDEDA</paraID>
      <start>24</start>
      <end>25</end>
      <status>unmodified</status>
      <modifiedWord/>
      <trackRevisions>false</trackRevisions>
    </reviewItem>
    <reviewItem>
      <errorID>16b5a33c-a4c7-496c-9896-a62d51eecd30</errorID>
      <errorWord>(</errorWord>
      <group>L1_Format</group>
      <groupName>格式问题</groupName>
      <ability>L2_HalfPunc</ability>
      <abilityName>全半角检查</abilityName>
      <candidateList>
        <item>（</item>
      </candidateList>
      <explain>文本全半角错误。</explain>
      <paraID>7E4EDEDA</paraID>
      <start>35</start>
      <end>36</end>
      <status>unmodified</status>
      <modifiedWord/>
      <trackRevisions>false</trackRevisions>
    </reviewItem>
    <reviewItem>
      <errorID>f71bfa72-e2c2-4b5c-98a9-9cb7dc51286c</errorID>
      <errorWord>)</errorWord>
      <group>L1_Format</group>
      <groupName>格式问题</groupName>
      <ability>L2_HalfPunc</ability>
      <abilityName>全半角检查</abilityName>
      <candidateList>
        <item>）</item>
      </candidateList>
      <explain>文本全半角错误。</explain>
      <paraID>7E4EDEDA</paraID>
      <start>37</start>
      <end>38</end>
      <status>unmodified</status>
      <modifiedWord/>
      <trackRevisions>false</trackRevisions>
    </reviewItem>
    <reviewItem>
      <errorID>4f99c7b6-7632-4a18-b936-ad4e4b6c7d34</errorID>
      <errorWord>(</errorWord>
      <group>L1_Format</group>
      <groupName>格式问题</groupName>
      <ability>L2_HalfPunc</ability>
      <abilityName>全半角检查</abilityName>
      <candidateList>
        <item>（</item>
      </candidateList>
      <explain>文本全半角错误。</explain>
      <paraID> C946A52</paraID>
      <start>26</start>
      <end>27</end>
      <status>unmodified</status>
      <modifiedWord/>
      <trackRevisions>false</trackRevisions>
    </reviewItem>
    <reviewItem>
      <errorID>85e3e93a-949f-4be9-8701-4cbdf5df25f2</errorID>
      <errorWord>)</errorWord>
      <group>L1_Format</group>
      <groupName>格式问题</groupName>
      <ability>L2_HalfPunc</ability>
      <abilityName>全半角检查</abilityName>
      <candidateList>
        <item>）</item>
      </candidateList>
      <explain>文本全半角错误。</explain>
      <paraID> C946A52</paraID>
      <start>43</start>
      <end>44</end>
      <status>unmodified</status>
      <modifiedWord/>
      <trackRevisions>false</trackRevisions>
    </reviewItem>
    <reviewItem>
      <errorID>86edbff4-e1ee-4b35-b525-f4effab38413</errorID>
      <errorWord>(</errorWord>
      <group>L1_Format</group>
      <groupName>格式问题</groupName>
      <ability>L2_HalfPunc</ability>
      <abilityName>全半角检查</abilityName>
      <candidateList>
        <item>（</item>
      </candidateList>
      <explain>文本全半角错误。</explain>
      <paraID>583C87FD</paraID>
      <start>26</start>
      <end>27</end>
      <status>unmodified</status>
      <modifiedWord/>
      <trackRevisions>false</trackRevisions>
    </reviewItem>
    <reviewItem>
      <errorID>28e06af9-b5f8-45ba-9e63-d2277ff8bd51</errorID>
      <errorWord>)</errorWord>
      <group>L1_Format</group>
      <groupName>格式问题</groupName>
      <ability>L2_HalfPunc</ability>
      <abilityName>全半角检查</abilityName>
      <candidateList>
        <item>）</item>
      </candidateList>
      <explain>文本全半角错误。</explain>
      <paraID>583C87FD</paraID>
      <start>35</start>
      <end>36</end>
      <status>unmodified</status>
      <modifiedWord/>
      <trackRevisions>false</trackRevisions>
    </reviewItem>
    <reviewItem>
      <errorID>3d30a812-ab31-463c-9ee8-2d5666024854</errorID>
      <errorWord>(</errorWord>
      <group>L1_Format</group>
      <groupName>格式问题</groupName>
      <ability>L2_HalfPunc</ability>
      <abilityName>全半角检查</abilityName>
      <candidateList>
        <item>（</item>
      </candidateList>
      <explain>文本全半角错误。</explain>
      <paraID>7D68D6F0</paraID>
      <start>18</start>
      <end>19</end>
      <status>unmodified</status>
      <modifiedWord/>
      <trackRevisions>false</trackRevisions>
    </reviewItem>
    <reviewItem>
      <errorID>ac5eb8ca-5b0e-45c0-a958-05a9bccbc738</errorID>
      <errorWord>)</errorWord>
      <group>L1_Format</group>
      <groupName>格式问题</groupName>
      <ability>L2_HalfPunc</ability>
      <abilityName>全半角检查</abilityName>
      <candidateList>
        <item>）</item>
      </candidateList>
      <explain>文本全半角错误。</explain>
      <paraID>7D68D6F0</paraID>
      <start>21</start>
      <end>22</end>
      <status>unmodified</status>
      <modifiedWord/>
      <trackRevisions>false</trackRevisions>
    </reviewItem>
    <reviewItem>
      <errorID>20dc9c40-5cd5-42ab-a065-d83fa2bbacc1</errorID>
      <errorWord>(</errorWord>
      <group>L1_Format</group>
      <groupName>格式问题</groupName>
      <ability>L2_HalfPunc</ability>
      <abilityName>全半角检查</abilityName>
      <candidateList>
        <item>（</item>
      </candidateList>
      <explain>文本全半角错误。</explain>
      <paraID>1FE5E431</paraID>
      <start>24</start>
      <end>25</end>
      <status>unmodified</status>
      <modifiedWord/>
      <trackRevisions>false</trackRevisions>
    </reviewItem>
    <reviewItem>
      <errorID>942b14ab-3d99-480b-9979-f3818e439b5f</errorID>
      <errorWord>)</errorWord>
      <group>L1_Format</group>
      <groupName>格式问题</groupName>
      <ability>L2_HalfPunc</ability>
      <abilityName>全半角检查</abilityName>
      <candidateList>
        <item>）</item>
      </candidateList>
      <explain>文本全半角错误。</explain>
      <paraID>1FE5E431</paraID>
      <start>52</start>
      <end>53</end>
      <status>unmodified</status>
      <modifiedWord/>
      <trackRevisions>false</trackRevisions>
    </reviewItem>
    <reviewItem>
      <errorID>9da774ab-519d-47c7-b283-5f93dd62846b</errorID>
      <errorWord>(</errorWord>
      <group>L1_Format</group>
      <groupName>格式问题</groupName>
      <ability>L2_HalfPunc</ability>
      <abilityName>全半角检查</abilityName>
      <candidateList>
        <item>（</item>
      </candidateList>
      <explain>文本全半角错误。</explain>
      <paraID> C5A9675</paraID>
      <start>17</start>
      <end>18</end>
      <status>unmodified</status>
      <modifiedWord/>
      <trackRevisions>false</trackRevisions>
    </reviewItem>
    <reviewItem>
      <errorID>af00eb92-3fe9-4c90-94ee-80f2a9dbdf1d</errorID>
      <errorWord>)</errorWord>
      <group>L1_Format</group>
      <groupName>格式问题</groupName>
      <ability>L2_HalfPunc</ability>
      <abilityName>全半角检查</abilityName>
      <candidateList>
        <item>）</item>
      </candidateList>
      <explain>文本全半角错误。</explain>
      <paraID> C5A9675</paraID>
      <start>20</start>
      <end>21</end>
      <status>unmodified</status>
      <modifiedWord/>
      <trackRevisions>false</trackRevisions>
    </reviewItem>
    <reviewItem>
      <errorID>6d2772a5-0e67-456e-91ef-17846c308834</errorID>
      <errorWord>(</errorWord>
      <group>L1_Format</group>
      <groupName>格式问题</groupName>
      <ability>L2_HalfPunc</ability>
      <abilityName>全半角检查</abilityName>
      <candidateList>
        <item>（</item>
      </candidateList>
      <explain>文本全半角错误。</explain>
      <paraID>17ECAE12</paraID>
      <start>25</start>
      <end>26</end>
      <status>unmodified</status>
      <modifiedWord/>
      <trackRevisions>false</trackRevisions>
    </reviewItem>
    <reviewItem>
      <errorID>12fb11ed-be65-4b00-9b04-358c43d4531f</errorID>
      <errorWord>)</errorWord>
      <group>L1_Format</group>
      <groupName>格式问题</groupName>
      <ability>L2_HalfPunc</ability>
      <abilityName>全半角检查</abilityName>
      <candidateList>
        <item>）</item>
      </candidateList>
      <explain>文本全半角错误。</explain>
      <paraID>17ECAE12</paraID>
      <start>42</start>
      <end>43</end>
      <status>unmodified</status>
      <modifiedWord/>
      <trackRevisions>false</trackRevisions>
    </reviewItem>
    <reviewItem>
      <errorID>19496728-c756-4fdb-a4a1-03fea4e14043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1C1E36CA</paraID>
      <start>0</start>
      <end>2</end>
      <status>unmodified</status>
      <modifiedWord/>
      <trackRevisions>false</trackRevisions>
    </reviewItem>
    <reviewItem>
      <errorID>07cf18e6-2911-4b91-be00-bd5427178504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E39BC1B</paraID>
      <start>0</start>
      <end>2</end>
      <status>unmodified</status>
      <modifiedWord/>
      <trackRevisions>false</trackRevisions>
    </reviewItem>
    <reviewItem>
      <errorID>a5ac912c-fa65-498a-b074-777124b6e569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F3DFE2B</paraID>
      <start>0</start>
      <end>2</end>
      <status>unmodified</status>
      <modifiedWord/>
      <trackRevisions>false</trackRevisions>
    </reviewItem>
    <reviewItem>
      <errorID>2f1c72a0-f556-4a56-9124-8bfa22a30e90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6ECC7861</paraID>
      <start>0</start>
      <end>2</end>
      <status>unmodified</status>
      <modifiedWord/>
      <trackRevisions>false</trackRevisions>
    </reviewItem>
    <reviewItem>
      <errorID>51bff773-5d2f-4be0-99ab-02ea4d0307e5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10756865</paraID>
      <start>0</start>
      <end>2</end>
      <status>unmodified</status>
      <modifiedWord/>
      <trackRevisions>false</trackRevisions>
    </reviewItem>
    <reviewItem>
      <errorID>b92fec8a-5618-420e-b602-77fd5b9498bc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2922B2B9</paraID>
      <start>0</start>
      <end>2</end>
      <status>unmodified</status>
      <modifiedWord/>
      <trackRevisions>false</trackRevisions>
    </reviewItem>
    <reviewItem>
      <errorID>c92c9014-f341-40de-a18a-e894559d6c5e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589B8426</paraID>
      <start>0</start>
      <end>2</end>
      <status>unmodified</status>
      <modifiedWord/>
      <trackRevisions>false</trackRevisions>
    </reviewItem>
    <reviewItem>
      <errorID>1d8a2e61-8ff9-4798-a4e2-e892551f8f4f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14735B63</paraID>
      <start>0</start>
      <end>2</end>
      <status>unmodified</status>
      <modifiedWord/>
      <trackRevisions>false</trackRevisions>
    </reviewItem>
    <reviewItem>
      <errorID>7ecd166e-5340-4655-b482-87f98e333a9d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32138FA2</paraID>
      <start>0</start>
      <end>2</end>
      <status>unmodified</status>
      <modifiedWord/>
      <trackRevisions>false</trackRevisions>
    </reviewItem>
    <reviewItem>
      <errorID>074836d8-241c-4028-b3ee-a17995a81a37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40C48D12</paraID>
      <start>0</start>
      <end>2</end>
      <status>unmodified</status>
      <modifiedWord/>
      <trackRevisions>false</trackRevisions>
    </reviewItem>
    <reviewItem>
      <errorID>4d6a9e16-0a8a-4752-a06a-a4b9bfa8a69e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62DE0F61</paraID>
      <start>0</start>
      <end>2</end>
      <status>unmodified</status>
      <modifiedWord/>
      <trackRevisions>false</trackRevisions>
    </reviewItem>
    <reviewItem>
      <errorID>6058ac85-fd15-4afa-ae3c-3e7bda04cb96</errorID>
      <errorWord>并且</errorWord>
      <group>L1_Word</group>
      <groupName>字词问题</groupName>
      <ability>L2_Typo</ability>
      <abilityName>字词错误</abilityName>
      <candidateList>
        <item>并</item>
      </candidateList>
      <explain>（並、竝）bìnɡ❶〈动〉两种或两种以上的事物平排着：～蒂莲｜我们手挽着手，肩～着肩。❷〈副〉表示不同的事物同时存在，不同的事情同时进行：两说～存｜相提～论。❸〈副〉用在否定词前面加强否定的语气，略带反驳的意味：你以为他糊涂，其实他～不糊涂｜所谓团结～非一团和气。❹〈连〉并且：我完全同意～拥护领导的决定。</explain>
      <paraID>4E4F33F0</paraID>
      <start>30</start>
      <end>32</end>
      <status>unmodified</status>
      <modifiedWord/>
      <trackRevisions>false</trackRevisions>
    </reviewItem>
    <reviewItem>
      <errorID>9ca2b35c-3d63-4894-8bd1-1846b36a32fe</errorID>
      <errorWord>等的</errorWord>
      <group>L1_Word</group>
      <groupName>字词问题</groupName>
      <ability>L2_Typo</ability>
      <abilityName>字词错误</abilityName>
      <candidateList>
        <item>等</item>
      </candidateList>
      <explain>〈助〉❶〈书〉用在人称代词或指人的名词后面，表示复数：我～｜彼～。❷表示列举未尽（可以叠用）：北京、天津～地｜纸张文具～～。❸列举后煞尾：长江、黄河、黑龙江、珠江～四大河流。</explain>
      <paraID>2D1A03E1</paraID>
      <start>156</start>
      <end>158</end>
      <status>unmodified</status>
      <modifiedWord/>
      <trackRevisions>false</trackRevisions>
    </reviewItem>
    <reviewItem>
      <errorID>1c77566b-b01c-40f4-9f24-53cc9119d3a5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357272CD</paraID>
      <start>31</start>
      <end>32</end>
      <status>unmodified</status>
      <modifiedWord/>
      <trackRevisions>false</trackRevisions>
    </reviewItem>
    <reviewItem>
      <errorID>9cdde52d-2c28-46d6-aca8-0946dd68b12d</errorID>
      <errorWord>(</errorWord>
      <group>L1_Format</group>
      <groupName>格式问题</groupName>
      <ability>L2_HalfPunc</ability>
      <abilityName>全半角检查</abilityName>
      <candidateList>
        <item>（</item>
      </candidateList>
      <explain>文本全半角错误。</explain>
      <paraID>7F244EB2</paraID>
      <start>2</start>
      <end>3</end>
      <status>unmodified</status>
      <modifiedWord/>
      <trackRevisions>false</trackRevisions>
    </reviewItem>
    <reviewItem>
      <errorID>926a1fb6-975a-48d4-8472-5ae3ef93c784</errorID>
      <errorWord>)</errorWord>
      <group>L1_Format</group>
      <groupName>格式问题</groupName>
      <ability>L2_HalfPunc</ability>
      <abilityName>全半角检查</abilityName>
      <candidateList>
        <item>）</item>
      </candidateList>
      <explain>文本全半角错误。</explain>
      <paraID>7F244EB2</paraID>
      <start>4</start>
      <end>5</end>
      <status>unmodified</status>
      <modifiedWord/>
      <trackRevisions>false</trackRevisions>
    </reviewItem>
    <reviewItem>
      <errorID>ee8db634-3fa8-488d-9b10-8a083b6a46cf</errorID>
      <errorWord>(</errorWord>
      <group>L1_Format</group>
      <groupName>格式问题</groupName>
      <ability>L2_HalfPunc</ability>
      <abilityName>全半角检查</abilityName>
      <candidateList>
        <item>（</item>
      </candidateList>
      <explain>文本全半角错误。</explain>
      <paraID>2EEBF934</paraID>
      <start>2</start>
      <end>3</end>
      <status>unmodified</status>
      <modifiedWord/>
      <trackRevisions>false</trackRevisions>
    </reviewItem>
    <reviewItem>
      <errorID>1b6693d5-2062-4f99-ba3e-7a7356ebba7a</errorID>
      <errorWord>)</errorWord>
      <group>L1_Format</group>
      <groupName>格式问题</groupName>
      <ability>L2_HalfPunc</ability>
      <abilityName>全半角检查</abilityName>
      <candidateList>
        <item>）</item>
      </candidateList>
      <explain>文本全半角错误。</explain>
      <paraID>2EEBF934</paraID>
      <start>6</start>
      <end>7</end>
      <status>unmodified</status>
      <modifiedWord/>
      <trackRevisions>false</trackRevisions>
    </reviewItem>
    <reviewItem>
      <errorID>be121c11-8bf7-46e7-8327-62ae2fd70536</errorID>
      <errorWord>(</errorWord>
      <group>L1_Format</group>
      <groupName>格式问题</groupName>
      <ability>L2_HalfPunc</ability>
      <abilityName>全半角检查</abilityName>
      <candidateList>
        <item>（</item>
      </candidateList>
      <explain>文本全半角错误。</explain>
      <paraID>536D1706</paraID>
      <start>4</start>
      <end>5</end>
      <status>unmodified</status>
      <modifiedWord/>
      <trackRevisions>false</trackRevisions>
    </reviewItem>
    <reviewItem>
      <errorID>4563b158-a197-4166-9f78-d8b0447a2cd0</errorID>
      <errorWord>)</errorWord>
      <group>L1_Format</group>
      <groupName>格式问题</groupName>
      <ability>L2_HalfPunc</ability>
      <abilityName>全半角检查</abilityName>
      <candidateList>
        <item>）</item>
      </candidateList>
      <explain>文本全半角错误。</explain>
      <paraID>536D1706</paraID>
      <start>8</start>
      <end>9</end>
      <status>unmodified</status>
      <modifiedWord/>
      <trackRevisions>false</trackRevisions>
    </reviewItem>
    <reviewItem>
      <errorID>0e9c6171-0c65-4730-8e35-d063eefc6556</errorID>
      <errorWord>：</errorWord>
      <group>L1_Format</group>
      <groupName>格式问题</groupName>
      <ability>L2_HalfPunc</ability>
      <abilityName>全半角检查</abilityName>
      <candidateList>
        <item>:</item>
      </candidateList>
      <explain>文本全半角错误。</explain>
      <paraID>287248D9</paraID>
      <start>1</start>
      <end>2</end>
      <status>unmodified</status>
      <modifiedWord/>
      <trackRevisions>false</trackRevisions>
    </reviewItem>
    <reviewItem>
      <errorID>575fab1b-703f-4225-ab61-2c42e4edad49</errorID>
      <errorWord>～</errorWord>
      <group>L1_Format</group>
      <groupName>格式问题</groupName>
      <ability>L2_HalfPunc</ability>
      <abilityName>全半角检查</abilityName>
      <candidateList>
        <item>~</item>
      </candidateList>
      <explain>文本全半角错误。</explain>
      <paraID>287248D9</paraID>
      <start>4</start>
      <end>5</end>
      <status>unmodified</status>
      <modifiedWord/>
      <trackRevisions>false</trackRevisions>
    </reviewItem>
    <reviewItem>
      <errorID>70c98c75-ff86-49b4-aa4e-9084aac9e508</errorID>
      <errorWord>：</errorWord>
      <group>L1_Format</group>
      <groupName>格式问题</groupName>
      <ability>L2_HalfPunc</ability>
      <abilityName>全半角检查</abilityName>
      <candidateList>
        <item>:</item>
      </candidateList>
      <explain>文本全半角错误。</explain>
      <paraID>287248D9</paraID>
      <start>7</start>
      <end>8</end>
      <status>unmodified</status>
      <modifiedWord/>
      <trackRevisions>false</trackRevisions>
    </reviewItem>
    <reviewItem>
      <errorID>976c7b40-5b08-40a6-bf5a-e17f49c4fd0c</errorID>
      <errorWord>：</errorWord>
      <group>L1_Format</group>
      <groupName>格式问题</groupName>
      <ability>L2_HalfPunc</ability>
      <abilityName>全半角检查</abilityName>
      <candidateList>
        <item>:</item>
      </candidateList>
      <explain>文本全半角错误。</explain>
      <paraID>228D7E11</paraID>
      <start>2</start>
      <end>3</end>
      <status>unmodified</status>
      <modifiedWord/>
      <trackRevisions>false</trackRevisions>
    </reviewItem>
    <reviewItem>
      <errorID>16a27504-16aa-452d-b8a9-c80e63d9e7cf</errorID>
      <errorWord>～</errorWord>
      <group>L1_Format</group>
      <groupName>格式问题</groupName>
      <ability>L2_HalfPunc</ability>
      <abilityName>全半角检查</abilityName>
      <candidateList>
        <item>~</item>
      </candidateList>
      <explain>文本全半角错误。</explain>
      <paraID>228D7E11</paraID>
      <start>5</start>
      <end>6</end>
      <status>unmodified</status>
      <modifiedWord/>
      <trackRevisions>false</trackRevisions>
    </reviewItem>
    <reviewItem>
      <errorID>53546b51-4e83-4cb0-9b4a-4c213164cdd8</errorID>
      <errorWord>：</errorWord>
      <group>L1_Format</group>
      <groupName>格式问题</groupName>
      <ability>L2_HalfPunc</ability>
      <abilityName>全半角检查</abilityName>
      <candidateList>
        <item>:</item>
      </candidateList>
      <explain>文本全半角错误。</explain>
      <paraID>228D7E11</paraID>
      <start>8</start>
      <end>9</end>
      <status>unmodified</status>
      <modifiedWord/>
      <trackRevisions>false</trackRevisions>
    </reviewItem>
    <reviewItem>
      <errorID>70cccf97-80d2-4509-9e77-164f37173c8e</errorID>
      <errorWord>：</errorWord>
      <group>L1_Format</group>
      <groupName>格式问题</groupName>
      <ability>L2_HalfPunc</ability>
      <abilityName>全半角检查</abilityName>
      <candidateList>
        <item>:</item>
      </candidateList>
      <explain>文本全半角错误。</explain>
      <paraID>55DC66B5</paraID>
      <start>2</start>
      <end>3</end>
      <status>unmodified</status>
      <modifiedWord/>
      <trackRevisions>false</trackRevisions>
    </reviewItem>
    <reviewItem>
      <errorID>b978c1dd-f79e-4299-97c5-639552df26c4</errorID>
      <errorWord>～</errorWord>
      <group>L1_Format</group>
      <groupName>格式问题</groupName>
      <ability>L2_HalfPunc</ability>
      <abilityName>全半角检查</abilityName>
      <candidateList>
        <item>~</item>
      </candidateList>
      <explain>文本全半角错误。</explain>
      <paraID>55DC66B5</paraID>
      <start>5</start>
      <end>6</end>
      <status>unmodified</status>
      <modifiedWord/>
      <trackRevisions>false</trackRevisions>
    </reviewItem>
    <reviewItem>
      <errorID>a07d0bee-5771-4dd0-9907-cf76e777592e</errorID>
      <errorWord>：</errorWord>
      <group>L1_Format</group>
      <groupName>格式问题</groupName>
      <ability>L2_HalfPunc</ability>
      <abilityName>全半角检查</abilityName>
      <candidateList>
        <item>:</item>
      </candidateList>
      <explain>文本全半角错误。</explain>
      <paraID>55DC66B5</paraID>
      <start>8</start>
      <end>9</end>
      <status>unmodified</status>
      <modifiedWord/>
      <trackRevisions>false</trackRevisions>
    </reviewItem>
    <reviewItem>
      <errorID>1204cfdd-1aa0-46f5-b88b-dc6fdc745a9e</errorID>
      <errorWord>：</errorWord>
      <group>L1_Format</group>
      <groupName>格式问题</groupName>
      <ability>L2_HalfPunc</ability>
      <abilityName>全半角检查</abilityName>
      <candidateList>
        <item>:</item>
      </candidateList>
      <explain>文本全半角错误。</explain>
      <paraID> 69AC04E</paraID>
      <start>2</start>
      <end>3</end>
      <status>unmodified</status>
      <modifiedWord/>
      <trackRevisions>false</trackRevisions>
    </reviewItem>
    <reviewItem>
      <errorID>5922123b-6909-43dd-90bc-044ce88b4aa4</errorID>
      <errorWord>～</errorWord>
      <group>L1_Format</group>
      <groupName>格式问题</groupName>
      <ability>L2_HalfPunc</ability>
      <abilityName>全半角检查</abilityName>
      <candidateList>
        <item>~</item>
      </candidateList>
      <explain>文本全半角错误。</explain>
      <paraID> 69AC04E</paraID>
      <start>5</start>
      <end>6</end>
      <status>unmodified</status>
      <modifiedWord/>
      <trackRevisions>false</trackRevisions>
    </reviewItem>
    <reviewItem>
      <errorID>b2e9ead4-d5af-4da7-a619-fc2fa8b362eb</errorID>
      <errorWord>：</errorWord>
      <group>L1_Format</group>
      <groupName>格式问题</groupName>
      <ability>L2_HalfPunc</ability>
      <abilityName>全半角检查</abilityName>
      <candidateList>
        <item>:</item>
      </candidateList>
      <explain>文本全半角错误。</explain>
      <paraID> 69AC04E</paraID>
      <start>8</start>
      <end>9</end>
      <status>unmodified</status>
      <modifiedWord/>
      <trackRevisions>false</trackRevisions>
    </reviewItem>
    <reviewItem>
      <errorID>32344511-9a26-4f00-aab3-37d3b4547958</errorID>
      <errorWord>：</errorWord>
      <group>L1_Format</group>
      <groupName>格式问题</groupName>
      <ability>L2_HalfPunc</ability>
      <abilityName>全半角检查</abilityName>
      <candidateList>
        <item>:</item>
      </candidateList>
      <explain>文本全半角错误。</explain>
      <paraID>4EE3F948</paraID>
      <start>1</start>
      <end>2</end>
      <status>unmodified</status>
      <modifiedWord/>
      <trackRevisions>false</trackRevisions>
    </reviewItem>
    <reviewItem>
      <errorID>a3c4f020-c6c8-428a-bc74-9a6f93776e86</errorID>
      <errorWord>～</errorWord>
      <group>L1_Format</group>
      <groupName>格式问题</groupName>
      <ability>L2_HalfPunc</ability>
      <abilityName>全半角检查</abilityName>
      <candidateList>
        <item>~</item>
      </candidateList>
      <explain>文本全半角错误。</explain>
      <paraID>4EE3F948</paraID>
      <start>4</start>
      <end>5</end>
      <status>unmodified</status>
      <modifiedWord/>
      <trackRevisions>false</trackRevisions>
    </reviewItem>
    <reviewItem>
      <errorID>084734fb-3a66-43d1-a5a9-01002e38900e</errorID>
      <errorWord>：</errorWord>
      <group>L1_Format</group>
      <groupName>格式问题</groupName>
      <ability>L2_HalfPunc</ability>
      <abilityName>全半角检查</abilityName>
      <candidateList>
        <item>:</item>
      </candidateList>
      <explain>文本全半角错误。</explain>
      <paraID>4EE3F948</paraID>
      <start>7</start>
      <end>8</end>
      <status>unmodified</status>
      <modifiedWord/>
      <trackRevisions>false</trackRevisions>
    </reviewItem>
    <reviewItem>
      <errorID>55e43336-66a6-4507-951c-bba5f304f8fc</errorID>
      <errorWord>：</errorWord>
      <group>L1_Format</group>
      <groupName>格式问题</groupName>
      <ability>L2_HalfPunc</ability>
      <abilityName>全半角检查</abilityName>
      <candidateList>
        <item>:</item>
      </candidateList>
      <explain>文本全半角错误。</explain>
      <paraID>7ED9FE4D</paraID>
      <start>2</start>
      <end>3</end>
      <status>unmodified</status>
      <modifiedWord/>
      <trackRevisions>false</trackRevisions>
    </reviewItem>
    <reviewItem>
      <errorID>1b48b069-8b8c-4f5d-a0a2-0de8da1ad03d</errorID>
      <errorWord>～</errorWord>
      <group>L1_Format</group>
      <groupName>格式问题</groupName>
      <ability>L2_HalfPunc</ability>
      <abilityName>全半角检查</abilityName>
      <candidateList>
        <item>~</item>
      </candidateList>
      <explain>文本全半角错误。</explain>
      <paraID>7ED9FE4D</paraID>
      <start>5</start>
      <end>6</end>
      <status>unmodified</status>
      <modifiedWord/>
      <trackRevisions>false</trackRevisions>
    </reviewItem>
    <reviewItem>
      <errorID>f5b44bab-9dec-4860-af7f-98665c959536</errorID>
      <errorWord>：</errorWord>
      <group>L1_Format</group>
      <groupName>格式问题</groupName>
      <ability>L2_HalfPunc</ability>
      <abilityName>全半角检查</abilityName>
      <candidateList>
        <item>:</item>
      </candidateList>
      <explain>文本全半角错误。</explain>
      <paraID>7ED9FE4D</paraID>
      <start>8</start>
      <end>9</end>
      <status>unmodified</status>
      <modifiedWord/>
      <trackRevisions>false</trackRevisions>
    </reviewItem>
    <reviewItem>
      <errorID>d03bab82-46af-418b-9939-0d758ef476ac</errorID>
      <errorWord>：</errorWord>
      <group>L1_Format</group>
      <groupName>格式问题</groupName>
      <ability>L2_HalfPunc</ability>
      <abilityName>全半角检查</abilityName>
      <candidateList>
        <item>:</item>
      </candidateList>
      <explain>文本全半角错误。</explain>
      <paraID>3065BDCF</paraID>
      <start>2</start>
      <end>3</end>
      <status>unmodified</status>
      <modifiedWord/>
      <trackRevisions>false</trackRevisions>
    </reviewItem>
    <reviewItem>
      <errorID>a0d5221f-631a-4ac3-92f6-ad239a7c7e0f</errorID>
      <errorWord>～</errorWord>
      <group>L1_Format</group>
      <groupName>格式问题</groupName>
      <ability>L2_HalfPunc</ability>
      <abilityName>全半角检查</abilityName>
      <candidateList>
        <item>~</item>
      </candidateList>
      <explain>文本全半角错误。</explain>
      <paraID>3065BDCF</paraID>
      <start>5</start>
      <end>6</end>
      <status>unmodified</status>
      <modifiedWord/>
      <trackRevisions>false</trackRevisions>
    </reviewItem>
    <reviewItem>
      <errorID>eebe620e-3ec5-454b-883c-bcf5b2a5041d</errorID>
      <errorWord>：</errorWord>
      <group>L1_Format</group>
      <groupName>格式问题</groupName>
      <ability>L2_HalfPunc</ability>
      <abilityName>全半角检查</abilityName>
      <candidateList>
        <item>:</item>
      </candidateList>
      <explain>文本全半角错误。</explain>
      <paraID>3065BDCF</paraID>
      <start>8</start>
      <end>9</end>
      <status>unmodified</status>
      <modifiedWord/>
      <trackRevisions>false</trackRevisions>
    </reviewItem>
    <reviewItem>
      <errorID>7fcd2b19-9b82-4a22-8497-4dc067dee968</errorID>
      <errorWord>：</errorWord>
      <group>L1_Format</group>
      <groupName>格式问题</groupName>
      <ability>L2_HalfPunc</ability>
      <abilityName>全半角检查</abilityName>
      <candidateList>
        <item>:</item>
      </candidateList>
      <explain>文本全半角错误。</explain>
      <paraID>66BB4A8E</paraID>
      <start>2</start>
      <end>3</end>
      <status>unmodified</status>
      <modifiedWord/>
      <trackRevisions>false</trackRevisions>
    </reviewItem>
    <reviewItem>
      <errorID>d7183b39-85d7-4976-b4fb-1d59acecf8b8</errorID>
      <errorWord>～</errorWord>
      <group>L1_Format</group>
      <groupName>格式问题</groupName>
      <ability>L2_HalfPunc</ability>
      <abilityName>全半角检查</abilityName>
      <candidateList>
        <item>~</item>
      </candidateList>
      <explain>文本全半角错误。</explain>
      <paraID>66BB4A8E</paraID>
      <start>5</start>
      <end>6</end>
      <status>unmodified</status>
      <modifiedWord/>
      <trackRevisions>false</trackRevisions>
    </reviewItem>
    <reviewItem>
      <errorID>e6cc3213-6ad6-4638-8ffe-b35b15536f78</errorID>
      <errorWord>：</errorWord>
      <group>L1_Format</group>
      <groupName>格式问题</groupName>
      <ability>L2_HalfPunc</ability>
      <abilityName>全半角检查</abilityName>
      <candidateList>
        <item>:</item>
      </candidateList>
      <explain>文本全半角错误。</explain>
      <paraID>66BB4A8E</paraID>
      <start>8</start>
      <end>9</end>
      <status>unmodified</status>
      <modifiedWord/>
      <trackRevisions>false</trackRevisions>
    </reviewItem>
    <reviewItem>
      <errorID>199156d4-02c7-4165-972d-1ea58984e907</errorID>
      <errorWord>：</errorWord>
      <group>L1_Format</group>
      <groupName>格式问题</groupName>
      <ability>L2_HalfPunc</ability>
      <abilityName>全半角检查</abilityName>
      <candidateList>
        <item>:</item>
      </candidateList>
      <explain>文本全半角错误。</explain>
      <paraID>1E89559F</paraID>
      <start>1</start>
      <end>2</end>
      <status>unmodified</status>
      <modifiedWord/>
      <trackRevisions>false</trackRevisions>
    </reviewItem>
    <reviewItem>
      <errorID>860634cb-d51f-45e1-adb5-53faaad8d381</errorID>
      <errorWord>～</errorWord>
      <group>L1_Format</group>
      <groupName>格式问题</groupName>
      <ability>L2_HalfPunc</ability>
      <abilityName>全半角检查</abilityName>
      <candidateList>
        <item>~</item>
      </candidateList>
      <explain>文本全半角错误。</explain>
      <paraID>1E89559F</paraID>
      <start>4</start>
      <end>5</end>
      <status>unmodified</status>
      <modifiedWord/>
      <trackRevisions>false</trackRevisions>
    </reviewItem>
    <reviewItem>
      <errorID>c579d902-2199-4d22-9f62-63ad94b13077</errorID>
      <errorWord>：</errorWord>
      <group>L1_Format</group>
      <groupName>格式问题</groupName>
      <ability>L2_HalfPunc</ability>
      <abilityName>全半角检查</abilityName>
      <candidateList>
        <item>:</item>
      </candidateList>
      <explain>文本全半角错误。</explain>
      <paraID>1E89559F</paraID>
      <start>7</start>
      <end>8</end>
      <status>unmodified</status>
      <modifiedWord/>
      <trackRevisions>false</trackRevisions>
    </reviewItem>
    <reviewItem>
      <errorID>439f3d8b-83b5-4984-a73c-c4018bdba8f1</errorID>
      <errorWord>：</errorWord>
      <group>L1_Format</group>
      <groupName>格式问题</groupName>
      <ability>L2_HalfPunc</ability>
      <abilityName>全半角检查</abilityName>
      <candidateList>
        <item>:</item>
      </candidateList>
      <explain>文本全半角错误。</explain>
      <paraID>6D9A460F</paraID>
      <start>2</start>
      <end>3</end>
      <status>unmodified</status>
      <modifiedWord/>
      <trackRevisions>false</trackRevisions>
    </reviewItem>
    <reviewItem>
      <errorID>2ec0fdc6-fa77-4088-a7ac-44c6ef392705</errorID>
      <errorWord>～</errorWord>
      <group>L1_Format</group>
      <groupName>格式问题</groupName>
      <ability>L2_HalfPunc</ability>
      <abilityName>全半角检查</abilityName>
      <candidateList>
        <item>~</item>
      </candidateList>
      <explain>文本全半角错误。</explain>
      <paraID>6D9A460F</paraID>
      <start>5</start>
      <end>6</end>
      <status>unmodified</status>
      <modifiedWord/>
      <trackRevisions>false</trackRevisions>
    </reviewItem>
    <reviewItem>
      <errorID>bad9d535-d72d-472a-a53b-cbab957ac545</errorID>
      <errorWord>：</errorWord>
      <group>L1_Format</group>
      <groupName>格式问题</groupName>
      <ability>L2_HalfPunc</ability>
      <abilityName>全半角检查</abilityName>
      <candidateList>
        <item>:</item>
      </candidateList>
      <explain>文本全半角错误。</explain>
      <paraID>6D9A460F</paraID>
      <start>8</start>
      <end>9</end>
      <status>unmodified</status>
      <modifiedWord/>
      <trackRevisions>false</trackRevisions>
    </reviewItem>
    <reviewItem>
      <errorID>9f42f035-f858-464b-a553-2e127dceb2bc</errorID>
      <errorWord>：</errorWord>
      <group>L1_Format</group>
      <groupName>格式问题</groupName>
      <ability>L2_HalfPunc</ability>
      <abilityName>全半角检查</abilityName>
      <candidateList>
        <item>:</item>
      </candidateList>
      <explain>文本全半角错误。</explain>
      <paraID> 5C0FC02</paraID>
      <start>2</start>
      <end>3</end>
      <status>unmodified</status>
      <modifiedWord/>
      <trackRevisions>false</trackRevisions>
    </reviewItem>
    <reviewItem>
      <errorID>16f3b8d5-1d27-4a85-83ca-42702b41b568</errorID>
      <errorWord>～</errorWord>
      <group>L1_Format</group>
      <groupName>格式问题</groupName>
      <ability>L2_HalfPunc</ability>
      <abilityName>全半角检查</abilityName>
      <candidateList>
        <item>~</item>
      </candidateList>
      <explain>文本全半角错误。</explain>
      <paraID> 5C0FC02</paraID>
      <start>5</start>
      <end>6</end>
      <status>unmodified</status>
      <modifiedWord/>
      <trackRevisions>false</trackRevisions>
    </reviewItem>
    <reviewItem>
      <errorID>20be1ac1-8abb-4734-93c3-c134daedc28f</errorID>
      <errorWord>：</errorWord>
      <group>L1_Format</group>
      <groupName>格式问题</groupName>
      <ability>L2_HalfPunc</ability>
      <abilityName>全半角检查</abilityName>
      <candidateList>
        <item>:</item>
      </candidateList>
      <explain>文本全半角错误。</explain>
      <paraID> 5C0FC02</paraID>
      <start>8</start>
      <end>9</end>
      <status>unmodified</status>
      <modifiedWord/>
      <trackRevisions>false</trackRevisions>
    </reviewItem>
    <reviewItem>
      <errorID>b93098e5-138f-4b2d-819e-cd26a9da03c1</errorID>
      <errorWord>：</errorWord>
      <group>L1_Format</group>
      <groupName>格式问题</groupName>
      <ability>L2_HalfPunc</ability>
      <abilityName>全半角检查</abilityName>
      <candidateList>
        <item>:</item>
      </candidateList>
      <explain>文本全半角错误。</explain>
      <paraID> 317FBEF</paraID>
      <start>2</start>
      <end>3</end>
      <status>unmodified</status>
      <modifiedWord/>
      <trackRevisions>false</trackRevisions>
    </reviewItem>
    <reviewItem>
      <errorID>6b6ab578-4af3-4cf8-8196-bb923f04183c</errorID>
      <errorWord>～</errorWord>
      <group>L1_Format</group>
      <groupName>格式问题</groupName>
      <ability>L2_HalfPunc</ability>
      <abilityName>全半角检查</abilityName>
      <candidateList>
        <item>~</item>
      </candidateList>
      <explain>文本全半角错误。</explain>
      <paraID> 317FBEF</paraID>
      <start>5</start>
      <end>6</end>
      <status>unmodified</status>
      <modifiedWord/>
      <trackRevisions>false</trackRevisions>
    </reviewItem>
    <reviewItem>
      <errorID>9e3eb47b-de5a-449b-a813-f6865770f20b</errorID>
      <errorWord>：</errorWord>
      <group>L1_Format</group>
      <groupName>格式问题</groupName>
      <ability>L2_HalfPunc</ability>
      <abilityName>全半角检查</abilityName>
      <candidateList>
        <item>:</item>
      </candidateList>
      <explain>文本全半角错误。</explain>
      <paraID> 317FBEF</paraID>
      <start>8</start>
      <end>9</end>
      <status>unmodified</status>
      <modifiedWord/>
      <trackRevisions>false</trackRevisions>
    </reviewItem>
    <reviewItem>
      <errorID>1dcd5c51-3d0d-443a-8690-4b27272542fa</errorID>
      <errorWord>：</errorWord>
      <group>L1_Format</group>
      <groupName>格式问题</groupName>
      <ability>L2_HalfPunc</ability>
      <abilityName>全半角检查</abilityName>
      <candidateList>
        <item>:</item>
      </candidateList>
      <explain>文本全半角错误。</explain>
      <paraID> F25EB48</paraID>
      <start>1</start>
      <end>2</end>
      <status>unmodified</status>
      <modifiedWord/>
      <trackRevisions>false</trackRevisions>
    </reviewItem>
    <reviewItem>
      <errorID>dce6040c-66e1-4625-bd68-c0d37e65208d</errorID>
      <errorWord>～</errorWord>
      <group>L1_Format</group>
      <groupName>格式问题</groupName>
      <ability>L2_HalfPunc</ability>
      <abilityName>全半角检查</abilityName>
      <candidateList>
        <item>~</item>
      </candidateList>
      <explain>文本全半角错误。</explain>
      <paraID> F25EB48</paraID>
      <start>4</start>
      <end>5</end>
      <status>unmodified</status>
      <modifiedWord/>
      <trackRevisions>false</trackRevisions>
    </reviewItem>
    <reviewItem>
      <errorID>96700c8c-d283-42b9-b1c1-02ad27614182</errorID>
      <errorWord>：</errorWord>
      <group>L1_Format</group>
      <groupName>格式问题</groupName>
      <ability>L2_HalfPunc</ability>
      <abilityName>全半角检查</abilityName>
      <candidateList>
        <item>:</item>
      </candidateList>
      <explain>文本全半角错误。</explain>
      <paraID> F25EB48</paraID>
      <start>6</start>
      <end>7</end>
      <status>unmodified</status>
      <modifiedWord/>
      <trackRevisions>false</trackRevisions>
    </reviewItem>
    <reviewItem>
      <errorID>863d211b-956b-409d-b4e3-f2dd9f3eaaf2</errorID>
      <errorWord>：</errorWord>
      <group>L1_Format</group>
      <groupName>格式问题</groupName>
      <ability>L2_HalfPunc</ability>
      <abilityName>全半角检查</abilityName>
      <candidateList>
        <item>:</item>
      </candidateList>
      <explain>文本全半角错误。</explain>
      <paraID>534698C5</paraID>
      <start>1</start>
      <end>2</end>
      <status>unmodified</status>
      <modifiedWord/>
      <trackRevisions>false</trackRevisions>
    </reviewItem>
    <reviewItem>
      <errorID>957f7038-5bc1-4b0d-9011-07ccef53c176</errorID>
      <errorWord>～</errorWord>
      <group>L1_Format</group>
      <groupName>格式问题</groupName>
      <ability>L2_HalfPunc</ability>
      <abilityName>全半角检查</abilityName>
      <candidateList>
        <item>~</item>
      </candidateList>
      <explain>文本全半角错误。</explain>
      <paraID>534698C5</paraID>
      <start>4</start>
      <end>5</end>
      <status>unmodified</status>
      <modifiedWord/>
      <trackRevisions>false</trackRevisions>
    </reviewItem>
    <reviewItem>
      <errorID>7e944697-1790-4148-8149-d46720d40c46</errorID>
      <errorWord>：</errorWord>
      <group>L1_Format</group>
      <groupName>格式问题</groupName>
      <ability>L2_HalfPunc</ability>
      <abilityName>全半角检查</abilityName>
      <candidateList>
        <item>:</item>
      </candidateList>
      <explain>文本全半角错误。</explain>
      <paraID>534698C5</paraID>
      <start>7</start>
      <end>8</end>
      <status>unmodified</status>
      <modifiedWord/>
      <trackRevisions>false</trackRevisions>
    </reviewItem>
    <reviewItem>
      <errorID>05bf064d-361f-4f0b-9331-9884ec2a5c5f</errorID>
      <errorWord>：</errorWord>
      <group>L1_Format</group>
      <groupName>格式问题</groupName>
      <ability>L2_HalfPunc</ability>
      <abilityName>全半角检查</abilityName>
      <candidateList>
        <item>:</item>
      </candidateList>
      <explain>文本全半角错误。</explain>
      <paraID>40DAD926</paraID>
      <start>2</start>
      <end>3</end>
      <status>unmodified</status>
      <modifiedWord/>
      <trackRevisions>false</trackRevisions>
    </reviewItem>
    <reviewItem>
      <errorID>dee828bb-a7ca-49aa-89e8-4d74ec14a8d0</errorID>
      <errorWord>～</errorWord>
      <group>L1_Format</group>
      <groupName>格式问题</groupName>
      <ability>L2_HalfPunc</ability>
      <abilityName>全半角检查</abilityName>
      <candidateList>
        <item>~</item>
      </candidateList>
      <explain>文本全半角错误。</explain>
      <paraID>40DAD926</paraID>
      <start>5</start>
      <end>6</end>
      <status>unmodified</status>
      <modifiedWord/>
      <trackRevisions>false</trackRevisions>
    </reviewItem>
    <reviewItem>
      <errorID>aa16c27b-3918-422c-8da1-edce721a2246</errorID>
      <errorWord>：</errorWord>
      <group>L1_Format</group>
      <groupName>格式问题</groupName>
      <ability>L2_HalfPunc</ability>
      <abilityName>全半角检查</abilityName>
      <candidateList>
        <item>:</item>
      </candidateList>
      <explain>文本全半角错误。</explain>
      <paraID>40DAD926</paraID>
      <start>8</start>
      <end>9</end>
      <status>unmodified</status>
      <modifiedWord/>
      <trackRevisions>false</trackRevisions>
    </reviewItem>
    <reviewItem>
      <errorID>1d45745c-007f-4543-b0f9-7799acb03da0</errorID>
      <errorWord>：</errorWord>
      <group>L1_Format</group>
      <groupName>格式问题</groupName>
      <ability>L2_HalfPunc</ability>
      <abilityName>全半角检查</abilityName>
      <candidateList>
        <item>:</item>
      </candidateList>
      <explain>文本全半角错误。</explain>
      <paraID>2D032AFC</paraID>
      <start>2</start>
      <end>3</end>
      <status>unmodified</status>
      <modifiedWord/>
      <trackRevisions>false</trackRevisions>
    </reviewItem>
    <reviewItem>
      <errorID>33feaa1d-3a66-4f4c-9e13-c0ce54620504</errorID>
      <errorWord>～</errorWord>
      <group>L1_Format</group>
      <groupName>格式问题</groupName>
      <ability>L2_HalfPunc</ability>
      <abilityName>全半角检查</abilityName>
      <candidateList>
        <item>~</item>
      </candidateList>
      <explain>文本全半角错误。</explain>
      <paraID>2D032AFC</paraID>
      <start>5</start>
      <end>6</end>
      <status>unmodified</status>
      <modifiedWord/>
      <trackRevisions>false</trackRevisions>
    </reviewItem>
    <reviewItem>
      <errorID>f8c331ab-b066-4259-a8f2-7112fedad5d0</errorID>
      <errorWord>：</errorWord>
      <group>L1_Format</group>
      <groupName>格式问题</groupName>
      <ability>L2_HalfPunc</ability>
      <abilityName>全半角检查</abilityName>
      <candidateList>
        <item>:</item>
      </candidateList>
      <explain>文本全半角错误。</explain>
      <paraID>2D032AFC</paraID>
      <start>8</start>
      <end>9</end>
      <status>unmodified</status>
      <modifiedWord/>
      <trackRevisions>false</trackRevisions>
    </reviewItem>
    <reviewItem>
      <errorID>6d14ed79-2361-488d-9259-607ede862240</errorID>
      <errorWord>：</errorWord>
      <group>L1_Format</group>
      <groupName>格式问题</groupName>
      <ability>L2_HalfPunc</ability>
      <abilityName>全半角检查</abilityName>
      <candidateList>
        <item>:</item>
      </candidateList>
      <explain>文本全半角错误。</explain>
      <paraID>64AFE06F</paraID>
      <start>2</start>
      <end>3</end>
      <status>unmodified</status>
      <modifiedWord/>
      <trackRevisions>false</trackRevisions>
    </reviewItem>
    <reviewItem>
      <errorID>f70d3494-5306-46d5-9210-256cf367bee7</errorID>
      <errorWord>～</errorWord>
      <group>L1_Format</group>
      <groupName>格式问题</groupName>
      <ability>L2_HalfPunc</ability>
      <abilityName>全半角检查</abilityName>
      <candidateList>
        <item>~</item>
      </candidateList>
      <explain>文本全半角错误。</explain>
      <paraID>64AFE06F</paraID>
      <start>5</start>
      <end>6</end>
      <status>unmodified</status>
      <modifiedWord/>
      <trackRevisions>false</trackRevisions>
    </reviewItem>
    <reviewItem>
      <errorID>db555da5-2879-4e04-b10e-93d6370e81c1</errorID>
      <errorWord>：</errorWord>
      <group>L1_Format</group>
      <groupName>格式问题</groupName>
      <ability>L2_HalfPunc</ability>
      <abilityName>全半角检查</abilityName>
      <candidateList>
        <item>:</item>
      </candidateList>
      <explain>文本全半角错误。</explain>
      <paraID>64AFE06F</paraID>
      <start>8</start>
      <end>9</end>
      <status>unmodified</status>
      <modifiedWord/>
      <trackRevisions>false</trackRevisions>
    </reviewItem>
    <reviewItem>
      <errorID>82ab071d-f665-4ca7-9ec8-7ff2c75fc4ec</errorID>
      <errorWord>：</errorWord>
      <group>L1_Format</group>
      <groupName>格式问题</groupName>
      <ability>L2_HalfPunc</ability>
      <abilityName>全半角检查</abilityName>
      <candidateList>
        <item>:</item>
      </candidateList>
      <explain>文本全半角错误。</explain>
      <paraID>16132A50</paraID>
      <start>2</start>
      <end>3</end>
      <status>unmodified</status>
      <modifiedWord/>
      <trackRevisions>false</trackRevisions>
    </reviewItem>
    <reviewItem>
      <errorID>8f4a08b4-4a1d-4817-82cb-ab8a6ef15163</errorID>
      <errorWord>～</errorWord>
      <group>L1_Format</group>
      <groupName>格式问题</groupName>
      <ability>L2_HalfPunc</ability>
      <abilityName>全半角检查</abilityName>
      <candidateList>
        <item>~</item>
      </candidateList>
      <explain>文本全半角错误。</explain>
      <paraID>16132A50</paraID>
      <start>5</start>
      <end>6</end>
      <status>unmodified</status>
      <modifiedWord/>
      <trackRevisions>false</trackRevisions>
    </reviewItem>
    <reviewItem>
      <errorID>4443070f-6b43-4903-9544-793358d0a94d</errorID>
      <errorWord>：</errorWord>
      <group>L1_Format</group>
      <groupName>格式问题</groupName>
      <ability>L2_HalfPunc</ability>
      <abilityName>全半角检查</abilityName>
      <candidateList>
        <item>:</item>
      </candidateList>
      <explain>文本全半角错误。</explain>
      <paraID>16132A50</paraID>
      <start>8</start>
      <end>9</end>
      <status>unmodified</status>
      <modifiedWord/>
      <trackRevisions>false</trackRevisions>
    </reviewItem>
    <reviewItem>
      <errorID>0aa22289-c85c-405e-9c64-a6045b4bb0bc</errorID>
      <errorWord>：</errorWord>
      <group>L1_Format</group>
      <groupName>格式问题</groupName>
      <ability>L2_HalfPunc</ability>
      <abilityName>全半角检查</abilityName>
      <candidateList>
        <item>:</item>
      </candidateList>
      <explain>文本全半角错误。</explain>
      <paraID>4C6E1911</paraID>
      <start>2</start>
      <end>3</end>
      <status>unmodified</status>
      <modifiedWord/>
      <trackRevisions>false</trackRevisions>
    </reviewItem>
    <reviewItem>
      <errorID>318cae05-7f4f-4381-82d3-46a5090a92a9</errorID>
      <errorWord>～</errorWord>
      <group>L1_Format</group>
      <groupName>格式问题</groupName>
      <ability>L2_HalfPunc</ability>
      <abilityName>全半角检查</abilityName>
      <candidateList>
        <item>~</item>
      </candidateList>
      <explain>文本全半角错误。</explain>
      <paraID>4C6E1911</paraID>
      <start>5</start>
      <end>6</end>
      <status>unmodified</status>
      <modifiedWord/>
      <trackRevisions>false</trackRevisions>
    </reviewItem>
    <reviewItem>
      <errorID>cdca58a6-38bf-4a3d-8921-fca3fde87b5e</errorID>
      <errorWord>：</errorWord>
      <group>L1_Format</group>
      <groupName>格式问题</groupName>
      <ability>L2_HalfPunc</ability>
      <abilityName>全半角检查</abilityName>
      <candidateList>
        <item>:</item>
      </candidateList>
      <explain>文本全半角错误。</explain>
      <paraID>4C6E1911</paraID>
      <start>8</start>
      <end>9</end>
      <status>unmodified</status>
      <modifiedWord/>
      <trackRevisions>false</trackRevisions>
    </reviewItem>
    <reviewItem>
      <errorID>ad3de537-c71e-47f4-9ef7-8bdf9212b2a9</errorID>
      <errorWord>：</errorWord>
      <group>L1_Format</group>
      <groupName>格式问题</groupName>
      <ability>L2_HalfPunc</ability>
      <abilityName>全半角检查</abilityName>
      <candidateList>
        <item>:</item>
      </candidateList>
      <explain>文本全半角错误。</explain>
      <paraID>4D27B6AB</paraID>
      <start>2</start>
      <end>3</end>
      <status>unmodified</status>
      <modifiedWord/>
      <trackRevisions>false</trackRevisions>
    </reviewItem>
    <reviewItem>
      <errorID>ba002153-9a26-4772-8099-9bfce3cc4292</errorID>
      <errorWord>～</errorWord>
      <group>L1_Format</group>
      <groupName>格式问题</groupName>
      <ability>L2_HalfPunc</ability>
      <abilityName>全半角检查</abilityName>
      <candidateList>
        <item>~</item>
      </candidateList>
      <explain>文本全半角错误。</explain>
      <paraID>4D27B6AB</paraID>
      <start>5</start>
      <end>6</end>
      <status>unmodified</status>
      <modifiedWord/>
      <trackRevisions>false</trackRevisions>
    </reviewItem>
    <reviewItem>
      <errorID>2b385560-fbb0-47a8-8fe7-24929f9439a2</errorID>
      <errorWord>：</errorWord>
      <group>L1_Format</group>
      <groupName>格式问题</groupName>
      <ability>L2_HalfPunc</ability>
      <abilityName>全半角检查</abilityName>
      <candidateList>
        <item>:</item>
      </candidateList>
      <explain>文本全半角错误。</explain>
      <paraID>4D27B6AB</paraID>
      <start>8</start>
      <end>9</end>
      <status>unmodified</status>
      <modifiedWord/>
      <trackRevisions>false</trackRevisions>
    </reviewItem>
    <reviewItem>
      <errorID>c05f7a38-fc6e-4f97-94dd-82783d0de70d</errorID>
      <errorWord>：</errorWord>
      <group>L1_Format</group>
      <groupName>格式问题</groupName>
      <ability>L2_HalfPunc</ability>
      <abilityName>全半角检查</abilityName>
      <candidateList>
        <item>:</item>
      </candidateList>
      <explain>文本全半角错误。</explain>
      <paraID>33CBF063</paraID>
      <start>1</start>
      <end>2</end>
      <status>unmodified</status>
      <modifiedWord/>
      <trackRevisions>false</trackRevisions>
    </reviewItem>
    <reviewItem>
      <errorID>45735d0f-81bc-4800-8439-c34d7a4dffa5</errorID>
      <errorWord>～</errorWord>
      <group>L1_Format</group>
      <groupName>格式问题</groupName>
      <ability>L2_HalfPunc</ability>
      <abilityName>全半角检查</abilityName>
      <candidateList>
        <item>~</item>
      </candidateList>
      <explain>文本全半角错误。</explain>
      <paraID>33CBF063</paraID>
      <start>4</start>
      <end>5</end>
      <status>unmodified</status>
      <modifiedWord/>
      <trackRevisions>false</trackRevisions>
    </reviewItem>
    <reviewItem>
      <errorID>07a0457c-d56f-471b-98de-8938ff7ebd4f</errorID>
      <errorWord>：</errorWord>
      <group>L1_Format</group>
      <groupName>格式问题</groupName>
      <ability>L2_HalfPunc</ability>
      <abilityName>全半角检查</abilityName>
      <candidateList>
        <item>:</item>
      </candidateList>
      <explain>文本全半角错误。</explain>
      <paraID>33CBF063</paraID>
      <start>7</start>
      <end>8</end>
      <status>unmodified</status>
      <modifiedWord/>
      <trackRevisions>false</trackRevisions>
    </reviewItem>
    <reviewItem>
      <errorID>fe635e4d-03da-48d6-b0e7-0165739b3b34</errorID>
      <errorWord>：</errorWord>
      <group>L1_Format</group>
      <groupName>格式问题</groupName>
      <ability>L2_HalfPunc</ability>
      <abilityName>全半角检查</abilityName>
      <candidateList>
        <item>:</item>
      </candidateList>
      <explain>文本全半角错误。</explain>
      <paraID>28C3F88A</paraID>
      <start>2</start>
      <end>3</end>
      <status>unmodified</status>
      <modifiedWord/>
      <trackRevisions>false</trackRevisions>
    </reviewItem>
    <reviewItem>
      <errorID>a810f666-1c20-46e4-a5cc-17f85b43e18a</errorID>
      <errorWord>～</errorWord>
      <group>L1_Format</group>
      <groupName>格式问题</groupName>
      <ability>L2_HalfPunc</ability>
      <abilityName>全半角检查</abilityName>
      <candidateList>
        <item>~</item>
      </candidateList>
      <explain>文本全半角错误。</explain>
      <paraID>28C3F88A</paraID>
      <start>5</start>
      <end>6</end>
      <status>unmodified</status>
      <modifiedWord/>
      <trackRevisions>false</trackRevisions>
    </reviewItem>
    <reviewItem>
      <errorID>170e1a5f-5ae4-4eae-ba0a-5f4fd35612f9</errorID>
      <errorWord>：</errorWord>
      <group>L1_Format</group>
      <groupName>格式问题</groupName>
      <ability>L2_HalfPunc</ability>
      <abilityName>全半角检查</abilityName>
      <candidateList>
        <item>:</item>
      </candidateList>
      <explain>文本全半角错误。</explain>
      <paraID>28C3F88A</paraID>
      <start>8</start>
      <end>9</end>
      <status>unmodified</status>
      <modifiedWord/>
      <trackRevisions>false</trackRevisions>
    </reviewItem>
    <reviewItem>
      <errorID>8f1f706b-ee00-4a35-b428-78d17196715d</errorID>
      <errorWord>：</errorWord>
      <group>L1_Format</group>
      <groupName>格式问题</groupName>
      <ability>L2_HalfPunc</ability>
      <abilityName>全半角检查</abilityName>
      <candidateList>
        <item>:</item>
      </candidateList>
      <explain>文本全半角错误。</explain>
      <paraID>24B287B8</paraID>
      <start>2</start>
      <end>3</end>
      <status>unmodified</status>
      <modifiedWord/>
      <trackRevisions>false</trackRevisions>
    </reviewItem>
    <reviewItem>
      <errorID>e73ca0a9-5d85-4ba3-bc55-e24e1e8757a6</errorID>
      <errorWord>～</errorWord>
      <group>L1_Format</group>
      <groupName>格式问题</groupName>
      <ability>L2_HalfPunc</ability>
      <abilityName>全半角检查</abilityName>
      <candidateList>
        <item>~</item>
      </candidateList>
      <explain>文本全半角错误。</explain>
      <paraID>24B287B8</paraID>
      <start>5</start>
      <end>6</end>
      <status>unmodified</status>
      <modifiedWord/>
      <trackRevisions>false</trackRevisions>
    </reviewItem>
    <reviewItem>
      <errorID>8620acde-93ab-493c-9a4f-b27987708b44</errorID>
      <errorWord>：</errorWord>
      <group>L1_Format</group>
      <groupName>格式问题</groupName>
      <ability>L2_HalfPunc</ability>
      <abilityName>全半角检查</abilityName>
      <candidateList>
        <item>:</item>
      </candidateList>
      <explain>文本全半角错误。</explain>
      <paraID>24B287B8</paraID>
      <start>8</start>
      <end>9</end>
      <status>unmodified</status>
      <modifiedWord/>
      <trackRevisions>false</trackRevisions>
    </reviewItem>
    <reviewItem>
      <errorID>5425b561-4f89-484b-ad65-eecd497ed902</errorID>
      <errorWord>：</errorWord>
      <group>L1_Format</group>
      <groupName>格式问题</groupName>
      <ability>L2_HalfPunc</ability>
      <abilityName>全半角检查</abilityName>
      <candidateList>
        <item>:</item>
      </candidateList>
      <explain>文本全半角错误。</explain>
      <paraID>1424E170</paraID>
      <start>2</start>
      <end>3</end>
      <status>unmodified</status>
      <modifiedWord/>
      <trackRevisions>false</trackRevisions>
    </reviewItem>
    <reviewItem>
      <errorID>a96461bd-1db3-4473-9ded-f4df76d339d6</errorID>
      <errorWord>～</errorWord>
      <group>L1_Format</group>
      <groupName>格式问题</groupName>
      <ability>L2_HalfPunc</ability>
      <abilityName>全半角检查</abilityName>
      <candidateList>
        <item>~</item>
      </candidateList>
      <explain>文本全半角错误。</explain>
      <paraID>1424E170</paraID>
      <start>5</start>
      <end>6</end>
      <status>unmodified</status>
      <modifiedWord/>
      <trackRevisions>false</trackRevisions>
    </reviewItem>
    <reviewItem>
      <errorID>759fea35-d7eb-40a7-881c-93dadc1475ea</errorID>
      <errorWord>：</errorWord>
      <group>L1_Format</group>
      <groupName>格式问题</groupName>
      <ability>L2_HalfPunc</ability>
      <abilityName>全半角检查</abilityName>
      <candidateList>
        <item>:</item>
      </candidateList>
      <explain>文本全半角错误。</explain>
      <paraID>1424E170</paraID>
      <start>8</start>
      <end>9</end>
      <status>unmodified</status>
      <modifiedWord/>
      <trackRevisions>false</trackRevisions>
    </reviewItem>
    <reviewItem>
      <errorID>01871d98-d42a-48fa-bc2f-599e4f2d7d38</errorID>
      <errorWord>：</errorWord>
      <group>L1_Format</group>
      <groupName>格式问题</groupName>
      <ability>L2_HalfPunc</ability>
      <abilityName>全半角检查</abilityName>
      <candidateList>
        <item>:</item>
      </candidateList>
      <explain>文本全半角错误。</explain>
      <paraID>7AF4BBC5</paraID>
      <start>2</start>
      <end>3</end>
      <status>unmodified</status>
      <modifiedWord/>
      <trackRevisions>false</trackRevisions>
    </reviewItem>
    <reviewItem>
      <errorID>41f9ac1e-017e-4dab-926c-61cf1532e967</errorID>
      <errorWord>～</errorWord>
      <group>L1_Format</group>
      <groupName>格式问题</groupName>
      <ability>L2_HalfPunc</ability>
      <abilityName>全半角检查</abilityName>
      <candidateList>
        <item>~</item>
      </candidateList>
      <explain>文本全半角错误。</explain>
      <paraID>7AF4BBC5</paraID>
      <start>5</start>
      <end>6</end>
      <status>unmodified</status>
      <modifiedWord/>
      <trackRevisions>false</trackRevisions>
    </reviewItem>
    <reviewItem>
      <errorID>83b4b4bf-4429-459b-a4a7-74fde7028f3e</errorID>
      <errorWord>：</errorWord>
      <group>L1_Format</group>
      <groupName>格式问题</groupName>
      <ability>L2_HalfPunc</ability>
      <abilityName>全半角检查</abilityName>
      <candidateList>
        <item>:</item>
      </candidateList>
      <explain>文本全半角错误。</explain>
      <paraID>7AF4BBC5</paraID>
      <start>8</start>
      <end>9</end>
      <status>unmodified</status>
      <modifiedWord/>
      <trackRevisions>false</trackRevisions>
    </reviewItem>
    <reviewItem>
      <errorID>764bd694-e1e2-43bc-80fe-dbec2824f459</errorID>
      <errorWord>：</errorWord>
      <group>L1_Format</group>
      <groupName>格式问题</groupName>
      <ability>L2_HalfPunc</ability>
      <abilityName>全半角检查</abilityName>
      <candidateList>
        <item>:</item>
      </candidateList>
      <explain>文本全半角错误。</explain>
      <paraID>3499D848</paraID>
      <start>2</start>
      <end>3</end>
      <status>unmodified</status>
      <modifiedWord/>
      <trackRevisions>false</trackRevisions>
    </reviewItem>
    <reviewItem>
      <errorID>e0f70c39-c245-462b-be0a-026d990c4fc8</errorID>
      <errorWord>～</errorWord>
      <group>L1_Format</group>
      <groupName>格式问题</groupName>
      <ability>L2_HalfPunc</ability>
      <abilityName>全半角检查</abilityName>
      <candidateList>
        <item>~</item>
      </candidateList>
      <explain>文本全半角错误。</explain>
      <paraID>3499D848</paraID>
      <start>5</start>
      <end>6</end>
      <status>unmodified</status>
      <modifiedWord/>
      <trackRevisions>false</trackRevisions>
    </reviewItem>
    <reviewItem>
      <errorID>ea05be6f-2ff4-4c94-92b3-107963f5fc69</errorID>
      <errorWord>：</errorWord>
      <group>L1_Format</group>
      <groupName>格式问题</groupName>
      <ability>L2_HalfPunc</ability>
      <abilityName>全半角检查</abilityName>
      <candidateList>
        <item>:</item>
      </candidateList>
      <explain>文本全半角错误。</explain>
      <paraID>3499D848</paraID>
      <start>8</start>
      <end>9</end>
      <status>unmodified</status>
      <modifiedWord/>
      <trackRevisions>false</trackRevisions>
    </reviewItem>
    <reviewItem>
      <errorID>8fd3066d-9733-4e69-90b6-252df812042b</errorID>
      <errorWord>：</errorWord>
      <group>L1_Format</group>
      <groupName>格式问题</groupName>
      <ability>L2_HalfPunc</ability>
      <abilityName>全半角检查</abilityName>
      <candidateList>
        <item>:</item>
      </candidateList>
      <explain>文本全半角错误。</explain>
      <paraID> 3C15A46</paraID>
      <start>2</start>
      <end>3</end>
      <status>unmodified</status>
      <modifiedWord/>
      <trackRevisions>false</trackRevisions>
    </reviewItem>
    <reviewItem>
      <errorID>1ccf2105-8801-4bb9-9384-936e5b117af7</errorID>
      <errorWord>～</errorWord>
      <group>L1_Format</group>
      <groupName>格式问题</groupName>
      <ability>L2_HalfPunc</ability>
      <abilityName>全半角检查</abilityName>
      <candidateList>
        <item>~</item>
      </candidateList>
      <explain>文本全半角错误。</explain>
      <paraID> 3C15A46</paraID>
      <start>5</start>
      <end>6</end>
      <status>unmodified</status>
      <modifiedWord/>
      <trackRevisions>false</trackRevisions>
    </reviewItem>
    <reviewItem>
      <errorID>872f69e3-4ca4-497e-b161-77012ce4cd18</errorID>
      <errorWord>：</errorWord>
      <group>L1_Format</group>
      <groupName>格式问题</groupName>
      <ability>L2_HalfPunc</ability>
      <abilityName>全半角检查</abilityName>
      <candidateList>
        <item>:</item>
      </candidateList>
      <explain>文本全半角错误。</explain>
      <paraID> 3C15A46</paraID>
      <start>8</start>
      <end>9</end>
      <status>unmodified</status>
      <modifiedWord/>
      <trackRevisions>false</trackRevisions>
    </reviewItem>
    <reviewItem>
      <errorID>ea7326b4-1df2-4414-bf74-5413f1980a75</errorID>
      <errorWord>：</errorWord>
      <group>L1_Format</group>
      <groupName>格式问题</groupName>
      <ability>L2_HalfPunc</ability>
      <abilityName>全半角检查</abilityName>
      <candidateList>
        <item>:</item>
      </candidateList>
      <explain>文本全半角错误。</explain>
      <paraID>2EC43E5B</paraID>
      <start>2</start>
      <end>3</end>
      <status>unmodified</status>
      <modifiedWord/>
      <trackRevisions>false</trackRevisions>
    </reviewItem>
    <reviewItem>
      <errorID>6acbc61d-9768-4ada-9721-c810013eac10</errorID>
      <errorWord>～</errorWord>
      <group>L1_Format</group>
      <groupName>格式问题</groupName>
      <ability>L2_HalfPunc</ability>
      <abilityName>全半角检查</abilityName>
      <candidateList>
        <item>~</item>
      </candidateList>
      <explain>文本全半角错误。</explain>
      <paraID>2EC43E5B</paraID>
      <start>5</start>
      <end>6</end>
      <status>unmodified</status>
      <modifiedWord/>
      <trackRevisions>false</trackRevisions>
    </reviewItem>
    <reviewItem>
      <errorID>b2859f5a-43c7-4074-8caf-1ff23ead5ad2</errorID>
      <errorWord>：</errorWord>
      <group>L1_Format</group>
      <groupName>格式问题</groupName>
      <ability>L2_HalfPunc</ability>
      <abilityName>全半角检查</abilityName>
      <candidateList>
        <item>:</item>
      </candidateList>
      <explain>文本全半角错误。</explain>
      <paraID>2EC43E5B</paraID>
      <start>8</start>
      <end>9</end>
      <status>unmodified</status>
      <modifiedWord/>
      <trackRevisions>false</trackRevisions>
    </reviewItem>
    <reviewItem>
      <errorID>8f229a2c-13c0-410f-a966-dc733b8f1be8</errorID>
      <errorWord>：</errorWord>
      <group>L1_Format</group>
      <groupName>格式问题</groupName>
      <ability>L2_HalfPunc</ability>
      <abilityName>全半角检查</abilityName>
      <candidateList>
        <item>:</item>
      </candidateList>
      <explain>文本全半角错误。</explain>
      <paraID>62CECA1C</paraID>
      <start>1</start>
      <end>2</end>
      <status>unmodified</status>
      <modifiedWord/>
      <trackRevisions>false</trackRevisions>
    </reviewItem>
    <reviewItem>
      <errorID>420f12de-958d-4b04-83fb-efd316e03f43</errorID>
      <errorWord>～</errorWord>
      <group>L1_Format</group>
      <groupName>格式问题</groupName>
      <ability>L2_HalfPunc</ability>
      <abilityName>全半角检查</abilityName>
      <candidateList>
        <item>~</item>
      </candidateList>
      <explain>文本全半角错误。</explain>
      <paraID>62CECA1C</paraID>
      <start>4</start>
      <end>5</end>
      <status>unmodified</status>
      <modifiedWord/>
      <trackRevisions>false</trackRevisions>
    </reviewItem>
    <reviewItem>
      <errorID>0038ec95-86ff-4f5d-a681-b3e9ea762f2a</errorID>
      <errorWord>：</errorWord>
      <group>L1_Format</group>
      <groupName>格式问题</groupName>
      <ability>L2_HalfPunc</ability>
      <abilityName>全半角检查</abilityName>
      <candidateList>
        <item>:</item>
      </candidateList>
      <explain>文本全半角错误。</explain>
      <paraID>62CECA1C</paraID>
      <start>7</start>
      <end>8</end>
      <status>unmodified</status>
      <modifiedWord/>
      <trackRevisions>false</trackRevisions>
    </reviewItem>
    <reviewItem>
      <errorID>f75785cf-fe54-4c9a-bc55-5a7d663308ed</errorID>
      <errorWord>：</errorWord>
      <group>L1_Format</group>
      <groupName>格式问题</groupName>
      <ability>L2_HalfPunc</ability>
      <abilityName>全半角检查</abilityName>
      <candidateList>
        <item>:</item>
      </candidateList>
      <explain>文本全半角错误。</explain>
      <paraID>63043520</paraID>
      <start>2</start>
      <end>3</end>
      <status>unmodified</status>
      <modifiedWord/>
      <trackRevisions>false</trackRevisions>
    </reviewItem>
    <reviewItem>
      <errorID>b84c2c3a-70f4-4b71-aeed-2aeeca62620f</errorID>
      <errorWord>～</errorWord>
      <group>L1_Format</group>
      <groupName>格式问题</groupName>
      <ability>L2_HalfPunc</ability>
      <abilityName>全半角检查</abilityName>
      <candidateList>
        <item>~</item>
      </candidateList>
      <explain>文本全半角错误。</explain>
      <paraID>63043520</paraID>
      <start>5</start>
      <end>6</end>
      <status>unmodified</status>
      <modifiedWord/>
      <trackRevisions>false</trackRevisions>
    </reviewItem>
    <reviewItem>
      <errorID>469293c9-0c8b-425c-b76a-e00410101d27</errorID>
      <errorWord>：</errorWord>
      <group>L1_Format</group>
      <groupName>格式问题</groupName>
      <ability>L2_HalfPunc</ability>
      <abilityName>全半角检查</abilityName>
      <candidateList>
        <item>:</item>
      </candidateList>
      <explain>文本全半角错误。</explain>
      <paraID>63043520</paraID>
      <start>8</start>
      <end>9</end>
      <status>unmodified</status>
      <modifiedWord/>
      <trackRevisions>false</trackRevisions>
    </reviewItem>
    <reviewItem>
      <errorID>8c7314f0-a648-4e3a-9e4f-80ae22269b9f</errorID>
      <errorWord>：</errorWord>
      <group>L1_Format</group>
      <groupName>格式问题</groupName>
      <ability>L2_HalfPunc</ability>
      <abilityName>全半角检查</abilityName>
      <candidateList>
        <item>:</item>
      </candidateList>
      <explain>文本全半角错误。</explain>
      <paraID>328101FE</paraID>
      <start>2</start>
      <end>3</end>
      <status>unmodified</status>
      <modifiedWord/>
      <trackRevisions>false</trackRevisions>
    </reviewItem>
    <reviewItem>
      <errorID>da450553-bedc-40d7-86ae-f6c910490f4b</errorID>
      <errorWord>～</errorWord>
      <group>L1_Format</group>
      <groupName>格式问题</groupName>
      <ability>L2_HalfPunc</ability>
      <abilityName>全半角检查</abilityName>
      <candidateList>
        <item>~</item>
      </candidateList>
      <explain>文本全半角错误。</explain>
      <paraID>328101FE</paraID>
      <start>5</start>
      <end>6</end>
      <status>unmodified</status>
      <modifiedWord/>
      <trackRevisions>false</trackRevisions>
    </reviewItem>
    <reviewItem>
      <errorID>b7de3284-6f29-493b-a1a3-3325e0a7fe80</errorID>
      <errorWord>：</errorWord>
      <group>L1_Format</group>
      <groupName>格式问题</groupName>
      <ability>L2_HalfPunc</ability>
      <abilityName>全半角检查</abilityName>
      <candidateList>
        <item>:</item>
      </candidateList>
      <explain>文本全半角错误。</explain>
      <paraID>328101FE</paraID>
      <start>8</start>
      <end>9</end>
      <status>unmodified</status>
      <modifiedWord/>
      <trackRevisions>false</trackRevisions>
    </reviewItem>
    <reviewItem>
      <errorID>8c1289d0-7201-407a-a489-5c06dddf0b6a</errorID>
      <errorWord>：</errorWord>
      <group>L1_Format</group>
      <groupName>格式问题</groupName>
      <ability>L2_HalfPunc</ability>
      <abilityName>全半角检查</abilityName>
      <candidateList>
        <item>:</item>
      </candidateList>
      <explain>文本全半角错误。</explain>
      <paraID>7A9B5623</paraID>
      <start>2</start>
      <end>3</end>
      <status>unmodified</status>
      <modifiedWord/>
      <trackRevisions>false</trackRevisions>
    </reviewItem>
    <reviewItem>
      <errorID>ae79117a-fada-4ca8-bced-6d2f199d5881</errorID>
      <errorWord>～</errorWord>
      <group>L1_Format</group>
      <groupName>格式问题</groupName>
      <ability>L2_HalfPunc</ability>
      <abilityName>全半角检查</abilityName>
      <candidateList>
        <item>~</item>
      </candidateList>
      <explain>文本全半角错误。</explain>
      <paraID>7A9B5623</paraID>
      <start>5</start>
      <end>6</end>
      <status>unmodified</status>
      <modifiedWord/>
      <trackRevisions>false</trackRevisions>
    </reviewItem>
    <reviewItem>
      <errorID>b423bd7e-e2fe-4996-93e3-c833c2d09040</errorID>
      <errorWord>：</errorWord>
      <group>L1_Format</group>
      <groupName>格式问题</groupName>
      <ability>L2_HalfPunc</ability>
      <abilityName>全半角检查</abilityName>
      <candidateList>
        <item>:</item>
      </candidateList>
      <explain>文本全半角错误。</explain>
      <paraID>7A9B5623</paraID>
      <start>8</start>
      <end>9</end>
      <status>unmodified</status>
      <modifiedWord/>
      <trackRevisions>false</trackRevisions>
    </reviewItem>
    <reviewItem>
      <errorID>cdf3ab1c-e5a3-43a7-9ee4-6c7e1b8aa857</errorID>
      <errorWord>(</errorWord>
      <group>L1_Format</group>
      <groupName>格式问题</groupName>
      <ability>L2_HalfPunc</ability>
      <abilityName>全半角检查</abilityName>
      <candidateList>
        <item>（</item>
      </candidateList>
      <explain>文本全半角错误。</explain>
      <paraID>5143BD0A</paraID>
      <start>6</start>
      <end>7</end>
      <status>unmodified</status>
      <modifiedWord/>
      <trackRevisions>false</trackRevisions>
    </reviewItem>
    <reviewItem>
      <errorID>ab7cf4c6-5012-46df-916e-a4e1cc194847</errorID>
      <errorWord>)</errorWord>
      <group>L1_Format</group>
      <groupName>格式问题</groupName>
      <ability>L2_HalfPunc</ability>
      <abilityName>全半角检查</abilityName>
      <candidateList>
        <item>）</item>
      </candidateList>
      <explain>文本全半角错误。</explain>
      <paraID>5143BD0A</paraID>
      <start>12</start>
      <end>13</end>
      <status>unmodified</status>
      <modifiedWord/>
      <trackRevisions>false</trackRevisions>
    </reviewItem>
    <reviewItem>
      <errorID>8adb5657-47d4-4fa1-93b7-4b0505c2900c</errorID>
      <errorWord>(</errorWord>
      <group>L1_Format</group>
      <groupName>格式问题</groupName>
      <ability>L2_HalfPunc</ability>
      <abilityName>全半角检查</abilityName>
      <candidateList>
        <item>（</item>
      </candidateList>
      <explain>文本全半角错误。</explain>
      <paraID>416494A8</paraID>
      <start>6</start>
      <end>7</end>
      <status>unmodified</status>
      <modifiedWord/>
      <trackRevisions>false</trackRevisions>
    </reviewItem>
    <reviewItem>
      <errorID>f5eb9ef3-7f2e-4473-892a-48b152772152</errorID>
      <errorWord>)</errorWord>
      <group>L1_Format</group>
      <groupName>格式问题</groupName>
      <ability>L2_HalfPunc</ability>
      <abilityName>全半角检查</abilityName>
      <candidateList>
        <item>）</item>
      </candidateList>
      <explain>文本全半角错误。</explain>
      <paraID>416494A8</paraID>
      <start>12</start>
      <end>13</end>
      <status>unmodified</status>
      <modifiedWord/>
      <trackRevisions>false</trackRevisions>
    </reviewItem>
    <reviewItem>
      <errorID>636f22c8-98b3-4d8c-9822-a7f5825011d7</errorID>
      <errorWord>(</errorWord>
      <group>L1_Format</group>
      <groupName>格式问题</groupName>
      <ability>L2_HalfPunc</ability>
      <abilityName>全半角检查</abilityName>
      <candidateList>
        <item>（</item>
      </candidateList>
      <explain>文本全半角错误。</explain>
      <paraID>78423082</paraID>
      <start>6</start>
      <end>7</end>
      <status>unmodified</status>
      <modifiedWord/>
      <trackRevisions>false</trackRevisions>
    </reviewItem>
    <reviewItem>
      <errorID>6619d2ec-5e84-46a4-b889-51f1c9305174</errorID>
      <errorWord>)</errorWord>
      <group>L1_Format</group>
      <groupName>格式问题</groupName>
      <ability>L2_HalfPunc</ability>
      <abilityName>全半角检查</abilityName>
      <candidateList>
        <item>）</item>
      </candidateList>
      <explain>文本全半角错误。</explain>
      <paraID>78423082</paraID>
      <start>12</start>
      <end>13</end>
      <status>unmodified</status>
      <modifiedWord/>
      <trackRevisions>false</trackRevisions>
    </reviewItem>
    <reviewItem>
      <errorID>535b152e-b396-476a-a1c8-6529f32a89b0</errorID>
      <errorWord>(</errorWord>
      <group>L1_Format</group>
      <groupName>格式问题</groupName>
      <ability>L2_HalfPunc</ability>
      <abilityName>全半角检查</abilityName>
      <candidateList>
        <item>（</item>
      </candidateList>
      <explain>文本全半角错误。</explain>
      <paraID>24AB18BF</paraID>
      <start>6</start>
      <end>7</end>
      <status>unmodified</status>
      <modifiedWord/>
      <trackRevisions>false</trackRevisions>
    </reviewItem>
    <reviewItem>
      <errorID>e404e1ec-26cf-476a-a062-33d8332961ad</errorID>
      <errorWord>)</errorWord>
      <group>L1_Format</group>
      <groupName>格式问题</groupName>
      <ability>L2_HalfPunc</ability>
      <abilityName>全半角检查</abilityName>
      <candidateList>
        <item>）</item>
      </candidateList>
      <explain>文本全半角错误。</explain>
      <paraID>24AB18BF</paraID>
      <start>12</start>
      <end>13</end>
      <status>unmodified</status>
      <modifiedWord/>
      <trackRevisions>false</trackRevisions>
    </reviewItem>
    <reviewItem>
      <errorID>8f62b87e-c83b-4f54-908b-f65ef788d695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6536E7BD</paraID>
      <start>15</start>
      <end>16</end>
      <status>unmodified</status>
      <modifiedWord/>
      <trackRevisions>false</trackRevisions>
    </reviewItem>
    <reviewItem>
      <errorID>226aa00f-7ab7-49b1-ab24-8346eec857ab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6536E7BD</paraID>
      <start>32</start>
      <end>33</end>
      <status>unmodified</status>
      <modifiedWord/>
      <trackRevisions>false</trackRevisions>
    </reviewItem>
    <reviewItem>
      <errorID>bf03743c-66f9-4b47-9fb9-cbbb8edb8f0a</errorID>
      <errorWord>＜</errorWord>
      <group>L1_Format</group>
      <groupName>格式问题</groupName>
      <ability>L2_HalfPunc</ability>
      <abilityName>全半角检查</abilityName>
      <candidateList>
        <item>&lt;</item>
      </candidateList>
      <explain>文本全半角错误。</explain>
      <paraID>7C293011</paraID>
      <start>0</start>
      <end>1</end>
      <status>unmodified</status>
      <modifiedWord/>
      <trackRevisions>false</trackRevisions>
    </reviewItem>
    <reviewItem>
      <errorID>28c44dc3-2a2a-4b43-aa14-6d53a0ba0357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719234F3</paraID>
      <start>0</start>
      <end>2</end>
      <status>unmodified</status>
      <modifiedWord/>
      <trackRevisions>false</trackRevisions>
    </reviewItem>
    <reviewItem>
      <errorID>66bd3a9a-eab6-47bf-a4f4-54c88d826a25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11064BB6</paraID>
      <start>0</start>
      <end>2</end>
      <status>unmodified</status>
      <modifiedWord/>
      <trackRevisions>false</trackRevisions>
    </reviewItem>
    <reviewItem>
      <errorID>3a764906-0f29-4cea-a3c5-d67d7c413835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71DF41D</paraID>
      <start>0</start>
      <end>2</end>
      <status>unmodified</status>
      <modifiedWord/>
      <trackRevisions>false</trackRevisions>
    </reviewItem>
    <reviewItem>
      <errorID>b6b431c0-ab64-4560-b460-29690d742b92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232AB196</paraID>
      <start>0</start>
      <end>2</end>
      <status>unmodified</status>
      <modifiedWord/>
      <trackRevisions>false</trackRevisions>
    </reviewItem>
    <reviewItem>
      <errorID>0a8fb61a-7034-4255-8d13-c1bb26655356</errorID>
      <errorWord>＜</errorWord>
      <group>L1_Format</group>
      <groupName>格式问题</groupName>
      <ability>L2_HalfPunc</ability>
      <abilityName>全半角检查</abilityName>
      <candidateList>
        <item>&lt;</item>
      </candidateList>
      <explain>文本全半角错误。</explain>
      <paraID>746FE56F</paraID>
      <start>0</start>
      <end>1</end>
      <status>unmodified</status>
      <modifiedWord/>
      <trackRevisions>false</trackRevisions>
    </reviewItem>
    <reviewItem>
      <errorID>f7696af1-86d0-497a-9e40-3207766001c4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277E452C</paraID>
      <start>0</start>
      <end>2</end>
      <status>unmodified</status>
      <modifiedWord/>
      <trackRevisions>false</trackRevisions>
    </reviewItem>
    <reviewItem>
      <errorID>7706359f-53de-4228-b82b-b2e86f21802e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323073C4</paraID>
      <start>0</start>
      <end>2</end>
      <status>unmodified</status>
      <modifiedWord/>
      <trackRevisions>false</trackRevisions>
    </reviewItem>
    <reviewItem>
      <errorID>023c452e-421b-443d-9f02-a3c5b4fc70f0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7D5E453</paraID>
      <start>0</start>
      <end>2</end>
      <status>unmodified</status>
      <modifiedWord/>
      <trackRevisions>false</trackRevisions>
    </reviewItem>
    <reviewItem>
      <errorID>62f84db5-fd1a-46c7-9992-408c780c20e7</errorID>
      <errorWord>＜</errorWord>
      <group>L1_Format</group>
      <groupName>格式问题</groupName>
      <ability>L2_HalfPunc</ability>
      <abilityName>全半角检查</abilityName>
      <candidateList>
        <item>&lt;</item>
      </candidateList>
      <explain>文本全半角错误。</explain>
      <paraID>49325ECD</paraID>
      <start>0</start>
      <end>1</end>
      <status>unmodified</status>
      <modifiedWord/>
      <trackRevisions>false</trackRevisions>
    </reviewItem>
    <reviewItem>
      <errorID>8f985b5e-2cbc-48d2-b8e1-6b1f9554e39a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237FBF3C</paraID>
      <start>0</start>
      <end>2</end>
      <status>unmodified</status>
      <modifiedWord/>
      <trackRevisions>false</trackRevisions>
    </reviewItem>
    <reviewItem>
      <errorID>1b2e7fa9-88a4-4575-849e-5b9514e0b7b4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76D828CD</paraID>
      <start>0</start>
      <end>2</end>
      <status>unmodified</status>
      <modifiedWord/>
      <trackRevisions>false</trackRevisions>
    </reviewItem>
    <reviewItem>
      <errorID>388ac836-900f-48a3-a54a-bf6c2c6131eb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5DA22FAA</paraID>
      <start>0</start>
      <end>2</end>
      <status>unmodified</status>
      <modifiedWord/>
      <trackRevisions>false</trackRevisions>
    </reviewItem>
    <reviewItem>
      <errorID>307d3699-f974-493e-a1bb-c8aa6eb43481</errorID>
      <errorWord>＜</errorWord>
      <group>L1_Format</group>
      <groupName>格式问题</groupName>
      <ability>L2_HalfPunc</ability>
      <abilityName>全半角检查</abilityName>
      <candidateList>
        <item>&lt;</item>
      </candidateList>
      <explain>文本全半角错误。</explain>
      <paraID>37F24B24</paraID>
      <start>0</start>
      <end>1</end>
      <status>unmodified</status>
      <modifiedWord/>
      <trackRevisions>false</trackRevisions>
    </reviewItem>
    <reviewItem>
      <errorID>f7696af1-86d0-497a-9e40-3207766001c4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32654FFF</paraID>
      <start>0</start>
      <end>2</end>
      <status>unmodified</status>
      <modifiedWord/>
      <trackRevisions>false</trackRevisions>
    </reviewItem>
    <reviewItem>
      <errorID>7706359f-53de-4228-b82b-b2e86f21802e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73BAC02D</paraID>
      <start>0</start>
      <end>2</end>
      <status>unmodified</status>
      <modifiedWord/>
      <trackRevisions>false</trackRevisions>
    </reviewItem>
    <reviewItem>
      <errorID>023c452e-421b-443d-9f02-a3c5b4fc70f0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5E6B76AE</paraID>
      <start>0</start>
      <end>2</end>
      <status>unmodified</status>
      <modifiedWord/>
      <trackRevisions>false</trackRevisions>
    </reviewItem>
    <reviewItem>
      <errorID>baa05d75-ed15-46b6-817e-41ebfc67c954</errorID>
      <errorWord>＜</errorWord>
      <group>L1_Format</group>
      <groupName>格式问题</groupName>
      <ability>L2_HalfPunc</ability>
      <abilityName>全半角检查</abilityName>
      <candidateList>
        <item>&lt;</item>
      </candidateList>
      <explain>文本全半角错误。</explain>
      <paraID>5C794C20</paraID>
      <start>0</start>
      <end>1</end>
      <status>unmodified</status>
      <modifiedWord/>
      <trackRevisions>false</trackRevisions>
    </reviewItem>
    <reviewItem>
      <errorID>8f985b5e-2cbc-48d2-b8e1-6b1f9554e39a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5C65998C</paraID>
      <start>0</start>
      <end>2</end>
      <status>unmodified</status>
      <modifiedWord/>
      <trackRevisions>false</trackRevisions>
    </reviewItem>
    <reviewItem>
      <errorID>1b2e7fa9-88a4-4575-849e-5b9514e0b7b4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40C076A9</paraID>
      <start>0</start>
      <end>2</end>
      <status>unmodified</status>
      <modifiedWord/>
      <trackRevisions>false</trackRevisions>
    </reviewItem>
    <reviewItem>
      <errorID>388ac836-900f-48a3-a54a-bf6c2c6131eb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32951354</paraID>
      <start>0</start>
      <end>2</end>
      <status>unmodified</status>
      <modifiedWord/>
      <trackRevisions>false</trackRevisions>
    </reviewItem>
    <reviewItem>
      <errorID>9357b75f-bbdb-4e2c-b5ce-30d2324377df</errorID>
      <errorWord>＜</errorWord>
      <group>L1_Format</group>
      <groupName>格式问题</groupName>
      <ability>L2_HalfPunc</ability>
      <abilityName>全半角检查</abilityName>
      <candidateList>
        <item>&lt;</item>
      </candidateList>
      <explain>文本全半角错误。</explain>
      <paraID>7E49AED4</paraID>
      <start>0</start>
      <end>1</end>
      <status>unmodified</status>
      <modifiedWord/>
      <trackRevisions>false</trackRevisions>
    </reviewItem>
    <reviewItem>
      <errorID>1d3d9156-0ad6-42af-93e5-16c12a4d4611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5AD68CE</paraID>
      <start>0</start>
      <end>2</end>
      <status>unmodified</status>
      <modifiedWord/>
      <trackRevisions>false</trackRevisions>
    </reviewItem>
    <reviewItem>
      <errorID>cd6d5fd5-552e-46a8-8a79-80bf0abca521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689A542A</paraID>
      <start>0</start>
      <end>2</end>
      <status>unmodified</status>
      <modifiedWord/>
      <trackRevisions>false</trackRevisions>
    </reviewItem>
    <reviewItem>
      <errorID>1ce8d780-46fd-4788-8dcc-2b90fa72c65f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39BCB58</paraID>
      <start>0</start>
      <end>2</end>
      <status>unmodified</status>
      <modifiedWord/>
      <trackRevisions>false</trackRevisions>
    </reviewItem>
    <reviewItem>
      <errorID>4f0dcd07-f9cf-435a-9206-059057b567f0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AD49AA8</paraID>
      <start>0</start>
      <end>2</end>
      <status>unmodified</status>
      <modifiedWord/>
      <trackRevisions>false</trackRevisions>
    </reviewItem>
    <reviewItem>
      <errorID>ea65216b-08a3-42af-8e7f-70faae58d65c</errorID>
      <errorWord>＜</errorWord>
      <group>L1_Format</group>
      <groupName>格式问题</groupName>
      <ability>L2_HalfPunc</ability>
      <abilityName>全半角检查</abilityName>
      <candidateList>
        <item>&lt;</item>
      </candidateList>
      <explain>文本全半角错误。</explain>
      <paraID>7BC54D38</paraID>
      <start>0</start>
      <end>1</end>
      <status>unmodified</status>
      <modifiedWord/>
      <trackRevisions>false</trackRevisions>
    </reviewItem>
    <reviewItem>
      <errorID>cf611ad6-0c4a-4470-8b90-a80c4702c8fe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719A0E2C</paraID>
      <start>0</start>
      <end>2</end>
      <status>unmodified</status>
      <modifiedWord/>
      <trackRevisions>false</trackRevisions>
    </reviewItem>
    <reviewItem>
      <errorID>762b3cea-9107-4b78-8a65-74f8c455e112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3E1EB275</paraID>
      <start>0</start>
      <end>2</end>
      <status>unmodified</status>
      <modifiedWord/>
      <trackRevisions>false</trackRevisions>
    </reviewItem>
    <reviewItem>
      <errorID>e5ceeeef-8991-4014-a137-cfa1ed3e9a3c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3AB111BD</paraID>
      <start>0</start>
      <end>2</end>
      <status>unmodified</status>
      <modifiedWord/>
      <trackRevisions>false</trackRevisions>
    </reviewItem>
    <reviewItem>
      <errorID>fa93659f-0ab4-45ba-a9df-3c39663e2239</errorID>
      <errorWord>：</errorWord>
      <group>L1_Format</group>
      <groupName>格式问题</groupName>
      <ability>L2_HalfPunc</ability>
      <abilityName>全半角检查</abilityName>
      <candidateList>
        <item>:</item>
      </candidateList>
      <explain>文本全半角错误。</explain>
      <paraID>68775622</paraID>
      <start>83</start>
      <end>84</end>
      <status>unmodified</status>
      <modifiedWord/>
      <trackRevisions>false</trackRevisions>
    </reviewItem>
    <reviewItem>
      <errorID>11d285b1-dd05-47a7-ad8a-3c976a4b423f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7CFAF420</paraID>
      <start>31</start>
      <end>32</end>
      <status>unmodified</status>
      <modifiedWord/>
      <trackRevisions>false</trackRevisions>
    </reviewItem>
    <reviewItem>
      <errorID>9d4acae6-aa7a-44fe-b386-ab217ad590f5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7CFAF420</paraID>
      <start>90</start>
      <end>91</end>
      <status>unmodified</status>
      <modifiedWord/>
      <trackRevisions>false</trackRevisions>
    </reviewItem>
    <reviewItem>
      <errorID>7057952c-ed2c-466d-857f-fa130dbfe4dd</errorID>
      <errorWord>（</errorWord>
      <group>L1_Punc</group>
      <groupName>标点问题</groupName>
      <ability>L2_Punc</ability>
      <abilityName>标点符号检查</abilityName>
      <candidateList/>
      <explain>同一形式括号套用。</explain>
      <paraID>5459FEAE</paraID>
      <start>7</start>
      <end>8</end>
      <status>unmodified</status>
      <modifiedWord/>
      <trackRevisions>false</trackRevisions>
    </reviewItem>
    <reviewItem>
      <errorID>d11562a8-74a1-48a0-8132-4af173d6d4d5</errorID>
      <errorWord>）</errorWord>
      <group>L1_Punc</group>
      <groupName>标点问题</groupName>
      <ability>L2_Punc</ability>
      <abilityName>标点符号检查</abilityName>
      <candidateList/>
      <explain>同一形式括号套用。</explain>
      <paraID>5459FEAE</paraID>
      <start>9</start>
      <end>10</end>
      <status>unmodified</status>
      <modifiedWord/>
      <trackRevisions>false</trackRevisions>
    </reviewItem>
    <reviewItem>
      <errorID>b6c82c99-651b-47de-a41b-e5f0cf7b30fa</errorID>
      <errorWord>（</errorWord>
      <group>L1_Punc</group>
      <groupName>标点问题</groupName>
      <ability>L2_Punc</ability>
      <abilityName>标点符号检查</abilityName>
      <candidateList/>
      <explain>同一形式括号套用。</explain>
      <paraID>1B8C4CE7</paraID>
      <start>7</start>
      <end>8</end>
      <status>unmodified</status>
      <modifiedWord/>
      <trackRevisions>false</trackRevisions>
    </reviewItem>
    <reviewItem>
      <errorID>0f98ec6d-a02f-407b-9a3d-8e8254cab956</errorID>
      <errorWord>）</errorWord>
      <group>L1_Punc</group>
      <groupName>标点问题</groupName>
      <ability>L2_Punc</ability>
      <abilityName>标点符号检查</abilityName>
      <candidateList/>
      <explain>同一形式括号套用。</explain>
      <paraID>1B8C4CE7</paraID>
      <start>9</start>
      <end>10</end>
      <status>unmodified</status>
      <modifiedWord/>
      <trackRevisions>false</trackRevisions>
    </reviewItem>
    <reviewItem>
      <errorID>4d053737-70fa-49f0-ba36-7e0bc1d6bc92</errorID>
      <errorWord>（</errorWord>
      <group>L1_Punc</group>
      <groupName>标点问题</groupName>
      <ability>L2_Punc</ability>
      <abilityName>标点符号检查</abilityName>
      <candidateList/>
      <explain>同一形式括号套用。</explain>
      <paraID>1C1CB075</paraID>
      <start>62</start>
      <end>63</end>
      <status>unmodified</status>
      <modifiedWord/>
      <trackRevisions>false</trackRevisions>
    </reviewItem>
    <reviewItem>
      <errorID>90dd31ab-71a7-4530-8194-cc58d6a2b451</errorID>
      <errorWord>）</errorWord>
      <group>L1_Punc</group>
      <groupName>标点问题</groupName>
      <ability>L2_Punc</ability>
      <abilityName>标点符号检查</abilityName>
      <candidateList/>
      <explain>同一形式括号套用。</explain>
      <paraID>1C1CB075</paraID>
      <start>64</start>
      <end>65</end>
      <status>unmodified</status>
      <modifiedWord/>
      <trackRevisions>false</trackRevisions>
    </reviewItem>
    <reviewItem>
      <errorID>a7344f05-6166-46c1-8870-f01efaaee4f3</errorID>
      <errorWord>（</errorWord>
      <group>L1_Punc</group>
      <groupName>标点问题</groupName>
      <ability>L2_Punc</ability>
      <abilityName>标点符号检查</abilityName>
      <candidateList/>
      <explain>同一形式括号套用。</explain>
      <paraID>1C1CB075</paraID>
      <start>72</start>
      <end>73</end>
      <status>unmodified</status>
      <modifiedWord/>
      <trackRevisions>false</trackRevisions>
    </reviewItem>
    <reviewItem>
      <errorID>853832d0-b097-4465-96db-1d5c33f1e740</errorID>
      <errorWord>）</errorWord>
      <group>L1_Punc</group>
      <groupName>标点问题</groupName>
      <ability>L2_Punc</ability>
      <abilityName>标点符号检查</abilityName>
      <candidateList/>
      <explain>同一形式括号套用。</explain>
      <paraID>1C1CB075</paraID>
      <start>74</start>
      <end>75</end>
      <status>unmodified</status>
      <modifiedWord/>
      <trackRevisions>false</trackRevisions>
    </reviewItem>
    <reviewItem>
      <errorID>01332790-4d62-4854-a4cc-bc1e3536df1e</errorID>
      <errorWord>～</errorWord>
      <group>L1_Format</group>
      <groupName>格式问题</groupName>
      <ability>L2_HalfPunc</ability>
      <abilityName>全半角检查</abilityName>
      <candidateList>
        <item>~</item>
      </candidateList>
      <explain>文本全半角错误。</explain>
      <paraID>3CC68696</paraID>
      <start>1</start>
      <end>2</end>
      <status>unmodified</status>
      <modifiedWord/>
      <trackRevisions>false</trackRevisions>
    </reviewItem>
    <reviewItem>
      <errorID>a504ef51-bf93-40a6-8011-04f45ff248f8</errorID>
      <errorWord>，</errorWord>
      <group>L1_Format</group>
      <groupName>格式问题</groupName>
      <ability>L2_HalfPunc</ability>
      <abilityName>全半角检查</abilityName>
      <candidateList>
        <item>,</item>
      </candidateList>
      <explain>文本全半角错误。</explain>
      <paraID>3CC68696</paraID>
      <start>6</start>
      <end>7</end>
      <status>unmodified</status>
      <modifiedWord/>
      <trackRevisions>false</trackRevisions>
    </reviewItem>
    <reviewItem>
      <errorID>e3c51de9-08e1-4941-8334-a7ce5094b679</errorID>
      <errorWord>～</errorWord>
      <group>L1_Format</group>
      <groupName>格式问题</groupName>
      <ability>L2_HalfPunc</ability>
      <abilityName>全半角检查</abilityName>
      <candidateList>
        <item>~</item>
      </candidateList>
      <explain>文本全半角错误。</explain>
      <paraID>3F2C1CA1</paraID>
      <start>1</start>
      <end>2</end>
      <status>unmodified</status>
      <modifiedWord/>
      <trackRevisions>false</trackRevisions>
    </reviewItem>
    <reviewItem>
      <errorID>3ffc8896-232c-47fe-bd35-ba76bd603072</errorID>
      <errorWord>，</errorWord>
      <group>L1_Format</group>
      <groupName>格式问题</groupName>
      <ability>L2_HalfPunc</ability>
      <abilityName>全半角检查</abilityName>
      <candidateList>
        <item>,</item>
      </candidateList>
      <explain>文本全半角错误。</explain>
      <paraID>3F2C1CA1</paraID>
      <start>6</start>
      <end>7</end>
      <status>unmodified</status>
      <modifiedWord/>
      <trackRevisions>false</trackRevisions>
    </reviewItem>
    <reviewItem>
      <errorID>ad59d6fb-a481-4879-be41-45a03b8903dc</errorID>
      <errorWord>～</errorWord>
      <group>L1_Format</group>
      <groupName>格式问题</groupName>
      <ability>L2_HalfPunc</ability>
      <abilityName>全半角检查</abilityName>
      <candidateList>
        <item>~</item>
      </candidateList>
      <explain>文本全半角错误。</explain>
      <paraID>3DE2E6C7</paraID>
      <start>1</start>
      <end>2</end>
      <status>unmodified</status>
      <modifiedWord/>
      <trackRevisions>false</trackRevisions>
    </reviewItem>
    <reviewItem>
      <errorID>32af59bb-f9fe-4013-9b80-b531d3ab7914</errorID>
      <errorWord>，</errorWord>
      <group>L1_Format</group>
      <groupName>格式问题</groupName>
      <ability>L2_HalfPunc</ability>
      <abilityName>全半角检查</abilityName>
      <candidateList>
        <item>,</item>
      </candidateList>
      <explain>文本全半角错误。</explain>
      <paraID>3DE2E6C7</paraID>
      <start>6</start>
      <end>7</end>
      <status>unmodified</status>
      <modifiedWord/>
      <trackRevisions>false</trackRevisions>
    </reviewItem>
    <reviewItem>
      <errorID>d7bea8cf-4238-4f8e-9139-b5ff777d6eaa</errorID>
      <errorWord>～</errorWord>
      <group>L1_Format</group>
      <groupName>格式问题</groupName>
      <ability>L2_HalfPunc</ability>
      <abilityName>全半角检查</abilityName>
      <candidateList>
        <item>~</item>
      </candidateList>
      <explain>文本全半角错误。</explain>
      <paraID> 6380CC5</paraID>
      <start>1</start>
      <end>2</end>
      <status>unmodified</status>
      <modifiedWord/>
      <trackRevisions>false</trackRevisions>
    </reviewItem>
    <reviewItem>
      <errorID>8328d00d-ca6a-4bee-b639-a229651869b0</errorID>
      <errorWord>，</errorWord>
      <group>L1_Format</group>
      <groupName>格式问题</groupName>
      <ability>L2_HalfPunc</ability>
      <abilityName>全半角检查</abilityName>
      <candidateList>
        <item>,</item>
      </candidateList>
      <explain>文本全半角错误。</explain>
      <paraID> 6380CC5</paraID>
      <start>6</start>
      <end>7</end>
      <status>unmodified</status>
      <modifiedWord/>
      <trackRevisions>false</trackRevisions>
    </reviewItem>
    <reviewItem>
      <errorID>382f0ab8-a755-47e2-84ff-5f5b724bb60d</errorID>
      <errorWord>：</errorWord>
      <group>L1_Format</group>
      <groupName>格式问题</groupName>
      <ability>L2_HalfPunc</ability>
      <abilityName>全半角检查</abilityName>
      <candidateList>
        <item>:</item>
      </candidateList>
      <explain>文本全半角错误。</explain>
      <paraID>2E1A3B67</paraID>
      <start>2</start>
      <end>3</end>
      <status>unmodified</status>
      <modifiedWord/>
      <trackRevisions>false</trackRevisions>
    </reviewItem>
    <reviewItem>
      <errorID>27845895-4326-4bb7-9b74-d2c3e470bc3b</errorID>
      <errorWord>：</errorWord>
      <group>L1_Format</group>
      <groupName>格式问题</groupName>
      <ability>L2_HalfPunc</ability>
      <abilityName>全半角检查</abilityName>
      <candidateList>
        <item>:</item>
      </candidateList>
      <explain>文本全半角错误。</explain>
      <paraID>3F65B928</paraID>
      <start>2</start>
      <end>3</end>
      <status>unmodified</status>
      <modifiedWord/>
      <trackRevisions>false</trackRevisions>
    </reviewItem>
    <reviewItem>
      <errorID>be188b50-fdb4-46fc-9b42-8065039096fa</errorID>
      <errorWord>：</errorWord>
      <group>L1_Format</group>
      <groupName>格式问题</groupName>
      <ability>L2_HalfPunc</ability>
      <abilityName>全半角检查</abilityName>
      <candidateList>
        <item>:</item>
      </candidateList>
      <explain>文本全半角错误。</explain>
      <paraID>3C7D0C19</paraID>
      <start>2</start>
      <end>3</end>
      <status>unmodified</status>
      <modifiedWord/>
      <trackRevisions>false</trackRevisions>
    </reviewItem>
    <reviewItem>
      <errorID>ec3582da-0fc4-477e-a35b-220764e091c2</errorID>
      <errorWord>：</errorWord>
      <group>L1_Format</group>
      <groupName>格式问题</groupName>
      <ability>L2_HalfPunc</ability>
      <abilityName>全半角检查</abilityName>
      <candidateList>
        <item>:</item>
      </candidateList>
      <explain>文本全半角错误。</explain>
      <paraID>2445E962</paraID>
      <start>2</start>
      <end>3</end>
      <status>unmodified</status>
      <modifiedWord/>
      <trackRevisions>false</trackRevisions>
    </reviewItem>
    <reviewItem>
      <errorID>bc43c852-b51e-4456-801c-d407b8c54f1d</errorID>
      <errorWord>～</errorWord>
      <group>L1_Format</group>
      <groupName>格式问题</groupName>
      <ability>L2_HalfPunc</ability>
      <abilityName>全半角检查</abilityName>
      <candidateList>
        <item>~</item>
      </candidateList>
      <explain>文本全半角错误。</explain>
      <paraID>19BAA8B2</paraID>
      <start>1</start>
      <end>2</end>
      <status>unmodified</status>
      <modifiedWord/>
      <trackRevisions>false</trackRevisions>
    </reviewItem>
    <reviewItem>
      <errorID>069ea2fc-c61c-4186-9028-c44384b969aa</errorID>
      <errorWord>～</errorWord>
      <group>L1_Format</group>
      <groupName>格式问题</groupName>
      <ability>L2_HalfPunc</ability>
      <abilityName>全半角检查</abilityName>
      <candidateList>
        <item>~</item>
      </candidateList>
      <explain>文本全半角错误。</explain>
      <paraID>4AA2A246</paraID>
      <start>3</start>
      <end>4</end>
      <status>unmodified</status>
      <modifiedWord/>
      <trackRevisions>false</trackRevisions>
    </reviewItem>
    <reviewItem>
      <errorID>e42f64b5-3c6d-4a44-a212-23ec6be66d29</errorID>
      <errorWord>～</errorWord>
      <group>L1_Format</group>
      <groupName>格式问题</groupName>
      <ability>L2_HalfPunc</ability>
      <abilityName>全半角检查</abilityName>
      <candidateList>
        <item>~</item>
      </candidateList>
      <explain>文本全半角错误。</explain>
      <paraID> C69FDF7</paraID>
      <start>3</start>
      <end>4</end>
      <status>unmodified</status>
      <modifiedWord/>
      <trackRevisions>false</trackRevisions>
    </reviewItem>
    <reviewItem>
      <errorID>b50281a2-4e5a-4b29-a937-2d478c52c18d</errorID>
      <errorWord>～</errorWord>
      <group>L1_Format</group>
      <groupName>格式问题</groupName>
      <ability>L2_HalfPunc</ability>
      <abilityName>全半角检查</abilityName>
      <candidateList>
        <item>~</item>
      </candidateList>
      <explain>文本全半角错误。</explain>
      <paraID>28E683A4</paraID>
      <start>1</start>
      <end>2</end>
      <status>unmodified</status>
      <modifiedWord/>
      <trackRevisions>false</trackRevisions>
    </reviewItem>
    <reviewItem>
      <errorID>bf90fb69-cc61-4812-873e-d5c22a83316b</errorID>
      <errorWord>～</errorWord>
      <group>L1_Format</group>
      <groupName>格式问题</groupName>
      <ability>L2_HalfPunc</ability>
      <abilityName>全半角检查</abilityName>
      <candidateList>
        <item>~</item>
      </candidateList>
      <explain>文本全半角错误。</explain>
      <paraID>2E54EF4A</paraID>
      <start>1</start>
      <end>2</end>
      <status>unmodified</status>
      <modifiedWord/>
      <trackRevisions>false</trackRevisions>
    </reviewItem>
    <reviewItem>
      <errorID>cc141114-1e44-4feb-bb35-e9e9214c7dd2</errorID>
      <errorWord>～</errorWord>
      <group>L1_Format</group>
      <groupName>格式问题</groupName>
      <ability>L2_HalfPunc</ability>
      <abilityName>全半角检查</abilityName>
      <candidateList>
        <item>~</item>
      </candidateList>
      <explain>文本全半角错误。</explain>
      <paraID> B6CB304</paraID>
      <start>1</start>
      <end>2</end>
      <status>unmodified</status>
      <modifiedWord/>
      <trackRevisions>false</trackRevisions>
    </reviewItem>
    <reviewItem>
      <errorID>5afc68a0-4d51-4da7-bb36-00e8f616cf9a</errorID>
      <errorWord>～</errorWord>
      <group>L1_Format</group>
      <groupName>格式问题</groupName>
      <ability>L2_HalfPunc</ability>
      <abilityName>全半角检查</abilityName>
      <candidateList>
        <item>~</item>
      </candidateList>
      <explain>文本全半角错误。</explain>
      <paraID>641C5EB7</paraID>
      <start>1</start>
      <end>2</end>
      <status>unmodified</status>
      <modifiedWord/>
      <trackRevisions>false</trackRevisions>
    </reviewItem>
    <reviewItem>
      <errorID>795dabc3-ecd6-4f2d-b15a-d6ac3de85f24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55704793</paraID>
      <start>0</start>
      <end>2</end>
      <status>unmodified</status>
      <modifiedWord/>
      <trackRevisions>false</trackRevisions>
    </reviewItem>
    <reviewItem>
      <errorID>c9c40458-ef62-4aa8-b280-b5609d4f9513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AAA4B95</paraID>
      <start>0</start>
      <end>2</end>
      <status>unmodified</status>
      <modifiedWord/>
      <trackRevisions>false</trackRevisions>
    </reviewItem>
    <reviewItem>
      <errorID>bbbdcf5c-f225-4d6d-bbe5-d063c82bef0c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77EF720A</paraID>
      <start>0</start>
      <end>2</end>
      <status>unmodified</status>
      <modifiedWord/>
      <trackRevisions>false</trackRevisions>
    </reviewItem>
    <reviewItem>
      <errorID>1380020e-10c1-400e-a762-cd173ae83a4c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778F73A</paraID>
      <start>0</start>
      <end>2</end>
      <status>unmodified</status>
      <modifiedWord/>
      <trackRevisions>false</trackRevisions>
    </reviewItem>
    <reviewItem>
      <errorID>22c2112d-dc3b-431c-996d-82fa21d2c14b</errorID>
      <errorWord>1，</errorWord>
      <group>L1_Format</group>
      <groupName>格式问题</groupName>
      <ability>L2_Ordinal</ability>
      <abilityName>序号格式</abilityName>
      <candidateList>
        <item>1.</item>
      </candidateList>
      <explain>当前序号格式不规范，建议修改为规范格式[1.]。</explain>
      <paraID>76056F47</paraID>
      <start>0</start>
      <end>2</end>
      <status>unmodified</status>
      <modifiedWord/>
      <trackRevisions>false</trackRevisions>
    </reviewItem>
    <reviewItem>
      <errorID>50dc9dbe-bf85-487e-886c-f157e49ffc2c</errorID>
      <errorWord>1，</errorWord>
      <group>L1_Format</group>
      <groupName>格式问题</groupName>
      <ability>L2_Ordinal</ability>
      <abilityName>序号格式</abilityName>
      <candidateList>
        <item>1.</item>
      </candidateList>
      <explain>当前序号格式不规范，建议修改为规范格式[1.]。</explain>
      <paraID>53C5D3F0</paraID>
      <start>0</start>
      <end>2</end>
      <status>unmodified</status>
      <modifiedWord/>
      <trackRevisions>false</trackRevisions>
    </reviewItem>
    <reviewItem>
      <errorID>567da434-e109-4101-ae77-3edce9447dcc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5A8DAAB1</paraID>
      <start>0</start>
      <end>2</end>
      <status>unmodified</status>
      <modifiedWord/>
      <trackRevisions>false</trackRevisions>
    </reviewItem>
    <reviewItem>
      <errorID>ed78123a-a7f7-48e2-804d-56b97f3ef5b0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2D348C85</paraID>
      <start>0</start>
      <end>2</end>
      <status>unmodified</status>
      <modifiedWord/>
      <trackRevisions>false</trackRevisions>
    </reviewItem>
    <reviewItem>
      <errorID>39832e3f-04f0-439e-aede-7b77578fd5a9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69058EF3</paraID>
      <start>0</start>
      <end>2</end>
      <status>unmodified</status>
      <modifiedWord/>
      <trackRevisions>false</trackRevisions>
    </reviewItem>
    <reviewItem>
      <errorID>a6f8bdb7-17bb-4157-8c14-5daba03bedfd</errorID>
      <errorWord>1，</errorWord>
      <group>L1_Format</group>
      <groupName>格式问题</groupName>
      <ability>L2_Ordinal</ability>
      <abilityName>序号格式</abilityName>
      <candidateList>
        <item>1.</item>
      </candidateList>
      <explain>当前序号格式不规范，建议修改为规范格式[1.]。</explain>
      <paraID>61D50C82</paraID>
      <start>0</start>
      <end>2</end>
      <status>unmodified</status>
      <modifiedWord/>
      <trackRevisions>false</trackRevisions>
    </reviewItem>
    <reviewItem>
      <errorID>9796ee87-e220-403b-9971-d17c93eb2189</errorID>
      <errorWord>1，</errorWord>
      <group>L1_Format</group>
      <groupName>格式问题</groupName>
      <ability>L2_Ordinal</ability>
      <abilityName>序号格式</abilityName>
      <candidateList>
        <item>1.</item>
      </candidateList>
      <explain>当前序号格式不规范，建议修改为规范格式[1.]。</explain>
      <paraID>15CCE858</paraID>
      <start>0</start>
      <end>2</end>
      <status>unmodified</status>
      <modifiedWord/>
      <trackRevisions>false</trackRevisions>
    </reviewItem>
    <reviewItem>
      <errorID>96448988-26f0-4aea-8ed4-8c23e0b7da33</errorID>
      <errorWord>-</errorWord>
      <group>L1_Format</group>
      <groupName>格式问题</groupName>
      <ability>L2_HalfPunc</ability>
      <abilityName>全半角检查</abilityName>
      <candidateList>
        <item>－</item>
      </candidateList>
      <explain>文本全半角错误。</explain>
      <paraID>24C12554</paraID>
      <start>1</start>
      <end>2</end>
      <status>unmodified</status>
      <modifiedWord/>
      <trackRevisions>false</trackRevisions>
    </reviewItem>
    <reviewItem>
      <errorID>e303c6c0-e7c4-4b95-96a3-dbd4b8ac5b4a</errorID>
      <errorWord>（</errorWord>
      <group>L1_Format</group>
      <groupName>格式问题</groupName>
      <ability>L2_HalfPunc</ability>
      <abilityName>全半角检查</abilityName>
      <candidateList>
        <item>(</item>
      </candidateList>
      <explain>文本全半角错误。</explain>
      <paraID>33E626CB</paraID>
      <start>1</start>
      <end>2</end>
      <status>unmodified</status>
      <modifiedWord/>
      <trackRevisions>false</trackRevisions>
    </reviewItem>
    <reviewItem>
      <errorID>1dabde61-7c8c-4962-a273-589daba84fbd</errorID>
      <errorWord>）</errorWord>
      <group>L1_Format</group>
      <groupName>格式问题</groupName>
      <ability>L2_HalfPunc</ability>
      <abilityName>全半角检查</abilityName>
      <candidateList>
        <item>)</item>
      </candidateList>
      <explain>文本全半角错误。</explain>
      <paraID>33E626CB</paraID>
      <start>7</start>
      <end>8</end>
      <status>unmodified</status>
      <modifiedWord/>
      <trackRevisions>false</trackRevisions>
    </reviewItem>
    <reviewItem>
      <errorID>e9e6c3db-eada-4846-910e-279be5f68e41</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1A116801</paraID>
      <start>203</start>
      <end>204</end>
      <status>unmodified</status>
      <modifiedWord/>
      <trackRevisions>false</trackRevisions>
    </reviewItem>
    <reviewItem>
      <errorID>543da429-3053-44c4-b3ed-2c2ef9ab52a4</errorID>
      <errorWord>(</errorWord>
      <group>L1_Format</group>
      <groupName>格式问题</groupName>
      <ability>L2_HalfPunc</ability>
      <abilityName>全半角检查</abilityName>
      <candidateList>
        <item>（</item>
      </candidateList>
      <explain>文本全半角错误。</explain>
      <paraID>12455866</paraID>
      <start>3</start>
      <end>4</end>
      <status>unmodified</status>
      <modifiedWord/>
      <trackRevisions>false</trackRevisions>
    </reviewItem>
    <reviewItem>
      <errorID>67d740e8-b337-419f-93ef-e419043a9665</errorID>
      <errorWord>)</errorWord>
      <group>L1_Format</group>
      <groupName>格式问题</groupName>
      <ability>L2_HalfPunc</ability>
      <abilityName>全半角检查</abilityName>
      <candidateList>
        <item>）</item>
      </candidateList>
      <explain>文本全半角错误。</explain>
      <paraID>12455866</paraID>
      <start>7</start>
      <end>8</end>
      <status>unmodified</status>
      <modifiedWord/>
      <trackRevisions>false</trackRevisions>
    </reviewItem>
    <reviewItem>
      <errorID>bfdd4408-1fb3-40a2-beca-c4db6a0bb66e</errorID>
      <errorWord>(</errorWord>
      <group>L1_Format</group>
      <groupName>格式问题</groupName>
      <ability>L2_HalfPunc</ability>
      <abilityName>全半角检查</abilityName>
      <candidateList>
        <item>（</item>
      </candidateList>
      <explain>文本全半角错误。</explain>
      <paraID>5F11A76D</paraID>
      <start>2</start>
      <end>3</end>
      <status>unmodified</status>
      <modifiedWord/>
      <trackRevisions>false</trackRevisions>
    </reviewItem>
    <reviewItem>
      <errorID>141a171c-8f32-43f3-84ad-df7b8292b0e9</errorID>
      <errorWord>)</errorWord>
      <group>L1_Format</group>
      <groupName>格式问题</groupName>
      <ability>L2_HalfPunc</ability>
      <abilityName>全半角检查</abilityName>
      <candidateList>
        <item>）</item>
      </candidateList>
      <explain>文本全半角错误。</explain>
      <paraID>5F11A76D</paraID>
      <start>7</start>
      <end>8</end>
      <status>unmodified</status>
      <modifiedWord/>
      <trackRevisions>false</trackRevisions>
    </reviewItem>
    <reviewItem>
      <errorID>dea3618f-7743-47c8-b2f5-f42a0ab28b80</errorID>
      <errorWord>(</errorWord>
      <group>L1_Format</group>
      <groupName>格式问题</groupName>
      <ability>L2_HalfPunc</ability>
      <abilityName>全半角检查</abilityName>
      <candidateList>
        <item>（</item>
      </candidateList>
      <explain>文本全半角错误。</explain>
      <paraID>2D002471</paraID>
      <start>3</start>
      <end>4</end>
      <status>unmodified</status>
      <modifiedWord/>
      <trackRevisions>false</trackRevisions>
    </reviewItem>
    <reviewItem>
      <errorID>b8f6ee3a-0220-49de-864b-b9bf7aa90c65</errorID>
      <errorWord>)</errorWord>
      <group>L1_Format</group>
      <groupName>格式问题</groupName>
      <ability>L2_HalfPunc</ability>
      <abilityName>全半角检查</abilityName>
      <candidateList>
        <item>）</item>
      </candidateList>
      <explain>文本全半角错误。</explain>
      <paraID>2D002471</paraID>
      <start>8</start>
      <end>9</end>
      <status>unmodified</status>
      <modifiedWord/>
      <trackRevisions>false</trackRevisions>
    </reviewItem>
    <reviewItem>
      <errorID>b95afec6-ca6e-4f31-87d8-9f938e751d9d</errorID>
      <errorWord>(</errorWord>
      <group>L1_Format</group>
      <groupName>格式问题</groupName>
      <ability>L2_HalfPunc</ability>
      <abilityName>全半角检查</abilityName>
      <candidateList>
        <item>（</item>
      </candidateList>
      <explain>文本全半角错误。</explain>
      <paraID>2412E304</paraID>
      <start>3</start>
      <end>4</end>
      <status>unmodified</status>
      <modifiedWord/>
      <trackRevisions>false</trackRevisions>
    </reviewItem>
    <reviewItem>
      <errorID>4f41fa50-c2e7-4e4d-8c21-29676ced64a4</errorID>
      <errorWord>)</errorWord>
      <group>L1_Format</group>
      <groupName>格式问题</groupName>
      <ability>L2_HalfPunc</ability>
      <abilityName>全半角检查</abilityName>
      <candidateList>
        <item>）</item>
      </candidateList>
      <explain>文本全半角错误。</explain>
      <paraID>2412E304</paraID>
      <start>8</start>
      <end>9</end>
      <status>unmodified</status>
      <modifiedWord/>
      <trackRevisions>false</trackRevisions>
    </reviewItem>
    <reviewItem>
      <errorID>46274b8d-d283-4557-b85b-f8631fd85ae3</errorID>
      <errorWord>(</errorWord>
      <group>L1_Format</group>
      <groupName>格式问题</groupName>
      <ability>L2_HalfPunc</ability>
      <abilityName>全半角检查</abilityName>
      <candidateList>
        <item>（</item>
      </candidateList>
      <explain>文本全半角错误。</explain>
      <paraID>14DAC7D4</paraID>
      <start>3</start>
      <end>4</end>
      <status>unmodified</status>
      <modifiedWord/>
      <trackRevisions>false</trackRevisions>
    </reviewItem>
    <reviewItem>
      <errorID>84e80807-caa0-45aa-95eb-7efd797276dd</errorID>
      <errorWord>)</errorWord>
      <group>L1_Format</group>
      <groupName>格式问题</groupName>
      <ability>L2_HalfPunc</ability>
      <abilityName>全半角检查</abilityName>
      <candidateList>
        <item>）</item>
      </candidateList>
      <explain>文本全半角错误。</explain>
      <paraID>14DAC7D4</paraID>
      <start>8</start>
      <end>9</end>
      <status>unmodified</status>
      <modifiedWord/>
      <trackRevisions>false</trackRevisions>
    </reviewItem>
    <reviewItem>
      <errorID>21143e2b-2b29-479e-b345-d110999081d5</errorID>
      <errorWord>(</errorWord>
      <group>L1_Format</group>
      <groupName>格式问题</groupName>
      <ability>L2_HalfPunc</ability>
      <abilityName>全半角检查</abilityName>
      <candidateList>
        <item>（</item>
      </candidateList>
      <explain>文本全半角错误。</explain>
      <paraID>59E58780</paraID>
      <start>1</start>
      <end>2</end>
      <status>unmodified</status>
      <modifiedWord/>
      <trackRevisions>false</trackRevisions>
    </reviewItem>
    <reviewItem>
      <errorID>c94503c6-380c-4277-9438-8739185b9dd6</errorID>
      <errorWord>)</errorWord>
      <group>L1_Format</group>
      <groupName>格式问题</groupName>
      <ability>L2_HalfPunc</ability>
      <abilityName>全半角检查</abilityName>
      <candidateList>
        <item>）</item>
      </candidateList>
      <explain>文本全半角错误。</explain>
      <paraID>59E58780</paraID>
      <start>6</start>
      <end>7</end>
      <status>unmodified</status>
      <modifiedWord/>
      <trackRevisions>false</trackRevisions>
    </reviewItem>
    <reviewItem>
      <errorID>12648d76-32d0-4d36-bc2d-8e9717b98d4f</errorID>
      <errorWord>(</errorWord>
      <group>L1_Format</group>
      <groupName>格式问题</groupName>
      <ability>L2_HalfPunc</ability>
      <abilityName>全半角检查</abilityName>
      <candidateList>
        <item>（</item>
      </candidateList>
      <explain>文本全半角错误。</explain>
      <paraID>35103BF0</paraID>
      <start>1</start>
      <end>2</end>
      <status>unmodified</status>
      <modifiedWord/>
      <trackRevisions>false</trackRevisions>
    </reviewItem>
    <reviewItem>
      <errorID>685c7405-9ac0-4de0-9b5b-0b1057fb1df2</errorID>
      <errorWord>)</errorWord>
      <group>L1_Format</group>
      <groupName>格式问题</groupName>
      <ability>L2_HalfPunc</ability>
      <abilityName>全半角检查</abilityName>
      <candidateList>
        <item>）</item>
      </candidateList>
      <explain>文本全半角错误。</explain>
      <paraID>35103BF0</paraID>
      <start>6</start>
      <end>7</end>
      <status>unmodified</status>
      <modifiedWord/>
      <trackRevisions>false</trackRevisions>
    </reviewItem>
    <reviewItem>
      <errorID>2dbd2723-f76f-4d7f-be76-54745beccc50</errorID>
      <errorWord>(</errorWord>
      <group>L1_Format</group>
      <groupName>格式问题</groupName>
      <ability>L2_HalfPunc</ability>
      <abilityName>全半角检查</abilityName>
      <candidateList>
        <item>（</item>
      </candidateList>
      <explain>文本全半角错误。</explain>
      <paraID> 109D8D5</paraID>
      <start>1</start>
      <end>2</end>
      <status>unmodified</status>
      <modifiedWord/>
      <trackRevisions>false</trackRevisions>
    </reviewItem>
    <reviewItem>
      <errorID>af051ea9-7921-476c-87a4-bfac80bdacb3</errorID>
      <errorWord>)</errorWord>
      <group>L1_Format</group>
      <groupName>格式问题</groupName>
      <ability>L2_HalfPunc</ability>
      <abilityName>全半角检查</abilityName>
      <candidateList>
        <item>）</item>
      </candidateList>
      <explain>文本全半角错误。</explain>
      <paraID> 109D8D5</paraID>
      <start>6</start>
      <end>7</end>
      <status>unmodified</status>
      <modifiedWord/>
      <trackRevisions>false</trackRevisions>
    </reviewItem>
    <reviewItem>
      <errorID>af642842-50c8-4f36-834d-8766641e8a61</errorID>
      <errorWord>(</errorWord>
      <group>L1_Format</group>
      <groupName>格式问题</groupName>
      <ability>L2_HalfPunc</ability>
      <abilityName>全半角检查</abilityName>
      <candidateList>
        <item>（</item>
      </candidateList>
      <explain>文本全半角错误。</explain>
      <paraID> 3775F61</paraID>
      <start>1</start>
      <end>2</end>
      <status>unmodified</status>
      <modifiedWord/>
      <trackRevisions>false</trackRevisions>
    </reviewItem>
    <reviewItem>
      <errorID>c9ccbac4-de36-4950-98b7-14190a744c9d</errorID>
      <errorWord>)</errorWord>
      <group>L1_Format</group>
      <groupName>格式问题</groupName>
      <ability>L2_HalfPunc</ability>
      <abilityName>全半角检查</abilityName>
      <candidateList>
        <item>）</item>
      </candidateList>
      <explain>文本全半角错误。</explain>
      <paraID> 3775F61</paraID>
      <start>6</start>
      <end>7</end>
      <status>unmodified</status>
      <modifiedWord/>
      <trackRevisions>false</trackRevisions>
    </reviewItem>
    <reviewItem>
      <errorID>195af456-f0cc-4e35-ad65-7e281e824642</errorID>
      <errorWord>(</errorWord>
      <group>L1_Format</group>
      <groupName>格式问题</groupName>
      <ability>L2_HalfPunc</ability>
      <abilityName>全半角检查</abilityName>
      <candidateList>
        <item>（</item>
      </candidateList>
      <explain>文本全半角错误。</explain>
      <paraID>2827A912</paraID>
      <start>3</start>
      <end>4</end>
      <status>unmodified</status>
      <modifiedWord/>
      <trackRevisions>false</trackRevisions>
    </reviewItem>
    <reviewItem>
      <errorID>8bce72c2-2c6f-4297-a080-c3e664b61200</errorID>
      <errorWord>)</errorWord>
      <group>L1_Format</group>
      <groupName>格式问题</groupName>
      <ability>L2_HalfPunc</ability>
      <abilityName>全半角检查</abilityName>
      <candidateList>
        <item>）</item>
      </candidateList>
      <explain>文本全半角错误。</explain>
      <paraID>2827A912</paraID>
      <start>8</start>
      <end>9</end>
      <status>unmodified</status>
      <modifiedWord/>
      <trackRevisions>false</trackRevisions>
    </reviewItem>
    <reviewItem>
      <errorID>a7841013-d023-4a1c-bf5c-0e9d4a35ea85</errorID>
      <errorWord>(</errorWord>
      <group>L1_Format</group>
      <groupName>格式问题</groupName>
      <ability>L2_HalfPunc</ability>
      <abilityName>全半角检查</abilityName>
      <candidateList>
        <item>（</item>
      </candidateList>
      <explain>文本全半角错误。</explain>
      <paraID>633EB2EF</paraID>
      <start>1</start>
      <end>2</end>
      <status>unmodified</status>
      <modifiedWord/>
      <trackRevisions>false</trackRevisions>
    </reviewItem>
    <reviewItem>
      <errorID>87f3fd29-afd9-4f0a-8fb8-177df3d6d633</errorID>
      <errorWord>)</errorWord>
      <group>L1_Format</group>
      <groupName>格式问题</groupName>
      <ability>L2_HalfPunc</ability>
      <abilityName>全半角检查</abilityName>
      <candidateList>
        <item>）</item>
      </candidateList>
      <explain>文本全半角错误。</explain>
      <paraID>633EB2EF</paraID>
      <start>6</start>
      <end>7</end>
      <status>unmodified</status>
      <modifiedWord/>
      <trackRevisions>false</trackRevisions>
    </reviewItem>
    <reviewItem>
      <errorID>8fbc664c-cbf3-4d0c-9315-0d6adfed17f1</errorID>
      <errorWord>(</errorWord>
      <group>L1_Format</group>
      <groupName>格式问题</groupName>
      <ability>L2_HalfPunc</ability>
      <abilityName>全半角检查</abilityName>
      <candidateList>
        <item>（</item>
      </candidateList>
      <explain>文本全半角错误。</explain>
      <paraID>72CE8A47</paraID>
      <start>1</start>
      <end>2</end>
      <status>unmodified</status>
      <modifiedWord/>
      <trackRevisions>false</trackRevisions>
    </reviewItem>
    <reviewItem>
      <errorID>a2ae7da6-76b8-4b9e-9904-254c616a3fec</errorID>
      <errorWord>)</errorWord>
      <group>L1_Format</group>
      <groupName>格式问题</groupName>
      <ability>L2_HalfPunc</ability>
      <abilityName>全半角检查</abilityName>
      <candidateList>
        <item>）</item>
      </candidateList>
      <explain>文本全半角错误。</explain>
      <paraID>72CE8A47</paraID>
      <start>6</start>
      <end>7</end>
      <status>unmodified</status>
      <modifiedWord/>
      <trackRevisions>false</trackRevisions>
    </reviewItem>
    <reviewItem>
      <errorID>98be27b7-474c-479f-8248-a5084cb276e9</errorID>
      <errorWord>(</errorWord>
      <group>L1_Format</group>
      <groupName>格式问题</groupName>
      <ability>L2_HalfPunc</ability>
      <abilityName>全半角检查</abilityName>
      <candidateList>
        <item>（</item>
      </candidateList>
      <explain>文本全半角错误。</explain>
      <paraID>31A4831E</paraID>
      <start>6</start>
      <end>7</end>
      <status>unmodified</status>
      <modifiedWord/>
      <trackRevisions>false</trackRevisions>
    </reviewItem>
    <reviewItem>
      <errorID>baffb820-a5c3-44bb-8a6f-d293915e03cc</errorID>
      <errorWord>)</errorWord>
      <group>L1_Format</group>
      <groupName>格式问题</groupName>
      <ability>L2_HalfPunc</ability>
      <abilityName>全半角检查</abilityName>
      <candidateList>
        <item>）</item>
      </candidateList>
      <explain>文本全半角错误。</explain>
      <paraID>31A4831E</paraID>
      <start>11</start>
      <end>12</end>
      <status>unmodified</status>
      <modifiedWord/>
      <trackRevisions>false</trackRevisions>
    </reviewItem>
    <reviewItem>
      <errorID>a2e6f6f0-c909-4f0d-938f-bbbed525365e</errorID>
      <errorWord>(</errorWord>
      <group>L1_Format</group>
      <groupName>格式问题</groupName>
      <ability>L2_HalfPunc</ability>
      <abilityName>全半角检查</abilityName>
      <candidateList>
        <item>（</item>
      </candidateList>
      <explain>文本全半角错误。</explain>
      <paraID>40D52F77</paraID>
      <start>3</start>
      <end>4</end>
      <status>unmodified</status>
      <modifiedWord/>
      <trackRevisions>false</trackRevisions>
    </reviewItem>
    <reviewItem>
      <errorID>5cb9656d-1d67-45c7-86af-bd1cffb5b99b</errorID>
      <errorWord>)</errorWord>
      <group>L1_Format</group>
      <groupName>格式问题</groupName>
      <ability>L2_HalfPunc</ability>
      <abilityName>全半角检查</abilityName>
      <candidateList>
        <item>）</item>
      </candidateList>
      <explain>文本全半角错误。</explain>
      <paraID>40D52F77</paraID>
      <start>8</start>
      <end>9</end>
      <status>unmodified</status>
      <modifiedWord/>
      <trackRevisions>false</trackRevisions>
    </reviewItem>
    <reviewItem>
      <errorID>f7b9336a-46b1-4381-a8ae-33d6861b7239</errorID>
      <errorWord>(</errorWord>
      <group>L1_Format</group>
      <groupName>格式问题</groupName>
      <ability>L2_HalfPunc</ability>
      <abilityName>全半角检查</abilityName>
      <candidateList>
        <item>（</item>
      </candidateList>
      <explain>文本全半角错误。</explain>
      <paraID>4E06D294</paraID>
      <start>3</start>
      <end>4</end>
      <status>unmodified</status>
      <modifiedWord/>
      <trackRevisions>false</trackRevisions>
    </reviewItem>
    <reviewItem>
      <errorID>5f5e704f-e5f6-49a0-9d0a-0a6149fb5569</errorID>
      <errorWord>)</errorWord>
      <group>L1_Format</group>
      <groupName>格式问题</groupName>
      <ability>L2_HalfPunc</ability>
      <abilityName>全半角检查</abilityName>
      <candidateList>
        <item>）</item>
      </candidateList>
      <explain>文本全半角错误。</explain>
      <paraID>4E06D294</paraID>
      <start>8</start>
      <end>9</end>
      <status>unmodified</status>
      <modifiedWord/>
      <trackRevisions>false</trackRevisions>
    </reviewItem>
    <reviewItem>
      <errorID>a05285c8-1205-4033-80fb-9c4fa50871f1</errorID>
      <errorWord>(</errorWord>
      <group>L1_Format</group>
      <groupName>格式问题</groupName>
      <ability>L2_HalfPunc</ability>
      <abilityName>全半角检查</abilityName>
      <candidateList>
        <item>（</item>
      </candidateList>
      <explain>文本全半角错误。</explain>
      <paraID>2725FB13</paraID>
      <start>3</start>
      <end>4</end>
      <status>unmodified</status>
      <modifiedWord/>
      <trackRevisions>false</trackRevisions>
    </reviewItem>
    <reviewItem>
      <errorID>1839161b-7fc3-4061-b378-8bd1826f348e</errorID>
      <errorWord>)</errorWord>
      <group>L1_Format</group>
      <groupName>格式问题</groupName>
      <ability>L2_HalfPunc</ability>
      <abilityName>全半角检查</abilityName>
      <candidateList>
        <item>）</item>
      </candidateList>
      <explain>文本全半角错误。</explain>
      <paraID>2725FB13</paraID>
      <start>8</start>
      <end>9</end>
      <status>unmodified</status>
      <modifiedWord/>
      <trackRevisions>false</trackRevisions>
    </reviewItem>
    <reviewItem>
      <errorID>96c6dffd-ba2f-47ee-9537-83cdc72bd114</errorID>
      <errorWord>(</errorWord>
      <group>L1_Format</group>
      <groupName>格式问题</groupName>
      <ability>L2_HalfPunc</ability>
      <abilityName>全半角检查</abilityName>
      <candidateList>
        <item>（</item>
      </candidateList>
      <explain>文本全半角错误。</explain>
      <paraID>78E3409D</paraID>
      <start>3</start>
      <end>4</end>
      <status>unmodified</status>
      <modifiedWord/>
      <trackRevisions>false</trackRevisions>
    </reviewItem>
    <reviewItem>
      <errorID>37baba27-e940-47f9-b2d2-1c1800a1778a</errorID>
      <errorWord>)</errorWord>
      <group>L1_Format</group>
      <groupName>格式问题</groupName>
      <ability>L2_HalfPunc</ability>
      <abilityName>全半角检查</abilityName>
      <candidateList>
        <item>）</item>
      </candidateList>
      <explain>文本全半角错误。</explain>
      <paraID>78E3409D</paraID>
      <start>8</start>
      <end>9</end>
      <status>unmodified</status>
      <modifiedWord/>
      <trackRevisions>false</trackRevisions>
    </reviewItem>
    <reviewItem>
      <errorID>cca404dd-b683-44fa-800d-55bfe16f12ef</errorID>
      <errorWord>(</errorWord>
      <group>L1_Format</group>
      <groupName>格式问题</groupName>
      <ability>L2_HalfPunc</ability>
      <abilityName>全半角检查</abilityName>
      <candidateList>
        <item>（</item>
      </candidateList>
      <explain>文本全半角错误。</explain>
      <paraID>4E7CA4D2</paraID>
      <start>3</start>
      <end>4</end>
      <status>unmodified</status>
      <modifiedWord/>
      <trackRevisions>false</trackRevisions>
    </reviewItem>
    <reviewItem>
      <errorID>7bf42c50-233d-4b49-a25f-5880ea594d33</errorID>
      <errorWord>)</errorWord>
      <group>L1_Format</group>
      <groupName>格式问题</groupName>
      <ability>L2_HalfPunc</ability>
      <abilityName>全半角检查</abilityName>
      <candidateList>
        <item>）</item>
      </candidateList>
      <explain>文本全半角错误。</explain>
      <paraID>4E7CA4D2</paraID>
      <start>8</start>
      <end>9</end>
      <status>unmodified</status>
      <modifiedWord/>
      <trackRevisions>false</trackRevisions>
    </reviewItem>
    <reviewItem>
      <errorID>6e053be3-c822-412e-ab56-a0c1e975d8ce</errorID>
      <errorWord>(</errorWord>
      <group>L1_Format</group>
      <groupName>格式问题</groupName>
      <ability>L2_HalfPunc</ability>
      <abilityName>全半角检查</abilityName>
      <candidateList>
        <item>（</item>
      </candidateList>
      <explain>文本全半角错误。</explain>
      <paraID> 3290CFE</paraID>
      <start>8</start>
      <end>9</end>
      <status>unmodified</status>
      <modifiedWord/>
      <trackRevisions>false</trackRevisions>
    </reviewItem>
    <reviewItem>
      <errorID>c2d12782-bbca-43b1-9f72-023ad7f4261d</errorID>
      <errorWord>)</errorWord>
      <group>L1_Format</group>
      <groupName>格式问题</groupName>
      <ability>L2_HalfPunc</ability>
      <abilityName>全半角检查</abilityName>
      <candidateList>
        <item>）</item>
      </candidateList>
      <explain>文本全半角错误。</explain>
      <paraID> 3290CFE</paraID>
      <start>13</start>
      <end>14</end>
      <status>unmodified</status>
      <modifiedWord/>
      <trackRevisions>false</trackRevisions>
    </reviewItem>
    <reviewItem>
      <errorID>7bbbeb4c-7488-4b8a-9e27-ebdd99952944</errorID>
      <errorWord>(</errorWord>
      <group>L1_Format</group>
      <groupName>格式问题</groupName>
      <ability>L2_HalfPunc</ability>
      <abilityName>全半角检查</abilityName>
      <candidateList>
        <item>（</item>
      </candidateList>
      <explain>文本全半角错误。</explain>
      <paraID>72871A2C</paraID>
      <start>3</start>
      <end>4</end>
      <status>unmodified</status>
      <modifiedWord/>
      <trackRevisions>false</trackRevisions>
    </reviewItem>
    <reviewItem>
      <errorID>3fb0c57f-18c5-4211-9c0d-dee1f8891134</errorID>
      <errorWord>)</errorWord>
      <group>L1_Format</group>
      <groupName>格式问题</groupName>
      <ability>L2_HalfPunc</ability>
      <abilityName>全半角检查</abilityName>
      <candidateList>
        <item>）</item>
      </candidateList>
      <explain>文本全半角错误。</explain>
      <paraID>72871A2C</paraID>
      <start>8</start>
      <end>9</end>
      <status>unmodified</status>
      <modifiedWord/>
      <trackRevisions>false</trackRevisions>
    </reviewItem>
    <reviewItem>
      <errorID>b8c37443-48c3-4a7b-9e61-55883e67148d</errorID>
      <errorWord>(</errorWord>
      <group>L1_Format</group>
      <groupName>格式问题</groupName>
      <ability>L2_HalfPunc</ability>
      <abilityName>全半角检查</abilityName>
      <candidateList>
        <item>（</item>
      </candidateList>
      <explain>文本全半角错误。</explain>
      <paraID>332E7326</paraID>
      <start>5</start>
      <end>6</end>
      <status>unmodified</status>
      <modifiedWord/>
      <trackRevisions>false</trackRevisions>
    </reviewItem>
    <reviewItem>
      <errorID>3ab188ff-e31b-4a96-b4a7-5fe203272cde</errorID>
      <errorWord>)</errorWord>
      <group>L1_Format</group>
      <groupName>格式问题</groupName>
      <ability>L2_HalfPunc</ability>
      <abilityName>全半角检查</abilityName>
      <candidateList>
        <item>）</item>
      </candidateList>
      <explain>文本全半角错误。</explain>
      <paraID>332E7326</paraID>
      <start>10</start>
      <end>11</end>
      <status>unmodified</status>
      <modifiedWord/>
      <trackRevisions>false</trackRevisions>
    </reviewItem>
    <reviewItem>
      <errorID>09395bc2-5d58-4ab7-8ed6-0891889c0518</errorID>
      <errorWord>(</errorWord>
      <group>L1_Format</group>
      <groupName>格式问题</groupName>
      <ability>L2_HalfPunc</ability>
      <abilityName>全半角检查</abilityName>
      <candidateList>
        <item>（</item>
      </candidateList>
      <explain>文本全半角错误。</explain>
      <paraID>26D294F0</paraID>
      <start>1</start>
      <end>2</end>
      <status>unmodified</status>
      <modifiedWord/>
      <trackRevisions>false</trackRevisions>
    </reviewItem>
    <reviewItem>
      <errorID>06a8b08f-f781-4d77-9004-481ac540e925</errorID>
      <errorWord>)</errorWord>
      <group>L1_Format</group>
      <groupName>格式问题</groupName>
      <ability>L2_HalfPunc</ability>
      <abilityName>全半角检查</abilityName>
      <candidateList>
        <item>）</item>
      </candidateList>
      <explain>文本全半角错误。</explain>
      <paraID>26D294F0</paraID>
      <start>6</start>
      <end>7</end>
      <status>unmodified</status>
      <modifiedWord/>
      <trackRevisions>false</trackRevisions>
    </reviewItem>
    <reviewItem>
      <errorID>ccb2d1d8-3672-4093-ba60-348bc742a2e0</errorID>
      <errorWord>(</errorWord>
      <group>L1_Format</group>
      <groupName>格式问题</groupName>
      <ability>L2_HalfPunc</ability>
      <abilityName>全半角检查</abilityName>
      <candidateList>
        <item>（</item>
      </candidateList>
      <explain>文本全半角错误。</explain>
      <paraID>2191E1FA</paraID>
      <start>1</start>
      <end>2</end>
      <status>unmodified</status>
      <modifiedWord/>
      <trackRevisions>false</trackRevisions>
    </reviewItem>
    <reviewItem>
      <errorID>2a8df8b8-4d69-47bc-a67d-3baf150df754</errorID>
      <errorWord>)</errorWord>
      <group>L1_Format</group>
      <groupName>格式问题</groupName>
      <ability>L2_HalfPunc</ability>
      <abilityName>全半角检查</abilityName>
      <candidateList>
        <item>）</item>
      </candidateList>
      <explain>文本全半角错误。</explain>
      <paraID>2191E1FA</paraID>
      <start>6</start>
      <end>7</end>
      <status>unmodified</status>
      <modifiedWord/>
      <trackRevisions>false</trackRevisions>
    </reviewItem>
    <reviewItem>
      <errorID>a44fa6f3-57d2-44b8-8103-542cdc8250bf</errorID>
      <errorWord>(</errorWord>
      <group>L1_Format</group>
      <groupName>格式问题</groupName>
      <ability>L2_HalfPunc</ability>
      <abilityName>全半角检查</abilityName>
      <candidateList>
        <item>（</item>
      </candidateList>
      <explain>文本全半角错误。</explain>
      <paraID> EBA43E0</paraID>
      <start>2</start>
      <end>3</end>
      <status>unmodified</status>
      <modifiedWord/>
      <trackRevisions>false</trackRevisions>
    </reviewItem>
    <reviewItem>
      <errorID>09c7d8d6-cc82-4b12-9409-b2a15bb74082</errorID>
      <errorWord>)</errorWord>
      <group>L1_Format</group>
      <groupName>格式问题</groupName>
      <ability>L2_HalfPunc</ability>
      <abilityName>全半角检查</abilityName>
      <candidateList>
        <item>）</item>
      </candidateList>
      <explain>文本全半角错误。</explain>
      <paraID> EBA43E0</paraID>
      <start>7</start>
      <end>8</end>
      <status>unmodified</status>
      <modifiedWord/>
      <trackRevisions>false</trackRevisions>
    </reviewItem>
    <reviewItem>
      <errorID>c59cd1d7-5fcc-4ed8-949e-8dc9ef27969e</errorID>
      <errorWord>(</errorWord>
      <group>L1_Format</group>
      <groupName>格式问题</groupName>
      <ability>L2_HalfPunc</ability>
      <abilityName>全半角检查</abilityName>
      <candidateList>
        <item>（</item>
      </candidateList>
      <explain>文本全半角错误。</explain>
      <paraID>1AE3CDCC</paraID>
      <start>4</start>
      <end>5</end>
      <status>unmodified</status>
      <modifiedWord/>
      <trackRevisions>false</trackRevisions>
    </reviewItem>
    <reviewItem>
      <errorID>ac900657-7476-4565-bd8e-d68d022290da</errorID>
      <errorWord>)</errorWord>
      <group>L1_Format</group>
      <groupName>格式问题</groupName>
      <ability>L2_HalfPunc</ability>
      <abilityName>全半角检查</abilityName>
      <candidateList>
        <item>）</item>
      </candidateList>
      <explain>文本全半角错误。</explain>
      <paraID>1AE3CDCC</paraID>
      <start>9</start>
      <end>10</end>
      <status>unmodified</status>
      <modifiedWord/>
      <trackRevisions>false</trackRevisions>
    </reviewItem>
    <reviewItem>
      <errorID>fb28e342-cf6b-494a-a292-0e5d1fad71fe</errorID>
      <errorWord>(</errorWord>
      <group>L1_Format</group>
      <groupName>格式问题</groupName>
      <ability>L2_HalfPunc</ability>
      <abilityName>全半角检查</abilityName>
      <candidateList>
        <item>（</item>
      </candidateList>
      <explain>文本全半角错误。</explain>
      <paraID> 50001B8</paraID>
      <start>4</start>
      <end>5</end>
      <status>unmodified</status>
      <modifiedWord/>
      <trackRevisions>false</trackRevisions>
    </reviewItem>
    <reviewItem>
      <errorID>ca9a33af-d7e1-4129-8776-d16092469f08</errorID>
      <errorWord>)</errorWord>
      <group>L1_Format</group>
      <groupName>格式问题</groupName>
      <ability>L2_HalfPunc</ability>
      <abilityName>全半角检查</abilityName>
      <candidateList>
        <item>）</item>
      </candidateList>
      <explain>文本全半角错误。</explain>
      <paraID> 50001B8</paraID>
      <start>9</start>
      <end>10</end>
      <status>unmodified</status>
      <modifiedWord/>
      <trackRevisions>false</trackRevisions>
    </reviewItem>
    <reviewItem>
      <errorID>ce41c3af-45d2-43c6-b5a2-1e035acfbb41</errorID>
      <errorWord>(</errorWord>
      <group>L1_Format</group>
      <groupName>格式问题</groupName>
      <ability>L2_HalfPunc</ability>
      <abilityName>全半角检查</abilityName>
      <candidateList>
        <item>（</item>
      </candidateList>
      <explain>文本全半角错误。</explain>
      <paraID>43846753</paraID>
      <start>1</start>
      <end>2</end>
      <status>unmodified</status>
      <modifiedWord/>
      <trackRevisions>false</trackRevisions>
    </reviewItem>
    <reviewItem>
      <errorID>be501373-b177-4ebb-b9ad-d8a939f82ba4</errorID>
      <errorWord>)</errorWord>
      <group>L1_Format</group>
      <groupName>格式问题</groupName>
      <ability>L2_HalfPunc</ability>
      <abilityName>全半角检查</abilityName>
      <candidateList>
        <item>）</item>
      </candidateList>
      <explain>文本全半角错误。</explain>
      <paraID>43846753</paraID>
      <start>6</start>
      <end>7</end>
      <status>unmodified</status>
      <modifiedWord/>
      <trackRevisions>false</trackRevisions>
    </reviewItem>
    <reviewItem>
      <errorID>bc030701-a5bc-404f-af75-2df8172fd9f6</errorID>
      <errorWord>(</errorWord>
      <group>L1_Format</group>
      <groupName>格式问题</groupName>
      <ability>L2_HalfPunc</ability>
      <abilityName>全半角检查</abilityName>
      <candidateList>
        <item>（</item>
      </candidateList>
      <explain>文本全半角错误。</explain>
      <paraID>  B11B8B</paraID>
      <start>1</start>
      <end>2</end>
      <status>unmodified</status>
      <modifiedWord/>
      <trackRevisions>false</trackRevisions>
    </reviewItem>
    <reviewItem>
      <errorID>6a5d9ed1-07cb-41dc-a457-eaede522b173</errorID>
      <errorWord>)</errorWord>
      <group>L1_Format</group>
      <groupName>格式问题</groupName>
      <ability>L2_HalfPunc</ability>
      <abilityName>全半角检查</abilityName>
      <candidateList>
        <item>）</item>
      </candidateList>
      <explain>文本全半角错误。</explain>
      <paraID>  B11B8B</paraID>
      <start>6</start>
      <end>7</end>
      <status>unmodified</status>
      <modifiedWord/>
      <trackRevisions>false</trackRevisions>
    </reviewItem>
    <reviewItem>
      <errorID>af48aba8-4d64-439e-a5a8-c4b2622ab3b7</errorID>
      <errorWord>委托了</errorWord>
      <group>L1_Word</group>
      <groupName>字词问题</groupName>
      <ability>L2_Typo</ability>
      <abilityName>字词错误</abilityName>
      <candidateList>
        <item>委托</item>
      </candidateList>
      <explain/>
      <paraID>38DAE8B7</paraID>
      <start>38</start>
      <end>41</end>
      <status>unmodified</status>
      <modifiedWord/>
      <trackRevisions>false</trackRevisions>
    </reviewItem>
    <reviewItem>
      <errorID>37a40ff7-80ca-4ca5-9d3b-6ad5db8917a9</errorID>
      <errorWord>采用了</errorWord>
      <group>L1_Word</group>
      <groupName>字词问题</groupName>
      <ability>L2_Typo</ability>
      <abilityName>字词错误</abilityName>
      <candidateList>
        <item>采用</item>
      </candidateList>
      <explain>〈动〉认为合适而使用：～新工艺｜～举手表决方式｜那篇稿子已被编辑部～。</explain>
      <paraID>25EF8DD9</paraID>
      <start>40</start>
      <end>43</end>
      <status>unmodified</status>
      <modifiedWord/>
      <trackRevisions>false</trackRevisions>
    </reviewItem>
    <reviewItem>
      <errorID>66e46689-5696-43b9-a233-663b8c0e7440</errorID>
      <errorWord>固相</errorWord>
      <group>L1_Word</group>
      <groupName>字词问题</groupName>
      <ability>L2_Typo</ability>
      <abilityName>字词错误</abilityName>
      <candidateList>
        <item>土地</item>
      </candidateList>
      <explain/>
      <paraID>1AD55BDA</paraID>
      <start>147</start>
      <end>149</end>
      <status>unmodified</status>
      <modifiedWord/>
      <trackRevisions>false</trackRevisions>
    </reviewItem>
    <reviewItem>
      <errorID>197f90d3-73ad-431b-bdee-b14708acd255</errorID>
      <errorWord>～</errorWord>
      <group>L1_Format</group>
      <groupName>格式问题</groupName>
      <ability>L2_HalfPunc</ability>
      <abilityName>全半角检查</abilityName>
      <candidateList>
        <item>~</item>
      </candidateList>
      <explain>文本全半角错误。</explain>
      <paraID>2B512C4A</paraID>
      <start>1</start>
      <end>2</end>
      <status>unmodified</status>
      <modifiedWord/>
      <trackRevisions>false</trackRevisions>
    </reviewItem>
    <reviewItem>
      <errorID>c34d3d72-d808-4004-8711-cbe52541a3df</errorID>
      <errorWord>：</errorWord>
      <group>L1_Format</group>
      <groupName>格式问题</groupName>
      <ability>L2_HalfPunc</ability>
      <abilityName>全半角检查</abilityName>
      <candidateList>
        <item>:</item>
      </candidateList>
      <explain>文本全半角错误。</explain>
      <paraID>6CF052DE</paraID>
      <start>156</start>
      <end>157</end>
      <status>unmodified</status>
      <modifiedWord/>
      <trackRevisions>false</trackRevisions>
    </reviewItem>
    <reviewItem>
      <errorID>ac281992-81d1-4f21-ae07-1526e75778a8</errorID>
      <errorWord>根据地下水检测结果表明</errorWord>
      <group>L1_Grammar</group>
      <groupName>语法问题</groupName>
      <ability>L2_Grammar</ability>
      <abilityName>语法错误</abilityName>
      <candidateList>
        <item>根据地下水检测</item>
      </candidateList>
      <explain/>
      <paraID>3C08087D</paraID>
      <start>0</start>
      <end>11</end>
      <status>unmodified</status>
      <modifiedWord/>
      <trackRevisions>false</trackRevisions>
    </reviewItem>
    <reviewItem>
      <errorID>49283176-1e01-423d-9323-e1747b2ebe8a</errorID>
      <errorWord>（</errorWord>
      <group>L1_Punc</group>
      <groupName>标点问题</groupName>
      <ability>L2_Punc</ability>
      <abilityName>标点符号检查</abilityName>
      <candidateList/>
      <explain>同一形式括号套用。</explain>
      <paraID>5949ED7A</paraID>
      <start>62</start>
      <end>63</end>
      <status>unmodified</status>
      <modifiedWord/>
      <trackRevisions>false</trackRevisions>
    </reviewItem>
    <reviewItem>
      <errorID>e25413d7-fa68-4c00-a79f-0a379c8a3b2a</errorID>
      <errorWord>）</errorWord>
      <group>L1_Punc</group>
      <groupName>标点问题</groupName>
      <ability>L2_Punc</ability>
      <abilityName>标点符号检查</abilityName>
      <candidateList/>
      <explain>同一形式括号套用。</explain>
      <paraID>5949ED7A</paraID>
      <start>64</start>
      <end>65</end>
      <status>unmodified</status>
      <modifiedWord/>
      <trackRevisions>false</trackRevisions>
    </reviewItem>
    <reviewItem>
      <errorID>92e758e7-ad82-4d36-9f9a-9ff68a2ba879</errorID>
      <errorWord>（</errorWord>
      <group>L1_Punc</group>
      <groupName>标点问题</groupName>
      <ability>L2_Punc</ability>
      <abilityName>标点符号检查</abilityName>
      <candidateList/>
      <explain>同一形式括号套用。</explain>
      <paraID>5949ED7A</paraID>
      <start>72</start>
      <end>73</end>
      <status>unmodified</status>
      <modifiedWord/>
      <trackRevisions>false</trackRevisions>
    </reviewItem>
    <reviewItem>
      <errorID>a1a407f7-9217-4991-9f36-670f6dff967a</errorID>
      <errorWord>）</errorWord>
      <group>L1_Punc</group>
      <groupName>标点问题</groupName>
      <ability>L2_Punc</ability>
      <abilityName>标点符号检查</abilityName>
      <candidateList/>
      <explain>同一形式括号套用。</explain>
      <paraID>5949ED7A</paraID>
      <start>74</start>
      <end>75</end>
      <status>unmodified</status>
      <modifiedWord/>
      <trackRevisions>false</trackRevisions>
    </reviewItem>
    <reviewItem>
      <errorID>6a99d312-c30b-415f-877a-8396b92b4607</errorID>
      <errorWord>-</errorWord>
      <group>L1_Format</group>
      <groupName>格式问题</groupName>
      <ability>L2_HalfPunc</ability>
      <abilityName>全半角检查</abilityName>
      <candidateList>
        <item>－</item>
      </candidateList>
      <explain>文本全半角错误。</explain>
      <paraID>5948A6D0</paraID>
      <start>87</start>
      <end>88</end>
      <status>unmodified</status>
      <modifiedWord/>
      <trackRevisions>false</trackRevisions>
    </reviewItem>
    <reviewItem>
      <errorID>aa8e3e73-0b8c-4277-9fd6-fce129f662d1</errorID>
      <errorWord>-</errorWord>
      <group>L1_Format</group>
      <groupName>格式问题</groupName>
      <ability>L2_HalfPunc</ability>
      <abilityName>全半角检查</abilityName>
      <candidateList>
        <item>－</item>
      </candidateList>
      <explain>文本全半角错误。</explain>
      <paraID>5948A6D0</paraID>
      <start>90</start>
      <end>91</end>
      <status>unmodified</status>
      <modifiedWord/>
      <trackRevisions>false</trackRevisions>
    </reviewItem>
    <reviewItem>
      <errorID>02ef7367-556d-4297-93a1-2f7756bb26cd</errorID>
      <errorWord>截止</errorWord>
      <group>L1_Word</group>
      <groupName>字词问题</groupName>
      <ability>L2_Typo</ability>
      <abilityName>字词错误</abilityName>
      <candidateList>
        <item>截至</item>
      </candidateList>
      <explain>存在发音相同字词的误用。</explain>
      <paraID> 75637BA</paraID>
      <start>27</start>
      <end>29</end>
      <status>unmodified</status>
      <modifiedWord/>
      <trackRevisions>false</trackRevisions>
    </reviewItem>
    <reviewItem>
      <errorID>8b412d6d-5170-41e9-ab21-6ad15b43eced</errorID>
      <errorWord>清洁的</errorWord>
      <group>L1_Word</group>
      <groupName>字词问题</groupName>
      <ability>L2_Typo</ability>
      <abilityName>字词错误</abilityName>
      <candidateList>
        <item>清洁</item>
      </candidateList>
      <explain/>
      <paraID>12F9A750</paraID>
      <start>61</start>
      <end>64</end>
      <status>unmodified</status>
      <modifiedWord/>
      <trackRevisions>false</trackRevisions>
    </reviewItem>
    <reviewItem>
      <errorID>6f5264b9-012a-41c3-a8d0-55eb5e4363b3</errorID>
      <errorWord>-</errorWord>
      <group>L1_Format</group>
      <groupName>格式问题</groupName>
      <ability>L2_HalfPunc</ability>
      <abilityName>全半角检查</abilityName>
      <candidateList>
        <item>－</item>
      </candidateList>
      <explain>文本全半角错误。</explain>
      <paraID>63B3C64E</paraID>
      <start>44</start>
      <end>45</end>
      <status>unmodified</status>
      <modifiedWord/>
      <trackRevisions>false</trackRevisions>
    </reviewItem>
    <reviewItem>
      <errorID>74be63d3-900a-49b5-8856-8576c0c4d462</errorID>
      <errorWord>-</errorWord>
      <group>L1_Format</group>
      <groupName>格式问题</groupName>
      <ability>L2_HalfPunc</ability>
      <abilityName>全半角检查</abilityName>
      <candidateList>
        <item>－</item>
      </candidateList>
      <explain>文本全半角错误。</explain>
      <paraID>63B3C64E</paraID>
      <start>47</start>
      <end>48</end>
      <status>unmodified</status>
      <modifiedWord/>
      <trackRevisions>false</trackRevisions>
    </reviewItem>
    <reviewItem>
      <errorID>e6960f23-3748-485b-ba04-2f382bf46caa</errorID>
      <errorWord>定</errorWord>
      <group>L1_Word</group>
      <groupName>字词问题</groupName>
      <ability>L2_Typo</ability>
      <abilityName>字词错误</abilityName>
      <candidateList>
        <item>定和</item>
      </candidateList>
      <explain/>
      <paraID>39C2E703</paraID>
      <start>7</start>
      <end>8</end>
      <status>unmodified</status>
      <modifiedWord/>
      <trackRevisions>false</trackRevisions>
    </reviewItem>
    <reviewItem>
      <errorID>2479be74-9717-410d-b5af-09f9e027f06c</errorID>
      <errorWord>制订</errorWord>
      <group>L1_Word</group>
      <groupName>字词问题</groupName>
      <ability>L2_Typo</ability>
      <abilityName>字词错误</abilityName>
      <candidateList>
        <item>制定</item>
      </candidateList>
      <explain>〈动〉定出（法律、规程、政策等）：～宪法｜～学会章程。</explain>
      <paraID>2D1D7BDE</paraID>
      <start>3</start>
      <end>5</end>
      <status>unmodified</status>
      <modifiedWord/>
      <trackRevisions>false</trackRevisions>
    </reviewItem>
    <reviewItem>
      <errorID>8136ac15-2216-4960-b4e7-c71ff3069251</errorID>
      <errorWord>防止了</errorWord>
      <group>L1_Word</group>
      <groupName>字词问题</groupName>
      <ability>L2_Typo</ability>
      <abilityName>字词错误</abilityName>
      <candidateList>
        <item>防止</item>
      </candidateList>
      <explain>〈动〉预先设法制止（坏事发生）：～煤气中毒｜～交通事故。</explain>
      <paraID>582F5EDA</paraID>
      <start>11</start>
      <end>14</end>
      <status>unmodified</status>
      <modifiedWord/>
      <trackRevisions>false</trackRevisions>
    </reviewItem>
    <reviewItem>
      <errorID>b1172915-3016-4c19-97d3-69cf6dfa6350</errorID>
      <errorWord>以下的</errorWord>
      <group>L1_Word</group>
      <groupName>字词问题</groupName>
      <ability>L2_Typo</ability>
      <abilityName>字词错误</abilityName>
      <candidateList>
        <item>以下</item>
      </candidateList>
      <explain/>
      <paraID>20EE7E57</paraID>
      <start>31</start>
      <end>34</end>
      <status>unmodified</status>
      <modifiedWord/>
      <trackRevisions>false</trackRevisions>
    </reviewItem>
    <reviewItem>
      <errorID>fe81c810-1ed5-438b-8d79-26636ea59b7a</errorID>
      <errorWord>[2015]4号</errorWord>
      <group>L1_Knowledge</group>
      <groupName>知识性问题</groupName>
      <ability>L2_Knowledge</ability>
      <abilityName>其他知识</abilityName>
      <candidateList>
        <item>〔2015〕4号</item>
      </candidateList>
      <explain>发文字号格式错误。</explain>
      <paraID>7841ABC9</paraID>
      <start>52</start>
      <end>60</end>
      <status>unmodified</status>
      <modifiedWord/>
      <trackRevisions>false</trackRevisions>
    </reviewItem>
    <reviewItem>
      <errorID>6eff46cb-feb0-40a7-b014-ff0a3267d7c2</errorID>
      <errorWord>）</errorWord>
      <group>L1_Word</group>
      <groupName>字词问题</groupName>
      <ability>L2_Typo</ability>
      <abilityName>字词错误</abilityName>
      <candidateList>
        <item>）等</item>
      </candidateList>
      <explain/>
      <paraID>7841ABC9</paraID>
      <start>60</start>
      <end>61</end>
      <status>unmodified</status>
      <modifiedWord/>
      <trackRevisions>false</trackRevisions>
    </reviewItem>
    <reviewItem>
      <errorID>69b6b1e8-a095-47c3-b1b7-0f26ab963733</errorID>
      <errorWord>由由</errorWord>
      <group>L1_Word</group>
      <groupName>字词问题</groupName>
      <ability>L2_Typo</ability>
      <abilityName>字词错误</abilityName>
      <candidateList>
        <item>由</item>
      </candidateList>
      <explain>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explain>
      <paraID> 46CD6E8</paraID>
      <start>14</start>
      <end>16</end>
      <status>unmodified</status>
      <modifiedWord/>
      <trackRevisions>false</trackRevisions>
    </reviewItem>
    <reviewItem>
      <errorID>ca21e0b3-07a0-47e4-914b-a4742a318f3c</errorID>
      <errorWord>应急物质</errorWord>
      <group>L1_Word</group>
      <groupName>字词问题</groupName>
      <ability>L2_Typo</ability>
      <abilityName>字词错误</abilityName>
      <candidateList>
        <item>应急物资</item>
      </candidateList>
      <explain/>
      <paraID>3116042A</paraID>
      <start>51</start>
      <end>55</end>
      <status>unmodified</status>
      <modifiedWord/>
      <trackRevisions>false</trackRevisions>
    </reviewItem>
    <reviewItem>
      <errorID>3beebc64-866b-4b20-9b36-c405f0aab9f1</errorID>
      <errorWord>(</errorWord>
      <group>L1_Format</group>
      <groupName>格式问题</groupName>
      <ability>L2_HalfPunc</ability>
      <abilityName>全半角检查</abilityName>
      <candidateList>
        <item>（</item>
      </candidateList>
      <explain>文本全半角错误。</explain>
      <paraID>3123828F</paraID>
      <start>3</start>
      <end>4</end>
      <status>unmodified</status>
      <modifiedWord/>
      <trackRevisions>false</trackRevisions>
    </reviewItem>
    <reviewItem>
      <errorID>b74b18cf-c42a-4ac2-ba38-30b1fbe9b5cd</errorID>
      <errorWord>(</errorWord>
      <group>L1_Format</group>
      <groupName>格式问题</groupName>
      <ability>L2_HalfPunc</ability>
      <abilityName>全半角检查</abilityName>
      <candidateList>
        <item>（</item>
      </candidateList>
      <explain>文本全半角错误。</explain>
      <paraID>755AE35E</paraID>
      <start>5</start>
      <end>6</end>
      <status>unmodified</status>
      <modifiedWord/>
      <trackRevisions>false</trackRevisions>
    </reviewItem>
    <reviewItem>
      <errorID>9b811b09-711f-4a2a-85b5-435278bc0e2f</errorID>
      <errorWord>(</errorWord>
      <group>L1_Format</group>
      <groupName>格式问题</groupName>
      <ability>L2_HalfPunc</ability>
      <abilityName>全半角检查</abilityName>
      <candidateList>
        <item>（</item>
      </candidateList>
      <explain>文本全半角错误。</explain>
      <paraID>4E838CC8</paraID>
      <start>2</start>
      <end>3</end>
      <status>unmodified</status>
      <modifiedWord/>
      <trackRevisions>false</trackRevisions>
    </reviewItem>
    <reviewItem>
      <errorID>7cbc3ee0-95f1-4271-939e-6ca9c6c5bb84</errorID>
      <errorWord>)</errorWord>
      <group>L1_Format</group>
      <groupName>格式问题</groupName>
      <ability>L2_HalfPunc</ability>
      <abilityName>全半角检查</abilityName>
      <candidateList>
        <item>）</item>
      </candidateList>
      <explain>文本全半角错误。</explain>
      <paraID>4E838CC8</paraID>
      <start>6</start>
      <end>7</end>
      <status>unmodified</status>
      <modifiedWord/>
      <trackRevisions>false</trackRevisions>
    </reviewItem>
    <reviewItem>
      <errorID>e61ffa82-2af3-4c34-9cd6-bd18390ff1af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11C0DB3A</paraID>
      <start>7</start>
      <end>8</end>
      <status>unmodified</status>
      <modifiedWord/>
      <trackRevisions>false</trackRevisions>
    </reviewItem>
    <reviewItem>
      <errorID>31f673c4-ca91-49b8-b4a6-2cd0dbae2c53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47C6AA18</paraID>
      <start>39</start>
      <end>40</end>
      <status>unmodified</status>
      <modifiedWord/>
      <trackRevisions>false</trackRevisions>
    </reviewItem>
    <reviewItem>
      <errorID>3e4ad290-825d-4c36-b88c-708bfce3b243</errorID>
      <errorWord>[2024]12号</errorWord>
      <group>L1_Knowledge</group>
      <groupName>知识性问题</groupName>
      <ability>L2_Knowledge</ability>
      <abilityName>其他知识</abilityName>
      <candidateList>
        <item>〔2024〕12号</item>
      </candidateList>
      <explain>发文字号格式错误。</explain>
      <paraID>4CE3508C</paraID>
      <start>30</start>
      <end>39</end>
      <status>unmodified</status>
      <modifiedWord/>
      <trackRevisions>false</trackRevisions>
    </reviewItem>
    <reviewItem>
      <errorID>ab6616ea-b12d-4083-9383-c9f1f7a1a889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4261FB1D</paraID>
      <start>0</start>
      <end>2</end>
      <status>unmodified</status>
      <modifiedWord/>
      <trackRevisions>false</trackRevisions>
    </reviewItem>
    <reviewItem>
      <errorID>c51646a5-23a8-4e00-8719-02241b0b94df</errorID>
      <errorWord>期</errorWord>
      <group>L1_Word</group>
      <groupName>字词问题</groupName>
      <ability>L2_Typo</ability>
      <abilityName>字词错误</abilityName>
      <candidateList>
        <item>期间</item>
      </candidateList>
      <explain>〈名〉某个时期里面：农忙～｜春节～｜抗战～。</explain>
      <paraID>7565AE66</paraID>
      <start>2</start>
      <end>3</end>
      <status>unmodified</status>
      <modifiedWord/>
      <trackRevisions>false</trackRevisions>
    </reviewItem>
    <reviewItem>
      <errorID>f1e2e7d5-b80a-4232-b59d-8809276df555</errorID>
      <errorWord>：</errorWord>
      <group>L1_Format</group>
      <groupName>格式问题</groupName>
      <ability>L2_HalfPunc</ability>
      <abilityName>全半角检查</abilityName>
      <candidateList>
        <item>:</item>
      </candidateList>
      <explain>文本全半角错误。</explain>
      <paraID>795B4A13</paraID>
      <start>43</start>
      <end>44</end>
      <status>unmodified</status>
      <modifiedWord/>
      <trackRevisions>false</trackRevisions>
    </reviewItem>
    <reviewItem>
      <errorID>0a0c3b67-7f15-43fd-bd25-e73cf3f54612</errorID>
      <errorWord>（</errorWord>
      <group>L1_Punc</group>
      <groupName>标点问题</groupName>
      <ability>L2_Punc</ability>
      <abilityName>标点符号检查</abilityName>
      <candidateList/>
      <explain>同一形式括号套用。</explain>
      <paraID>554E56D6</paraID>
      <start>22</start>
      <end>23</end>
      <status>unmodified</status>
      <modifiedWord/>
      <trackRevisions>false</trackRevisions>
    </reviewItem>
    <reviewItem>
      <errorID>b46a3d03-4834-45b7-9166-e854a54d61ca</errorID>
      <errorWord>）</errorWord>
      <group>L1_Punc</group>
      <groupName>标点问题</groupName>
      <ability>L2_Punc</ability>
      <abilityName>标点符号检查</abilityName>
      <candidateList/>
      <explain>同一形式括号套用。</explain>
      <paraID>554E56D6</paraID>
      <start>38</start>
      <end>39</end>
      <status>unmodified</status>
      <modifiedWord/>
      <trackRevisions>false</trackRevisions>
    </reviewItem>
    <reviewItem>
      <errorID>9ed8792c-778d-4b07-8eb3-c568ac7326a7</errorID>
      <errorWord>（</errorWord>
      <group>L1_Punc</group>
      <groupName>标点问题</groupName>
      <ability>L2_Punc</ability>
      <abilityName>标点符号检查</abilityName>
      <candidateList/>
      <explain>同一形式括号套用。</explain>
      <paraID>554E56D6</paraID>
      <start>44</start>
      <end>45</end>
      <status>unmodified</status>
      <modifiedWord/>
      <trackRevisions>false</trackRevisions>
    </reviewItem>
    <reviewItem>
      <errorID>002ae705-280b-4086-abb2-152adb1c373d</errorID>
      <errorWord>）</errorWord>
      <group>L1_Punc</group>
      <groupName>标点问题</groupName>
      <ability>L2_Punc</ability>
      <abilityName>标点符号检查</abilityName>
      <candidateList/>
      <explain>同一形式括号套用。</explain>
      <paraID>554E56D6</paraID>
      <start>58</start>
      <end>59</end>
      <status>unmodified</status>
      <modifiedWord/>
      <trackRevisions>false</trackRevisions>
    </reviewItem>
    <reviewItem>
      <errorID>36454a03-9d8f-4ec3-8e1a-4a9786571ca9</errorID>
      <errorWord>（</errorWord>
      <group>L1_Format</group>
      <groupName>格式问题</groupName>
      <ability>L2_HalfPunc</ability>
      <abilityName>全半角检查</abilityName>
      <candidateList>
        <item>(</item>
      </candidateList>
      <explain>文本全半角错误。</explain>
      <paraID>4A385D97</paraID>
      <start>0</start>
      <end>1</end>
      <status>unmodified</status>
      <modifiedWord/>
      <trackRevisions>false</trackRevisions>
    </reviewItem>
    <reviewItem>
      <errorID>fbc6f3fa-fc6c-4f03-a2dc-83d838a984fe</errorID>
      <errorWord>）</errorWord>
      <group>L1_Format</group>
      <groupName>格式问题</groupName>
      <ability>L2_HalfPunc</ability>
      <abilityName>全半角检查</abilityName>
      <candidateList>
        <item>)</item>
      </candidateList>
      <explain>文本全半角错误。</explain>
      <paraID>4A385D97</paraID>
      <start>8</start>
      <end>9</end>
      <status>unmodified</status>
      <modifiedWord/>
      <trackRevisions>false</trackRevisions>
    </reviewItem>
    <reviewItem>
      <errorID>a4efefdc-9a15-4cc5-b21b-113efd03da94</errorID>
      <errorWord>（</errorWord>
      <group>L1_Format</group>
      <groupName>格式问题</groupName>
      <ability>L2_HalfPunc</ability>
      <abilityName>全半角检查</abilityName>
      <candidateList>
        <item>(</item>
      </candidateList>
      <explain>文本全半角错误。</explain>
      <paraID>  474E32</paraID>
      <start>0</start>
      <end>1</end>
      <status>unmodified</status>
      <modifiedWord/>
      <trackRevisions>false</trackRevisions>
    </reviewItem>
    <reviewItem>
      <errorID>2c7845ac-bdc9-4504-85e9-83826e3821e8</errorID>
      <errorWord>）</errorWord>
      <group>L1_Format</group>
      <groupName>格式问题</groupName>
      <ability>L2_HalfPunc</ability>
      <abilityName>全半角检查</abilityName>
      <candidateList>
        <item>)</item>
      </candidateList>
      <explain>文本全半角错误。</explain>
      <paraID>  474E32</paraID>
      <start>8</start>
      <end>9</end>
      <status>unmodified</status>
      <modifiedWord/>
      <trackRevisions>false</trackRevisions>
    </reviewItem>
    <reviewItem>
      <errorID>cada0c68-8d5a-48ab-9089-245f9267db20</errorID>
      <errorWord>(</errorWord>
      <group>L1_Format</group>
      <groupName>格式问题</groupName>
      <ability>L2_HalfPunc</ability>
      <abilityName>全半角检查</abilityName>
      <candidateList>
        <item>（</item>
      </candidateList>
      <explain>文本全半角错误。</explain>
      <paraID>7220792D</paraID>
      <start>26</start>
      <end>27</end>
      <status>unmodified</status>
      <modifiedWord/>
      <trackRevisions>false</trackRevisions>
    </reviewItem>
    <reviewItem>
      <errorID>d1bb5e4f-46e1-4e1b-a884-25682aad622c</errorID>
      <errorWord>)</errorWord>
      <group>L1_Format</group>
      <groupName>格式问题</groupName>
      <ability>L2_HalfPunc</ability>
      <abilityName>全半角检查</abilityName>
      <candidateList>
        <item>）</item>
      </candidateList>
      <explain>文本全半角错误。</explain>
      <paraID>7220792D</paraID>
      <start>39</start>
      <end>40</end>
      <status>unmodified</status>
      <modifiedWord/>
      <trackRevisions>false</trackRevisions>
    </reviewItem>
    <reviewItem>
      <errorID>868dce5e-2503-4137-bfb3-b22809e72468</errorID>
      <errorWord>[2015]52号</errorWord>
      <group>L1_Knowledge</group>
      <groupName>知识性问题</groupName>
      <ability>L2_Knowledge</ability>
      <abilityName>其他知识</abilityName>
      <candidateList>
        <item>〔2015〕52号</item>
      </candidateList>
      <explain>发文字号格式错误。</explain>
      <paraID>1B3E4971</paraID>
      <start>73</start>
      <end>82</end>
      <status>unmodified</status>
      <modifiedWord/>
      <trackRevisions>false</trackRevisions>
    </reviewItem>
    <reviewItem>
      <errorID>4bca42a8-e3be-4101-8afc-b0901d9c02d3</errorID>
      <errorWord>[2019]910号</errorWord>
      <group>L1_Knowledge</group>
      <groupName>知识性问题</groupName>
      <ability>L2_Knowledge</ability>
      <abilityName>其他知识</abilityName>
      <candidateList>
        <item>〔2019〕910号</item>
      </candidateList>
      <explain>发文字号格式错误。</explain>
      <paraID>1B3E4971</paraID>
      <start>117</start>
      <end>127</end>
      <status>unmodified</status>
      <modifiedWord/>
      <trackRevisions>false</trackRevisions>
    </reviewItem>
    <reviewItem>
      <errorID>7c2500a6-0489-4bcd-89c3-084e28153923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3F943431</paraID>
      <start>24</start>
      <end>25</end>
      <status>unmodified</status>
      <modifiedWord/>
      <trackRevisions>false</trackRevisions>
    </reviewItem>
    <reviewItem>
      <errorID>e556ba34-2cc2-432d-9d04-d3b0a9e7d08b</errorID>
      <errorWord>：</errorWord>
      <group>L1_Format</group>
      <groupName>格式问题</groupName>
      <ability>L2_HalfPunc</ability>
      <abilityName>全半角检查</abilityName>
      <candidateList>
        <item>:</item>
      </candidateList>
      <explain>文本全半角错误。</explain>
      <paraID>39233CA3</paraID>
      <start>214</start>
      <end>215</end>
      <status>unmodified</status>
      <modifiedWord/>
      <trackRevisions>false</trackRevisions>
    </reviewItem>
    <reviewItem>
      <errorID>f3e99fb8-0497-40b3-937a-cce37a16bab8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6DBE02AF</paraID>
      <start>35</start>
      <end>36</end>
      <status>unmodified</status>
      <modifiedWord/>
      <trackRevisions>false</trackRevisions>
    </reviewItem>
    <reviewItem>
      <errorID>c5d3dcf7-fe47-4e18-b7e2-9a9d8de6f9d3</errorID>
      <errorWord>：</errorWord>
      <group>L1_Format</group>
      <groupName>格式问题</groupName>
      <ability>L2_HalfPunc</ability>
      <abilityName>全半角检查</abilityName>
      <candidateList>
        <item>:</item>
      </candidateList>
      <explain>文本全半角错误。</explain>
      <paraID>4BF33B4D</paraID>
      <start>208</start>
      <end>209</end>
      <status>unmodified</status>
      <modifiedWord/>
      <trackRevisions>false</trackRevisions>
    </reviewItem>
    <reviewItem>
      <errorID>11607be3-7f26-40fa-a5e4-8b411d411f70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278DA63E</paraID>
      <start>16</start>
      <end>17</end>
      <status>unmodified</status>
      <modifiedWord/>
      <trackRevisions>false</trackRevisions>
    </reviewItem>
    <reviewItem>
      <errorID>25ff9eb0-5285-4d56-ab8f-5295c24985ce</errorID>
      <errorWord>[2017]4号</errorWord>
      <group>L1_Knowledge</group>
      <groupName>知识性问题</groupName>
      <ability>L2_Knowledge</ability>
      <abilityName>其他知识</abilityName>
      <candidateList>
        <item>〔2017〕4号</item>
      </candidateList>
      <explain>发文字号格式错误。</explain>
      <paraID>7557D1EC</paraID>
      <start>26</start>
      <end>34</end>
      <status>unmodified</status>
      <modifiedWord/>
      <trackRevisions>false</trackRevisions>
    </reviewItem>
    <reviewItem>
      <errorID>981a067d-76ea-4022-b627-b41936b193cb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7557D1EC</paraID>
      <start>62</start>
      <end>63</end>
      <status>unmodified</status>
      <modifiedWord/>
      <trackRevisions>false</trackRevisions>
    </reviewItem>
    <reviewItem>
      <errorID>78b1c0f8-c33f-4b0e-94fb-c124d7b1f87b</errorID>
      <errorWord>精攻</errorWord>
      <group>L1_Word</group>
      <groupName>字词问题</groupName>
      <ability>L2_Typo</ability>
      <abilityName>字词错误</abilityName>
      <candidateList>
        <item>精工</item>
      </candidateList>
      <explain>存在发音相同字词的误用。</explain>
      <paraID>3D132789</paraID>
      <start>6</start>
      <end>8</end>
      <status>unmodified</status>
      <modifiedWord/>
      <trackRevisions>false</trackRevisions>
    </reviewItem>
    <reviewItem>
      <errorID>5705f384-7a75-4b10-a9ea-ad0b505ecac0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53ED276E</paraID>
      <start>0</start>
      <end>2</end>
      <status>unmodified</status>
      <modifiedWord/>
      <trackRevisions>false</trackRevisions>
    </reviewItem>
    <reviewItem>
      <errorID>e1261904-9725-4bba-9bc4-55f59ec29af5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1DBD8C0A</paraID>
      <start>0</start>
      <end>2</end>
      <status>unmodified</status>
      <modifiedWord/>
      <trackRevisions>false</trackRevisions>
    </reviewItem>
    <reviewItem>
      <errorID>c84b56fc-c33b-422e-a356-aa1bc5e38bcf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46B9BCF6</paraID>
      <start>0</start>
      <end>2</end>
      <status>unmodified</status>
      <modifiedWord/>
      <trackRevisions>false</trackRevisions>
    </reviewItem>
    <reviewItem>
      <errorID>81619da5-b2ff-4ffe-b117-03d4e207e37b</errorID>
      <errorWord>(</errorWord>
      <group>L1_Format</group>
      <groupName>格式问题</groupName>
      <ability>L2_HalfPunc</ability>
      <abilityName>全半角检查</abilityName>
      <candidateList>
        <item>（</item>
      </candidateList>
      <explain>文本全半角错误。</explain>
      <paraID>5E5E5324</paraID>
      <start>17</start>
      <end>18</end>
      <status>unmodified</status>
      <modifiedWord/>
      <trackRevisions>false</trackRevisions>
    </reviewItem>
    <reviewItem>
      <errorID>eb4ef759-5791-4e7c-b9a5-40df1961a5b9</errorID>
      <errorWord>)</errorWord>
      <group>L1_Format</group>
      <groupName>格式问题</groupName>
      <ability>L2_HalfPunc</ability>
      <abilityName>全半角检查</abilityName>
      <candidateList>
        <item>）</item>
      </candidateList>
      <explain>文本全半角错误。</explain>
      <paraID>5E5E5324</paraID>
      <start>20</start>
      <end>21</end>
      <status>unmodified</status>
      <modifiedWord/>
      <trackRevisions>false</trackRevisions>
    </reviewItem>
    <reviewItem>
      <errorID>b67c95a8-dae6-413b-a31e-358a7e039584</errorID>
      <errorWord>1、</errorWord>
      <group>L1_Format</group>
      <groupName>格式问题</groupName>
      <ability>L2_Ordinal</ability>
      <abilityName>序号格式</abilityName>
      <candidateList>
        <item>1.</item>
      </candidateList>
      <explain>当前序号格式不规范，建议修改为规范格式[1.]。</explain>
      <paraID>63A86D55</paraID>
      <start>0</start>
      <end>2</end>
      <status>unmodified</status>
      <modifiedWord/>
      <trackRevisions>false</trackRevisions>
    </reviewItem>
    <reviewItem>
      <errorID>dccfb839-875f-4797-804f-f96b924637e6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1AA21562</paraID>
      <start>0</start>
      <end>2</end>
      <status>unmodified</status>
      <modifiedWord/>
      <trackRevisions>false</trackRevisions>
    </reviewItem>
    <reviewItem>
      <errorID>4c1b26e7-6462-4ae6-a164-b04368ca7bdf</errorID>
      <errorWord>1、</errorWord>
      <group>L1_Format</group>
      <groupName>格式问题</groupName>
      <ability>L2_Ordinal</ability>
      <abilityName>序号格式</abilityName>
      <candidateList>
        <item>1.</item>
      </candidateList>
      <explain>当前序号格式不规范，建议修改为规范格式[1.]。</explain>
      <paraID>207576B4</paraID>
      <start>0</start>
      <end>2</end>
      <status>unmodified</status>
      <modifiedWord/>
      <trackRevisions>false</trackRevisions>
    </reviewItem>
    <reviewItem>
      <errorID>9ccd1d26-1ea3-4e29-80bf-9ecdfcb36ebe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2451E854</paraID>
      <start>0</start>
      <end>2</end>
      <status>unmodified</status>
      <modifiedWord/>
      <trackRevisions>false</trackRevisions>
    </reviewItem>
    <reviewItem>
      <errorID>c5b00765-a5ce-43cc-87b9-650c33367717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50CB91DE</paraID>
      <start>0</start>
      <end>2</end>
      <status>unmodified</status>
      <modifiedWord/>
      <trackRevisions>false</trackRevisions>
    </reviewItem>
    <reviewItem>
      <errorID>fc55f9cf-6420-44f8-83ec-4da1c9b2b154</errorID>
      <errorWord>1、</errorWord>
      <group>L1_Format</group>
      <groupName>格式问题</groupName>
      <ability>L2_Ordinal</ability>
      <abilityName>序号格式</abilityName>
      <candidateList>
        <item>1.</item>
      </candidateList>
      <explain>当前序号格式不规范，建议修改为规范格式[1.]。</explain>
      <paraID>7CAB5903</paraID>
      <start>0</start>
      <end>2</end>
      <status>unmodified</status>
      <modifiedWord/>
      <trackRevisions>false</trackRevisions>
    </reviewItem>
    <reviewItem>
      <errorID>c21c597a-4913-4454-9f1c-538c3b8a07f1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21EB5AD5</paraID>
      <start>0</start>
      <end>2</end>
      <status>unmodified</status>
      <modifiedWord/>
      <trackRevisions>false</trackRevisions>
    </reviewItem>
    <reviewItem>
      <errorID>fa756650-7773-4982-baac-26aad8d77d51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2CE33D35</paraID>
      <start>0</start>
      <end>2</end>
      <status>unmodified</status>
      <modifiedWord/>
      <trackRevisions>false</trackRevisions>
    </reviewItem>
    <reviewItem>
      <errorID>0a063b5b-83a6-4940-8b16-a205da462bf0</errorID>
      <errorWord>1、</errorWord>
      <group>L1_Format</group>
      <groupName>格式问题</groupName>
      <ability>L2_Ordinal</ability>
      <abilityName>序号格式</abilityName>
      <candidateList>
        <item>1.</item>
      </candidateList>
      <explain>当前序号格式不规范，建议修改为规范格式[1.]。</explain>
      <paraID>533A33E3</paraID>
      <start>0</start>
      <end>2</end>
      <status>unmodified</status>
      <modifiedWord/>
      <trackRevisions>false</trackRevisions>
    </reviewItem>
    <reviewItem>
      <errorID>c0a551e5-ea31-4412-93f8-ab174f0a978a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4DBCAF63</paraID>
      <start>0</start>
      <end>2</end>
      <status>unmodified</status>
      <modifiedWord/>
      <trackRevisions>false</trackRevisions>
    </reviewItem>
    <reviewItem>
      <errorID>2bd345c5-b09e-44d8-aace-77053f20668f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5AA14234</paraID>
      <start>0</start>
      <end>2</end>
      <status>unmodified</status>
      <modifiedWord/>
      <trackRevisions>false</trackRevisions>
    </reviewItem>
    <reviewItem>
      <errorID>b574d5f5-4c54-475e-aafa-554e1c8b90b8</errorID>
      <errorWord>精攻</errorWord>
      <group>L1_Word</group>
      <groupName>字词问题</groupName>
      <ability>L2_Typo</ability>
      <abilityName>字词错误</abilityName>
      <candidateList>
        <item>精工</item>
      </candidateList>
      <explain>存在发音相同字词的误用。</explain>
      <paraID> CAC5EB7</paraID>
      <start>15</start>
      <end>17</end>
      <status>unmodified</status>
      <modifiedWord/>
      <trackRevisions>false</trackRevisions>
    </reviewItem>
    <reviewItem>
      <errorID>2075aa87-59d9-4123-933e-b97927c5997d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6FFBB5AD</paraID>
      <start>16</start>
      <end>17</end>
      <status>unmodified</status>
      <modifiedWord/>
      <trackRevisions>false</trackRevisions>
    </reviewItem>
    <reviewItem>
      <errorID>f3c315c4-c541-4288-932f-7dcb8bcd9eb9</errorID>
      <errorWord>[2024]12号</errorWord>
      <group>L1_Knowledge</group>
      <groupName>知识性问题</groupName>
      <ability>L2_Knowledge</ability>
      <abilityName>其他知识</abilityName>
      <candidateList>
        <item>〔2024〕12号</item>
      </candidateList>
      <explain>发文字号格式错误。</explain>
      <paraID>27E4CD59</paraID>
      <start>3</start>
      <end>12</end>
      <status>unmodified</status>
      <modifiedWord/>
      <trackRevisions>false</trackRevisions>
    </reviewItem>
    <reviewItem>
      <errorID>b9c35ab5-fcfe-4c1f-a405-d0279576c1a8</errorID>
      <errorWord>，</errorWord>
      <group>L1_Format</group>
      <groupName>格式问题</groupName>
      <ability>L2_HalfPunc</ability>
      <abilityName>全半角检查</abilityName>
      <candidateList>
        <item>,</item>
      </candidateList>
      <explain>文本全半角错误。</explain>
      <paraID> AE41EA8</paraID>
      <start>17</start>
      <end>18</end>
      <status>unmodified</status>
      <modifiedWord/>
      <trackRevisions>false</trackRevisions>
    </reviewItem>
    <reviewItem>
      <errorID>54b50cd2-fbb5-4f38-b4bb-c0d3c74ab754</errorID>
      <errorWord>精攻</errorWord>
      <group>L1_Word</group>
      <groupName>字词问题</groupName>
      <ability>L2_Typo</ability>
      <abilityName>字词错误</abilityName>
      <candidateList>
        <item>精工</item>
      </candidateList>
      <explain>存在发音相同字词的误用。</explain>
      <paraID>212A7B1C</paraID>
      <start>6</start>
      <end>8</end>
      <status>unmodified</status>
      <modifiedWord/>
      <trackRevisions>false</trackRevisions>
    </reviewItem>
    <reviewItem>
      <errorID>dad18487-faae-4243-a251-81f8854d6334</errorID>
      <errorWord>社会统一信用代码</errorWord>
      <group>L1_Word</group>
      <groupName>字词问题</groupName>
      <ability>L2_Typo</ability>
      <abilityName>字词错误</abilityName>
      <candidateList>
        <item>统一社会信用代码</item>
      </candidateList>
      <explain/>
      <paraID>47B94BBA</paraID>
      <start>4</start>
      <end>12</end>
      <status>unmodified</status>
      <modifiedWord/>
      <trackRevisions>false</trackRevisions>
    </reviewItem>
    <reviewItem>
      <errorID>8d625a3f-400d-4b92-9cf9-442279c5d4a0</errorID>
      <errorWord>合同中</errorWord>
      <group>L1_Word</group>
      <groupName>字词问题</groupName>
      <ability>L2_Typo</ability>
      <abilityName>字词错误</abilityName>
      <candidateList>
        <item>合同</item>
      </candidateList>
      <explain/>
      <paraID>5943D311</paraID>
      <start>14</start>
      <end>17</end>
      <status>unmodified</status>
      <modifiedWord/>
      <trackRevisions>false</trackRevisions>
    </reviewItem>
    <reviewItem>
      <errorID>f8bdf1c9-60f9-485d-a8cc-884472f7a128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53C4E820</paraID>
      <start>37</start>
      <end>38</end>
      <status>unmodified</status>
      <modifiedWord/>
      <trackRevisions>false</trackRevisions>
    </reviewItem>
    <reviewItem>
      <errorID>ee53621a-c524-41bc-837e-49b38acac7f0</errorID>
      <errorWord>[2024]12号</errorWord>
      <group>L1_Knowledge</group>
      <groupName>知识性问题</groupName>
      <ability>L2_Knowledge</ability>
      <abilityName>其他知识</abilityName>
      <candidateList>
        <item>〔2024〕12号</item>
      </candidateList>
      <explain>发文字号格式错误。</explain>
      <paraID>4409F063</paraID>
      <start>28</start>
      <end>37</end>
      <status>unmodified</status>
      <modifiedWord/>
      <trackRevisions>false</trackRevisions>
    </reviewItem>
    <reviewItem>
      <errorID>49ab3791-31d2-4edf-8a37-d230fe5c22f9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6EAB487E</paraID>
      <start>56</start>
      <end>57</end>
      <status>unmodified</status>
      <modifiedWord/>
      <trackRevisions>false</trackRevisions>
    </reviewItem>
    <reviewItem>
      <errorID>9841d511-ef9c-4835-aa6e-7d986537fc41</errorID>
      <errorWord>督察</errorWord>
      <group>L1_Word</group>
      <groupName>字词问题</groupName>
      <ability>L2_Typo</ability>
      <abilityName>字词错误</abilityName>
      <candidateList>
        <item>督查</item>
      </candidateList>
      <explain>存在发音相同字词的误用。</explain>
      <paraID>38C9BADA</paraID>
      <start>108</start>
      <end>110</end>
      <status>unmodified</status>
      <modifiedWord/>
      <trackRevisions>false</trackRevisions>
    </reviewItem>
    <reviewItem>
      <errorID>0e83507e-8224-4136-8352-c87b80082d28</errorID>
      <errorWord>完</errorWord>
      <group>L1_Word</group>
      <groupName>字词问题</groupName>
      <ability>L2_Typo</ability>
      <abilityName>字词错误</abilityName>
      <candidateList>
        <item>完成</item>
      </candidateList>
      <explain>〈动〉按照预期的目的结束；做成：～任务｜～作业｜计划完得成。</explain>
      <paraID>7E3A556A</paraID>
      <start>61</start>
      <end>62</end>
      <status>unmodified</status>
      <modifiedWord/>
      <trackRevisions>false</trackRevisions>
    </reviewItem>
    <reviewItem>
      <errorID>e885d61a-7ccd-491b-adb4-04c41244d6e4</errorID>
      <errorWord>程</errorWord>
      <group>L1_Word</group>
      <groupName>字词问题</groupName>
      <ability>L2_Typo</ability>
      <abilityName>字词错误</abilityName>
      <candidateList>
        <item>程中</item>
      </candidateList>
      <explain/>
      <paraID>75A86261</paraID>
      <start>3</start>
      <end>4</end>
      <status>unmodified</status>
      <modifiedWord/>
      <trackRevisions>false</trackRevisions>
    </reviewItem>
    <reviewItem>
      <errorID>711b81ff-137f-488f-9aa4-0edd1de47407</errorID>
      <errorWord>使用</errorWord>
      <group>L1_Grammar</group>
      <groupName>语法问题</groupName>
      <ability>L2_Grammar</ability>
      <abilityName>语法错误</abilityName>
      <candidateList>
        <item>采取</item>
      </candidateList>
      <explain>“使用～措施”搭配不当，建议修改为“采取～措施”。</explain>
      <paraID>75A86261</paraID>
      <start>14</start>
      <end>16</end>
      <status>unmodified</status>
      <modifiedWord/>
      <trackRevisions>false</trackRevisions>
    </reviewItem>
    <reviewItem>
      <errorID>2a9a8147-da18-4d10-b0ba-cd85a231a026</errorID>
      <errorWord>程</errorWord>
      <group>L1_Word</group>
      <groupName>字词问题</groupName>
      <ability>L2_Typo</ability>
      <abilityName>字词错误</abilityName>
      <candidateList>
        <item>程中</item>
      </candidateList>
      <explain/>
      <paraID>6EAA4428</paraID>
      <start>7</start>
      <end>8</end>
      <status>unmodified</status>
      <modifiedWord/>
      <trackRevisions>false</trackRevisions>
    </reviewItem>
    <reviewItem>
      <errorID>a29425c5-b504-4e3d-8ba0-caea46f28e1e</errorID>
      <errorWord>恢复为</errorWord>
      <group>L1_Word</group>
      <groupName>字词问题</groupName>
      <ability>L2_Typo</ability>
      <abilityName>字词错误</abilityName>
      <candidateList>
        <item>恢复</item>
      </candidateList>
      <explain/>
      <paraID>718F6B18</paraID>
      <start>26</start>
      <end>29</end>
      <status>unmodified</status>
      <modifiedWord/>
      <trackRevisions>false</trackRevisions>
    </reviewItem>
  </reviewItems>
  <config/>
</contractReview>
</file>

<file path=customXml/item4.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5.xml><?xml version="1.0" encoding="utf-8"?>
<ct:contentTypeSchema xmlns:ct="http://schemas.microsoft.com/office/2006/metadata/contentType" xmlns:ma="http://schemas.microsoft.com/office/2006/metadata/properties/metaAttributes" ct:_="" ma:_="" ma:contentTypeName="文档" ma:contentTypeID="0x010100313989E510CC474A862876A387D6F14A" ma:contentTypeVersion="1" ma:contentTypeDescription="新建文档。" ma:contentTypeScope="" ma:versionID="9481bbee652bab56d8878f23ff1a8b39">
  <xsd:schema xmlns:xsd="http://www.w3.org/2001/XMLSchema" xmlns:xs="http://www.w3.org/2001/XMLSchema" xmlns:p="http://schemas.microsoft.com/office/2006/metadata/properties" xmlns:ns1="http://schemas.microsoft.com/sharepoint/v3" targetNamespace="http://schemas.microsoft.com/office/2006/metadata/properties" ma:root="true" ma:fieldsID="5107b0345c29e57748057d300629ffc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计划开始日期" ma:description="“计划开始日期”是由“发布”功能创建的网站栏。它用于指定第一次向网站访问者显示此页面的日期和时间。" ma:hidden="true" ma:internalName="PublishingStartDate">
      <xsd:simpleType>
        <xsd:restriction base="dms:Unknown"/>
      </xsd:simpleType>
    </xsd:element>
    <xsd:element name="PublishingExpirationDate" ma:index="9" nillable="true" ma:displayName="计划结束日期" ma:description="“计划结束日期”是由“发布”功能创建的网站栏。它用于指定不再向网站访问者显示此页面的日期和时间。"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contractReview xmlns="http://schemas.wps.cn/vas-ai-hub/contract-review">
  <reviewItems>
    <reviewItem>
      <errorID>4d0380b3-b284-47d9-9f44-4575e2affcb1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6FDBD84</paraID>
      <start>16</start>
      <end>17</end>
      <status>unmodified</status>
      <modifiedWord/>
      <trackRevisions>false</trackRevisions>
    </reviewItem>
    <reviewItem>
      <errorID>30f53354-08b3-4100-be4b-849d503760f3</errorID>
      <errorWord>：</errorWord>
      <group>L1_Punc</group>
      <groupName>标点问题</groupName>
      <ability>L2_Punc</ability>
      <abilityName>标点符号检查</abilityName>
      <candidateList/>
      <explain/>
      <paraID>1C2E8C8F</paraID>
      <start>0</start>
      <end>1</end>
      <status>unmodified</status>
      <modifiedWord/>
      <trackRevisions>false</trackRevisions>
    </reviewItem>
    <reviewItem>
      <errorID>97373fb1-a3c2-4ab7-a8be-ca1e5ced3027</errorID>
      <errorWord>胜利油田高青石油开发有限公司</errorWord>
      <group>L1_Other</group>
      <groupName>其他问题</groupName>
      <ability>L2_Consistency</ability>
      <abilityName>一致性检查</abilityName>
      <candidateList>
        <item>胜利油田高青石油开发有限责任公司</item>
      </candidateList>
      <explain>实体一致性问题，文档中建设单位名称前后表述不一致，规范后应统一为“胜利油田高青石油开发有限责任公司”</explain>
      <paraID>40D3049E</paraID>
      <start>0</start>
      <end>14</end>
      <status>unmodified</status>
      <modifiedWord/>
      <trackRevisions>false</trackRevisions>
    </reviewItem>
    <reviewItem>
      <errorID>cff2cc55-47ef-4055-b03d-0138d248ac07</errorID>
      <errorWord>：</errorWord>
      <group>L1_Punc</group>
      <groupName>标点问题</groupName>
      <ability>L2_Punc</ability>
      <abilityName>标点符号检查</abilityName>
      <candidateList/>
      <explain/>
      <paraID>29BE6A45</paraID>
      <start>0</start>
      <end>1</end>
      <status>unmodified</status>
      <modifiedWord/>
      <trackRevisions>false</trackRevisions>
    </reviewItem>
    <reviewItem>
      <errorID>d44f9938-7052-41ed-9d4b-02b7605866ec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8B4995B</paraID>
      <start>16</start>
      <end>17</end>
      <status>unmodified</status>
      <modifiedWord/>
      <trackRevisions>false</trackRevisions>
    </reviewItem>
    <reviewItem>
      <errorID>ef4e75a9-11b4-4ac5-91b1-883e4dd0b65e</errorID>
      <errorWord>：</errorWord>
      <group>L1_Punc</group>
      <groupName>标点问题</groupName>
      <ability>L2_Punc</ability>
      <abilityName>标点符号检查</abilityName>
      <candidateList/>
      <explain/>
      <paraID>6C8EB656</paraID>
      <start>0</start>
      <end>1</end>
      <status>unmodified</status>
      <modifiedWord/>
      <trackRevisions>false</trackRevisions>
    </reviewItem>
    <reviewItem>
      <errorID>115fa244-e807-4de7-a475-35cf55bdd159</errorID>
      <errorWord>：</errorWord>
      <group>L1_Punc</group>
      <groupName>标点问题</groupName>
      <ability>L2_Punc</ability>
      <abilityName>标点符号检查</abilityName>
      <candidateList/>
      <explain/>
      <paraID> 5F1D061</paraID>
      <start>0</start>
      <end>1</end>
      <status>unmodified</status>
      <modifiedWord/>
      <trackRevisions>false</trackRevisions>
    </reviewItem>
    <reviewItem>
      <errorID>77a67f76-b183-4a71-8f36-70b35744119f</errorID>
      <errorWord>：</errorWord>
      <group>L1_Punc</group>
      <groupName>标点问题</groupName>
      <ability>L2_Punc</ability>
      <abilityName>标点符号检查</abilityName>
      <candidateList/>
      <explain/>
      <paraID>51FE01C1</paraID>
      <start>0</start>
      <end>1</end>
      <status>unmodified</status>
      <modifiedWord/>
      <trackRevisions>false</trackRevisions>
    </reviewItem>
    <reviewItem>
      <errorID>a69da8f7-58ad-4a90-a4d6-cae223884f52</errorID>
      <errorWord>：</errorWord>
      <group>L1_Punc</group>
      <groupName>标点问题</groupName>
      <ability>L2_Punc</ability>
      <abilityName>标点符号检查</abilityName>
      <candidateList/>
      <explain/>
      <paraID>2C8EB6F5</paraID>
      <start>0</start>
      <end>1</end>
      <status>unmodified</status>
      <modifiedWord/>
      <trackRevisions>false</trackRevisions>
    </reviewItem>
    <reviewItem>
      <errorID>50b18e2f-b837-4f44-8789-8508dae7ea97</errorID>
      <errorWord>东胜精攻</errorWord>
      <group>L1_Grammar</group>
      <groupName>语法问题</groupName>
      <ability>L2_Grammar</ability>
      <abilityName>语法错误</abilityName>
      <candidateList>
        <item>高青</item>
      </candidateList>
      <explain/>
      <paraID>3BCE0C44</paraID>
      <start>9</start>
      <end>13</end>
      <status>unmodified</status>
      <modifiedWord/>
      <trackRevisions>false</trackRevisions>
    </reviewItem>
    <reviewItem>
      <errorID>66544a03-9048-4a77-bb73-09b7d528fcf4</errorID>
      <errorWord>集团股份有限公司</errorWord>
      <group>L1_Grammar</group>
      <groupName>语法问题</groupName>
      <ability>L2_Grammar</ability>
      <abilityName>语法错误</abilityName>
      <candidateList>
        <item>有限责任公司</item>
      </candidateList>
      <explain/>
      <paraID>3BCE0C44</paraID>
      <start>17</start>
      <end>25</end>
      <status>unmodified</status>
      <modifiedWord/>
      <trackRevisions>false</trackRevisions>
    </reviewItem>
    <reviewItem>
      <errorID>3fc28266-3481-4e2e-9590-8e512d42d0ea</errorID>
      <errorWord>：</errorWord>
      <group>L1_Punc</group>
      <groupName>标点问题</groupName>
      <ability>L2_Punc</ability>
      <abilityName>标点符号检查</abilityName>
      <candidateList/>
      <explain/>
      <paraID>7D2716C8</paraID>
      <start>0</start>
      <end>1</end>
      <status>unmodified</status>
      <modifiedWord/>
      <trackRevisions>false</trackRevisions>
    </reviewItem>
    <reviewItem>
      <errorID>1f6ef8e2-dcbf-47e1-8969-dff52795a0f7</errorID>
      <errorWord>：</errorWord>
      <group>L1_Punc</group>
      <groupName>标点问题</groupName>
      <ability>L2_Punc</ability>
      <abilityName>标点符号检查</abilityName>
      <candidateList/>
      <explain/>
      <paraID>27925B09</paraID>
      <start>0</start>
      <end>1</end>
      <status>unmodified</status>
      <modifiedWord/>
      <trackRevisions>false</trackRevisions>
    </reviewItem>
    <reviewItem>
      <errorID>4e360f76-9f75-4b2d-a8bf-28943b7e178b</errorID>
      <errorWord>：</errorWord>
      <group>L1_Punc</group>
      <groupName>标点问题</groupName>
      <ability>L2_Punc</ability>
      <abilityName>标点符号检查</abilityName>
      <candidateList/>
      <explain/>
      <paraID> 376E061</paraID>
      <start>0</start>
      <end>1</end>
      <status>unmodified</status>
      <modifiedWord/>
      <trackRevisions>false</trackRevisions>
    </reviewItem>
    <reviewItem>
      <errorID>05a284f5-4bc7-4079-9f0b-5b9b7099657d</errorID>
      <errorWord>：</errorWord>
      <group>L1_Punc</group>
      <groupName>标点问题</groupName>
      <ability>L2_Punc</ability>
      <abilityName>标点符号检查</abilityName>
      <candidateList/>
      <explain/>
      <paraID>43445BC2</paraID>
      <start>0</start>
      <end>1</end>
      <status>unmodified</status>
      <modifiedWord/>
      <trackRevisions>false</trackRevisions>
    </reviewItem>
    <reviewItem>
      <errorID>5e7ddc30-86ce-4af9-9696-d97b4ce59b46</errorID>
      <errorWord>：</errorWord>
      <group>L1_Punc</group>
      <groupName>标点问题</groupName>
      <ability>L2_Punc</ability>
      <abilityName>标点符号检查</abilityName>
      <candidateList/>
      <explain/>
      <paraID> FF6157E</paraID>
      <start>0</start>
      <end>1</end>
      <status>unmodified</status>
      <modifiedWord/>
      <trackRevisions>false</trackRevisions>
    </reviewItem>
    <reviewItem>
      <errorID>c1832467-3853-486a-b06b-fa1b45742a81</errorID>
      <errorWord>：</errorWord>
      <group>L1_Punc</group>
      <groupName>标点问题</groupName>
      <ability>L2_Punc</ability>
      <abilityName>标点符号检查</abilityName>
      <candidateList/>
      <explain/>
      <paraID>16905F76</paraID>
      <start>0</start>
      <end>1</end>
      <status>unmodified</status>
      <modifiedWord/>
      <trackRevisions>false</trackRevisions>
    </reviewItem>
    <reviewItem>
      <errorID>e003baaf-c961-42ff-bacf-2bfa22446977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1BEAECE8</paraID>
      <start>118</start>
      <end>119</end>
      <status>unmodified</status>
      <modifiedWord/>
      <trackRevisions>false</trackRevisions>
    </reviewItem>
    <reviewItem>
      <errorID>86b2f525-1e15-410d-8269-26155f8e0857</errorID>
      <errorWord>[2024]12号</errorWord>
      <group>L1_Knowledge</group>
      <groupName>知识性问题</groupName>
      <ability>L2_Knowledge</ability>
      <abilityName>其他知识</abilityName>
      <candidateList>
        <item>〔2024〕12号</item>
      </candidateList>
      <explain>发文字号格式错误。</explain>
      <paraID>1BEAECE8</paraID>
      <start>162</start>
      <end>171</end>
      <status>unmodified</status>
      <modifiedWord/>
      <trackRevisions>false</trackRevisions>
    </reviewItem>
    <reviewItem>
      <errorID>ae20ce5d-172d-455b-93b2-c964f0d723e8</errorID>
      <errorWord>本期工程</errorWord>
      <group>L1_Word</group>
      <groupName>字词问题</groupName>
      <ability>L2_Typo</ability>
      <abilityName>字词错误</abilityName>
      <candidateList>
        <item>二期工程</item>
      </candidateList>
      <explain/>
      <paraID>575DEBA4</paraID>
      <start>99</start>
      <end>103</end>
      <status>unmodified</status>
      <modifiedWord/>
      <trackRevisions>false</trackRevisions>
    </reviewItem>
    <reviewItem>
      <errorID>a043ffda-d285-4a77-a17e-969f309f2ac8</errorID>
      <errorWord>[2015]52号</errorWord>
      <group>L1_Knowledge</group>
      <groupName>知识性问题</groupName>
      <ability>L2_Knowledge</ability>
      <abilityName>其他知识</abilityName>
      <candidateList>
        <item>〔2015〕52号</item>
      </candidateList>
      <explain>发文字号格式错误。</explain>
      <paraID>18199726</paraID>
      <start>405</start>
      <end>414</end>
      <status>unmodified</status>
      <modifiedWord/>
      <trackRevisions>false</trackRevisions>
    </reviewItem>
    <reviewItem>
      <errorID>b28ce670-5ac8-4ce5-b25d-802a485b2fd5</errorID>
      <errorWord>[2019]910号</errorWord>
      <group>L1_Knowledge</group>
      <groupName>知识性问题</groupName>
      <ability>L2_Knowledge</ability>
      <abilityName>其他知识</abilityName>
      <candidateList>
        <item>〔2019〕910号</item>
      </candidateList>
      <explain>发文字号格式错误。</explain>
      <paraID>18199726</paraID>
      <start>449</start>
      <end>459</end>
      <status>unmodified</status>
      <modifiedWord/>
      <trackRevisions>false</trackRevisions>
    </reviewItem>
    <reviewItem>
      <errorID>f1457f16-f24d-45c2-9c94-f67fc63bc465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28171C25</paraID>
      <start>259</start>
      <end>260</end>
      <status>unmodified</status>
      <modifiedWord/>
      <trackRevisions>false</trackRevisions>
    </reviewItem>
    <reviewItem>
      <errorID>cb75d72b-8814-403b-aef7-94560cc4482d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28171C25</paraID>
      <start>276</start>
      <end>277</end>
      <status>unmodified</status>
      <modifiedWord/>
      <trackRevisions>false</trackRevisions>
    </reviewItem>
    <reviewItem>
      <errorID>7f6cb533-1796-4d5c-a55a-26d62cf69030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28171C25</paraID>
      <start>322</start>
      <end>323</end>
      <status>unmodified</status>
      <modifiedWord/>
      <trackRevisions>false</trackRevisions>
    </reviewItem>
    <reviewItem>
      <errorID>90b5cdcb-18d4-423d-b54b-8b485ae2316b</errorID>
      <errorWord>项目</errorWord>
      <group>L1_Punc</group>
      <groupName>标点问题</groupName>
      <ability>L2_Punc</ability>
      <abilityName>标点符号检查</abilityName>
      <candidateList>
        <item>. 项目</item>
      </candidateList>
      <explain/>
      <paraID>11FEEE9A</paraID>
      <start>0</start>
      <end>2</end>
      <status>unmodified</status>
      <modifiedWord/>
      <trackRevisions>false</trackRevisions>
    </reviewItem>
    <reviewItem>
      <errorID>7228fcdd-be7c-4915-80ad-00cb7b88c5c6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2FD5A649</paraID>
      <start>21</start>
      <end>22</end>
      <status>unmodified</status>
      <modifiedWord/>
      <trackRevisions>false</trackRevisions>
    </reviewItem>
    <reviewItem>
      <errorID>1383ba7e-cd7c-49d0-a9b0-2366ad6bece0</errorID>
      <errorWord>；</errorWord>
      <group>L1_Punc</group>
      <groupName>标点问题</groupName>
      <ability>L2_Punc</ability>
      <abilityName>标点符号检查</abilityName>
      <candidateList>
        <item/>
      </candidateList>
      <explain/>
      <paraID>2FD5A649</paraID>
      <start>32</start>
      <end>33</end>
      <status>unmodified</status>
      <modifiedWord/>
      <trackRevisions>false</trackRevisions>
    </reviewItem>
    <reviewItem>
      <errorID>daff0cc7-ab6b-4d23-b68f-e7fe2ed1ad1a</errorID>
      <errorWord> </errorWord>
      <group>L1_Punc</group>
      <groupName>标点问题</groupName>
      <ability>L2_Punc</ability>
      <abilityName>标点符号检查</abilityName>
      <candidateList>
        <item>-</item>
      </candidateList>
      <explain/>
      <paraID>38577ADB</paraID>
      <start>64</start>
      <end>65</end>
      <status>unmodified</status>
      <modifiedWord/>
      <trackRevisions>false</trackRevisions>
    </reviewItem>
    <reviewItem>
      <errorID>e7468d21-f2cf-4362-8a16-aa69a1d21155</errorID>
      <errorWord> </errorWord>
      <group>L1_Punc</group>
      <groupName>标点问题</groupName>
      <ability>L2_Punc</ability>
      <abilityName>标点符号检查</abilityName>
      <candidateList>
        <item>-</item>
      </candidateList>
      <explain/>
      <paraID>197727FF</paraID>
      <start>22</start>
      <end>23</end>
      <status>unmodified</status>
      <modifiedWord/>
      <trackRevisions>false</trackRevisions>
    </reviewItem>
    <reviewItem>
      <errorID>575961fa-1201-4d0a-abec-75ebc134a1f7</errorID>
      <errorWord>情况</errorWord>
      <group>L1_Punc</group>
      <groupName>标点问题</groupName>
      <ability>L2_Punc</ability>
      <abilityName>标点符号检查</abilityName>
      <candidateList>
        <item>情况：</item>
      </candidateList>
      <explain/>
      <paraID>20F4AE13</paraID>
      <start>9</start>
      <end>11</end>
      <status>unmodified</status>
      <modifiedWord/>
      <trackRevisions>false</trackRevisions>
    </reviewItem>
    <reviewItem>
      <errorID>5f20c5cd-c7e7-4f49-a19b-79f576385366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582B75CB</paraID>
      <start>37</start>
      <end>38</end>
      <status>unmodified</status>
      <modifiedWord/>
      <trackRevisions>false</trackRevisions>
    </reviewItem>
    <reviewItem>
      <errorID>b74aa0a3-1d31-4a70-86da-6eebd08c493b</errorID>
      <errorWord>[2024]12号</errorWord>
      <group>L1_Knowledge</group>
      <groupName>知识性问题</groupName>
      <ability>L2_Knowledge</ability>
      <abilityName>其他知识</abilityName>
      <candidateList>
        <item>〔2024〕12号</item>
      </candidateList>
      <explain>发文字号格式错误。</explain>
      <paraID>1652D486</paraID>
      <start>28</start>
      <end>37</end>
      <status>unmodified</status>
      <modifiedWord/>
      <trackRevisions>false</trackRevisions>
    </reviewItem>
    <reviewItem>
      <errorID>ddb66773-3a17-4030-afca-5fa3e68ef08b</errorID>
      <errorWord>情况</errorWord>
      <group>L1_Punc</group>
      <groupName>标点问题</groupName>
      <ability>L2_Punc</ability>
      <abilityName>标点符号检查</abilityName>
      <candidateList>
        <item>情况：</item>
      </candidateList>
      <explain/>
      <paraID>6EEB92F3</paraID>
      <start>6</start>
      <end>8</end>
      <status>unmodified</status>
      <modifiedWord/>
      <trackRevisions>false</trackRevisions>
    </reviewItem>
    <reviewItem>
      <errorID>8a2bc5f6-ff8e-4100-8ef7-20652b5ceb2e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7AB4E60E</paraID>
      <start>10</start>
      <end>11</end>
      <status>unmodified</status>
      <modifiedWord/>
      <trackRevisions>false</trackRevisions>
    </reviewItem>
    <reviewItem>
      <errorID>5205c084-4659-4dc1-a0a6-434bc3f9bdfc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7AB4E60E</paraID>
      <start>22</start>
      <end>23</end>
      <status>unmodified</status>
      <modifiedWord/>
      <trackRevisions>false</trackRevisions>
    </reviewItem>
    <reviewItem>
      <errorID>64d99d39-5fc4-4d37-930d-243cca8b8a88</errorID>
      <errorWord>法律、法规</errorWord>
      <group>L1_Word</group>
      <groupName>字词问题</groupName>
      <ability>L2_Typo</ability>
      <abilityName>字词错误</abilityName>
      <candidateList>
        <item>法律法规</item>
      </candidateList>
      <explain/>
      <paraID>44374538</paraID>
      <start>10</start>
      <end>15</end>
      <status>unmodified</status>
      <modifiedWord/>
      <trackRevisions>false</trackRevisions>
    </reviewItem>
    <reviewItem>
      <errorID>046c7163-bc62-4db2-a334-97c13667a44c</errorID>
      <errorWord>中华人民共和国环境保护法</errorWord>
      <group>L1_Knowledge</group>
      <groupName>知识性问题</groupName>
      <ability>L2_Knowledge</ability>
      <abilityName>其他知识</abilityName>
      <candidateList/>
      <explain>当前法律法规未收录或尚未生效，注意核查是否正确。</explain>
      <paraID>17673C61</paraID>
      <start>1</start>
      <end>13</end>
      <status>unmodified</status>
      <modifiedWord/>
      <trackRevisions>false</trackRevisions>
    </reviewItem>
    <reviewItem>
      <errorID>9c697c1f-9dc7-44f6-8306-bcd39200055a</errorID>
      <errorWord>）</errorWord>
      <group>L1_Grammar</group>
      <groupName>语法问题</groupName>
      <ability>L2_Grammar</ability>
      <abilityName>语法错误</abilityName>
      <candidateList>
        <item>起施行）</item>
      </candidateList>
      <explain/>
      <paraID>17673C61</paraID>
      <start>24</start>
      <end>25</end>
      <status>unmodified</status>
      <modifiedWord/>
      <trackRevisions>false</trackRevisions>
    </reviewItem>
    <reviewItem>
      <errorID>44f992ff-e411-4dcb-ad62-4731288a84dd</errorID>
      <errorWord>中华人民共和国水污染防治法</errorWord>
      <group>L1_Knowledge</group>
      <groupName>知识性问题</groupName>
      <ability>L2_Knowledge</ability>
      <abilityName>其他知识</abilityName>
      <candidateList/>
      <explain>当前法律法规未收录或尚未生效，注意核查是否正确。</explain>
      <paraID>6E841034</paraID>
      <start>1</start>
      <end>14</end>
      <status>unmodified</status>
      <modifiedWord/>
      <trackRevisions>false</trackRevisions>
    </reviewItem>
    <reviewItem>
      <errorID>b570184d-8d82-45d2-8da3-57dec5eac92e</errorID>
      <errorWord>）</errorWord>
      <group>L1_Grammar</group>
      <groupName>语法问题</groupName>
      <ability>L2_Grammar</ability>
      <abilityName>语法错误</abilityName>
      <candidateList>
        <item>起施行）</item>
      </candidateList>
      <explain/>
      <paraID>6E841034</paraID>
      <start>25</start>
      <end>26</end>
      <status>unmodified</status>
      <modifiedWord/>
      <trackRevisions>false</trackRevisions>
    </reviewItem>
    <reviewItem>
      <errorID>b5478740-1d0f-4546-aca6-011c557d94c7</errorID>
      <errorWord>）</errorWord>
      <group>L1_Grammar</group>
      <groupName>语法问题</groupName>
      <ability>L2_Grammar</ability>
      <abilityName>语法错误</abilityName>
      <candidateList>
        <item>起施行）</item>
      </candidateList>
      <explain/>
      <paraID>5B6E9938</paraID>
      <start>28</start>
      <end>29</end>
      <status>unmodified</status>
      <modifiedWord/>
      <trackRevisions>false</trackRevisions>
    </reviewItem>
    <reviewItem>
      <errorID>b7268ac9-ed39-4dd1-b611-2d9b1e852a22</errorID>
      <errorWord>）</errorWord>
      <group>L1_Grammar</group>
      <groupName>语法问题</groupName>
      <ability>L2_Grammar</ability>
      <abilityName>语法错误</abilityName>
      <candidateList>
        <item>起施行）</item>
      </candidateList>
      <explain/>
      <paraID>3CF8DCC6</paraID>
      <start>30</start>
      <end>31</end>
      <status>unmodified</status>
      <modifiedWord/>
      <trackRevisions>false</trackRevisions>
    </reviewItem>
    <reviewItem>
      <errorID>55216dfb-39f1-4343-880a-5d1e70a4e891</errorID>
      <errorWord>）</errorWord>
      <group>L1_Grammar</group>
      <groupName>语法问题</groupName>
      <ability>L2_Grammar</ability>
      <abilityName>语法错误</abilityName>
      <candidateList>
        <item>起施行）</item>
      </candidateList>
      <explain/>
      <paraID>323A7332</paraID>
      <start>26</start>
      <end>27</end>
      <status>unmodified</status>
      <modifiedWord/>
      <trackRevisions>false</trackRevisions>
    </reviewItem>
    <reviewItem>
      <errorID>0e156a38-f99d-48c9-bfa0-517c5d46243f</errorID>
      <errorWord>）</errorWord>
      <group>L1_Grammar</group>
      <groupName>语法问题</groupName>
      <ability>L2_Grammar</ability>
      <abilityName>语法错误</abilityName>
      <candidateList>
        <item>起施行）</item>
      </candidateList>
      <explain/>
      <paraID>55EB2D79</paraID>
      <start>27</start>
      <end>28</end>
      <status>unmodified</status>
      <modifiedWord/>
      <trackRevisions>false</trackRevisions>
    </reviewItem>
    <reviewItem>
      <errorID>2bf39e45-1f9e-48d6-aee4-8dd83207de3c</errorID>
      <errorWord>中华人民共和国循环经济促进法</errorWord>
      <group>L1_Knowledge</group>
      <groupName>知识性问题</groupName>
      <ability>L2_Knowledge</ability>
      <abilityName>其他知识</abilityName>
      <candidateList>
        <item>中华人民共和国民营经济促进法</item>
      </candidateList>
      <explain>当前法律法规未收录或尚未生效，注意核查是否正确。</explain>
      <paraID>3A3C504D</paraID>
      <start>1</start>
      <end>15</end>
      <status>unmodified</status>
      <modifiedWord/>
      <trackRevisions>false</trackRevisions>
    </reviewItem>
    <reviewItem>
      <errorID>60bd4205-fcfe-4978-a069-713591886448</errorID>
      <errorWord>[2015]52号</errorWord>
      <group>L1_Knowledge</group>
      <groupName>知识性问题</groupName>
      <ability>L2_Knowledge</ability>
      <abilityName>其他知识</abilityName>
      <candidateList>
        <item>〔2015〕52号</item>
      </candidateList>
      <explain>发文字号格式错误。</explain>
      <paraID> C2CA2F2</paraID>
      <start>31</start>
      <end>40</end>
      <status>unmodified</status>
      <modifiedWord/>
      <trackRevisions>false</trackRevisions>
    </reviewItem>
    <reviewItem>
      <errorID>82e9231a-0149-45fd-af73-6fb59e0576d1</errorID>
      <errorWord>[2019]910号</errorWord>
      <group>L1_Knowledge</group>
      <groupName>知识性问题</groupName>
      <ability>L2_Knowledge</ability>
      <abilityName>其他知识</abilityName>
      <candidateList>
        <item>〔2019〕910号</item>
      </candidateList>
      <explain>发文字号格式错误。</explain>
      <paraID>2176D807</paraID>
      <start>33</start>
      <end>43</end>
      <status>unmodified</status>
      <modifiedWord/>
      <trackRevisions>false</trackRevisions>
    </reviewItem>
    <reviewItem>
      <errorID>df718f57-f566-41fb-8f98-9c63c58119db</errorID>
      <errorWord>）</errorWord>
      <group>L1_Grammar</group>
      <groupName>语法问题</groupName>
      <ability>L2_Grammar</ability>
      <abilityName>语法错误</abilityName>
      <candidateList>
        <item>起施行）</item>
      </candidateList>
      <explain/>
      <paraID>284DA738</paraID>
      <start>21</start>
      <end>22</end>
      <status>unmodified</status>
      <modifiedWord/>
      <trackRevisions>false</trackRevisions>
    </reviewItem>
    <reviewItem>
      <errorID>2b60ce43-2c64-4e61-b009-3a69a432a9f2</errorID>
      <errorWord>&lt;</errorWord>
      <group>L1_Punc</group>
      <groupName>标点问题</groupName>
      <ability>L2_Punc</ability>
      <abilityName>标点符号检查</abilityName>
      <candidateList>
        <item>〈</item>
      </candidateList>
      <explain/>
      <paraID>2882416F</paraID>
      <start>6</start>
      <end>7</end>
      <status>unmodified</status>
      <modifiedWord/>
      <trackRevisions>false</trackRevisions>
    </reviewItem>
    <reviewItem>
      <errorID>c52697f6-5d42-466e-a877-a9afb321d774</errorID>
      <errorWord>&gt;</errorWord>
      <group>L1_Format</group>
      <groupName>格式问题</groupName>
      <ability>L2_HalfPunc</ability>
      <abilityName>全半角检查</abilityName>
      <candidateList>
        <item>〉</item>
      </candidateList>
      <explain>文本全半角错误。</explain>
      <paraID>2882416F</paraID>
      <start>25</start>
      <end>26</end>
      <status>unmodified</status>
      <modifiedWord/>
      <trackRevisions>false</trackRevisions>
    </reviewItem>
    <reviewItem>
      <errorID>af4412bc-addf-48f9-ba27-57774cf6d3e8</errorID>
      <errorWord>）</errorWord>
      <group>L1_Grammar</group>
      <groupName>语法问题</groupName>
      <ability>L2_Grammar</ability>
      <abilityName>语法错误</abilityName>
      <candidateList>
        <item>起施行）</item>
      </candidateList>
      <explain/>
      <paraID>2882416F</paraID>
      <start>40</start>
      <end>41</end>
      <status>unmodified</status>
      <modifiedWord/>
      <trackRevisions>false</trackRevisions>
    </reviewItem>
    <reviewItem>
      <errorID>3f18bb38-4999-4493-8df5-49f020050886</errorID>
      <errorWord>[2014]15号</errorWord>
      <group>L1_Knowledge</group>
      <groupName>知识性问题</groupName>
      <ability>L2_Knowledge</ability>
      <abilityName>其他知识</abilityName>
      <candidateList>
        <item>〔2014〕15号</item>
      </candidateList>
      <explain>发文字号格式错误。</explain>
      <paraID>2814FE91</paraID>
      <start>39</start>
      <end>48</end>
      <status>unmodified</status>
      <modifiedWord/>
      <trackRevisions>false</trackRevisions>
    </reviewItem>
    <reviewItem>
      <errorID>a90be00d-5f65-4c94-a889-2f1207ef2335</errorID>
      <errorWord>&lt;</errorWord>
      <group>L1_Format</group>
      <groupName>格式问题</groupName>
      <ability>L2_HalfPunc</ability>
      <abilityName>全半角检查</abilityName>
      <candidateList>
        <item>〈</item>
      </candidateList>
      <explain>文本全半角错误。</explain>
      <paraID>4876BFD7</paraID>
      <start>13</start>
      <end>14</end>
      <status>unmodified</status>
      <modifiedWord/>
      <trackRevisions>false</trackRevisions>
    </reviewItem>
    <reviewItem>
      <errorID>b4e4d67e-60cc-425c-a8c2-f6f54b743bce</errorID>
      <errorWord>&gt;</errorWord>
      <group>L1_Format</group>
      <groupName>格式问题</groupName>
      <ability>L2_HalfPunc</ability>
      <abilityName>全半角检查</abilityName>
      <candidateList>
        <item>〉</item>
      </candidateList>
      <explain>文本全半角错误。</explain>
      <paraID>4876BFD7</paraID>
      <start>32</start>
      <end>33</end>
      <status>unmodified</status>
      <modifiedWord/>
      <trackRevisions>false</trackRevisions>
    </reviewItem>
    <reviewItem>
      <errorID>a07638d8-802e-4073-912f-7fe505bdba62</errorID>
      <errorWord>[2014]126号</errorWord>
      <group>L1_Knowledge</group>
      <groupName>知识性问题</groupName>
      <ability>L2_Knowledge</ability>
      <abilityName>其他知识</abilityName>
      <candidateList>
        <item>〔2014〕126号</item>
      </candidateList>
      <explain>发文字号格式错误。</explain>
      <paraID>4876BFD7</paraID>
      <start>41</start>
      <end>51</end>
      <status>unmodified</status>
      <modifiedWord/>
      <trackRevisions>false</trackRevisions>
    </reviewItem>
    <reviewItem>
      <errorID>08d30dfb-f9ff-412d-bace-bb19a0ecc539</errorID>
      <errorWord>[2016]37号</errorWord>
      <group>L1_Knowledge</group>
      <groupName>知识性问题</groupName>
      <ability>L2_Knowledge</ability>
      <abilityName>其他知识</abilityName>
      <candidateList>
        <item>〔2016〕37号</item>
      </candidateList>
      <explain>发文字号格式错误。</explain>
      <paraID> EAA79AB</paraID>
      <start>33</start>
      <end>42</end>
      <status>unmodified</status>
      <modifiedWord/>
      <trackRevisions>false</trackRevisions>
    </reviewItem>
    <reviewItem>
      <errorID>96cfddcf-bd4c-4c9b-a994-4b6488c19179</errorID>
      <errorWord>[2016]141号</errorWord>
      <group>L1_Knowledge</group>
      <groupName>知识性问题</groupName>
      <ability>L2_Knowledge</ability>
      <abilityName>其他知识</abilityName>
      <candidateList>
        <item>〔2016〕141号</item>
      </candidateList>
      <explain>发文字号格式错误。</explain>
      <paraID>3D0A5170</paraID>
      <start>29</start>
      <end>39</end>
      <status>unmodified</status>
      <modifiedWord/>
      <trackRevisions>false</trackRevisions>
    </reviewItem>
    <reviewItem>
      <errorID>c852f9e6-7b8b-4b11-babc-47856a41e147</errorID>
      <errorWord>[2017]151号</errorWord>
      <group>L1_Knowledge</group>
      <groupName>知识性问题</groupName>
      <ability>L2_Knowledge</ability>
      <abilityName>其他知识</abilityName>
      <candidateList>
        <item>〔2017〕151号</item>
      </candidateList>
      <explain>发文字号格式错误。</explain>
      <paraID>4FE317FE</paraID>
      <start>32</start>
      <end>42</end>
      <status>unmodified</status>
      <modifiedWord/>
      <trackRevisions>false</trackRevisions>
    </reviewItem>
    <reviewItem>
      <errorID>4cfb46ad-b9c3-4469-b127-668c0b7c0719</errorID>
      <errorWord>[2019]112号</errorWord>
      <group>L1_Knowledge</group>
      <groupName>知识性问题</groupName>
      <ability>L2_Knowledge</ability>
      <abilityName>其他知识</abilityName>
      <candidateList>
        <item>〔2019〕112号</item>
      </candidateList>
      <explain>发文字号格式错误。</explain>
      <paraID>561C511A</paraID>
      <start>26</start>
      <end>36</end>
      <status>unmodified</status>
      <modifiedWord/>
      <trackRevisions>false</trackRevisions>
    </reviewItem>
    <reviewItem>
      <errorID>6745b173-d6ef-4ecd-8c99-f5cd33869055</errorID>
      <errorWord>[2018]261号</errorWord>
      <group>L1_Knowledge</group>
      <groupName>知识性问题</groupName>
      <ability>L2_Knowledge</ability>
      <abilityName>其他知识</abilityName>
      <candidateList>
        <item>〔2018〕261号</item>
      </candidateList>
      <explain>发文字号格式错误。</explain>
      <paraID>17602685</paraID>
      <start>46</start>
      <end>56</end>
      <status>unmodified</status>
      <modifiedWord/>
      <trackRevisions>false</trackRevisions>
    </reviewItem>
    <reviewItem>
      <errorID>7ba6f3dd-ea3a-45bb-9d9e-ec8346a58807</errorID>
      <errorWord>[2010]60号</errorWord>
      <group>L1_Knowledge</group>
      <groupName>知识性问题</groupName>
      <ability>L2_Knowledge</ability>
      <abilityName>其他知识</abilityName>
      <candidateList>
        <item>〔2010〕60号</item>
      </candidateList>
      <explain>发文字号格式错误。</explain>
      <paraID>30502A7C</paraID>
      <start>25</start>
      <end>34</end>
      <status>unmodified</status>
      <modifiedWord/>
      <trackRevisions>false</trackRevisions>
    </reviewItem>
    <reviewItem>
      <errorID>9740b8a1-d2c8-429d-8fb1-3e517d052377</errorID>
      <errorWord>[2019]43号</errorWord>
      <group>L1_Knowledge</group>
      <groupName>知识性问题</groupName>
      <ability>L2_Knowledge</ability>
      <abilityName>其他知识</abilityName>
      <candidateList>
        <item>〔2019〕43号</item>
      </candidateList>
      <explain>发文字号格式错误。</explain>
      <paraID> E7A917F</paraID>
      <start>27</start>
      <end>36</end>
      <status>unmodified</status>
      <modifiedWord/>
      <trackRevisions>false</trackRevisions>
    </reviewItem>
    <reviewItem>
      <errorID>726bc3ac-c116-402c-8b67-6447973839b6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F2C5C54</paraID>
      <start>17</start>
      <end>18</end>
      <status>unmodified</status>
      <modifiedWord/>
      <trackRevisions>false</trackRevisions>
    </reviewItem>
    <reviewItem>
      <errorID>db0efd37-99ef-4eed-a4b2-140fa06421a1</errorID>
      <errorWord>[2021]66号</errorWord>
      <group>L1_Knowledge</group>
      <groupName>知识性问题</groupName>
      <ability>L2_Knowledge</ability>
      <abilityName>其他知识</abilityName>
      <candidateList>
        <item>〔2021〕66号</item>
      </candidateList>
      <explain>发文字号格式错误。</explain>
      <paraID>33DEB5EB</paraID>
      <start>37</start>
      <end>46</end>
      <status>unmodified</status>
      <modifiedWord/>
      <trackRevisions>false</trackRevisions>
    </reviewItem>
    <reviewItem>
      <errorID>bf43b900-f133-40d8-aa14-cbf3f9055040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3CC2E95C</paraID>
      <start>15</start>
      <end>16</end>
      <status>unmodified</status>
      <modifiedWord/>
      <trackRevisions>false</trackRevisions>
    </reviewItem>
    <reviewItem>
      <errorID>7a59f077-8eef-4324-9393-0da29898e669</errorID>
      <errorWord>[2020]31号</errorWord>
      <group>L1_Knowledge</group>
      <groupName>知识性问题</groupName>
      <ability>L2_Knowledge</ability>
      <abilityName>其他知识</abilityName>
      <candidateList>
        <item>〔2020〕31号</item>
      </candidateList>
      <explain>发文字号格式错误。</explain>
      <paraID>1C7F54B4</paraID>
      <start>31</start>
      <end>40</end>
      <status>unmodified</status>
      <modifiedWord/>
      <trackRevisions>false</trackRevisions>
    </reviewItem>
    <reviewItem>
      <errorID>7fad8559-f19e-47eb-861a-cefbbeeef8c5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5BE12E8B</paraID>
      <start>15</start>
      <end>16</end>
      <status>unmodified</status>
      <modifiedWord/>
      <trackRevisions>false</trackRevisions>
    </reviewItem>
    <reviewItem>
      <errorID>523b3d9d-63e8-489b-89ec-0a6fd99d9280</errorID>
      <errorWord>[2021]49号</errorWord>
      <group>L1_Knowledge</group>
      <groupName>知识性问题</groupName>
      <ability>L2_Knowledge</ability>
      <abilityName>其他知识</abilityName>
      <candidateList>
        <item>〔2021〕49号</item>
      </candidateList>
      <explain>发文字号格式错误。</explain>
      <paraID>68C36A54</paraID>
      <start>39</start>
      <end>48</end>
      <status>unmodified</status>
      <modifiedWord/>
      <trackRevisions>false</trackRevisions>
    </reviewItem>
    <reviewItem>
      <errorID>a7af1044-7f5b-4c94-920a-d1955c26ac74</errorID>
      <errorWord>(</errorWord>
      <group>L1_Format</group>
      <groupName>格式问题</groupName>
      <ability>L2_HalfPunc</ability>
      <abilityName>全半角检查</abilityName>
      <candidateList>
        <item>（</item>
      </candidateList>
      <explain>文本全半角错误。</explain>
      <paraID>11FADA44</paraID>
      <start>12</start>
      <end>13</end>
      <status>unmodified</status>
      <modifiedWord/>
      <trackRevisions>false</trackRevisions>
    </reviewItem>
    <reviewItem>
      <errorID>33e1a797-1898-4035-b4bc-1c21142de832</errorID>
      <errorWord>)</errorWord>
      <group>L1_Format</group>
      <groupName>格式问题</groupName>
      <ability>L2_HalfPunc</ability>
      <abilityName>全半角检查</abilityName>
      <candidateList>
        <item>）</item>
      </candidateList>
      <explain>文本全半角错误。</explain>
      <paraID>11FADA44</paraID>
      <start>26</start>
      <end>27</end>
      <status>unmodified</status>
      <modifiedWord/>
      <trackRevisions>false</trackRevisions>
    </reviewItem>
    <reviewItem>
      <errorID>7213a1a3-1479-4ddd-93b2-b13d508a9470</errorID>
      <errorWord> </errorWord>
      <group>L1_Punc</group>
      <groupName>标点问题</groupName>
      <ability>L2_Punc</ability>
      <abilityName>标点符号检查</abilityName>
      <candidateList>
        <item/>
      </candidateList>
      <explain>此处空格冗余，建议删除。</explain>
      <paraID>76CA4A1C</paraID>
      <start>23</start>
      <end>24</end>
      <status>unmodified</status>
      <modifiedWord/>
      <trackRevisions>false</trackRevisions>
    </reviewItem>
    <reviewItem>
      <errorID>3b8ff42f-c83c-492b-8b14-343beb347add</errorID>
      <errorWord> </errorWord>
      <group>L1_Punc</group>
      <groupName>标点问题</groupName>
      <ability>L2_Punc</ability>
      <abilityName>标点符号检查</abilityName>
      <candidateList>
        <item/>
      </candidateList>
      <explain>此处空格冗余，建议删除。</explain>
      <paraID>76CA4A1C</paraID>
      <start>29</start>
      <end>30</end>
      <status>unmodified</status>
      <modifiedWord/>
      <trackRevisions>false</trackRevisions>
    </reviewItem>
    <reviewItem>
      <errorID>ae93d571-b868-4854-aa55-765ec6b81a84</errorID>
      <errorWord>陆上</errorWord>
      <group>L1_Word</group>
      <groupName>字词问题</groupName>
      <ability>L2_Typo</ability>
      <abilityName>字词错误</abilityName>
      <candidateList>
        <item> 陆上</item>
      </candidateList>
      <explain/>
      <paraID>6A721767</paraID>
      <start>13</start>
      <end>15</end>
      <status>unmodified</status>
      <modifiedWord/>
      <trackRevisions>false</trackRevisions>
    </reviewItem>
    <reviewItem>
      <errorID>af9e726a-aa1c-4f41-bf24-8ad1c56aeb9a</errorID>
      <errorWord>HJ1248-</errorWord>
      <group>L1_Word</group>
      <groupName>字词问题</groupName>
      <ability>L2_Typo</ability>
      <abilityName>字词错误</abilityName>
      <candidateList>
        <item>HJ 1248—</item>
      </candidateList>
      <explain/>
      <paraID>6A721767</paraID>
      <start>26</start>
      <end>33</end>
      <status>unmodified</status>
      <modifiedWord/>
      <trackRevisions>false</trackRevisions>
    </reviewItem>
    <reviewItem>
      <errorID>dc44d846-6ba0-4a64-864b-caf3d903f063</errorID>
      <errorWord>。</errorWord>
      <group>L1_Punc</group>
      <groupName>标点问题</groupName>
      <ability>L2_Punc</ability>
      <abilityName>标点符号检查</abilityName>
      <candidateList>
        <item>；</item>
      </candidateList>
      <explain/>
      <paraID>6A721767</paraID>
      <start>38</start>
      <end>39</end>
      <status>unmodified</status>
      <modifiedWord/>
      <trackRevisions>false</trackRevisions>
    </reviewItem>
    <reviewItem>
      <errorID>e9c5efa6-6c2b-4466-8ea9-0b71137e58a6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78A7B966</paraID>
      <start>17</start>
      <end>18</end>
      <status>unmodified</status>
      <modifiedWord/>
      <trackRevisions>false</trackRevisions>
    </reviewItem>
    <reviewItem>
      <errorID>db0af00b-9278-4e16-a362-b99797587015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55806993</paraID>
      <start>17</start>
      <end>18</end>
      <status>unmodified</status>
      <modifiedWord/>
      <trackRevisions>false</trackRevisions>
    </reviewItem>
    <reviewItem>
      <errorID>06726386-6d0a-4e55-9ef0-21170cdd464f</errorID>
      <errorWord>[2024]12号</errorWord>
      <group>L1_Knowledge</group>
      <groupName>知识性问题</groupName>
      <ability>L2_Knowledge</ability>
      <abilityName>其他知识</abilityName>
      <candidateList>
        <item>〔2024〕12号</item>
      </candidateList>
      <explain>发文字号格式错误。</explain>
      <paraID>55806993</paraID>
      <start>39</start>
      <end>48</end>
      <status>unmodified</status>
      <modifiedWord/>
      <trackRevisions>false</trackRevisions>
    </reviewItem>
    <reviewItem>
      <errorID>7cf982b6-e851-4a8e-9673-9bd7074d7e05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3A5F1F6B</paraID>
      <start>17</start>
      <end>18</end>
      <status>unmodified</status>
      <modifiedWord/>
      <trackRevisions>false</trackRevisions>
    </reviewItem>
    <reviewItem>
      <errorID>023ad52b-d5f7-4c91-bf6e-d85f63f8705e</errorID>
      <errorWord> </errorWord>
      <group>L1_Punc</group>
      <groupName>标点问题</groupName>
      <ability>L2_Punc</ability>
      <abilityName>标点符号检查</abilityName>
      <candidateList>
        <item/>
      </candidateList>
      <explain>此处空格冗余，建议删除。</explain>
      <paraID>208F5EBB</paraID>
      <start>120</start>
      <end>121</end>
      <status>unmodified</status>
      <modifiedWord/>
      <trackRevisions>false</trackRevisions>
    </reviewItem>
    <reviewItem>
      <errorID>e7547a2e-827c-42b2-ad98-d1ac6dce99fe</errorID>
      <errorWord> </errorWord>
      <group>L1_Punc</group>
      <groupName>标点问题</groupName>
      <ability>L2_Punc</ability>
      <abilityName>标点符号检查</abilityName>
      <candidateList>
        <item>.</item>
      </candidateList>
      <explain/>
      <paraID>208F5EBB</paraID>
      <start>124</start>
      <end>125</end>
      <status>unmodified</status>
      <modifiedWord/>
      <trackRevisions>false</trackRevisions>
    </reviewItem>
    <reviewItem>
      <errorID>7334048f-24b8-45ea-b7cc-663bcb53f5f0</errorID>
      <errorWord> </errorWord>
      <group>L1_Punc</group>
      <groupName>标点问题</groupName>
      <ability>L2_Punc</ability>
      <abilityName>标点符号检查</abilityName>
      <candidateList>
        <item/>
      </candidateList>
      <explain>此处空格冗余，建议删除。</explain>
      <paraID>3731F24B</paraID>
      <start>1</start>
      <end>2</end>
      <status>unmodified</status>
      <modifiedWord/>
      <trackRevisions>false</trackRevisions>
    </reviewItem>
    <reviewItem>
      <errorID>082567ed-42da-4ca3-b4ef-1cc0533087c5</errorID>
      <errorWord> </errorWord>
      <group>L1_Punc</group>
      <groupName>标点问题</groupName>
      <ability>L2_Punc</ability>
      <abilityName>标点符号检查</abilityName>
      <candidateList>
        <item>.</item>
      </candidateList>
      <explain/>
      <paraID>3731F24B</paraID>
      <start>22</start>
      <end>23</end>
      <status>unmodified</status>
      <modifiedWord/>
      <trackRevisions>false</trackRevisions>
    </reviewItem>
    <reviewItem>
      <errorID>8dad737c-5313-46ed-a4d1-cb73c6089a12</errorID>
      <errorWord> </errorWord>
      <group>L1_Punc</group>
      <groupName>标点问题</groupName>
      <ability>L2_Punc</ability>
      <abilityName>标点符号检查</abilityName>
      <candidateList>
        <item/>
      </candidateList>
      <explain>此处空格冗余，建议删除。</explain>
      <paraID>3731F24B</paraID>
      <start>49</start>
      <end>50</end>
      <status>unmodified</status>
      <modifiedWord/>
      <trackRevisions>false</trackRevisions>
    </reviewItem>
    <reviewItem>
      <errorID>980e31e2-561f-46b5-8ce0-1f748bf7dd3d</errorID>
      <errorWord> </errorWord>
      <group>L1_Punc</group>
      <groupName>标点问题</groupName>
      <ability>L2_Punc</ability>
      <abilityName>标点符号检查</abilityName>
      <candidateList>
        <item>.</item>
      </candidateList>
      <explain/>
      <paraID>6078AC5E</paraID>
      <start>64</start>
      <end>65</end>
      <status>unmodified</status>
      <modifiedWord/>
      <trackRevisions>false</trackRevisions>
    </reviewItem>
    <reviewItem>
      <errorID>a32f5242-6acb-426e-a99b-8c21cb74b38f</errorID>
      <errorWord> </errorWord>
      <group>L1_Punc</group>
      <groupName>标点问题</groupName>
      <ability>L2_Punc</ability>
      <abilityName>标点符号检查</abilityName>
      <candidateList>
        <item>.</item>
      </candidateList>
      <explain/>
      <paraID>10796A6B</paraID>
      <start>22</start>
      <end>23</end>
      <status>unmodified</status>
      <modifiedWord/>
      <trackRevisions>false</trackRevisions>
    </reviewItem>
    <reviewItem>
      <errorID>43627592-6249-45c8-8909-ee132cc288ef</errorID>
      <errorWord>（</errorWord>
      <group>L1_Format</group>
      <groupName>格式问题</groupName>
      <ability>L2_HalfPunc</ability>
      <abilityName>全半角检查</abilityName>
      <candidateList>
        <item>(</item>
      </candidateList>
      <explain>文本全半角错误。</explain>
      <paraID>5E8D3827</paraID>
      <start>3</start>
      <end>4</end>
      <status>unmodified</status>
      <modifiedWord/>
      <trackRevisions>false</trackRevisions>
    </reviewItem>
    <reviewItem>
      <errorID>5ec78ac6-9934-426f-9c6e-0feea14f19d7</errorID>
      <errorWord>）</errorWord>
      <group>L1_Format</group>
      <groupName>格式问题</groupName>
      <ability>L2_HalfPunc</ability>
      <abilityName>全半角检查</abilityName>
      <candidateList>
        <item>)</item>
      </candidateList>
      <explain>文本全半角错误。</explain>
      <paraID>5E8D3827</paraID>
      <start>8</start>
      <end>9</end>
      <status>unmodified</status>
      <modifiedWord/>
      <trackRevisions>false</trackRevisions>
    </reviewItem>
    <reviewItem>
      <errorID>3beb288f-0ded-45ef-9e57-3fbfbd8390c9</errorID>
      <errorWord>（</errorWord>
      <group>L1_Format</group>
      <groupName>格式问题</groupName>
      <ability>L2_HalfPunc</ability>
      <abilityName>全半角检查</abilityName>
      <candidateList>
        <item>(</item>
      </candidateList>
      <explain>文本全半角错误。</explain>
      <paraID> 187586C</paraID>
      <start>3</start>
      <end>4</end>
      <status>unmodified</status>
      <modifiedWord/>
      <trackRevisions>false</trackRevisions>
    </reviewItem>
    <reviewItem>
      <errorID>63d52e4e-f123-450b-bffa-e7c2fd15958c</errorID>
      <errorWord>）</errorWord>
      <group>L1_Format</group>
      <groupName>格式问题</groupName>
      <ability>L2_HalfPunc</ability>
      <abilityName>全半角检查</abilityName>
      <candidateList>
        <item>)</item>
      </candidateList>
      <explain>文本全半角错误。</explain>
      <paraID> 187586C</paraID>
      <start>8</start>
      <end>9</end>
      <status>unmodified</status>
      <modifiedWord/>
      <trackRevisions>false</trackRevisions>
    </reviewItem>
    <reviewItem>
      <errorID>87516649-1423-4ed3-bd5e-cacd571771d9</errorID>
      <errorWord>类别为</errorWord>
      <group>L1_Word</group>
      <groupName>字词问题</groupName>
      <ability>L2_Typo</ability>
      <abilityName>字词错误</abilityName>
      <candidateList>
        <item>类别</item>
      </candidateList>
      <explain/>
      <paraID>262DF458</paraID>
      <start>187</start>
      <end>190</end>
      <status>unmodified</status>
      <modifiedWord/>
      <trackRevisions>false</trackRevisions>
    </reviewItem>
    <reviewItem>
      <errorID>224c00f0-869f-43ab-a182-54c4d01d41cb</errorID>
      <errorWord> </errorWord>
      <group>L1_Punc</group>
      <groupName>标点问题</groupName>
      <ability>L2_Punc</ability>
      <abilityName>标点符号检查</abilityName>
      <candidateList>
        <item>.</item>
      </candidateList>
      <explain/>
      <paraID>4C039202</paraID>
      <start>90</start>
      <end>91</end>
      <status>unmodified</status>
      <modifiedWord/>
      <trackRevisions>false</trackRevisions>
    </reviewItem>
    <reviewItem>
      <errorID>6c241a3b-db2a-447f-a4cf-182a5a33108a</errorID>
      <errorWord> </errorWord>
      <group>L1_Punc</group>
      <groupName>标点问题</groupName>
      <ability>L2_Punc</ability>
      <abilityName>标点符号检查</abilityName>
      <candidateList>
        <item>.</item>
      </candidateList>
      <explain/>
      <paraID> BB3E738</paraID>
      <start>22</start>
      <end>23</end>
      <status>unmodified</status>
      <modifiedWord/>
      <trackRevisions>false</trackRevisions>
    </reviewItem>
    <reviewItem>
      <errorID>fab6cca2-bdc1-44ba-9e58-1bac50dd635c</errorID>
      <errorWord> </errorWord>
      <group>L1_Punc</group>
      <groupName>标点问题</groupName>
      <ability>L2_Punc</ability>
      <abilityName>标点符号检查</abilityName>
      <candidateList>
        <item>.</item>
      </candidateList>
      <explain/>
      <paraID>6DBBA651</paraID>
      <start>22</start>
      <end>23</end>
      <status>unmodified</status>
      <modifiedWord/>
      <trackRevisions>false</trackRevisions>
    </reviewItem>
    <reviewItem>
      <errorID>58980a9e-77d2-443c-bdbb-a65b3c6eac5e</errorID>
      <errorWord> </errorWord>
      <group>L1_Punc</group>
      <groupName>标点问题</groupName>
      <ability>L2_Punc</ability>
      <abilityName>标点符号检查</abilityName>
      <candidateList>
        <item/>
      </candidateList>
      <explain>此处空格冗余，建议删除。</explain>
      <paraID>6DBBA651</paraID>
      <start>49</start>
      <end>50</end>
      <status>unmodified</status>
      <modifiedWord/>
      <trackRevisions>false</trackRevisions>
    </reviewItem>
    <reviewItem>
      <errorID>4257cbbe-fd4d-4c4d-beff-35902f5999f9</errorID>
      <errorWord>DN65mm</errorWord>
      <group>L1_Grammar</group>
      <groupName>语法问题</groupName>
      <ability>L2_Grammar</ability>
      <abilityName>语法错误</abilityName>
      <candidateList>
        <item>新建DN65mm</item>
      </candidateList>
      <explain/>
      <paraID>227925BF</paraID>
      <start>52</start>
      <end>58</end>
      <status>unmodified</status>
      <modifiedWord/>
      <trackRevisions>false</trackRevisions>
    </reviewItem>
    <reviewItem>
      <errorID>9080a720-821b-4a57-8e16-0573e6d7bf82</errorID>
      <errorWord>；</errorWord>
      <group>L1_Punc</group>
      <groupName>标点问题</groupName>
      <ability>L2_Punc</ability>
      <abilityName>标点符号检查</abilityName>
      <candidateList>
        <item>。</item>
      </candidateList>
      <explain/>
      <paraID>3A2F07FB</paraID>
      <start>18</start>
      <end>19</end>
      <status>unmodified</status>
      <modifiedWord/>
      <trackRevisions>false</trackRevisions>
    </reviewItem>
    <reviewItem>
      <errorID>cbd80aaa-6830-465f-bf3f-641e4c16dddf</errorID>
      <errorWord>；</errorWord>
      <group>L1_Punc</group>
      <groupName>标点问题</groupName>
      <ability>L2_Punc</ability>
      <abilityName>标点符号检查</abilityName>
      <candidateList>
        <item>，</item>
      </candidateList>
      <explain/>
      <paraID>1CA9CCDB</paraID>
      <start>74</start>
      <end>75</end>
      <status>unmodified</status>
      <modifiedWord/>
      <trackRevisions>false</trackRevisions>
    </reviewItem>
    <reviewItem>
      <errorID>2b4c05ca-abb0-4d5c-a951-b71e9d60d09c</errorID>
      <errorWord>89km</errorWord>
      <group>L1_Punc</group>
      <groupName>标点问题</groupName>
      <ability>L2_Punc</ability>
      <abilityName>标点符号检查</abilityName>
      <candidateList>
        <item>89km。</item>
      </candidateList>
      <explain/>
      <paraID>1CA9CCDB</paraID>
      <start>90</start>
      <end>94</end>
      <status>unmodified</status>
      <modifiedWord/>
      <trackRevisions>false</trackRevisions>
    </reviewItem>
    <reviewItem>
      <errorID>6cea647d-3c63-4d17-8b64-4d79ec3cdf4a</errorID>
      <errorWord>；</errorWord>
      <group>L1_Punc</group>
      <groupName>标点问题</groupName>
      <ability>L2_Punc</ability>
      <abilityName>标点符号检查</abilityName>
      <candidateList>
        <item>。</item>
      </candidateList>
      <explain/>
      <paraID>66831963</paraID>
      <start>35</start>
      <end>36</end>
      <status>unmodified</status>
      <modifiedWord/>
      <trackRevisions>false</trackRevisions>
    </reviewItem>
    <reviewItem>
      <errorID>1aa7123a-4015-4678-848f-6c26fe23f64f</errorID>
      <errorWord>；</errorWord>
      <group>L1_Punc</group>
      <groupName>标点问题</groupName>
      <ability>L2_Punc</ability>
      <abilityName>标点符号检查</abilityName>
      <candidateList>
        <item>。</item>
      </candidateList>
      <explain/>
      <paraID>65FAF7FD</paraID>
      <start>29</start>
      <end>30</end>
      <status>unmodified</status>
      <modifiedWord/>
      <trackRevisions>false</trackRevisions>
    </reviewItem>
    <reviewItem>
      <errorID>f8a596d2-6155-48ee-b3ae-80966ebe60c1</errorID>
      <errorWord>验收</errorWord>
      <group>L1_Punc</group>
      <groupName>标点问题</groupName>
      <ability>L2_Punc</ability>
      <abilityName>标点符号检查</abilityName>
      <candidateList>
        <item>验收。</item>
      </candidateList>
      <explain/>
      <paraID>578CF929</paraID>
      <start>22</start>
      <end>24</end>
      <status>unmodified</status>
      <modifiedWord/>
      <trackRevisions>false</trackRevisions>
    </reviewItem>
    <reviewItem>
      <errorID>037a4732-5c72-4beb-964a-34c1c30a7a26</errorID>
      <errorWord>7km</errorWord>
      <group>L1_Punc</group>
      <groupName>标点问题</groupName>
      <ability>L2_Punc</ability>
      <abilityName>标点符号检查</abilityName>
      <candidateList>
        <item>7km。</item>
      </candidateList>
      <explain/>
      <paraID>3F81F160</paraID>
      <start>27</start>
      <end>30</end>
      <status>unmodified</status>
      <modifiedWord/>
      <trackRevisions>false</trackRevisions>
    </reviewItem>
    <reviewItem>
      <errorID>2b9a4b14-48e4-4987-9c64-c1d9c471a9d8</errorID>
      <errorWord>28km</errorWord>
      <group>L1_Punc</group>
      <groupName>标点问题</groupName>
      <ability>L2_Punc</ability>
      <abilityName>标点符号检查</abilityName>
      <candidateList>
        <item>28km。</item>
      </candidateList>
      <explain/>
      <paraID>7715CB5C</paraID>
      <start>26</start>
      <end>30</end>
      <status>unmodified</status>
      <modifiedWord/>
      <trackRevisions>false</trackRevisions>
    </reviewItem>
    <reviewItem>
      <errorID>8843565b-59df-4b2c-b3eb-650ab5361705</errorID>
      <errorWord>；</errorWord>
      <group>L1_Punc</group>
      <groupName>标点问题</groupName>
      <ability>L2_Punc</ability>
      <abilityName>标点符号检查</abilityName>
      <candidateList>
        <item>，</item>
      </candidateList>
      <explain/>
      <paraID>1A27804F</paraID>
      <start>30</start>
      <end>31</end>
      <status>unmodified</status>
      <modifiedWord/>
      <trackRevisions>false</trackRevisions>
    </reviewItem>
    <reviewItem>
      <errorID>25c3452d-10e1-4f70-90ed-97738ef59750</errorID>
      <errorWord>0km</errorWord>
      <group>L1_Punc</group>
      <groupName>标点问题</groupName>
      <ability>L2_Punc</ability>
      <abilityName>标点符号检查</abilityName>
      <candidateList>
        <item>0km。</item>
      </candidateList>
      <explain/>
      <paraID>1A27804F</paraID>
      <start>56</start>
      <end>59</end>
      <status>unmodified</status>
      <modifiedWord/>
      <trackRevisions>false</trackRevisions>
    </reviewItem>
    <reviewItem>
      <errorID>ecfcc132-4118-47ad-b87d-159bf71e25a4</errorID>
      <errorWord>；</errorWord>
      <group>L1_Punc</group>
      <groupName>标点问题</groupName>
      <ability>L2_Punc</ability>
      <abilityName>标点符号检查</abilityName>
      <candidateList>
        <item>，</item>
      </candidateList>
      <explain/>
      <paraID>5FABB267</paraID>
      <start>26</start>
      <end>27</end>
      <status>unmodified</status>
      <modifiedWord/>
      <trackRevisions>false</trackRevisions>
    </reviewItem>
    <reviewItem>
      <errorID>c66dddc2-16d6-4853-88ba-1c596f4375ce</errorID>
      <errorWord>验收</errorWord>
      <group>L1_Punc</group>
      <groupName>标点问题</groupName>
      <ability>L2_Punc</ability>
      <abilityName>标点符号检查</abilityName>
      <candidateList>
        <item>验收。</item>
      </candidateList>
      <explain/>
      <paraID>5FABB267</paraID>
      <start>49</start>
      <end>51</end>
      <status>unmodified</status>
      <modifiedWord/>
      <trackRevisions>false</trackRevisions>
    </reviewItem>
    <reviewItem>
      <errorID>10fd6b50-2e4a-498b-a671-448986494b7b</errorID>
      <errorWord>；</errorWord>
      <group>L1_Punc</group>
      <groupName>标点问题</groupName>
      <ability>L2_Punc</ability>
      <abilityName>标点符号检查</abilityName>
      <candidateList>
        <item>。</item>
      </candidateList>
      <explain/>
      <paraID>1140C24D</paraID>
      <start>22</start>
      <end>23</end>
      <status>unmodified</status>
      <modifiedWord/>
      <trackRevisions>false</trackRevisions>
    </reviewItem>
    <reviewItem>
      <errorID>70020cbe-1000-424d-83d6-93405d429cd0</errorID>
      <errorWord>24m</errorWord>
      <group>L1_Punc</group>
      <groupName>标点问题</groupName>
      <ability>L2_Punc</ability>
      <abilityName>标点符号检查</abilityName>
      <candidateList>
        <item>24m。</item>
      </candidateList>
      <explain/>
      <paraID>7C6AAF21</paraID>
      <start>28</start>
      <end>31</end>
      <status>unmodified</status>
      <modifiedWord/>
      <trackRevisions>false</trackRevisions>
    </reviewItem>
    <reviewItem>
      <errorID>f0f92bb1-690b-4369-a656-bec5c811bd15</errorID>
      <errorWord>；</errorWord>
      <group>L1_Punc</group>
      <groupName>标点问题</groupName>
      <ability>L2_Punc</ability>
      <abilityName>标点符号检查</abilityName>
      <candidateList>
        <item>，</item>
      </candidateList>
      <explain/>
      <paraID>5557DD8D</paraID>
      <start>10</start>
      <end>11</end>
      <status>unmodified</status>
      <modifiedWord/>
      <trackRevisions>false</trackRevisions>
    </reviewItem>
    <reviewItem>
      <errorID>9a80d62d-d89f-48d0-9c98-a06a5ca3377b</errorID>
      <errorWord>管线</errorWord>
      <group>L1_Punc</group>
      <groupName>标点问题</groupName>
      <ability>L2_Punc</ability>
      <abilityName>标点符号检查</abilityName>
      <candidateList>
        <item>管线。</item>
      </candidateList>
      <explain/>
      <paraID>5557DD8D</paraID>
      <start>42</start>
      <end>44</end>
      <status>unmodified</status>
      <modifiedWord/>
      <trackRevisions>false</trackRevisions>
    </reviewItem>
    <reviewItem>
      <errorID>5fd06d7a-1eae-4325-982e-438b44afa335</errorID>
      <errorWord> </errorWord>
      <group>L1_Punc</group>
      <groupName>标点问题</groupName>
      <ability>L2_Punc</ability>
      <abilityName>标点符号检查</abilityName>
      <candidateList>
        <item/>
      </candidateList>
      <explain>此处空格冗余，建议删除。</explain>
      <paraID>1AE30EB6</paraID>
      <start>18</start>
      <end>19</end>
      <status>unmodified</status>
      <modifiedWord/>
      <trackRevisions>false</trackRevisions>
    </reviewItem>
    <reviewItem>
      <errorID>ed88e0bb-afc0-48af-b4b0-5d32c565c397</errorID>
      <errorWord>、</errorWord>
      <group>L1_Punc</group>
      <groupName>标点问题</groupName>
      <ability>L2_Punc</ability>
      <abilityName>标点符号检查</abilityName>
      <candidateList>
        <item>，</item>
      </candidateList>
      <explain/>
      <paraID>1AE30EB6</paraID>
      <start>21</start>
      <end>22</end>
      <status>unmodified</status>
      <modifiedWord/>
      <trackRevisions>false</trackRevisions>
    </reviewItem>
    <reviewItem>
      <errorID>f1a9af74-5ba8-4e6f-b103-7aad0c5fb080</errorID>
      <errorWord>、</errorWord>
      <group>L1_Punc</group>
      <groupName>标点问题</groupName>
      <ability>L2_Punc</ability>
      <abilityName>标点符号检查</abilityName>
      <candidateList>
        <item>，</item>
      </candidateList>
      <explain/>
      <paraID>1AE30EB6</paraID>
      <start>32</start>
      <end>33</end>
      <status>unmodified</status>
      <modifiedWord/>
      <trackRevisions>false</trackRevisions>
    </reviewItem>
    <reviewItem>
      <errorID>6ee1d87d-9b9b-4379-b50d-ab990f139fc2</errorID>
      <errorWord>220m</errorWord>
      <group>L1_Punc</group>
      <groupName>标点问题</groupName>
      <ability>L2_Punc</ability>
      <abilityName>标点符号检查</abilityName>
      <candidateList>
        <item>220m。</item>
      </candidateList>
      <explain/>
      <paraID>1AE30EB6</paraID>
      <start>42</start>
      <end>46</end>
      <status>unmodified</status>
      <modifiedWord/>
      <trackRevisions>false</trackRevisions>
    </reviewItem>
    <reviewItem>
      <errorID>3c6901ed-378e-42f4-975d-8c971e1cd46c</errorID>
      <errorWord>、</errorWord>
      <group>L1_Punc</group>
      <groupName>标点问题</groupName>
      <ability>L2_Punc</ability>
      <abilityName>标点符号检查</abilityName>
      <candidateList>
        <item>，</item>
      </candidateList>
      <explain/>
      <paraID> EA98A36</paraID>
      <start>27</start>
      <end>28</end>
      <status>unmodified</status>
      <modifiedWord/>
      <trackRevisions>false</trackRevisions>
    </reviewItem>
    <reviewItem>
      <errorID>a6edba75-6f0d-4628-915a-83f0310c2593</errorID>
      <errorWord>50km</errorWord>
      <group>L1_Punc</group>
      <groupName>标点问题</groupName>
      <ability>L2_Punc</ability>
      <abilityName>标点符号检查</abilityName>
      <candidateList>
        <item>50km。</item>
      </candidateList>
      <explain/>
      <paraID> EA98A36</paraID>
      <start>45</start>
      <end>49</end>
      <status>unmodified</status>
      <modifiedWord/>
      <trackRevisions>false</trackRevisions>
    </reviewItem>
    <reviewItem>
      <errorID>cfc7138f-8825-42d2-b472-db22a81706ed</errorID>
      <errorWord>、</errorWord>
      <group>L1_Punc</group>
      <groupName>标点问题</groupName>
      <ability>L2_Punc</ability>
      <abilityName>标点符号检查</abilityName>
      <candidateList>
        <item>，</item>
      </candidateList>
      <explain/>
      <paraID>1927F82F</paraID>
      <start>35</start>
      <end>36</end>
      <status>unmodified</status>
      <modifiedWord/>
      <trackRevisions>false</trackRevisions>
    </reviewItem>
    <reviewItem>
      <errorID>81023592-320f-4260-8daf-820790a726fa</errorID>
      <errorWord>71km</errorWord>
      <group>L1_Punc</group>
      <groupName>标点问题</groupName>
      <ability>L2_Punc</ability>
      <abilityName>标点符号检查</abilityName>
      <candidateList>
        <item>71km。</item>
      </candidateList>
      <explain/>
      <paraID>1927F82F</paraID>
      <start>52</start>
      <end>56</end>
      <status>unmodified</status>
      <modifiedWord/>
      <trackRevisions>false</trackRevisions>
    </reviewItem>
    <reviewItem>
      <errorID>95b5d0cd-6eb6-45ea-a515-aec13145c817</errorID>
      <errorWord>6km</errorWord>
      <group>L1_Punc</group>
      <groupName>标点问题</groupName>
      <ability>L2_Punc</ability>
      <abilityName>标点符号检查</abilityName>
      <candidateList>
        <item>6km。</item>
      </candidateList>
      <explain/>
      <paraID>2D68F040</paraID>
      <start>30</start>
      <end>33</end>
      <status>unmodified</status>
      <modifiedWord/>
      <trackRevisions>false</trackRevisions>
    </reviewItem>
    <reviewItem>
      <errorID>a85eda98-dbfb-4177-98f6-e8165e05acbc</errorID>
      <errorWord>、新建了</errorWord>
      <group>L1_Word</group>
      <groupName>字词问题</groupName>
      <ability>L2_Typo</ability>
      <abilityName>字词错误</abilityName>
      <candidateList>
        <item>，新建</item>
      </candidateList>
      <explain/>
      <paraID>587624B2</paraID>
      <start>26</start>
      <end>30</end>
      <status>unmodified</status>
      <modifiedWord/>
      <trackRevisions>false</trackRevisions>
    </reviewItem>
    <reviewItem>
      <errorID>07f18be4-f679-46f9-91b6-a472730b7526</errorID>
      <errorWord>新建了</errorWord>
      <group>L1_Word</group>
      <groupName>字词问题</groupName>
      <ability>L2_Typo</ability>
      <abilityName>字词错误</abilityName>
      <candidateList>
        <item>新建</item>
      </candidateList>
      <explain/>
      <paraID>587624B2</paraID>
      <start>46</start>
      <end>49</end>
      <status>unmodified</status>
      <modifiedWord/>
      <trackRevisions>false</trackRevisions>
    </reviewItem>
    <reviewItem>
      <errorID>18ffdcb9-777d-4ec9-a8a3-626a3a1bf179</errorID>
      <errorWord>；</errorWord>
      <group>L1_Punc</group>
      <groupName>标点问题</groupName>
      <ability>L2_Punc</ability>
      <abilityName>标点符号检查</abilityName>
      <candidateList>
        <item>。</item>
      </candidateList>
      <explain/>
      <paraID>587624B2</paraID>
      <start>73</start>
      <end>74</end>
      <status>unmodified</status>
      <modifiedWord/>
      <trackRevisions>false</trackRevisions>
    </reviewItem>
    <reviewItem>
      <errorID>759397bb-b811-4616-acd8-1068c15e5926</errorID>
      <errorWord>、</errorWord>
      <group>L1_Punc</group>
      <groupName>标点问题</groupName>
      <ability>L2_Punc</ability>
      <abilityName>标点符号检查</abilityName>
      <candidateList>
        <item>，</item>
      </candidateList>
      <explain/>
      <paraID>2DD5A48A</paraID>
      <start>35</start>
      <end>36</end>
      <status>unmodified</status>
      <modifiedWord/>
      <trackRevisions>false</trackRevisions>
    </reviewItem>
    <reviewItem>
      <errorID>5004cb59-df3b-4569-8574-8ef463af167a</errorID>
      <errorWord>74km</errorWord>
      <group>L1_Punc</group>
      <groupName>标点问题</groupName>
      <ability>L2_Punc</ability>
      <abilityName>标点符号检查</abilityName>
      <candidateList>
        <item>74km。</item>
      </candidateList>
      <explain/>
      <paraID>2DD5A48A</paraID>
      <start>52</start>
      <end>56</end>
      <status>unmodified</status>
      <modifiedWord/>
      <trackRevisions>false</trackRevisions>
    </reviewItem>
    <reviewItem>
      <errorID>505d0fb5-6b19-46d3-b4c9-ca2687ec3018</errorID>
      <errorWord>；</errorWord>
      <group>L1_Punc</group>
      <groupName>标点问题</groupName>
      <ability>L2_Punc</ability>
      <abilityName>标点符号检查</abilityName>
      <candidateList>
        <item>，</item>
      </candidateList>
      <explain/>
      <paraID>73BA4AC1</paraID>
      <start>36</start>
      <end>37</end>
      <status>unmodified</status>
      <modifiedWord/>
      <trackRevisions>false</trackRevisions>
    </reviewItem>
    <reviewItem>
      <errorID>816ad66a-6c14-4f07-92ae-f0a58ec716fe</errorID>
      <errorWord>2km</errorWord>
      <group>L1_Punc</group>
      <groupName>标点问题</groupName>
      <ability>L2_Punc</ability>
      <abilityName>标点符号检查</abilityName>
      <candidateList>
        <item>2km。</item>
      </candidateList>
      <explain/>
      <paraID>73BA4AC1</paraID>
      <start>66</start>
      <end>69</end>
      <status>unmodified</status>
      <modifiedWord/>
      <trackRevisions>false</trackRevisions>
    </reviewItem>
    <reviewItem>
      <errorID>a3c6d1e2-c2b3-4950-b763-e1658ac87e9c</errorID>
      <errorWord>15km</errorWord>
      <group>L1_Punc</group>
      <groupName>标点问题</groupName>
      <ability>L2_Punc</ability>
      <abilityName>标点符号检查</abilityName>
      <candidateList>
        <item>15km。</item>
      </candidateList>
      <explain/>
      <paraID>4CD2B4B1</paraID>
      <start>36</start>
      <end>40</end>
      <status>unmodified</status>
      <modifiedWord/>
      <trackRevisions>false</trackRevisions>
    </reviewItem>
    <reviewItem>
      <errorID>ce3b3b31-8396-4ba0-b054-268e6c4b557e</errorID>
      <errorWord>(</errorWord>
      <group>L1_Format</group>
      <groupName>格式问题</groupName>
      <ability>L2_HalfPunc</ability>
      <abilityName>全半角检查</abilityName>
      <candidateList>
        <item>（</item>
      </candidateList>
      <explain>文本全半角错误。</explain>
      <paraID>5A3AA974</paraID>
      <start>67</start>
      <end>68</end>
      <status>unmodified</status>
      <modifiedWord/>
      <trackRevisions>false</trackRevisions>
    </reviewItem>
    <reviewItem>
      <errorID>c37d91b2-9669-43fb-932c-572871d24e87</errorID>
      <errorWord>)</errorWord>
      <group>L1_Format</group>
      <groupName>格式问题</groupName>
      <ability>L2_HalfPunc</ability>
      <abilityName>全半角检查</abilityName>
      <candidateList>
        <item>）</item>
      </candidateList>
      <explain>文本全半角错误。</explain>
      <paraID>5A3AA974</paraID>
      <start>89</start>
      <end>90</end>
      <status>unmodified</status>
      <modifiedWord/>
      <trackRevisions>false</trackRevisions>
    </reviewItem>
    <reviewItem>
      <errorID>cf146ba9-548e-4072-9e3b-787046ee64f4</errorID>
      <errorWord>程</errorWord>
      <group>L1_Word</group>
      <groupName>字词问题</groupName>
      <ability>L2_Typo</ability>
      <abilityName>字词错误</abilityName>
      <candidateList>
        <item>程中</item>
      </candidateList>
      <explain/>
      <paraID>3736447A</paraID>
      <start>5</start>
      <end>6</end>
      <status>unmodified</status>
      <modifiedWord/>
      <trackRevisions>false</trackRevisions>
    </reviewItem>
    <reviewItem>
      <errorID>b2f4fe45-2b2b-46d7-93ce-fcd4a6fe9f58</errorID>
      <errorWord>,</errorWord>
      <group>L1_Format</group>
      <groupName>格式问题</groupName>
      <ability>L2_HalfPunc</ability>
      <abilityName>全半角检查</abilityName>
      <candidateList>
        <item>，</item>
      </candidateList>
      <explain>文本全半角错误。</explain>
      <paraID>4385B4F7</paraID>
      <start>25</start>
      <end>26</end>
      <status>unmodified</status>
      <modifiedWord/>
      <trackRevisions>false</trackRevisions>
    </reviewItem>
    <reviewItem>
      <errorID>1abcb792-8f02-482c-9b04-6a045699fd8d</errorID>
      <errorWord>避开了</errorWord>
      <group>L1_Word</group>
      <groupName>字词问题</groupName>
      <ability>L2_Typo</ability>
      <abilityName>字词错误</abilityName>
      <candidateList>
        <item>避开</item>
      </candidateList>
      <explain/>
      <paraID>796B990E</paraID>
      <start>10</start>
      <end>13</end>
      <status>unmodified</status>
      <modifiedWord/>
      <trackRevisions>false</trackRevisions>
    </reviewItem>
    <reviewItem>
      <errorID>c7ff8fee-3b2d-4ed2-9d73-3f8fefe06063</errorID>
      <errorWord> </errorWord>
      <group>L1_Punc</group>
      <groupName>标点问题</groupName>
      <ability>L2_Punc</ability>
      <abilityName>标点符号检查</abilityName>
      <candidateList>
        <item>.</item>
      </candidateList>
      <explain/>
      <paraID>2E4C6975</paraID>
      <start>179</start>
      <end>180</end>
      <status>unmodified</status>
      <modifiedWord/>
      <trackRevisions>false</trackRevisions>
    </reviewItem>
    <reviewItem>
      <errorID>2ee5b091-a8cb-402b-a2fd-4cbfc5e6d927</errorID>
      <errorWord> </errorWord>
      <group>L1_Punc</group>
      <groupName>标点问题</groupName>
      <ability>L2_Punc</ability>
      <abilityName>标点符号检查</abilityName>
      <candidateList>
        <item>.</item>
      </candidateList>
      <explain/>
      <paraID> 836F5FC</paraID>
      <start>76</start>
      <end>77</end>
      <status>unmodified</status>
      <modifiedWord/>
      <trackRevisions>false</trackRevisions>
    </reviewItem>
    <reviewItem>
      <errorID>37286238-a20f-45d9-ba87-43dc74c6b4c4</errorID>
      <errorWord> </errorWord>
      <group>L1_Punc</group>
      <groupName>标点问题</groupName>
      <ability>L2_Punc</ability>
      <abilityName>标点符号检查</abilityName>
      <candidateList>
        <item>.</item>
      </candidateList>
      <explain/>
      <paraID> 836F5FC</paraID>
      <start>119</start>
      <end>120</end>
      <status>unmodified</status>
      <modifiedWord/>
      <trackRevisions>false</trackRevisions>
    </reviewItem>
    <reviewItem>
      <errorID>14919b83-831e-408c-b46e-ee468a4968db</errorID>
      <errorWord> </errorWord>
      <group>L1_Punc</group>
      <groupName>标点问题</groupName>
      <ability>L2_Punc</ability>
      <abilityName>标点符号检查</abilityName>
      <candidateList>
        <item>.</item>
      </candidateList>
      <explain/>
      <paraID> 836F5FC</paraID>
      <start>157</start>
      <end>158</end>
      <status>unmodified</status>
      <modifiedWord/>
      <trackRevisions>false</trackRevisions>
    </reviewItem>
    <reviewItem>
      <errorID>d6e17683-f6f6-49dc-bb04-4fc4af501776</errorID>
      <errorWord>-</errorWord>
      <group>L1_Format</group>
      <groupName>格式问题</groupName>
      <ability>L2_HalfPunc</ability>
      <abilityName>全半角检查</abilityName>
      <candidateList>
        <item>－</item>
      </candidateList>
      <explain>文本全半角错误。</explain>
      <paraID>7888F33A</paraID>
      <start>6</start>
      <end>7</end>
      <status>unmodified</status>
      <modifiedWord/>
      <trackRevisions>false</trackRevisions>
    </reviewItem>
    <reviewItem>
      <errorID>a0fd8580-feec-46bf-81ba-f7cb2c4f8561</errorID>
      <errorWord>-</errorWord>
      <group>L1_Format</group>
      <groupName>格式问题</groupName>
      <ability>L2_HalfPunc</ability>
      <abilityName>全半角检查</abilityName>
      <candidateList>
        <item>－</item>
      </candidateList>
      <explain>文本全半角错误。</explain>
      <paraID>52C4C7CD</paraID>
      <start>6</start>
      <end>7</end>
      <status>unmodified</status>
      <modifiedWord/>
      <trackRevisions>false</trackRevisions>
    </reviewItem>
    <reviewItem>
      <errorID>31056348-d16c-4188-b464-5a9f899b5365</errorID>
      <errorWord>-</errorWord>
      <group>L1_Format</group>
      <groupName>格式问题</groupName>
      <ability>L2_HalfPunc</ability>
      <abilityName>全半角检查</abilityName>
      <candidateList>
        <item>－</item>
      </candidateList>
      <explain>文本全半角错误。</explain>
      <paraID>2F4FB6EC</paraID>
      <start>6</start>
      <end>7</end>
      <status>unmodified</status>
      <modifiedWord/>
      <trackRevisions>false</trackRevisions>
    </reviewItem>
    <reviewItem>
      <errorID>9f34851d-1c99-4617-a9d5-4c55cd31b26d</errorID>
      <errorWord>2 3 </errorWord>
      <group>L1_Grammar</group>
      <groupName>语法问题</groupName>
      <ability>L2_Grammar</ability>
      <abilityName>语法错误</abilityName>
      <candidateList>
        <item>2</item>
      </candidateList>
      <explain/>
      <paraID>3F8774F3</paraID>
      <start>21</start>
      <end>50</end>
      <status>unmodified</status>
      <modifiedWord/>
      <trackRevisions>false</trackRevisions>
    </reviewItem>
    <reviewItem>
      <errorID>bb5afe6e-86ad-4ca7-866c-747e89830c5c</errorID>
      <errorWord> 1</errorWord>
      <group>L1_Word</group>
      <groupName>字词问题</groupName>
      <ability>L2_Typo</ability>
      <abilityName>字词错误</abilityName>
      <candidateList>
        <item> </item>
      </candidateList>
      <explain/>
      <paraID>77D49B01</paraID>
      <start>22</start>
      <end>49</end>
      <status>unmodified</status>
      <modifiedWord/>
      <trackRevisions>false</trackRevisions>
    </reviewItem>
    <reviewItem>
      <errorID>11d88bda-e436-4d26-a0ef-060eb9c8c6e9</errorID>
      <errorWord> </errorWord>
      <group>L1_Punc</group>
      <groupName>标点问题</groupName>
      <ability>L2_Punc</ability>
      <abilityName>标点符号检查</abilityName>
      <candidateList>
        <item>.</item>
      </candidateList>
      <explain/>
      <paraID> 6B36BDC</paraID>
      <start>85</start>
      <end>86</end>
      <status>unmodified</status>
      <modifiedWord/>
      <trackRevisions>false</trackRevisions>
    </reviewItem>
    <reviewItem>
      <errorID>385e0fc5-ccb5-4d56-a0d9-0ed44093bede</errorID>
      <errorWord>：</errorWord>
      <group>L1_Format</group>
      <groupName>格式问题</groupName>
      <ability>L2_HalfPunc</ability>
      <abilityName>全半角检查</abilityName>
      <candidateList>
        <item>: </item>
      </candidateList>
      <explain>文本全半角错误。</explain>
      <paraID>198ED5D1</paraID>
      <start>2</start>
      <end>3</end>
      <status>unmodified</status>
      <modifiedWord/>
      <trackRevisions>false</trackRevisions>
    </reviewItem>
    <reviewItem>
      <errorID>6a6af056-c039-40e2-9785-138ead5c5f0d</errorID>
      <errorWord>：</errorWord>
      <group>L1_Format</group>
      <groupName>格式问题</groupName>
      <ability>L2_HalfPunc</ability>
      <abilityName>全半角检查</abilityName>
      <candidateList>
        <item>: </item>
      </candidateList>
      <explain>文本全半角错误。</explain>
      <paraID>17AD8487</paraID>
      <start>2</start>
      <end>3</end>
      <status>unmodified</status>
      <modifiedWord/>
      <trackRevisions>false</trackRevisions>
    </reviewItem>
    <reviewItem>
      <errorID>dbfff319-fda2-40af-a7e6-5f3d117d27d8</errorID>
      <errorWord>：</errorWord>
      <group>L1_Format</group>
      <groupName>格式问题</groupName>
      <ability>L2_HalfPunc</ability>
      <abilityName>全半角检查</abilityName>
      <candidateList>
        <item>: </item>
      </candidateList>
      <explain>文本全半角错误。</explain>
      <paraID>7FF4E0A3</paraID>
      <start>2</start>
      <end>3</end>
      <status>unmodified</status>
      <modifiedWord/>
      <trackRevisions>false</trackRevisions>
    </reviewItem>
    <reviewItem>
      <errorID>8dd116b2-0f63-48df-ac9c-5408500c1708</errorID>
      <errorWord> </errorWord>
      <group>L1_Punc</group>
      <groupName>标点问题</groupName>
      <ability>L2_Punc</ability>
      <abilityName>标点符号检查</abilityName>
      <candidateList>
        <item>：</item>
      </candidateList>
      <explain/>
      <paraID>705AC699</paraID>
      <start>2</start>
      <end>3</end>
      <status>unmodified</status>
      <modifiedWord/>
      <trackRevisions>false</trackRevisions>
    </reviewItem>
    <reviewItem>
      <errorID>49a4c4b4-a2cc-493f-b288-cbf3de612bbd</errorID>
      <errorWord>：</errorWord>
      <group>L1_Format</group>
      <groupName>格式问题</groupName>
      <ability>L2_HalfPunc</ability>
      <abilityName>全半角检查</abilityName>
      <candidateList>
        <item>: </item>
      </candidateList>
      <explain>文本全半角错误。</explain>
      <paraID>65BA4D44</paraID>
      <start>2</start>
      <end>3</end>
      <status>unmodified</status>
      <modifiedWord/>
      <trackRevisions>false</trackRevisions>
    </reviewItem>
    <reviewItem>
      <errorID>4e265d56-f551-47f1-a6d1-2328cad9f175</errorID>
      <errorWord>：</errorWord>
      <group>L1_Format</group>
      <groupName>格式问题</groupName>
      <ability>L2_HalfPunc</ability>
      <abilityName>全半角检查</abilityName>
      <candidateList>
        <item>: </item>
      </candidateList>
      <explain>文本全半角错误。</explain>
      <paraID>66E496D8</paraID>
      <start>2</start>
      <end>3</end>
      <status>unmodified</status>
      <modifiedWord/>
      <trackRevisions>false</trackRevisions>
    </reviewItem>
    <reviewItem>
      <errorID>dadd0b01-8b30-4f56-9477-62c772de1069</errorID>
      <errorWord>：</errorWord>
      <group>L1_Format</group>
      <groupName>格式问题</groupName>
      <ability>L2_HalfPunc</ability>
      <abilityName>全半角检查</abilityName>
      <candidateList>
        <item>: </item>
      </candidateList>
      <explain>文本全半角错误。</explain>
      <paraID> 6FC0B9A</paraID>
      <start>2</start>
      <end>3</end>
      <status>unmodified</status>
      <modifiedWord/>
      <trackRevisions>false</trackRevisions>
    </reviewItem>
    <reviewItem>
      <errorID>356998c3-981f-4d1b-a0ee-ecae119ad3a2</errorID>
      <errorWord>：</errorWord>
      <group>L1_Format</group>
      <groupName>格式问题</groupName>
      <ability>L2_HalfPunc</ability>
      <abilityName>全半角检查</abilityName>
      <candidateList>
        <item>: </item>
      </candidateList>
      <explain>文本全半角错误。</explain>
      <paraID> E55C839</paraID>
      <start>2</start>
      <end>3</end>
      <status>unmodified</status>
      <modifiedWord/>
      <trackRevisions>false</trackRevisions>
    </reviewItem>
    <reviewItem>
      <errorID>fed2bc93-7cef-4b6e-9a63-f74090841896</errorID>
      <errorWord>：</errorWord>
      <group>L1_Format</group>
      <groupName>格式问题</groupName>
      <ability>L2_HalfPunc</ability>
      <abilityName>全半角检查</abilityName>
      <candidateList>
        <item>: </item>
      </candidateList>
      <explain>文本全半角错误。</explain>
      <paraID>337A3CBF</paraID>
      <start>3</start>
      <end>4</end>
      <status>unmodified</status>
      <modifiedWord/>
      <trackRevisions>false</trackRevisions>
    </reviewItem>
    <reviewItem>
      <errorID>1bb4ca9f-ab01-458e-b486-06875806bd9c</errorID>
      <errorWord>：</errorWord>
      <group>L1_Format</group>
      <groupName>格式问题</groupName>
      <ability>L2_HalfPunc</ability>
      <abilityName>全半角检查</abilityName>
      <candidateList>
        <item>: </item>
      </candidateList>
      <explain>文本全半角错误。</explain>
      <paraID>73792C7F</paraID>
      <start>3</start>
      <end>4</end>
      <status>unmodified</status>
      <modifiedWord/>
      <trackRevisions>false</trackRevisions>
    </reviewItem>
    <reviewItem>
      <errorID>e992b032-1f5a-41be-8753-2ea67e5878e7</errorID>
      <errorWord> </errorWord>
      <group>L1_Punc</group>
      <groupName>标点问题</groupName>
      <ability>L2_Punc</ability>
      <abilityName>标点符号检查</abilityName>
      <candidateList>
        <item>.</item>
      </candidateList>
      <explain/>
      <paraID>5BE174C4</paraID>
      <start>22</start>
      <end>23</end>
      <status>unmodified</status>
      <modifiedWord/>
      <trackRevisions>false</trackRevisions>
    </reviewItem>
    <reviewItem>
      <errorID>90599706-89ec-479c-914b-822a7e33e0a1</errorID>
      <errorWord>进</errorWord>
      <group>L1_Word</group>
      <groupName>字词问题</groupName>
      <ability>L2_Typo</ability>
      <abilityName>字词错误</abilityName>
      <candidateList>
        <item>进入</item>
      </candidateList>
      <explain>〈动〉支进到某个范围或某个时期里：～学校｜～新阶段◇～角色。</explain>
      <paraID>51158FAA</paraID>
      <start>45</start>
      <end>46</end>
      <status>unmodified</status>
      <modifiedWord/>
      <trackRevisions>false</trackRevisions>
    </reviewItem>
    <reviewItem>
      <errorID>03bb4331-f2ff-489a-8b58-fd982ca7d361</errorID>
      <errorWord> </errorWord>
      <group>L1_Punc</group>
      <groupName>标点问题</groupName>
      <ability>L2_Punc</ability>
      <abilityName>标点符号检查</abilityName>
      <candidateList>
        <item>.</item>
      </candidateList>
      <explain/>
      <paraID>51158FAA</paraID>
      <start>154</start>
      <end>155</end>
      <status>unmodified</status>
      <modifiedWord/>
      <trackRevisions>false</trackRevisions>
    </reviewItem>
    <reviewItem>
      <errorID>2b4b77c6-25c3-460e-a492-362b14bd7b01</errorID>
      <errorWord>(</errorWord>
      <group>L1_Format</group>
      <groupName>格式问题</groupName>
      <ability>L2_HalfPunc</ability>
      <abilityName>全半角检查</abilityName>
      <candidateList>
        <item>（</item>
      </candidateList>
      <explain>文本全半角错误。</explain>
      <paraID>3E2CC077</paraID>
      <start>4</start>
      <end>5</end>
      <status>unmodified</status>
      <modifiedWord/>
      <trackRevisions>false</trackRevisions>
    </reviewItem>
    <reviewItem>
      <errorID>443d93e6-8ac8-40c1-bfb8-acab88a9f738</errorID>
      <errorWord>)</errorWord>
      <group>L1_Format</group>
      <groupName>格式问题</groupName>
      <ability>L2_HalfPunc</ability>
      <abilityName>全半角检查</abilityName>
      <candidateList>
        <item>）</item>
      </candidateList>
      <explain>文本全半角错误。</explain>
      <paraID>3E2CC077</paraID>
      <start>7</start>
      <end>8</end>
      <status>unmodified</status>
      <modifiedWord/>
      <trackRevisions>false</trackRevisions>
    </reviewItem>
    <reviewItem>
      <errorID>657e83ce-6e54-46f3-a58d-5e5082198830</errorID>
      <errorWord>(</errorWord>
      <group>L1_Format</group>
      <groupName>格式问题</groupName>
      <ability>L2_HalfPunc</ability>
      <abilityName>全半角检查</abilityName>
      <candidateList>
        <item>（</item>
      </candidateList>
      <explain>文本全半角错误。</explain>
      <paraID>4B3953F3</paraID>
      <start>4</start>
      <end>5</end>
      <status>unmodified</status>
      <modifiedWord/>
      <trackRevisions>false</trackRevisions>
    </reviewItem>
    <reviewItem>
      <errorID>db68e25a-c8dc-4a06-80f7-c781d090ab48</errorID>
      <errorWord>)</errorWord>
      <group>L1_Format</group>
      <groupName>格式问题</groupName>
      <ability>L2_HalfPunc</ability>
      <abilityName>全半角检查</abilityName>
      <candidateList>
        <item>）</item>
      </candidateList>
      <explain>文本全半角错误。</explain>
      <paraID>4B3953F3</paraID>
      <start>6</start>
      <end>7</end>
      <status>unmodified</status>
      <modifiedWord/>
      <trackRevisions>false</trackRevisions>
    </reviewItem>
    <reviewItem>
      <errorID>83f2a8de-5b05-46c4-98c1-52076da48f3d</errorID>
      <errorWord>KW</errorWord>
      <group>L1_Word</group>
      <groupName>字词问题</groupName>
      <ability>L2_Typo</ability>
      <abilityName>字词错误</abilityName>
      <candidateList>
        <item>kW</item>
      </candidateList>
      <explain/>
      <paraID>4C8F454B</paraID>
      <start>3</start>
      <end>5</end>
      <status>unmodified</status>
      <modifiedWord/>
      <trackRevisions>false</trackRevisions>
    </reviewItem>
    <reviewItem>
      <errorID>a957c05a-7eb3-493a-9373-da37850ea7d3</errorID>
      <errorWord> </errorWord>
      <group>L1_Punc</group>
      <groupName>标点问题</groupName>
      <ability>L2_Punc</ability>
      <abilityName>标点符号检查</abilityName>
      <candidateList>
        <item>.</item>
      </candidateList>
      <explain/>
      <paraID>214B5080</paraID>
      <start>42</start>
      <end>43</end>
      <status>unmodified</status>
      <modifiedWord/>
      <trackRevisions>false</trackRevisions>
    </reviewItem>
    <reviewItem>
      <errorID>b54202b4-d47f-4bb8-b210-95053a3082c2</errorID>
      <errorWord> </errorWord>
      <group>L1_Punc</group>
      <groupName>标点问题</groupName>
      <ability>L2_Punc</ability>
      <abilityName>标点符号检查</abilityName>
      <candidateList>
        <item>.</item>
      </candidateList>
      <explain/>
      <paraID>13A52E59</paraID>
      <start>22</start>
      <end>23</end>
      <status>unmodified</status>
      <modifiedWord/>
      <trackRevisions>false</trackRevisions>
    </reviewItem>
    <reviewItem>
      <errorID>5743a924-b7e8-40e2-ac1a-aa07d819ac48</errorID>
      <errorWord>-</errorWord>
      <group>L1_Format</group>
      <groupName>格式问题</groupName>
      <ability>L2_HalfPunc</ability>
      <abilityName>全半角检查</abilityName>
      <candidateList>
        <item>－</item>
      </candidateList>
      <explain>文本全半角错误。</explain>
      <paraID>5312BC31</paraID>
      <start>55</start>
      <end>56</end>
      <status>unmodified</status>
      <modifiedWord/>
      <trackRevisions>false</trackRevisions>
    </reviewItem>
    <reviewItem>
      <errorID>8df1764b-bc20-418a-9a7a-6252ff4ffc1f</errorID>
      <errorWord>-</errorWord>
      <group>L1_Format</group>
      <groupName>格式问题</groupName>
      <ability>L2_HalfPunc</ability>
      <abilityName>全半角检查</abilityName>
      <candidateList>
        <item>－</item>
      </candidateList>
      <explain>文本全半角错误。</explain>
      <paraID>5312BC31</paraID>
      <start>82</start>
      <end>83</end>
      <status>unmodified</status>
      <modifiedWord/>
      <trackRevisions>false</trackRevisions>
    </reviewItem>
    <reviewItem>
      <errorID>7af03681-84ea-4f1f-a895-ad75916006e1</errorID>
      <errorWord>-</errorWord>
      <group>L1_Format</group>
      <groupName>格式问题</groupName>
      <ability>L2_HalfPunc</ability>
      <abilityName>全半角检查</abilityName>
      <candidateList>
        <item>－</item>
      </candidateList>
      <explain>文本全半角错误。</explain>
      <paraID>5312BC31</paraID>
      <start>111</start>
      <end>112</end>
      <status>unmodified</status>
      <modifiedWord/>
      <trackRevisions>false</trackRevisions>
    </reviewItem>
    <reviewItem>
      <errorID>44692152-2800-4ac5-b3dc-840f872dc8f9</errorID>
      <errorWord>-</errorWord>
      <group>L1_Format</group>
      <groupName>格式问题</groupName>
      <ability>L2_HalfPunc</ability>
      <abilityName>全半角检查</abilityName>
      <candidateList>
        <item>－</item>
      </candidateList>
      <explain>文本全半角错误。</explain>
      <paraID>5DEF41CE</paraID>
      <start>34</start>
      <end>35</end>
      <status>unmodified</status>
      <modifiedWord/>
      <trackRevisions>false</trackRevisions>
    </reviewItem>
    <reviewItem>
      <errorID>5c13df56-178f-4336-991f-a759d0b9bce2</errorID>
      <errorWord>新建F26-18井至</errorWord>
      <group>L1_Grammar</group>
      <groupName>语法问题</groupName>
      <ability>L2_Grammar</ability>
      <abilityName>语法错误</abilityName>
      <candidateList>
        <item>新建</item>
      </candidateList>
      <explain/>
      <paraID>1B735885</paraID>
      <start>0</start>
      <end>10</end>
      <status>unmodified</status>
      <modifiedWord/>
      <trackRevisions>false</trackRevisions>
    </reviewItem>
    <reviewItem>
      <errorID>8c949b3e-1425-4e75-80c2-16f68d826987</errorID>
      <errorWord>来自于</errorWord>
      <group>L1_Grammar</group>
      <groupName>语法问题</groupName>
      <ability>L2_Grammar</ability>
      <abilityName>语法错误</abilityName>
      <candidateList>
        <item>来自</item>
      </candidateList>
      <explain/>
      <paraID>16DB8B48</paraID>
      <start>90</start>
      <end>93</end>
      <status>unmodified</status>
      <modifiedWord/>
      <trackRevisions>false</trackRevisions>
    </reviewItem>
    <reviewItem>
      <errorID>a5fb39fb-81ad-4a8f-ac05-34556019c506</errorID>
      <errorWord> </errorWord>
      <group>L1_Punc</group>
      <groupName>标点问题</groupName>
      <ability>L2_Punc</ability>
      <abilityName>标点符号检查</abilityName>
      <candidateList>
        <item/>
      </candidateList>
      <explain>此处空格冗余，建议删除。</explain>
      <paraID>16DB8B48</paraID>
      <start>156</start>
      <end>157</end>
      <status>unmodified</status>
      <modifiedWord/>
      <trackRevisions>false</trackRevisions>
    </reviewItem>
    <reviewItem>
      <errorID>d6cfdb3c-cf55-4ae1-af04-1aaa76017841</errorID>
      <errorWord> </errorWord>
      <group>L1_Punc</group>
      <groupName>标点问题</groupName>
      <ability>L2_Punc</ability>
      <abilityName>标点符号检查</abilityName>
      <candidateList>
        <item>.</item>
      </candidateList>
      <explain/>
      <paraID>16DB8B48</paraID>
      <start>160</start>
      <end>161</end>
      <status>unmodified</status>
      <modifiedWord/>
      <trackRevisions>false</trackRevisions>
    </reviewItem>
    <reviewItem>
      <errorID>478018c7-7ce1-4dec-8762-6860c3a3201f</errorID>
      <errorWord> </errorWord>
      <group>L1_Punc</group>
      <groupName>标点问题</groupName>
      <ability>L2_Punc</ability>
      <abilityName>标点符号检查</abilityName>
      <candidateList>
        <item/>
      </candidateList>
      <explain>此处空格冗余，建议删除。</explain>
      <paraID>16DB8B48</paraID>
      <start>201</start>
      <end>202</end>
      <status>unmodified</status>
      <modifiedWord/>
      <trackRevisions>false</trackRevisions>
    </reviewItem>
    <reviewItem>
      <errorID>8dbfc7ea-e784-4d5c-8073-b561e80b366e</errorID>
      <errorWord> </errorWord>
      <group>L1_Punc</group>
      <groupName>标点问题</groupName>
      <ability>L2_Punc</ability>
      <abilityName>标点符号检查</abilityName>
      <candidateList>
        <item>.</item>
      </candidateList>
      <explain/>
      <paraID>16DB8B48</paraID>
      <start>205</start>
      <end>206</end>
      <status>unmodified</status>
      <modifiedWord/>
      <trackRevisions>false</trackRevisions>
    </reviewItem>
    <reviewItem>
      <errorID>bf7f335f-c1aa-43fc-920c-0598378cb594</errorID>
      <errorWord> L=</errorWord>
      <group>L1_Word</group>
      <groupName>字词问题</groupName>
      <ability>L2_Typo</ability>
      <abilityName>字词错误</abilityName>
      <candidateList>
        <item>，长度为</item>
      </candidateList>
      <explain/>
      <paraID>51F59278</paraID>
      <start>41</start>
      <end>44</end>
      <status>unmodified</status>
      <modifiedWord/>
      <trackRevisions>false</trackRevisions>
    </reviewItem>
    <reviewItem>
      <errorID>f39733c0-a9df-403a-b263-309865a4d8bb</errorID>
      <errorWord>,</errorWord>
      <group>L1_Format</group>
      <groupName>格式问题</groupName>
      <ability>L2_HalfPunc</ability>
      <abilityName>全半角检查</abilityName>
      <candidateList>
        <item>，</item>
      </candidateList>
      <explain>文本全半角错误。</explain>
      <paraID>2D04A713</paraID>
      <start>20</start>
      <end>21</end>
      <status>unmodified</status>
      <modifiedWord/>
      <trackRevisions>false</trackRevisions>
    </reviewItem>
    <reviewItem>
      <errorID>32eee9fb-6bd0-478f-9181-b703d6e4cd89</errorID>
      <errorWord>图</errorWord>
      <group>L1_Punc</group>
      <groupName>标点问题</groupName>
      <ability>L2_Punc</ability>
      <abilityName>标点符号检查</abilityName>
      <candidateList>
        <item>图。</item>
      </candidateList>
      <explain/>
      <paraID>5CB92B4E</paraID>
      <start>72</start>
      <end>73</end>
      <status>unmodified</status>
      <modifiedWord/>
      <trackRevisions>false</trackRevisions>
    </reviewItem>
    <reviewItem>
      <errorID>5625350d-38ab-43b6-a957-58d4a59af6dd</errorID>
      <errorWord>-</errorWord>
      <group>L1_Format</group>
      <groupName>格式问题</groupName>
      <ability>L2_HalfPunc</ability>
      <abilityName>全半角检查</abilityName>
      <candidateList>
        <item>－</item>
      </candidateList>
      <explain>文本全半角错误。</explain>
      <paraID>68772121</paraID>
      <start>12</start>
      <end>13</end>
      <status>unmodified</status>
      <modifiedWord/>
      <trackRevisions>false</trackRevisions>
    </reviewItem>
    <reviewItem>
      <errorID>51ea2958-0eab-4471-8f67-f103316447aa</errorID>
      <errorWord>-</errorWord>
      <group>L1_Format</group>
      <groupName>格式问题</groupName>
      <ability>L2_HalfPunc</ability>
      <abilityName>全半角检查</abilityName>
      <candidateList>
        <item>－</item>
      </candidateList>
      <explain>文本全半角错误。</explain>
      <paraID>68772121</paraID>
      <start>27</start>
      <end>28</end>
      <status>unmodified</status>
      <modifiedWord/>
      <trackRevisions>false</trackRevisions>
    </reviewItem>
    <reviewItem>
      <errorID>e4d76a6e-adcc-452d-81dd-f9be10091f3a</errorID>
      <errorWord>示意图</errorWord>
      <group>L1_Punc</group>
      <groupName>标点问题</groupName>
      <ability>L2_Punc</ability>
      <abilityName>标点符号检查</abilityName>
      <candidateList>
        <item>示意图。</item>
      </candidateList>
      <explain/>
      <paraID>7741120F</paraID>
      <start>85</start>
      <end>88</end>
      <status>unmodified</status>
      <modifiedWord/>
      <trackRevisions>false</trackRevisions>
    </reviewItem>
    <reviewItem>
      <errorID>6263dca9-d0bf-40ac-bfe9-00a2b9c22294</errorID>
      <errorWord>示意图</errorWord>
      <group>L1_Punc</group>
      <groupName>标点问题</groupName>
      <ability>L2_Punc</ability>
      <abilityName>标点符号检查</abilityName>
      <candidateList>
        <item>示意图。</item>
      </candidateList>
      <explain/>
      <paraID>1E5B17CF</paraID>
      <start>78</start>
      <end>81</end>
      <status>unmodified</status>
      <modifiedWord/>
      <trackRevisions>false</trackRevisions>
    </reviewItem>
    <reviewItem>
      <errorID>93ed8328-05b7-4e9a-a0fc-c313a74929b0</errorID>
      <errorWord>-</errorWord>
      <group>L1_Format</group>
      <groupName>格式问题</groupName>
      <ability>L2_HalfPunc</ability>
      <abilityName>全半角检查</abilityName>
      <candidateList>
        <item>－</item>
      </candidateList>
      <explain>文本全半角错误。</explain>
      <paraID>4674F898</paraID>
      <start>24</start>
      <end>25</end>
      <status>unmodified</status>
      <modifiedWord/>
      <trackRevisions>false</trackRevisions>
    </reviewItem>
    <reviewItem>
      <errorID>9bc6d095-6adb-4c5b-b3e9-664af9a50a2f</errorID>
      <errorWord>示意图</errorWord>
      <group>L1_Punc</group>
      <groupName>标点问题</groupName>
      <ability>L2_Punc</ability>
      <abilityName>标点符号检查</abilityName>
      <candidateList>
        <item>示意图。</item>
      </candidateList>
      <explain/>
      <paraID>6414B2FD</paraID>
      <start>80</start>
      <end>83</end>
      <status>unmodified</status>
      <modifiedWord/>
      <trackRevisions>false</trackRevisions>
    </reviewItem>
    <reviewItem>
      <errorID>31f90852-d1e3-4310-9b4a-360aa7489e32</errorID>
      <errorWord> </errorWord>
      <group>L1_Punc</group>
      <groupName>标点问题</groupName>
      <ability>L2_Punc</ability>
      <abilityName>标点符号检查</abilityName>
      <candidateList>
        <item>.</item>
      </candidateList>
      <explain/>
      <paraID> DFA21F3</paraID>
      <start>22</start>
      <end>23</end>
      <status>unmodified</status>
      <modifiedWord/>
      <trackRevisions>false</trackRevisions>
    </reviewItem>
    <reviewItem>
      <errorID>4f2f48a1-c4a9-40fb-95b1-92d8fc0e733d</errorID>
      <errorWord>-</errorWord>
      <group>L1_Format</group>
      <groupName>格式问题</groupName>
      <ability>L2_HalfPunc</ability>
      <abilityName>全半角检查</abilityName>
      <candidateList>
        <item>－</item>
      </candidateList>
      <explain>文本全半角错误。</explain>
      <paraID> D5C7476</paraID>
      <start>26</start>
      <end>27</end>
      <status>unmodified</status>
      <modifiedWord/>
      <trackRevisions>false</trackRevisions>
    </reviewItem>
    <reviewItem>
      <errorID>16eacd1d-f777-4a34-8747-7dd98da35666</errorID>
      <errorWord>-</errorWord>
      <group>L1_Format</group>
      <groupName>格式问题</groupName>
      <ability>L2_HalfPunc</ability>
      <abilityName>全半角检查</abilityName>
      <candidateList>
        <item>－</item>
      </candidateList>
      <explain>文本全半角错误。</explain>
      <paraID> D5C7476</paraID>
      <start>48</start>
      <end>49</end>
      <status>unmodified</status>
      <modifiedWord/>
      <trackRevisions>false</trackRevisions>
    </reviewItem>
    <reviewItem>
      <errorID>2dcfffcf-c08d-4f1a-80dc-a5f37ae8c3ee</errorID>
      <errorWord>-</errorWord>
      <group>L1_Format</group>
      <groupName>格式问题</groupName>
      <ability>L2_HalfPunc</ability>
      <abilityName>全半角检查</abilityName>
      <candidateList>
        <item>－</item>
      </candidateList>
      <explain>文本全半角错误。</explain>
      <paraID>179CC3E6</paraID>
      <start>15</start>
      <end>16</end>
      <status>unmodified</status>
      <modifiedWord/>
      <trackRevisions>false</trackRevisions>
    </reviewItem>
    <reviewItem>
      <errorID>cd29f1b4-ce55-4938-aa47-697d4304554a</errorID>
      <errorWord> </errorWord>
      <group>L1_Punc</group>
      <groupName>标点问题</groupName>
      <ability>L2_Punc</ability>
      <abilityName>标点符号检查</abilityName>
      <candidateList>
        <item/>
      </candidateList>
      <explain>此处空格冗余，建议删除。</explain>
      <paraID>33CB167E</paraID>
      <start>56</start>
      <end>57</end>
      <status>unmodified</status>
      <modifiedWord/>
      <trackRevisions>false</trackRevisions>
    </reviewItem>
    <reviewItem>
      <errorID>99aec5b6-05f2-442c-97ae-36eb5d6e4cf7</errorID>
      <errorWord> </errorWord>
      <group>L1_Punc</group>
      <groupName>标点问题</groupName>
      <ability>L2_Punc</ability>
      <abilityName>标点符号检查</abilityName>
      <candidateList>
        <item/>
      </candidateList>
      <explain>此处空格冗余，建议删除。</explain>
      <paraID>33CB167E</paraID>
      <start>59</start>
      <end>60</end>
      <status>unmodified</status>
      <modifiedWord/>
      <trackRevisions>false</trackRevisions>
    </reviewItem>
    <reviewItem>
      <errorID>3f181eae-2456-42a2-bb7a-b050c1f957d1</errorID>
      <errorWord> </errorWord>
      <group>L1_Punc</group>
      <groupName>标点问题</groupName>
      <ability>L2_Punc</ability>
      <abilityName>标点符号检查</abilityName>
      <candidateList>
        <item>.</item>
      </candidateList>
      <explain/>
      <paraID>51E0462F</paraID>
      <start>55</start>
      <end>56</end>
      <status>unmodified</status>
      <modifiedWord/>
      <trackRevisions>false</trackRevisions>
    </reviewItem>
    <reviewItem>
      <errorID>3b2987e7-cc45-46af-a9ad-18fd6483b057</errorID>
      <errorWord> </errorWord>
      <group>L1_Punc</group>
      <groupName>标点问题</groupName>
      <ability>L2_Punc</ability>
      <abilityName>标点符号检查</abilityName>
      <candidateList>
        <item/>
      </candidateList>
      <explain>此处空格冗余，建议删除。</explain>
      <paraID>4D538204</paraID>
      <start>1</start>
      <end>2</end>
      <status>unmodified</status>
      <modifiedWord/>
      <trackRevisions>false</trackRevisions>
    </reviewItem>
    <reviewItem>
      <errorID>0e5b134b-c729-4220-a627-2f26d8e966bc</errorID>
      <errorWord>天正浚源环保科技有限公司</errorWord>
      <group>L1_Other</group>
      <groupName>其他问题</groupName>
      <ability>L2_Consistency</ability>
      <abilityName>一致性检查</abilityName>
      <candidateList>
        <item>天正俊源环保科技有限公司</item>
      </candidateList>
      <explain>实体一致性问题，文档中该公司名称前后表述不一致，规范后应统一为“天正俊源环保科技有限公司”</explain>
      <paraID>7D8856D3</paraID>
      <start>80</start>
      <end>92</end>
      <status>unmodified</status>
      <modifiedWord/>
      <trackRevisions>false</trackRevisions>
    </reviewItem>
    <reviewItem>
      <errorID>90e6f275-77b5-435f-baab-b14d2a01c922</errorID>
      <errorWord>4 1</errorWord>
      <group>L1_Grammar</group>
      <groupName>语法问题</groupName>
      <ability>L2_Grammar</ability>
      <abilityName>语法错误</abilityName>
      <candidateList>
        <item>4</item>
      </candidateList>
      <explain/>
      <paraID>4980293D</paraID>
      <start>21</start>
      <end>49</end>
      <status>unmodified</status>
      <modifiedWord/>
      <trackRevisions>false</trackRevisions>
    </reviewItem>
    <reviewItem>
      <errorID>d1ae8c56-a497-4f80-a93c-0009201c2458</errorID>
      <errorWord>)</errorWord>
      <group>L1_Format</group>
      <groupName>格式问题</groupName>
      <ability>L2_HalfPunc</ability>
      <abilityName>全半角检查</abilityName>
      <candidateList>
        <item>）</item>
      </candidateList>
      <explain>文本全半角错误。</explain>
      <paraID>78841618</paraID>
      <start>5</start>
      <end>6</end>
      <status>unmodified</status>
      <modifiedWord/>
      <trackRevisions>false</trackRevisions>
    </reviewItem>
    <reviewItem>
      <errorID>1531c335-40fb-436a-804a-7d1519f8d36c</errorID>
      <errorWord>)</errorWord>
      <group>L1_Format</group>
      <groupName>格式问题</groupName>
      <ability>L2_HalfPunc</ability>
      <abilityName>全半角检查</abilityName>
      <candidateList>
        <item>）</item>
      </candidateList>
      <explain>文本全半角错误。</explain>
      <paraID>73649CCB</paraID>
      <start>5</start>
      <end>6</end>
      <status>unmodified</status>
      <modifiedWord/>
      <trackRevisions>false</trackRevisions>
    </reviewItem>
    <reviewItem>
      <errorID>a27db571-bbbb-4d59-af3e-e429781ea682</errorID>
      <errorWord>)</errorWord>
      <group>L1_Format</group>
      <groupName>格式问题</groupName>
      <ability>L2_HalfPunc</ability>
      <abilityName>全半角检查</abilityName>
      <candidateList>
        <item>）</item>
      </candidateList>
      <explain>文本全半角错误。</explain>
      <paraID>2FB62607</paraID>
      <start>5</start>
      <end>6</end>
      <status>unmodified</status>
      <modifiedWord/>
      <trackRevisions>false</trackRevisions>
    </reviewItem>
    <reviewItem>
      <errorID>a0154949-aef9-4eff-8d04-67a5d48af360</errorID>
      <errorWord>（</errorWord>
      <group>L1_Format</group>
      <groupName>格式问题</groupName>
      <ability>L2_HalfPunc</ability>
      <abilityName>全半角检查</abilityName>
      <candidateList>
        <item>(</item>
      </candidateList>
      <explain>文本全半角错误。</explain>
      <paraID>1E155B9E</paraID>
      <start>0</start>
      <end>1</end>
      <status>unmodified</status>
      <modifiedWord/>
      <trackRevisions>false</trackRevisions>
    </reviewItem>
    <reviewItem>
      <errorID>b8adb916-0aeb-4a31-bc57-f97e7b3c3b15</errorID>
      <errorWord>）</errorWord>
      <group>L1_Format</group>
      <groupName>格式问题</groupName>
      <ability>L2_HalfPunc</ability>
      <abilityName>全半角检查</abilityName>
      <candidateList>
        <item>)</item>
      </candidateList>
      <explain>文本全半角错误。</explain>
      <paraID>1E155B9E</paraID>
      <start>6</start>
      <end>7</end>
      <status>unmodified</status>
      <modifiedWord/>
      <trackRevisions>false</trackRevisions>
    </reviewItem>
    <reviewItem>
      <errorID>20017f0b-2572-47e5-b91c-5bf95c751fd8</errorID>
      <errorWord>）</errorWord>
      <group>L1_Format</group>
      <groupName>格式问题</groupName>
      <ability>L2_HalfPunc</ability>
      <abilityName>全半角检查</abilityName>
      <candidateList>
        <item>)</item>
      </candidateList>
      <explain>文本全半角错误。</explain>
      <paraID>3BF75F1F</paraID>
      <start>2</start>
      <end>3</end>
      <status>unmodified</status>
      <modifiedWord/>
      <trackRevisions>false</trackRevisions>
    </reviewItem>
    <reviewItem>
      <errorID>67ee2f72-9896-4f85-a502-1b31d22ddd4b</errorID>
      <errorWord>：</errorWord>
      <group>L1_Format</group>
      <groupName>格式问题</groupName>
      <ability>L2_HalfPunc</ability>
      <abilityName>全半角检查</abilityName>
      <candidateList>
        <item>:</item>
      </candidateList>
      <explain>文本全半角错误。</explain>
      <paraID>49D4D7B7</paraID>
      <start>83</start>
      <end>84</end>
      <status>unmodified</status>
      <modifiedWord/>
      <trackRevisions>false</trackRevisions>
    </reviewItem>
    <reviewItem>
      <errorID>4389c1d7-0282-449c-ad7e-790031d124c0</errorID>
      <errorWord>,</errorWord>
      <group>L1_Format</group>
      <groupName>格式问题</groupName>
      <ability>L2_HalfPunc</ability>
      <abilityName>全半角检查</abilityName>
      <candidateList>
        <item>，</item>
      </candidateList>
      <explain>文本全半角错误。</explain>
      <paraID>70614247</paraID>
      <start>41</start>
      <end>42</end>
      <status>unmodified</status>
      <modifiedWord/>
      <trackRevisions>false</trackRevisions>
    </reviewItem>
    <reviewItem>
      <errorID>758255a1-ee89-4639-b301-deffc813fb96</errorID>
      <errorWord>-</errorWord>
      <group>L1_Format</group>
      <groupName>格式问题</groupName>
      <ability>L2_HalfPunc</ability>
      <abilityName>全半角检查</abilityName>
      <candidateList>
        <item>－</item>
      </candidateList>
      <explain>文本全半角错误。</explain>
      <paraID>4EA8C190</paraID>
      <start>67</start>
      <end>68</end>
      <status>unmodified</status>
      <modifiedWord/>
      <trackRevisions>false</trackRevisions>
    </reviewItem>
    <reviewItem>
      <errorID>45a6dee9-2b74-4999-b390-fad2f49ed604</errorID>
      <errorWord>-</errorWord>
      <group>L1_Format</group>
      <groupName>格式问题</groupName>
      <ability>L2_HalfPunc</ability>
      <abilityName>全半角检查</abilityName>
      <candidateList>
        <item>－</item>
      </candidateList>
      <explain>文本全半角错误。</explain>
      <paraID>4EA8C190</paraID>
      <start>70</start>
      <end>71</end>
      <status>unmodified</status>
      <modifiedWord/>
      <trackRevisions>false</trackRevisions>
    </reviewItem>
    <reviewItem>
      <errorID>8f1f5471-1d32-4c80-b8ea-2462de9d197f</errorID>
      <errorWord>，</errorWord>
      <group>L1_Format</group>
      <groupName>格式问题</groupName>
      <ability>L2_HalfPunc</ability>
      <abilityName>全半角检查</abilityName>
      <candidateList>
        <item>, </item>
      </candidateList>
      <explain>文本全半角错误。</explain>
      <paraID>24BD4CCB</paraID>
      <start>1</start>
      <end>2</end>
      <status>unmodified</status>
      <modifiedWord/>
      <trackRevisions>false</trackRevisions>
    </reviewItem>
    <reviewItem>
      <errorID>70465567-48bf-45dd-9661-d6798739a680</errorID>
      <errorWord>，</errorWord>
      <group>L1_Format</group>
      <groupName>格式问题</groupName>
      <ability>L2_HalfPunc</ability>
      <abilityName>全半角检查</abilityName>
      <candidateList>
        <item>, </item>
      </candidateList>
      <explain>文本全半角错误。</explain>
      <paraID> D37BF0C</paraID>
      <start>1</start>
      <end>2</end>
      <status>unmodified</status>
      <modifiedWord/>
      <trackRevisions>false</trackRevisions>
    </reviewItem>
    <reviewItem>
      <errorID>c5a3c0d6-8a26-43a9-b1da-c36043cbdc8c</errorID>
      <errorWord>，</errorWord>
      <group>L1_Format</group>
      <groupName>格式问题</groupName>
      <ability>L2_HalfPunc</ability>
      <abilityName>全半角检查</abilityName>
      <candidateList>
        <item>, </item>
      </candidateList>
      <explain>文本全半角错误。</explain>
      <paraID>2EA8E4C9</paraID>
      <start>1</start>
      <end>2</end>
      <status>unmodified</status>
      <modifiedWord/>
      <trackRevisions>false</trackRevisions>
    </reviewItem>
    <reviewItem>
      <errorID>d2fd0129-03ce-484e-968a-9d5f7929134e</errorID>
      <errorWord>，</errorWord>
      <group>L1_Format</group>
      <groupName>格式问题</groupName>
      <ability>L2_HalfPunc</ability>
      <abilityName>全半角检查</abilityName>
      <candidateList>
        <item>, </item>
      </candidateList>
      <explain>文本全半角错误。</explain>
      <paraID>205DBA0E</paraID>
      <start>1</start>
      <end>2</end>
      <status>unmodified</status>
      <modifiedWord/>
      <trackRevisions>false</trackRevisions>
    </reviewItem>
    <reviewItem>
      <errorID>1bcc6f94-bc29-4c29-9fa2-773000e1246c</errorID>
      <errorWord>生物多样性维护</errorWord>
      <group>L1_Political</group>
      <groupName>政治性问题</groupName>
      <ability>L2_Keyword</ability>
      <abilityName>固定表述</abilityName>
      <candidateList>
        <item>生物多样性保护</item>
      </candidateList>
      <explain>词汇“生物多样性保护”在特定场景下为固定表述形式，请确认此处的“生物多样性维护”是否存在不当。</explain>
      <paraID>2219781C</paraID>
      <start>33</start>
      <end>40</end>
      <status>unmodified</status>
      <modifiedWord/>
      <trackRevisions>false</trackRevisions>
    </reviewItem>
    <reviewItem>
      <errorID>e1439900-bbb1-4dbb-9ae3-9756fea64cd2</errorID>
      <errorWord>（</errorWord>
      <group>L1_Format</group>
      <groupName>格式问题</groupName>
      <ability>L2_HalfPunc</ability>
      <abilityName>全半角检查</abilityName>
      <candidateList>
        <item>(</item>
      </candidateList>
      <explain>文本全半角错误。</explain>
      <paraID>23864097</paraID>
      <start>0</start>
      <end>1</end>
      <status>unmodified</status>
      <modifiedWord/>
      <trackRevisions>false</trackRevisions>
    </reviewItem>
    <reviewItem>
      <errorID>924f42fb-0bbb-41f6-acbd-4866f181d490</errorID>
      <errorWord>）</errorWord>
      <group>L1_Format</group>
      <groupName>格式问题</groupName>
      <ability>L2_HalfPunc</ability>
      <abilityName>全半角检查</abilityName>
      <candidateList>
        <item>)</item>
      </candidateList>
      <explain>文本全半角错误。</explain>
      <paraID>23864097</paraID>
      <start>2</start>
      <end>3</end>
      <status>unmodified</status>
      <modifiedWord/>
      <trackRevisions>false</trackRevisions>
    </reviewItem>
    <reviewItem>
      <errorID>c96a24ee-988a-413b-8926-fec4066af70d</errorID>
      <errorWord>(</errorWord>
      <group>L1_Format</group>
      <groupName>格式问题</groupName>
      <ability>L2_HalfPunc</ability>
      <abilityName>全半角检查</abilityName>
      <candidateList>
        <item>（</item>
      </candidateList>
      <explain>文本全半角错误。</explain>
      <paraID>2B49563A</paraID>
      <start>67</start>
      <end>68</end>
      <status>unmodified</status>
      <modifiedWord/>
      <trackRevisions>false</trackRevisions>
    </reviewItem>
    <reviewItem>
      <errorID>844a6bf2-1a92-4b6e-970c-c80250b8778b</errorID>
      <errorWord>)</errorWord>
      <group>L1_Format</group>
      <groupName>格式问题</groupName>
      <ability>L2_HalfPunc</ability>
      <abilityName>全半角检查</abilityName>
      <candidateList>
        <item>）</item>
      </candidateList>
      <explain>文本全半角错误。</explain>
      <paraID>2B49563A</paraID>
      <start>89</start>
      <end>90</end>
      <status>unmodified</status>
      <modifiedWord/>
      <trackRevisions>false</trackRevisions>
    </reviewItem>
    <reviewItem>
      <errorID>0d745c54-db4c-404f-ba86-0f531c571d53</errorID>
      <errorWord>kw</errorWord>
      <group>L1_Word</group>
      <groupName>字词问题</groupName>
      <ability>L2_Typo</ability>
      <abilityName>字词错误</abilityName>
      <candidateList>
        <item>kW</item>
      </candidateList>
      <explain/>
      <paraID>2EF07443</paraID>
      <start>44</start>
      <end>46</end>
      <status>unmodified</status>
      <modifiedWord/>
      <trackRevisions>false</trackRevisions>
    </reviewItem>
    <reviewItem>
      <errorID>47dc1bbe-1239-406d-9e14-acfbc30604c5</errorID>
      <errorWord>Kw</errorWord>
      <group>L1_Word</group>
      <groupName>字词问题</groupName>
      <ability>L2_Typo</ability>
      <abilityName>字词错误</abilityName>
      <candidateList>
        <item>kW</item>
      </candidateList>
      <explain/>
      <paraID>3F53E671</paraID>
      <start>55</start>
      <end>57</end>
      <status>unmodified</status>
      <modifiedWord/>
      <trackRevisions>false</trackRevisions>
    </reviewItem>
    <reviewItem>
      <errorID>56ab73c8-6859-42ec-9b4a-92d9466c9268</errorID>
      <errorWord>[2015]52号</errorWord>
      <group>L1_Knowledge</group>
      <groupName>知识性问题</groupName>
      <ability>L2_Knowledge</ability>
      <abilityName>其他知识</abilityName>
      <candidateList>
        <item>〔2015〕52号</item>
      </candidateList>
      <explain>发文字号格式错误。</explain>
      <paraID> 53560FC</paraID>
      <start>33</start>
      <end>42</end>
      <status>unmodified</status>
      <modifiedWord/>
      <trackRevisions>false</trackRevisions>
    </reviewItem>
    <reviewItem>
      <errorID>9974699a-15db-4b58-910f-523b7e2127f8</errorID>
      <errorWord>[2019]910号</errorWord>
      <group>L1_Knowledge</group>
      <groupName>知识性问题</groupName>
      <ability>L2_Knowledge</ability>
      <abilityName>其他知识</abilityName>
      <candidateList>
        <item>〔2019〕910号</item>
      </candidateList>
      <explain>发文字号格式错误。</explain>
      <paraID>6BD66675</paraID>
      <start>35</start>
      <end>45</end>
      <status>unmodified</status>
      <modifiedWord/>
      <trackRevisions>false</trackRevisions>
    </reviewItem>
    <reviewItem>
      <errorID>6c520b6d-cad4-4471-bd91-450adf60c04c</errorID>
      <errorWord>[2015]52号</errorWord>
      <group>L1_Knowledge</group>
      <groupName>知识性问题</groupName>
      <ability>L2_Knowledge</ability>
      <abilityName>其他知识</abilityName>
      <candidateList>
        <item>〔2015〕52号</item>
      </candidateList>
      <explain>发文字号格式错误。</explain>
      <paraID>69141E36</paraID>
      <start>52</start>
      <end>61</end>
      <status>unmodified</status>
      <modifiedWord/>
      <trackRevisions>false</trackRevisions>
    </reviewItem>
    <reviewItem>
      <errorID>1ca8e3ce-d45e-4694-9929-42310da90585</errorID>
      <errorWord>[2019]910号</errorWord>
      <group>L1_Knowledge</group>
      <groupName>知识性问题</groupName>
      <ability>L2_Knowledge</ability>
      <abilityName>其他知识</abilityName>
      <candidateList>
        <item>〔2019〕910号</item>
      </candidateList>
      <explain>发文字号格式错误。</explain>
      <paraID>69141E36</paraID>
      <start>96</start>
      <end>106</end>
      <status>unmodified</status>
      <modifiedWord/>
      <trackRevisions>false</trackRevisions>
    </reviewItem>
    <reviewItem>
      <errorID>bd2b6121-fd38-411e-bad5-2f3305d2d83b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997C7C8</paraID>
      <start>69</start>
      <end>70</end>
      <status>unmodified</status>
      <modifiedWord/>
      <trackRevisions>false</trackRevisions>
    </reviewItem>
    <reviewItem>
      <errorID>64320012-3cf5-412d-ade4-555c8cadcd1e</errorID>
      <errorWord>,</errorWord>
      <group>L1_Format</group>
      <groupName>格式问题</groupName>
      <ability>L2_HalfPunc</ability>
      <abilityName>全半角检查</abilityName>
      <candidateList>
        <item>，</item>
      </candidateList>
      <explain>文本全半角错误。</explain>
      <paraID> 997C7C8</paraID>
      <start>284</start>
      <end>285</end>
      <status>unmodified</status>
      <modifiedWord/>
      <trackRevisions>false</trackRevisions>
    </reviewItem>
    <reviewItem>
      <errorID>55aed2f0-4df5-43b9-a804-f794735313fe</errorID>
      <errorWord>约为</errorWord>
      <group>L1_Word</group>
      <groupName>字词问题</groupName>
      <ability>L2_Typo</ability>
      <abilityName>字词错误</abilityName>
      <candidateList>
        <item>约</item>
      </candidateList>
      <explain/>
      <paraID>2D0F6273</paraID>
      <start>21</start>
      <end>23</end>
      <status>unmodified</status>
      <modifiedWord/>
      <trackRevisions>false</trackRevisions>
    </reviewItem>
    <reviewItem>
      <errorID>22f2117a-546a-4220-9168-f74138a76352</errorID>
      <errorWord>或者</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778565DD</paraID>
      <start>49</start>
      <end>51</end>
      <status>unmodified</status>
      <modifiedWord/>
      <trackRevisions>false</trackRevisions>
    </reviewItem>
    <reviewItem>
      <errorID>7a905623-864b-4df0-b241-1856ec782cab</errorID>
      <errorWord>使用</errorWord>
      <group>L1_Grammar</group>
      <groupName>语法问题</groupName>
      <ability>L2_Grammar</ability>
      <abilityName>语法错误</abilityName>
      <candidateList>
        <item>采取</item>
      </candidateList>
      <explain>“使用～措施”搭配不当，建议修改为“采取～措施”。</explain>
      <paraID>17504687</paraID>
      <start>18</start>
      <end>20</end>
      <status>unmodified</status>
      <modifiedWord/>
      <trackRevisions>false</trackRevisions>
    </reviewItem>
    <reviewItem>
      <errorID>ecc73bbb-2f07-43cf-9260-a62233a682a0</errorID>
      <errorWord>-</errorWord>
      <group>L1_Format</group>
      <groupName>格式问题</groupName>
      <ability>L2_HalfPunc</ability>
      <abilityName>全半角检查</abilityName>
      <candidateList>
        <item>－</item>
      </candidateList>
      <explain>文本全半角错误。</explain>
      <paraID>6E9D8352</paraID>
      <start>24</start>
      <end>25</end>
      <status>unmodified</status>
      <modifiedWord/>
      <trackRevisions>false</trackRevisions>
    </reviewItem>
    <reviewItem>
      <errorID>bf5af8e8-d3f8-4395-a6c8-34dd55bdd20e</errorID>
      <errorWord>。。</errorWord>
      <group>L1_Punc</group>
      <groupName>标点问题</groupName>
      <ability>L2_Punc</ability>
      <abilityName>标点符号检查</abilityName>
      <candidateList>
        <item>。</item>
      </candidateList>
      <explain/>
      <paraID>35F0BD6E</paraID>
      <start>187</start>
      <end>189</end>
      <status>unmodified</status>
      <modifiedWord/>
      <trackRevisions>false</trackRevisions>
    </reviewItem>
    <reviewItem>
      <errorID>f98b0b51-3e3c-42b1-9247-bab32bd01759</errorID>
      <errorWord>(</errorWord>
      <group>L1_Format</group>
      <groupName>格式问题</groupName>
      <ability>L2_HalfPunc</ability>
      <abilityName>全半角检查</abilityName>
      <candidateList>
        <item>（</item>
      </candidateList>
      <explain>文本全半角错误。</explain>
      <paraID>50027CB3</paraID>
      <start>33</start>
      <end>34</end>
      <status>unmodified</status>
      <modifiedWord/>
      <trackRevisions>false</trackRevisions>
    </reviewItem>
    <reviewItem>
      <errorID>39b0a85b-184c-4720-9a6a-61aea8d4ac05</errorID>
      <errorWord>[2021]55号</errorWord>
      <group>L1_Knowledge</group>
      <groupName>知识性问题</groupName>
      <ability>L2_Knowledge</ability>
      <abilityName>其他知识</abilityName>
      <candidateList>
        <item>〔2021〕55号</item>
      </candidateList>
      <explain>发文字号格式错误。</explain>
      <paraID>50027CB3</paraID>
      <start>37</start>
      <end>46</end>
      <status>unmodified</status>
      <modifiedWord/>
      <trackRevisions>false</trackRevisions>
    </reviewItem>
    <reviewItem>
      <errorID>e4bbec55-0df4-43e3-8c2c-930e64ec46e9</errorID>
      <errorWord>)</errorWord>
      <group>L1_Format</group>
      <groupName>格式问题</groupName>
      <ability>L2_HalfPunc</ability>
      <abilityName>全半角检查</abilityName>
      <candidateList>
        <item>）</item>
      </candidateList>
      <explain>文本全半角错误。</explain>
      <paraID>50027CB3</paraID>
      <start>46</start>
      <end>47</end>
      <status>unmodified</status>
      <modifiedWord/>
      <trackRevisions>false</trackRevisions>
    </reviewItem>
    <reviewItem>
      <errorID>dfb180af-776e-4b35-b9f4-76945a92c6ce</errorID>
      <errorWord>(</errorWord>
      <group>L1_Format</group>
      <groupName>格式问题</groupName>
      <ability>L2_HalfPunc</ability>
      <abilityName>全半角检查</abilityName>
      <candidateList>
        <item>（</item>
      </candidateList>
      <explain>文本全半角错误。</explain>
      <paraID>50027CB3</paraID>
      <start>67</start>
      <end>68</end>
      <status>unmodified</status>
      <modifiedWord/>
      <trackRevisions>false</trackRevisions>
    </reviewItem>
    <reviewItem>
      <errorID>1e921337-1724-49c9-9eb2-604cf836010c</errorID>
      <errorWord>)</errorWord>
      <group>L1_Format</group>
      <groupName>格式问题</groupName>
      <ability>L2_HalfPunc</ability>
      <abilityName>全半角检查</abilityName>
      <candidateList>
        <item>）</item>
      </candidateList>
      <explain>文本全半角错误。</explain>
      <paraID>50027CB3</paraID>
      <start>88</start>
      <end>89</end>
      <status>unmodified</status>
      <modifiedWord/>
      <trackRevisions>false</trackRevisions>
    </reviewItem>
    <reviewItem>
      <errorID>f2f4ff7f-9c93-4ae7-8560-8e4c1ca4ddd7</errorID>
      <errorWord>(</errorWord>
      <group>L1_Format</group>
      <groupName>格式问题</groupName>
      <ability>L2_HalfPunc</ability>
      <abilityName>全半角检查</abilityName>
      <candidateList>
        <item>（</item>
      </candidateList>
      <explain>文本全半角错误。</explain>
      <paraID>50027CB3</paraID>
      <start>132</start>
      <end>133</end>
      <status>unmodified</status>
      <modifiedWord/>
      <trackRevisions>false</trackRevisions>
    </reviewItem>
    <reviewItem>
      <errorID>1031445b-4381-45d0-a91b-f32484ebdbbc</errorID>
      <errorWord>[2019]132号</errorWord>
      <group>L1_Knowledge</group>
      <groupName>知识性问题</groupName>
      <ability>L2_Knowledge</ability>
      <abilityName>其他知识</abilityName>
      <candidateList>
        <item>〔2019〕132号</item>
      </candidateList>
      <explain>发文字号格式错误。</explain>
      <paraID>50027CB3</paraID>
      <start>136</start>
      <end>146</end>
      <status>unmodified</status>
      <modifiedWord/>
      <trackRevisions>false</trackRevisions>
    </reviewItem>
    <reviewItem>
      <errorID>94b41e6a-7071-4f17-b3b7-95b5655eed12</errorID>
      <errorWord>)</errorWord>
      <group>L1_Format</group>
      <groupName>格式问题</groupName>
      <ability>L2_HalfPunc</ability>
      <abilityName>全半角检查</abilityName>
      <candidateList>
        <item>）</item>
      </candidateList>
      <explain>文本全半角错误。</explain>
      <paraID>50027CB3</paraID>
      <start>146</start>
      <end>147</end>
      <status>unmodified</status>
      <modifiedWord/>
      <trackRevisions>false</trackRevisions>
    </reviewItem>
    <reviewItem>
      <errorID>3582519c-c3c2-4e10-915d-fd9d7cbd2ffd</errorID>
      <errorWord>(</errorWord>
      <group>L1_Format</group>
      <groupName>格式问题</groupName>
      <ability>L2_HalfPunc</ability>
      <abilityName>全半角检查</abilityName>
      <candidateList>
        <item>（</item>
      </candidateList>
      <explain>文本全半角错误。</explain>
      <paraID>50027CB3</paraID>
      <start>175</start>
      <end>176</end>
      <status>unmodified</status>
      <modifiedWord/>
      <trackRevisions>false</trackRevisions>
    </reviewItem>
    <reviewItem>
      <errorID>bd606d67-1d02-4195-a053-7b277fa87f92</errorID>
      <errorWord>[2021]57号</errorWord>
      <group>L1_Knowledge</group>
      <groupName>知识性问题</groupName>
      <ability>L2_Knowledge</ability>
      <abilityName>其他知识</abilityName>
      <candidateList>
        <item>〔2021〕57号</item>
      </candidateList>
      <explain>发文字号格式错误。</explain>
      <paraID>50027CB3</paraID>
      <start>180</start>
      <end>189</end>
      <status>unmodified</status>
      <modifiedWord/>
      <trackRevisions>false</trackRevisions>
    </reviewItem>
    <reviewItem>
      <errorID>9f0b42db-3a01-46c5-94cd-a889a7b72e5e</errorID>
      <errorWord>)</errorWord>
      <group>L1_Format</group>
      <groupName>格式问题</groupName>
      <ability>L2_HalfPunc</ability>
      <abilityName>全半角检查</abilityName>
      <candidateList>
        <item>）</item>
      </candidateList>
      <explain>文本全半角错误。</explain>
      <paraID>50027CB3</paraID>
      <start>189</start>
      <end>190</end>
      <status>unmodified</status>
      <modifiedWord/>
      <trackRevisions>false</trackRevisions>
    </reviewItem>
    <reviewItem>
      <errorID>c9bc2034-586b-4f9c-becb-2bceeca4d79e</errorID>
      <errorWord>:</errorWord>
      <group>L1_Format</group>
      <groupName>格式问题</groupName>
      <ability>L2_HalfPunc</ability>
      <abilityName>全半角检查</abilityName>
      <candidateList>
        <item>：</item>
      </candidateList>
      <explain>文本全半角错误。</explain>
      <paraID>50027CB3</paraID>
      <start>317</start>
      <end>318</end>
      <status>unmodified</status>
      <modifiedWord/>
      <trackRevisions>false</trackRevisions>
    </reviewItem>
    <reviewItem>
      <errorID>043360fa-3873-4003-a195-4d0fe9e4ebef</errorID>
      <errorWord>实施对</errorWord>
      <group>L1_Word</group>
      <groupName>字词问题</groupName>
      <ability>L2_Typo</ability>
      <abilityName>字词错误</abilityName>
      <candidateList>
        <item>实施</item>
      </candidateList>
      <explain>〈动〉实行（法令、政策等）：付诸～｜～细则｜～新的办法。</explain>
      <paraID>579C29B9</paraID>
      <start>71</start>
      <end>74</end>
      <status>unmodified</status>
      <modifiedWord/>
      <trackRevisions>false</trackRevisions>
    </reviewItem>
    <reviewItem>
      <errorID>0a829da0-a4a2-47f5-b598-136442d062da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51355B25</paraID>
      <start>109</start>
      <end>110</end>
      <status>unmodified</status>
      <modifiedWord/>
      <trackRevisions>false</trackRevisions>
    </reviewItem>
    <reviewItem>
      <errorID>d2e90be6-8dd7-48bd-9333-f059fd5a391c</errorID>
      <errorWord>[2021]49号</errorWord>
      <group>L1_Knowledge</group>
      <groupName>知识性问题</groupName>
      <ability>L2_Knowledge</ability>
      <abilityName>其他知识</abilityName>
      <candidateList>
        <item>〔2021〕49号</item>
      </candidateList>
      <explain>发文字号格式错误。</explain>
      <paraID>51355B25</paraID>
      <start>200</start>
      <end>209</end>
      <status>unmodified</status>
      <modifiedWord/>
      <trackRevisions>false</trackRevisions>
    </reviewItem>
    <reviewItem>
      <errorID>9f7d18be-dc2b-46fc-9d60-ee57daf29da5</errorID>
      <errorWord>。</errorWord>
      <group>L1_Punc</group>
      <groupName>标点问题</groupName>
      <ability>L2_Punc</ability>
      <abilityName>标点符号检查</abilityName>
      <candidateList/>
      <explain/>
      <paraID>47036599</paraID>
      <start>0</start>
      <end>1</end>
      <status>unmodified</status>
      <modifiedWord/>
      <trackRevisions>false</trackRevisions>
    </reviewItem>
    <reviewItem>
      <errorID>e7af875d-02fc-4210-9444-45ae5b3a4bcb</errorID>
      <errorWord>：</errorWord>
      <group>L1_Word</group>
      <groupName>字词问题</groupName>
      <ability>L2_Typo</ability>
      <abilityName>字词错误</abilityName>
      <candidateList>
        <item>：通</item>
      </candidateList>
      <explain/>
      <paraID>727EC4BD</paraID>
      <start>5</start>
      <end>6</end>
      <status>unmodified</status>
      <modifiedWord/>
      <trackRevisions>false</trackRevisions>
    </reviewItem>
    <reviewItem>
      <errorID>3b2da135-2aa4-4d58-8608-7a8d5d038cc1</errorID>
      <errorWord>使用</errorWord>
      <group>L1_Grammar</group>
      <groupName>语法问题</groupName>
      <ability>L2_Grammar</ability>
      <abilityName>语法错误</abilityName>
      <candidateList>
        <item>采取</item>
      </candidateList>
      <explain>“使用～措施”搭配不当，建议修改为“采取～措施”。</explain>
      <paraID>727EC4BD</paraID>
      <start>14</start>
      <end>16</end>
      <status>unmodified</status>
      <modifiedWord/>
      <trackRevisions>false</trackRevisions>
    </reviewItem>
    <reviewItem>
      <errorID>ff924016-7434-43fe-ad98-3844e26f337f</errorID>
      <errorWord>网电</errorWord>
      <group>L1_Word</group>
      <groupName>字词问题</groupName>
      <ability>L2_Typo</ability>
      <abilityName>字词错误</abilityName>
      <candidateList>
        <item>电网</item>
      </candidateList>
      <explain/>
      <paraID>149480F7</paraID>
      <start>13</start>
      <end>15</end>
      <status>unmodified</status>
      <modifiedWord/>
      <trackRevisions>false</trackRevisions>
    </reviewItem>
    <reviewItem>
      <errorID>4b9bf923-76df-4026-805d-75c3b8860ee4</errorID>
      <errorWord>[2024]12号</errorWord>
      <group>L1_Knowledge</group>
      <groupName>知识性问题</groupName>
      <ability>L2_Knowledge</ability>
      <abilityName>其他知识</abilityName>
      <candidateList>
        <item>〔2024〕12号</item>
      </candidateList>
      <explain>发文字号格式错误。</explain>
      <paraID>5A56FFD9</paraID>
      <start>28</start>
      <end>37</end>
      <status>unmodified</status>
      <modifiedWord/>
      <trackRevisions>false</trackRevisions>
    </reviewItem>
    <reviewItem>
      <errorID>0cbacdc7-02ee-4341-b805-0f8c78510849</errorID>
      <errorWord>,</errorWord>
      <group>L1_Format</group>
      <groupName>格式问题</groupName>
      <ability>L2_HalfPunc</ability>
      <abilityName>全半角检查</abilityName>
      <candidateList>
        <item>，</item>
      </candidateList>
      <explain>文本全半角错误。</explain>
      <paraID>20943A00</paraID>
      <start>335</start>
      <end>336</end>
      <status>unmodified</status>
      <modifiedWord/>
      <trackRevisions>false</trackRevisions>
    </reviewItem>
    <reviewItem>
      <errorID>2d571c1f-e3ea-4713-a975-eec59df9cc02</errorID>
      <errorWord>,</errorWord>
      <group>L1_Format</group>
      <groupName>格式问题</groupName>
      <ability>L2_HalfPunc</ability>
      <abilityName>全半角检查</abilityName>
      <candidateList>
        <item>，</item>
      </candidateList>
      <explain>文本全半角错误。</explain>
      <paraID>20943A00</paraID>
      <start>437</start>
      <end>438</end>
      <status>unmodified</status>
      <modifiedWord/>
      <trackRevisions>false</trackRevisions>
    </reviewItem>
    <reviewItem>
      <errorID>41e44e2e-ebf8-4fa9-b250-ab056697b165</errorID>
      <errorWord>,</errorWord>
      <group>L1_Format</group>
      <groupName>格式问题</groupName>
      <ability>L2_HalfPunc</ability>
      <abilityName>全半角检查</abilityName>
      <candidateList>
        <item>，</item>
      </candidateList>
      <explain>文本全半角错误。</explain>
      <paraID>20943A00</paraID>
      <start>461</start>
      <end>462</end>
      <status>unmodified</status>
      <modifiedWord/>
      <trackRevisions>false</trackRevisions>
    </reviewItem>
    <reviewItem>
      <errorID>60b1adef-52f8-494c-917a-dce635d3943e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4C49A19E</paraID>
      <start>0</start>
      <end>2</end>
      <status>unmodified</status>
      <modifiedWord/>
      <trackRevisions>false</trackRevisions>
    </reviewItem>
    <reviewItem>
      <errorID>ecc00f62-c2ab-4e00-9667-9d3b7e36262f</errorID>
      <errorWord>期问</errorWord>
      <group>L1_Word</group>
      <groupName>字词问题</groupName>
      <ability>L2_Typo</ability>
      <abilityName>字词错误</abilityName>
      <candidateList>
        <item>期间</item>
      </candidateList>
      <explain>〈名〉某个时期里面：农忙～｜春节～｜抗战～。</explain>
      <paraID>4C49A19E</paraID>
      <start>43</start>
      <end>45</end>
      <status>unmodified</status>
      <modifiedWord/>
      <trackRevisions>false</trackRevisions>
    </reviewItem>
    <reviewItem>
      <errorID>b9ab9bcc-8854-4138-b10b-58968f3be1f7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3FC9FE8B</paraID>
      <start>0</start>
      <end>2</end>
      <status>unmodified</status>
      <modifiedWord/>
      <trackRevisions>false</trackRevisions>
    </reviewItem>
    <reviewItem>
      <errorID>a2a9daab-a07f-472c-9172-0280894ba9cd</errorID>
      <errorWord>(</errorWord>
      <group>L1_Format</group>
      <groupName>格式问题</groupName>
      <ability>L2_HalfPunc</ability>
      <abilityName>全半角检查</abilityName>
      <candidateList>
        <item>（</item>
      </candidateList>
      <explain>文本全半角错误。</explain>
      <paraID>3FC9FE8B</paraID>
      <start>228</start>
      <end>229</end>
      <status>unmodified</status>
      <modifiedWord/>
      <trackRevisions>false</trackRevisions>
    </reviewItem>
    <reviewItem>
      <errorID>6651857e-d58c-4511-87fe-772417a90362</errorID>
      <errorWord>)</errorWord>
      <group>L1_Format</group>
      <groupName>格式问题</groupName>
      <ability>L2_HalfPunc</ability>
      <abilityName>全半角检查</abilityName>
      <candidateList>
        <item>）</item>
      </candidateList>
      <explain>文本全半角错误。</explain>
      <paraID>3FC9FE8B</paraID>
      <start>242</start>
      <end>243</end>
      <status>unmodified</status>
      <modifiedWord/>
      <trackRevisions>false</trackRevisions>
    </reviewItem>
    <reviewItem>
      <errorID>308555d9-df52-4905-8a8f-817983169e40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4336F3A9</paraID>
      <start>0</start>
      <end>2</end>
      <status>unmodified</status>
      <modifiedWord/>
      <trackRevisions>false</trackRevisions>
    </reviewItem>
    <reviewItem>
      <errorID>b89e7171-01e5-43fc-9e03-05b342cae3d6</errorID>
      <errorWord>(</errorWord>
      <group>L1_Format</group>
      <groupName>格式问题</groupName>
      <ability>L2_HalfPunc</ability>
      <abilityName>全半角检查</abilityName>
      <candidateList>
        <item>（</item>
      </candidateList>
      <explain>文本全半角错误。</explain>
      <paraID>4336F3A9</paraID>
      <start>167</start>
      <end>168</end>
      <status>unmodified</status>
      <modifiedWord/>
      <trackRevisions>false</trackRevisions>
    </reviewItem>
    <reviewItem>
      <errorID>58b1928d-bc47-4e45-969a-427c2d3d738b</errorID>
      <errorWord>)</errorWord>
      <group>L1_Format</group>
      <groupName>格式问题</groupName>
      <ability>L2_HalfPunc</ability>
      <abilityName>全半角检查</abilityName>
      <candidateList>
        <item>）</item>
      </candidateList>
      <explain>文本全半角错误。</explain>
      <paraID>4336F3A9</paraID>
      <start>182</start>
      <end>183</end>
      <status>unmodified</status>
      <modifiedWord/>
      <trackRevisions>false</trackRevisions>
    </reviewItem>
    <reviewItem>
      <errorID>da579651-c6d4-4799-b2d5-4cd0d2adc8e6</errorID>
      <errorWord>(</errorWord>
      <group>L1_Format</group>
      <groupName>格式问题</groupName>
      <ability>L2_HalfPunc</ability>
      <abilityName>全半角检查</abilityName>
      <candidateList>
        <item>（</item>
      </candidateList>
      <explain>文本全半角错误。</explain>
      <paraID>4336F3A9</paraID>
      <start>212</start>
      <end>213</end>
      <status>unmodified</status>
      <modifiedWord/>
      <trackRevisions>false</trackRevisions>
    </reviewItem>
    <reviewItem>
      <errorID>96b0fe56-0e5b-4ea3-bd44-82f4be338beb</errorID>
      <errorWord>)</errorWord>
      <group>L1_Format</group>
      <groupName>格式问题</groupName>
      <ability>L2_HalfPunc</ability>
      <abilityName>全半角检查</abilityName>
      <candidateList>
        <item>）</item>
      </candidateList>
      <explain>文本全半角错误。</explain>
      <paraID>4336F3A9</paraID>
      <start>227</start>
      <end>228</end>
      <status>unmodified</status>
      <modifiedWord/>
      <trackRevisions>false</trackRevisions>
    </reviewItem>
    <reviewItem>
      <errorID>d40f52c1-d6e5-4bec-ae16-1fd0e307ee21</errorID>
      <errorWord>(</errorWord>
      <group>L1_Format</group>
      <groupName>格式问题</groupName>
      <ability>L2_HalfPunc</ability>
      <abilityName>全半角检查</abilityName>
      <candidateList>
        <item>（</item>
      </candidateList>
      <explain>文本全半角错误。</explain>
      <paraID>4336F3A9</paraID>
      <start>259</start>
      <end>260</end>
      <status>unmodified</status>
      <modifiedWord/>
      <trackRevisions>false</trackRevisions>
    </reviewItem>
    <reviewItem>
      <errorID>a07190fe-fc1f-4522-8293-541347284d9b</errorID>
      <errorWord>)</errorWord>
      <group>L1_Format</group>
      <groupName>格式问题</groupName>
      <ability>L2_HalfPunc</ability>
      <abilityName>全半角检查</abilityName>
      <candidateList>
        <item>）</item>
      </candidateList>
      <explain>文本全半角错误。</explain>
      <paraID>4336F3A9</paraID>
      <start>272</start>
      <end>273</end>
      <status>unmodified</status>
      <modifiedWord/>
      <trackRevisions>false</trackRevisions>
    </reviewItem>
    <reviewItem>
      <errorID>c24e3d46-90b8-4965-aa6f-cf5d7d938b26</errorID>
      <errorWord>(</errorWord>
      <group>L1_Format</group>
      <groupName>格式问题</groupName>
      <ability>L2_HalfPunc</ability>
      <abilityName>全半角检查</abilityName>
      <candidateList>
        <item>（</item>
      </candidateList>
      <explain>文本全半角错误。</explain>
      <paraID>4336F3A9</paraID>
      <start>299</start>
      <end>300</end>
      <status>unmodified</status>
      <modifiedWord/>
      <trackRevisions>false</trackRevisions>
    </reviewItem>
    <reviewItem>
      <errorID>859a5c12-f608-4e52-b5e0-946ef139b88b</errorID>
      <errorWord>)</errorWord>
      <group>L1_Format</group>
      <groupName>格式问题</groupName>
      <ability>L2_HalfPunc</ability>
      <abilityName>全半角检查</abilityName>
      <candidateList>
        <item>）</item>
      </candidateList>
      <explain>文本全半角错误。</explain>
      <paraID>4336F3A9</paraID>
      <start>316</start>
      <end>317</end>
      <status>unmodified</status>
      <modifiedWord/>
      <trackRevisions>false</trackRevisions>
    </reviewItem>
    <reviewItem>
      <errorID>f8d63432-f066-4e4d-9f63-5500d6597cf9</errorID>
      <errorWord>(</errorWord>
      <group>L1_Format</group>
      <groupName>格式问题</groupName>
      <ability>L2_HalfPunc</ability>
      <abilityName>全半角检查</abilityName>
      <candidateList>
        <item>（</item>
      </candidateList>
      <explain>文本全半角错误。</explain>
      <paraID>4336F3A9</paraID>
      <start>338</start>
      <end>339</end>
      <status>unmodified</status>
      <modifiedWord/>
      <trackRevisions>false</trackRevisions>
    </reviewItem>
    <reviewItem>
      <errorID>61de1d76-2a27-42fc-84bc-058ec867ced3</errorID>
      <errorWord>)</errorWord>
      <group>L1_Format</group>
      <groupName>格式问题</groupName>
      <ability>L2_HalfPunc</ability>
      <abilityName>全半角检查</abilityName>
      <candidateList>
        <item>）</item>
      </candidateList>
      <explain>文本全半角错误。</explain>
      <paraID>4336F3A9</paraID>
      <start>351</start>
      <end>352</end>
      <status>unmodified</status>
      <modifiedWord/>
      <trackRevisions>false</trackRevisions>
    </reviewItem>
    <reviewItem>
      <errorID>b93013ba-1146-4042-a49b-eb563ccc2bde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4CF0888</paraID>
      <start>0</start>
      <end>2</end>
      <status>unmodified</status>
      <modifiedWord/>
      <trackRevisions>false</trackRevisions>
    </reviewItem>
    <reviewItem>
      <errorID>528ea7aa-580a-4eb3-b702-0fb5d8cd8b92</errorID>
      <errorWord>(</errorWord>
      <group>L1_Format</group>
      <groupName>格式问题</groupName>
      <ability>L2_HalfPunc</ability>
      <abilityName>全半角检查</abilityName>
      <candidateList>
        <item>（</item>
      </candidateList>
      <explain>文本全半角错误。</explain>
      <paraID> 4CF0888</paraID>
      <start>422</start>
      <end>423</end>
      <status>unmodified</status>
      <modifiedWord/>
      <trackRevisions>false</trackRevisions>
    </reviewItem>
    <reviewItem>
      <errorID>e4c2b731-65c5-4574-97a2-277b59cf463b</errorID>
      <errorWord>)</errorWord>
      <group>L1_Format</group>
      <groupName>格式问题</groupName>
      <ability>L2_HalfPunc</ability>
      <abilityName>全半角检查</abilityName>
      <candidateList>
        <item>）</item>
      </candidateList>
      <explain>文本全半角错误。</explain>
      <paraID> 4CF0888</paraID>
      <start>435</start>
      <end>436</end>
      <status>unmodified</status>
      <modifiedWord/>
      <trackRevisions>false</trackRevisions>
    </reviewItem>
    <reviewItem>
      <errorID>89140bd2-f2f1-4922-9450-3b073d9c54f4</errorID>
      <errorWord>(</errorWord>
      <group>L1_Format</group>
      <groupName>格式问题</groupName>
      <ability>L2_HalfPunc</ability>
      <abilityName>全半角检查</abilityName>
      <candidateList>
        <item>（</item>
      </candidateList>
      <explain>文本全半角错误。</explain>
      <paraID> 4CF0888</paraID>
      <start>462</start>
      <end>463</end>
      <status>unmodified</status>
      <modifiedWord/>
      <trackRevisions>false</trackRevisions>
    </reviewItem>
    <reviewItem>
      <errorID>fbf5ad46-609f-4ae7-9531-99fb82121535</errorID>
      <errorWord>)</errorWord>
      <group>L1_Format</group>
      <groupName>格式问题</groupName>
      <ability>L2_HalfPunc</ability>
      <abilityName>全半角检查</abilityName>
      <candidateList>
        <item>）</item>
      </candidateList>
      <explain>文本全半角错误。</explain>
      <paraID> 4CF0888</paraID>
      <start>475</start>
      <end>476</end>
      <status>unmodified</status>
      <modifiedWord/>
      <trackRevisions>false</trackRevisions>
    </reviewItem>
    <reviewItem>
      <errorID>8bf828db-e7ae-42b1-bfb5-08275b78a609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158701E8</paraID>
      <start>0</start>
      <end>2</end>
      <status>unmodified</status>
      <modifiedWord/>
      <trackRevisions>false</trackRevisions>
    </reviewItem>
    <reviewItem>
      <errorID>bb2b9075-248c-4bc0-b179-8fcd38d382d9</errorID>
      <errorWord>(</errorWord>
      <group>L1_Format</group>
      <groupName>格式问题</groupName>
      <ability>L2_HalfPunc</ability>
      <abilityName>全半角检查</abilityName>
      <candidateList>
        <item>（</item>
      </candidateList>
      <explain>文本全半角错误。</explain>
      <paraID>158701E8</paraID>
      <start>70</start>
      <end>71</end>
      <status>unmodified</status>
      <modifiedWord/>
      <trackRevisions>false</trackRevisions>
    </reviewItem>
    <reviewItem>
      <errorID>6b9d40ba-d5f1-41de-bea1-c1b7b8a90c81</errorID>
      <errorWord>)</errorWord>
      <group>L1_Format</group>
      <groupName>格式问题</groupName>
      <ability>L2_HalfPunc</ability>
      <abilityName>全半角检查</abilityName>
      <candidateList>
        <item>）</item>
      </candidateList>
      <explain>文本全半角错误。</explain>
      <paraID>158701E8</paraID>
      <start>83</start>
      <end>84</end>
      <status>unmodified</status>
      <modifiedWord/>
      <trackRevisions>false</trackRevisions>
    </reviewItem>
    <reviewItem>
      <errorID>ab76eb37-d19d-4403-9786-5445fae3e94a</errorID>
      <errorWord>(</errorWord>
      <group>L1_Format</group>
      <groupName>格式问题</groupName>
      <ability>L2_HalfPunc</ability>
      <abilityName>全半角检查</abilityName>
      <candidateList>
        <item>（</item>
      </candidateList>
      <explain>文本全半角错误。</explain>
      <paraID>158701E8</paraID>
      <start>141</start>
      <end>142</end>
      <status>unmodified</status>
      <modifiedWord/>
      <trackRevisions>false</trackRevisions>
    </reviewItem>
    <reviewItem>
      <errorID>3590af2a-c542-4bd8-bf83-9e6a753aba6d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7760D31B</paraID>
      <start>0</start>
      <end>2</end>
      <status>unmodified</status>
      <modifiedWord/>
      <trackRevisions>false</trackRevisions>
    </reviewItem>
    <reviewItem>
      <errorID>a206ab39-6159-4909-802c-cddf791c80ac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588FAAFE</paraID>
      <start>0</start>
      <end>2</end>
      <status>unmodified</status>
      <modifiedWord/>
      <trackRevisions>false</trackRevisions>
    </reviewItem>
    <reviewItem>
      <errorID>0ba08cb0-233a-4fc7-a452-bc37c35c2289</errorID>
      <errorWord>(</errorWord>
      <group>L1_Format</group>
      <groupName>格式问题</groupName>
      <ability>L2_HalfPunc</ability>
      <abilityName>全半角检查</abilityName>
      <candidateList>
        <item>（</item>
      </candidateList>
      <explain>文本全半角错误。</explain>
      <paraID>588FAAFE</paraID>
      <start>67</start>
      <end>68</end>
      <status>unmodified</status>
      <modifiedWord/>
      <trackRevisions>false</trackRevisions>
    </reviewItem>
    <reviewItem>
      <errorID>a25d5785-a3d5-4a15-bc7a-78a4d3afe3a0</errorID>
      <errorWord>)</errorWord>
      <group>L1_Format</group>
      <groupName>格式问题</groupName>
      <ability>L2_HalfPunc</ability>
      <abilityName>全半角检查</abilityName>
      <candidateList>
        <item>）</item>
      </candidateList>
      <explain>文本全半角错误。</explain>
      <paraID>588FAAFE</paraID>
      <start>74</start>
      <end>75</end>
      <status>unmodified</status>
      <modifiedWord/>
      <trackRevisions>false</trackRevisions>
    </reviewItem>
    <reviewItem>
      <errorID>d7de2d7f-a12a-4da9-88e0-111707c0ea9a</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1FB5C49B</paraID>
      <start>0</start>
      <end>2</end>
      <status>unmodified</status>
      <modifiedWord/>
      <trackRevisions>false</trackRevisions>
    </reviewItem>
    <reviewItem>
      <errorID>900f04ff-800c-4036-b6b8-224436e0cc0e</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6A9B5162</paraID>
      <start>0</start>
      <end>2</end>
      <status>unmodified</status>
      <modifiedWord/>
      <trackRevisions>false</trackRevisions>
    </reviewItem>
    <reviewItem>
      <errorID>3fe39365-3a4b-4ff6-83f1-5d796f968e5a</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598D0F34</paraID>
      <start>0</start>
      <end>3</end>
      <status>unmodified</status>
      <modifiedWord/>
      <trackRevisions>false</trackRevisions>
    </reviewItem>
    <reviewItem>
      <errorID>b8d3c8b9-82e4-4b6e-b99f-1da483bcad33</errorID>
      <errorWord>&lt;</errorWord>
      <group>L1_Format</group>
      <groupName>格式问题</groupName>
      <ability>L2_HalfPunc</ability>
      <abilityName>全半角检查</abilityName>
      <candidateList>
        <item>〈</item>
      </candidateList>
      <explain>文本全半角错误。</explain>
      <paraID>138D1B7B</paraID>
      <start>11</start>
      <end>12</end>
      <status>unmodified</status>
      <modifiedWord/>
      <trackRevisions>false</trackRevisions>
    </reviewItem>
    <reviewItem>
      <errorID>323f8c6f-ce0b-4c3b-bb08-6a66020774b6</errorID>
      <errorWord>(</errorWord>
      <group>L1_Format</group>
      <groupName>格式问题</groupName>
      <ability>L2_HalfPunc</ability>
      <abilityName>全半角检查</abilityName>
      <candidateList>
        <item>（</item>
      </candidateList>
      <explain>文本全半角错误。</explain>
      <paraID>138D1B7B</paraID>
      <start>27</start>
      <end>28</end>
      <status>unmodified</status>
      <modifiedWord/>
      <trackRevisions>false</trackRevisions>
    </reviewItem>
    <reviewItem>
      <errorID>2824ed49-507e-4c97-9a10-ad976d44101d</errorID>
      <errorWord>)</errorWord>
      <group>L1_Format</group>
      <groupName>格式问题</groupName>
      <ability>L2_HalfPunc</ability>
      <abilityName>全半角检查</abilityName>
      <candidateList>
        <item>）</item>
      </candidateList>
      <explain>文本全半角错误。</explain>
      <paraID>138D1B7B</paraID>
      <start>30</start>
      <end>31</end>
      <status>unmodified</status>
      <modifiedWord/>
      <trackRevisions>false</trackRevisions>
    </reviewItem>
    <reviewItem>
      <errorID>06f60c54-494d-42ff-8982-d7f76ace0b06</errorID>
      <errorWord>&gt;</errorWord>
      <group>L1_Format</group>
      <groupName>格式问题</groupName>
      <ability>L2_HalfPunc</ability>
      <abilityName>全半角检查</abilityName>
      <candidateList>
        <item>〉</item>
      </candidateList>
      <explain>文本全半角错误。</explain>
      <paraID>138D1B7B</paraID>
      <start>31</start>
      <end>32</end>
      <status>unmodified</status>
      <modifiedWord/>
      <trackRevisions>false</trackRevisions>
    </reviewItem>
    <reviewItem>
      <errorID>e0b02fd1-b8e9-481d-aa1b-51399da6579a</errorID>
      <errorWord>(</errorWord>
      <group>L1_Format</group>
      <groupName>格式问题</groupName>
      <ability>L2_HalfPunc</ability>
      <abilityName>全半角检查</abilityName>
      <candidateList>
        <item>（</item>
      </candidateList>
      <explain>文本全半角错误。</explain>
      <paraID>138D1B7B</paraID>
      <start>36</start>
      <end>37</end>
      <status>unmodified</status>
      <modifiedWord/>
      <trackRevisions>false</trackRevisions>
    </reviewItem>
    <reviewItem>
      <errorID>f3a72e48-6fd1-4ef9-9870-a36ec7822cff</errorID>
      <errorWord>)</errorWord>
      <group>L1_Format</group>
      <groupName>格式问题</groupName>
      <ability>L2_HalfPunc</ability>
      <abilityName>全半角检查</abilityName>
      <candidateList>
        <item>）</item>
      </candidateList>
      <explain>文本全半角错误。</explain>
      <paraID>138D1B7B</paraID>
      <start>52</start>
      <end>53</end>
      <status>unmodified</status>
      <modifiedWord/>
      <trackRevisions>false</trackRevisions>
    </reviewItem>
    <reviewItem>
      <errorID>49f23822-766d-4ae7-ba10-09afb289c1f1</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138D1B7B</paraID>
      <start>53</start>
      <end>54</end>
      <status>unmodified</status>
      <modifiedWord/>
      <trackRevisions>false</trackRevisions>
    </reviewItem>
    <reviewItem>
      <errorID>a0ece23e-4e36-4b72-83a6-e297c2ef0fef</errorID>
      <errorWord>(</errorWord>
      <group>L1_Format</group>
      <groupName>格式问题</groupName>
      <ability>L2_HalfPunc</ability>
      <abilityName>全半角检查</abilityName>
      <candidateList>
        <item>（</item>
      </candidateList>
      <explain>文本全半角错误。</explain>
      <paraID>138D1B7B</paraID>
      <start>89</start>
      <end>90</end>
      <status>unmodified</status>
      <modifiedWord/>
      <trackRevisions>false</trackRevisions>
    </reviewItem>
    <reviewItem>
      <errorID>a5def7db-f1a8-4cfd-ab26-d4ff890588fd</errorID>
      <errorWord>)</errorWord>
      <group>L1_Format</group>
      <groupName>格式问题</groupName>
      <ability>L2_HalfPunc</ability>
      <abilityName>全半角检查</abilityName>
      <candidateList>
        <item>）</item>
      </candidateList>
      <explain>文本全半角错误。</explain>
      <paraID>138D1B7B</paraID>
      <start>101</start>
      <end>102</end>
      <status>unmodified</status>
      <modifiedWord/>
      <trackRevisions>false</trackRevisions>
    </reviewItem>
    <reviewItem>
      <errorID>1da1eafe-1ff4-4926-ba4f-4979c0b9122c</errorID>
      <errorWord>[2018]53号</errorWord>
      <group>L1_Knowledge</group>
      <groupName>知识性问题</groupName>
      <ability>L2_Knowledge</ability>
      <abilityName>其他知识</abilityName>
      <candidateList>
        <item>〔2018〕53号</item>
      </candidateList>
      <explain>发文字号格式错误。</explain>
      <paraID> 791DCA3</paraID>
      <start>41</start>
      <end>50</end>
      <status>unmodified</status>
      <modifiedWord/>
      <trackRevisions>false</trackRevisions>
    </reviewItem>
    <reviewItem>
      <errorID>2233597d-bda5-461c-bbbd-4583ac3c52d9</errorID>
      <errorWord>(</errorWord>
      <group>L1_Format</group>
      <groupName>格式问题</groupName>
      <ability>L2_HalfPunc</ability>
      <abilityName>全半角检查</abilityName>
      <candidateList>
        <item>（</item>
      </candidateList>
      <explain>文本全半角错误。</explain>
      <paraID>354EBC4A</paraID>
      <start>12</start>
      <end>13</end>
      <status>unmodified</status>
      <modifiedWord/>
      <trackRevisions>false</trackRevisions>
    </reviewItem>
    <reviewItem>
      <errorID>2656e302-e740-4d00-bea3-61efd06fcd9f</errorID>
      <errorWord>[2020]第43号</errorWord>
      <group>L1_Knowledge</group>
      <groupName>知识性问题</groupName>
      <ability>L2_Knowledge</ability>
      <abilityName>其他知识</abilityName>
      <candidateList>
        <item>〔2020〕43号</item>
      </candidateList>
      <explain>发文字号格式错误。</explain>
      <paraID>7F7CBF10</paraID>
      <start>24</start>
      <end>34</end>
      <status>unmodified</status>
      <modifiedWord/>
      <trackRevisions>false</trackRevisions>
    </reviewItem>
    <reviewItem>
      <errorID>5a51afea-4d85-4bbb-b7dd-182971bf03b6</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7F7CBF10</paraID>
      <start>63</start>
      <end>64</end>
      <status>unmodified</status>
      <modifiedWord/>
      <trackRevisions>false</trackRevisions>
    </reviewItem>
    <reviewItem>
      <errorID>83a40b6f-95ea-4d4f-8bd5-ebd3ed962bd0</errorID>
      <errorWord>-</errorWord>
      <group>L1_Format</group>
      <groupName>格式问题</groupName>
      <ability>L2_HalfPunc</ability>
      <abilityName>全半角检查</abilityName>
      <candidateList>
        <item>－</item>
      </candidateList>
      <explain>文本全半角错误。</explain>
      <paraID>463F0C13</paraID>
      <start>35</start>
      <end>36</end>
      <status>unmodified</status>
      <modifiedWord/>
      <trackRevisions>false</trackRevisions>
    </reviewItem>
    <reviewItem>
      <errorID>1eb0f8ee-525b-4eba-8b79-63762faf23c2</errorID>
      <errorWord>使用</errorWord>
      <group>L1_Grammar</group>
      <groupName>语法问题</groupName>
      <ability>L2_Grammar</ability>
      <abilityName>语法错误</abilityName>
      <candidateList>
        <item>采取</item>
      </candidateList>
      <explain>“使用～措施”搭配不当，建议修改为“采取～措施”。</explain>
      <paraID>27B9FB8F</paraID>
      <start>13</start>
      <end>15</end>
      <status>unmodified</status>
      <modifiedWord/>
      <trackRevisions>false</trackRevisions>
    </reviewItem>
    <reviewItem>
      <errorID>c418647e-7d67-4c72-96b4-53c403d1c8ff</errorID>
      <errorWord>使用</errorWord>
      <group>L1_Grammar</group>
      <groupName>语法问题</groupName>
      <ability>L2_Grammar</ability>
      <abilityName>语法错误</abilityName>
      <candidateList>
        <item>采取</item>
      </candidateList>
      <explain>“使用～措施”搭配不当，建议修改为“采取～措施”。</explain>
      <paraID>24F46D33</paraID>
      <start>7</start>
      <end>9</end>
      <status>unmodified</status>
      <modifiedWord/>
      <trackRevisions>false</trackRevisions>
    </reviewItem>
    <reviewItem>
      <errorID>dc1d2352-4b5a-4e1b-bd10-38d34ac11064</errorID>
      <errorWord>网电</errorWord>
      <group>L1_Word</group>
      <groupName>字词问题</groupName>
      <ability>L2_Typo</ability>
      <abilityName>字词错误</abilityName>
      <candidateList>
        <item>电网</item>
      </candidateList>
      <explain/>
      <paraID> C92725A</paraID>
      <start>13</start>
      <end>15</end>
      <status>unmodified</status>
      <modifiedWord/>
      <trackRevisions>false</trackRevisions>
    </reviewItem>
    <reviewItem>
      <errorID>e6f6e909-1a06-4503-abe9-aad124e4fd71</errorID>
      <errorWord>-</errorWord>
      <group>L1_Format</group>
      <groupName>格式问题</groupName>
      <ability>L2_HalfPunc</ability>
      <abilityName>全半角检查</abilityName>
      <candidateList>
        <item>－</item>
      </candidateList>
      <explain>文本全半角错误。</explain>
      <paraID>5DC2B657</paraID>
      <start>33</start>
      <end>34</end>
      <status>unmodified</status>
      <modifiedWord/>
      <trackRevisions>false</trackRevisions>
    </reviewItem>
    <reviewItem>
      <errorID>cd4e7892-e39d-41f2-913d-280ac01906df</errorID>
      <errorWord>-</errorWord>
      <group>L1_Format</group>
      <groupName>格式问题</groupName>
      <ability>L2_HalfPunc</ability>
      <abilityName>全半角检查</abilityName>
      <candidateList>
        <item>－</item>
      </candidateList>
      <explain>文本全半角错误。</explain>
      <paraID>5DC2B657</paraID>
      <start>36</start>
      <end>37</end>
      <status>unmodified</status>
      <modifiedWord/>
      <trackRevisions>false</trackRevisions>
    </reviewItem>
    <reviewItem>
      <errorID>996956f6-ec8d-4d63-8c75-cee5bcc78321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5996C5ED</paraID>
      <start>0</start>
      <end>2</end>
      <status>unmodified</status>
      <modifiedWord/>
      <trackRevisions>false</trackRevisions>
    </reviewItem>
    <reviewItem>
      <errorID>61b22483-de2e-4cb5-958a-b89170f60820</errorID>
      <errorWord>期问</errorWord>
      <group>L1_Word</group>
      <groupName>字词问题</groupName>
      <ability>L2_Typo</ability>
      <abilityName>字词错误</abilityName>
      <candidateList>
        <item>期间</item>
      </candidateList>
      <explain>〈名〉某个时期里面：农忙～｜春节～｜抗战～。</explain>
      <paraID>5996C5ED</paraID>
      <start>43</start>
      <end>45</end>
      <status>unmodified</status>
      <modifiedWord/>
      <trackRevisions>false</trackRevisions>
    </reviewItem>
    <reviewItem>
      <errorID>202edf46-59a7-4dd5-a06d-014804ce916f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53A721C3</paraID>
      <start>0</start>
      <end>2</end>
      <status>unmodified</status>
      <modifiedWord/>
      <trackRevisions>false</trackRevisions>
    </reviewItem>
    <reviewItem>
      <errorID>6d5d2bb5-8a78-420d-8dfb-e58b6ca24837</errorID>
      <errorWord>(</errorWord>
      <group>L1_Format</group>
      <groupName>格式问题</groupName>
      <ability>L2_HalfPunc</ability>
      <abilityName>全半角检查</abilityName>
      <candidateList>
        <item>（</item>
      </candidateList>
      <explain>文本全半角错误。</explain>
      <paraID>53A721C3</paraID>
      <start>160</start>
      <end>161</end>
      <status>unmodified</status>
      <modifiedWord/>
      <trackRevisions>false</trackRevisions>
    </reviewItem>
    <reviewItem>
      <errorID>e4f3d595-b3c6-4c28-9fc1-228d868b3fbf</errorID>
      <errorWord>)</errorWord>
      <group>L1_Format</group>
      <groupName>格式问题</groupName>
      <ability>L2_HalfPunc</ability>
      <abilityName>全半角检查</abilityName>
      <candidateList>
        <item>）</item>
      </candidateList>
      <explain>文本全半角错误。</explain>
      <paraID>53A721C3</paraID>
      <start>175</start>
      <end>176</end>
      <status>unmodified</status>
      <modifiedWord/>
      <trackRevisions>false</trackRevisions>
    </reviewItem>
    <reviewItem>
      <errorID>b1f98c9e-3a62-404a-b743-2b0ac5603718</errorID>
      <errorWord>(</errorWord>
      <group>L1_Format</group>
      <groupName>格式问题</groupName>
      <ability>L2_HalfPunc</ability>
      <abilityName>全半角检查</abilityName>
      <candidateList>
        <item>（</item>
      </candidateList>
      <explain>文本全半角错误。</explain>
      <paraID>53A721C3</paraID>
      <start>205</start>
      <end>206</end>
      <status>unmodified</status>
      <modifiedWord/>
      <trackRevisions>false</trackRevisions>
    </reviewItem>
    <reviewItem>
      <errorID>a0fb802a-bbb7-48a4-b251-8c1c021c8f2e</errorID>
      <errorWord>)</errorWord>
      <group>L1_Format</group>
      <groupName>格式问题</groupName>
      <ability>L2_HalfPunc</ability>
      <abilityName>全半角检查</abilityName>
      <candidateList>
        <item>）</item>
      </candidateList>
      <explain>文本全半角错误。</explain>
      <paraID>53A721C3</paraID>
      <start>220</start>
      <end>221</end>
      <status>unmodified</status>
      <modifiedWord/>
      <trackRevisions>false</trackRevisions>
    </reviewItem>
    <reviewItem>
      <errorID>c7b8e9a1-74d9-47f8-a9bc-72364b4ef5ca</errorID>
      <errorWord>(</errorWord>
      <group>L1_Format</group>
      <groupName>格式问题</groupName>
      <ability>L2_HalfPunc</ability>
      <abilityName>全半角检查</abilityName>
      <candidateList>
        <item>（</item>
      </candidateList>
      <explain>文本全半角错误。</explain>
      <paraID>53A721C3</paraID>
      <start>252</start>
      <end>253</end>
      <status>unmodified</status>
      <modifiedWord/>
      <trackRevisions>false</trackRevisions>
    </reviewItem>
    <reviewItem>
      <errorID>acc972dd-d4ec-4fdf-8f9b-33a46a0d5623</errorID>
      <errorWord>)</errorWord>
      <group>L1_Format</group>
      <groupName>格式问题</groupName>
      <ability>L2_HalfPunc</ability>
      <abilityName>全半角检查</abilityName>
      <candidateList>
        <item>）</item>
      </candidateList>
      <explain>文本全半角错误。</explain>
      <paraID>53A721C3</paraID>
      <start>265</start>
      <end>266</end>
      <status>unmodified</status>
      <modifiedWord/>
      <trackRevisions>false</trackRevisions>
    </reviewItem>
    <reviewItem>
      <errorID>15c30a62-da6a-4878-8078-b90ead3ed05c</errorID>
      <errorWord>(</errorWord>
      <group>L1_Format</group>
      <groupName>格式问题</groupName>
      <ability>L2_HalfPunc</ability>
      <abilityName>全半角检查</abilityName>
      <candidateList>
        <item>（</item>
      </candidateList>
      <explain>文本全半角错误。</explain>
      <paraID>53A721C3</paraID>
      <start>292</start>
      <end>293</end>
      <status>unmodified</status>
      <modifiedWord/>
      <trackRevisions>false</trackRevisions>
    </reviewItem>
    <reviewItem>
      <errorID>59e138b1-d946-4df0-80e6-c5b4f7dbea2c</errorID>
      <errorWord>)</errorWord>
      <group>L1_Format</group>
      <groupName>格式问题</groupName>
      <ability>L2_HalfPunc</ability>
      <abilityName>全半角检查</abilityName>
      <candidateList>
        <item>）</item>
      </candidateList>
      <explain>文本全半角错误。</explain>
      <paraID>53A721C3</paraID>
      <start>309</start>
      <end>310</end>
      <status>unmodified</status>
      <modifiedWord/>
      <trackRevisions>false</trackRevisions>
    </reviewItem>
    <reviewItem>
      <errorID>3dbbc144-7c13-4c24-b092-0720eb97a516</errorID>
      <errorWord>(</errorWord>
      <group>L1_Format</group>
      <groupName>格式问题</groupName>
      <ability>L2_HalfPunc</ability>
      <abilityName>全半角检查</abilityName>
      <candidateList>
        <item>（</item>
      </candidateList>
      <explain>文本全半角错误。</explain>
      <paraID>53A721C3</paraID>
      <start>331</start>
      <end>332</end>
      <status>unmodified</status>
      <modifiedWord/>
      <trackRevisions>false</trackRevisions>
    </reviewItem>
    <reviewItem>
      <errorID>7069eb53-b9f8-4724-9e5a-2d261b998f1f</errorID>
      <errorWord>)</errorWord>
      <group>L1_Format</group>
      <groupName>格式问题</groupName>
      <ability>L2_HalfPunc</ability>
      <abilityName>全半角检查</abilityName>
      <candidateList>
        <item>）</item>
      </candidateList>
      <explain>文本全半角错误。</explain>
      <paraID>53A721C3</paraID>
      <start>344</start>
      <end>345</end>
      <status>unmodified</status>
      <modifiedWord/>
      <trackRevisions>false</trackRevisions>
    </reviewItem>
    <reviewItem>
      <errorID>828bca41-c7a3-40ec-9a15-3e83bc8a2b66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4DC71B38</paraID>
      <start>0</start>
      <end>2</end>
      <status>unmodified</status>
      <modifiedWord/>
      <trackRevisions>false</trackRevisions>
    </reviewItem>
    <reviewItem>
      <errorID>ab881b2c-16a2-4449-8e1b-eb6e79b117d8</errorID>
      <errorWord>防止</errorWord>
      <group>L1_Word</group>
      <groupName>字词问题</groupName>
      <ability>L2_Typo</ability>
      <abilityName>字词错误</abilityName>
      <candidateList>
        <item>防治</item>
      </candidateList>
      <explain>〈动〉预防和治疗、治理（疾病、灾害等）：～结核病｜～病虫害｜～风沙。</explain>
      <paraID>4DC71B38</paraID>
      <start>9</start>
      <end>11</end>
      <status>unmodified</status>
      <modifiedWord/>
      <trackRevisions>false</trackRevisions>
    </reviewItem>
    <reviewItem>
      <errorID>7af811be-0172-4f4c-a999-27629f6b0e7b</errorID>
      <errorWord>期</errorWord>
      <group>L1_Word</group>
      <groupName>字词问题</groupName>
      <ability>L2_Typo</ability>
      <abilityName>字词错误</abilityName>
      <candidateList>
        <item>期间</item>
      </candidateList>
      <explain>〈名〉某个时期里面：农忙～｜春节～｜抗战～。</explain>
      <paraID>4DC71B38</paraID>
      <start>32</start>
      <end>33</end>
      <status>unmodified</status>
      <modifiedWord/>
      <trackRevisions>false</trackRevisions>
    </reviewItem>
    <reviewItem>
      <errorID>624c9df3-aad7-4ee5-8fa0-236638178d66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6A6C03F7</paraID>
      <start>0</start>
      <end>2</end>
      <status>unmodified</status>
      <modifiedWord/>
      <trackRevisions>false</trackRevisions>
    </reviewItem>
    <reviewItem>
      <errorID>24e3742a-d64b-4caa-bf41-3d8f4e5c7b8c</errorID>
      <errorWord>(</errorWord>
      <group>L1_Format</group>
      <groupName>格式问题</groupName>
      <ability>L2_HalfPunc</ability>
      <abilityName>全半角检查</abilityName>
      <candidateList>
        <item>（</item>
      </candidateList>
      <explain>文本全半角错误。</explain>
      <paraID>71F180C1</paraID>
      <start>219</start>
      <end>220</end>
      <status>unmodified</status>
      <modifiedWord/>
      <trackRevisions>false</trackRevisions>
    </reviewItem>
    <reviewItem>
      <errorID>e8b63384-f518-4133-96b7-62a98ed5f7bf</errorID>
      <errorWord>)</errorWord>
      <group>L1_Format</group>
      <groupName>格式问题</groupName>
      <ability>L2_HalfPunc</ability>
      <abilityName>全半角检查</abilityName>
      <candidateList>
        <item>）</item>
      </candidateList>
      <explain>文本全半角错误。</explain>
      <paraID>71F180C1</paraID>
      <start>233</start>
      <end>234</end>
      <status>unmodified</status>
      <modifiedWord/>
      <trackRevisions>false</trackRevisions>
    </reviewItem>
    <reviewItem>
      <errorID>1e1899d6-5c89-47f6-a115-488eaaa66697</errorID>
      <errorWord>(</errorWord>
      <group>L1_Format</group>
      <groupName>格式问题</groupName>
      <ability>L2_HalfPunc</ability>
      <abilityName>全半角检查</abilityName>
      <candidateList>
        <item>（</item>
      </candidateList>
      <explain>文本全半角错误。</explain>
      <paraID>3A096BB1</paraID>
      <start>61</start>
      <end>62</end>
      <status>unmodified</status>
      <modifiedWord/>
      <trackRevisions>false</trackRevisions>
    </reviewItem>
    <reviewItem>
      <errorID>33e7983c-ee25-4cba-b71e-bc5072e3c779</errorID>
      <errorWord>)</errorWord>
      <group>L1_Format</group>
      <groupName>格式问题</groupName>
      <ability>L2_HalfPunc</ability>
      <abilityName>全半角检查</abilityName>
      <candidateList>
        <item>）</item>
      </candidateList>
      <explain>文本全半角错误。</explain>
      <paraID>3A096BB1</paraID>
      <start>74</start>
      <end>75</end>
      <status>unmodified</status>
      <modifiedWord/>
      <trackRevisions>false</trackRevisions>
    </reviewItem>
    <reviewItem>
      <errorID>bff019d2-56df-48af-aebe-6735293f2f7f</errorID>
      <errorWord>(</errorWord>
      <group>L1_Format</group>
      <groupName>格式问题</groupName>
      <ability>L2_HalfPunc</ability>
      <abilityName>全半角检查</abilityName>
      <candidateList>
        <item>（</item>
      </candidateList>
      <explain>文本全半角错误。</explain>
      <paraID>3A096BB1</paraID>
      <start>132</start>
      <end>133</end>
      <status>unmodified</status>
      <modifiedWord/>
      <trackRevisions>false</trackRevisions>
    </reviewItem>
    <reviewItem>
      <errorID>bb68cb56-9159-4282-9cfb-32982387b1fe</errorID>
      <errorWord>程</errorWord>
      <group>L1_Word</group>
      <groupName>字词问题</groupName>
      <ability>L2_Typo</ability>
      <abilityName>字词错误</abilityName>
      <candidateList>
        <item>程中</item>
      </candidateList>
      <explain/>
      <paraID>16752E22</paraID>
      <start>12</start>
      <end>13</end>
      <status>unmodified</status>
      <modifiedWord/>
      <trackRevisions>false</trackRevisions>
    </reviewItem>
    <reviewItem>
      <errorID>74857c24-fa9b-4f43-a57c-405faa5f19c3</errorID>
      <errorWord>(</errorWord>
      <group>L1_Format</group>
      <groupName>格式问题</groupName>
      <ability>L2_HalfPunc</ability>
      <abilityName>全半角检查</abilityName>
      <candidateList>
        <item>（</item>
      </candidateList>
      <explain>文本全半角错误。</explain>
      <paraID>16752E22</paraID>
      <start>141</start>
      <end>142</end>
      <status>unmodified</status>
      <modifiedWord/>
      <trackRevisions>false</trackRevisions>
    </reviewItem>
    <reviewItem>
      <errorID>15ad369d-964c-41e3-8d11-d86a16ab457c</errorID>
      <errorWord>(</errorWord>
      <group>L1_Format</group>
      <groupName>格式问题</groupName>
      <ability>L2_HalfPunc</ability>
      <abilityName>全半角检查</abilityName>
      <candidateList>
        <item>（</item>
      </candidateList>
      <explain>文本全半角错误。</explain>
      <paraID>18555E54</paraID>
      <start>413</start>
      <end>414</end>
      <status>unmodified</status>
      <modifiedWord/>
      <trackRevisions>false</trackRevisions>
    </reviewItem>
    <reviewItem>
      <errorID>27c84dc9-2183-496f-838b-5ef837f02e54</errorID>
      <errorWord>)</errorWord>
      <group>L1_Format</group>
      <groupName>格式问题</groupName>
      <ability>L2_HalfPunc</ability>
      <abilityName>全半角检查</abilityName>
      <candidateList>
        <item>）</item>
      </candidateList>
      <explain>文本全半角错误。</explain>
      <paraID>18555E54</paraID>
      <start>426</start>
      <end>427</end>
      <status>unmodified</status>
      <modifiedWord/>
      <trackRevisions>false</trackRevisions>
    </reviewItem>
    <reviewItem>
      <errorID>e84c3528-a1b7-44b0-8a10-fa2cee8e4c41</errorID>
      <errorWord>(</errorWord>
      <group>L1_Format</group>
      <groupName>格式问题</groupName>
      <ability>L2_HalfPunc</ability>
      <abilityName>全半角检查</abilityName>
      <candidateList>
        <item>（</item>
      </candidateList>
      <explain>文本全半角错误。</explain>
      <paraID>18555E54</paraID>
      <start>453</start>
      <end>454</end>
      <status>unmodified</status>
      <modifiedWord/>
      <trackRevisions>false</trackRevisions>
    </reviewItem>
    <reviewItem>
      <errorID>47848a94-45b4-4319-8208-ae27f5ab9d92</errorID>
      <errorWord>)</errorWord>
      <group>L1_Format</group>
      <groupName>格式问题</groupName>
      <ability>L2_HalfPunc</ability>
      <abilityName>全半角检查</abilityName>
      <candidateList>
        <item>）</item>
      </candidateList>
      <explain>文本全半角错误。</explain>
      <paraID>18555E54</paraID>
      <start>466</start>
      <end>467</end>
      <status>unmodified</status>
      <modifiedWord/>
      <trackRevisions>false</trackRevisions>
    </reviewItem>
    <reviewItem>
      <errorID>f66d4501-ca41-4a26-bd82-7ed0793d663b</errorID>
      <errorWord>固相</errorWord>
      <group>L1_Word</group>
      <groupName>字词问题</groupName>
      <ability>L2_Typo</ability>
      <abilityName>字词错误</abilityName>
      <candidateList>
        <item>土地</item>
      </candidateList>
      <explain/>
      <paraID>1E108593</paraID>
      <start>113</start>
      <end>115</end>
      <status>unmodified</status>
      <modifiedWord/>
      <trackRevisions>false</trackRevisions>
    </reviewItem>
    <reviewItem>
      <errorID>c0096836-be47-446c-9b14-da2356ea4200</errorID>
      <errorWord>-</errorWord>
      <group>L1_Format</group>
      <groupName>格式问题</groupName>
      <ability>L2_HalfPunc</ability>
      <abilityName>全半角检查</abilityName>
      <candidateList>
        <item>－</item>
      </candidateList>
      <explain>文本全半角错误。</explain>
      <paraID>1DA2E517</paraID>
      <start>34</start>
      <end>35</end>
      <status>unmodified</status>
      <modifiedWord/>
      <trackRevisions>false</trackRevisions>
    </reviewItem>
    <reviewItem>
      <errorID>52510832-866a-4f3f-aea3-45b5dfb280ee</errorID>
      <errorWord>-</errorWord>
      <group>L1_Format</group>
      <groupName>格式问题</groupName>
      <ability>L2_HalfPunc</ability>
      <abilityName>全半角检查</abilityName>
      <candidateList>
        <item>－</item>
      </candidateList>
      <explain>文本全半角错误。</explain>
      <paraID>1DA2E517</paraID>
      <start>37</start>
      <end>38</end>
      <status>unmodified</status>
      <modifiedWord/>
      <trackRevisions>false</trackRevisions>
    </reviewItem>
    <reviewItem>
      <errorID>cbc196de-09ab-4d3d-a0fc-a37ef3abd433</errorID>
      <errorWord>精攻</errorWord>
      <group>L1_Word</group>
      <groupName>字词问题</groupName>
      <ability>L2_Typo</ability>
      <abilityName>字词错误</abilityName>
      <candidateList>
        <item>精工</item>
      </candidateList>
      <explain>存在发音相同字词的误用。</explain>
      <paraID>5E81F120</paraID>
      <start>36</start>
      <end>38</end>
      <status>unmodified</status>
      <modifiedWord/>
      <trackRevisions>false</trackRevisions>
    </reviewItem>
    <reviewItem>
      <errorID>c64a56ed-f077-49a3-871c-f7840da9f3d6</errorID>
      <errorWord>法律、法规</errorWord>
      <group>L1_Word</group>
      <groupName>字词问题</groupName>
      <ability>L2_Typo</ability>
      <abilityName>字词错误</abilityName>
      <candidateList>
        <item>法律法规</item>
      </candidateList>
      <explain/>
      <paraID>596BBD10</paraID>
      <start>16</start>
      <end>21</end>
      <status>unmodified</status>
      <modifiedWord/>
      <trackRevisions>false</trackRevisions>
    </reviewItem>
    <reviewItem>
      <errorID>d3425e09-b0f9-42ca-8c11-cdcb7c0a6067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ED775D</paraID>
      <start>0</start>
      <end>2</end>
      <status>unmodified</status>
      <modifiedWord/>
      <trackRevisions>false</trackRevisions>
    </reviewItem>
    <reviewItem>
      <errorID>6b708dbc-9f4e-4a6e-8c16-e7155b627f63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3108E3E2</paraID>
      <start>0</start>
      <end>2</end>
      <status>unmodified</status>
      <modifiedWord/>
      <trackRevisions>false</trackRevisions>
    </reviewItem>
    <reviewItem>
      <errorID>6ea7501c-1081-42fc-9525-2bf4d509e77d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74BA63B</paraID>
      <start>0</start>
      <end>2</end>
      <status>unmodified</status>
      <modifiedWord/>
      <trackRevisions>false</trackRevisions>
    </reviewItem>
    <reviewItem>
      <errorID>47c907ea-5c3c-46e4-9b46-6a74ac87e238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7C34DF5A</paraID>
      <start>0</start>
      <end>2</end>
      <status>unmodified</status>
      <modifiedWord/>
      <trackRevisions>false</trackRevisions>
    </reviewItem>
    <reviewItem>
      <errorID>a427cc2d-00f8-4735-9b00-384285d42068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5903C3D1</paraID>
      <start>16</start>
      <end>17</end>
      <status>unmodified</status>
      <modifiedWord/>
      <trackRevisions>false</trackRevisions>
    </reviewItem>
    <reviewItem>
      <errorID>e47bb370-e4a8-4843-aa94-877de4aaec95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5903C3D1</paraID>
      <start>33</start>
      <end>34</end>
      <status>unmodified</status>
      <modifiedWord/>
      <trackRevisions>false</trackRevisions>
    </reviewItem>
    <reviewItem>
      <errorID>2c141391-f4b7-4eda-b247-1383845f034c</errorID>
      <errorWord>(</errorWord>
      <group>L1_Format</group>
      <groupName>格式问题</groupName>
      <ability>L2_HalfPunc</ability>
      <abilityName>全半角检查</abilityName>
      <candidateList>
        <item>（</item>
      </candidateList>
      <explain>文本全半角错误。</explain>
      <paraID>7E4EDEDA</paraID>
      <start>22</start>
      <end>23</end>
      <status>unmodified</status>
      <modifiedWord/>
      <trackRevisions>false</trackRevisions>
    </reviewItem>
    <reviewItem>
      <errorID>65f59b66-84c6-44a2-a36d-8410e35e33da</errorID>
      <errorWord>)</errorWord>
      <group>L1_Format</group>
      <groupName>格式问题</groupName>
      <ability>L2_HalfPunc</ability>
      <abilityName>全半角检查</abilityName>
      <candidateList>
        <item>）</item>
      </candidateList>
      <explain>文本全半角错误。</explain>
      <paraID>7E4EDEDA</paraID>
      <start>24</start>
      <end>25</end>
      <status>unmodified</status>
      <modifiedWord/>
      <trackRevisions>false</trackRevisions>
    </reviewItem>
    <reviewItem>
      <errorID>ed4eed07-b697-4c34-8ad7-21abe0f315be</errorID>
      <errorWord>(</errorWord>
      <group>L1_Format</group>
      <groupName>格式问题</groupName>
      <ability>L2_HalfPunc</ability>
      <abilityName>全半角检查</abilityName>
      <candidateList>
        <item>（</item>
      </candidateList>
      <explain>文本全半角错误。</explain>
      <paraID>7E4EDEDA</paraID>
      <start>35</start>
      <end>36</end>
      <status>unmodified</status>
      <modifiedWord/>
      <trackRevisions>false</trackRevisions>
    </reviewItem>
    <reviewItem>
      <errorID>6b3b16bb-26ac-4df6-8a2c-823ccbc8f470</errorID>
      <errorWord>)</errorWord>
      <group>L1_Format</group>
      <groupName>格式问题</groupName>
      <ability>L2_HalfPunc</ability>
      <abilityName>全半角检查</abilityName>
      <candidateList>
        <item>）</item>
      </candidateList>
      <explain>文本全半角错误。</explain>
      <paraID>7E4EDEDA</paraID>
      <start>37</start>
      <end>38</end>
      <status>unmodified</status>
      <modifiedWord/>
      <trackRevisions>false</trackRevisions>
    </reviewItem>
    <reviewItem>
      <errorID>03898a84-675e-4e8d-a832-5a2d808b0201</errorID>
      <errorWord>(</errorWord>
      <group>L1_Format</group>
      <groupName>格式问题</groupName>
      <ability>L2_HalfPunc</ability>
      <abilityName>全半角检查</abilityName>
      <candidateList>
        <item>（</item>
      </candidateList>
      <explain>文本全半角错误。</explain>
      <paraID> C946A52</paraID>
      <start>26</start>
      <end>27</end>
      <status>unmodified</status>
      <modifiedWord/>
      <trackRevisions>false</trackRevisions>
    </reviewItem>
    <reviewItem>
      <errorID>1578fc4f-b273-4110-ba8a-5c01fd1628f2</errorID>
      <errorWord>)</errorWord>
      <group>L1_Format</group>
      <groupName>格式问题</groupName>
      <ability>L2_HalfPunc</ability>
      <abilityName>全半角检查</abilityName>
      <candidateList>
        <item>）</item>
      </candidateList>
      <explain>文本全半角错误。</explain>
      <paraID> C946A52</paraID>
      <start>43</start>
      <end>44</end>
      <status>unmodified</status>
      <modifiedWord/>
      <trackRevisions>false</trackRevisions>
    </reviewItem>
    <reviewItem>
      <errorID>79afb87d-7966-40e6-ad54-db4828f059b0</errorID>
      <errorWord>(</errorWord>
      <group>L1_Format</group>
      <groupName>格式问题</groupName>
      <ability>L2_HalfPunc</ability>
      <abilityName>全半角检查</abilityName>
      <candidateList>
        <item>（</item>
      </candidateList>
      <explain>文本全半角错误。</explain>
      <paraID>583C87FD</paraID>
      <start>26</start>
      <end>27</end>
      <status>unmodified</status>
      <modifiedWord/>
      <trackRevisions>false</trackRevisions>
    </reviewItem>
    <reviewItem>
      <errorID>b1f27179-3b58-4892-afa0-e4e13f73637e</errorID>
      <errorWord>)</errorWord>
      <group>L1_Format</group>
      <groupName>格式问题</groupName>
      <ability>L2_HalfPunc</ability>
      <abilityName>全半角检查</abilityName>
      <candidateList>
        <item>）</item>
      </candidateList>
      <explain>文本全半角错误。</explain>
      <paraID>583C87FD</paraID>
      <start>35</start>
      <end>36</end>
      <status>unmodified</status>
      <modifiedWord/>
      <trackRevisions>false</trackRevisions>
    </reviewItem>
    <reviewItem>
      <errorID>6e115e26-e662-47e8-ba11-a8f62da0ddc2</errorID>
      <errorWord>(</errorWord>
      <group>L1_Format</group>
      <groupName>格式问题</groupName>
      <ability>L2_HalfPunc</ability>
      <abilityName>全半角检查</abilityName>
      <candidateList>
        <item>（</item>
      </candidateList>
      <explain>文本全半角错误。</explain>
      <paraID>7D68D6F0</paraID>
      <start>18</start>
      <end>19</end>
      <status>unmodified</status>
      <modifiedWord/>
      <trackRevisions>false</trackRevisions>
    </reviewItem>
    <reviewItem>
      <errorID>19c9b3e4-4f06-4380-8077-2c541a007030</errorID>
      <errorWord>)</errorWord>
      <group>L1_Format</group>
      <groupName>格式问题</groupName>
      <ability>L2_HalfPunc</ability>
      <abilityName>全半角检查</abilityName>
      <candidateList>
        <item>）</item>
      </candidateList>
      <explain>文本全半角错误。</explain>
      <paraID>7D68D6F0</paraID>
      <start>21</start>
      <end>22</end>
      <status>unmodified</status>
      <modifiedWord/>
      <trackRevisions>false</trackRevisions>
    </reviewItem>
    <reviewItem>
      <errorID>24adf708-39f3-469c-8fa2-1975ce3cd1a8</errorID>
      <errorWord>(</errorWord>
      <group>L1_Format</group>
      <groupName>格式问题</groupName>
      <ability>L2_HalfPunc</ability>
      <abilityName>全半角检查</abilityName>
      <candidateList>
        <item>（</item>
      </candidateList>
      <explain>文本全半角错误。</explain>
      <paraID>1FE5E431</paraID>
      <start>24</start>
      <end>25</end>
      <status>unmodified</status>
      <modifiedWord/>
      <trackRevisions>false</trackRevisions>
    </reviewItem>
    <reviewItem>
      <errorID>e3c2b2dc-7cd0-422c-a103-05b3d36db8fe</errorID>
      <errorWord>)</errorWord>
      <group>L1_Format</group>
      <groupName>格式问题</groupName>
      <ability>L2_HalfPunc</ability>
      <abilityName>全半角检查</abilityName>
      <candidateList>
        <item>）</item>
      </candidateList>
      <explain>文本全半角错误。</explain>
      <paraID>1FE5E431</paraID>
      <start>52</start>
      <end>53</end>
      <status>unmodified</status>
      <modifiedWord/>
      <trackRevisions>false</trackRevisions>
    </reviewItem>
    <reviewItem>
      <errorID>abd35936-44a4-4d7d-a8a2-679a83f726f4</errorID>
      <errorWord>(</errorWord>
      <group>L1_Format</group>
      <groupName>格式问题</groupName>
      <ability>L2_HalfPunc</ability>
      <abilityName>全半角检查</abilityName>
      <candidateList>
        <item>（</item>
      </candidateList>
      <explain>文本全半角错误。</explain>
      <paraID> C5A9675</paraID>
      <start>17</start>
      <end>18</end>
      <status>unmodified</status>
      <modifiedWord/>
      <trackRevisions>false</trackRevisions>
    </reviewItem>
    <reviewItem>
      <errorID>8fefe3d9-6db9-4cdb-aab6-5c2f6ccb6e76</errorID>
      <errorWord>)</errorWord>
      <group>L1_Format</group>
      <groupName>格式问题</groupName>
      <ability>L2_HalfPunc</ability>
      <abilityName>全半角检查</abilityName>
      <candidateList>
        <item>）</item>
      </candidateList>
      <explain>文本全半角错误。</explain>
      <paraID> C5A9675</paraID>
      <start>20</start>
      <end>21</end>
      <status>unmodified</status>
      <modifiedWord/>
      <trackRevisions>false</trackRevisions>
    </reviewItem>
    <reviewItem>
      <errorID>3e05db55-7cb3-476b-a247-26e3be7dca42</errorID>
      <errorWord>(</errorWord>
      <group>L1_Format</group>
      <groupName>格式问题</groupName>
      <ability>L2_HalfPunc</ability>
      <abilityName>全半角检查</abilityName>
      <candidateList>
        <item>（</item>
      </candidateList>
      <explain>文本全半角错误。</explain>
      <paraID>17ECAE12</paraID>
      <start>25</start>
      <end>26</end>
      <status>unmodified</status>
      <modifiedWord/>
      <trackRevisions>false</trackRevisions>
    </reviewItem>
    <reviewItem>
      <errorID>f180ea2d-c255-441c-bdda-8b9441ee5c7f</errorID>
      <errorWord>)</errorWord>
      <group>L1_Format</group>
      <groupName>格式问题</groupName>
      <ability>L2_HalfPunc</ability>
      <abilityName>全半角检查</abilityName>
      <candidateList>
        <item>）</item>
      </candidateList>
      <explain>文本全半角错误。</explain>
      <paraID>17ECAE12</paraID>
      <start>42</start>
      <end>43</end>
      <status>unmodified</status>
      <modifiedWord/>
      <trackRevisions>false</trackRevisions>
    </reviewItem>
    <reviewItem>
      <errorID>fc02da0d-900f-46fa-99b3-e603317c9e06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1C1E36CA</paraID>
      <start>0</start>
      <end>2</end>
      <status>unmodified</status>
      <modifiedWord/>
      <trackRevisions>false</trackRevisions>
    </reviewItem>
    <reviewItem>
      <errorID>98e1d0d3-e55e-4ba9-acbc-119019f952a7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E39BC1B</paraID>
      <start>0</start>
      <end>2</end>
      <status>unmodified</status>
      <modifiedWord/>
      <trackRevisions>false</trackRevisions>
    </reviewItem>
    <reviewItem>
      <errorID>5acba215-432b-4ac5-957c-c1cd3df7e42f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F3DFE2B</paraID>
      <start>0</start>
      <end>2</end>
      <status>unmodified</status>
      <modifiedWord/>
      <trackRevisions>false</trackRevisions>
    </reviewItem>
    <reviewItem>
      <errorID>bfc07163-f12b-4d61-8f1d-6afefd8ae4af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6ECC7861</paraID>
      <start>0</start>
      <end>2</end>
      <status>unmodified</status>
      <modifiedWord/>
      <trackRevisions>false</trackRevisions>
    </reviewItem>
    <reviewItem>
      <errorID>17477e7e-4523-47cd-a992-448430fc98a5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10756865</paraID>
      <start>0</start>
      <end>2</end>
      <status>unmodified</status>
      <modifiedWord/>
      <trackRevisions>false</trackRevisions>
    </reviewItem>
    <reviewItem>
      <errorID>68ab8d21-588c-4694-9f6d-f88c9d772ea0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2922B2B9</paraID>
      <start>0</start>
      <end>2</end>
      <status>unmodified</status>
      <modifiedWord/>
      <trackRevisions>false</trackRevisions>
    </reviewItem>
    <reviewItem>
      <errorID>7fed1ddb-188e-48da-b93a-a68bf2785d99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589B8426</paraID>
      <start>0</start>
      <end>2</end>
      <status>unmodified</status>
      <modifiedWord/>
      <trackRevisions>false</trackRevisions>
    </reviewItem>
    <reviewItem>
      <errorID>591d1d8e-da26-4455-9214-e3ff42ed8423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14735B63</paraID>
      <start>0</start>
      <end>2</end>
      <status>unmodified</status>
      <modifiedWord/>
      <trackRevisions>false</trackRevisions>
    </reviewItem>
    <reviewItem>
      <errorID>eca1b98a-27dc-415d-b421-9339bf7fc064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32138FA2</paraID>
      <start>0</start>
      <end>2</end>
      <status>unmodified</status>
      <modifiedWord/>
      <trackRevisions>false</trackRevisions>
    </reviewItem>
    <reviewItem>
      <errorID>909ae132-bbc5-4abe-90bf-e2ec34e1bb22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40C48D12</paraID>
      <start>0</start>
      <end>2</end>
      <status>unmodified</status>
      <modifiedWord/>
      <trackRevisions>false</trackRevisions>
    </reviewItem>
    <reviewItem>
      <errorID>ec918d23-7653-4d5f-882f-6b48b672665a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62DE0F61</paraID>
      <start>0</start>
      <end>2</end>
      <status>unmodified</status>
      <modifiedWord/>
      <trackRevisions>false</trackRevisions>
    </reviewItem>
    <reviewItem>
      <errorID>8cb08469-3faa-4343-9cf7-13f133830210</errorID>
      <errorWord>并且</errorWord>
      <group>L1_Word</group>
      <groupName>字词问题</groupName>
      <ability>L2_Typo</ability>
      <abilityName>字词错误</abilityName>
      <candidateList>
        <item>并</item>
      </candidateList>
      <explain>（並、竝）bìnɡ❶〈动〉两种或两种以上的事物平排着：～蒂莲｜我们手挽着手，肩～着肩。❷〈副〉表示不同的事物同时存在，不同的事情同时进行：两说～存｜相提～论。❸〈副〉用在否定词前面加强否定的语气，略带反驳的意味：你以为他糊涂，其实他～不糊涂｜所谓团结～非一团和气。❹〈连〉并且：我完全同意～拥护领导的决定。</explain>
      <paraID>4E4F33F0</paraID>
      <start>30</start>
      <end>32</end>
      <status>unmodified</status>
      <modifiedWord/>
      <trackRevisions>false</trackRevisions>
    </reviewItem>
    <reviewItem>
      <errorID>f1f85454-069a-4c20-9fee-80bdcf3ec33a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357272CD</paraID>
      <start>31</start>
      <end>32</end>
      <status>unmodified</status>
      <modifiedWord/>
      <trackRevisions>false</trackRevisions>
    </reviewItem>
    <reviewItem>
      <errorID>fa46c0fc-2013-4a6c-a525-1c46b49440f8</errorID>
      <errorWord>(</errorWord>
      <group>L1_Format</group>
      <groupName>格式问题</groupName>
      <ability>L2_HalfPunc</ability>
      <abilityName>全半角检查</abilityName>
      <candidateList>
        <item>（</item>
      </candidateList>
      <explain>文本全半角错误。</explain>
      <paraID>7F244EB2</paraID>
      <start>2</start>
      <end>3</end>
      <status>unmodified</status>
      <modifiedWord/>
      <trackRevisions>false</trackRevisions>
    </reviewItem>
    <reviewItem>
      <errorID>edddb36f-da94-450d-bda4-123068417d0b</errorID>
      <errorWord>)</errorWord>
      <group>L1_Format</group>
      <groupName>格式问题</groupName>
      <ability>L2_HalfPunc</ability>
      <abilityName>全半角检查</abilityName>
      <candidateList>
        <item>）</item>
      </candidateList>
      <explain>文本全半角错误。</explain>
      <paraID>7F244EB2</paraID>
      <start>4</start>
      <end>5</end>
      <status>unmodified</status>
      <modifiedWord/>
      <trackRevisions>false</trackRevisions>
    </reviewItem>
    <reviewItem>
      <errorID>4e131581-3c28-4320-a28f-0ef44182f644</errorID>
      <errorWord>(</errorWord>
      <group>L1_Format</group>
      <groupName>格式问题</groupName>
      <ability>L2_HalfPunc</ability>
      <abilityName>全半角检查</abilityName>
      <candidateList>
        <item>（</item>
      </candidateList>
      <explain>文本全半角错误。</explain>
      <paraID>2EEBF934</paraID>
      <start>2</start>
      <end>3</end>
      <status>unmodified</status>
      <modifiedWord/>
      <trackRevisions>false</trackRevisions>
    </reviewItem>
    <reviewItem>
      <errorID>5a3683b0-b665-45c4-8be2-0485641f99a2</errorID>
      <errorWord>)</errorWord>
      <group>L1_Format</group>
      <groupName>格式问题</groupName>
      <ability>L2_HalfPunc</ability>
      <abilityName>全半角检查</abilityName>
      <candidateList>
        <item>）</item>
      </candidateList>
      <explain>文本全半角错误。</explain>
      <paraID>2EEBF934</paraID>
      <start>6</start>
      <end>7</end>
      <status>unmodified</status>
      <modifiedWord/>
      <trackRevisions>false</trackRevisions>
    </reviewItem>
    <reviewItem>
      <errorID>6b9998ae-3983-49c9-99c5-5489587b48f0</errorID>
      <errorWord>(</errorWord>
      <group>L1_Format</group>
      <groupName>格式问题</groupName>
      <ability>L2_HalfPunc</ability>
      <abilityName>全半角检查</abilityName>
      <candidateList>
        <item>（</item>
      </candidateList>
      <explain>文本全半角错误。</explain>
      <paraID>536D1706</paraID>
      <start>4</start>
      <end>5</end>
      <status>unmodified</status>
      <modifiedWord/>
      <trackRevisions>false</trackRevisions>
    </reviewItem>
    <reviewItem>
      <errorID>f5a81ee3-4cfc-4894-8ffc-08fee289166f</errorID>
      <errorWord>)</errorWord>
      <group>L1_Format</group>
      <groupName>格式问题</groupName>
      <ability>L2_HalfPunc</ability>
      <abilityName>全半角检查</abilityName>
      <candidateList>
        <item>）</item>
      </candidateList>
      <explain>文本全半角错误。</explain>
      <paraID>536D1706</paraID>
      <start>8</start>
      <end>9</end>
      <status>unmodified</status>
      <modifiedWord/>
      <trackRevisions>false</trackRevisions>
    </reviewItem>
    <reviewItem>
      <errorID>7d09d7a3-4e35-4da4-912d-24b28bba4f79</errorID>
      <errorWord>：</errorWord>
      <group>L1_Format</group>
      <groupName>格式问题</groupName>
      <ability>L2_HalfPunc</ability>
      <abilityName>全半角检查</abilityName>
      <candidateList>
        <item>:</item>
      </candidateList>
      <explain>文本全半角错误。</explain>
      <paraID>287248D9</paraID>
      <start>1</start>
      <end>2</end>
      <status>unmodified</status>
      <modifiedWord/>
      <trackRevisions>false</trackRevisions>
    </reviewItem>
    <reviewItem>
      <errorID>8d2fd419-6c57-48df-b52d-a1e1fbe4e993</errorID>
      <errorWord>～</errorWord>
      <group>L1_Format</group>
      <groupName>格式问题</groupName>
      <ability>L2_HalfPunc</ability>
      <abilityName>全半角检查</abilityName>
      <candidateList>
        <item>~</item>
      </candidateList>
      <explain>文本全半角错误。</explain>
      <paraID>287248D9</paraID>
      <start>4</start>
      <end>5</end>
      <status>unmodified</status>
      <modifiedWord/>
      <trackRevisions>false</trackRevisions>
    </reviewItem>
    <reviewItem>
      <errorID>24ae4111-5933-40e9-8931-bc172047f5fd</errorID>
      <errorWord>：</errorWord>
      <group>L1_Format</group>
      <groupName>格式问题</groupName>
      <ability>L2_HalfPunc</ability>
      <abilityName>全半角检查</abilityName>
      <candidateList>
        <item>:</item>
      </candidateList>
      <explain>文本全半角错误。</explain>
      <paraID>287248D9</paraID>
      <start>7</start>
      <end>8</end>
      <status>unmodified</status>
      <modifiedWord/>
      <trackRevisions>false</trackRevisions>
    </reviewItem>
    <reviewItem>
      <errorID>2dcc7b79-5a3d-4d3e-949e-968d5e94af43</errorID>
      <errorWord>：</errorWord>
      <group>L1_Format</group>
      <groupName>格式问题</groupName>
      <ability>L2_HalfPunc</ability>
      <abilityName>全半角检查</abilityName>
      <candidateList>
        <item>:</item>
      </candidateList>
      <explain>文本全半角错误。</explain>
      <paraID>228D7E11</paraID>
      <start>2</start>
      <end>3</end>
      <status>unmodified</status>
      <modifiedWord/>
      <trackRevisions>false</trackRevisions>
    </reviewItem>
    <reviewItem>
      <errorID>363270b4-4dea-46bc-9714-dc1cbbdebd93</errorID>
      <errorWord>～</errorWord>
      <group>L1_Format</group>
      <groupName>格式问题</groupName>
      <ability>L2_HalfPunc</ability>
      <abilityName>全半角检查</abilityName>
      <candidateList>
        <item>~</item>
      </candidateList>
      <explain>文本全半角错误。</explain>
      <paraID>228D7E11</paraID>
      <start>5</start>
      <end>6</end>
      <status>unmodified</status>
      <modifiedWord/>
      <trackRevisions>false</trackRevisions>
    </reviewItem>
    <reviewItem>
      <errorID>ecc41a10-e0b2-4a98-94c8-4d607a8a5438</errorID>
      <errorWord>：</errorWord>
      <group>L1_Format</group>
      <groupName>格式问题</groupName>
      <ability>L2_HalfPunc</ability>
      <abilityName>全半角检查</abilityName>
      <candidateList>
        <item>:</item>
      </candidateList>
      <explain>文本全半角错误。</explain>
      <paraID>228D7E11</paraID>
      <start>8</start>
      <end>9</end>
      <status>unmodified</status>
      <modifiedWord/>
      <trackRevisions>false</trackRevisions>
    </reviewItem>
    <reviewItem>
      <errorID>4da3561a-d1ba-455b-92be-f82c9a2af4b1</errorID>
      <errorWord>：</errorWord>
      <group>L1_Format</group>
      <groupName>格式问题</groupName>
      <ability>L2_HalfPunc</ability>
      <abilityName>全半角检查</abilityName>
      <candidateList>
        <item>:</item>
      </candidateList>
      <explain>文本全半角错误。</explain>
      <paraID>55DC66B5</paraID>
      <start>2</start>
      <end>3</end>
      <status>unmodified</status>
      <modifiedWord/>
      <trackRevisions>false</trackRevisions>
    </reviewItem>
    <reviewItem>
      <errorID>67222d91-490d-4856-9694-55b715835fee</errorID>
      <errorWord>～</errorWord>
      <group>L1_Format</group>
      <groupName>格式问题</groupName>
      <ability>L2_HalfPunc</ability>
      <abilityName>全半角检查</abilityName>
      <candidateList>
        <item>~</item>
      </candidateList>
      <explain>文本全半角错误。</explain>
      <paraID>55DC66B5</paraID>
      <start>5</start>
      <end>6</end>
      <status>unmodified</status>
      <modifiedWord/>
      <trackRevisions>false</trackRevisions>
    </reviewItem>
    <reviewItem>
      <errorID>f0b298c9-b420-41aa-84fe-8827ae43bf4f</errorID>
      <errorWord>：</errorWord>
      <group>L1_Format</group>
      <groupName>格式问题</groupName>
      <ability>L2_HalfPunc</ability>
      <abilityName>全半角检查</abilityName>
      <candidateList>
        <item>:</item>
      </candidateList>
      <explain>文本全半角错误。</explain>
      <paraID>55DC66B5</paraID>
      <start>8</start>
      <end>9</end>
      <status>unmodified</status>
      <modifiedWord/>
      <trackRevisions>false</trackRevisions>
    </reviewItem>
    <reviewItem>
      <errorID>0fbaa4ed-01cc-4655-9e79-89c260980056</errorID>
      <errorWord>：</errorWord>
      <group>L1_Format</group>
      <groupName>格式问题</groupName>
      <ability>L2_HalfPunc</ability>
      <abilityName>全半角检查</abilityName>
      <candidateList>
        <item>:</item>
      </candidateList>
      <explain>文本全半角错误。</explain>
      <paraID> 69AC04E</paraID>
      <start>2</start>
      <end>3</end>
      <status>unmodified</status>
      <modifiedWord/>
      <trackRevisions>false</trackRevisions>
    </reviewItem>
    <reviewItem>
      <errorID>aaef940d-0e0c-428e-8124-3e7c7afd3249</errorID>
      <errorWord>～</errorWord>
      <group>L1_Format</group>
      <groupName>格式问题</groupName>
      <ability>L2_HalfPunc</ability>
      <abilityName>全半角检查</abilityName>
      <candidateList>
        <item>~</item>
      </candidateList>
      <explain>文本全半角错误。</explain>
      <paraID> 69AC04E</paraID>
      <start>5</start>
      <end>6</end>
      <status>unmodified</status>
      <modifiedWord/>
      <trackRevisions>false</trackRevisions>
    </reviewItem>
    <reviewItem>
      <errorID>a326f4e9-7fd4-4ea8-b450-2458f81e68ce</errorID>
      <errorWord>：</errorWord>
      <group>L1_Format</group>
      <groupName>格式问题</groupName>
      <ability>L2_HalfPunc</ability>
      <abilityName>全半角检查</abilityName>
      <candidateList>
        <item>:</item>
      </candidateList>
      <explain>文本全半角错误。</explain>
      <paraID> 69AC04E</paraID>
      <start>8</start>
      <end>9</end>
      <status>unmodified</status>
      <modifiedWord/>
      <trackRevisions>false</trackRevisions>
    </reviewItem>
    <reviewItem>
      <errorID>1bcd0f8a-91d9-408b-adcc-f0c05ab2169b</errorID>
      <errorWord>：</errorWord>
      <group>L1_Format</group>
      <groupName>格式问题</groupName>
      <ability>L2_HalfPunc</ability>
      <abilityName>全半角检查</abilityName>
      <candidateList>
        <item>:</item>
      </candidateList>
      <explain>文本全半角错误。</explain>
      <paraID>4EE3F948</paraID>
      <start>1</start>
      <end>2</end>
      <status>unmodified</status>
      <modifiedWord/>
      <trackRevisions>false</trackRevisions>
    </reviewItem>
    <reviewItem>
      <errorID>eab26788-1cf3-4b85-b01f-32ed93ff1ab0</errorID>
      <errorWord>～</errorWord>
      <group>L1_Format</group>
      <groupName>格式问题</groupName>
      <ability>L2_HalfPunc</ability>
      <abilityName>全半角检查</abilityName>
      <candidateList>
        <item>~</item>
      </candidateList>
      <explain>文本全半角错误。</explain>
      <paraID>4EE3F948</paraID>
      <start>4</start>
      <end>5</end>
      <status>unmodified</status>
      <modifiedWord/>
      <trackRevisions>false</trackRevisions>
    </reviewItem>
    <reviewItem>
      <errorID>1dfc6119-0f1d-4d9d-a229-df74b66b2c94</errorID>
      <errorWord>：</errorWord>
      <group>L1_Format</group>
      <groupName>格式问题</groupName>
      <ability>L2_HalfPunc</ability>
      <abilityName>全半角检查</abilityName>
      <candidateList>
        <item>:</item>
      </candidateList>
      <explain>文本全半角错误。</explain>
      <paraID>4EE3F948</paraID>
      <start>7</start>
      <end>8</end>
      <status>unmodified</status>
      <modifiedWord/>
      <trackRevisions>false</trackRevisions>
    </reviewItem>
    <reviewItem>
      <errorID>4ebef40b-5648-4592-ab7a-7e2d20638b39</errorID>
      <errorWord>：</errorWord>
      <group>L1_Format</group>
      <groupName>格式问题</groupName>
      <ability>L2_HalfPunc</ability>
      <abilityName>全半角检查</abilityName>
      <candidateList>
        <item>:</item>
      </candidateList>
      <explain>文本全半角错误。</explain>
      <paraID>7ED9FE4D</paraID>
      <start>2</start>
      <end>3</end>
      <status>unmodified</status>
      <modifiedWord/>
      <trackRevisions>false</trackRevisions>
    </reviewItem>
    <reviewItem>
      <errorID>a7d4a46b-9035-4b9d-9e61-fd25a4544f1e</errorID>
      <errorWord>～</errorWord>
      <group>L1_Format</group>
      <groupName>格式问题</groupName>
      <ability>L2_HalfPunc</ability>
      <abilityName>全半角检查</abilityName>
      <candidateList>
        <item>~</item>
      </candidateList>
      <explain>文本全半角错误。</explain>
      <paraID>7ED9FE4D</paraID>
      <start>5</start>
      <end>6</end>
      <status>unmodified</status>
      <modifiedWord/>
      <trackRevisions>false</trackRevisions>
    </reviewItem>
    <reviewItem>
      <errorID>2529afb0-02bd-427f-b8b0-c1d08d2ba71c</errorID>
      <errorWord>：</errorWord>
      <group>L1_Format</group>
      <groupName>格式问题</groupName>
      <ability>L2_HalfPunc</ability>
      <abilityName>全半角检查</abilityName>
      <candidateList>
        <item>:</item>
      </candidateList>
      <explain>文本全半角错误。</explain>
      <paraID>7ED9FE4D</paraID>
      <start>8</start>
      <end>9</end>
      <status>unmodified</status>
      <modifiedWord/>
      <trackRevisions>false</trackRevisions>
    </reviewItem>
    <reviewItem>
      <errorID>70bff8bb-e161-4627-b1e3-d6d5a53560ee</errorID>
      <errorWord>：</errorWord>
      <group>L1_Format</group>
      <groupName>格式问题</groupName>
      <ability>L2_HalfPunc</ability>
      <abilityName>全半角检查</abilityName>
      <candidateList>
        <item>:</item>
      </candidateList>
      <explain>文本全半角错误。</explain>
      <paraID>3065BDCF</paraID>
      <start>2</start>
      <end>3</end>
      <status>unmodified</status>
      <modifiedWord/>
      <trackRevisions>false</trackRevisions>
    </reviewItem>
    <reviewItem>
      <errorID>d83e33da-4753-46d4-80d4-5bb4040e7d93</errorID>
      <errorWord>～</errorWord>
      <group>L1_Format</group>
      <groupName>格式问题</groupName>
      <ability>L2_HalfPunc</ability>
      <abilityName>全半角检查</abilityName>
      <candidateList>
        <item>~</item>
      </candidateList>
      <explain>文本全半角错误。</explain>
      <paraID>3065BDCF</paraID>
      <start>5</start>
      <end>6</end>
      <status>unmodified</status>
      <modifiedWord/>
      <trackRevisions>false</trackRevisions>
    </reviewItem>
    <reviewItem>
      <errorID>8f25b618-1c4a-49ec-b86a-f0440bd9abc3</errorID>
      <errorWord>：</errorWord>
      <group>L1_Format</group>
      <groupName>格式问题</groupName>
      <ability>L2_HalfPunc</ability>
      <abilityName>全半角检查</abilityName>
      <candidateList>
        <item>:</item>
      </candidateList>
      <explain>文本全半角错误。</explain>
      <paraID>3065BDCF</paraID>
      <start>8</start>
      <end>9</end>
      <status>unmodified</status>
      <modifiedWord/>
      <trackRevisions>false</trackRevisions>
    </reviewItem>
    <reviewItem>
      <errorID>05f539c3-fecb-4986-a26b-78c7b1e713d8</errorID>
      <errorWord>：</errorWord>
      <group>L1_Format</group>
      <groupName>格式问题</groupName>
      <ability>L2_HalfPunc</ability>
      <abilityName>全半角检查</abilityName>
      <candidateList>
        <item>:</item>
      </candidateList>
      <explain>文本全半角错误。</explain>
      <paraID>66BB4A8E</paraID>
      <start>2</start>
      <end>3</end>
      <status>unmodified</status>
      <modifiedWord/>
      <trackRevisions>false</trackRevisions>
    </reviewItem>
    <reviewItem>
      <errorID>8d79689f-f899-448e-99fa-6db20ae552a8</errorID>
      <errorWord>～</errorWord>
      <group>L1_Format</group>
      <groupName>格式问题</groupName>
      <ability>L2_HalfPunc</ability>
      <abilityName>全半角检查</abilityName>
      <candidateList>
        <item>~</item>
      </candidateList>
      <explain>文本全半角错误。</explain>
      <paraID>66BB4A8E</paraID>
      <start>5</start>
      <end>6</end>
      <status>unmodified</status>
      <modifiedWord/>
      <trackRevisions>false</trackRevisions>
    </reviewItem>
    <reviewItem>
      <errorID>e1c6a2af-2a66-4f9f-9ce5-b3cb3263a66f</errorID>
      <errorWord>：</errorWord>
      <group>L1_Format</group>
      <groupName>格式问题</groupName>
      <ability>L2_HalfPunc</ability>
      <abilityName>全半角检查</abilityName>
      <candidateList>
        <item>:</item>
      </candidateList>
      <explain>文本全半角错误。</explain>
      <paraID>66BB4A8E</paraID>
      <start>8</start>
      <end>9</end>
      <status>unmodified</status>
      <modifiedWord/>
      <trackRevisions>false</trackRevisions>
    </reviewItem>
    <reviewItem>
      <errorID>02265422-9973-4d07-98e0-f3715bcd7147</errorID>
      <errorWord>：</errorWord>
      <group>L1_Format</group>
      <groupName>格式问题</groupName>
      <ability>L2_HalfPunc</ability>
      <abilityName>全半角检查</abilityName>
      <candidateList>
        <item>:</item>
      </candidateList>
      <explain>文本全半角错误。</explain>
      <paraID>1E89559F</paraID>
      <start>1</start>
      <end>2</end>
      <status>unmodified</status>
      <modifiedWord/>
      <trackRevisions>false</trackRevisions>
    </reviewItem>
    <reviewItem>
      <errorID>d89c0c46-ee82-41cf-9458-4d99fc076947</errorID>
      <errorWord>～</errorWord>
      <group>L1_Format</group>
      <groupName>格式问题</groupName>
      <ability>L2_HalfPunc</ability>
      <abilityName>全半角检查</abilityName>
      <candidateList>
        <item>~</item>
      </candidateList>
      <explain>文本全半角错误。</explain>
      <paraID>1E89559F</paraID>
      <start>4</start>
      <end>5</end>
      <status>unmodified</status>
      <modifiedWord/>
      <trackRevisions>false</trackRevisions>
    </reviewItem>
    <reviewItem>
      <errorID>e167dad9-8ee9-4520-bdf0-aa32f7ddf2b1</errorID>
      <errorWord>：</errorWord>
      <group>L1_Format</group>
      <groupName>格式问题</groupName>
      <ability>L2_HalfPunc</ability>
      <abilityName>全半角检查</abilityName>
      <candidateList>
        <item>:</item>
      </candidateList>
      <explain>文本全半角错误。</explain>
      <paraID>1E89559F</paraID>
      <start>7</start>
      <end>8</end>
      <status>unmodified</status>
      <modifiedWord/>
      <trackRevisions>false</trackRevisions>
    </reviewItem>
    <reviewItem>
      <errorID>21118b08-380c-44b5-a1cb-a4b95519dd52</errorID>
      <errorWord>：</errorWord>
      <group>L1_Format</group>
      <groupName>格式问题</groupName>
      <ability>L2_HalfPunc</ability>
      <abilityName>全半角检查</abilityName>
      <candidateList>
        <item>:</item>
      </candidateList>
      <explain>文本全半角错误。</explain>
      <paraID>6D9A460F</paraID>
      <start>2</start>
      <end>3</end>
      <status>unmodified</status>
      <modifiedWord/>
      <trackRevisions>false</trackRevisions>
    </reviewItem>
    <reviewItem>
      <errorID>0ae4a34a-b798-43bd-9bd8-d3e7c212eb16</errorID>
      <errorWord>～</errorWord>
      <group>L1_Format</group>
      <groupName>格式问题</groupName>
      <ability>L2_HalfPunc</ability>
      <abilityName>全半角检查</abilityName>
      <candidateList>
        <item>~</item>
      </candidateList>
      <explain>文本全半角错误。</explain>
      <paraID>6D9A460F</paraID>
      <start>5</start>
      <end>6</end>
      <status>unmodified</status>
      <modifiedWord/>
      <trackRevisions>false</trackRevisions>
    </reviewItem>
    <reviewItem>
      <errorID>c5cda803-a702-4e66-bc57-160f75ebea3f</errorID>
      <errorWord>：</errorWord>
      <group>L1_Format</group>
      <groupName>格式问题</groupName>
      <ability>L2_HalfPunc</ability>
      <abilityName>全半角检查</abilityName>
      <candidateList>
        <item>:</item>
      </candidateList>
      <explain>文本全半角错误。</explain>
      <paraID>6D9A460F</paraID>
      <start>8</start>
      <end>9</end>
      <status>unmodified</status>
      <modifiedWord/>
      <trackRevisions>false</trackRevisions>
    </reviewItem>
    <reviewItem>
      <errorID>e38c956e-2013-49a1-910e-f00cd4a7883e</errorID>
      <errorWord>：</errorWord>
      <group>L1_Format</group>
      <groupName>格式问题</groupName>
      <ability>L2_HalfPunc</ability>
      <abilityName>全半角检查</abilityName>
      <candidateList>
        <item>:</item>
      </candidateList>
      <explain>文本全半角错误。</explain>
      <paraID> 5C0FC02</paraID>
      <start>2</start>
      <end>3</end>
      <status>unmodified</status>
      <modifiedWord/>
      <trackRevisions>false</trackRevisions>
    </reviewItem>
    <reviewItem>
      <errorID>2bab65f8-c496-4b6f-9930-46ddd2a9c17e</errorID>
      <errorWord>～</errorWord>
      <group>L1_Format</group>
      <groupName>格式问题</groupName>
      <ability>L2_HalfPunc</ability>
      <abilityName>全半角检查</abilityName>
      <candidateList>
        <item>~</item>
      </candidateList>
      <explain>文本全半角错误。</explain>
      <paraID> 5C0FC02</paraID>
      <start>5</start>
      <end>6</end>
      <status>unmodified</status>
      <modifiedWord/>
      <trackRevisions>false</trackRevisions>
    </reviewItem>
    <reviewItem>
      <errorID>2f82f61b-7ef8-4180-bbb6-727e1e1fd76f</errorID>
      <errorWord>：</errorWord>
      <group>L1_Format</group>
      <groupName>格式问题</groupName>
      <ability>L2_HalfPunc</ability>
      <abilityName>全半角检查</abilityName>
      <candidateList>
        <item>:</item>
      </candidateList>
      <explain>文本全半角错误。</explain>
      <paraID> 5C0FC02</paraID>
      <start>8</start>
      <end>9</end>
      <status>unmodified</status>
      <modifiedWord/>
      <trackRevisions>false</trackRevisions>
    </reviewItem>
    <reviewItem>
      <errorID>65323400-6cd6-47b3-91a4-d61340d5fc11</errorID>
      <errorWord>：</errorWord>
      <group>L1_Format</group>
      <groupName>格式问题</groupName>
      <ability>L2_HalfPunc</ability>
      <abilityName>全半角检查</abilityName>
      <candidateList>
        <item>:</item>
      </candidateList>
      <explain>文本全半角错误。</explain>
      <paraID> 317FBEF</paraID>
      <start>2</start>
      <end>3</end>
      <status>unmodified</status>
      <modifiedWord/>
      <trackRevisions>false</trackRevisions>
    </reviewItem>
    <reviewItem>
      <errorID>93d31db1-9a86-46d5-bb6f-2da653470340</errorID>
      <errorWord>～</errorWord>
      <group>L1_Format</group>
      <groupName>格式问题</groupName>
      <ability>L2_HalfPunc</ability>
      <abilityName>全半角检查</abilityName>
      <candidateList>
        <item>~</item>
      </candidateList>
      <explain>文本全半角错误。</explain>
      <paraID> 317FBEF</paraID>
      <start>5</start>
      <end>6</end>
      <status>unmodified</status>
      <modifiedWord/>
      <trackRevisions>false</trackRevisions>
    </reviewItem>
    <reviewItem>
      <errorID>c2373e86-f00f-49bf-b41f-6e6200d6c4a4</errorID>
      <errorWord>：</errorWord>
      <group>L1_Format</group>
      <groupName>格式问题</groupName>
      <ability>L2_HalfPunc</ability>
      <abilityName>全半角检查</abilityName>
      <candidateList>
        <item>:</item>
      </candidateList>
      <explain>文本全半角错误。</explain>
      <paraID> 317FBEF</paraID>
      <start>8</start>
      <end>9</end>
      <status>unmodified</status>
      <modifiedWord/>
      <trackRevisions>false</trackRevisions>
    </reviewItem>
    <reviewItem>
      <errorID>25e3a862-1c6c-49b2-9861-cb98f1c10b3c</errorID>
      <errorWord>：</errorWord>
      <group>L1_Format</group>
      <groupName>格式问题</groupName>
      <ability>L2_HalfPunc</ability>
      <abilityName>全半角检查</abilityName>
      <candidateList>
        <item>:</item>
      </candidateList>
      <explain>文本全半角错误。</explain>
      <paraID> F25EB48</paraID>
      <start>1</start>
      <end>2</end>
      <status>unmodified</status>
      <modifiedWord/>
      <trackRevisions>false</trackRevisions>
    </reviewItem>
    <reviewItem>
      <errorID>025b1892-18bc-4ca1-8de4-559db866eae3</errorID>
      <errorWord>～</errorWord>
      <group>L1_Format</group>
      <groupName>格式问题</groupName>
      <ability>L2_HalfPunc</ability>
      <abilityName>全半角检查</abilityName>
      <candidateList>
        <item>~</item>
      </candidateList>
      <explain>文本全半角错误。</explain>
      <paraID> F25EB48</paraID>
      <start>4</start>
      <end>5</end>
      <status>unmodified</status>
      <modifiedWord/>
      <trackRevisions>false</trackRevisions>
    </reviewItem>
    <reviewItem>
      <errorID>ce22ac95-97f9-457f-8d1c-95772431040b</errorID>
      <errorWord>：</errorWord>
      <group>L1_Format</group>
      <groupName>格式问题</groupName>
      <ability>L2_HalfPunc</ability>
      <abilityName>全半角检查</abilityName>
      <candidateList>
        <item>:</item>
      </candidateList>
      <explain>文本全半角错误。</explain>
      <paraID> F25EB48</paraID>
      <start>6</start>
      <end>7</end>
      <status>unmodified</status>
      <modifiedWord/>
      <trackRevisions>false</trackRevisions>
    </reviewItem>
    <reviewItem>
      <errorID>19374006-852d-4a18-8a4c-5cee89f53419</errorID>
      <errorWord>：</errorWord>
      <group>L1_Format</group>
      <groupName>格式问题</groupName>
      <ability>L2_HalfPunc</ability>
      <abilityName>全半角检查</abilityName>
      <candidateList>
        <item>:</item>
      </candidateList>
      <explain>文本全半角错误。</explain>
      <paraID>534698C5</paraID>
      <start>1</start>
      <end>2</end>
      <status>unmodified</status>
      <modifiedWord/>
      <trackRevisions>false</trackRevisions>
    </reviewItem>
    <reviewItem>
      <errorID>cec185bd-1b38-4249-aeee-ac6dc4d5cd78</errorID>
      <errorWord>～</errorWord>
      <group>L1_Format</group>
      <groupName>格式问题</groupName>
      <ability>L2_HalfPunc</ability>
      <abilityName>全半角检查</abilityName>
      <candidateList>
        <item>~</item>
      </candidateList>
      <explain>文本全半角错误。</explain>
      <paraID>534698C5</paraID>
      <start>4</start>
      <end>5</end>
      <status>unmodified</status>
      <modifiedWord/>
      <trackRevisions>false</trackRevisions>
    </reviewItem>
    <reviewItem>
      <errorID>b9c50038-2a92-4583-a8d5-5417d8c27f05</errorID>
      <errorWord>：</errorWord>
      <group>L1_Format</group>
      <groupName>格式问题</groupName>
      <ability>L2_HalfPunc</ability>
      <abilityName>全半角检查</abilityName>
      <candidateList>
        <item>:</item>
      </candidateList>
      <explain>文本全半角错误。</explain>
      <paraID>534698C5</paraID>
      <start>7</start>
      <end>8</end>
      <status>unmodified</status>
      <modifiedWord/>
      <trackRevisions>false</trackRevisions>
    </reviewItem>
    <reviewItem>
      <errorID>5a8b06c9-fee9-455c-a1a3-c9a6e2e9821b</errorID>
      <errorWord>：</errorWord>
      <group>L1_Format</group>
      <groupName>格式问题</groupName>
      <ability>L2_HalfPunc</ability>
      <abilityName>全半角检查</abilityName>
      <candidateList>
        <item>:</item>
      </candidateList>
      <explain>文本全半角错误。</explain>
      <paraID>40DAD926</paraID>
      <start>2</start>
      <end>3</end>
      <status>unmodified</status>
      <modifiedWord/>
      <trackRevisions>false</trackRevisions>
    </reviewItem>
    <reviewItem>
      <errorID>1b6e7f0f-98d4-4a9e-8ec4-1bd27b1ad665</errorID>
      <errorWord>～</errorWord>
      <group>L1_Format</group>
      <groupName>格式问题</groupName>
      <ability>L2_HalfPunc</ability>
      <abilityName>全半角检查</abilityName>
      <candidateList>
        <item>~</item>
      </candidateList>
      <explain>文本全半角错误。</explain>
      <paraID>40DAD926</paraID>
      <start>5</start>
      <end>6</end>
      <status>unmodified</status>
      <modifiedWord/>
      <trackRevisions>false</trackRevisions>
    </reviewItem>
    <reviewItem>
      <errorID>dfbb8b76-7a14-4eb8-ba13-33ef143244e7</errorID>
      <errorWord>：</errorWord>
      <group>L1_Format</group>
      <groupName>格式问题</groupName>
      <ability>L2_HalfPunc</ability>
      <abilityName>全半角检查</abilityName>
      <candidateList>
        <item>:</item>
      </candidateList>
      <explain>文本全半角错误。</explain>
      <paraID>40DAD926</paraID>
      <start>8</start>
      <end>9</end>
      <status>unmodified</status>
      <modifiedWord/>
      <trackRevisions>false</trackRevisions>
    </reviewItem>
    <reviewItem>
      <errorID>e52c017c-5855-44a9-b04b-cf2b2702b5f5</errorID>
      <errorWord>：</errorWord>
      <group>L1_Format</group>
      <groupName>格式问题</groupName>
      <ability>L2_HalfPunc</ability>
      <abilityName>全半角检查</abilityName>
      <candidateList>
        <item>:</item>
      </candidateList>
      <explain>文本全半角错误。</explain>
      <paraID>2D032AFC</paraID>
      <start>2</start>
      <end>3</end>
      <status>unmodified</status>
      <modifiedWord/>
      <trackRevisions>false</trackRevisions>
    </reviewItem>
    <reviewItem>
      <errorID>3b62a762-7ce6-4b4d-8af4-972ee91af35d</errorID>
      <errorWord>～</errorWord>
      <group>L1_Format</group>
      <groupName>格式问题</groupName>
      <ability>L2_HalfPunc</ability>
      <abilityName>全半角检查</abilityName>
      <candidateList>
        <item>~</item>
      </candidateList>
      <explain>文本全半角错误。</explain>
      <paraID>2D032AFC</paraID>
      <start>5</start>
      <end>6</end>
      <status>unmodified</status>
      <modifiedWord/>
      <trackRevisions>false</trackRevisions>
    </reviewItem>
    <reviewItem>
      <errorID>e70c8a9f-9dac-4d50-a0c0-a89d4b4d5d1e</errorID>
      <errorWord>：</errorWord>
      <group>L1_Format</group>
      <groupName>格式问题</groupName>
      <ability>L2_HalfPunc</ability>
      <abilityName>全半角检查</abilityName>
      <candidateList>
        <item>:</item>
      </candidateList>
      <explain>文本全半角错误。</explain>
      <paraID>2D032AFC</paraID>
      <start>8</start>
      <end>9</end>
      <status>unmodified</status>
      <modifiedWord/>
      <trackRevisions>false</trackRevisions>
    </reviewItem>
    <reviewItem>
      <errorID>601604e0-01e7-4116-84f5-278352d0868a</errorID>
      <errorWord>：</errorWord>
      <group>L1_Format</group>
      <groupName>格式问题</groupName>
      <ability>L2_HalfPunc</ability>
      <abilityName>全半角检查</abilityName>
      <candidateList>
        <item>:</item>
      </candidateList>
      <explain>文本全半角错误。</explain>
      <paraID>64AFE06F</paraID>
      <start>2</start>
      <end>3</end>
      <status>unmodified</status>
      <modifiedWord/>
      <trackRevisions>false</trackRevisions>
    </reviewItem>
    <reviewItem>
      <errorID>a2c92784-a719-46fe-ad9c-a345e7e9094d</errorID>
      <errorWord>～</errorWord>
      <group>L1_Format</group>
      <groupName>格式问题</groupName>
      <ability>L2_HalfPunc</ability>
      <abilityName>全半角检查</abilityName>
      <candidateList>
        <item>~</item>
      </candidateList>
      <explain>文本全半角错误。</explain>
      <paraID>64AFE06F</paraID>
      <start>5</start>
      <end>6</end>
      <status>unmodified</status>
      <modifiedWord/>
      <trackRevisions>false</trackRevisions>
    </reviewItem>
    <reviewItem>
      <errorID>56484511-b324-44ff-9d02-a1f972ffcdb6</errorID>
      <errorWord>：</errorWord>
      <group>L1_Format</group>
      <groupName>格式问题</groupName>
      <ability>L2_HalfPunc</ability>
      <abilityName>全半角检查</abilityName>
      <candidateList>
        <item>:</item>
      </candidateList>
      <explain>文本全半角错误。</explain>
      <paraID>64AFE06F</paraID>
      <start>8</start>
      <end>9</end>
      <status>unmodified</status>
      <modifiedWord/>
      <trackRevisions>false</trackRevisions>
    </reviewItem>
    <reviewItem>
      <errorID>aff72932-4af4-471b-9933-4cc7eed7cdb0</errorID>
      <errorWord>：</errorWord>
      <group>L1_Format</group>
      <groupName>格式问题</groupName>
      <ability>L2_HalfPunc</ability>
      <abilityName>全半角检查</abilityName>
      <candidateList>
        <item>:</item>
      </candidateList>
      <explain>文本全半角错误。</explain>
      <paraID>16132A50</paraID>
      <start>2</start>
      <end>3</end>
      <status>unmodified</status>
      <modifiedWord/>
      <trackRevisions>false</trackRevisions>
    </reviewItem>
    <reviewItem>
      <errorID>1d095d22-12f5-4a83-9c04-4bbe50e0baab</errorID>
      <errorWord>～</errorWord>
      <group>L1_Format</group>
      <groupName>格式问题</groupName>
      <ability>L2_HalfPunc</ability>
      <abilityName>全半角检查</abilityName>
      <candidateList>
        <item>~</item>
      </candidateList>
      <explain>文本全半角错误。</explain>
      <paraID>16132A50</paraID>
      <start>5</start>
      <end>6</end>
      <status>unmodified</status>
      <modifiedWord/>
      <trackRevisions>false</trackRevisions>
    </reviewItem>
    <reviewItem>
      <errorID>d59f88e9-1539-4807-a65b-2e1d429f82b5</errorID>
      <errorWord>：</errorWord>
      <group>L1_Format</group>
      <groupName>格式问题</groupName>
      <ability>L2_HalfPunc</ability>
      <abilityName>全半角检查</abilityName>
      <candidateList>
        <item>:</item>
      </candidateList>
      <explain>文本全半角错误。</explain>
      <paraID>16132A50</paraID>
      <start>8</start>
      <end>9</end>
      <status>unmodified</status>
      <modifiedWord/>
      <trackRevisions>false</trackRevisions>
    </reviewItem>
    <reviewItem>
      <errorID>4c3e1c96-b1bd-45ab-9dc5-dfb8a371f9bf</errorID>
      <errorWord>：</errorWord>
      <group>L1_Format</group>
      <groupName>格式问题</groupName>
      <ability>L2_HalfPunc</ability>
      <abilityName>全半角检查</abilityName>
      <candidateList>
        <item>:</item>
      </candidateList>
      <explain>文本全半角错误。</explain>
      <paraID>4C6E1911</paraID>
      <start>2</start>
      <end>3</end>
      <status>unmodified</status>
      <modifiedWord/>
      <trackRevisions>false</trackRevisions>
    </reviewItem>
    <reviewItem>
      <errorID>9fc26620-4636-4fcd-bd44-f8ebcc6f641c</errorID>
      <errorWord>～</errorWord>
      <group>L1_Format</group>
      <groupName>格式问题</groupName>
      <ability>L2_HalfPunc</ability>
      <abilityName>全半角检查</abilityName>
      <candidateList>
        <item>~</item>
      </candidateList>
      <explain>文本全半角错误。</explain>
      <paraID>4C6E1911</paraID>
      <start>5</start>
      <end>6</end>
      <status>unmodified</status>
      <modifiedWord/>
      <trackRevisions>false</trackRevisions>
    </reviewItem>
    <reviewItem>
      <errorID>78278f4b-2e29-40e7-95ef-e07405bc4e43</errorID>
      <errorWord>：</errorWord>
      <group>L1_Format</group>
      <groupName>格式问题</groupName>
      <ability>L2_HalfPunc</ability>
      <abilityName>全半角检查</abilityName>
      <candidateList>
        <item>:</item>
      </candidateList>
      <explain>文本全半角错误。</explain>
      <paraID>4C6E1911</paraID>
      <start>8</start>
      <end>9</end>
      <status>unmodified</status>
      <modifiedWord/>
      <trackRevisions>false</trackRevisions>
    </reviewItem>
    <reviewItem>
      <errorID>1e7f8120-1877-46ab-8fae-a51c139b5c61</errorID>
      <errorWord>：</errorWord>
      <group>L1_Format</group>
      <groupName>格式问题</groupName>
      <ability>L2_HalfPunc</ability>
      <abilityName>全半角检查</abilityName>
      <candidateList>
        <item>:</item>
      </candidateList>
      <explain>文本全半角错误。</explain>
      <paraID>4D27B6AB</paraID>
      <start>2</start>
      <end>3</end>
      <status>unmodified</status>
      <modifiedWord/>
      <trackRevisions>false</trackRevisions>
    </reviewItem>
    <reviewItem>
      <errorID>1710c238-437f-4bad-843d-b1e3baea40b2</errorID>
      <errorWord>～</errorWord>
      <group>L1_Format</group>
      <groupName>格式问题</groupName>
      <ability>L2_HalfPunc</ability>
      <abilityName>全半角检查</abilityName>
      <candidateList>
        <item>~</item>
      </candidateList>
      <explain>文本全半角错误。</explain>
      <paraID>4D27B6AB</paraID>
      <start>5</start>
      <end>6</end>
      <status>unmodified</status>
      <modifiedWord/>
      <trackRevisions>false</trackRevisions>
    </reviewItem>
    <reviewItem>
      <errorID>a8ac1b09-28a6-404c-92d7-4cd103608dfd</errorID>
      <errorWord>：</errorWord>
      <group>L1_Format</group>
      <groupName>格式问题</groupName>
      <ability>L2_HalfPunc</ability>
      <abilityName>全半角检查</abilityName>
      <candidateList>
        <item>:</item>
      </candidateList>
      <explain>文本全半角错误。</explain>
      <paraID>4D27B6AB</paraID>
      <start>8</start>
      <end>9</end>
      <status>unmodified</status>
      <modifiedWord/>
      <trackRevisions>false</trackRevisions>
    </reviewItem>
    <reviewItem>
      <errorID>f0026d26-f779-49cb-8e13-f78fcad2d9be</errorID>
      <errorWord>：</errorWord>
      <group>L1_Format</group>
      <groupName>格式问题</groupName>
      <ability>L2_HalfPunc</ability>
      <abilityName>全半角检查</abilityName>
      <candidateList>
        <item>:</item>
      </candidateList>
      <explain>文本全半角错误。</explain>
      <paraID>33CBF063</paraID>
      <start>1</start>
      <end>2</end>
      <status>unmodified</status>
      <modifiedWord/>
      <trackRevisions>false</trackRevisions>
    </reviewItem>
    <reviewItem>
      <errorID>5b86be42-929f-487f-98cd-61be60e60dc4</errorID>
      <errorWord>～</errorWord>
      <group>L1_Format</group>
      <groupName>格式问题</groupName>
      <ability>L2_HalfPunc</ability>
      <abilityName>全半角检查</abilityName>
      <candidateList>
        <item>~</item>
      </candidateList>
      <explain>文本全半角错误。</explain>
      <paraID>33CBF063</paraID>
      <start>4</start>
      <end>5</end>
      <status>unmodified</status>
      <modifiedWord/>
      <trackRevisions>false</trackRevisions>
    </reviewItem>
    <reviewItem>
      <errorID>292a95a1-96c4-418f-a82d-bd230959619b</errorID>
      <errorWord>：</errorWord>
      <group>L1_Format</group>
      <groupName>格式问题</groupName>
      <ability>L2_HalfPunc</ability>
      <abilityName>全半角检查</abilityName>
      <candidateList>
        <item>:</item>
      </candidateList>
      <explain>文本全半角错误。</explain>
      <paraID>33CBF063</paraID>
      <start>7</start>
      <end>8</end>
      <status>unmodified</status>
      <modifiedWord/>
      <trackRevisions>false</trackRevisions>
    </reviewItem>
    <reviewItem>
      <errorID>1e3df5a9-7ae5-45f6-a7d0-a1dc90ee0136</errorID>
      <errorWord>：</errorWord>
      <group>L1_Format</group>
      <groupName>格式问题</groupName>
      <ability>L2_HalfPunc</ability>
      <abilityName>全半角检查</abilityName>
      <candidateList>
        <item>:</item>
      </candidateList>
      <explain>文本全半角错误。</explain>
      <paraID>28C3F88A</paraID>
      <start>2</start>
      <end>3</end>
      <status>unmodified</status>
      <modifiedWord/>
      <trackRevisions>false</trackRevisions>
    </reviewItem>
    <reviewItem>
      <errorID>8dadea0a-f1f1-4256-b016-e91d5dfacd3a</errorID>
      <errorWord>～</errorWord>
      <group>L1_Format</group>
      <groupName>格式问题</groupName>
      <ability>L2_HalfPunc</ability>
      <abilityName>全半角检查</abilityName>
      <candidateList>
        <item>~</item>
      </candidateList>
      <explain>文本全半角错误。</explain>
      <paraID>28C3F88A</paraID>
      <start>5</start>
      <end>6</end>
      <status>unmodified</status>
      <modifiedWord/>
      <trackRevisions>false</trackRevisions>
    </reviewItem>
    <reviewItem>
      <errorID>e6cefa99-37c6-4de6-87ea-98d1f2e2e999</errorID>
      <errorWord>：</errorWord>
      <group>L1_Format</group>
      <groupName>格式问题</groupName>
      <ability>L2_HalfPunc</ability>
      <abilityName>全半角检查</abilityName>
      <candidateList>
        <item>:</item>
      </candidateList>
      <explain>文本全半角错误。</explain>
      <paraID>28C3F88A</paraID>
      <start>8</start>
      <end>9</end>
      <status>unmodified</status>
      <modifiedWord/>
      <trackRevisions>false</trackRevisions>
    </reviewItem>
    <reviewItem>
      <errorID>372951d5-b249-4cde-8f7b-1d4f20b75ee3</errorID>
      <errorWord>：</errorWord>
      <group>L1_Format</group>
      <groupName>格式问题</groupName>
      <ability>L2_HalfPunc</ability>
      <abilityName>全半角检查</abilityName>
      <candidateList>
        <item>:</item>
      </candidateList>
      <explain>文本全半角错误。</explain>
      <paraID>24B287B8</paraID>
      <start>2</start>
      <end>3</end>
      <status>unmodified</status>
      <modifiedWord/>
      <trackRevisions>false</trackRevisions>
    </reviewItem>
    <reviewItem>
      <errorID>6be67773-e44d-4be3-b92b-9f14d492817e</errorID>
      <errorWord>～</errorWord>
      <group>L1_Format</group>
      <groupName>格式问题</groupName>
      <ability>L2_HalfPunc</ability>
      <abilityName>全半角检查</abilityName>
      <candidateList>
        <item>~</item>
      </candidateList>
      <explain>文本全半角错误。</explain>
      <paraID>24B287B8</paraID>
      <start>5</start>
      <end>6</end>
      <status>unmodified</status>
      <modifiedWord/>
      <trackRevisions>false</trackRevisions>
    </reviewItem>
    <reviewItem>
      <errorID>7ee4a94e-54ff-425b-a0a7-1fb48a9e2fb3</errorID>
      <errorWord>：</errorWord>
      <group>L1_Format</group>
      <groupName>格式问题</groupName>
      <ability>L2_HalfPunc</ability>
      <abilityName>全半角检查</abilityName>
      <candidateList>
        <item>:</item>
      </candidateList>
      <explain>文本全半角错误。</explain>
      <paraID>24B287B8</paraID>
      <start>8</start>
      <end>9</end>
      <status>unmodified</status>
      <modifiedWord/>
      <trackRevisions>false</trackRevisions>
    </reviewItem>
    <reviewItem>
      <errorID>53a2afc6-fd35-48be-8314-9d397492d3b7</errorID>
      <errorWord>：</errorWord>
      <group>L1_Format</group>
      <groupName>格式问题</groupName>
      <ability>L2_HalfPunc</ability>
      <abilityName>全半角检查</abilityName>
      <candidateList>
        <item>:</item>
      </candidateList>
      <explain>文本全半角错误。</explain>
      <paraID>1424E170</paraID>
      <start>2</start>
      <end>3</end>
      <status>unmodified</status>
      <modifiedWord/>
      <trackRevisions>false</trackRevisions>
    </reviewItem>
    <reviewItem>
      <errorID>9c308168-12dc-45ff-9ebd-4fea9fb51b45</errorID>
      <errorWord>～</errorWord>
      <group>L1_Format</group>
      <groupName>格式问题</groupName>
      <ability>L2_HalfPunc</ability>
      <abilityName>全半角检查</abilityName>
      <candidateList>
        <item>~</item>
      </candidateList>
      <explain>文本全半角错误。</explain>
      <paraID>1424E170</paraID>
      <start>5</start>
      <end>6</end>
      <status>unmodified</status>
      <modifiedWord/>
      <trackRevisions>false</trackRevisions>
    </reviewItem>
    <reviewItem>
      <errorID>eee14a9e-c92e-420e-9ed5-e756bb497f2b</errorID>
      <errorWord>：</errorWord>
      <group>L1_Format</group>
      <groupName>格式问题</groupName>
      <ability>L2_HalfPunc</ability>
      <abilityName>全半角检查</abilityName>
      <candidateList>
        <item>:</item>
      </candidateList>
      <explain>文本全半角错误。</explain>
      <paraID>1424E170</paraID>
      <start>8</start>
      <end>9</end>
      <status>unmodified</status>
      <modifiedWord/>
      <trackRevisions>false</trackRevisions>
    </reviewItem>
    <reviewItem>
      <errorID>58b5a890-886c-4e57-83b4-d1abffe8e9ee</errorID>
      <errorWord>：</errorWord>
      <group>L1_Format</group>
      <groupName>格式问题</groupName>
      <ability>L2_HalfPunc</ability>
      <abilityName>全半角检查</abilityName>
      <candidateList>
        <item>:</item>
      </candidateList>
      <explain>文本全半角错误。</explain>
      <paraID>7AF4BBC5</paraID>
      <start>2</start>
      <end>3</end>
      <status>unmodified</status>
      <modifiedWord/>
      <trackRevisions>false</trackRevisions>
    </reviewItem>
    <reviewItem>
      <errorID>6db7c573-5843-4093-81e7-3d08d0b15130</errorID>
      <errorWord>～</errorWord>
      <group>L1_Format</group>
      <groupName>格式问题</groupName>
      <ability>L2_HalfPunc</ability>
      <abilityName>全半角检查</abilityName>
      <candidateList>
        <item>~</item>
      </candidateList>
      <explain>文本全半角错误。</explain>
      <paraID>7AF4BBC5</paraID>
      <start>5</start>
      <end>6</end>
      <status>unmodified</status>
      <modifiedWord/>
      <trackRevisions>false</trackRevisions>
    </reviewItem>
    <reviewItem>
      <errorID>75dbc871-b8a3-4d23-aa1a-fff31d059374</errorID>
      <errorWord>：</errorWord>
      <group>L1_Format</group>
      <groupName>格式问题</groupName>
      <ability>L2_HalfPunc</ability>
      <abilityName>全半角检查</abilityName>
      <candidateList>
        <item>:</item>
      </candidateList>
      <explain>文本全半角错误。</explain>
      <paraID>7AF4BBC5</paraID>
      <start>8</start>
      <end>9</end>
      <status>unmodified</status>
      <modifiedWord/>
      <trackRevisions>false</trackRevisions>
    </reviewItem>
    <reviewItem>
      <errorID>7880b4a6-4662-41b6-b2bf-9ebe79e355cc</errorID>
      <errorWord>：</errorWord>
      <group>L1_Format</group>
      <groupName>格式问题</groupName>
      <ability>L2_HalfPunc</ability>
      <abilityName>全半角检查</abilityName>
      <candidateList>
        <item>:</item>
      </candidateList>
      <explain>文本全半角错误。</explain>
      <paraID>3499D848</paraID>
      <start>2</start>
      <end>3</end>
      <status>unmodified</status>
      <modifiedWord/>
      <trackRevisions>false</trackRevisions>
    </reviewItem>
    <reviewItem>
      <errorID>60e62187-64dd-44a4-865d-e5e02195f359</errorID>
      <errorWord>～</errorWord>
      <group>L1_Format</group>
      <groupName>格式问题</groupName>
      <ability>L2_HalfPunc</ability>
      <abilityName>全半角检查</abilityName>
      <candidateList>
        <item>~</item>
      </candidateList>
      <explain>文本全半角错误。</explain>
      <paraID>3499D848</paraID>
      <start>5</start>
      <end>6</end>
      <status>unmodified</status>
      <modifiedWord/>
      <trackRevisions>false</trackRevisions>
    </reviewItem>
    <reviewItem>
      <errorID>7930418f-2e48-416d-83c6-84b9b31ff987</errorID>
      <errorWord>：</errorWord>
      <group>L1_Format</group>
      <groupName>格式问题</groupName>
      <ability>L2_HalfPunc</ability>
      <abilityName>全半角检查</abilityName>
      <candidateList>
        <item>:</item>
      </candidateList>
      <explain>文本全半角错误。</explain>
      <paraID>3499D848</paraID>
      <start>8</start>
      <end>9</end>
      <status>unmodified</status>
      <modifiedWord/>
      <trackRevisions>false</trackRevisions>
    </reviewItem>
    <reviewItem>
      <errorID>ce6e25b0-63bd-400c-b197-a2fefc2eccb7</errorID>
      <errorWord>：</errorWord>
      <group>L1_Format</group>
      <groupName>格式问题</groupName>
      <ability>L2_HalfPunc</ability>
      <abilityName>全半角检查</abilityName>
      <candidateList>
        <item>:</item>
      </candidateList>
      <explain>文本全半角错误。</explain>
      <paraID> 3C15A46</paraID>
      <start>2</start>
      <end>3</end>
      <status>unmodified</status>
      <modifiedWord/>
      <trackRevisions>false</trackRevisions>
    </reviewItem>
    <reviewItem>
      <errorID>cfbc4f7d-1ca4-42ab-9a18-af936f262785</errorID>
      <errorWord>～</errorWord>
      <group>L1_Format</group>
      <groupName>格式问题</groupName>
      <ability>L2_HalfPunc</ability>
      <abilityName>全半角检查</abilityName>
      <candidateList>
        <item>~</item>
      </candidateList>
      <explain>文本全半角错误。</explain>
      <paraID> 3C15A46</paraID>
      <start>5</start>
      <end>6</end>
      <status>unmodified</status>
      <modifiedWord/>
      <trackRevisions>false</trackRevisions>
    </reviewItem>
    <reviewItem>
      <errorID>fa4b1bce-5266-4b8c-bd3c-705592f3c793</errorID>
      <errorWord>：</errorWord>
      <group>L1_Format</group>
      <groupName>格式问题</groupName>
      <ability>L2_HalfPunc</ability>
      <abilityName>全半角检查</abilityName>
      <candidateList>
        <item>:</item>
      </candidateList>
      <explain>文本全半角错误。</explain>
      <paraID> 3C15A46</paraID>
      <start>8</start>
      <end>9</end>
      <status>unmodified</status>
      <modifiedWord/>
      <trackRevisions>false</trackRevisions>
    </reviewItem>
    <reviewItem>
      <errorID>ccf14a62-f727-46aa-a3bc-b895e106c7cb</errorID>
      <errorWord>：</errorWord>
      <group>L1_Format</group>
      <groupName>格式问题</groupName>
      <ability>L2_HalfPunc</ability>
      <abilityName>全半角检查</abilityName>
      <candidateList>
        <item>:</item>
      </candidateList>
      <explain>文本全半角错误。</explain>
      <paraID>2EC43E5B</paraID>
      <start>2</start>
      <end>3</end>
      <status>unmodified</status>
      <modifiedWord/>
      <trackRevisions>false</trackRevisions>
    </reviewItem>
    <reviewItem>
      <errorID>51ae8e5e-76d9-460e-9c4a-f06e7d1ab214</errorID>
      <errorWord>～</errorWord>
      <group>L1_Format</group>
      <groupName>格式问题</groupName>
      <ability>L2_HalfPunc</ability>
      <abilityName>全半角检查</abilityName>
      <candidateList>
        <item>~</item>
      </candidateList>
      <explain>文本全半角错误。</explain>
      <paraID>2EC43E5B</paraID>
      <start>5</start>
      <end>6</end>
      <status>unmodified</status>
      <modifiedWord/>
      <trackRevisions>false</trackRevisions>
    </reviewItem>
    <reviewItem>
      <errorID>d2787a25-a964-447e-8dae-2454746916b7</errorID>
      <errorWord>：</errorWord>
      <group>L1_Format</group>
      <groupName>格式问题</groupName>
      <ability>L2_HalfPunc</ability>
      <abilityName>全半角检查</abilityName>
      <candidateList>
        <item>:</item>
      </candidateList>
      <explain>文本全半角错误。</explain>
      <paraID>2EC43E5B</paraID>
      <start>8</start>
      <end>9</end>
      <status>unmodified</status>
      <modifiedWord/>
      <trackRevisions>false</trackRevisions>
    </reviewItem>
    <reviewItem>
      <errorID>cc36f260-c900-485d-bf88-935ac30a54e8</errorID>
      <errorWord>：</errorWord>
      <group>L1_Format</group>
      <groupName>格式问题</groupName>
      <ability>L2_HalfPunc</ability>
      <abilityName>全半角检查</abilityName>
      <candidateList>
        <item>:</item>
      </candidateList>
      <explain>文本全半角错误。</explain>
      <paraID>62CECA1C</paraID>
      <start>1</start>
      <end>2</end>
      <status>unmodified</status>
      <modifiedWord/>
      <trackRevisions>false</trackRevisions>
    </reviewItem>
    <reviewItem>
      <errorID>577404af-15e6-4aaa-a989-310f4901d6c8</errorID>
      <errorWord>～</errorWord>
      <group>L1_Format</group>
      <groupName>格式问题</groupName>
      <ability>L2_HalfPunc</ability>
      <abilityName>全半角检查</abilityName>
      <candidateList>
        <item>~</item>
      </candidateList>
      <explain>文本全半角错误。</explain>
      <paraID>62CECA1C</paraID>
      <start>4</start>
      <end>5</end>
      <status>unmodified</status>
      <modifiedWord/>
      <trackRevisions>false</trackRevisions>
    </reviewItem>
    <reviewItem>
      <errorID>24b1da31-d212-43b0-a766-83cb3a2b1a4b</errorID>
      <errorWord>：</errorWord>
      <group>L1_Format</group>
      <groupName>格式问题</groupName>
      <ability>L2_HalfPunc</ability>
      <abilityName>全半角检查</abilityName>
      <candidateList>
        <item>:</item>
      </candidateList>
      <explain>文本全半角错误。</explain>
      <paraID>62CECA1C</paraID>
      <start>7</start>
      <end>8</end>
      <status>unmodified</status>
      <modifiedWord/>
      <trackRevisions>false</trackRevisions>
    </reviewItem>
    <reviewItem>
      <errorID>9506e7d5-d5e2-4cf6-a247-ab3b575567eb</errorID>
      <errorWord>：</errorWord>
      <group>L1_Format</group>
      <groupName>格式问题</groupName>
      <ability>L2_HalfPunc</ability>
      <abilityName>全半角检查</abilityName>
      <candidateList>
        <item>:</item>
      </candidateList>
      <explain>文本全半角错误。</explain>
      <paraID>63043520</paraID>
      <start>2</start>
      <end>3</end>
      <status>unmodified</status>
      <modifiedWord/>
      <trackRevisions>false</trackRevisions>
    </reviewItem>
    <reviewItem>
      <errorID>69e00bfe-d2f8-4891-8859-e398e0b04d5e</errorID>
      <errorWord>～</errorWord>
      <group>L1_Format</group>
      <groupName>格式问题</groupName>
      <ability>L2_HalfPunc</ability>
      <abilityName>全半角检查</abilityName>
      <candidateList>
        <item>~</item>
      </candidateList>
      <explain>文本全半角错误。</explain>
      <paraID>63043520</paraID>
      <start>5</start>
      <end>6</end>
      <status>unmodified</status>
      <modifiedWord/>
      <trackRevisions>false</trackRevisions>
    </reviewItem>
    <reviewItem>
      <errorID>26347979-d7e3-46c6-8243-d1c7b34259e7</errorID>
      <errorWord>：</errorWord>
      <group>L1_Format</group>
      <groupName>格式问题</groupName>
      <ability>L2_HalfPunc</ability>
      <abilityName>全半角检查</abilityName>
      <candidateList>
        <item>:</item>
      </candidateList>
      <explain>文本全半角错误。</explain>
      <paraID>63043520</paraID>
      <start>8</start>
      <end>9</end>
      <status>unmodified</status>
      <modifiedWord/>
      <trackRevisions>false</trackRevisions>
    </reviewItem>
    <reviewItem>
      <errorID>bc83c724-b462-45c9-81f2-ecb81a0e9108</errorID>
      <errorWord>：</errorWord>
      <group>L1_Format</group>
      <groupName>格式问题</groupName>
      <ability>L2_HalfPunc</ability>
      <abilityName>全半角检查</abilityName>
      <candidateList>
        <item>:</item>
      </candidateList>
      <explain>文本全半角错误。</explain>
      <paraID>328101FE</paraID>
      <start>2</start>
      <end>3</end>
      <status>unmodified</status>
      <modifiedWord/>
      <trackRevisions>false</trackRevisions>
    </reviewItem>
    <reviewItem>
      <errorID>1c54c991-0772-449c-948c-464273e6c5f5</errorID>
      <errorWord>～</errorWord>
      <group>L1_Format</group>
      <groupName>格式问题</groupName>
      <ability>L2_HalfPunc</ability>
      <abilityName>全半角检查</abilityName>
      <candidateList>
        <item>~</item>
      </candidateList>
      <explain>文本全半角错误。</explain>
      <paraID>328101FE</paraID>
      <start>5</start>
      <end>6</end>
      <status>unmodified</status>
      <modifiedWord/>
      <trackRevisions>false</trackRevisions>
    </reviewItem>
    <reviewItem>
      <errorID>b4532aa3-93c9-45e9-a671-f67cee18abe1</errorID>
      <errorWord>：</errorWord>
      <group>L1_Format</group>
      <groupName>格式问题</groupName>
      <ability>L2_HalfPunc</ability>
      <abilityName>全半角检查</abilityName>
      <candidateList>
        <item>:</item>
      </candidateList>
      <explain>文本全半角错误。</explain>
      <paraID>328101FE</paraID>
      <start>8</start>
      <end>9</end>
      <status>unmodified</status>
      <modifiedWord/>
      <trackRevisions>false</trackRevisions>
    </reviewItem>
    <reviewItem>
      <errorID>e09eeaa8-09c9-4f59-8b29-363f21e16bc9</errorID>
      <errorWord>：</errorWord>
      <group>L1_Format</group>
      <groupName>格式问题</groupName>
      <ability>L2_HalfPunc</ability>
      <abilityName>全半角检查</abilityName>
      <candidateList>
        <item>:</item>
      </candidateList>
      <explain>文本全半角错误。</explain>
      <paraID>7A9B5623</paraID>
      <start>2</start>
      <end>3</end>
      <status>unmodified</status>
      <modifiedWord/>
      <trackRevisions>false</trackRevisions>
    </reviewItem>
    <reviewItem>
      <errorID>e479381e-2454-48cd-89b7-5e5147013cdb</errorID>
      <errorWord>～</errorWord>
      <group>L1_Format</group>
      <groupName>格式问题</groupName>
      <ability>L2_HalfPunc</ability>
      <abilityName>全半角检查</abilityName>
      <candidateList>
        <item>~</item>
      </candidateList>
      <explain>文本全半角错误。</explain>
      <paraID>7A9B5623</paraID>
      <start>5</start>
      <end>6</end>
      <status>unmodified</status>
      <modifiedWord/>
      <trackRevisions>false</trackRevisions>
    </reviewItem>
    <reviewItem>
      <errorID>43593868-7fa0-4b8c-a4a3-070ee5814ca0</errorID>
      <errorWord>：</errorWord>
      <group>L1_Format</group>
      <groupName>格式问题</groupName>
      <ability>L2_HalfPunc</ability>
      <abilityName>全半角检查</abilityName>
      <candidateList>
        <item>:</item>
      </candidateList>
      <explain>文本全半角错误。</explain>
      <paraID>7A9B5623</paraID>
      <start>8</start>
      <end>9</end>
      <status>unmodified</status>
      <modifiedWord/>
      <trackRevisions>false</trackRevisions>
    </reviewItem>
    <reviewItem>
      <errorID>3bd8aea1-90af-47fc-87f3-b357a8f66bce</errorID>
      <errorWord>(</errorWord>
      <group>L1_Format</group>
      <groupName>格式问题</groupName>
      <ability>L2_HalfPunc</ability>
      <abilityName>全半角检查</abilityName>
      <candidateList>
        <item>（</item>
      </candidateList>
      <explain>文本全半角错误。</explain>
      <paraID>5143BD0A</paraID>
      <start>6</start>
      <end>7</end>
      <status>unmodified</status>
      <modifiedWord/>
      <trackRevisions>false</trackRevisions>
    </reviewItem>
    <reviewItem>
      <errorID>f184fece-d569-48a6-8e4f-fd912d74cf50</errorID>
      <errorWord>)</errorWord>
      <group>L1_Format</group>
      <groupName>格式问题</groupName>
      <ability>L2_HalfPunc</ability>
      <abilityName>全半角检查</abilityName>
      <candidateList>
        <item>）</item>
      </candidateList>
      <explain>文本全半角错误。</explain>
      <paraID>5143BD0A</paraID>
      <start>12</start>
      <end>13</end>
      <status>unmodified</status>
      <modifiedWord/>
      <trackRevisions>false</trackRevisions>
    </reviewItem>
    <reviewItem>
      <errorID>14cef629-6616-4899-842b-52ded25f8cd9</errorID>
      <errorWord>(</errorWord>
      <group>L1_Format</group>
      <groupName>格式问题</groupName>
      <ability>L2_HalfPunc</ability>
      <abilityName>全半角检查</abilityName>
      <candidateList>
        <item>（</item>
      </candidateList>
      <explain>文本全半角错误。</explain>
      <paraID>416494A8</paraID>
      <start>6</start>
      <end>7</end>
      <status>unmodified</status>
      <modifiedWord/>
      <trackRevisions>false</trackRevisions>
    </reviewItem>
    <reviewItem>
      <errorID>6ebba495-a0cc-4061-b889-a10ac66b4c8c</errorID>
      <errorWord>)</errorWord>
      <group>L1_Format</group>
      <groupName>格式问题</groupName>
      <ability>L2_HalfPunc</ability>
      <abilityName>全半角检查</abilityName>
      <candidateList>
        <item>）</item>
      </candidateList>
      <explain>文本全半角错误。</explain>
      <paraID>416494A8</paraID>
      <start>12</start>
      <end>13</end>
      <status>unmodified</status>
      <modifiedWord/>
      <trackRevisions>false</trackRevisions>
    </reviewItem>
    <reviewItem>
      <errorID>16d9fc34-1d77-4487-a336-05f80eaf3c37</errorID>
      <errorWord>(</errorWord>
      <group>L1_Format</group>
      <groupName>格式问题</groupName>
      <ability>L2_HalfPunc</ability>
      <abilityName>全半角检查</abilityName>
      <candidateList>
        <item>（</item>
      </candidateList>
      <explain>文本全半角错误。</explain>
      <paraID>78423082</paraID>
      <start>6</start>
      <end>7</end>
      <status>unmodified</status>
      <modifiedWord/>
      <trackRevisions>false</trackRevisions>
    </reviewItem>
    <reviewItem>
      <errorID>932773af-2958-4cd6-a677-0f898f6d19ff</errorID>
      <errorWord>)</errorWord>
      <group>L1_Format</group>
      <groupName>格式问题</groupName>
      <ability>L2_HalfPunc</ability>
      <abilityName>全半角检查</abilityName>
      <candidateList>
        <item>）</item>
      </candidateList>
      <explain>文本全半角错误。</explain>
      <paraID>78423082</paraID>
      <start>12</start>
      <end>13</end>
      <status>unmodified</status>
      <modifiedWord/>
      <trackRevisions>false</trackRevisions>
    </reviewItem>
    <reviewItem>
      <errorID>3ae0b391-a8a2-4388-92b1-3f5debaa86f4</errorID>
      <errorWord>(</errorWord>
      <group>L1_Format</group>
      <groupName>格式问题</groupName>
      <ability>L2_HalfPunc</ability>
      <abilityName>全半角检查</abilityName>
      <candidateList>
        <item>（</item>
      </candidateList>
      <explain>文本全半角错误。</explain>
      <paraID>24AB18BF</paraID>
      <start>6</start>
      <end>7</end>
      <status>unmodified</status>
      <modifiedWord/>
      <trackRevisions>false</trackRevisions>
    </reviewItem>
    <reviewItem>
      <errorID>c660fed9-24ab-4d42-8d23-06a442f214a3</errorID>
      <errorWord>)</errorWord>
      <group>L1_Format</group>
      <groupName>格式问题</groupName>
      <ability>L2_HalfPunc</ability>
      <abilityName>全半角检查</abilityName>
      <candidateList>
        <item>）</item>
      </candidateList>
      <explain>文本全半角错误。</explain>
      <paraID>24AB18BF</paraID>
      <start>12</start>
      <end>13</end>
      <status>unmodified</status>
      <modifiedWord/>
      <trackRevisions>false</trackRevisions>
    </reviewItem>
    <reviewItem>
      <errorID>91bc4452-dde2-4503-a107-bb7a6cafdfa4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6536E7BD</paraID>
      <start>15</start>
      <end>16</end>
      <status>unmodified</status>
      <modifiedWord/>
      <trackRevisions>false</trackRevisions>
    </reviewItem>
    <reviewItem>
      <errorID>044e0c57-b591-4fe9-8ba5-5a6b1bdb8d92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6536E7BD</paraID>
      <start>32</start>
      <end>33</end>
      <status>unmodified</status>
      <modifiedWord/>
      <trackRevisions>false</trackRevisions>
    </reviewItem>
    <reviewItem>
      <errorID>0ce744b8-e14b-4248-9060-7c2a62a8b638</errorID>
      <errorWord>＜</errorWord>
      <group>L1_Format</group>
      <groupName>格式问题</groupName>
      <ability>L2_HalfPunc</ability>
      <abilityName>全半角检查</abilityName>
      <candidateList>
        <item>&lt;</item>
      </candidateList>
      <explain>文本全半角错误。</explain>
      <paraID>7C293011</paraID>
      <start>0</start>
      <end>1</end>
      <status>unmodified</status>
      <modifiedWord/>
      <trackRevisions>false</trackRevisions>
    </reviewItem>
    <reviewItem>
      <errorID>04893b97-1103-4fc8-b090-758b987ec2c8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719234F3</paraID>
      <start>0</start>
      <end>2</end>
      <status>unmodified</status>
      <modifiedWord/>
      <trackRevisions>false</trackRevisions>
    </reviewItem>
    <reviewItem>
      <errorID>fb2a70a4-5f65-4d75-92a6-8b732745bce9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11064BB6</paraID>
      <start>0</start>
      <end>2</end>
      <status>unmodified</status>
      <modifiedWord/>
      <trackRevisions>false</trackRevisions>
    </reviewItem>
    <reviewItem>
      <errorID>5a072929-f322-472e-a652-c13f9f29a560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71DF41D</paraID>
      <start>0</start>
      <end>2</end>
      <status>unmodified</status>
      <modifiedWord/>
      <trackRevisions>false</trackRevisions>
    </reviewItem>
    <reviewItem>
      <errorID>fd2edaef-189d-4bb5-bea1-5a653bf72db2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232AB196</paraID>
      <start>0</start>
      <end>2</end>
      <status>unmodified</status>
      <modifiedWord/>
      <trackRevisions>false</trackRevisions>
    </reviewItem>
    <reviewItem>
      <errorID>e7953d82-76ef-488d-b099-1ad3dbd0e5df</errorID>
      <errorWord>＜</errorWord>
      <group>L1_Format</group>
      <groupName>格式问题</groupName>
      <ability>L2_HalfPunc</ability>
      <abilityName>全半角检查</abilityName>
      <candidateList>
        <item>&lt;</item>
      </candidateList>
      <explain>文本全半角错误。</explain>
      <paraID>746FE56F</paraID>
      <start>0</start>
      <end>1</end>
      <status>unmodified</status>
      <modifiedWord/>
      <trackRevisions>false</trackRevisions>
    </reviewItem>
    <reviewItem>
      <errorID>d5627e80-c889-462e-bf90-1536fda4fc4c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277E452C</paraID>
      <start>0</start>
      <end>2</end>
      <status>unmodified</status>
      <modifiedWord/>
      <trackRevisions>false</trackRevisions>
    </reviewItem>
    <reviewItem>
      <errorID>dd757a8d-a6d6-4853-b97d-5ee4a6cd2cd8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323073C4</paraID>
      <start>0</start>
      <end>2</end>
      <status>unmodified</status>
      <modifiedWord/>
      <trackRevisions>false</trackRevisions>
    </reviewItem>
    <reviewItem>
      <errorID>9bfbb312-4981-4ca2-a4d9-bfcc63b05418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7D5E453</paraID>
      <start>0</start>
      <end>2</end>
      <status>unmodified</status>
      <modifiedWord/>
      <trackRevisions>false</trackRevisions>
    </reviewItem>
    <reviewItem>
      <errorID>994c5c3a-9e36-495f-a68e-04cf323f1b4c</errorID>
      <errorWord>＜</errorWord>
      <group>L1_Format</group>
      <groupName>格式问题</groupName>
      <ability>L2_HalfPunc</ability>
      <abilityName>全半角检查</abilityName>
      <candidateList>
        <item>&lt;</item>
      </candidateList>
      <explain>文本全半角错误。</explain>
      <paraID>49325ECD</paraID>
      <start>0</start>
      <end>1</end>
      <status>unmodified</status>
      <modifiedWord/>
      <trackRevisions>false</trackRevisions>
    </reviewItem>
    <reviewItem>
      <errorID>01a36f70-c5ab-494d-9ca8-da2b7182893b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237FBF3C</paraID>
      <start>0</start>
      <end>2</end>
      <status>unmodified</status>
      <modifiedWord/>
      <trackRevisions>false</trackRevisions>
    </reviewItem>
    <reviewItem>
      <errorID>41c67a5a-bf40-435a-bd25-2c6eca569d0b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76D828CD</paraID>
      <start>0</start>
      <end>2</end>
      <status>unmodified</status>
      <modifiedWord/>
      <trackRevisions>false</trackRevisions>
    </reviewItem>
    <reviewItem>
      <errorID>e3e8ed2d-5275-4813-b754-93dfa0fd7011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5DA22FAA</paraID>
      <start>0</start>
      <end>2</end>
      <status>unmodified</status>
      <modifiedWord/>
      <trackRevisions>false</trackRevisions>
    </reviewItem>
    <reviewItem>
      <errorID>02da481a-34a3-4be5-a439-f3dec2c77767</errorID>
      <errorWord>＜</errorWord>
      <group>L1_Format</group>
      <groupName>格式问题</groupName>
      <ability>L2_HalfPunc</ability>
      <abilityName>全半角检查</abilityName>
      <candidateList>
        <item>&lt;</item>
      </candidateList>
      <explain>文本全半角错误。</explain>
      <paraID>37F24B24</paraID>
      <start>0</start>
      <end>1</end>
      <status>unmodified</status>
      <modifiedWord/>
      <trackRevisions>false</trackRevisions>
    </reviewItem>
    <reviewItem>
      <errorID>d5627e80-c889-462e-bf90-1536fda4fc4c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32654FFF</paraID>
      <start>0</start>
      <end>2</end>
      <status>unmodified</status>
      <modifiedWord/>
      <trackRevisions>false</trackRevisions>
    </reviewItem>
    <reviewItem>
      <errorID>dd757a8d-a6d6-4853-b97d-5ee4a6cd2cd8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73BAC02D</paraID>
      <start>0</start>
      <end>2</end>
      <status>unmodified</status>
      <modifiedWord/>
      <trackRevisions>false</trackRevisions>
    </reviewItem>
    <reviewItem>
      <errorID>9bfbb312-4981-4ca2-a4d9-bfcc63b05418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5E6B76AE</paraID>
      <start>0</start>
      <end>2</end>
      <status>unmodified</status>
      <modifiedWord/>
      <trackRevisions>false</trackRevisions>
    </reviewItem>
    <reviewItem>
      <errorID>d26b5915-738d-4ad2-bbfb-c9907e240686</errorID>
      <errorWord>＜</errorWord>
      <group>L1_Format</group>
      <groupName>格式问题</groupName>
      <ability>L2_HalfPunc</ability>
      <abilityName>全半角检查</abilityName>
      <candidateList>
        <item>&lt;</item>
      </candidateList>
      <explain>文本全半角错误。</explain>
      <paraID>5C794C20</paraID>
      <start>0</start>
      <end>1</end>
      <status>unmodified</status>
      <modifiedWord/>
      <trackRevisions>false</trackRevisions>
    </reviewItem>
    <reviewItem>
      <errorID>01a36f70-c5ab-494d-9ca8-da2b7182893b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5C65998C</paraID>
      <start>0</start>
      <end>2</end>
      <status>unmodified</status>
      <modifiedWord/>
      <trackRevisions>false</trackRevisions>
    </reviewItem>
    <reviewItem>
      <errorID>41c67a5a-bf40-435a-bd25-2c6eca569d0b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40C076A9</paraID>
      <start>0</start>
      <end>2</end>
      <status>unmodified</status>
      <modifiedWord/>
      <trackRevisions>false</trackRevisions>
    </reviewItem>
    <reviewItem>
      <errorID>e3e8ed2d-5275-4813-b754-93dfa0fd7011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32951354</paraID>
      <start>0</start>
      <end>2</end>
      <status>unmodified</status>
      <modifiedWord/>
      <trackRevisions>false</trackRevisions>
    </reviewItem>
    <reviewItem>
      <errorID>1ea2325a-f565-4e36-8cf7-d90a85af32ed</errorID>
      <errorWord>＜</errorWord>
      <group>L1_Format</group>
      <groupName>格式问题</groupName>
      <ability>L2_HalfPunc</ability>
      <abilityName>全半角检查</abilityName>
      <candidateList>
        <item>&lt;</item>
      </candidateList>
      <explain>文本全半角错误。</explain>
      <paraID>7E49AED4</paraID>
      <start>0</start>
      <end>1</end>
      <status>unmodified</status>
      <modifiedWord/>
      <trackRevisions>false</trackRevisions>
    </reviewItem>
    <reviewItem>
      <errorID>1541f36b-e512-43ad-bf24-51dd4dc04b05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5AD68CE</paraID>
      <start>0</start>
      <end>2</end>
      <status>unmodified</status>
      <modifiedWord/>
      <trackRevisions>false</trackRevisions>
    </reviewItem>
    <reviewItem>
      <errorID>3e6b0caa-5bb7-4ef1-a39c-ab88c5c734b5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689A542A</paraID>
      <start>0</start>
      <end>2</end>
      <status>unmodified</status>
      <modifiedWord/>
      <trackRevisions>false</trackRevisions>
    </reviewItem>
    <reviewItem>
      <errorID>ecb2b474-008c-42f6-b3d4-70d8f3e529eb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39BCB58</paraID>
      <start>0</start>
      <end>2</end>
      <status>unmodified</status>
      <modifiedWord/>
      <trackRevisions>false</trackRevisions>
    </reviewItem>
    <reviewItem>
      <errorID>fdc67502-0a25-4cad-a1d4-faeaffb4eef6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AD49AA8</paraID>
      <start>0</start>
      <end>2</end>
      <status>unmodified</status>
      <modifiedWord/>
      <trackRevisions>false</trackRevisions>
    </reviewItem>
    <reviewItem>
      <errorID>4f4e633c-8e7b-4e90-a47d-d77cfb428c7d</errorID>
      <errorWord>＜</errorWord>
      <group>L1_Format</group>
      <groupName>格式问题</groupName>
      <ability>L2_HalfPunc</ability>
      <abilityName>全半角检查</abilityName>
      <candidateList>
        <item>&lt;</item>
      </candidateList>
      <explain>文本全半角错误。</explain>
      <paraID>7BC54D38</paraID>
      <start>0</start>
      <end>1</end>
      <status>unmodified</status>
      <modifiedWord/>
      <trackRevisions>false</trackRevisions>
    </reviewItem>
    <reviewItem>
      <errorID>85e32a8e-5f76-4344-ad0a-afe2bda6d17d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719A0E2C</paraID>
      <start>0</start>
      <end>2</end>
      <status>unmodified</status>
      <modifiedWord/>
      <trackRevisions>false</trackRevisions>
    </reviewItem>
    <reviewItem>
      <errorID>558260d9-8d34-40d8-bdb2-0e3fca6ab537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3E1EB275</paraID>
      <start>0</start>
      <end>2</end>
      <status>unmodified</status>
      <modifiedWord/>
      <trackRevisions>false</trackRevisions>
    </reviewItem>
    <reviewItem>
      <errorID>66915b73-55f5-4678-b4cf-b299e74e65d1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3AB111BD</paraID>
      <start>0</start>
      <end>2</end>
      <status>unmodified</status>
      <modifiedWord/>
      <trackRevisions>false</trackRevisions>
    </reviewItem>
    <reviewItem>
      <errorID>11753a53-ec8b-46c5-83c5-efa998921767</errorID>
      <errorWord>：</errorWord>
      <group>L1_Format</group>
      <groupName>格式问题</groupName>
      <ability>L2_HalfPunc</ability>
      <abilityName>全半角检查</abilityName>
      <candidateList>
        <item>:</item>
      </candidateList>
      <explain>文本全半角错误。</explain>
      <paraID>68775622</paraID>
      <start>83</start>
      <end>84</end>
      <status>unmodified</status>
      <modifiedWord/>
      <trackRevisions>false</trackRevisions>
    </reviewItem>
    <reviewItem>
      <errorID>2a2d86e2-9459-4bd8-b150-f4dfb03e5654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7CFAF420</paraID>
      <start>31</start>
      <end>32</end>
      <status>unmodified</status>
      <modifiedWord/>
      <trackRevisions>false</trackRevisions>
    </reviewItem>
    <reviewItem>
      <errorID>396b2d63-9af6-4707-ab27-0783efbb1bf0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7CFAF420</paraID>
      <start>90</start>
      <end>91</end>
      <status>unmodified</status>
      <modifiedWord/>
      <trackRevisions>false</trackRevisions>
    </reviewItem>
    <reviewItem>
      <errorID>94223566-0a30-4ff0-9112-fbb8b1f18ae1</errorID>
      <errorWord>（</errorWord>
      <group>L1_Punc</group>
      <groupName>标点问题</groupName>
      <ability>L2_Punc</ability>
      <abilityName>标点符号检查</abilityName>
      <candidateList/>
      <explain>同一形式括号套用。</explain>
      <paraID>5459FEAE</paraID>
      <start>7</start>
      <end>8</end>
      <status>unmodified</status>
      <modifiedWord/>
      <trackRevisions>false</trackRevisions>
    </reviewItem>
    <reviewItem>
      <errorID>a05d1a0f-bd6e-4a4b-aff3-96bead141cb3</errorID>
      <errorWord>）</errorWord>
      <group>L1_Punc</group>
      <groupName>标点问题</groupName>
      <ability>L2_Punc</ability>
      <abilityName>标点符号检查</abilityName>
      <candidateList/>
      <explain>同一形式括号套用。</explain>
      <paraID>5459FEAE</paraID>
      <start>9</start>
      <end>10</end>
      <status>unmodified</status>
      <modifiedWord/>
      <trackRevisions>false</trackRevisions>
    </reviewItem>
    <reviewItem>
      <errorID>ae2450a7-3b2d-4e19-ab8a-f0b029dfc8b6</errorID>
      <errorWord>（</errorWord>
      <group>L1_Punc</group>
      <groupName>标点问题</groupName>
      <ability>L2_Punc</ability>
      <abilityName>标点符号检查</abilityName>
      <candidateList/>
      <explain>同一形式括号套用。</explain>
      <paraID>1B8C4CE7</paraID>
      <start>7</start>
      <end>8</end>
      <status>unmodified</status>
      <modifiedWord/>
      <trackRevisions>false</trackRevisions>
    </reviewItem>
    <reviewItem>
      <errorID>57d2c151-e3c9-46e8-8b7e-2aa4089f8881</errorID>
      <errorWord>）</errorWord>
      <group>L1_Punc</group>
      <groupName>标点问题</groupName>
      <ability>L2_Punc</ability>
      <abilityName>标点符号检查</abilityName>
      <candidateList/>
      <explain>同一形式括号套用。</explain>
      <paraID>1B8C4CE7</paraID>
      <start>9</start>
      <end>10</end>
      <status>unmodified</status>
      <modifiedWord/>
      <trackRevisions>false</trackRevisions>
    </reviewItem>
    <reviewItem>
      <errorID>59ee2dd7-eda1-4403-ac74-2c71b2cb2128</errorID>
      <errorWord>（</errorWord>
      <group>L1_Punc</group>
      <groupName>标点问题</groupName>
      <ability>L2_Punc</ability>
      <abilityName>标点符号检查</abilityName>
      <candidateList/>
      <explain>同一形式括号套用。</explain>
      <paraID>1C1CB075</paraID>
      <start>62</start>
      <end>63</end>
      <status>unmodified</status>
      <modifiedWord/>
      <trackRevisions>false</trackRevisions>
    </reviewItem>
    <reviewItem>
      <errorID>d1e8974b-e9bd-4951-b84d-e5946ab10d0b</errorID>
      <errorWord>）</errorWord>
      <group>L1_Punc</group>
      <groupName>标点问题</groupName>
      <ability>L2_Punc</ability>
      <abilityName>标点符号检查</abilityName>
      <candidateList/>
      <explain>同一形式括号套用。</explain>
      <paraID>1C1CB075</paraID>
      <start>64</start>
      <end>65</end>
      <status>unmodified</status>
      <modifiedWord/>
      <trackRevisions>false</trackRevisions>
    </reviewItem>
    <reviewItem>
      <errorID>337c014c-a9e5-4935-b1bd-cd7b9b504b5c</errorID>
      <errorWord>（</errorWord>
      <group>L1_Punc</group>
      <groupName>标点问题</groupName>
      <ability>L2_Punc</ability>
      <abilityName>标点符号检查</abilityName>
      <candidateList/>
      <explain>同一形式括号套用。</explain>
      <paraID>1C1CB075</paraID>
      <start>72</start>
      <end>73</end>
      <status>unmodified</status>
      <modifiedWord/>
      <trackRevisions>false</trackRevisions>
    </reviewItem>
    <reviewItem>
      <errorID>14a25554-a8f3-469f-a684-1b43543e2669</errorID>
      <errorWord>）</errorWord>
      <group>L1_Punc</group>
      <groupName>标点问题</groupName>
      <ability>L2_Punc</ability>
      <abilityName>标点符号检查</abilityName>
      <candidateList/>
      <explain>同一形式括号套用。</explain>
      <paraID>1C1CB075</paraID>
      <start>74</start>
      <end>75</end>
      <status>unmodified</status>
      <modifiedWord/>
      <trackRevisions>false</trackRevisions>
    </reviewItem>
    <reviewItem>
      <errorID>73da8490-3d72-4bc5-997e-43768600977b</errorID>
      <errorWord>～</errorWord>
      <group>L1_Format</group>
      <groupName>格式问题</groupName>
      <ability>L2_HalfPunc</ability>
      <abilityName>全半角检查</abilityName>
      <candidateList>
        <item>~</item>
      </candidateList>
      <explain>文本全半角错误。</explain>
      <paraID>3CC68696</paraID>
      <start>1</start>
      <end>2</end>
      <status>unmodified</status>
      <modifiedWord/>
      <trackRevisions>false</trackRevisions>
    </reviewItem>
    <reviewItem>
      <errorID>79786feb-accf-4d41-a868-df70a607482f</errorID>
      <errorWord>，</errorWord>
      <group>L1_Format</group>
      <groupName>格式问题</groupName>
      <ability>L2_HalfPunc</ability>
      <abilityName>全半角检查</abilityName>
      <candidateList>
        <item>,</item>
      </candidateList>
      <explain>文本全半角错误。</explain>
      <paraID>3CC68696</paraID>
      <start>6</start>
      <end>7</end>
      <status>unmodified</status>
      <modifiedWord/>
      <trackRevisions>false</trackRevisions>
    </reviewItem>
    <reviewItem>
      <errorID>6fd16205-104e-4fe7-9e34-6e040ecfb594</errorID>
      <errorWord>～</errorWord>
      <group>L1_Format</group>
      <groupName>格式问题</groupName>
      <ability>L2_HalfPunc</ability>
      <abilityName>全半角检查</abilityName>
      <candidateList>
        <item>~</item>
      </candidateList>
      <explain>文本全半角错误。</explain>
      <paraID>3F2C1CA1</paraID>
      <start>1</start>
      <end>2</end>
      <status>unmodified</status>
      <modifiedWord/>
      <trackRevisions>false</trackRevisions>
    </reviewItem>
    <reviewItem>
      <errorID>4ac4f31c-27f0-49b6-9bc2-5b892a843243</errorID>
      <errorWord>，</errorWord>
      <group>L1_Format</group>
      <groupName>格式问题</groupName>
      <ability>L2_HalfPunc</ability>
      <abilityName>全半角检查</abilityName>
      <candidateList>
        <item>,</item>
      </candidateList>
      <explain>文本全半角错误。</explain>
      <paraID>3F2C1CA1</paraID>
      <start>6</start>
      <end>7</end>
      <status>unmodified</status>
      <modifiedWord/>
      <trackRevisions>false</trackRevisions>
    </reviewItem>
    <reviewItem>
      <errorID>941a0ec8-608f-4023-b63e-1095440b297d</errorID>
      <errorWord>～</errorWord>
      <group>L1_Format</group>
      <groupName>格式问题</groupName>
      <ability>L2_HalfPunc</ability>
      <abilityName>全半角检查</abilityName>
      <candidateList>
        <item>~</item>
      </candidateList>
      <explain>文本全半角错误。</explain>
      <paraID>3DE2E6C7</paraID>
      <start>1</start>
      <end>2</end>
      <status>unmodified</status>
      <modifiedWord/>
      <trackRevisions>false</trackRevisions>
    </reviewItem>
    <reviewItem>
      <errorID>944355b7-fa94-4b58-878b-6bc378f8128a</errorID>
      <errorWord>，</errorWord>
      <group>L1_Format</group>
      <groupName>格式问题</groupName>
      <ability>L2_HalfPunc</ability>
      <abilityName>全半角检查</abilityName>
      <candidateList>
        <item>,</item>
      </candidateList>
      <explain>文本全半角错误。</explain>
      <paraID>3DE2E6C7</paraID>
      <start>6</start>
      <end>7</end>
      <status>unmodified</status>
      <modifiedWord/>
      <trackRevisions>false</trackRevisions>
    </reviewItem>
    <reviewItem>
      <errorID>8515fb9b-b25a-4e21-925a-0c8de3988eb6</errorID>
      <errorWord>～</errorWord>
      <group>L1_Format</group>
      <groupName>格式问题</groupName>
      <ability>L2_HalfPunc</ability>
      <abilityName>全半角检查</abilityName>
      <candidateList>
        <item>~</item>
      </candidateList>
      <explain>文本全半角错误。</explain>
      <paraID> 6380CC5</paraID>
      <start>1</start>
      <end>2</end>
      <status>unmodified</status>
      <modifiedWord/>
      <trackRevisions>false</trackRevisions>
    </reviewItem>
    <reviewItem>
      <errorID>435a60a8-b9ba-4634-b664-9aada9745796</errorID>
      <errorWord>，</errorWord>
      <group>L1_Format</group>
      <groupName>格式问题</groupName>
      <ability>L2_HalfPunc</ability>
      <abilityName>全半角检查</abilityName>
      <candidateList>
        <item>,</item>
      </candidateList>
      <explain>文本全半角错误。</explain>
      <paraID> 6380CC5</paraID>
      <start>6</start>
      <end>7</end>
      <status>unmodified</status>
      <modifiedWord/>
      <trackRevisions>false</trackRevisions>
    </reviewItem>
    <reviewItem>
      <errorID>8ea64ee7-8e96-4080-ac9b-0dba6ccbf3e2</errorID>
      <errorWord>：</errorWord>
      <group>L1_Format</group>
      <groupName>格式问题</groupName>
      <ability>L2_HalfPunc</ability>
      <abilityName>全半角检查</abilityName>
      <candidateList>
        <item>:</item>
      </candidateList>
      <explain>文本全半角错误。</explain>
      <paraID>2E1A3B67</paraID>
      <start>2</start>
      <end>3</end>
      <status>unmodified</status>
      <modifiedWord/>
      <trackRevisions>false</trackRevisions>
    </reviewItem>
    <reviewItem>
      <errorID>1c78aa6b-53e7-42bf-82f6-299e5de84ae1</errorID>
      <errorWord>：</errorWord>
      <group>L1_Format</group>
      <groupName>格式问题</groupName>
      <ability>L2_HalfPunc</ability>
      <abilityName>全半角检查</abilityName>
      <candidateList>
        <item>:</item>
      </candidateList>
      <explain>文本全半角错误。</explain>
      <paraID>3F65B928</paraID>
      <start>2</start>
      <end>3</end>
      <status>unmodified</status>
      <modifiedWord/>
      <trackRevisions>false</trackRevisions>
    </reviewItem>
    <reviewItem>
      <errorID>fee3ede9-3512-4cf2-bb6a-fc93d29bb6b8</errorID>
      <errorWord>：</errorWord>
      <group>L1_Format</group>
      <groupName>格式问题</groupName>
      <ability>L2_HalfPunc</ability>
      <abilityName>全半角检查</abilityName>
      <candidateList>
        <item>:</item>
      </candidateList>
      <explain>文本全半角错误。</explain>
      <paraID>3C7D0C19</paraID>
      <start>2</start>
      <end>3</end>
      <status>unmodified</status>
      <modifiedWord/>
      <trackRevisions>false</trackRevisions>
    </reviewItem>
    <reviewItem>
      <errorID>04050818-d2f0-4316-a084-0f6751959224</errorID>
      <errorWord>：</errorWord>
      <group>L1_Format</group>
      <groupName>格式问题</groupName>
      <ability>L2_HalfPunc</ability>
      <abilityName>全半角检查</abilityName>
      <candidateList>
        <item>:</item>
      </candidateList>
      <explain>文本全半角错误。</explain>
      <paraID>2445E962</paraID>
      <start>2</start>
      <end>3</end>
      <status>unmodified</status>
      <modifiedWord/>
      <trackRevisions>false</trackRevisions>
    </reviewItem>
    <reviewItem>
      <errorID>f38ec4c2-7008-4af7-a623-cce31397992d</errorID>
      <errorWord>～</errorWord>
      <group>L1_Format</group>
      <groupName>格式问题</groupName>
      <ability>L2_HalfPunc</ability>
      <abilityName>全半角检查</abilityName>
      <candidateList>
        <item>~</item>
      </candidateList>
      <explain>文本全半角错误。</explain>
      <paraID>19BAA8B2</paraID>
      <start>1</start>
      <end>2</end>
      <status>unmodified</status>
      <modifiedWord/>
      <trackRevisions>false</trackRevisions>
    </reviewItem>
    <reviewItem>
      <errorID>5dc7ffdc-dc5d-4443-a308-9e40efd3ad1d</errorID>
      <errorWord>～</errorWord>
      <group>L1_Format</group>
      <groupName>格式问题</groupName>
      <ability>L2_HalfPunc</ability>
      <abilityName>全半角检查</abilityName>
      <candidateList>
        <item>~</item>
      </candidateList>
      <explain>文本全半角错误。</explain>
      <paraID>4AA2A246</paraID>
      <start>3</start>
      <end>4</end>
      <status>unmodified</status>
      <modifiedWord/>
      <trackRevisions>false</trackRevisions>
    </reviewItem>
    <reviewItem>
      <errorID>a6635103-6901-467c-a0ad-f353f46742d2</errorID>
      <errorWord>～</errorWord>
      <group>L1_Format</group>
      <groupName>格式问题</groupName>
      <ability>L2_HalfPunc</ability>
      <abilityName>全半角检查</abilityName>
      <candidateList>
        <item>~</item>
      </candidateList>
      <explain>文本全半角错误。</explain>
      <paraID> C69FDF7</paraID>
      <start>3</start>
      <end>4</end>
      <status>unmodified</status>
      <modifiedWord/>
      <trackRevisions>false</trackRevisions>
    </reviewItem>
    <reviewItem>
      <errorID>aafca1b3-7f9a-40d7-9f49-2d2739d7b85c</errorID>
      <errorWord>～</errorWord>
      <group>L1_Format</group>
      <groupName>格式问题</groupName>
      <ability>L2_HalfPunc</ability>
      <abilityName>全半角检查</abilityName>
      <candidateList>
        <item>~</item>
      </candidateList>
      <explain>文本全半角错误。</explain>
      <paraID>28E683A4</paraID>
      <start>1</start>
      <end>2</end>
      <status>unmodified</status>
      <modifiedWord/>
      <trackRevisions>false</trackRevisions>
    </reviewItem>
    <reviewItem>
      <errorID>9901698c-6bf3-4bf3-8284-7b0fbc386b95</errorID>
      <errorWord>～</errorWord>
      <group>L1_Format</group>
      <groupName>格式问题</groupName>
      <ability>L2_HalfPunc</ability>
      <abilityName>全半角检查</abilityName>
      <candidateList>
        <item>~</item>
      </candidateList>
      <explain>文本全半角错误。</explain>
      <paraID>2E54EF4A</paraID>
      <start>1</start>
      <end>2</end>
      <status>unmodified</status>
      <modifiedWord/>
      <trackRevisions>false</trackRevisions>
    </reviewItem>
    <reviewItem>
      <errorID>72a01ded-05f4-40ce-87ad-6de5be56f604</errorID>
      <errorWord>～</errorWord>
      <group>L1_Format</group>
      <groupName>格式问题</groupName>
      <ability>L2_HalfPunc</ability>
      <abilityName>全半角检查</abilityName>
      <candidateList>
        <item>~</item>
      </candidateList>
      <explain>文本全半角错误。</explain>
      <paraID> B6CB304</paraID>
      <start>1</start>
      <end>2</end>
      <status>unmodified</status>
      <modifiedWord/>
      <trackRevisions>false</trackRevisions>
    </reviewItem>
    <reviewItem>
      <errorID>21b195b2-c5ce-4af7-9ad5-c8a303a44c99</errorID>
      <errorWord>～</errorWord>
      <group>L1_Format</group>
      <groupName>格式问题</groupName>
      <ability>L2_HalfPunc</ability>
      <abilityName>全半角检查</abilityName>
      <candidateList>
        <item>~</item>
      </candidateList>
      <explain>文本全半角错误。</explain>
      <paraID>641C5EB7</paraID>
      <start>1</start>
      <end>2</end>
      <status>unmodified</status>
      <modifiedWord/>
      <trackRevisions>false</trackRevisions>
    </reviewItem>
    <reviewItem>
      <errorID>58e15f12-b007-47e7-a914-b66ca85c3376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55704793</paraID>
      <start>0</start>
      <end>2</end>
      <status>unmodified</status>
      <modifiedWord/>
      <trackRevisions>false</trackRevisions>
    </reviewItem>
    <reviewItem>
      <errorID>06cef16f-a3ca-4d30-963f-eabdf2199a83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AAA4B95</paraID>
      <start>0</start>
      <end>2</end>
      <status>unmodified</status>
      <modifiedWord/>
      <trackRevisions>false</trackRevisions>
    </reviewItem>
    <reviewItem>
      <errorID>b3b99540-f71c-410b-9ccc-5e8a1a7ddd73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77EF720A</paraID>
      <start>0</start>
      <end>2</end>
      <status>unmodified</status>
      <modifiedWord/>
      <trackRevisions>false</trackRevisions>
    </reviewItem>
    <reviewItem>
      <errorID>c31d5980-6bd8-4314-b1d6-8c66ce490e80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778F73A</paraID>
      <start>0</start>
      <end>2</end>
      <status>unmodified</status>
      <modifiedWord/>
      <trackRevisions>false</trackRevisions>
    </reviewItem>
    <reviewItem>
      <errorID>85949c46-4ecb-45c1-8a55-fab1e9623f7b</errorID>
      <errorWord>1，</errorWord>
      <group>L1_Format</group>
      <groupName>格式问题</groupName>
      <ability>L2_Ordinal</ability>
      <abilityName>序号格式</abilityName>
      <candidateList>
        <item>1.</item>
      </candidateList>
      <explain>当前序号格式不规范，建议修改为规范格式[1.]。</explain>
      <paraID>76056F47</paraID>
      <start>0</start>
      <end>2</end>
      <status>unmodified</status>
      <modifiedWord/>
      <trackRevisions>false</trackRevisions>
    </reviewItem>
    <reviewItem>
      <errorID>74b93de6-4bac-43fb-81a2-8150fe7f545e</errorID>
      <errorWord>1，</errorWord>
      <group>L1_Format</group>
      <groupName>格式问题</groupName>
      <ability>L2_Ordinal</ability>
      <abilityName>序号格式</abilityName>
      <candidateList>
        <item>1.</item>
      </candidateList>
      <explain>当前序号格式不规范，建议修改为规范格式[1.]。</explain>
      <paraID>53C5D3F0</paraID>
      <start>0</start>
      <end>2</end>
      <status>unmodified</status>
      <modifiedWord/>
      <trackRevisions>false</trackRevisions>
    </reviewItem>
    <reviewItem>
      <errorID>9d5045dd-e95b-4f98-82b5-b892df634594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5A8DAAB1</paraID>
      <start>0</start>
      <end>2</end>
      <status>unmodified</status>
      <modifiedWord/>
      <trackRevisions>false</trackRevisions>
    </reviewItem>
    <reviewItem>
      <errorID>78403bac-320b-4e3b-99fa-d0cd54d972f3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2D348C85</paraID>
      <start>0</start>
      <end>2</end>
      <status>unmodified</status>
      <modifiedWord/>
      <trackRevisions>false</trackRevisions>
    </reviewItem>
    <reviewItem>
      <errorID>9badec9e-2911-408b-bad1-1d54f4470e56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69058EF3</paraID>
      <start>0</start>
      <end>2</end>
      <status>unmodified</status>
      <modifiedWord/>
      <trackRevisions>false</trackRevisions>
    </reviewItem>
    <reviewItem>
      <errorID>ed03ce8a-198c-404c-abb4-fe4c9aab67df</errorID>
      <errorWord>1，</errorWord>
      <group>L1_Format</group>
      <groupName>格式问题</groupName>
      <ability>L2_Ordinal</ability>
      <abilityName>序号格式</abilityName>
      <candidateList>
        <item>1.</item>
      </candidateList>
      <explain>当前序号格式不规范，建议修改为规范格式[1.]。</explain>
      <paraID>61D50C82</paraID>
      <start>0</start>
      <end>2</end>
      <status>unmodified</status>
      <modifiedWord/>
      <trackRevisions>false</trackRevisions>
    </reviewItem>
    <reviewItem>
      <errorID>0620515a-5f8e-465f-b7a8-0bbfe1f36901</errorID>
      <errorWord>1，</errorWord>
      <group>L1_Format</group>
      <groupName>格式问题</groupName>
      <ability>L2_Ordinal</ability>
      <abilityName>序号格式</abilityName>
      <candidateList>
        <item>1.</item>
      </candidateList>
      <explain>当前序号格式不规范，建议修改为规范格式[1.]。</explain>
      <paraID>15CCE858</paraID>
      <start>0</start>
      <end>2</end>
      <status>unmodified</status>
      <modifiedWord/>
      <trackRevisions>false</trackRevisions>
    </reviewItem>
    <reviewItem>
      <errorID>050b60dd-fb0e-444c-acd5-b16ef88e03b8</errorID>
      <errorWord>-</errorWord>
      <group>L1_Format</group>
      <groupName>格式问题</groupName>
      <ability>L2_HalfPunc</ability>
      <abilityName>全半角检查</abilityName>
      <candidateList>
        <item>－</item>
      </candidateList>
      <explain>文本全半角错误。</explain>
      <paraID>24C12554</paraID>
      <start>1</start>
      <end>2</end>
      <status>unmodified</status>
      <modifiedWord/>
      <trackRevisions>false</trackRevisions>
    </reviewItem>
    <reviewItem>
      <errorID>a3c2fdf4-c55b-411b-b217-6724dc94754c</errorID>
      <errorWord>（</errorWord>
      <group>L1_Format</group>
      <groupName>格式问题</groupName>
      <ability>L2_HalfPunc</ability>
      <abilityName>全半角检查</abilityName>
      <candidateList>
        <item>(</item>
      </candidateList>
      <explain>文本全半角错误。</explain>
      <paraID>33E626CB</paraID>
      <start>1</start>
      <end>2</end>
      <status>unmodified</status>
      <modifiedWord/>
      <trackRevisions>false</trackRevisions>
    </reviewItem>
    <reviewItem>
      <errorID>5092043c-1a4b-4d97-b227-20ec8b066b81</errorID>
      <errorWord>）</errorWord>
      <group>L1_Format</group>
      <groupName>格式问题</groupName>
      <ability>L2_HalfPunc</ability>
      <abilityName>全半角检查</abilityName>
      <candidateList>
        <item>)</item>
      </candidateList>
      <explain>文本全半角错误。</explain>
      <paraID>33E626CB</paraID>
      <start>7</start>
      <end>8</end>
      <status>unmodified</status>
      <modifiedWord/>
      <trackRevisions>false</trackRevisions>
    </reviewItem>
    <reviewItem>
      <errorID>2a802bc6-075a-4b4a-85e7-00e79339229d</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1A116801</paraID>
      <start>203</start>
      <end>204</end>
      <status>unmodified</status>
      <modifiedWord/>
      <trackRevisions>false</trackRevisions>
    </reviewItem>
    <reviewItem>
      <errorID>b607cdeb-130e-4233-8c49-b6081f85dd1a</errorID>
      <errorWord>(</errorWord>
      <group>L1_Format</group>
      <groupName>格式问题</groupName>
      <ability>L2_HalfPunc</ability>
      <abilityName>全半角检查</abilityName>
      <candidateList>
        <item>（</item>
      </candidateList>
      <explain>文本全半角错误。</explain>
      <paraID>12455866</paraID>
      <start>3</start>
      <end>4</end>
      <status>unmodified</status>
      <modifiedWord/>
      <trackRevisions>false</trackRevisions>
    </reviewItem>
    <reviewItem>
      <errorID>d1cd17fd-6641-4b2c-ba66-e3eeeeecfc58</errorID>
      <errorWord>)</errorWord>
      <group>L1_Format</group>
      <groupName>格式问题</groupName>
      <ability>L2_HalfPunc</ability>
      <abilityName>全半角检查</abilityName>
      <candidateList>
        <item>）</item>
      </candidateList>
      <explain>文本全半角错误。</explain>
      <paraID>12455866</paraID>
      <start>7</start>
      <end>8</end>
      <status>unmodified</status>
      <modifiedWord/>
      <trackRevisions>false</trackRevisions>
    </reviewItem>
    <reviewItem>
      <errorID>6092cc34-13fe-4df6-b645-6d66f2772a7a</errorID>
      <errorWord>(</errorWord>
      <group>L1_Format</group>
      <groupName>格式问题</groupName>
      <ability>L2_HalfPunc</ability>
      <abilityName>全半角检查</abilityName>
      <candidateList>
        <item>（</item>
      </candidateList>
      <explain>文本全半角错误。</explain>
      <paraID>5F11A76D</paraID>
      <start>2</start>
      <end>3</end>
      <status>unmodified</status>
      <modifiedWord/>
      <trackRevisions>false</trackRevisions>
    </reviewItem>
    <reviewItem>
      <errorID>f5ad20a4-68fd-4f96-b8d6-02352dc13c58</errorID>
      <errorWord>)</errorWord>
      <group>L1_Format</group>
      <groupName>格式问题</groupName>
      <ability>L2_HalfPunc</ability>
      <abilityName>全半角检查</abilityName>
      <candidateList>
        <item>）</item>
      </candidateList>
      <explain>文本全半角错误。</explain>
      <paraID>5F11A76D</paraID>
      <start>7</start>
      <end>8</end>
      <status>unmodified</status>
      <modifiedWord/>
      <trackRevisions>false</trackRevisions>
    </reviewItem>
    <reviewItem>
      <errorID>13fac71d-1467-4d69-b18c-23cf050d9a65</errorID>
      <errorWord>(</errorWord>
      <group>L1_Format</group>
      <groupName>格式问题</groupName>
      <ability>L2_HalfPunc</ability>
      <abilityName>全半角检查</abilityName>
      <candidateList>
        <item>（</item>
      </candidateList>
      <explain>文本全半角错误。</explain>
      <paraID>2D002471</paraID>
      <start>3</start>
      <end>4</end>
      <status>unmodified</status>
      <modifiedWord/>
      <trackRevisions>false</trackRevisions>
    </reviewItem>
    <reviewItem>
      <errorID>76169303-903e-4abd-8cc0-9928a0b19b88</errorID>
      <errorWord>)</errorWord>
      <group>L1_Format</group>
      <groupName>格式问题</groupName>
      <ability>L2_HalfPunc</ability>
      <abilityName>全半角检查</abilityName>
      <candidateList>
        <item>）</item>
      </candidateList>
      <explain>文本全半角错误。</explain>
      <paraID>2D002471</paraID>
      <start>8</start>
      <end>9</end>
      <status>unmodified</status>
      <modifiedWord/>
      <trackRevisions>false</trackRevisions>
    </reviewItem>
    <reviewItem>
      <errorID>2f86535f-ddee-4738-b227-08b5ed7c8dfd</errorID>
      <errorWord>(</errorWord>
      <group>L1_Format</group>
      <groupName>格式问题</groupName>
      <ability>L2_HalfPunc</ability>
      <abilityName>全半角检查</abilityName>
      <candidateList>
        <item>（</item>
      </candidateList>
      <explain>文本全半角错误。</explain>
      <paraID>2412E304</paraID>
      <start>3</start>
      <end>4</end>
      <status>unmodified</status>
      <modifiedWord/>
      <trackRevisions>false</trackRevisions>
    </reviewItem>
    <reviewItem>
      <errorID>42830f6a-57ae-4698-bc7c-395604c41851</errorID>
      <errorWord>)</errorWord>
      <group>L1_Format</group>
      <groupName>格式问题</groupName>
      <ability>L2_HalfPunc</ability>
      <abilityName>全半角检查</abilityName>
      <candidateList>
        <item>）</item>
      </candidateList>
      <explain>文本全半角错误。</explain>
      <paraID>2412E304</paraID>
      <start>8</start>
      <end>9</end>
      <status>unmodified</status>
      <modifiedWord/>
      <trackRevisions>false</trackRevisions>
    </reviewItem>
    <reviewItem>
      <errorID>443a421d-3859-475f-ab48-85d38119ec02</errorID>
      <errorWord>(</errorWord>
      <group>L1_Format</group>
      <groupName>格式问题</groupName>
      <ability>L2_HalfPunc</ability>
      <abilityName>全半角检查</abilityName>
      <candidateList>
        <item>（</item>
      </candidateList>
      <explain>文本全半角错误。</explain>
      <paraID>14DAC7D4</paraID>
      <start>3</start>
      <end>4</end>
      <status>unmodified</status>
      <modifiedWord/>
      <trackRevisions>false</trackRevisions>
    </reviewItem>
    <reviewItem>
      <errorID>ab8de6c2-7f60-414f-be5f-f0f4f61b1924</errorID>
      <errorWord>)</errorWord>
      <group>L1_Format</group>
      <groupName>格式问题</groupName>
      <ability>L2_HalfPunc</ability>
      <abilityName>全半角检查</abilityName>
      <candidateList>
        <item>）</item>
      </candidateList>
      <explain>文本全半角错误。</explain>
      <paraID>14DAC7D4</paraID>
      <start>8</start>
      <end>9</end>
      <status>unmodified</status>
      <modifiedWord/>
      <trackRevisions>false</trackRevisions>
    </reviewItem>
    <reviewItem>
      <errorID>076496ee-e133-462b-b68c-e14a64516d53</errorID>
      <errorWord>(</errorWord>
      <group>L1_Format</group>
      <groupName>格式问题</groupName>
      <ability>L2_HalfPunc</ability>
      <abilityName>全半角检查</abilityName>
      <candidateList>
        <item>（</item>
      </candidateList>
      <explain>文本全半角错误。</explain>
      <paraID>59E58780</paraID>
      <start>1</start>
      <end>2</end>
      <status>unmodified</status>
      <modifiedWord/>
      <trackRevisions>false</trackRevisions>
    </reviewItem>
    <reviewItem>
      <errorID>bfbfb292-ed54-4a6e-a1b7-e32a16e0e83d</errorID>
      <errorWord>)</errorWord>
      <group>L1_Format</group>
      <groupName>格式问题</groupName>
      <ability>L2_HalfPunc</ability>
      <abilityName>全半角检查</abilityName>
      <candidateList>
        <item>）</item>
      </candidateList>
      <explain>文本全半角错误。</explain>
      <paraID>59E58780</paraID>
      <start>6</start>
      <end>7</end>
      <status>unmodified</status>
      <modifiedWord/>
      <trackRevisions>false</trackRevisions>
    </reviewItem>
    <reviewItem>
      <errorID>a9c4e545-b415-48fe-b8a4-be1b2561a556</errorID>
      <errorWord>(</errorWord>
      <group>L1_Format</group>
      <groupName>格式问题</groupName>
      <ability>L2_HalfPunc</ability>
      <abilityName>全半角检查</abilityName>
      <candidateList>
        <item>（</item>
      </candidateList>
      <explain>文本全半角错误。</explain>
      <paraID>35103BF0</paraID>
      <start>1</start>
      <end>2</end>
      <status>unmodified</status>
      <modifiedWord/>
      <trackRevisions>false</trackRevisions>
    </reviewItem>
    <reviewItem>
      <errorID>98027c80-4005-40c9-8179-5a8d8f5af306</errorID>
      <errorWord>)</errorWord>
      <group>L1_Format</group>
      <groupName>格式问题</groupName>
      <ability>L2_HalfPunc</ability>
      <abilityName>全半角检查</abilityName>
      <candidateList>
        <item>）</item>
      </candidateList>
      <explain>文本全半角错误。</explain>
      <paraID>35103BF0</paraID>
      <start>6</start>
      <end>7</end>
      <status>unmodified</status>
      <modifiedWord/>
      <trackRevisions>false</trackRevisions>
    </reviewItem>
    <reviewItem>
      <errorID>c8b1659f-38fb-46d3-902a-905924de8662</errorID>
      <errorWord>(</errorWord>
      <group>L1_Format</group>
      <groupName>格式问题</groupName>
      <ability>L2_HalfPunc</ability>
      <abilityName>全半角检查</abilityName>
      <candidateList>
        <item>（</item>
      </candidateList>
      <explain>文本全半角错误。</explain>
      <paraID> 109D8D5</paraID>
      <start>1</start>
      <end>2</end>
      <status>unmodified</status>
      <modifiedWord/>
      <trackRevisions>false</trackRevisions>
    </reviewItem>
    <reviewItem>
      <errorID>806fa6fc-7137-4757-a3bb-76d5fb4904dd</errorID>
      <errorWord>)</errorWord>
      <group>L1_Format</group>
      <groupName>格式问题</groupName>
      <ability>L2_HalfPunc</ability>
      <abilityName>全半角检查</abilityName>
      <candidateList>
        <item>）</item>
      </candidateList>
      <explain>文本全半角错误。</explain>
      <paraID> 109D8D5</paraID>
      <start>6</start>
      <end>7</end>
      <status>unmodified</status>
      <modifiedWord/>
      <trackRevisions>false</trackRevisions>
    </reviewItem>
    <reviewItem>
      <errorID>0e374e84-c7f1-4ae7-8ad4-5df0adc3104c</errorID>
      <errorWord>(</errorWord>
      <group>L1_Format</group>
      <groupName>格式问题</groupName>
      <ability>L2_HalfPunc</ability>
      <abilityName>全半角检查</abilityName>
      <candidateList>
        <item>（</item>
      </candidateList>
      <explain>文本全半角错误。</explain>
      <paraID> 3775F61</paraID>
      <start>1</start>
      <end>2</end>
      <status>unmodified</status>
      <modifiedWord/>
      <trackRevisions>false</trackRevisions>
    </reviewItem>
    <reviewItem>
      <errorID>607db56d-aabe-4e2c-ab75-ed139aee32ed</errorID>
      <errorWord>)</errorWord>
      <group>L1_Format</group>
      <groupName>格式问题</groupName>
      <ability>L2_HalfPunc</ability>
      <abilityName>全半角检查</abilityName>
      <candidateList>
        <item>）</item>
      </candidateList>
      <explain>文本全半角错误。</explain>
      <paraID> 3775F61</paraID>
      <start>6</start>
      <end>7</end>
      <status>unmodified</status>
      <modifiedWord/>
      <trackRevisions>false</trackRevisions>
    </reviewItem>
    <reviewItem>
      <errorID>e0479864-4676-410e-a68a-0ede05cdd457</errorID>
      <errorWord>(</errorWord>
      <group>L1_Format</group>
      <groupName>格式问题</groupName>
      <ability>L2_HalfPunc</ability>
      <abilityName>全半角检查</abilityName>
      <candidateList>
        <item>（</item>
      </candidateList>
      <explain>文本全半角错误。</explain>
      <paraID>2827A912</paraID>
      <start>3</start>
      <end>4</end>
      <status>unmodified</status>
      <modifiedWord/>
      <trackRevisions>false</trackRevisions>
    </reviewItem>
    <reviewItem>
      <errorID>58c2a263-220f-4c8c-8489-dd74e1d28350</errorID>
      <errorWord>)</errorWord>
      <group>L1_Format</group>
      <groupName>格式问题</groupName>
      <ability>L2_HalfPunc</ability>
      <abilityName>全半角检查</abilityName>
      <candidateList>
        <item>）</item>
      </candidateList>
      <explain>文本全半角错误。</explain>
      <paraID>2827A912</paraID>
      <start>8</start>
      <end>9</end>
      <status>unmodified</status>
      <modifiedWord/>
      <trackRevisions>false</trackRevisions>
    </reviewItem>
    <reviewItem>
      <errorID>6672db0b-9620-4cec-90d6-04956e3bcbd4</errorID>
      <errorWord>(</errorWord>
      <group>L1_Format</group>
      <groupName>格式问题</groupName>
      <ability>L2_HalfPunc</ability>
      <abilityName>全半角检查</abilityName>
      <candidateList>
        <item>（</item>
      </candidateList>
      <explain>文本全半角错误。</explain>
      <paraID>633EB2EF</paraID>
      <start>1</start>
      <end>2</end>
      <status>unmodified</status>
      <modifiedWord/>
      <trackRevisions>false</trackRevisions>
    </reviewItem>
    <reviewItem>
      <errorID>6d22ef44-b664-4b87-bbd8-e6e3c3bd1697</errorID>
      <errorWord>)</errorWord>
      <group>L1_Format</group>
      <groupName>格式问题</groupName>
      <ability>L2_HalfPunc</ability>
      <abilityName>全半角检查</abilityName>
      <candidateList>
        <item>）</item>
      </candidateList>
      <explain>文本全半角错误。</explain>
      <paraID>633EB2EF</paraID>
      <start>6</start>
      <end>7</end>
      <status>unmodified</status>
      <modifiedWord/>
      <trackRevisions>false</trackRevisions>
    </reviewItem>
    <reviewItem>
      <errorID>2bb12155-8029-4590-9053-597367b3246e</errorID>
      <errorWord>(</errorWord>
      <group>L1_Format</group>
      <groupName>格式问题</groupName>
      <ability>L2_HalfPunc</ability>
      <abilityName>全半角检查</abilityName>
      <candidateList>
        <item>（</item>
      </candidateList>
      <explain>文本全半角错误。</explain>
      <paraID>72CE8A47</paraID>
      <start>1</start>
      <end>2</end>
      <status>unmodified</status>
      <modifiedWord/>
      <trackRevisions>false</trackRevisions>
    </reviewItem>
    <reviewItem>
      <errorID>a9a2c9d6-d2f6-456b-b025-f993607c3cb0</errorID>
      <errorWord>)</errorWord>
      <group>L1_Format</group>
      <groupName>格式问题</groupName>
      <ability>L2_HalfPunc</ability>
      <abilityName>全半角检查</abilityName>
      <candidateList>
        <item>）</item>
      </candidateList>
      <explain>文本全半角错误。</explain>
      <paraID>72CE8A47</paraID>
      <start>6</start>
      <end>7</end>
      <status>unmodified</status>
      <modifiedWord/>
      <trackRevisions>false</trackRevisions>
    </reviewItem>
    <reviewItem>
      <errorID>07c8f6e7-ac70-4743-bf3f-abb81de35eac</errorID>
      <errorWord>(</errorWord>
      <group>L1_Format</group>
      <groupName>格式问题</groupName>
      <ability>L2_HalfPunc</ability>
      <abilityName>全半角检查</abilityName>
      <candidateList>
        <item>（</item>
      </candidateList>
      <explain>文本全半角错误。</explain>
      <paraID>31A4831E</paraID>
      <start>6</start>
      <end>7</end>
      <status>unmodified</status>
      <modifiedWord/>
      <trackRevisions>false</trackRevisions>
    </reviewItem>
    <reviewItem>
      <errorID>04e14375-18bf-4976-8236-5ef0289a158f</errorID>
      <errorWord>)</errorWord>
      <group>L1_Format</group>
      <groupName>格式问题</groupName>
      <ability>L2_HalfPunc</ability>
      <abilityName>全半角检查</abilityName>
      <candidateList>
        <item>）</item>
      </candidateList>
      <explain>文本全半角错误。</explain>
      <paraID>31A4831E</paraID>
      <start>11</start>
      <end>12</end>
      <status>unmodified</status>
      <modifiedWord/>
      <trackRevisions>false</trackRevisions>
    </reviewItem>
    <reviewItem>
      <errorID>3aabacfa-b0d5-4b85-a384-65c0ae89c321</errorID>
      <errorWord>(</errorWord>
      <group>L1_Format</group>
      <groupName>格式问题</groupName>
      <ability>L2_HalfPunc</ability>
      <abilityName>全半角检查</abilityName>
      <candidateList>
        <item>（</item>
      </candidateList>
      <explain>文本全半角错误。</explain>
      <paraID>40D52F77</paraID>
      <start>3</start>
      <end>4</end>
      <status>unmodified</status>
      <modifiedWord/>
      <trackRevisions>false</trackRevisions>
    </reviewItem>
    <reviewItem>
      <errorID>d69eedfc-68c9-4ed8-8868-db34d1286ef9</errorID>
      <errorWord>)</errorWord>
      <group>L1_Format</group>
      <groupName>格式问题</groupName>
      <ability>L2_HalfPunc</ability>
      <abilityName>全半角检查</abilityName>
      <candidateList>
        <item>）</item>
      </candidateList>
      <explain>文本全半角错误。</explain>
      <paraID>40D52F77</paraID>
      <start>8</start>
      <end>9</end>
      <status>unmodified</status>
      <modifiedWord/>
      <trackRevisions>false</trackRevisions>
    </reviewItem>
    <reviewItem>
      <errorID>6c85dd12-4053-4f4b-a51a-7488ee052dcd</errorID>
      <errorWord>(</errorWord>
      <group>L1_Format</group>
      <groupName>格式问题</groupName>
      <ability>L2_HalfPunc</ability>
      <abilityName>全半角检查</abilityName>
      <candidateList>
        <item>（</item>
      </candidateList>
      <explain>文本全半角错误。</explain>
      <paraID>4E06D294</paraID>
      <start>3</start>
      <end>4</end>
      <status>unmodified</status>
      <modifiedWord/>
      <trackRevisions>false</trackRevisions>
    </reviewItem>
    <reviewItem>
      <errorID>f002387f-121b-4687-bde6-5b9a8912f575</errorID>
      <errorWord>)</errorWord>
      <group>L1_Format</group>
      <groupName>格式问题</groupName>
      <ability>L2_HalfPunc</ability>
      <abilityName>全半角检查</abilityName>
      <candidateList>
        <item>）</item>
      </candidateList>
      <explain>文本全半角错误。</explain>
      <paraID>4E06D294</paraID>
      <start>8</start>
      <end>9</end>
      <status>unmodified</status>
      <modifiedWord/>
      <trackRevisions>false</trackRevisions>
    </reviewItem>
    <reviewItem>
      <errorID>44c17f7f-9073-4b01-aaf3-2cf780e1d674</errorID>
      <errorWord>(</errorWord>
      <group>L1_Format</group>
      <groupName>格式问题</groupName>
      <ability>L2_HalfPunc</ability>
      <abilityName>全半角检查</abilityName>
      <candidateList>
        <item>（</item>
      </candidateList>
      <explain>文本全半角错误。</explain>
      <paraID>2725FB13</paraID>
      <start>3</start>
      <end>4</end>
      <status>unmodified</status>
      <modifiedWord/>
      <trackRevisions>false</trackRevisions>
    </reviewItem>
    <reviewItem>
      <errorID>1b8c0454-ad6f-4229-8cc9-336a792b941d</errorID>
      <errorWord>)</errorWord>
      <group>L1_Format</group>
      <groupName>格式问题</groupName>
      <ability>L2_HalfPunc</ability>
      <abilityName>全半角检查</abilityName>
      <candidateList>
        <item>）</item>
      </candidateList>
      <explain>文本全半角错误。</explain>
      <paraID>2725FB13</paraID>
      <start>8</start>
      <end>9</end>
      <status>unmodified</status>
      <modifiedWord/>
      <trackRevisions>false</trackRevisions>
    </reviewItem>
    <reviewItem>
      <errorID>74012ca7-046d-4fd2-afa7-9e8ed2342fa3</errorID>
      <errorWord>(</errorWord>
      <group>L1_Format</group>
      <groupName>格式问题</groupName>
      <ability>L2_HalfPunc</ability>
      <abilityName>全半角检查</abilityName>
      <candidateList>
        <item>（</item>
      </candidateList>
      <explain>文本全半角错误。</explain>
      <paraID>78E3409D</paraID>
      <start>3</start>
      <end>4</end>
      <status>unmodified</status>
      <modifiedWord/>
      <trackRevisions>false</trackRevisions>
    </reviewItem>
    <reviewItem>
      <errorID>dfc369de-3b0d-4624-b3b7-94c324b9decc</errorID>
      <errorWord>)</errorWord>
      <group>L1_Format</group>
      <groupName>格式问题</groupName>
      <ability>L2_HalfPunc</ability>
      <abilityName>全半角检查</abilityName>
      <candidateList>
        <item>）</item>
      </candidateList>
      <explain>文本全半角错误。</explain>
      <paraID>78E3409D</paraID>
      <start>8</start>
      <end>9</end>
      <status>unmodified</status>
      <modifiedWord/>
      <trackRevisions>false</trackRevisions>
    </reviewItem>
    <reviewItem>
      <errorID>e1a16fb7-bb34-4bcd-98e8-5392aa1b1a73</errorID>
      <errorWord>(</errorWord>
      <group>L1_Format</group>
      <groupName>格式问题</groupName>
      <ability>L2_HalfPunc</ability>
      <abilityName>全半角检查</abilityName>
      <candidateList>
        <item>（</item>
      </candidateList>
      <explain>文本全半角错误。</explain>
      <paraID>4E7CA4D2</paraID>
      <start>3</start>
      <end>4</end>
      <status>unmodified</status>
      <modifiedWord/>
      <trackRevisions>false</trackRevisions>
    </reviewItem>
    <reviewItem>
      <errorID>1f501586-18a9-484e-b717-0e9efa8fef9b</errorID>
      <errorWord>)</errorWord>
      <group>L1_Format</group>
      <groupName>格式问题</groupName>
      <ability>L2_HalfPunc</ability>
      <abilityName>全半角检查</abilityName>
      <candidateList>
        <item>）</item>
      </candidateList>
      <explain>文本全半角错误。</explain>
      <paraID>4E7CA4D2</paraID>
      <start>8</start>
      <end>9</end>
      <status>unmodified</status>
      <modifiedWord/>
      <trackRevisions>false</trackRevisions>
    </reviewItem>
    <reviewItem>
      <errorID>0b89266e-5e09-4b39-af98-1d4eddd126a0</errorID>
      <errorWord>(</errorWord>
      <group>L1_Format</group>
      <groupName>格式问题</groupName>
      <ability>L2_HalfPunc</ability>
      <abilityName>全半角检查</abilityName>
      <candidateList>
        <item>（</item>
      </candidateList>
      <explain>文本全半角错误。</explain>
      <paraID> 3290CFE</paraID>
      <start>8</start>
      <end>9</end>
      <status>unmodified</status>
      <modifiedWord/>
      <trackRevisions>false</trackRevisions>
    </reviewItem>
    <reviewItem>
      <errorID>fb355fd9-8736-4927-b6f5-e7bb17df0d61</errorID>
      <errorWord>)</errorWord>
      <group>L1_Format</group>
      <groupName>格式问题</groupName>
      <ability>L2_HalfPunc</ability>
      <abilityName>全半角检查</abilityName>
      <candidateList>
        <item>）</item>
      </candidateList>
      <explain>文本全半角错误。</explain>
      <paraID> 3290CFE</paraID>
      <start>13</start>
      <end>14</end>
      <status>unmodified</status>
      <modifiedWord/>
      <trackRevisions>false</trackRevisions>
    </reviewItem>
    <reviewItem>
      <errorID>0f17ad02-92e8-4a80-9746-0e8d838089c7</errorID>
      <errorWord>(</errorWord>
      <group>L1_Format</group>
      <groupName>格式问题</groupName>
      <ability>L2_HalfPunc</ability>
      <abilityName>全半角检查</abilityName>
      <candidateList>
        <item>（</item>
      </candidateList>
      <explain>文本全半角错误。</explain>
      <paraID>72871A2C</paraID>
      <start>3</start>
      <end>4</end>
      <status>unmodified</status>
      <modifiedWord/>
      <trackRevisions>false</trackRevisions>
    </reviewItem>
    <reviewItem>
      <errorID>9c54e976-a642-44b1-a733-e8ecd7e9cc0f</errorID>
      <errorWord>)</errorWord>
      <group>L1_Format</group>
      <groupName>格式问题</groupName>
      <ability>L2_HalfPunc</ability>
      <abilityName>全半角检查</abilityName>
      <candidateList>
        <item>）</item>
      </candidateList>
      <explain>文本全半角错误。</explain>
      <paraID>72871A2C</paraID>
      <start>8</start>
      <end>9</end>
      <status>unmodified</status>
      <modifiedWord/>
      <trackRevisions>false</trackRevisions>
    </reviewItem>
    <reviewItem>
      <errorID>654db2f8-e633-4972-b595-7684bcb46f86</errorID>
      <errorWord>(</errorWord>
      <group>L1_Format</group>
      <groupName>格式问题</groupName>
      <ability>L2_HalfPunc</ability>
      <abilityName>全半角检查</abilityName>
      <candidateList>
        <item>（</item>
      </candidateList>
      <explain>文本全半角错误。</explain>
      <paraID>332E7326</paraID>
      <start>5</start>
      <end>6</end>
      <status>unmodified</status>
      <modifiedWord/>
      <trackRevisions>false</trackRevisions>
    </reviewItem>
    <reviewItem>
      <errorID>25ae31e7-24bf-4009-ad82-bdbb423dee36</errorID>
      <errorWord>)</errorWord>
      <group>L1_Format</group>
      <groupName>格式问题</groupName>
      <ability>L2_HalfPunc</ability>
      <abilityName>全半角检查</abilityName>
      <candidateList>
        <item>）</item>
      </candidateList>
      <explain>文本全半角错误。</explain>
      <paraID>332E7326</paraID>
      <start>10</start>
      <end>11</end>
      <status>unmodified</status>
      <modifiedWord/>
      <trackRevisions>false</trackRevisions>
    </reviewItem>
    <reviewItem>
      <errorID>ab3f41db-3358-4541-9f5b-8e6be0ddfa6f</errorID>
      <errorWord>(</errorWord>
      <group>L1_Format</group>
      <groupName>格式问题</groupName>
      <ability>L2_HalfPunc</ability>
      <abilityName>全半角检查</abilityName>
      <candidateList>
        <item>（</item>
      </candidateList>
      <explain>文本全半角错误。</explain>
      <paraID>26D294F0</paraID>
      <start>1</start>
      <end>2</end>
      <status>unmodified</status>
      <modifiedWord/>
      <trackRevisions>false</trackRevisions>
    </reviewItem>
    <reviewItem>
      <errorID>2b08e8e6-e162-42de-93f7-59def6dfb20f</errorID>
      <errorWord>)</errorWord>
      <group>L1_Format</group>
      <groupName>格式问题</groupName>
      <ability>L2_HalfPunc</ability>
      <abilityName>全半角检查</abilityName>
      <candidateList>
        <item>）</item>
      </candidateList>
      <explain>文本全半角错误。</explain>
      <paraID>26D294F0</paraID>
      <start>6</start>
      <end>7</end>
      <status>unmodified</status>
      <modifiedWord/>
      <trackRevisions>false</trackRevisions>
    </reviewItem>
    <reviewItem>
      <errorID>26fb1d61-6345-4ba8-a2f9-a82c8b2b7732</errorID>
      <errorWord>(</errorWord>
      <group>L1_Format</group>
      <groupName>格式问题</groupName>
      <ability>L2_HalfPunc</ability>
      <abilityName>全半角检查</abilityName>
      <candidateList>
        <item>（</item>
      </candidateList>
      <explain>文本全半角错误。</explain>
      <paraID>2191E1FA</paraID>
      <start>1</start>
      <end>2</end>
      <status>unmodified</status>
      <modifiedWord/>
      <trackRevisions>false</trackRevisions>
    </reviewItem>
    <reviewItem>
      <errorID>6fa32aef-6012-4128-8ec3-3548b9f51cb6</errorID>
      <errorWord>)</errorWord>
      <group>L1_Format</group>
      <groupName>格式问题</groupName>
      <ability>L2_HalfPunc</ability>
      <abilityName>全半角检查</abilityName>
      <candidateList>
        <item>）</item>
      </candidateList>
      <explain>文本全半角错误。</explain>
      <paraID>2191E1FA</paraID>
      <start>6</start>
      <end>7</end>
      <status>unmodified</status>
      <modifiedWord/>
      <trackRevisions>false</trackRevisions>
    </reviewItem>
    <reviewItem>
      <errorID>b717aa91-7058-4d1e-8ef4-05419a921786</errorID>
      <errorWord>(</errorWord>
      <group>L1_Format</group>
      <groupName>格式问题</groupName>
      <ability>L2_HalfPunc</ability>
      <abilityName>全半角检查</abilityName>
      <candidateList>
        <item>（</item>
      </candidateList>
      <explain>文本全半角错误。</explain>
      <paraID> EBA43E0</paraID>
      <start>2</start>
      <end>3</end>
      <status>unmodified</status>
      <modifiedWord/>
      <trackRevisions>false</trackRevisions>
    </reviewItem>
    <reviewItem>
      <errorID>4492968c-2111-4f22-801c-2b01bec62bb4</errorID>
      <errorWord>)</errorWord>
      <group>L1_Format</group>
      <groupName>格式问题</groupName>
      <ability>L2_HalfPunc</ability>
      <abilityName>全半角检查</abilityName>
      <candidateList>
        <item>）</item>
      </candidateList>
      <explain>文本全半角错误。</explain>
      <paraID> EBA43E0</paraID>
      <start>7</start>
      <end>8</end>
      <status>unmodified</status>
      <modifiedWord/>
      <trackRevisions>false</trackRevisions>
    </reviewItem>
    <reviewItem>
      <errorID>764ae493-8896-4262-9101-d8e9121f2e07</errorID>
      <errorWord>(</errorWord>
      <group>L1_Format</group>
      <groupName>格式问题</groupName>
      <ability>L2_HalfPunc</ability>
      <abilityName>全半角检查</abilityName>
      <candidateList>
        <item>（</item>
      </candidateList>
      <explain>文本全半角错误。</explain>
      <paraID>1AE3CDCC</paraID>
      <start>4</start>
      <end>5</end>
      <status>unmodified</status>
      <modifiedWord/>
      <trackRevisions>false</trackRevisions>
    </reviewItem>
    <reviewItem>
      <errorID>b58247c1-cc1c-4b9c-aea0-a44bd6154532</errorID>
      <errorWord>)</errorWord>
      <group>L1_Format</group>
      <groupName>格式问题</groupName>
      <ability>L2_HalfPunc</ability>
      <abilityName>全半角检查</abilityName>
      <candidateList>
        <item>）</item>
      </candidateList>
      <explain>文本全半角错误。</explain>
      <paraID>1AE3CDCC</paraID>
      <start>9</start>
      <end>10</end>
      <status>unmodified</status>
      <modifiedWord/>
      <trackRevisions>false</trackRevisions>
    </reviewItem>
    <reviewItem>
      <errorID>82f83435-bfbb-472d-93a1-231ed55beecd</errorID>
      <errorWord>(</errorWord>
      <group>L1_Format</group>
      <groupName>格式问题</groupName>
      <ability>L2_HalfPunc</ability>
      <abilityName>全半角检查</abilityName>
      <candidateList>
        <item>（</item>
      </candidateList>
      <explain>文本全半角错误。</explain>
      <paraID> 50001B8</paraID>
      <start>4</start>
      <end>5</end>
      <status>unmodified</status>
      <modifiedWord/>
      <trackRevisions>false</trackRevisions>
    </reviewItem>
    <reviewItem>
      <errorID>95b85d36-bc86-49be-b7fc-2924be2fd696</errorID>
      <errorWord>)</errorWord>
      <group>L1_Format</group>
      <groupName>格式问题</groupName>
      <ability>L2_HalfPunc</ability>
      <abilityName>全半角检查</abilityName>
      <candidateList>
        <item>）</item>
      </candidateList>
      <explain>文本全半角错误。</explain>
      <paraID> 50001B8</paraID>
      <start>9</start>
      <end>10</end>
      <status>unmodified</status>
      <modifiedWord/>
      <trackRevisions>false</trackRevisions>
    </reviewItem>
    <reviewItem>
      <errorID>9a89bdee-55ac-4bd8-99cf-540ea12c1376</errorID>
      <errorWord>(</errorWord>
      <group>L1_Format</group>
      <groupName>格式问题</groupName>
      <ability>L2_HalfPunc</ability>
      <abilityName>全半角检查</abilityName>
      <candidateList>
        <item>（</item>
      </candidateList>
      <explain>文本全半角错误。</explain>
      <paraID>43846753</paraID>
      <start>1</start>
      <end>2</end>
      <status>unmodified</status>
      <modifiedWord/>
      <trackRevisions>false</trackRevisions>
    </reviewItem>
    <reviewItem>
      <errorID>7005a066-d73b-4ad7-b0a7-4b10108ca77a</errorID>
      <errorWord>)</errorWord>
      <group>L1_Format</group>
      <groupName>格式问题</groupName>
      <ability>L2_HalfPunc</ability>
      <abilityName>全半角检查</abilityName>
      <candidateList>
        <item>）</item>
      </candidateList>
      <explain>文本全半角错误。</explain>
      <paraID>43846753</paraID>
      <start>6</start>
      <end>7</end>
      <status>unmodified</status>
      <modifiedWord/>
      <trackRevisions>false</trackRevisions>
    </reviewItem>
    <reviewItem>
      <errorID>5a705f75-c474-464e-b538-c1017ffefd89</errorID>
      <errorWord>(</errorWord>
      <group>L1_Format</group>
      <groupName>格式问题</groupName>
      <ability>L2_HalfPunc</ability>
      <abilityName>全半角检查</abilityName>
      <candidateList>
        <item>（</item>
      </candidateList>
      <explain>文本全半角错误。</explain>
      <paraID>  B11B8B</paraID>
      <start>1</start>
      <end>2</end>
      <status>unmodified</status>
      <modifiedWord/>
      <trackRevisions>false</trackRevisions>
    </reviewItem>
    <reviewItem>
      <errorID>93152c3f-ec7d-4af2-a302-f0aa2dc924c9</errorID>
      <errorWord>)</errorWord>
      <group>L1_Format</group>
      <groupName>格式问题</groupName>
      <ability>L2_HalfPunc</ability>
      <abilityName>全半角检查</abilityName>
      <candidateList>
        <item>）</item>
      </candidateList>
      <explain>文本全半角错误。</explain>
      <paraID>  B11B8B</paraID>
      <start>6</start>
      <end>7</end>
      <status>unmodified</status>
      <modifiedWord/>
      <trackRevisions>false</trackRevisions>
    </reviewItem>
    <reviewItem>
      <errorID>b2cedbed-790e-41a8-8ebf-32aaf5e29f0e</errorID>
      <errorWord>委托了</errorWord>
      <group>L1_Word</group>
      <groupName>字词问题</groupName>
      <ability>L2_Typo</ability>
      <abilityName>字词错误</abilityName>
      <candidateList>
        <item>委托</item>
      </candidateList>
      <explain/>
      <paraID>38DAE8B7</paraID>
      <start>38</start>
      <end>41</end>
      <status>unmodified</status>
      <modifiedWord/>
      <trackRevisions>false</trackRevisions>
    </reviewItem>
    <reviewItem>
      <errorID>3aeb5524-b266-4201-a96f-9be393fd4701</errorID>
      <errorWord>采用了</errorWord>
      <group>L1_Word</group>
      <groupName>字词问题</groupName>
      <ability>L2_Typo</ability>
      <abilityName>字词错误</abilityName>
      <candidateList>
        <item>采用</item>
      </candidateList>
      <explain>〈动〉认为合适而使用：～新工艺｜～举手表决方式｜那篇稿子已被编辑部～。</explain>
      <paraID>25EF8DD9</paraID>
      <start>40</start>
      <end>43</end>
      <status>unmodified</status>
      <modifiedWord/>
      <trackRevisions>false</trackRevisions>
    </reviewItem>
    <reviewItem>
      <errorID>ef6e25aa-fd83-4c1d-80fc-2af6a0819ae8</errorID>
      <errorWord>固相</errorWord>
      <group>L1_Word</group>
      <groupName>字词问题</groupName>
      <ability>L2_Typo</ability>
      <abilityName>字词错误</abilityName>
      <candidateList>
        <item>土地</item>
      </candidateList>
      <explain/>
      <paraID>1AD55BDA</paraID>
      <start>147</start>
      <end>149</end>
      <status>unmodified</status>
      <modifiedWord/>
      <trackRevisions>false</trackRevisions>
    </reviewItem>
    <reviewItem>
      <errorID>f0cafc41-1402-4224-ac61-52b049d62f68</errorID>
      <errorWord>～</errorWord>
      <group>L1_Format</group>
      <groupName>格式问题</groupName>
      <ability>L2_HalfPunc</ability>
      <abilityName>全半角检查</abilityName>
      <candidateList>
        <item>~</item>
      </candidateList>
      <explain>文本全半角错误。</explain>
      <paraID>2B512C4A</paraID>
      <start>1</start>
      <end>2</end>
      <status>unmodified</status>
      <modifiedWord/>
      <trackRevisions>false</trackRevisions>
    </reviewItem>
    <reviewItem>
      <errorID>fa0e8421-95b6-4965-b156-333845da69da</errorID>
      <errorWord>：</errorWord>
      <group>L1_Format</group>
      <groupName>格式问题</groupName>
      <ability>L2_HalfPunc</ability>
      <abilityName>全半角检查</abilityName>
      <candidateList>
        <item>:</item>
      </candidateList>
      <explain>文本全半角错误。</explain>
      <paraID>6CF052DE</paraID>
      <start>156</start>
      <end>157</end>
      <status>unmodified</status>
      <modifiedWord/>
      <trackRevisions>false</trackRevisions>
    </reviewItem>
    <reviewItem>
      <errorID>81837a89-3b48-4735-a269-bdc7bc204a51</errorID>
      <errorWord>根据地下水检测结果表明</errorWord>
      <group>L1_Grammar</group>
      <groupName>语法问题</groupName>
      <ability>L2_Grammar</ability>
      <abilityName>语法错误</abilityName>
      <candidateList>
        <item>根据地下水检测</item>
      </candidateList>
      <explain/>
      <paraID>3C08087D</paraID>
      <start>0</start>
      <end>11</end>
      <status>unmodified</status>
      <modifiedWord/>
      <trackRevisions>false</trackRevisions>
    </reviewItem>
    <reviewItem>
      <errorID>c04cf727-c1a2-4b3f-88af-e337b51424fb</errorID>
      <errorWord>（</errorWord>
      <group>L1_Punc</group>
      <groupName>标点问题</groupName>
      <ability>L2_Punc</ability>
      <abilityName>标点符号检查</abilityName>
      <candidateList/>
      <explain>同一形式括号套用。</explain>
      <paraID>5949ED7A</paraID>
      <start>62</start>
      <end>63</end>
      <status>unmodified</status>
      <modifiedWord/>
      <trackRevisions>false</trackRevisions>
    </reviewItem>
    <reviewItem>
      <errorID>61173376-a690-4881-b5b2-b6205fdb56e9</errorID>
      <errorWord>）</errorWord>
      <group>L1_Punc</group>
      <groupName>标点问题</groupName>
      <ability>L2_Punc</ability>
      <abilityName>标点符号检查</abilityName>
      <candidateList/>
      <explain>同一形式括号套用。</explain>
      <paraID>5949ED7A</paraID>
      <start>64</start>
      <end>65</end>
      <status>unmodified</status>
      <modifiedWord/>
      <trackRevisions>false</trackRevisions>
    </reviewItem>
    <reviewItem>
      <errorID>1f775996-33cf-4eac-98cd-59372591412b</errorID>
      <errorWord>（</errorWord>
      <group>L1_Punc</group>
      <groupName>标点问题</groupName>
      <ability>L2_Punc</ability>
      <abilityName>标点符号检查</abilityName>
      <candidateList/>
      <explain>同一形式括号套用。</explain>
      <paraID>5949ED7A</paraID>
      <start>72</start>
      <end>73</end>
      <status>unmodified</status>
      <modifiedWord/>
      <trackRevisions>false</trackRevisions>
    </reviewItem>
    <reviewItem>
      <errorID>27d02c64-5927-421d-91d5-f5aa3782a6d6</errorID>
      <errorWord>）</errorWord>
      <group>L1_Punc</group>
      <groupName>标点问题</groupName>
      <ability>L2_Punc</ability>
      <abilityName>标点符号检查</abilityName>
      <candidateList/>
      <explain>同一形式括号套用。</explain>
      <paraID>5949ED7A</paraID>
      <start>74</start>
      <end>75</end>
      <status>unmodified</status>
      <modifiedWord/>
      <trackRevisions>false</trackRevisions>
    </reviewItem>
    <reviewItem>
      <errorID>0c0da591-f61c-4253-ba48-85811ea58ed9</errorID>
      <errorWord>-</errorWord>
      <group>L1_Format</group>
      <groupName>格式问题</groupName>
      <ability>L2_HalfPunc</ability>
      <abilityName>全半角检查</abilityName>
      <candidateList>
        <item>－</item>
      </candidateList>
      <explain>文本全半角错误。</explain>
      <paraID>5948A6D0</paraID>
      <start>87</start>
      <end>88</end>
      <status>unmodified</status>
      <modifiedWord/>
      <trackRevisions>false</trackRevisions>
    </reviewItem>
    <reviewItem>
      <errorID>20bc18e9-27da-4818-a66e-2b2820201561</errorID>
      <errorWord>-</errorWord>
      <group>L1_Format</group>
      <groupName>格式问题</groupName>
      <ability>L2_HalfPunc</ability>
      <abilityName>全半角检查</abilityName>
      <candidateList>
        <item>－</item>
      </candidateList>
      <explain>文本全半角错误。</explain>
      <paraID>5948A6D0</paraID>
      <start>90</start>
      <end>91</end>
      <status>unmodified</status>
      <modifiedWord/>
      <trackRevisions>false</trackRevisions>
    </reviewItem>
    <reviewItem>
      <errorID>bd237337-0c03-4cfc-a264-b5afb6979932</errorID>
      <errorWord>截止</errorWord>
      <group>L1_Word</group>
      <groupName>字词问题</groupName>
      <ability>L2_Typo</ability>
      <abilityName>字词错误</abilityName>
      <candidateList>
        <item>截至</item>
      </candidateList>
      <explain>存在发音相同字词的误用。</explain>
      <paraID> 75637BA</paraID>
      <start>27</start>
      <end>29</end>
      <status>unmodified</status>
      <modifiedWord/>
      <trackRevisions>false</trackRevisions>
    </reviewItem>
    <reviewItem>
      <errorID>4e49d0f9-f888-4a98-a993-04131c8581a7</errorID>
      <errorWord>-</errorWord>
      <group>L1_Format</group>
      <groupName>格式问题</groupName>
      <ability>L2_HalfPunc</ability>
      <abilityName>全半角检查</abilityName>
      <candidateList>
        <item>－</item>
      </candidateList>
      <explain>文本全半角错误。</explain>
      <paraID>63B3C64E</paraID>
      <start>44</start>
      <end>45</end>
      <status>unmodified</status>
      <modifiedWord/>
      <trackRevisions>false</trackRevisions>
    </reviewItem>
    <reviewItem>
      <errorID>fd18a6b2-ea43-4765-8523-08271fc7bffc</errorID>
      <errorWord>-</errorWord>
      <group>L1_Format</group>
      <groupName>格式问题</groupName>
      <ability>L2_HalfPunc</ability>
      <abilityName>全半角检查</abilityName>
      <candidateList>
        <item>－</item>
      </candidateList>
      <explain>文本全半角错误。</explain>
      <paraID>63B3C64E</paraID>
      <start>47</start>
      <end>48</end>
      <status>unmodified</status>
      <modifiedWord/>
      <trackRevisions>false</trackRevisions>
    </reviewItem>
    <reviewItem>
      <errorID>49f47ebc-b6d5-4ada-9c1d-868e3b15336e</errorID>
      <errorWord>定</errorWord>
      <group>L1_Word</group>
      <groupName>字词问题</groupName>
      <ability>L2_Typo</ability>
      <abilityName>字词错误</abilityName>
      <candidateList>
        <item>定和</item>
      </candidateList>
      <explain/>
      <paraID>39C2E703</paraID>
      <start>7</start>
      <end>8</end>
      <status>unmodified</status>
      <modifiedWord/>
      <trackRevisions>false</trackRevisions>
    </reviewItem>
    <reviewItem>
      <errorID>3cdb9563-f8a2-4429-a7f2-f1c8c499e9c1</errorID>
      <errorWord>防止了</errorWord>
      <group>L1_Word</group>
      <groupName>字词问题</groupName>
      <ability>L2_Typo</ability>
      <abilityName>字词错误</abilityName>
      <candidateList>
        <item>防止</item>
      </candidateList>
      <explain>〈动〉预先设法制止（坏事发生）：～煤气中毒｜～交通事故。</explain>
      <paraID>582F5EDA</paraID>
      <start>11</start>
      <end>14</end>
      <status>unmodified</status>
      <modifiedWord/>
      <trackRevisions>false</trackRevisions>
    </reviewItem>
    <reviewItem>
      <errorID>ca8ac4eb-93a7-464b-9711-73d1936f8516</errorID>
      <errorWord>[2015]4号</errorWord>
      <group>L1_Knowledge</group>
      <groupName>知识性问题</groupName>
      <ability>L2_Knowledge</ability>
      <abilityName>其他知识</abilityName>
      <candidateList>
        <item>〔2015〕4号</item>
      </candidateList>
      <explain>发文字号格式错误。</explain>
      <paraID>7841ABC9</paraID>
      <start>52</start>
      <end>60</end>
      <status>unmodified</status>
      <modifiedWord/>
      <trackRevisions>false</trackRevisions>
    </reviewItem>
    <reviewItem>
      <errorID>dac60e1a-d86e-4cb1-a677-882e82448366</errorID>
      <errorWord>）</errorWord>
      <group>L1_Word</group>
      <groupName>字词问题</groupName>
      <ability>L2_Typo</ability>
      <abilityName>字词错误</abilityName>
      <candidateList>
        <item>）等</item>
      </candidateList>
      <explain/>
      <paraID>7841ABC9</paraID>
      <start>60</start>
      <end>61</end>
      <status>unmodified</status>
      <modifiedWord/>
      <trackRevisions>false</trackRevisions>
    </reviewItem>
    <reviewItem>
      <errorID>42f10b2b-f41c-40df-8292-bda5924aa74e</errorID>
      <errorWord>由由</errorWord>
      <group>L1_Word</group>
      <groupName>字词问题</groupName>
      <ability>L2_Typo</ability>
      <abilityName>字词错误</abilityName>
      <candidateList>
        <item>由</item>
      </candidateList>
      <explain>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explain>
      <paraID> 46CD6E8</paraID>
      <start>14</start>
      <end>16</end>
      <status>unmodified</status>
      <modifiedWord/>
      <trackRevisions>false</trackRevisions>
    </reviewItem>
    <reviewItem>
      <errorID>beb8e0ac-14e9-46f8-8423-d540267b14d4</errorID>
      <errorWord>应急物质</errorWord>
      <group>L1_Word</group>
      <groupName>字词问题</groupName>
      <ability>L2_Typo</ability>
      <abilityName>字词错误</abilityName>
      <candidateList>
        <item>应急物资</item>
      </candidateList>
      <explain/>
      <paraID>3116042A</paraID>
      <start>51</start>
      <end>55</end>
      <status>unmodified</status>
      <modifiedWord/>
      <trackRevisions>false</trackRevisions>
    </reviewItem>
    <reviewItem>
      <errorID>02536786-a6f4-420f-8af0-6ec505c35a18</errorID>
      <errorWord>(</errorWord>
      <group>L1_Format</group>
      <groupName>格式问题</groupName>
      <ability>L2_HalfPunc</ability>
      <abilityName>全半角检查</abilityName>
      <candidateList>
        <item>（</item>
      </candidateList>
      <explain>文本全半角错误。</explain>
      <paraID>3123828F</paraID>
      <start>3</start>
      <end>4</end>
      <status>unmodified</status>
      <modifiedWord/>
      <trackRevisions>false</trackRevisions>
    </reviewItem>
    <reviewItem>
      <errorID>fdb0afc6-8e96-4453-bbc1-dcf429f86b0c</errorID>
      <errorWord>(</errorWord>
      <group>L1_Format</group>
      <groupName>格式问题</groupName>
      <ability>L2_HalfPunc</ability>
      <abilityName>全半角检查</abilityName>
      <candidateList>
        <item>（</item>
      </candidateList>
      <explain>文本全半角错误。</explain>
      <paraID>755AE35E</paraID>
      <start>5</start>
      <end>6</end>
      <status>unmodified</status>
      <modifiedWord/>
      <trackRevisions>false</trackRevisions>
    </reviewItem>
    <reviewItem>
      <errorID>37e8e426-4156-4d1e-b6ca-d4c9e9dffbd7</errorID>
      <errorWord>(</errorWord>
      <group>L1_Format</group>
      <groupName>格式问题</groupName>
      <ability>L2_HalfPunc</ability>
      <abilityName>全半角检查</abilityName>
      <candidateList>
        <item>（</item>
      </candidateList>
      <explain>文本全半角错误。</explain>
      <paraID>4E838CC8</paraID>
      <start>2</start>
      <end>3</end>
      <status>unmodified</status>
      <modifiedWord/>
      <trackRevisions>false</trackRevisions>
    </reviewItem>
    <reviewItem>
      <errorID>4135d44f-0e3c-49d6-b4be-267366bb9235</errorID>
      <errorWord>)</errorWord>
      <group>L1_Format</group>
      <groupName>格式问题</groupName>
      <ability>L2_HalfPunc</ability>
      <abilityName>全半角检查</abilityName>
      <candidateList>
        <item>）</item>
      </candidateList>
      <explain>文本全半角错误。</explain>
      <paraID>4E838CC8</paraID>
      <start>6</start>
      <end>7</end>
      <status>unmodified</status>
      <modifiedWord/>
      <trackRevisions>false</trackRevisions>
    </reviewItem>
    <reviewItem>
      <errorID>f1347853-4c9b-4c0f-bbb5-76a681d59d94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11C0DB3A</paraID>
      <start>7</start>
      <end>8</end>
      <status>unmodified</status>
      <modifiedWord/>
      <trackRevisions>false</trackRevisions>
    </reviewItem>
    <reviewItem>
      <errorID>7f329747-16a2-479b-81f9-2462d9231f5b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47C6AA18</paraID>
      <start>39</start>
      <end>40</end>
      <status>unmodified</status>
      <modifiedWord/>
      <trackRevisions>false</trackRevisions>
    </reviewItem>
    <reviewItem>
      <errorID>126ff59d-14ad-4007-b101-840870b83c83</errorID>
      <errorWord>[2024]12号</errorWord>
      <group>L1_Knowledge</group>
      <groupName>知识性问题</groupName>
      <ability>L2_Knowledge</ability>
      <abilityName>其他知识</abilityName>
      <candidateList>
        <item>〔2024〕12号</item>
      </candidateList>
      <explain>发文字号格式错误。</explain>
      <paraID>4CE3508C</paraID>
      <start>30</start>
      <end>39</end>
      <status>unmodified</status>
      <modifiedWord/>
      <trackRevisions>false</trackRevisions>
    </reviewItem>
    <reviewItem>
      <errorID>403dfc80-a33f-488a-bc51-f2459ccbc89e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4261FB1D</paraID>
      <start>0</start>
      <end>2</end>
      <status>unmodified</status>
      <modifiedWord/>
      <trackRevisions>false</trackRevisions>
    </reviewItem>
    <reviewItem>
      <errorID>7d443f79-402d-4371-9a41-caf42aba841e</errorID>
      <errorWord>期</errorWord>
      <group>L1_Word</group>
      <groupName>字词问题</groupName>
      <ability>L2_Typo</ability>
      <abilityName>字词错误</abilityName>
      <candidateList>
        <item>期间</item>
      </candidateList>
      <explain>〈名〉某个时期里面：农忙～｜春节～｜抗战～。</explain>
      <paraID>7565AE66</paraID>
      <start>2</start>
      <end>3</end>
      <status>unmodified</status>
      <modifiedWord/>
      <trackRevisions>false</trackRevisions>
    </reviewItem>
    <reviewItem>
      <errorID>dcea8226-a009-4ad6-b47f-da818c942aac</errorID>
      <errorWord>：</errorWord>
      <group>L1_Format</group>
      <groupName>格式问题</groupName>
      <ability>L2_HalfPunc</ability>
      <abilityName>全半角检查</abilityName>
      <candidateList>
        <item>:</item>
      </candidateList>
      <explain>文本全半角错误。</explain>
      <paraID>795B4A13</paraID>
      <start>43</start>
      <end>44</end>
      <status>unmodified</status>
      <modifiedWord/>
      <trackRevisions>false</trackRevisions>
    </reviewItem>
    <reviewItem>
      <errorID>09484ed6-edf0-4d7f-848e-062171cd3bfd</errorID>
      <errorWord>（</errorWord>
      <group>L1_Punc</group>
      <groupName>标点问题</groupName>
      <ability>L2_Punc</ability>
      <abilityName>标点符号检查</abilityName>
      <candidateList/>
      <explain>同一形式括号套用。</explain>
      <paraID>554E56D6</paraID>
      <start>22</start>
      <end>23</end>
      <status>unmodified</status>
      <modifiedWord/>
      <trackRevisions>false</trackRevisions>
    </reviewItem>
    <reviewItem>
      <errorID>0acfe825-b75a-48ca-8314-20353a2dd0d9</errorID>
      <errorWord>）</errorWord>
      <group>L1_Punc</group>
      <groupName>标点问题</groupName>
      <ability>L2_Punc</ability>
      <abilityName>标点符号检查</abilityName>
      <candidateList/>
      <explain>同一形式括号套用。</explain>
      <paraID>554E56D6</paraID>
      <start>38</start>
      <end>39</end>
      <status>unmodified</status>
      <modifiedWord/>
      <trackRevisions>false</trackRevisions>
    </reviewItem>
    <reviewItem>
      <errorID>5a0fe995-cab5-412f-8ecb-10f4ccabc113</errorID>
      <errorWord>（</errorWord>
      <group>L1_Punc</group>
      <groupName>标点问题</groupName>
      <ability>L2_Punc</ability>
      <abilityName>标点符号检查</abilityName>
      <candidateList/>
      <explain>同一形式括号套用。</explain>
      <paraID>554E56D6</paraID>
      <start>44</start>
      <end>45</end>
      <status>unmodified</status>
      <modifiedWord/>
      <trackRevisions>false</trackRevisions>
    </reviewItem>
    <reviewItem>
      <errorID>f6a0da0e-5505-415d-a6ab-3f516e108a26</errorID>
      <errorWord>）</errorWord>
      <group>L1_Punc</group>
      <groupName>标点问题</groupName>
      <ability>L2_Punc</ability>
      <abilityName>标点符号检查</abilityName>
      <candidateList/>
      <explain>同一形式括号套用。</explain>
      <paraID>554E56D6</paraID>
      <start>58</start>
      <end>59</end>
      <status>unmodified</status>
      <modifiedWord/>
      <trackRevisions>false</trackRevisions>
    </reviewItem>
    <reviewItem>
      <errorID>1193ac16-c42c-4fa2-a1f8-d157fef3dfb9</errorID>
      <errorWord>（</errorWord>
      <group>L1_Format</group>
      <groupName>格式问题</groupName>
      <ability>L2_HalfPunc</ability>
      <abilityName>全半角检查</abilityName>
      <candidateList>
        <item>(</item>
      </candidateList>
      <explain>文本全半角错误。</explain>
      <paraID>4A385D97</paraID>
      <start>0</start>
      <end>1</end>
      <status>unmodified</status>
      <modifiedWord/>
      <trackRevisions>false</trackRevisions>
    </reviewItem>
    <reviewItem>
      <errorID>d21d7b46-e554-4841-baa9-29f499490795</errorID>
      <errorWord>）</errorWord>
      <group>L1_Format</group>
      <groupName>格式问题</groupName>
      <ability>L2_HalfPunc</ability>
      <abilityName>全半角检查</abilityName>
      <candidateList>
        <item>)</item>
      </candidateList>
      <explain>文本全半角错误。</explain>
      <paraID>4A385D97</paraID>
      <start>8</start>
      <end>9</end>
      <status>unmodified</status>
      <modifiedWord/>
      <trackRevisions>false</trackRevisions>
    </reviewItem>
    <reviewItem>
      <errorID>b311deeb-be32-42d1-920c-b6e3a2c1eb43</errorID>
      <errorWord>（</errorWord>
      <group>L1_Format</group>
      <groupName>格式问题</groupName>
      <ability>L2_HalfPunc</ability>
      <abilityName>全半角检查</abilityName>
      <candidateList>
        <item>(</item>
      </candidateList>
      <explain>文本全半角错误。</explain>
      <paraID>  474E32</paraID>
      <start>0</start>
      <end>1</end>
      <status>unmodified</status>
      <modifiedWord/>
      <trackRevisions>false</trackRevisions>
    </reviewItem>
    <reviewItem>
      <errorID>54938a43-c811-4712-8b78-a5de63308ab0</errorID>
      <errorWord>）</errorWord>
      <group>L1_Format</group>
      <groupName>格式问题</groupName>
      <ability>L2_HalfPunc</ability>
      <abilityName>全半角检查</abilityName>
      <candidateList>
        <item>)</item>
      </candidateList>
      <explain>文本全半角错误。</explain>
      <paraID>  474E32</paraID>
      <start>8</start>
      <end>9</end>
      <status>unmodified</status>
      <modifiedWord/>
      <trackRevisions>false</trackRevisions>
    </reviewItem>
    <reviewItem>
      <errorID>9014282b-d946-43bf-8732-17d3af482b47</errorID>
      <errorWord>(</errorWord>
      <group>L1_Format</group>
      <groupName>格式问题</groupName>
      <ability>L2_HalfPunc</ability>
      <abilityName>全半角检查</abilityName>
      <candidateList>
        <item>（</item>
      </candidateList>
      <explain>文本全半角错误。</explain>
      <paraID>7220792D</paraID>
      <start>26</start>
      <end>27</end>
      <status>unmodified</status>
      <modifiedWord/>
      <trackRevisions>false</trackRevisions>
    </reviewItem>
    <reviewItem>
      <errorID>d7d62a1d-8616-48b8-a850-026111f6b17c</errorID>
      <errorWord>)</errorWord>
      <group>L1_Format</group>
      <groupName>格式问题</groupName>
      <ability>L2_HalfPunc</ability>
      <abilityName>全半角检查</abilityName>
      <candidateList>
        <item>）</item>
      </candidateList>
      <explain>文本全半角错误。</explain>
      <paraID>7220792D</paraID>
      <start>39</start>
      <end>40</end>
      <status>unmodified</status>
      <modifiedWord/>
      <trackRevisions>false</trackRevisions>
    </reviewItem>
    <reviewItem>
      <errorID>665a0e20-d893-47fe-adff-797d29ae3ed3</errorID>
      <errorWord>[2015]52号</errorWord>
      <group>L1_Knowledge</group>
      <groupName>知识性问题</groupName>
      <ability>L2_Knowledge</ability>
      <abilityName>其他知识</abilityName>
      <candidateList>
        <item>〔2015〕52号</item>
      </candidateList>
      <explain>发文字号格式错误。</explain>
      <paraID>1B3E4971</paraID>
      <start>73</start>
      <end>82</end>
      <status>unmodified</status>
      <modifiedWord/>
      <trackRevisions>false</trackRevisions>
    </reviewItem>
    <reviewItem>
      <errorID>4fb815cd-eb6d-424b-ab29-7bf62ea8854b</errorID>
      <errorWord>[2019]910号</errorWord>
      <group>L1_Knowledge</group>
      <groupName>知识性问题</groupName>
      <ability>L2_Knowledge</ability>
      <abilityName>其他知识</abilityName>
      <candidateList>
        <item>〔2019〕910号</item>
      </candidateList>
      <explain>发文字号格式错误。</explain>
      <paraID>1B3E4971</paraID>
      <start>117</start>
      <end>127</end>
      <status>unmodified</status>
      <modifiedWord/>
      <trackRevisions>false</trackRevisions>
    </reviewItem>
    <reviewItem>
      <errorID>9523a5f7-d2a3-4314-a6e9-798fad68145b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3F943431</paraID>
      <start>24</start>
      <end>25</end>
      <status>unmodified</status>
      <modifiedWord/>
      <trackRevisions>false</trackRevisions>
    </reviewItem>
    <reviewItem>
      <errorID>db323cb0-36cc-4355-8491-5b94b6398def</errorID>
      <errorWord>：</errorWord>
      <group>L1_Format</group>
      <groupName>格式问题</groupName>
      <ability>L2_HalfPunc</ability>
      <abilityName>全半角检查</abilityName>
      <candidateList>
        <item>:</item>
      </candidateList>
      <explain>文本全半角错误。</explain>
      <paraID>39233CA3</paraID>
      <start>214</start>
      <end>215</end>
      <status>unmodified</status>
      <modifiedWord/>
      <trackRevisions>false</trackRevisions>
    </reviewItem>
    <reviewItem>
      <errorID>fafe678d-c598-4b3b-a8bd-fc9ff75cc68d</errorID>
      <errorWord>运送</errorWord>
      <group>L1_Word</group>
      <groupName>字词问题</groupName>
      <ability>L2_Typo</ability>
      <abilityName>字词错误</abilityName>
      <candidateList>
        <item>运至</item>
      </candidateList>
      <explain/>
      <paraID> DBFBC39</paraID>
      <start>253</start>
      <end>255</end>
      <status>unmodified</status>
      <modifiedWord/>
      <trackRevisions>false</trackRevisions>
    </reviewItem>
    <reviewItem>
      <errorID>63945eeb-64f7-45e7-9885-241dd9e07e7d</errorID>
      <errorWord>：</errorWord>
      <group>L1_Format</group>
      <groupName>格式问题</groupName>
      <ability>L2_HalfPunc</ability>
      <abilityName>全半角检查</abilityName>
      <candidateList>
        <item>:</item>
      </candidateList>
      <explain>文本全半角错误。</explain>
      <paraID>4BF33B4D</paraID>
      <start>208</start>
      <end>209</end>
      <status>unmodified</status>
      <modifiedWord/>
      <trackRevisions>false</trackRevisions>
    </reviewItem>
    <reviewItem>
      <errorID>db0e47f0-4f3a-46c6-b0e1-133e6002c3c2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278DA63E</paraID>
      <start>16</start>
      <end>17</end>
      <status>unmodified</status>
      <modifiedWord/>
      <trackRevisions>false</trackRevisions>
    </reviewItem>
    <reviewItem>
      <errorID>febdc997-0395-45ca-84db-adf65c81c64b</errorID>
      <errorWord>[2017]4号</errorWord>
      <group>L1_Knowledge</group>
      <groupName>知识性问题</groupName>
      <ability>L2_Knowledge</ability>
      <abilityName>其他知识</abilityName>
      <candidateList>
        <item>〔2017〕4号</item>
      </candidateList>
      <explain>发文字号格式错误。</explain>
      <paraID>7557D1EC</paraID>
      <start>26</start>
      <end>34</end>
      <status>unmodified</status>
      <modifiedWord/>
      <trackRevisions>false</trackRevisions>
    </reviewItem>
    <reviewItem>
      <errorID>dc4884bb-b935-40ec-9f6f-4ae9823a6627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7557D1EC</paraID>
      <start>62</start>
      <end>63</end>
      <status>unmodified</status>
      <modifiedWord/>
      <trackRevisions>false</trackRevisions>
    </reviewItem>
    <reviewItem>
      <errorID>219b374b-9b2e-4ffd-b826-41d4ed319143</errorID>
      <errorWord>精攻</errorWord>
      <group>L1_Word</group>
      <groupName>字词问题</groupName>
      <ability>L2_Typo</ability>
      <abilityName>字词错误</abilityName>
      <candidateList>
        <item>精工</item>
      </candidateList>
      <explain>存在发音相同字词的误用。</explain>
      <paraID>3D132789</paraID>
      <start>6</start>
      <end>8</end>
      <status>unmodified</status>
      <modifiedWord/>
      <trackRevisions>false</trackRevisions>
    </reviewItem>
    <reviewItem>
      <errorID>345115c9-b559-4e2f-92f6-8a96b886a1f7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53ED276E</paraID>
      <start>0</start>
      <end>2</end>
      <status>unmodified</status>
      <modifiedWord/>
      <trackRevisions>false</trackRevisions>
    </reviewItem>
    <reviewItem>
      <errorID>128ffd49-a741-417a-b4d8-1c9b0bbef323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1DBD8C0A</paraID>
      <start>0</start>
      <end>2</end>
      <status>unmodified</status>
      <modifiedWord/>
      <trackRevisions>false</trackRevisions>
    </reviewItem>
    <reviewItem>
      <errorID>efa1dbd1-8758-4f11-bb02-5b06771df768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46B9BCF6</paraID>
      <start>0</start>
      <end>2</end>
      <status>unmodified</status>
      <modifiedWord/>
      <trackRevisions>false</trackRevisions>
    </reviewItem>
    <reviewItem>
      <errorID>3ef55e01-5556-4ea5-bdd2-d122cebda196</errorID>
      <errorWord>(</errorWord>
      <group>L1_Format</group>
      <groupName>格式问题</groupName>
      <ability>L2_HalfPunc</ability>
      <abilityName>全半角检查</abilityName>
      <candidateList>
        <item>（</item>
      </candidateList>
      <explain>文本全半角错误。</explain>
      <paraID>5E5E5324</paraID>
      <start>17</start>
      <end>18</end>
      <status>unmodified</status>
      <modifiedWord/>
      <trackRevisions>false</trackRevisions>
    </reviewItem>
    <reviewItem>
      <errorID>517621fd-2c8a-4e2e-9197-f26d136ebd1c</errorID>
      <errorWord>)</errorWord>
      <group>L1_Format</group>
      <groupName>格式问题</groupName>
      <ability>L2_HalfPunc</ability>
      <abilityName>全半角检查</abilityName>
      <candidateList>
        <item>）</item>
      </candidateList>
      <explain>文本全半角错误。</explain>
      <paraID>5E5E5324</paraID>
      <start>20</start>
      <end>21</end>
      <status>unmodified</status>
      <modifiedWord/>
      <trackRevisions>false</trackRevisions>
    </reviewItem>
    <reviewItem>
      <errorID>78dd22bb-2136-46d5-80bc-84521f7dd3fc</errorID>
      <errorWord>1、</errorWord>
      <group>L1_Format</group>
      <groupName>格式问题</groupName>
      <ability>L2_Ordinal</ability>
      <abilityName>序号格式</abilityName>
      <candidateList>
        <item>1.</item>
      </candidateList>
      <explain>当前序号格式不规范，建议修改为规范格式[1.]。</explain>
      <paraID>63A86D55</paraID>
      <start>0</start>
      <end>2</end>
      <status>unmodified</status>
      <modifiedWord/>
      <trackRevisions>false</trackRevisions>
    </reviewItem>
    <reviewItem>
      <errorID>d6f60445-2f27-44e4-9196-60c5fe0d78c4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1AA21562</paraID>
      <start>0</start>
      <end>2</end>
      <status>unmodified</status>
      <modifiedWord/>
      <trackRevisions>false</trackRevisions>
    </reviewItem>
    <reviewItem>
      <errorID>d8424c70-4d16-4aac-87c6-61e4c9c0a5ab</errorID>
      <errorWord>1、</errorWord>
      <group>L1_Format</group>
      <groupName>格式问题</groupName>
      <ability>L2_Ordinal</ability>
      <abilityName>序号格式</abilityName>
      <candidateList>
        <item>1.</item>
      </candidateList>
      <explain>当前序号格式不规范，建议修改为规范格式[1.]。</explain>
      <paraID>207576B4</paraID>
      <start>0</start>
      <end>2</end>
      <status>unmodified</status>
      <modifiedWord/>
      <trackRevisions>false</trackRevisions>
    </reviewItem>
    <reviewItem>
      <errorID>77912af5-05a6-43ea-b501-943b250f35ed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2451E854</paraID>
      <start>0</start>
      <end>2</end>
      <status>unmodified</status>
      <modifiedWord/>
      <trackRevisions>false</trackRevisions>
    </reviewItem>
    <reviewItem>
      <errorID>eedc54d0-bb32-4e8d-bbc5-3a2abd547783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50CB91DE</paraID>
      <start>0</start>
      <end>2</end>
      <status>unmodified</status>
      <modifiedWord/>
      <trackRevisions>false</trackRevisions>
    </reviewItem>
    <reviewItem>
      <errorID>1a066a08-aba3-4a30-bcc8-6209ce7416de</errorID>
      <errorWord>1、</errorWord>
      <group>L1_Format</group>
      <groupName>格式问题</groupName>
      <ability>L2_Ordinal</ability>
      <abilityName>序号格式</abilityName>
      <candidateList>
        <item>1.</item>
      </candidateList>
      <explain>当前序号格式不规范，建议修改为规范格式[1.]。</explain>
      <paraID>7CAB5903</paraID>
      <start>0</start>
      <end>2</end>
      <status>unmodified</status>
      <modifiedWord/>
      <trackRevisions>false</trackRevisions>
    </reviewItem>
    <reviewItem>
      <errorID>63f3bab2-614d-4fe9-ab86-e6febfee93c4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21EB5AD5</paraID>
      <start>0</start>
      <end>2</end>
      <status>unmodified</status>
      <modifiedWord/>
      <trackRevisions>false</trackRevisions>
    </reviewItem>
    <reviewItem>
      <errorID>37fc75c5-591f-440d-984b-528bb1d8e98f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2CE33D35</paraID>
      <start>0</start>
      <end>2</end>
      <status>unmodified</status>
      <modifiedWord/>
      <trackRevisions>false</trackRevisions>
    </reviewItem>
    <reviewItem>
      <errorID>05aca235-ce23-4065-a852-bca4ddb20173</errorID>
      <errorWord>1、</errorWord>
      <group>L1_Format</group>
      <groupName>格式问题</groupName>
      <ability>L2_Ordinal</ability>
      <abilityName>序号格式</abilityName>
      <candidateList>
        <item>1.</item>
      </candidateList>
      <explain>当前序号格式不规范，建议修改为规范格式[1.]。</explain>
      <paraID>533A33E3</paraID>
      <start>0</start>
      <end>2</end>
      <status>unmodified</status>
      <modifiedWord/>
      <trackRevisions>false</trackRevisions>
    </reviewItem>
    <reviewItem>
      <errorID>42787a31-2477-4dd3-93cd-edb1e4cd601e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4DBCAF63</paraID>
      <start>0</start>
      <end>2</end>
      <status>unmodified</status>
      <modifiedWord/>
      <trackRevisions>false</trackRevisions>
    </reviewItem>
    <reviewItem>
      <errorID>5186a1a3-8214-4e6c-9600-7ca2f6213b07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5AA14234</paraID>
      <start>0</start>
      <end>2</end>
      <status>unmodified</status>
      <modifiedWord/>
      <trackRevisions>false</trackRevisions>
    </reviewItem>
    <reviewItem>
      <errorID>196465dd-99aa-409e-ab06-d6d413f492ac</errorID>
      <errorWord>精攻</errorWord>
      <group>L1_Word</group>
      <groupName>字词问题</groupName>
      <ability>L2_Typo</ability>
      <abilityName>字词错误</abilityName>
      <candidateList>
        <item>精工</item>
      </candidateList>
      <explain>存在发音相同字词的误用。</explain>
      <paraID> CAC5EB7</paraID>
      <start>15</start>
      <end>17</end>
      <status>unmodified</status>
      <modifiedWord/>
      <trackRevisions>false</trackRevisions>
    </reviewItem>
    <reviewItem>
      <errorID>b62fec93-6684-4e08-b2d1-13d918445201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6FFBB5AD</paraID>
      <start>16</start>
      <end>17</end>
      <status>unmodified</status>
      <modifiedWord/>
      <trackRevisions>false</trackRevisions>
    </reviewItem>
    <reviewItem>
      <errorID>5665dd62-b476-4942-b333-74bcf695f482</errorID>
      <errorWord>[2024]12号</errorWord>
      <group>L1_Knowledge</group>
      <groupName>知识性问题</groupName>
      <ability>L2_Knowledge</ability>
      <abilityName>其他知识</abilityName>
      <candidateList>
        <item>〔2024〕12号</item>
      </candidateList>
      <explain>发文字号格式错误。</explain>
      <paraID>27E4CD59</paraID>
      <start>3</start>
      <end>12</end>
      <status>unmodified</status>
      <modifiedWord/>
      <trackRevisions>false</trackRevisions>
    </reviewItem>
    <reviewItem>
      <errorID>010f5359-f236-447f-85aa-ff9cfbd0bfc2</errorID>
      <errorWord>，</errorWord>
      <group>L1_Format</group>
      <groupName>格式问题</groupName>
      <ability>L2_HalfPunc</ability>
      <abilityName>全半角检查</abilityName>
      <candidateList>
        <item>,</item>
      </candidateList>
      <explain>文本全半角错误。</explain>
      <paraID> AE41EA8</paraID>
      <start>17</start>
      <end>18</end>
      <status>unmodified</status>
      <modifiedWord/>
      <trackRevisions>false</trackRevisions>
    </reviewItem>
    <reviewItem>
      <errorID>d499bab2-5f2e-4aa9-9904-59509816a2f6</errorID>
      <errorWord>精攻</errorWord>
      <group>L1_Word</group>
      <groupName>字词问题</groupName>
      <ability>L2_Typo</ability>
      <abilityName>字词错误</abilityName>
      <candidateList>
        <item>精工</item>
      </candidateList>
      <explain>存在发音相同字词的误用。</explain>
      <paraID>212A7B1C</paraID>
      <start>6</start>
      <end>8</end>
      <status>unmodified</status>
      <modifiedWord/>
      <trackRevisions>false</trackRevisions>
    </reviewItem>
    <reviewItem>
      <errorID>6f11a36a-dfd0-4f0e-9d0e-12ed8dea983f</errorID>
      <errorWord>社会统一信用代码</errorWord>
      <group>L1_Word</group>
      <groupName>字词问题</groupName>
      <ability>L2_Typo</ability>
      <abilityName>字词错误</abilityName>
      <candidateList>
        <item>统一社会信用代码</item>
      </candidateList>
      <explain/>
      <paraID>47B94BBA</paraID>
      <start>4</start>
      <end>12</end>
      <status>unmodified</status>
      <modifiedWord/>
      <trackRevisions>false</trackRevisions>
    </reviewItem>
    <reviewItem>
      <errorID>91badc2f-9b03-406b-9c6e-dc1795b56889</errorID>
      <errorWord>合同中</errorWord>
      <group>L1_Word</group>
      <groupName>字词问题</groupName>
      <ability>L2_Typo</ability>
      <abilityName>字词错误</abilityName>
      <candidateList>
        <item>合同</item>
      </candidateList>
      <explain/>
      <paraID>5943D311</paraID>
      <start>14</start>
      <end>17</end>
      <status>unmodified</status>
      <modifiedWord/>
      <trackRevisions>false</trackRevisions>
    </reviewItem>
    <reviewItem>
      <errorID>978418d6-36ba-4a5c-a239-6e6f8d5888db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53C4E820</paraID>
      <start>37</start>
      <end>38</end>
      <status>unmodified</status>
      <modifiedWord/>
      <trackRevisions>false</trackRevisions>
    </reviewItem>
    <reviewItem>
      <errorID>29a0efa6-26fa-4b58-9a94-8c47fc0b80e3</errorID>
      <errorWord>[2024]12号</errorWord>
      <group>L1_Knowledge</group>
      <groupName>知识性问题</groupName>
      <ability>L2_Knowledge</ability>
      <abilityName>其他知识</abilityName>
      <candidateList>
        <item>〔2024〕12号</item>
      </candidateList>
      <explain>发文字号格式错误。</explain>
      <paraID>4409F063</paraID>
      <start>28</start>
      <end>37</end>
      <status>unmodified</status>
      <modifiedWord/>
      <trackRevisions>false</trackRevisions>
    </reviewItem>
    <reviewItem>
      <errorID>d3eac062-ea80-43ad-9c48-8c363e86f993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6EAB487E</paraID>
      <start>56</start>
      <end>57</end>
      <status>unmodified</status>
      <modifiedWord/>
      <trackRevisions>false</trackRevisions>
    </reviewItem>
    <reviewItem>
      <errorID>0cf022c4-8d89-41db-b51c-ed5588ffeda1</errorID>
      <errorWord>督察</errorWord>
      <group>L1_Word</group>
      <groupName>字词问题</groupName>
      <ability>L2_Typo</ability>
      <abilityName>字词错误</abilityName>
      <candidateList>
        <item>督查</item>
      </candidateList>
      <explain>存在发音相同字词的误用。</explain>
      <paraID>38C9BADA</paraID>
      <start>108</start>
      <end>110</end>
      <status>unmodified</status>
      <modifiedWord/>
      <trackRevisions>false</trackRevisions>
    </reviewItem>
    <reviewItem>
      <errorID>d6fea7a2-5e25-43a2-b765-0c9686efc55b</errorID>
      <errorWord>完</errorWord>
      <group>L1_Word</group>
      <groupName>字词问题</groupName>
      <ability>L2_Typo</ability>
      <abilityName>字词错误</abilityName>
      <candidateList>
        <item>完成</item>
      </candidateList>
      <explain>〈动〉按照预期的目的结束；做成：～任务｜～作业｜计划完得成。</explain>
      <paraID>7E3A556A</paraID>
      <start>61</start>
      <end>62</end>
      <status>unmodified</status>
      <modifiedWord/>
      <trackRevisions>false</trackRevisions>
    </reviewItem>
    <reviewItem>
      <errorID>cb53d235-bcab-4acb-a7f1-71b278e64385</errorID>
      <errorWord>程</errorWord>
      <group>L1_Word</group>
      <groupName>字词问题</groupName>
      <ability>L2_Typo</ability>
      <abilityName>字词错误</abilityName>
      <candidateList>
        <item>程中</item>
      </candidateList>
      <explain/>
      <paraID>75A86261</paraID>
      <start>3</start>
      <end>4</end>
      <status>unmodified</status>
      <modifiedWord/>
      <trackRevisions>false</trackRevisions>
    </reviewItem>
    <reviewItem>
      <errorID>67c6e7f6-621f-4856-942e-c35974ee055e</errorID>
      <errorWord>使用</errorWord>
      <group>L1_Grammar</group>
      <groupName>语法问题</groupName>
      <ability>L2_Grammar</ability>
      <abilityName>语法错误</abilityName>
      <candidateList>
        <item>采取</item>
      </candidateList>
      <explain>“使用～措施”搭配不当，建议修改为“采取～措施”。</explain>
      <paraID>75A86261</paraID>
      <start>14</start>
      <end>16</end>
      <status>unmodified</status>
      <modifiedWord/>
      <trackRevisions>false</trackRevisions>
    </reviewItem>
    <reviewItem>
      <errorID>9d903362-4c35-41ed-a130-80610c78490f</errorID>
      <errorWord>程</errorWord>
      <group>L1_Word</group>
      <groupName>字词问题</groupName>
      <ability>L2_Typo</ability>
      <abilityName>字词错误</abilityName>
      <candidateList>
        <item>程中</item>
      </candidateList>
      <explain/>
      <paraID>6EAA4428</paraID>
      <start>7</start>
      <end>8</end>
      <status>unmodified</status>
      <modifiedWord/>
      <trackRevisions>false</trackRevisions>
    </reviewItem>
    <reviewItem>
      <errorID>7a14d20c-bb03-481c-a9f3-20931b4a9fd9</errorID>
      <errorWord>恢复为</errorWord>
      <group>L1_Word</group>
      <groupName>字词问题</groupName>
      <ability>L2_Typo</ability>
      <abilityName>字词错误</abilityName>
      <candidateList>
        <item>恢复</item>
      </candidateList>
      <explain/>
      <paraID>718F6B18</paraID>
      <start>26</start>
      <end>29</end>
      <status>unmodified</status>
      <modifiedWord/>
      <trackRevisions>false</trackRevisions>
    </reviewItem>
  </reviewItems>
  <config/>
</contractReview>
</file>

<file path=customXml/item7.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7A49592B-1ACE-43B0-AA0E-EB7377082D94}"/>
</file>

<file path=customXml/itemProps2.xml><?xml version="1.0" encoding="utf-8"?>
<ds:datastoreItem xmlns:ds="http://schemas.openxmlformats.org/officeDocument/2006/customXml" ds:itemID="{ADC2B0A8-9D42-4DC0-8444-BE29111183C1}"/>
</file>

<file path=customXml/itemProps3.xml><?xml version="1.0" encoding="utf-8"?>
<ds:datastoreItem xmlns:ds="http://schemas.openxmlformats.org/officeDocument/2006/customXml" ds:itemID="{D96C1477-2F13-46BB-BE11-D2EF2FA4E9F5}"/>
</file>

<file path=customXml/itemProps4.xml><?xml version="1.0" encoding="utf-8"?>
<ds:datastoreItem xmlns:ds="http://schemas.openxmlformats.org/officeDocument/2006/customXml" ds:itemID="{B1977F7D-205B-4081-913C-38D41E755F92}"/>
</file>

<file path=customXml/itemProps5.xml><?xml version="1.0" encoding="utf-8"?>
<ds:datastoreItem xmlns:ds="http://schemas.openxmlformats.org/officeDocument/2006/customXml" ds:itemID="{9B0FF7A2-3F2E-4776-86AC-0D0944A696FB}"/>
</file>

<file path=customXml/itemProps6.xml><?xml version="1.0" encoding="utf-8"?>
<ds:datastoreItem xmlns:ds="http://schemas.openxmlformats.org/officeDocument/2006/customXml" ds:itemID="{30E30ABF-34F8-4C3B-A7D8-D7CDA33B8B5C}"/>
</file>

<file path=customXml/itemProps7.xml><?xml version="1.0" encoding="utf-8"?>
<ds:datastoreItem xmlns:ds="http://schemas.openxmlformats.org/officeDocument/2006/customXml" ds:itemID="{EA962F66-278B-49CA-83EF-C17D35022A0A}"/>
</file>

<file path=docProps/app.xml><?xml version="1.0" encoding="utf-8"?>
<Properties xmlns="http://schemas.openxmlformats.org/officeDocument/2006/extended-properties" xmlns:vt="http://schemas.openxmlformats.org/officeDocument/2006/docPropsVTypes">
  <Template>Normal.dotm</Template>
  <Company>Microsoft</Company>
  <Pages>262</Pages>
  <Words>6329</Words>
  <Characters>7585</Characters>
  <Lines>1013</Lines>
  <Paragraphs>285</Paragraphs>
  <TotalTime>4</TotalTime>
  <ScaleCrop>false</ScaleCrop>
  <LinksUpToDate>false</LinksUpToDate>
  <CharactersWithSpaces>7840</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VINGER</dc:creator>
  <cp:lastModifiedBy>王银苹</cp:lastModifiedBy>
  <cp:revision>15</cp:revision>
  <cp:lastPrinted>2026-06-02T03:45:00Z</cp:lastPrinted>
  <dcterms:created xsi:type="dcterms:W3CDTF">2026-03-31T09:37:00Z</dcterms:created>
  <dcterms:modified xsi:type="dcterms:W3CDTF">2026-06-10T00:16:02Z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MTWinEqns">
    <vt:bool>true</vt:bool>
  </property>
  <property fmtid="{D5CDD505-2E9C-101B-9397-08002B2CF9AE}" pid="4" name="ICV">
    <vt:lpwstr>87BCD5408CEE43DE87C40E0E67E5ED63_12</vt:lpwstr>
  </property>
  <property fmtid="{D5CDD505-2E9C-101B-9397-08002B2CF9AE}" pid="5" name="KSOTemplateDocerSaveRecord">
    <vt:lpwstr>eyJoZGlkIjoiYzk3NmMzZGRlOGEwNTkwYjUyMjRiOTkyNTlhZjA5ZWYiLCJ1c2VySWQiOiIxMTQyMjI5MSJ9</vt:lpwstr>
  </property>
  <property fmtid="{D5CDD505-2E9C-101B-9397-08002B2CF9AE}" pid="6" name="ContentTypeId">
    <vt:lpwstr>0x010100313989E510CC474A862876A387D6F14A</vt:lpwstr>
  </property>
</Properties>
</file>