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01D28">
      <w:pPr>
        <w:pStyle w:val="2"/>
        <w:numPr>
          <w:ilvl w:val="0"/>
          <w:numId w:val="0"/>
        </w:numPr>
        <w:jc w:val="center"/>
        <w:rPr>
          <w:rFonts w:hint="eastAsia"/>
        </w:rPr>
      </w:pPr>
      <w:r>
        <w:rPr>
          <w:rFonts w:hint="eastAsia"/>
        </w:rPr>
        <w:t>污染清除作业方案</w:t>
      </w:r>
    </w:p>
    <w:p w14:paraId="02A64486">
      <w:pPr>
        <w:spacing w:line="500" w:lineRule="exact"/>
        <w:outlineLvl w:val="1"/>
        <w:rPr>
          <w:rStyle w:val="8"/>
          <w:rFonts w:hint="eastAsia" w:cs="仿宋"/>
          <w:color w:val="auto"/>
          <w:szCs w:val="32"/>
          <w:u w:val="none"/>
        </w:rPr>
      </w:pPr>
      <w:bookmarkStart w:id="0" w:name="_Toc26644"/>
      <w:bookmarkStart w:id="1" w:name="_Toc18417"/>
      <w:bookmarkStart w:id="2" w:name="_Toc21821"/>
      <w:bookmarkStart w:id="3" w:name="_Toc6938"/>
      <w:bookmarkStart w:id="4" w:name="_Toc2574"/>
      <w:r>
        <w:rPr>
          <w:rStyle w:val="9"/>
          <w:rFonts w:hint="eastAsia"/>
          <w:b/>
          <w:bCs w:val="0"/>
        </w:rPr>
        <w:t>1.总体应急策略描述</w:t>
      </w:r>
      <w:bookmarkEnd w:id="0"/>
      <w:bookmarkEnd w:id="1"/>
      <w:bookmarkEnd w:id="2"/>
      <w:bookmarkEnd w:id="3"/>
      <w:bookmarkEnd w:id="4"/>
      <w:r>
        <w:rPr>
          <w:rStyle w:val="8"/>
          <w:rFonts w:hint="eastAsia" w:cs="仿宋"/>
          <w:b/>
          <w:color w:val="auto"/>
          <w:szCs w:val="32"/>
          <w:u w:val="none"/>
        </w:rPr>
        <w:t xml:space="preserve"> </w:t>
      </w:r>
      <w:r>
        <w:rPr>
          <w:rStyle w:val="8"/>
          <w:rFonts w:hint="eastAsia" w:cs="仿宋"/>
          <w:color w:val="auto"/>
          <w:szCs w:val="32"/>
          <w:u w:val="none"/>
        </w:rPr>
        <w:t xml:space="preserve">   </w:t>
      </w:r>
    </w:p>
    <w:p w14:paraId="79845EFA">
      <w:pPr>
        <w:spacing w:line="500" w:lineRule="exact"/>
        <w:ind w:firstLine="640" w:firstLineChars="200"/>
        <w:rPr>
          <w:rFonts w:hint="eastAsia"/>
        </w:rPr>
      </w:pPr>
      <w:bookmarkStart w:id="5" w:name="_Toc12009"/>
      <w:bookmarkStart w:id="6" w:name="_Toc20186"/>
      <w:bookmarkStart w:id="7" w:name="_Toc24614"/>
      <w:r>
        <w:rPr>
          <w:rFonts w:hint="eastAsia"/>
        </w:rPr>
        <w:t>1.1</w:t>
      </w:r>
      <w:bookmarkEnd w:id="5"/>
      <w:bookmarkEnd w:id="6"/>
      <w:bookmarkEnd w:id="7"/>
      <w:bookmarkStart w:id="8" w:name="_Toc298254062"/>
      <w:bookmarkStart w:id="9" w:name="_Toc298257092"/>
      <w:bookmarkStart w:id="10" w:name="_Toc303195770"/>
      <w:bookmarkStart w:id="11" w:name="_Toc298255017"/>
      <w:bookmarkStart w:id="12" w:name="_Toc303194619"/>
      <w:bookmarkStart w:id="13" w:name="_Toc298434460"/>
      <w:bookmarkStart w:id="14" w:name="_Toc297910033"/>
      <w:bookmarkStart w:id="15" w:name="_Toc298434793"/>
      <w:r>
        <w:rPr>
          <w:rFonts w:hint="eastAsia"/>
        </w:rPr>
        <w:t>东营海域自然环境状况</w:t>
      </w:r>
      <w:bookmarkEnd w:id="8"/>
      <w:bookmarkEnd w:id="9"/>
      <w:bookmarkEnd w:id="10"/>
      <w:bookmarkEnd w:id="11"/>
      <w:bookmarkEnd w:id="12"/>
    </w:p>
    <w:p w14:paraId="013877B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en-US" w:eastAsia="zh-CN" w:bidi="ar"/>
        </w:rPr>
        <w:t>1.1.1</w:t>
      </w:r>
      <w:r>
        <w:rPr>
          <w:rFonts w:hint="eastAsia" w:ascii="仿宋" w:hAnsi="仿宋" w:eastAsia="仿宋" w:cs="仿宋"/>
          <w:color w:val="auto"/>
          <w:sz w:val="32"/>
          <w:szCs w:val="32"/>
          <w:lang w:bidi="ar"/>
        </w:rPr>
        <w:t>地理位置</w:t>
      </w:r>
    </w:p>
    <w:p w14:paraId="780CB70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位于莱州湾西北部、渤海湾南部的浅海海域。油田南界距桩西采油厂约为6公里。油田区域范围是东经118°40′30″～119°00′，北纬38°08′～38°16′，海域水深为2m～10m。</w:t>
      </w:r>
    </w:p>
    <w:p w14:paraId="777F535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en-US" w:eastAsia="zh-CN" w:bidi="ar"/>
        </w:rPr>
        <w:t>1.1.2</w:t>
      </w:r>
      <w:r>
        <w:rPr>
          <w:rFonts w:hint="eastAsia" w:ascii="仿宋" w:hAnsi="仿宋" w:eastAsia="仿宋" w:cs="仿宋"/>
          <w:color w:val="auto"/>
          <w:sz w:val="32"/>
          <w:szCs w:val="32"/>
          <w:lang w:bidi="ar"/>
        </w:rPr>
        <w:t>海底地形地貌</w:t>
      </w:r>
    </w:p>
    <w:p w14:paraId="42440A6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本海区地形东南高，西北低，为河口三角洲地貌类型。沿岸属黄河三角洲淤泥质侵蚀蚀退海岸。由于黄河流路的摆动，泥沙运移数量的变化使原来的河口沙咀受到强烈侵蚀，岸线急速向陆后退，浅海地貌形态也发生了显著变化。海水深度不断增加（埕北12#自1976年到1986年就冲刷了2.5米），原来的河口沙咀逐渐被改造为沿海岸延伸的沙嘴型沙坝。同时，海底发育了大量的形态各异的凹坑、坍塌洼地、泥流舌及海底滑坡等不稳定的地貌形态。在潮汐、波浪应力作用下，原来黄河口快速沉积而饱含水份的沉积物内部结构也发生变化，从而使沉积物的工程地质强度减弱，加剧了海底不稳定地貌的发育，形成了水下三角洲上地形最复杂，沉积层最不稳定的地区，尤以-5m～-8m区最为严重。-10m以外基本上属于沉积区，坡底变缓，海底亦较稳定。</w:t>
      </w:r>
    </w:p>
    <w:p w14:paraId="6CF1950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en-US" w:eastAsia="zh-CN" w:bidi="ar"/>
        </w:rPr>
        <w:t>1.1.3</w:t>
      </w:r>
      <w:r>
        <w:rPr>
          <w:rFonts w:hint="eastAsia" w:ascii="仿宋" w:hAnsi="仿宋" w:eastAsia="仿宋" w:cs="仿宋"/>
          <w:color w:val="auto"/>
          <w:sz w:val="32"/>
          <w:szCs w:val="32"/>
          <w:lang w:bidi="ar"/>
        </w:rPr>
        <w:t>服务区域水文气象综述</w:t>
      </w:r>
    </w:p>
    <w:p w14:paraId="3391639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en-US" w:eastAsia="zh-CN" w:bidi="ar"/>
        </w:rPr>
        <w:t>1.1.3.1</w:t>
      </w:r>
      <w:r>
        <w:rPr>
          <w:rFonts w:hint="eastAsia" w:ascii="仿宋" w:hAnsi="仿宋" w:eastAsia="仿宋" w:cs="仿宋"/>
          <w:color w:val="auto"/>
          <w:sz w:val="32"/>
          <w:szCs w:val="32"/>
          <w:lang w:bidi="ar"/>
        </w:rPr>
        <w:t>气象</w:t>
      </w:r>
    </w:p>
    <w:p w14:paraId="36F9F52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冬季多偏北风、西北风和东北风，夏季以南风和东南风出现频率最高。秋季风由夏季型转为冬季型，各风向出现频率相差不大，春季则是由冬季型向夏季型过渡，风向渐以南风、东南风居多。该海域平均风速较大时段有三个：一个是秋季11月份（6.10m/s），一个是春季4 月份（5.80m/s），一个是冬季2 月份（5.70m/s）。11月份主要大风方向为NNE（平均风速9.24m/s），NNW（平均风速8.89m/s），和NE（平均风速8.83m/s）。4月份平均风速虽然较大，但某一方向上的风速并不很大，而是各方向的风速值较为均匀，相对以ENE向的风较大，平均风速为6.65m/s。SSE向风速次之，平均风速为6.12m/s。2月份主要是NE向，平均风速最大为7.9m/s，NW和NNW方向次之，分别为7.8m/s和7.62m/s。该海域全年平均风速为5.28m/s。</w:t>
      </w:r>
    </w:p>
    <w:p w14:paraId="148F141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en-US" w:eastAsia="zh-CN" w:bidi="ar"/>
        </w:rPr>
        <w:t>1.1.3.2</w:t>
      </w:r>
      <w:r>
        <w:rPr>
          <w:rFonts w:hint="eastAsia" w:ascii="仿宋" w:hAnsi="仿宋" w:eastAsia="仿宋" w:cs="仿宋"/>
          <w:color w:val="auto"/>
          <w:sz w:val="32"/>
          <w:szCs w:val="32"/>
          <w:lang w:bidi="ar"/>
        </w:rPr>
        <w:t>波浪</w:t>
      </w:r>
    </w:p>
    <w:p w14:paraId="6009BB2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海区波型以当地风浪为主，具有成长快、消失快的特点，波浪有明显的季节变化。春季是季风交替季节，浪向比较紊乱，NE与SE向浪交替出现，使本区盛行偏东浪夏季由于盛行SE风，相应地SE向浪占优势，其次是NE向浪。秋冬季则由于蒙古高压迅速加强，偏北风逐渐增多，所以本区以偏北浪向为主，其中ENE向频率最高，NE向次之。波高秋冬季最大，春季次之，夏季最小。强浪向是NE～NNE向，其次是E～ENE向。</w:t>
      </w:r>
    </w:p>
    <w:p w14:paraId="1D1F8CC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en-US" w:eastAsia="zh-CN" w:bidi="ar"/>
        </w:rPr>
        <w:t>1.1.3.3</w:t>
      </w:r>
      <w:r>
        <w:rPr>
          <w:rFonts w:hint="eastAsia" w:ascii="仿宋" w:hAnsi="仿宋" w:eastAsia="仿宋" w:cs="仿宋"/>
          <w:color w:val="auto"/>
          <w:sz w:val="32"/>
          <w:szCs w:val="32"/>
          <w:lang w:bidi="ar"/>
        </w:rPr>
        <w:t>海流</w:t>
      </w:r>
    </w:p>
    <w:p w14:paraId="4AC4C0F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本海区内潮流的运动形式为往复流流向，潮流性质属于正规的半日潮流；涨潮流向为ESE，落潮流向为WNW，本海区的余流都小于10cm/s，流向多偏西。</w:t>
      </w:r>
    </w:p>
    <w:p w14:paraId="56A261F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en-US" w:eastAsia="zh-CN" w:bidi="ar"/>
        </w:rPr>
        <w:t>1.1.3.4</w:t>
      </w:r>
      <w:r>
        <w:rPr>
          <w:rFonts w:hint="eastAsia" w:ascii="仿宋" w:hAnsi="仿宋" w:eastAsia="仿宋" w:cs="仿宋"/>
          <w:color w:val="auto"/>
          <w:sz w:val="32"/>
          <w:szCs w:val="32"/>
          <w:lang w:bidi="ar"/>
        </w:rPr>
        <w:t>潮汐</w:t>
      </w:r>
    </w:p>
    <w:p w14:paraId="74F0F4A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该海域为不正规半日潮类型。各潮位如下：</w:t>
      </w:r>
    </w:p>
    <w:p w14:paraId="00688E8C">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▼＋3.02m校核高水位</w:t>
      </w:r>
    </w:p>
    <w:p w14:paraId="33F26BFC">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▼＋1.41m设计高水位</w:t>
      </w:r>
    </w:p>
    <w:p w14:paraId="62A217CC">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▼＋0.00m 黄海平均海平面</w:t>
      </w:r>
    </w:p>
    <w:p w14:paraId="54C20A52">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▼—0.60m设计低水位</w:t>
      </w:r>
    </w:p>
    <w:p w14:paraId="3A1CE8A3">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▼—2.25m校核低水位</w:t>
      </w:r>
    </w:p>
    <w:p w14:paraId="41D052E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en-US" w:eastAsia="zh-CN" w:bidi="ar"/>
        </w:rPr>
        <w:t>1.1.3.5</w:t>
      </w:r>
      <w:r>
        <w:rPr>
          <w:rFonts w:hint="eastAsia" w:ascii="仿宋" w:hAnsi="仿宋" w:eastAsia="仿宋" w:cs="仿宋"/>
          <w:color w:val="auto"/>
          <w:sz w:val="32"/>
          <w:szCs w:val="32"/>
          <w:lang w:bidi="ar"/>
        </w:rPr>
        <w:t>风暴潮</w:t>
      </w:r>
    </w:p>
    <w:p w14:paraId="7D3BD3D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海区靠近M2分潮的无潮点，潮差较小，涨落现象不甚明显。但该海区受气象扰动的影响相当频繁，既遭受温带气旋和强冷空气的作用，又遭受台风的侵袭。在区域大风的影响下，水位异象变化十分显著，加之该海区水浅，容易形成风暴潮灾害。</w:t>
      </w:r>
    </w:p>
    <w:p w14:paraId="35564727">
      <w:pPr>
        <w:pStyle w:val="10"/>
        <w:snapToGrid w:val="0"/>
        <w:spacing w:line="500" w:lineRule="exact"/>
        <w:jc w:val="both"/>
        <w:rPr>
          <w:rFonts w:hint="eastAsia" w:ascii="仿宋" w:hAnsi="仿宋" w:eastAsia="仿宋" w:cs="仿宋"/>
          <w:color w:val="auto"/>
          <w:sz w:val="32"/>
          <w:szCs w:val="32"/>
          <w:lang w:bidi="ar"/>
        </w:rPr>
      </w:pPr>
      <w:bookmarkStart w:id="16" w:name="_Toc298254063"/>
      <w:bookmarkStart w:id="17" w:name="_Toc303195771"/>
      <w:bookmarkStart w:id="18" w:name="_Toc303194620"/>
      <w:bookmarkStart w:id="19" w:name="_Toc298257093"/>
      <w:bookmarkStart w:id="20" w:name="_Toc298255018"/>
      <w:r>
        <w:rPr>
          <w:rFonts w:hint="eastAsia" w:ascii="仿宋" w:hAnsi="仿宋" w:eastAsia="仿宋" w:cs="仿宋"/>
          <w:color w:val="auto"/>
          <w:sz w:val="32"/>
          <w:szCs w:val="32"/>
          <w:lang w:bidi="ar"/>
        </w:rPr>
        <w:t xml:space="preserve"> </w:t>
      </w:r>
      <w:r>
        <w:rPr>
          <w:rFonts w:hint="eastAsia" w:ascii="仿宋" w:hAnsi="仿宋" w:eastAsia="仿宋" w:cs="仿宋"/>
          <w:color w:val="auto"/>
          <w:sz w:val="32"/>
          <w:szCs w:val="32"/>
          <w:lang w:val="en-US" w:eastAsia="zh-CN" w:bidi="ar"/>
        </w:rPr>
        <w:t xml:space="preserve">  1.1.4</w:t>
      </w:r>
      <w:r>
        <w:rPr>
          <w:rFonts w:hint="eastAsia" w:ascii="仿宋" w:hAnsi="仿宋" w:eastAsia="仿宋" w:cs="仿宋"/>
          <w:color w:val="auto"/>
          <w:sz w:val="32"/>
          <w:szCs w:val="32"/>
          <w:lang w:bidi="ar"/>
        </w:rPr>
        <w:t>东营海域及周边环境敏感资源分布</w:t>
      </w:r>
      <w:bookmarkEnd w:id="16"/>
      <w:bookmarkEnd w:id="17"/>
      <w:bookmarkEnd w:id="18"/>
      <w:bookmarkEnd w:id="19"/>
      <w:bookmarkEnd w:id="20"/>
    </w:p>
    <w:p w14:paraId="2C1773D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东营海域主要有胜利油田海上勘探开发生产作业区，位于我国渤海海域莱州湾西北、渤海湾以东海域，陆地与山东省东营地区北部沿海相邻，周边地区经济发达、资源丰富、环境敏感资源区域众多，其中，黄河口生态保护区属于国家级自然保护区，距离埕岛油田最近只有20KM,另外沿岸养殖区位于5m等深线以内，距离胜利油田生产作业区最近距离不超过10KM，因此，必须加以重视，避免或最大程度的减少溢油对周围各个环境敏感资源区域的污染危害，主要环境敏感资源区分布如下表：</w:t>
      </w:r>
    </w:p>
    <w:p w14:paraId="16CBAEA3">
      <w:pPr>
        <w:pStyle w:val="10"/>
        <w:snapToGrid w:val="0"/>
        <w:spacing w:line="500" w:lineRule="exact"/>
        <w:jc w:val="both"/>
        <w:rPr>
          <w:rFonts w:hint="eastAsia" w:ascii="仿宋" w:hAnsi="仿宋" w:eastAsia="仿宋" w:cs="仿宋"/>
          <w:color w:val="auto"/>
          <w:sz w:val="32"/>
          <w:szCs w:val="32"/>
          <w:lang w:bidi="ar"/>
        </w:rPr>
      </w:pP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3"/>
        <w:gridCol w:w="4311"/>
      </w:tblGrid>
      <w:tr w14:paraId="06D8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990" w:type="dxa"/>
            <w:noWrap w:val="0"/>
            <w:vAlign w:val="center"/>
          </w:tcPr>
          <w:p w14:paraId="3A19FACA">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环境敏感区域名称</w:t>
            </w:r>
          </w:p>
        </w:tc>
        <w:tc>
          <w:tcPr>
            <w:tcW w:w="4410" w:type="dxa"/>
            <w:noWrap w:val="0"/>
            <w:vAlign w:val="center"/>
          </w:tcPr>
          <w:p w14:paraId="42D5AD00">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中心位置</w:t>
            </w:r>
          </w:p>
        </w:tc>
      </w:tr>
      <w:tr w14:paraId="719E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990" w:type="dxa"/>
            <w:noWrap w:val="0"/>
            <w:vAlign w:val="center"/>
          </w:tcPr>
          <w:p w14:paraId="46C151BF">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黄河口自然保护区</w:t>
            </w:r>
          </w:p>
        </w:tc>
        <w:tc>
          <w:tcPr>
            <w:tcW w:w="4410" w:type="dxa"/>
            <w:noWrap w:val="0"/>
            <w:vAlign w:val="center"/>
          </w:tcPr>
          <w:p w14:paraId="304FEEA8">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位于黄河新、老入海口及其沿岸区域</w:t>
            </w:r>
          </w:p>
        </w:tc>
      </w:tr>
      <w:tr w14:paraId="4450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990" w:type="dxa"/>
            <w:noWrap w:val="0"/>
            <w:vAlign w:val="center"/>
          </w:tcPr>
          <w:p w14:paraId="6469E836">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黄河口对虾产卵区</w:t>
            </w:r>
          </w:p>
        </w:tc>
        <w:tc>
          <w:tcPr>
            <w:tcW w:w="4410" w:type="dxa"/>
            <w:noWrap w:val="0"/>
            <w:vAlign w:val="center"/>
          </w:tcPr>
          <w:p w14:paraId="27D88D43">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北纬38度5分；东经118度55分</w:t>
            </w:r>
          </w:p>
        </w:tc>
      </w:tr>
      <w:tr w14:paraId="7A2E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990" w:type="dxa"/>
            <w:noWrap w:val="0"/>
            <w:vAlign w:val="center"/>
          </w:tcPr>
          <w:p w14:paraId="0E04FEF6">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大连斑海豹自然保护区</w:t>
            </w:r>
          </w:p>
        </w:tc>
        <w:tc>
          <w:tcPr>
            <w:tcW w:w="4410" w:type="dxa"/>
            <w:noWrap w:val="0"/>
            <w:vAlign w:val="center"/>
          </w:tcPr>
          <w:p w14:paraId="6069CE54">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北纬38度50分-39度30分；东经120度30分</w:t>
            </w:r>
          </w:p>
        </w:tc>
      </w:tr>
      <w:tr w14:paraId="6BB6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990" w:type="dxa"/>
            <w:noWrap w:val="0"/>
            <w:vAlign w:val="center"/>
          </w:tcPr>
          <w:p w14:paraId="706AA663">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庙西带鱼越冬场</w:t>
            </w:r>
          </w:p>
        </w:tc>
        <w:tc>
          <w:tcPr>
            <w:tcW w:w="4410" w:type="dxa"/>
            <w:noWrap w:val="0"/>
            <w:vAlign w:val="center"/>
          </w:tcPr>
          <w:p w14:paraId="29987055">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北纬38度55分-39度；东经121度</w:t>
            </w:r>
          </w:p>
        </w:tc>
      </w:tr>
      <w:tr w14:paraId="6C75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990" w:type="dxa"/>
            <w:noWrap w:val="0"/>
            <w:vAlign w:val="center"/>
          </w:tcPr>
          <w:p w14:paraId="2D2CDE73">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蛇岛-老铁山自然保护区</w:t>
            </w:r>
          </w:p>
        </w:tc>
        <w:tc>
          <w:tcPr>
            <w:tcW w:w="4410" w:type="dxa"/>
            <w:noWrap w:val="0"/>
            <w:vAlign w:val="center"/>
          </w:tcPr>
          <w:p w14:paraId="0E913A86">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北纬39度15分；东经120度40分-120度50分</w:t>
            </w:r>
          </w:p>
        </w:tc>
      </w:tr>
      <w:tr w14:paraId="75EB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990" w:type="dxa"/>
            <w:noWrap w:val="0"/>
            <w:vAlign w:val="center"/>
          </w:tcPr>
          <w:p w14:paraId="2765C1BD">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沿岸养殖区及渔业资源增养区</w:t>
            </w:r>
          </w:p>
        </w:tc>
        <w:tc>
          <w:tcPr>
            <w:tcW w:w="4410" w:type="dxa"/>
            <w:noWrap w:val="0"/>
            <w:vAlign w:val="center"/>
          </w:tcPr>
          <w:p w14:paraId="20588DC2">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沿岸-5m水深等深线以内</w:t>
            </w:r>
          </w:p>
        </w:tc>
      </w:tr>
    </w:tbl>
    <w:p w14:paraId="47DF799B">
      <w:pPr>
        <w:pStyle w:val="10"/>
        <w:snapToGrid w:val="0"/>
        <w:spacing w:line="500" w:lineRule="exact"/>
        <w:jc w:val="both"/>
        <w:rPr>
          <w:rFonts w:hint="eastAsia" w:ascii="仿宋" w:hAnsi="仿宋" w:eastAsia="仿宋" w:cs="仿宋"/>
          <w:color w:val="auto"/>
          <w:sz w:val="32"/>
          <w:szCs w:val="32"/>
          <w:lang w:bidi="ar"/>
        </w:rPr>
      </w:pPr>
    </w:p>
    <w:p w14:paraId="6ABD23FA">
      <w:pPr>
        <w:spacing w:line="500" w:lineRule="exact"/>
        <w:rPr>
          <w:rFonts w:hint="eastAsia"/>
        </w:rPr>
      </w:pPr>
      <w:r>
        <w:rPr>
          <w:rFonts w:hint="eastAsia"/>
        </w:rPr>
        <w:t xml:space="preserve">    </w:t>
      </w:r>
      <w:bookmarkStart w:id="21" w:name="_Toc3833"/>
      <w:bookmarkStart w:id="22" w:name="_Toc12812"/>
      <w:bookmarkStart w:id="23" w:name="_Toc2431"/>
      <w:r>
        <w:rPr>
          <w:rFonts w:hint="eastAsia"/>
        </w:rPr>
        <w:t>1.2总体应急策略</w:t>
      </w:r>
      <w:bookmarkEnd w:id="13"/>
      <w:bookmarkEnd w:id="14"/>
      <w:bookmarkEnd w:id="15"/>
      <w:bookmarkEnd w:id="21"/>
      <w:bookmarkEnd w:id="22"/>
      <w:bookmarkEnd w:id="23"/>
    </w:p>
    <w:p w14:paraId="12BDDE65">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当污染发生时，应当立即按照制定的防止污染应急预案，开展污染控制和清除作业，采取消除或减轻污染损害的措施，并及时向海事管理机构报告清污进展情况。在终止清污行动前应当向海事管理机构报告，经同意后可停止应急处置措施。在清污过程中，确需使用化学溢油分散剂时，清污单位、船舶或其代理人应当事先向海事管理机构提交书面申请，经批准后方可使用，并在事后及时向海事管理机构提交化学溢油分散剂使用情况报告。</w:t>
      </w:r>
    </w:p>
    <w:p w14:paraId="16B6CEF6">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溢油事故发生时，采取迅速而有效的应急对策，控制和消除溢油，缓解或减轻污染损害是溢油应急反应的初衷。但是，溢油应急反应并没有确定的模式，有必要在制定计划时，对各种溢油情况的应急对策都事先作出安排，以便在溢油发生时给予指导，迅速做出应急决策。可采用的应急措施主要有防止或减少污染源的溢流、监视水面溢油并保护未受威胁的资源、快速回收溢油、申请使用溢油分散剂等化学处理剂、保护重要资源、考虑使用分散剂和现场焚烧、生物降解或前面所述技术的合理配合。</w:t>
      </w:r>
    </w:p>
    <w:p w14:paraId="70700E4B">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1）设立现场指挥部，及时掌握事故有关信息；</w:t>
      </w:r>
    </w:p>
    <w:p w14:paraId="706C0407">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2）事故责任方采取必要的控制和清除措施；</w:t>
      </w:r>
    </w:p>
    <w:p w14:paraId="43B9D27A">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3）防止进一步泄漏和发生火灾的措施，对溢油源进行警戒、监视其扩散动态的措施；</w:t>
      </w:r>
    </w:p>
    <w:p w14:paraId="2947E251">
      <w:pPr>
        <w:spacing w:line="500" w:lineRule="exact"/>
        <w:rPr>
          <w:rFonts w:hint="eastAsia"/>
        </w:rPr>
      </w:pPr>
      <w:r>
        <w:rPr>
          <w:rFonts w:hint="eastAsia"/>
        </w:rPr>
        <w:t xml:space="preserve">  </w:t>
      </w:r>
      <w:bookmarkStart w:id="24" w:name="_Toc6107"/>
      <w:r>
        <w:rPr>
          <w:rFonts w:hint="eastAsia"/>
        </w:rPr>
        <w:t xml:space="preserve">  4）对可能受污染威胁环境敏感区的保护措施；</w:t>
      </w:r>
      <w:bookmarkEnd w:id="24"/>
    </w:p>
    <w:p w14:paraId="53EEA2AC">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5）调度应急队伍和应急资源数量以及相关的后勤保障方案；</w:t>
      </w:r>
    </w:p>
    <w:p w14:paraId="611724D9">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6）确定需要协调的相关主管部门和支持机构的名单，明确各自应给予的支持任务；</w:t>
      </w:r>
    </w:p>
    <w:p w14:paraId="7AF3DD47">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7）溢油监视、监测及时的应用；</w:t>
      </w:r>
    </w:p>
    <w:p w14:paraId="30963D9E">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8）应急期间通信网络的构成以及信息传递程序；</w:t>
      </w:r>
    </w:p>
    <w:p w14:paraId="6F14121B">
      <w:pPr>
        <w:pStyle w:val="10"/>
        <w:snapToGrid w:val="0"/>
        <w:spacing w:line="500" w:lineRule="exact"/>
        <w:ind w:firstLine="64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9）现场作业安全和公共卫生或健康的具体规定；</w:t>
      </w:r>
    </w:p>
    <w:p w14:paraId="27CFFC41">
      <w:pPr>
        <w:pStyle w:val="10"/>
        <w:snapToGrid w:val="0"/>
        <w:spacing w:line="500" w:lineRule="exact"/>
        <w:ind w:firstLine="64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10）可实施的应急清除作业方案；</w:t>
      </w:r>
    </w:p>
    <w:p w14:paraId="14837797">
      <w:pPr>
        <w:pStyle w:val="10"/>
        <w:snapToGrid w:val="0"/>
        <w:spacing w:line="500" w:lineRule="exact"/>
        <w:ind w:firstLine="64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11）若溢油严重，当地的应急力量和资源不能满足应急反应需求时，应向上一级机构提出援助请求或实行区域合作。</w:t>
      </w:r>
    </w:p>
    <w:p w14:paraId="6B2CABE3">
      <w:pPr>
        <w:pStyle w:val="3"/>
        <w:spacing w:line="500" w:lineRule="exact"/>
        <w:jc w:val="both"/>
        <w:rPr>
          <w:rFonts w:hint="eastAsia"/>
          <w:b/>
          <w:bCs w:val="0"/>
          <w:lang w:val="en-US" w:eastAsia="zh-CN"/>
        </w:rPr>
      </w:pPr>
      <w:bookmarkStart w:id="25" w:name="_Toc9341"/>
      <w:bookmarkStart w:id="26" w:name="_Toc5246"/>
      <w:bookmarkStart w:id="27" w:name="_Toc18690"/>
      <w:bookmarkStart w:id="28" w:name="_Toc17006"/>
      <w:r>
        <w:rPr>
          <w:rFonts w:hint="eastAsia"/>
          <w:b/>
          <w:bCs w:val="0"/>
          <w:lang w:val="en-US" w:eastAsia="zh-CN"/>
        </w:rPr>
        <w:t>2.清污行动组织机构及通讯联络</w:t>
      </w:r>
      <w:bookmarkEnd w:id="25"/>
      <w:bookmarkEnd w:id="26"/>
      <w:bookmarkEnd w:id="27"/>
      <w:bookmarkEnd w:id="28"/>
      <w:bookmarkStart w:id="29" w:name="_Toc298434795"/>
      <w:bookmarkStart w:id="30" w:name="_Toc298434462"/>
    </w:p>
    <w:p w14:paraId="2690101E">
      <w:pPr>
        <w:spacing w:line="500" w:lineRule="exact"/>
        <w:rPr>
          <w:rFonts w:hint="eastAsia"/>
        </w:rPr>
      </w:pPr>
      <w:r>
        <w:rPr>
          <w:rFonts w:hint="eastAsia"/>
        </w:rPr>
        <w:t xml:space="preserve">    </w:t>
      </w:r>
      <w:bookmarkStart w:id="31" w:name="_Toc22881"/>
      <w:bookmarkStart w:id="32" w:name="_Toc2228"/>
      <w:bookmarkStart w:id="33" w:name="_Toc9533"/>
      <w:r>
        <w:rPr>
          <w:rFonts w:hint="eastAsia"/>
        </w:rPr>
        <w:t>2.1清污行动总指挥部</w:t>
      </w:r>
      <w:bookmarkEnd w:id="29"/>
      <w:bookmarkEnd w:id="30"/>
      <w:bookmarkEnd w:id="31"/>
      <w:bookmarkEnd w:id="32"/>
      <w:bookmarkEnd w:id="33"/>
    </w:p>
    <w:p w14:paraId="31EB1245">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成立清污行动总指挥部，成员与应急预案对应。总指挥部下设通讯保障组、岸线清污小组、海上溢油回收组、溢油监视组等四个小组，具体负责清污作业的开展。</w:t>
      </w:r>
      <w:bookmarkStart w:id="34" w:name="_Toc298434796"/>
      <w:bookmarkStart w:id="35" w:name="_Toc298434463"/>
    </w:p>
    <w:p w14:paraId="26831932">
      <w:pPr>
        <w:spacing w:line="500" w:lineRule="exact"/>
        <w:rPr>
          <w:rFonts w:hint="eastAsia"/>
        </w:rPr>
      </w:pPr>
      <w:r>
        <w:rPr>
          <w:rFonts w:hint="eastAsia"/>
        </w:rPr>
        <w:t xml:space="preserve">    </w:t>
      </w:r>
      <w:bookmarkStart w:id="36" w:name="_Toc3682"/>
      <w:bookmarkStart w:id="37" w:name="_Toc23148"/>
      <w:bookmarkStart w:id="38" w:name="_Toc25739"/>
      <w:r>
        <w:rPr>
          <w:rFonts w:hint="eastAsia"/>
        </w:rPr>
        <w:t>2.2清污行动总指挥部职责</w:t>
      </w:r>
      <w:bookmarkEnd w:id="34"/>
      <w:bookmarkEnd w:id="35"/>
      <w:bookmarkEnd w:id="36"/>
      <w:bookmarkEnd w:id="37"/>
      <w:bookmarkEnd w:id="38"/>
    </w:p>
    <w:p w14:paraId="63A6B307">
      <w:pPr>
        <w:spacing w:line="500" w:lineRule="exact"/>
        <w:rPr>
          <w:rFonts w:hint="eastAsia"/>
        </w:rPr>
      </w:pPr>
      <w:r>
        <w:rPr>
          <w:rFonts w:hint="eastAsia"/>
        </w:rPr>
        <w:t xml:space="preserve">    </w:t>
      </w:r>
      <w:bookmarkStart w:id="39" w:name="_Toc22268"/>
      <w:r>
        <w:rPr>
          <w:rFonts w:hint="eastAsia"/>
        </w:rPr>
        <w:t>2.2.1总指挥的职责</w:t>
      </w:r>
      <w:bookmarkEnd w:id="39"/>
    </w:p>
    <w:p w14:paraId="5C571C82">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bidi="ar"/>
        </w:rPr>
        <w:t xml:space="preserve">    1）</w:t>
      </w:r>
      <w:r>
        <w:rPr>
          <w:rFonts w:hint="eastAsia" w:ascii="仿宋" w:hAnsi="仿宋" w:eastAsia="仿宋" w:cs="仿宋"/>
          <w:color w:val="auto"/>
          <w:sz w:val="32"/>
          <w:szCs w:val="32"/>
          <w:lang w:val="zh-CN" w:bidi="ar"/>
        </w:rPr>
        <w:t xml:space="preserve">接受上级应急指挥中心的领导，请示并落实指令； </w:t>
      </w:r>
    </w:p>
    <w:p w14:paraId="3DED3C7F">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2）根据应急事件的程度、范围、规模和处理结果，下达预警和预警解除指令；</w:t>
      </w:r>
    </w:p>
    <w:p w14:paraId="41973D9E">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3）下达应急预案的启动和终止指令；</w:t>
      </w:r>
    </w:p>
    <w:p w14:paraId="6440CA73">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4）全面领导清污行动工作，监督各部门指令的实施；</w:t>
      </w:r>
    </w:p>
    <w:p w14:paraId="1C764418">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5）审定清污行动指导方案，协调各种应急资源。</w:t>
      </w:r>
    </w:p>
    <w:p w14:paraId="1192817D">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6）指挥清污行动，协调解决遇到的重大问题；</w:t>
      </w:r>
    </w:p>
    <w:p w14:paraId="115BB0F5">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7）确定现场指挥人员名单，并下达派出命令；</w:t>
      </w:r>
    </w:p>
    <w:p w14:paraId="01C8818E">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8）根据险情和灾情，提请上级有关部门紧急救助。</w:t>
      </w:r>
    </w:p>
    <w:p w14:paraId="0B03675D">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9）审查清污工作的考核结果；</w:t>
      </w:r>
    </w:p>
    <w:p w14:paraId="4CEC7176">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10）审批清污行动相关费用。</w:t>
      </w:r>
    </w:p>
    <w:p w14:paraId="7F9488DD">
      <w:pPr>
        <w:spacing w:line="500" w:lineRule="exact"/>
        <w:rPr>
          <w:rFonts w:hint="eastAsia" w:cs="仿宋"/>
          <w:kern w:val="0"/>
          <w:szCs w:val="32"/>
          <w:lang w:bidi="ar"/>
        </w:rPr>
      </w:pPr>
      <w:r>
        <w:rPr>
          <w:rFonts w:hint="eastAsia" w:cs="仿宋"/>
          <w:kern w:val="0"/>
          <w:szCs w:val="32"/>
          <w:lang w:val="zh-CN" w:bidi="ar"/>
        </w:rPr>
        <w:t xml:space="preserve">    </w:t>
      </w:r>
      <w:bookmarkStart w:id="40" w:name="_Toc20363"/>
      <w:r>
        <w:rPr>
          <w:rFonts w:hint="eastAsia" w:cs="仿宋"/>
          <w:kern w:val="0"/>
          <w:szCs w:val="32"/>
          <w:lang w:bidi="ar"/>
        </w:rPr>
        <w:t>2.2.2现场指挥的职责</w:t>
      </w:r>
      <w:bookmarkEnd w:id="40"/>
    </w:p>
    <w:p w14:paraId="7AC03603">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bidi="ar"/>
        </w:rPr>
        <w:t xml:space="preserve">    </w:t>
      </w:r>
      <w:r>
        <w:rPr>
          <w:rFonts w:hint="eastAsia" w:ascii="仿宋" w:hAnsi="仿宋" w:eastAsia="仿宋" w:cs="仿宋"/>
          <w:color w:val="auto"/>
          <w:sz w:val="32"/>
          <w:szCs w:val="32"/>
          <w:lang w:val="zh-CN" w:bidi="ar"/>
        </w:rPr>
        <w:t>1）按照总指挥指令，负责现场应急指挥工作；</w:t>
      </w:r>
    </w:p>
    <w:p w14:paraId="16E79F08">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2）落实清污行动方案，根据实际情况适时调整方案；</w:t>
      </w:r>
    </w:p>
    <w:p w14:paraId="668A3756">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3）及时向总指挥和上级部门汇报清污行动处置情况；</w:t>
      </w:r>
    </w:p>
    <w:p w14:paraId="24F5775E">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4）协调清污力量；</w:t>
      </w:r>
    </w:p>
    <w:p w14:paraId="0EA1EE29">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5）负责收集、整理清污处置过程中的有关资料；</w:t>
      </w:r>
    </w:p>
    <w:p w14:paraId="685E7AED">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6）根据清污处置情况，及时向总指挥请示应急终止；</w:t>
      </w:r>
    </w:p>
    <w:p w14:paraId="4B028165">
      <w:pPr>
        <w:pStyle w:val="10"/>
        <w:snapToGrid w:val="0"/>
        <w:spacing w:line="500" w:lineRule="exact"/>
        <w:jc w:val="both"/>
        <w:rPr>
          <w:rFonts w:hint="eastAsia" w:ascii="仿宋" w:hAnsi="仿宋" w:eastAsia="仿宋" w:cs="仿宋"/>
          <w:color w:val="auto"/>
          <w:sz w:val="32"/>
          <w:szCs w:val="32"/>
          <w:lang w:val="zh-CN" w:bidi="ar"/>
        </w:rPr>
      </w:pPr>
      <w:r>
        <w:rPr>
          <w:rFonts w:hint="eastAsia" w:ascii="仿宋" w:hAnsi="仿宋" w:eastAsia="仿宋" w:cs="仿宋"/>
          <w:color w:val="auto"/>
          <w:sz w:val="32"/>
          <w:szCs w:val="32"/>
          <w:lang w:val="zh-CN" w:bidi="ar"/>
        </w:rPr>
        <w:t xml:space="preserve">    7）负责总指挥交办的其他任务。</w:t>
      </w:r>
    </w:p>
    <w:p w14:paraId="3BA4760C">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val="zh-CN" w:bidi="ar"/>
        </w:rPr>
        <w:t xml:space="preserve">    </w:t>
      </w:r>
      <w:r>
        <w:rPr>
          <w:rFonts w:hint="eastAsia" w:ascii="仿宋" w:hAnsi="仿宋" w:eastAsia="仿宋" w:cs="仿宋"/>
          <w:color w:val="auto"/>
          <w:sz w:val="32"/>
          <w:szCs w:val="32"/>
          <w:lang w:bidi="ar"/>
        </w:rPr>
        <w:t>应急指挥部下设如下几个小组，其清污作业期间的职责如下：</w:t>
      </w:r>
    </w:p>
    <w:p w14:paraId="0EA5F2F7">
      <w:pPr>
        <w:spacing w:line="500" w:lineRule="exact"/>
        <w:rPr>
          <w:rFonts w:hint="eastAsia"/>
        </w:rPr>
      </w:pPr>
      <w:r>
        <w:rPr>
          <w:rFonts w:hint="eastAsia"/>
        </w:rPr>
        <w:t xml:space="preserve">   </w:t>
      </w:r>
      <w:bookmarkStart w:id="41" w:name="_Toc4903"/>
      <w:r>
        <w:rPr>
          <w:rFonts w:hint="eastAsia"/>
        </w:rPr>
        <w:t>2.2.3通讯保障组职责</w:t>
      </w:r>
      <w:bookmarkEnd w:id="41"/>
    </w:p>
    <w:p w14:paraId="51DD0158">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保障指挥部与清污行动工作现场的通讯联络畅通，做好上传下达工作，及时处理通讯故障。</w:t>
      </w:r>
    </w:p>
    <w:p w14:paraId="6F1A1F6D">
      <w:pPr>
        <w:spacing w:line="500" w:lineRule="exact"/>
        <w:rPr>
          <w:rFonts w:hint="eastAsia"/>
        </w:rPr>
      </w:pPr>
      <w:r>
        <w:rPr>
          <w:rFonts w:hint="eastAsia"/>
        </w:rPr>
        <w:t xml:space="preserve">    </w:t>
      </w:r>
      <w:bookmarkStart w:id="42" w:name="_Toc10665"/>
      <w:r>
        <w:rPr>
          <w:rFonts w:hint="eastAsia"/>
        </w:rPr>
        <w:t>2.2.4岸线清污小组职责</w:t>
      </w:r>
      <w:bookmarkEnd w:id="42"/>
    </w:p>
    <w:p w14:paraId="2D21ABDE">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按照岸线清污方案，根据不同的岸线采取不同的保护和清除措施，考虑岸线优先保护次序和岸线的具体情况，采取必要的围控等措施，防止着岸溢油重新回到水中污染其它岸线。清除作业中应注意防止对岸线造成更大的损害。</w:t>
      </w:r>
    </w:p>
    <w:p w14:paraId="0AC5CF74">
      <w:pPr>
        <w:spacing w:line="500" w:lineRule="exact"/>
        <w:rPr>
          <w:rFonts w:hint="eastAsia"/>
        </w:rPr>
      </w:pPr>
      <w:r>
        <w:rPr>
          <w:rFonts w:hint="eastAsia"/>
        </w:rPr>
        <w:t xml:space="preserve">    </w:t>
      </w:r>
      <w:bookmarkStart w:id="43" w:name="_Toc18065"/>
      <w:r>
        <w:rPr>
          <w:rFonts w:hint="eastAsia"/>
        </w:rPr>
        <w:t>2.2.5海上溢油回收组职责</w:t>
      </w:r>
      <w:bookmarkEnd w:id="43"/>
    </w:p>
    <w:p w14:paraId="48D3C6D8">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按照海上污染物回收和清除方案，根据不同的水域环境和不同的油种，采用收油机等机械装置、吸油材料、溢油分散剂等多种手段将油从水面分离出来，利用现有的设备、装备、器材、材料，充分发挥作用，提高溢油回收效率。</w:t>
      </w:r>
    </w:p>
    <w:p w14:paraId="40E60A15">
      <w:pPr>
        <w:spacing w:line="500" w:lineRule="exact"/>
        <w:rPr>
          <w:rFonts w:hint="eastAsia"/>
        </w:rPr>
      </w:pPr>
      <w:r>
        <w:rPr>
          <w:rFonts w:hint="eastAsia"/>
        </w:rPr>
        <w:t xml:space="preserve">    </w:t>
      </w:r>
      <w:bookmarkStart w:id="44" w:name="_Toc321"/>
      <w:r>
        <w:rPr>
          <w:rFonts w:hint="eastAsia"/>
        </w:rPr>
        <w:t>2.2.6溢油监视组职责</w:t>
      </w:r>
      <w:bookmarkEnd w:id="44"/>
    </w:p>
    <w:p w14:paraId="0D666415">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利用溢油漂移软件预测、船载溢油跟踪雷达、无人机和辅助溢油巡查船舶对大面积污染区和油迹进行多手段、全天候预测、监测和跟踪，为清污行动决策提供信息支持，增强决策的科学性，提高清污处置效率。</w:t>
      </w:r>
      <w:bookmarkStart w:id="45" w:name="_Toc298434797"/>
      <w:bookmarkStart w:id="46" w:name="_Toc298434464"/>
    </w:p>
    <w:p w14:paraId="5F84E1CD">
      <w:pPr>
        <w:spacing w:line="500" w:lineRule="exact"/>
        <w:rPr>
          <w:rFonts w:hint="eastAsia"/>
        </w:rPr>
      </w:pPr>
      <w:r>
        <w:rPr>
          <w:rFonts w:hint="eastAsia"/>
        </w:rPr>
        <w:t xml:space="preserve">    </w:t>
      </w:r>
      <w:bookmarkStart w:id="47" w:name="_Toc25639"/>
      <w:bookmarkStart w:id="48" w:name="_Toc30188"/>
      <w:bookmarkStart w:id="49" w:name="_Toc17638"/>
      <w:r>
        <w:rPr>
          <w:rFonts w:hint="eastAsia"/>
        </w:rPr>
        <w:t>2.3通讯联络</w:t>
      </w:r>
      <w:bookmarkEnd w:id="45"/>
      <w:bookmarkEnd w:id="46"/>
      <w:bookmarkEnd w:id="47"/>
      <w:bookmarkEnd w:id="48"/>
      <w:bookmarkEnd w:id="49"/>
    </w:p>
    <w:p w14:paraId="07B7AB55">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中心生产指挥中心</w:t>
      </w:r>
      <w:r>
        <w:rPr>
          <w:rFonts w:hint="eastAsia" w:ascii="仿宋" w:hAnsi="仿宋" w:eastAsia="仿宋" w:cs="仿宋"/>
          <w:color w:val="auto"/>
          <w:sz w:val="32"/>
          <w:szCs w:val="32"/>
          <w:lang w:eastAsia="zh-CN" w:bidi="ar"/>
        </w:rPr>
        <w:t>桩西</w:t>
      </w:r>
      <w:r>
        <w:rPr>
          <w:rFonts w:hint="eastAsia" w:ascii="仿宋" w:hAnsi="仿宋" w:eastAsia="仿宋" w:cs="仿宋"/>
          <w:color w:val="auto"/>
          <w:sz w:val="32"/>
          <w:szCs w:val="32"/>
          <w:lang w:bidi="ar"/>
        </w:rPr>
        <w:t>调度室设有如下通讯设备，人员24小时值守：</w:t>
      </w:r>
    </w:p>
    <w:p w14:paraId="184463E7">
      <w:pPr>
        <w:spacing w:line="500" w:lineRule="exact"/>
        <w:rPr>
          <w:rFonts w:hint="eastAsia"/>
        </w:rPr>
      </w:pPr>
      <w:r>
        <w:rPr>
          <w:rFonts w:hint="eastAsia"/>
        </w:rPr>
        <w:t xml:space="preserve">    </w:t>
      </w:r>
      <w:bookmarkStart w:id="50" w:name="_Toc26379"/>
      <w:r>
        <w:rPr>
          <w:rFonts w:hint="eastAsia"/>
        </w:rPr>
        <w:t>2.3.1固定电话</w:t>
      </w:r>
      <w:bookmarkEnd w:id="50"/>
    </w:p>
    <w:p w14:paraId="3B8D4A8E">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生产指挥中心</w:t>
      </w:r>
      <w:r>
        <w:rPr>
          <w:rFonts w:hint="eastAsia" w:ascii="仿宋" w:hAnsi="仿宋" w:eastAsia="仿宋" w:cs="仿宋"/>
          <w:color w:val="auto"/>
          <w:sz w:val="32"/>
          <w:szCs w:val="32"/>
          <w:lang w:eastAsia="zh-CN" w:bidi="ar"/>
        </w:rPr>
        <w:t>桩西</w:t>
      </w:r>
      <w:r>
        <w:rPr>
          <w:rFonts w:hint="eastAsia" w:ascii="仿宋" w:hAnsi="仿宋" w:eastAsia="仿宋" w:cs="仿宋"/>
          <w:color w:val="auto"/>
          <w:sz w:val="32"/>
          <w:szCs w:val="32"/>
          <w:lang w:bidi="ar"/>
        </w:rPr>
        <w:t>调度室电话：05</w:t>
      </w:r>
      <w:r>
        <w:rPr>
          <w:rFonts w:hint="eastAsia" w:ascii="仿宋" w:hAnsi="仿宋" w:eastAsia="仿宋" w:cs="仿宋"/>
          <w:color w:val="auto"/>
          <w:sz w:val="32"/>
          <w:szCs w:val="32"/>
          <w:lang w:val="en-US" w:eastAsia="zh-CN" w:bidi="ar"/>
        </w:rPr>
        <w:t>46</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8870061</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8870003</w:t>
      </w:r>
      <w:r>
        <w:rPr>
          <w:rFonts w:hint="eastAsia" w:ascii="仿宋" w:hAnsi="仿宋" w:eastAsia="仿宋" w:cs="仿宋"/>
          <w:color w:val="auto"/>
          <w:sz w:val="32"/>
          <w:szCs w:val="32"/>
          <w:lang w:bidi="ar"/>
        </w:rPr>
        <w:t>；</w:t>
      </w:r>
    </w:p>
    <w:p w14:paraId="14E783EC">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2.3.2甚高频（14频道值守）1台，覆盖</w:t>
      </w:r>
      <w:r>
        <w:rPr>
          <w:rFonts w:hint="eastAsia" w:ascii="仿宋" w:hAnsi="仿宋" w:eastAsia="仿宋" w:cs="仿宋"/>
          <w:color w:val="auto"/>
          <w:sz w:val="32"/>
          <w:szCs w:val="32"/>
          <w:lang w:eastAsia="zh-CN" w:bidi="ar"/>
        </w:rPr>
        <w:t>桩西</w:t>
      </w:r>
      <w:r>
        <w:rPr>
          <w:rFonts w:hint="eastAsia" w:ascii="仿宋" w:hAnsi="仿宋" w:eastAsia="仿宋" w:cs="仿宋"/>
          <w:color w:val="auto"/>
          <w:sz w:val="32"/>
          <w:szCs w:val="32"/>
          <w:lang w:bidi="ar"/>
        </w:rPr>
        <w:t>及周边海域。</w:t>
      </w:r>
    </w:p>
    <w:p w14:paraId="608715F6">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2.3.3移动电话若干；</w:t>
      </w:r>
    </w:p>
    <w:p w14:paraId="4A4EEE4B">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2.3.4网络通讯可通过电脑接入宽带实现；</w:t>
      </w:r>
    </w:p>
    <w:p w14:paraId="7B0E25B9">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2.3.5清污作业现场可通过手持对讲机及应急船舶甚高频、单边带等方式实现。</w:t>
      </w:r>
      <w:bookmarkStart w:id="51" w:name="_Toc298434798"/>
      <w:bookmarkStart w:id="52" w:name="_Toc298434465"/>
      <w:bookmarkStart w:id="53" w:name="_Toc297910034"/>
    </w:p>
    <w:p w14:paraId="64614C07">
      <w:pPr>
        <w:pStyle w:val="3"/>
        <w:spacing w:line="500" w:lineRule="exact"/>
        <w:jc w:val="both"/>
        <w:rPr>
          <w:rFonts w:hint="eastAsia"/>
          <w:b/>
          <w:bCs w:val="0"/>
          <w:lang w:val="en-US" w:eastAsia="zh-CN"/>
        </w:rPr>
      </w:pPr>
      <w:bookmarkStart w:id="54" w:name="_Toc7306"/>
      <w:bookmarkStart w:id="55" w:name="_Toc27774"/>
      <w:bookmarkStart w:id="56" w:name="_Toc3921"/>
      <w:bookmarkStart w:id="57" w:name="_Toc11937"/>
      <w:r>
        <w:rPr>
          <w:rFonts w:hint="eastAsia"/>
          <w:b/>
          <w:bCs w:val="0"/>
          <w:lang w:val="en-US" w:eastAsia="zh-CN"/>
        </w:rPr>
        <w:t>3.污染描述及其主要控制方案</w:t>
      </w:r>
      <w:bookmarkEnd w:id="51"/>
      <w:bookmarkEnd w:id="52"/>
      <w:bookmarkEnd w:id="53"/>
      <w:bookmarkEnd w:id="54"/>
      <w:bookmarkEnd w:id="55"/>
      <w:bookmarkEnd w:id="56"/>
      <w:bookmarkEnd w:id="57"/>
    </w:p>
    <w:p w14:paraId="0C2843A7">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随着</w:t>
      </w:r>
      <w:r>
        <w:rPr>
          <w:rFonts w:hint="eastAsia" w:ascii="仿宋" w:hAnsi="仿宋" w:eastAsia="仿宋" w:cs="仿宋"/>
          <w:color w:val="auto"/>
          <w:sz w:val="32"/>
          <w:szCs w:val="32"/>
          <w:lang w:eastAsia="zh-CN" w:bidi="ar"/>
        </w:rPr>
        <w:t>桩西</w:t>
      </w:r>
      <w:r>
        <w:rPr>
          <w:rFonts w:hint="eastAsia" w:ascii="仿宋" w:hAnsi="仿宋" w:eastAsia="仿宋" w:cs="仿宋"/>
          <w:color w:val="auto"/>
          <w:sz w:val="32"/>
          <w:szCs w:val="32"/>
          <w:lang w:bidi="ar"/>
        </w:rPr>
        <w:t>及周边海域海上航运业的不断发展，以及周边海域液体化工、LNG运输量的逐年增大，船舶溢油事故特别是船舶搁浅和碰撞导致的溢油潜在风险较大。服务区域的主要船舶类型有油轮、拖轮、货轮、LNG船等，作业船舶的分布比较密集，一旦发生单次事件的溢油事故，会产生较大的溢油量，对海洋环境造成污染。</w:t>
      </w:r>
      <w:bookmarkStart w:id="58" w:name="_Toc297910035"/>
      <w:bookmarkStart w:id="59" w:name="_Toc298434466"/>
      <w:bookmarkStart w:id="60" w:name="_Toc298434799"/>
    </w:p>
    <w:p w14:paraId="5987D9C6">
      <w:pPr>
        <w:spacing w:line="500" w:lineRule="exact"/>
        <w:ind w:firstLine="640" w:firstLineChars="200"/>
        <w:rPr>
          <w:rFonts w:hint="eastAsia"/>
        </w:rPr>
      </w:pPr>
      <w:bookmarkStart w:id="61" w:name="_Toc20781"/>
      <w:bookmarkStart w:id="62" w:name="_Toc15444"/>
      <w:bookmarkStart w:id="63" w:name="_Toc26695"/>
      <w:r>
        <w:rPr>
          <w:rFonts w:hint="eastAsia"/>
        </w:rPr>
        <w:t>3.1海上船舶产生溢油污染</w:t>
      </w:r>
      <w:bookmarkEnd w:id="58"/>
      <w:r>
        <w:rPr>
          <w:rFonts w:hint="eastAsia"/>
        </w:rPr>
        <w:t>的主要原因</w:t>
      </w:r>
      <w:bookmarkEnd w:id="59"/>
      <w:bookmarkEnd w:id="60"/>
      <w:bookmarkEnd w:id="61"/>
      <w:bookmarkEnd w:id="62"/>
      <w:bookmarkEnd w:id="63"/>
    </w:p>
    <w:p w14:paraId="6CB03D5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1）由于碰撞、起火、爆炸、触礁、搁浅、自然灾害等意外事故造成；</w:t>
      </w:r>
    </w:p>
    <w:p w14:paraId="54E8BB7D">
      <w:pPr>
        <w:spacing w:line="500" w:lineRule="exact"/>
        <w:ind w:firstLine="640" w:firstLineChars="200"/>
        <w:rPr>
          <w:rFonts w:hint="eastAsia"/>
        </w:rPr>
      </w:pPr>
      <w:bookmarkStart w:id="64" w:name="_Toc4881"/>
      <w:r>
        <w:rPr>
          <w:rFonts w:hint="eastAsia"/>
        </w:rPr>
        <w:t>2）由于油分或含油污染物的违章外排造成；</w:t>
      </w:r>
      <w:bookmarkEnd w:id="64"/>
    </w:p>
    <w:p w14:paraId="02E1D4EF">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3）由于操作的失误造成，例如：油轮间过驳作业、船对船供油作业、船与码头之间油品装卸过程中的事故；及船上或陆上油库内的阀门操作失误而造成。</w:t>
      </w:r>
    </w:p>
    <w:p w14:paraId="3DB9C511">
      <w:pPr>
        <w:spacing w:line="500" w:lineRule="exact"/>
        <w:ind w:firstLine="640" w:firstLineChars="200"/>
        <w:rPr>
          <w:rFonts w:hint="eastAsia"/>
        </w:rPr>
      </w:pPr>
      <w:bookmarkStart w:id="65" w:name="_Toc298434800"/>
      <w:bookmarkStart w:id="66" w:name="_Toc298434467"/>
      <w:bookmarkStart w:id="67" w:name="_Toc297910036"/>
      <w:bookmarkStart w:id="68" w:name="_Toc17909"/>
      <w:bookmarkStart w:id="69" w:name="_Toc26736"/>
      <w:bookmarkStart w:id="70" w:name="_Toc28260"/>
      <w:r>
        <w:rPr>
          <w:rFonts w:hint="eastAsia"/>
        </w:rPr>
        <w:t>3.2</w:t>
      </w:r>
      <w:bookmarkEnd w:id="65"/>
      <w:bookmarkEnd w:id="66"/>
      <w:bookmarkEnd w:id="67"/>
      <w:r>
        <w:rPr>
          <w:rFonts w:hint="eastAsia"/>
        </w:rPr>
        <w:t>船舶碰撞、触礁、搁浅污染控制方案</w:t>
      </w:r>
      <w:bookmarkEnd w:id="68"/>
      <w:bookmarkEnd w:id="69"/>
      <w:bookmarkEnd w:id="70"/>
    </w:p>
    <w:p w14:paraId="40E254D9">
      <w:pPr>
        <w:spacing w:line="500" w:lineRule="exact"/>
        <w:rPr>
          <w:rFonts w:hint="eastAsia"/>
        </w:rPr>
      </w:pPr>
      <w:r>
        <w:rPr>
          <w:rFonts w:hint="eastAsia"/>
        </w:rPr>
        <w:t xml:space="preserve">    </w:t>
      </w:r>
      <w:bookmarkStart w:id="71" w:name="_Toc10207"/>
      <w:r>
        <w:rPr>
          <w:rFonts w:hint="eastAsia"/>
        </w:rPr>
        <w:t>3.2.1溢油应急设备配置</w:t>
      </w:r>
      <w:bookmarkEnd w:id="71"/>
    </w:p>
    <w:p w14:paraId="1F26567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专用溢油回收船2艘，为胜利2</w:t>
      </w:r>
      <w:r>
        <w:rPr>
          <w:rFonts w:hint="eastAsia" w:ascii="仿宋" w:hAnsi="仿宋" w:eastAsia="仿宋" w:cs="仿宋"/>
          <w:color w:val="auto"/>
          <w:sz w:val="32"/>
          <w:szCs w:val="32"/>
          <w:lang w:val="en-US" w:eastAsia="zh-CN" w:bidi="ar"/>
        </w:rPr>
        <w:t>41</w:t>
      </w:r>
      <w:r>
        <w:rPr>
          <w:rFonts w:hint="eastAsia" w:ascii="仿宋" w:hAnsi="仿宋" w:eastAsia="仿宋" w:cs="仿宋"/>
          <w:color w:val="auto"/>
          <w:sz w:val="32"/>
          <w:szCs w:val="32"/>
          <w:lang w:bidi="ar"/>
        </w:rPr>
        <w:t>、50</w:t>
      </w:r>
      <w:r>
        <w:rPr>
          <w:rFonts w:hint="eastAsia" w:ascii="仿宋" w:hAnsi="仿宋" w:eastAsia="仿宋" w:cs="仿宋"/>
          <w:color w:val="auto"/>
          <w:sz w:val="32"/>
          <w:szCs w:val="32"/>
          <w:lang w:val="en-US" w:eastAsia="zh-CN" w:bidi="ar"/>
        </w:rPr>
        <w:t>5</w:t>
      </w:r>
      <w:r>
        <w:rPr>
          <w:rFonts w:hint="eastAsia" w:ascii="仿宋" w:hAnsi="仿宋" w:eastAsia="仿宋" w:cs="仿宋"/>
          <w:color w:val="auto"/>
          <w:sz w:val="32"/>
          <w:szCs w:val="32"/>
          <w:lang w:bidi="ar"/>
        </w:rPr>
        <w:t>船；辅助船舶8艘，为胜利</w:t>
      </w:r>
      <w:r>
        <w:rPr>
          <w:rFonts w:hint="eastAsia" w:ascii="仿宋" w:hAnsi="仿宋" w:eastAsia="仿宋" w:cs="仿宋"/>
          <w:color w:val="auto"/>
          <w:sz w:val="32"/>
          <w:szCs w:val="32"/>
          <w:lang w:val="en-US" w:eastAsia="zh-CN" w:bidi="ar"/>
        </w:rPr>
        <w:t>251</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253</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281</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291</w:t>
      </w:r>
      <w:r>
        <w:rPr>
          <w:rFonts w:hint="eastAsia" w:ascii="仿宋" w:hAnsi="仿宋" w:eastAsia="仿宋" w:cs="仿宋"/>
          <w:color w:val="auto"/>
          <w:sz w:val="32"/>
          <w:szCs w:val="32"/>
          <w:lang w:eastAsia="zh-CN" w:bidi="ar"/>
        </w:rPr>
        <w:t>、</w:t>
      </w:r>
      <w:r>
        <w:rPr>
          <w:rFonts w:hint="eastAsia" w:ascii="仿宋" w:hAnsi="仿宋" w:eastAsia="仿宋" w:cs="仿宋"/>
          <w:color w:val="auto"/>
          <w:sz w:val="32"/>
          <w:szCs w:val="32"/>
          <w:lang w:val="en-US" w:eastAsia="zh-CN" w:bidi="ar"/>
        </w:rPr>
        <w:t>292、617、408、233</w:t>
      </w:r>
      <w:r>
        <w:rPr>
          <w:rFonts w:hint="eastAsia" w:ascii="仿宋" w:hAnsi="仿宋" w:eastAsia="仿宋" w:cs="仿宋"/>
          <w:color w:val="auto"/>
          <w:sz w:val="32"/>
          <w:szCs w:val="32"/>
          <w:lang w:bidi="ar"/>
        </w:rPr>
        <w:t>船。</w:t>
      </w:r>
    </w:p>
    <w:p w14:paraId="161AD60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2000型充气围油栏</w:t>
      </w:r>
      <w:r>
        <w:rPr>
          <w:rFonts w:hint="eastAsia" w:ascii="仿宋" w:hAnsi="仿宋" w:eastAsia="仿宋" w:cs="仿宋"/>
          <w:color w:val="auto"/>
          <w:sz w:val="32"/>
          <w:szCs w:val="32"/>
          <w:lang w:val="en-US" w:eastAsia="zh-CN" w:bidi="ar"/>
        </w:rPr>
        <w:t>2000</w:t>
      </w:r>
      <w:r>
        <w:rPr>
          <w:rFonts w:hint="eastAsia" w:ascii="仿宋" w:hAnsi="仿宋" w:eastAsia="仿宋" w:cs="仿宋"/>
          <w:color w:val="auto"/>
          <w:sz w:val="32"/>
          <w:szCs w:val="32"/>
          <w:lang w:bidi="ar"/>
        </w:rPr>
        <w:t>米、固体围油栏</w:t>
      </w:r>
      <w:r>
        <w:rPr>
          <w:rFonts w:hint="eastAsia" w:ascii="仿宋" w:hAnsi="仿宋" w:eastAsia="仿宋" w:cs="仿宋"/>
          <w:color w:val="auto"/>
          <w:sz w:val="32"/>
          <w:szCs w:val="32"/>
          <w:lang w:val="en-US" w:eastAsia="zh-CN" w:bidi="ar"/>
        </w:rPr>
        <w:t>11</w:t>
      </w:r>
      <w:r>
        <w:rPr>
          <w:rFonts w:hint="eastAsia" w:ascii="仿宋" w:hAnsi="仿宋" w:eastAsia="仿宋" w:cs="仿宋"/>
          <w:color w:val="auto"/>
          <w:sz w:val="32"/>
          <w:szCs w:val="32"/>
          <w:lang w:bidi="ar"/>
        </w:rPr>
        <w:t>00型</w:t>
      </w:r>
      <w:r>
        <w:rPr>
          <w:rFonts w:hint="eastAsia" w:ascii="仿宋" w:hAnsi="仿宋" w:eastAsia="仿宋" w:cs="仿宋"/>
          <w:color w:val="auto"/>
          <w:sz w:val="32"/>
          <w:szCs w:val="32"/>
          <w:lang w:val="en-US" w:eastAsia="zh-CN" w:bidi="ar"/>
        </w:rPr>
        <w:t>900米，</w:t>
      </w:r>
      <w:r>
        <w:rPr>
          <w:rFonts w:hint="eastAsia" w:ascii="仿宋" w:hAnsi="仿宋" w:eastAsia="仿宋" w:cs="仿宋"/>
          <w:color w:val="auto"/>
          <w:sz w:val="32"/>
          <w:szCs w:val="32"/>
          <w:lang w:bidi="ar"/>
        </w:rPr>
        <w:t>固体围油栏橡胶900型</w:t>
      </w:r>
      <w:r>
        <w:rPr>
          <w:rFonts w:hint="eastAsia" w:ascii="仿宋" w:hAnsi="仿宋" w:eastAsia="仿宋" w:cs="仿宋"/>
          <w:color w:val="auto"/>
          <w:sz w:val="32"/>
          <w:szCs w:val="32"/>
          <w:lang w:val="en-US" w:eastAsia="zh-CN" w:bidi="ar"/>
        </w:rPr>
        <w:t>800</w:t>
      </w:r>
      <w:r>
        <w:rPr>
          <w:rFonts w:hint="eastAsia" w:ascii="仿宋" w:hAnsi="仿宋" w:eastAsia="仿宋" w:cs="仿宋"/>
          <w:color w:val="auto"/>
          <w:sz w:val="32"/>
          <w:szCs w:val="32"/>
          <w:lang w:bidi="ar"/>
        </w:rPr>
        <w:t>米、固体围油栏</w:t>
      </w:r>
      <w:r>
        <w:rPr>
          <w:rFonts w:hint="eastAsia" w:ascii="仿宋" w:hAnsi="仿宋" w:eastAsia="仿宋" w:cs="仿宋"/>
          <w:color w:val="auto"/>
          <w:sz w:val="32"/>
          <w:szCs w:val="32"/>
          <w:lang w:val="en-US" w:eastAsia="zh-CN" w:bidi="ar"/>
        </w:rPr>
        <w:t>900型1980</w:t>
      </w:r>
      <w:r>
        <w:rPr>
          <w:rFonts w:hint="eastAsia" w:ascii="仿宋" w:hAnsi="仿宋" w:eastAsia="仿宋" w:cs="仿宋"/>
          <w:color w:val="auto"/>
          <w:sz w:val="32"/>
          <w:szCs w:val="32"/>
          <w:lang w:eastAsia="zh-CN" w:bidi="ar"/>
        </w:rPr>
        <w:t>米</w:t>
      </w:r>
      <w:r>
        <w:rPr>
          <w:rFonts w:hint="eastAsia" w:ascii="仿宋" w:hAnsi="仿宋" w:eastAsia="仿宋" w:cs="仿宋"/>
          <w:color w:val="auto"/>
          <w:sz w:val="32"/>
          <w:szCs w:val="32"/>
          <w:lang w:bidi="ar"/>
        </w:rPr>
        <w:t>、固体围油栏</w:t>
      </w:r>
      <w:r>
        <w:rPr>
          <w:rFonts w:hint="eastAsia" w:ascii="仿宋" w:hAnsi="仿宋" w:eastAsia="仿宋" w:cs="仿宋"/>
          <w:color w:val="auto"/>
          <w:sz w:val="32"/>
          <w:szCs w:val="32"/>
          <w:lang w:val="en-US" w:eastAsia="zh-CN" w:bidi="ar"/>
        </w:rPr>
        <w:t>6</w:t>
      </w:r>
      <w:r>
        <w:rPr>
          <w:rFonts w:hint="eastAsia" w:ascii="仿宋" w:hAnsi="仿宋" w:eastAsia="仿宋" w:cs="仿宋"/>
          <w:color w:val="auto"/>
          <w:sz w:val="32"/>
          <w:szCs w:val="32"/>
          <w:lang w:bidi="ar"/>
        </w:rPr>
        <w:t>00型</w:t>
      </w:r>
      <w:r>
        <w:rPr>
          <w:rFonts w:hint="eastAsia" w:ascii="仿宋" w:hAnsi="仿宋" w:eastAsia="仿宋" w:cs="仿宋"/>
          <w:color w:val="auto"/>
          <w:sz w:val="32"/>
          <w:szCs w:val="32"/>
          <w:lang w:val="en-US" w:eastAsia="zh-CN" w:bidi="ar"/>
        </w:rPr>
        <w:t>222</w:t>
      </w:r>
      <w:r>
        <w:rPr>
          <w:rFonts w:hint="eastAsia" w:ascii="仿宋" w:hAnsi="仿宋" w:eastAsia="仿宋" w:cs="仿宋"/>
          <w:color w:val="auto"/>
          <w:sz w:val="32"/>
          <w:szCs w:val="32"/>
          <w:lang w:bidi="ar"/>
        </w:rPr>
        <w:t>0米、吸油围油栏WGP600型</w:t>
      </w:r>
      <w:r>
        <w:rPr>
          <w:rFonts w:hint="eastAsia" w:ascii="仿宋" w:hAnsi="仿宋" w:eastAsia="仿宋" w:cs="仿宋"/>
          <w:color w:val="auto"/>
          <w:sz w:val="32"/>
          <w:szCs w:val="32"/>
          <w:lang w:val="en-US" w:eastAsia="zh-CN" w:bidi="ar"/>
        </w:rPr>
        <w:t>458</w:t>
      </w:r>
      <w:r>
        <w:rPr>
          <w:rFonts w:hint="eastAsia" w:ascii="仿宋" w:hAnsi="仿宋" w:eastAsia="仿宋" w:cs="仿宋"/>
          <w:color w:val="auto"/>
          <w:sz w:val="32"/>
          <w:szCs w:val="32"/>
          <w:lang w:bidi="ar"/>
        </w:rPr>
        <w:t>0米、防火围油栏</w:t>
      </w:r>
      <w:r>
        <w:rPr>
          <w:rFonts w:hint="eastAsia" w:ascii="仿宋" w:hAnsi="仿宋" w:eastAsia="仿宋" w:cs="仿宋"/>
          <w:color w:val="auto"/>
          <w:sz w:val="32"/>
          <w:szCs w:val="32"/>
          <w:lang w:val="en-US" w:eastAsia="zh-CN" w:bidi="ar"/>
        </w:rPr>
        <w:t>7</w:t>
      </w:r>
      <w:r>
        <w:rPr>
          <w:rFonts w:hint="eastAsia" w:ascii="仿宋" w:hAnsi="仿宋" w:eastAsia="仿宋" w:cs="仿宋"/>
          <w:color w:val="auto"/>
          <w:sz w:val="32"/>
          <w:szCs w:val="32"/>
          <w:lang w:bidi="ar"/>
        </w:rPr>
        <w:t>00米。</w:t>
      </w:r>
    </w:p>
    <w:p w14:paraId="777A6F80">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侧装内嵌式溢油回收设备</w:t>
      </w:r>
      <w:r>
        <w:rPr>
          <w:rFonts w:hint="eastAsia" w:ascii="仿宋" w:hAnsi="仿宋" w:eastAsia="仿宋" w:cs="仿宋"/>
          <w:color w:val="auto"/>
          <w:sz w:val="32"/>
          <w:szCs w:val="32"/>
          <w:lang w:val="en-US" w:eastAsia="zh-CN" w:bidi="ar"/>
        </w:rPr>
        <w:t>1套、</w:t>
      </w:r>
      <w:r>
        <w:rPr>
          <w:rFonts w:hint="eastAsia" w:ascii="仿宋" w:hAnsi="仿宋" w:eastAsia="仿宋" w:cs="仿宋"/>
          <w:color w:val="auto"/>
          <w:sz w:val="32"/>
          <w:szCs w:val="32"/>
          <w:lang w:bidi="ar"/>
        </w:rPr>
        <w:t>两栖收油车</w:t>
      </w:r>
      <w:r>
        <w:rPr>
          <w:rFonts w:hint="eastAsia" w:ascii="仿宋" w:hAnsi="仿宋" w:eastAsia="仿宋" w:cs="仿宋"/>
          <w:color w:val="auto"/>
          <w:sz w:val="32"/>
          <w:szCs w:val="32"/>
          <w:lang w:val="en-US" w:eastAsia="zh-CN" w:bidi="ar"/>
        </w:rPr>
        <w:t>1台</w:t>
      </w:r>
      <w:r>
        <w:rPr>
          <w:rFonts w:hint="eastAsia" w:ascii="仿宋" w:hAnsi="仿宋" w:eastAsia="仿宋" w:cs="仿宋"/>
          <w:color w:val="auto"/>
          <w:sz w:val="32"/>
          <w:szCs w:val="32"/>
          <w:lang w:eastAsia="zh-CN" w:bidi="ar"/>
        </w:rPr>
        <w:t>、外海收油机</w:t>
      </w:r>
      <w:r>
        <w:rPr>
          <w:rFonts w:hint="eastAsia" w:ascii="仿宋" w:hAnsi="仿宋" w:eastAsia="仿宋" w:cs="仿宋"/>
          <w:color w:val="auto"/>
          <w:sz w:val="32"/>
          <w:szCs w:val="32"/>
          <w:lang w:val="en-US" w:eastAsia="zh-CN" w:bidi="ar"/>
        </w:rPr>
        <w:t>1套、动态斜面侧挂式收油机1套、转盘刷式收油机2台、</w:t>
      </w:r>
      <w:r>
        <w:rPr>
          <w:rFonts w:hint="eastAsia" w:ascii="仿宋" w:hAnsi="仿宋" w:eastAsia="仿宋" w:cs="仿宋"/>
          <w:color w:val="auto"/>
          <w:sz w:val="32"/>
          <w:szCs w:val="32"/>
          <w:lang w:bidi="ar"/>
        </w:rPr>
        <w:t>多功能收油机</w:t>
      </w:r>
      <w:r>
        <w:rPr>
          <w:rFonts w:hint="eastAsia" w:ascii="仿宋" w:hAnsi="仿宋" w:eastAsia="仿宋" w:cs="仿宋"/>
          <w:color w:val="auto"/>
          <w:sz w:val="32"/>
          <w:szCs w:val="32"/>
          <w:lang w:val="en-US" w:eastAsia="zh-CN" w:bidi="ar"/>
        </w:rPr>
        <w:t>1</w:t>
      </w:r>
      <w:r>
        <w:rPr>
          <w:rFonts w:hint="eastAsia" w:ascii="仿宋" w:hAnsi="仿宋" w:eastAsia="仿宋" w:cs="仿宋"/>
          <w:color w:val="auto"/>
          <w:sz w:val="32"/>
          <w:szCs w:val="32"/>
          <w:lang w:bidi="ar"/>
        </w:rPr>
        <w:t>套</w:t>
      </w:r>
      <w:r>
        <w:rPr>
          <w:rFonts w:hint="eastAsia" w:ascii="仿宋" w:hAnsi="仿宋" w:eastAsia="仿宋" w:cs="仿宋"/>
          <w:color w:val="auto"/>
          <w:sz w:val="32"/>
          <w:szCs w:val="32"/>
          <w:lang w:val="en-US" w:eastAsia="zh-CN" w:bidi="ar"/>
        </w:rPr>
        <w:t>、</w:t>
      </w:r>
      <w:r>
        <w:rPr>
          <w:rFonts w:hint="eastAsia" w:ascii="仿宋" w:hAnsi="仿宋" w:eastAsia="仿宋" w:cs="仿宋"/>
          <w:color w:val="auto"/>
          <w:sz w:val="32"/>
          <w:szCs w:val="32"/>
          <w:lang w:bidi="ar"/>
        </w:rPr>
        <w:t>海洋鬼怪盘式收油机1套、</w:t>
      </w:r>
      <w:r>
        <w:rPr>
          <w:rFonts w:hint="eastAsia" w:ascii="仿宋" w:hAnsi="仿宋" w:eastAsia="仿宋" w:cs="仿宋"/>
          <w:color w:val="auto"/>
          <w:sz w:val="32"/>
          <w:szCs w:val="32"/>
          <w:lang w:eastAsia="zh-CN" w:bidi="ar"/>
        </w:rPr>
        <w:t>中</w:t>
      </w:r>
      <w:r>
        <w:rPr>
          <w:rFonts w:hint="eastAsia" w:ascii="仿宋" w:hAnsi="仿宋" w:eastAsia="仿宋" w:cs="仿宋"/>
          <w:color w:val="auto"/>
          <w:sz w:val="32"/>
          <w:szCs w:val="32"/>
          <w:lang w:bidi="ar"/>
        </w:rPr>
        <w:t>型堰式收油机1套、大型真空收油机</w:t>
      </w:r>
      <w:r>
        <w:rPr>
          <w:rFonts w:hint="eastAsia" w:ascii="仿宋" w:hAnsi="仿宋" w:eastAsia="仿宋" w:cs="仿宋"/>
          <w:color w:val="auto"/>
          <w:sz w:val="32"/>
          <w:szCs w:val="32"/>
          <w:lang w:val="en-US" w:eastAsia="zh-CN" w:bidi="ar"/>
        </w:rPr>
        <w:t>1套、</w:t>
      </w:r>
      <w:r>
        <w:rPr>
          <w:rFonts w:hint="eastAsia" w:ascii="仿宋" w:hAnsi="仿宋" w:eastAsia="仿宋" w:cs="仿宋"/>
          <w:color w:val="auto"/>
          <w:sz w:val="32"/>
          <w:szCs w:val="32"/>
          <w:lang w:bidi="ar"/>
        </w:rPr>
        <w:t>小型真空收油机</w:t>
      </w:r>
      <w:r>
        <w:rPr>
          <w:rFonts w:hint="eastAsia" w:ascii="仿宋" w:hAnsi="仿宋" w:eastAsia="仿宋" w:cs="仿宋"/>
          <w:color w:val="auto"/>
          <w:sz w:val="32"/>
          <w:szCs w:val="32"/>
          <w:lang w:val="en-US" w:eastAsia="zh-CN" w:bidi="ar"/>
        </w:rPr>
        <w:t>3套、</w:t>
      </w:r>
      <w:r>
        <w:rPr>
          <w:rFonts w:hint="eastAsia" w:ascii="仿宋" w:hAnsi="仿宋" w:eastAsia="仿宋" w:cs="仿宋"/>
          <w:color w:val="auto"/>
          <w:sz w:val="32"/>
          <w:szCs w:val="32"/>
          <w:lang w:bidi="ar"/>
        </w:rPr>
        <w:t>岩石收油机</w:t>
      </w:r>
      <w:r>
        <w:rPr>
          <w:rFonts w:hint="eastAsia" w:ascii="仿宋" w:hAnsi="仿宋" w:eastAsia="仿宋" w:cs="仿宋"/>
          <w:color w:val="auto"/>
          <w:sz w:val="32"/>
          <w:szCs w:val="32"/>
          <w:lang w:val="en-US" w:eastAsia="zh-CN" w:bidi="ar"/>
        </w:rPr>
        <w:t>3</w:t>
      </w:r>
      <w:r>
        <w:rPr>
          <w:rFonts w:hint="eastAsia" w:ascii="仿宋" w:hAnsi="仿宋" w:eastAsia="仿宋" w:cs="仿宋"/>
          <w:color w:val="auto"/>
          <w:sz w:val="32"/>
          <w:szCs w:val="32"/>
          <w:lang w:bidi="ar"/>
        </w:rPr>
        <w:t>套、微型真空系统收油机</w:t>
      </w:r>
      <w:r>
        <w:rPr>
          <w:rFonts w:hint="eastAsia" w:ascii="仿宋" w:hAnsi="仿宋" w:eastAsia="仿宋" w:cs="仿宋"/>
          <w:color w:val="auto"/>
          <w:sz w:val="32"/>
          <w:szCs w:val="32"/>
          <w:lang w:val="en-US" w:eastAsia="zh-CN" w:bidi="ar"/>
        </w:rPr>
        <w:t>3套</w:t>
      </w:r>
      <w:r>
        <w:rPr>
          <w:rFonts w:hint="eastAsia" w:ascii="仿宋" w:hAnsi="仿宋" w:eastAsia="仿宋" w:cs="仿宋"/>
          <w:color w:val="auto"/>
          <w:sz w:val="32"/>
          <w:szCs w:val="32"/>
          <w:lang w:eastAsia="zh-CN" w:bidi="ar"/>
        </w:rPr>
        <w:t>、</w:t>
      </w:r>
      <w:r>
        <w:rPr>
          <w:rFonts w:hint="eastAsia" w:ascii="仿宋" w:hAnsi="仿宋" w:eastAsia="仿宋" w:cs="仿宋"/>
          <w:color w:val="auto"/>
          <w:sz w:val="32"/>
          <w:szCs w:val="32"/>
          <w:lang w:bidi="ar"/>
        </w:rPr>
        <w:t>船用喷洒装置4套、手持喷洒装置8台、冷热水高压清洗装置6套、应急卸载泵1套。</w:t>
      </w:r>
    </w:p>
    <w:p w14:paraId="5FAD73C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吸油拖栏</w:t>
      </w:r>
      <w:r>
        <w:rPr>
          <w:rFonts w:hint="eastAsia" w:ascii="仿宋" w:hAnsi="仿宋" w:eastAsia="仿宋" w:cs="仿宋"/>
          <w:color w:val="auto"/>
          <w:sz w:val="32"/>
          <w:szCs w:val="32"/>
          <w:lang w:val="en-US" w:eastAsia="zh-CN" w:bidi="ar"/>
        </w:rPr>
        <w:t>1266</w:t>
      </w:r>
      <w:r>
        <w:rPr>
          <w:rFonts w:hint="eastAsia" w:ascii="仿宋" w:hAnsi="仿宋" w:eastAsia="仿宋" w:cs="仿宋"/>
          <w:color w:val="auto"/>
          <w:sz w:val="32"/>
          <w:szCs w:val="32"/>
          <w:lang w:bidi="ar"/>
        </w:rPr>
        <w:t>0米、吸油毡</w:t>
      </w:r>
      <w:r>
        <w:rPr>
          <w:rFonts w:hint="eastAsia" w:ascii="仿宋" w:hAnsi="仿宋" w:eastAsia="仿宋" w:cs="仿宋"/>
          <w:color w:val="auto"/>
          <w:sz w:val="32"/>
          <w:szCs w:val="32"/>
          <w:lang w:val="en-US" w:eastAsia="zh-CN" w:bidi="ar"/>
        </w:rPr>
        <w:t>11.48</w:t>
      </w:r>
      <w:r>
        <w:rPr>
          <w:rFonts w:hint="eastAsia" w:ascii="仿宋" w:hAnsi="仿宋" w:eastAsia="仿宋" w:cs="仿宋"/>
          <w:color w:val="auto"/>
          <w:sz w:val="32"/>
          <w:szCs w:val="32"/>
          <w:lang w:bidi="ar"/>
        </w:rPr>
        <w:t>吨、溢油分散剂8</w:t>
      </w:r>
      <w:r>
        <w:rPr>
          <w:rFonts w:hint="eastAsia" w:ascii="仿宋" w:hAnsi="仿宋" w:eastAsia="仿宋" w:cs="仿宋"/>
          <w:color w:val="auto"/>
          <w:sz w:val="32"/>
          <w:szCs w:val="32"/>
          <w:lang w:val="en-US" w:eastAsia="zh-CN" w:bidi="ar"/>
        </w:rPr>
        <w:t>.8</w:t>
      </w:r>
      <w:r>
        <w:rPr>
          <w:rFonts w:hint="eastAsia" w:ascii="仿宋" w:hAnsi="仿宋" w:eastAsia="仿宋" w:cs="仿宋"/>
          <w:color w:val="auto"/>
          <w:sz w:val="32"/>
          <w:szCs w:val="32"/>
          <w:lang w:bidi="ar"/>
        </w:rPr>
        <w:t>吨。</w:t>
      </w:r>
    </w:p>
    <w:p w14:paraId="69CB4BBB">
      <w:pPr>
        <w:spacing w:line="500" w:lineRule="exact"/>
        <w:ind w:firstLine="640" w:firstLineChars="200"/>
        <w:rPr>
          <w:rFonts w:hint="eastAsia"/>
        </w:rPr>
      </w:pPr>
      <w:bookmarkStart w:id="72" w:name="_Toc14561"/>
      <w:r>
        <w:rPr>
          <w:rFonts w:hint="eastAsia"/>
        </w:rPr>
        <w:t>3.2.2应急程序</w:t>
      </w:r>
      <w:bookmarkEnd w:id="72"/>
    </w:p>
    <w:p w14:paraId="497AE4D0">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1）船舶发生碰撞、触礁、搁浅导致溢油事故，必须采取有效措施控制和减轻油类的溢出和污染，及时向海事行政主管部门报告，并接受调查、处理。</w:t>
      </w:r>
    </w:p>
    <w:p w14:paraId="25B20F0C">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各级海事行政主管机构和清污行动总指挥部是接受报告的首要部门，船舶发生事故首先向相距最近的海事行政主管机构报告，溢油事故报告来自以下各个方面：</w:t>
      </w:r>
    </w:p>
    <w:p w14:paraId="656FF4C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a）事故责任方的负责人(如船长)和其他人员；</w:t>
      </w:r>
    </w:p>
    <w:p w14:paraId="69D1FF8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b）海上巡视船舶和飞机；</w:t>
      </w:r>
    </w:p>
    <w:p w14:paraId="3B2C1E2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c）海上溢油卫星遥感监测；</w:t>
      </w:r>
    </w:p>
    <w:p w14:paraId="70F5935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d）事故周围的船舶；</w:t>
      </w:r>
    </w:p>
    <w:p w14:paraId="3B4EDD6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e）在海上或岸边发现溢油的任何单位和个人；</w:t>
      </w:r>
    </w:p>
    <w:p w14:paraId="18EFA66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f）成员单位和其他单位的转报。</w:t>
      </w:r>
    </w:p>
    <w:p w14:paraId="2ECBB780">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2)当船舶发生碰撞、触礁、搁浅事故导致溢油时，责任者或目击者应立即向海洋应急中心报告以下内容：</w:t>
      </w:r>
    </w:p>
    <w:p w14:paraId="6B1F6857">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a）事故船舶状况、溢油部位；</w:t>
      </w:r>
    </w:p>
    <w:p w14:paraId="1AFC29C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b）溢油海区位置，现场海流方向，流速，浪高和溢油量以及风速、风向等气象情况；</w:t>
      </w:r>
    </w:p>
    <w:p w14:paraId="544529F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c）溢油的控制情况，被污染海区面积；</w:t>
      </w:r>
    </w:p>
    <w:p w14:paraId="550120A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d）溢油的物理性质。</w:t>
      </w:r>
    </w:p>
    <w:p w14:paraId="51F355B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清污行动总指挥部根据溢油源的类型、溢出油的种类、事故的地点、事故原因、气象、水流等，评估溢油的可能规模，初步预测溢油的扩展趋向；对溢油发生火灾、爆炸的可能性进行评估；评估溢油对自然环境、人身安全、公众健康构成的威胁；评估溢油对周围环境敏感区和易受损害资源可能造成的影响。</w:t>
      </w:r>
    </w:p>
    <w:p w14:paraId="3A4438A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4）清污行动总指挥部根据油污的溢出量、可能造成的环境影响和所需要的应急反应的规模，确定事故应急等级，成立清污应急现场指挥部，安排适当的应急指挥人员。现场指挥由清污行动总指挥部指定。</w:t>
      </w:r>
    </w:p>
    <w:p w14:paraId="4BB04CE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5）现场指挥负责现场落实清污行动总指挥部的指令，及时反馈现场处置信息至总指挥部，做好清污应急反应行动的全过程的现场指挥工作。</w:t>
      </w:r>
    </w:p>
    <w:p w14:paraId="6E9B274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6）成立清污行动咨询专家组，包括海事、环保、溢油防治、救捞、消防、航运、水文、气象、抢险等方面专家组成的专家组。咨询专家组对溢油应急反应行动及时提供专业咨询，对清污行动处理提供参考意见，对未来的海上清污应急行动提出改进措施和方案。</w:t>
      </w:r>
    </w:p>
    <w:p w14:paraId="4EDD1770">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7）清污应急反应组由海洋应急中心、应急船舶等单位组成。船舶溢油事故发生后根据总指挥部的决策，具体组织溢油应急反应行动。</w:t>
      </w:r>
    </w:p>
    <w:p w14:paraId="79C76DC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应急后勤保障组由生产指挥中心、技术管理中心、船员服务中心、胜利社区卫生服务站、车辆管理中心船舶分部等单位组成。船舶溢油事故发生后根据总指挥部的要求，安排好清污行动的通信技术支持、物资供应、车辆服务、医疗救助、食住、供应等事项。</w:t>
      </w:r>
    </w:p>
    <w:p w14:paraId="26AE17C2">
      <w:pPr>
        <w:pStyle w:val="10"/>
        <w:snapToGrid w:val="0"/>
        <w:spacing w:line="500" w:lineRule="exact"/>
        <w:ind w:firstLine="640" w:firstLineChars="200"/>
        <w:jc w:val="both"/>
        <w:rPr>
          <w:rFonts w:ascii="仿宋" w:hAnsi="仿宋" w:eastAsia="仿宋" w:cs="仿宋"/>
          <w:color w:val="auto"/>
          <w:sz w:val="32"/>
          <w:szCs w:val="32"/>
          <w:lang w:bidi="ar"/>
        </w:rPr>
      </w:pPr>
      <w:r>
        <w:rPr>
          <w:rFonts w:hint="eastAsia" w:ascii="仿宋" w:hAnsi="仿宋" w:eastAsia="仿宋" w:cs="仿宋"/>
          <w:color w:val="auto"/>
          <w:sz w:val="32"/>
          <w:szCs w:val="32"/>
          <w:lang w:bidi="ar"/>
        </w:rPr>
        <w:t>3.2.3应急响应</w:t>
      </w:r>
    </w:p>
    <w:p w14:paraId="05D06B4C">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1）海洋应急中心值班室接到通知后，立即向清污应急现场指挥部办公室汇报，同时通知溢油回收站进入应急状态，做好出海清污行动准备；船舶调度室通知相关船舶备车，做好出海准备。</w:t>
      </w:r>
    </w:p>
    <w:p w14:paraId="53F70452">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溢油回收站接到通知后，值班干部拉警铃，迅速集合队伍下达任务，紧急准备所需器材、设备；出海人员迅速穿上救生衣、安全帽、工衣、工鞋等劳保装备，将收油机、围油栏、吸油毡、溢油分散剂等设备、装备、材料、工具装船，携带岗位工具，经点名排队登船，赶赴事故现场。</w:t>
      </w:r>
    </w:p>
    <w:p w14:paraId="15E7C6DC">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3）根据现场需要向海事管理机构申请对事故海域施行警戒或交通管制、停止渔业作业等活动。</w:t>
      </w:r>
    </w:p>
    <w:p w14:paraId="502E2B4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4）派出具备消防功能的船舶，承担对事故船舶的火灾预防与监护工作。</w:t>
      </w:r>
    </w:p>
    <w:p w14:paraId="3B7C980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5）通知可能受油污损害的自然保护区、水产养殖区、旅游区域，并采取预防和控制措施。</w:t>
      </w:r>
    </w:p>
    <w:p w14:paraId="46278679">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6）通知地方海事、环保监测、水文、气象等单位，及时、全面地监测事故所在区域水体、底质、大气、生态等环境状况。</w:t>
      </w:r>
    </w:p>
    <w:p w14:paraId="7B395239">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7）现场指挥到达事故现场后应立即采取以下应急行动：</w:t>
      </w:r>
    </w:p>
    <w:p w14:paraId="29AEBF42">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a）确定溢油事故现场的准确地点和溢油原因（包括船名、船型、碰撞/搁浅、船东/货主），及时向清污行动总指挥部报告，同时组织紧急处置。</w:t>
      </w:r>
    </w:p>
    <w:p w14:paraId="5C03489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b）及时报告溢油种类、溢油事故的规模（包括油迹的长、宽、形状、颜色），现场风速、水流状况及浮油漂流动向，组织必要的监视监测，并定时（一般为10分钟）向清污行动总指挥部报告溢油漂流动向。</w:t>
      </w:r>
    </w:p>
    <w:p w14:paraId="791C3D8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c）及时根据现场情况预测并报告进一步溢油的可能性，判断溢油应急反应等级，责令责任方采取可能做到的一切防溢油措施，要求相应应急队伍及物资、装备迅速到位。</w:t>
      </w:r>
    </w:p>
    <w:p w14:paraId="384DF71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d）溢油应急队伍及装备到达现场后，组织指挥现场溢油围控和清除，并根据溢出油种类、规模、地点、扩散方向采取相应的防治措施。</w:t>
      </w:r>
    </w:p>
    <w:p w14:paraId="5B35CF1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e）采取任何应急反应行动，均应根据溢油规模和可能造成的危害，确定相应的应急等级，并及时报告清污行动总指挥部。</w:t>
      </w:r>
    </w:p>
    <w:p w14:paraId="04E6FA5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8）特大规模应急反应时，请求海关、边防、国检等部门简化境外支援设备的进口手续，加急办理设备关税与边境许可证，办理护照、签证等方面予以方便。</w:t>
      </w:r>
    </w:p>
    <w:p w14:paraId="6DD5CC6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9）根据现场情况由现场应急领导小组迅速制定清污应急处理指导方案，清污作业单位据此展开工作，及时对溢油进行控制与清除。</w:t>
      </w:r>
    </w:p>
    <w:p w14:paraId="6407DEE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选择适宜对策在条件允许的情况下，应尽量围控、回收或清除水面溢油，防止其漂及岸边，污染岸线。根据不同的环境条件（风、浪、流、温度、环境敏感资源）和溢油特性（黏度、挥发性、溶解度、油膜厚度、风化程度等），选择适当的水面和岸上清除对策。选择清污对策时，必须考虑是否具有专门或替代的设备、器材和材料，同时还要考虑相应的辅助设施及配套设备，如：围油栏拖带船及指挥船、回收油接收设施、溢油分散剂喷洒设备和载带船舶、回收废油及污染物的处置设施等。</w:t>
      </w:r>
    </w:p>
    <w:p w14:paraId="0AF1362A">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3.2.4清污行动</w:t>
      </w:r>
    </w:p>
    <w:p w14:paraId="69D02777">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立即组织现场警戒，对海域水深、船舶结构、舱内液位、当前倾角、搁浅位置等情况进行核实，分析事故船舶险情发展状态，存在下沉、侧翻及其他危险的，应立即发出指令，采取辅助船舶侧顶、拖带等固定方式，防止事故船舶漂移。事故船舶关闭非必要油阀，具备堵漏条件的进行堵漏，控制溢油源。围绕事故船舶布设固体式围油栏围控溢油。</w:t>
      </w:r>
    </w:p>
    <w:p w14:paraId="6408A038">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2）在事故区域主流向两侧布设固体式围油栏600米，拦截溢油带防止其继续扩散。</w:t>
      </w:r>
    </w:p>
    <w:p w14:paraId="26F71CFC">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3）若油舱发生破损导致油类泄漏，根据现场情况可考虑利用大功率驳油泵进行过驳，驳至溢油应急船舶或其他辅助船舶。</w:t>
      </w:r>
    </w:p>
    <w:p w14:paraId="79A35E9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4）在事故区域下流施放充气式围油栏400米，用两条船舶牵引成“U”形或“J”形逆流行驶扫油。</w:t>
      </w:r>
    </w:p>
    <w:p w14:paraId="053CD75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5）利用围油栏围控完毕后，可利用各类收油机、收油机对围控住的溢油进行回收。溢油集中到围油栏底部后，使用胜利2</w:t>
      </w:r>
      <w:r>
        <w:rPr>
          <w:rFonts w:hint="eastAsia" w:ascii="仿宋" w:hAnsi="仿宋" w:eastAsia="仿宋" w:cs="仿宋"/>
          <w:color w:val="auto"/>
          <w:sz w:val="32"/>
          <w:szCs w:val="32"/>
          <w:lang w:val="en-US" w:eastAsia="zh-CN" w:bidi="ar"/>
        </w:rPr>
        <w:t>41</w:t>
      </w:r>
      <w:r>
        <w:rPr>
          <w:rFonts w:hint="eastAsia" w:ascii="仿宋" w:hAnsi="仿宋" w:eastAsia="仿宋" w:cs="仿宋"/>
          <w:color w:val="auto"/>
          <w:sz w:val="32"/>
          <w:szCs w:val="32"/>
          <w:lang w:bidi="ar"/>
        </w:rPr>
        <w:t>船船侧挂收油机、多功能收油机进行收油，胜利50</w:t>
      </w:r>
      <w:r>
        <w:rPr>
          <w:rFonts w:hint="eastAsia" w:ascii="仿宋" w:hAnsi="仿宋" w:eastAsia="仿宋" w:cs="仿宋"/>
          <w:color w:val="auto"/>
          <w:sz w:val="32"/>
          <w:szCs w:val="32"/>
          <w:lang w:val="en-US" w:eastAsia="zh-CN" w:bidi="ar"/>
        </w:rPr>
        <w:t>5</w:t>
      </w:r>
      <w:r>
        <w:rPr>
          <w:rFonts w:hint="eastAsia" w:ascii="仿宋" w:hAnsi="仿宋" w:eastAsia="仿宋" w:cs="仿宋"/>
          <w:color w:val="auto"/>
          <w:sz w:val="32"/>
          <w:szCs w:val="32"/>
          <w:lang w:bidi="ar"/>
        </w:rPr>
        <w:t>船启动船载收油机沿溢油带顶流收油，并将回收的污油及时存放到快装罐或污油舱内。</w:t>
      </w:r>
    </w:p>
    <w:p w14:paraId="392BB68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6）使用吸附材料处理残油。少量零星残油利用喷洒机喷洒溢油分散剂进行清除。</w:t>
      </w:r>
    </w:p>
    <w:p w14:paraId="7E96041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7）确认油污水接收设施及废水处理设备随时运转良好。</w:t>
      </w:r>
    </w:p>
    <w:p w14:paraId="446ECA5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根据现场的溢油量多少，清污行动往往会持续一段时间，在此期间要通过模拟软件、监测船舶、船载溢油雷达监测系统等做好对溢油源和溢油的监测、监视工作；及时掌握气象信息及近期气象预报趋势；根据溢油应急工作的需要，随时保证通信联络畅通；及时掌握事故现场和溢油可能漂移水域的航道、水文气象情况。</w:t>
      </w:r>
    </w:p>
    <w:p w14:paraId="68D0F4C7">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9）发生重（特）大溢油事故时，要及时向上一级溢油应急指挥部请求应急援助，并通知有关政府部门、企业、附近居民开展预防溢油污染的应急反应行动。</w:t>
      </w:r>
    </w:p>
    <w:p w14:paraId="315E318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10）清污行动总指挥部根据溢油应急反应进展情况宣布应急反应结束，总指挥部根据职责分工进行调查，有关污染损害材料尽快汇总上报。</w:t>
      </w:r>
    </w:p>
    <w:p w14:paraId="3169465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11）应急工作结束，回收设备，清理甲板，清点人员，返航，进行战评总结。总结报告应包括以下几方面的内容：</w:t>
      </w:r>
    </w:p>
    <w:p w14:paraId="2489CCE8">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·检查参加单位出动及配合情况；</w:t>
      </w:r>
    </w:p>
    <w:p w14:paraId="0C9217FF">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·清点动用的器材、设备及回收情况，将设备和器材进行清洗和维修；</w:t>
      </w:r>
    </w:p>
    <w:p w14:paraId="5D30EFB8">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·清点、归还临时调用的设备、器材；</w:t>
      </w:r>
    </w:p>
    <w:p w14:paraId="23FC084B">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·对清除效果进行评估；</w:t>
      </w:r>
    </w:p>
    <w:p w14:paraId="72DB1711">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·总结经验，提出对应急反应的修改意见；</w:t>
      </w:r>
    </w:p>
    <w:p w14:paraId="3109A9EB">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·书写清污处理报告，上报有关部门存档。</w:t>
      </w:r>
    </w:p>
    <w:p w14:paraId="6EE6B35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12）环境污染状况监测由具有环境监测资质的监测中心检测，并出具监测报告，作为索赔依据。</w:t>
      </w:r>
    </w:p>
    <w:p w14:paraId="781567BE">
      <w:pPr>
        <w:spacing w:line="500" w:lineRule="exact"/>
        <w:ind w:firstLine="640" w:firstLineChars="200"/>
        <w:rPr>
          <w:rFonts w:hint="eastAsia"/>
        </w:rPr>
      </w:pPr>
      <w:bookmarkStart w:id="73" w:name="_Toc25238"/>
      <w:bookmarkStart w:id="74" w:name="_Toc11802"/>
      <w:bookmarkStart w:id="75" w:name="_Toc26559"/>
      <w:r>
        <w:rPr>
          <w:rFonts w:hint="eastAsia"/>
        </w:rPr>
        <w:t>3.3船舶起火、爆炸污染控制方案</w:t>
      </w:r>
      <w:bookmarkEnd w:id="73"/>
      <w:bookmarkEnd w:id="74"/>
      <w:bookmarkEnd w:id="75"/>
    </w:p>
    <w:p w14:paraId="39F19ED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与船舶碰撞、触礁、搁浅导致的污染相比，船舶发生起火、爆炸等情况时，首先应对事故船舶进行消防灭火，使用的设备、设施的防火、防爆等级提升。</w:t>
      </w:r>
    </w:p>
    <w:p w14:paraId="1219B3B5">
      <w:pPr>
        <w:spacing w:line="500" w:lineRule="exact"/>
        <w:rPr>
          <w:rFonts w:hint="eastAsia"/>
        </w:rPr>
      </w:pPr>
      <w:r>
        <w:rPr>
          <w:rFonts w:hint="eastAsia"/>
        </w:rPr>
        <w:t xml:space="preserve">    </w:t>
      </w:r>
      <w:bookmarkStart w:id="76" w:name="_Toc21277"/>
      <w:r>
        <w:rPr>
          <w:rFonts w:hint="eastAsia"/>
        </w:rPr>
        <w:t>3.3.1溢油应急设备配置</w:t>
      </w:r>
      <w:bookmarkEnd w:id="76"/>
    </w:p>
    <w:p w14:paraId="6C486FAD">
      <w:pPr>
        <w:pStyle w:val="10"/>
        <w:snapToGrid w:val="0"/>
        <w:spacing w:line="500" w:lineRule="exact"/>
        <w:ind w:firstLine="640" w:firstLineChars="200"/>
        <w:jc w:val="both"/>
        <w:rPr>
          <w:rFonts w:hint="eastAsia" w:ascii="仿宋" w:hAnsi="仿宋" w:eastAsia="仿宋" w:cs="仿宋"/>
          <w:color w:val="auto"/>
          <w:sz w:val="32"/>
          <w:szCs w:val="32"/>
          <w:lang w:bidi="ar"/>
        </w:rPr>
      </w:pPr>
      <w:bookmarkStart w:id="77" w:name="_Toc7610"/>
      <w:r>
        <w:rPr>
          <w:rFonts w:hint="eastAsia" w:ascii="仿宋" w:hAnsi="仿宋" w:eastAsia="仿宋" w:cs="仿宋"/>
          <w:color w:val="auto"/>
          <w:sz w:val="32"/>
          <w:szCs w:val="32"/>
          <w:lang w:bidi="ar"/>
        </w:rPr>
        <w:t>专用溢油回收船2艘，为胜利2</w:t>
      </w:r>
      <w:r>
        <w:rPr>
          <w:rFonts w:hint="eastAsia" w:ascii="仿宋" w:hAnsi="仿宋" w:eastAsia="仿宋" w:cs="仿宋"/>
          <w:color w:val="auto"/>
          <w:sz w:val="32"/>
          <w:szCs w:val="32"/>
          <w:lang w:val="en-US" w:eastAsia="zh-CN" w:bidi="ar"/>
        </w:rPr>
        <w:t>41</w:t>
      </w:r>
      <w:r>
        <w:rPr>
          <w:rFonts w:hint="eastAsia" w:ascii="仿宋" w:hAnsi="仿宋" w:eastAsia="仿宋" w:cs="仿宋"/>
          <w:color w:val="auto"/>
          <w:sz w:val="32"/>
          <w:szCs w:val="32"/>
          <w:lang w:bidi="ar"/>
        </w:rPr>
        <w:t>、50</w:t>
      </w:r>
      <w:r>
        <w:rPr>
          <w:rFonts w:hint="eastAsia" w:ascii="仿宋" w:hAnsi="仿宋" w:eastAsia="仿宋" w:cs="仿宋"/>
          <w:color w:val="auto"/>
          <w:sz w:val="32"/>
          <w:szCs w:val="32"/>
          <w:lang w:val="en-US" w:eastAsia="zh-CN" w:bidi="ar"/>
        </w:rPr>
        <w:t>5</w:t>
      </w:r>
      <w:r>
        <w:rPr>
          <w:rFonts w:hint="eastAsia" w:ascii="仿宋" w:hAnsi="仿宋" w:eastAsia="仿宋" w:cs="仿宋"/>
          <w:color w:val="auto"/>
          <w:sz w:val="32"/>
          <w:szCs w:val="32"/>
          <w:lang w:bidi="ar"/>
        </w:rPr>
        <w:t>船；辅助船舶8艘，为胜利</w:t>
      </w:r>
      <w:r>
        <w:rPr>
          <w:rFonts w:hint="eastAsia" w:ascii="仿宋" w:hAnsi="仿宋" w:eastAsia="仿宋" w:cs="仿宋"/>
          <w:color w:val="auto"/>
          <w:sz w:val="32"/>
          <w:szCs w:val="32"/>
          <w:lang w:val="en-US" w:eastAsia="zh-CN" w:bidi="ar"/>
        </w:rPr>
        <w:t>251</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253</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281</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291</w:t>
      </w:r>
      <w:r>
        <w:rPr>
          <w:rFonts w:hint="eastAsia" w:ascii="仿宋" w:hAnsi="仿宋" w:eastAsia="仿宋" w:cs="仿宋"/>
          <w:color w:val="auto"/>
          <w:sz w:val="32"/>
          <w:szCs w:val="32"/>
          <w:lang w:eastAsia="zh-CN" w:bidi="ar"/>
        </w:rPr>
        <w:t>、</w:t>
      </w:r>
      <w:r>
        <w:rPr>
          <w:rFonts w:hint="eastAsia" w:ascii="仿宋" w:hAnsi="仿宋" w:eastAsia="仿宋" w:cs="仿宋"/>
          <w:color w:val="auto"/>
          <w:sz w:val="32"/>
          <w:szCs w:val="32"/>
          <w:lang w:val="en-US" w:eastAsia="zh-CN" w:bidi="ar"/>
        </w:rPr>
        <w:t>292、617、408、233</w:t>
      </w:r>
      <w:r>
        <w:rPr>
          <w:rFonts w:hint="eastAsia" w:ascii="仿宋" w:hAnsi="仿宋" w:eastAsia="仿宋" w:cs="仿宋"/>
          <w:color w:val="auto"/>
          <w:sz w:val="32"/>
          <w:szCs w:val="32"/>
          <w:lang w:bidi="ar"/>
        </w:rPr>
        <w:t>船。</w:t>
      </w:r>
    </w:p>
    <w:p w14:paraId="71CFF63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2000型充气围油栏</w:t>
      </w:r>
      <w:r>
        <w:rPr>
          <w:rFonts w:hint="eastAsia" w:ascii="仿宋" w:hAnsi="仿宋" w:eastAsia="仿宋" w:cs="仿宋"/>
          <w:color w:val="auto"/>
          <w:sz w:val="32"/>
          <w:szCs w:val="32"/>
          <w:lang w:val="en-US" w:eastAsia="zh-CN" w:bidi="ar"/>
        </w:rPr>
        <w:t>2000</w:t>
      </w:r>
      <w:r>
        <w:rPr>
          <w:rFonts w:hint="eastAsia" w:ascii="仿宋" w:hAnsi="仿宋" w:eastAsia="仿宋" w:cs="仿宋"/>
          <w:color w:val="auto"/>
          <w:sz w:val="32"/>
          <w:szCs w:val="32"/>
          <w:lang w:bidi="ar"/>
        </w:rPr>
        <w:t>米、固体围油栏</w:t>
      </w:r>
      <w:r>
        <w:rPr>
          <w:rFonts w:hint="eastAsia" w:ascii="仿宋" w:hAnsi="仿宋" w:eastAsia="仿宋" w:cs="仿宋"/>
          <w:color w:val="auto"/>
          <w:sz w:val="32"/>
          <w:szCs w:val="32"/>
          <w:lang w:val="en-US" w:eastAsia="zh-CN" w:bidi="ar"/>
        </w:rPr>
        <w:t>11</w:t>
      </w:r>
      <w:r>
        <w:rPr>
          <w:rFonts w:hint="eastAsia" w:ascii="仿宋" w:hAnsi="仿宋" w:eastAsia="仿宋" w:cs="仿宋"/>
          <w:color w:val="auto"/>
          <w:sz w:val="32"/>
          <w:szCs w:val="32"/>
          <w:lang w:bidi="ar"/>
        </w:rPr>
        <w:t>00型</w:t>
      </w:r>
      <w:r>
        <w:rPr>
          <w:rFonts w:hint="eastAsia" w:ascii="仿宋" w:hAnsi="仿宋" w:eastAsia="仿宋" w:cs="仿宋"/>
          <w:color w:val="auto"/>
          <w:sz w:val="32"/>
          <w:szCs w:val="32"/>
          <w:lang w:val="en-US" w:eastAsia="zh-CN" w:bidi="ar"/>
        </w:rPr>
        <w:t>900米，</w:t>
      </w:r>
      <w:r>
        <w:rPr>
          <w:rFonts w:hint="eastAsia" w:ascii="仿宋" w:hAnsi="仿宋" w:eastAsia="仿宋" w:cs="仿宋"/>
          <w:color w:val="auto"/>
          <w:sz w:val="32"/>
          <w:szCs w:val="32"/>
          <w:lang w:bidi="ar"/>
        </w:rPr>
        <w:t>固体围油栏橡胶900型</w:t>
      </w:r>
      <w:r>
        <w:rPr>
          <w:rFonts w:hint="eastAsia" w:ascii="仿宋" w:hAnsi="仿宋" w:eastAsia="仿宋" w:cs="仿宋"/>
          <w:color w:val="auto"/>
          <w:sz w:val="32"/>
          <w:szCs w:val="32"/>
          <w:lang w:val="en-US" w:eastAsia="zh-CN" w:bidi="ar"/>
        </w:rPr>
        <w:t>800</w:t>
      </w:r>
      <w:r>
        <w:rPr>
          <w:rFonts w:hint="eastAsia" w:ascii="仿宋" w:hAnsi="仿宋" w:eastAsia="仿宋" w:cs="仿宋"/>
          <w:color w:val="auto"/>
          <w:sz w:val="32"/>
          <w:szCs w:val="32"/>
          <w:lang w:bidi="ar"/>
        </w:rPr>
        <w:t>米、固体围油栏</w:t>
      </w:r>
      <w:r>
        <w:rPr>
          <w:rFonts w:hint="eastAsia" w:ascii="仿宋" w:hAnsi="仿宋" w:eastAsia="仿宋" w:cs="仿宋"/>
          <w:color w:val="auto"/>
          <w:sz w:val="32"/>
          <w:szCs w:val="32"/>
          <w:lang w:val="en-US" w:eastAsia="zh-CN" w:bidi="ar"/>
        </w:rPr>
        <w:t>900型1980</w:t>
      </w:r>
      <w:r>
        <w:rPr>
          <w:rFonts w:hint="eastAsia" w:ascii="仿宋" w:hAnsi="仿宋" w:eastAsia="仿宋" w:cs="仿宋"/>
          <w:color w:val="auto"/>
          <w:sz w:val="32"/>
          <w:szCs w:val="32"/>
          <w:lang w:eastAsia="zh-CN" w:bidi="ar"/>
        </w:rPr>
        <w:t>米</w:t>
      </w:r>
      <w:r>
        <w:rPr>
          <w:rFonts w:hint="eastAsia" w:ascii="仿宋" w:hAnsi="仿宋" w:eastAsia="仿宋" w:cs="仿宋"/>
          <w:color w:val="auto"/>
          <w:sz w:val="32"/>
          <w:szCs w:val="32"/>
          <w:lang w:bidi="ar"/>
        </w:rPr>
        <w:t>、固体围油栏</w:t>
      </w:r>
      <w:r>
        <w:rPr>
          <w:rFonts w:hint="eastAsia" w:ascii="仿宋" w:hAnsi="仿宋" w:eastAsia="仿宋" w:cs="仿宋"/>
          <w:color w:val="auto"/>
          <w:sz w:val="32"/>
          <w:szCs w:val="32"/>
          <w:lang w:val="en-US" w:eastAsia="zh-CN" w:bidi="ar"/>
        </w:rPr>
        <w:t>6</w:t>
      </w:r>
      <w:r>
        <w:rPr>
          <w:rFonts w:hint="eastAsia" w:ascii="仿宋" w:hAnsi="仿宋" w:eastAsia="仿宋" w:cs="仿宋"/>
          <w:color w:val="auto"/>
          <w:sz w:val="32"/>
          <w:szCs w:val="32"/>
          <w:lang w:bidi="ar"/>
        </w:rPr>
        <w:t>00型</w:t>
      </w:r>
      <w:r>
        <w:rPr>
          <w:rFonts w:hint="eastAsia" w:ascii="仿宋" w:hAnsi="仿宋" w:eastAsia="仿宋" w:cs="仿宋"/>
          <w:color w:val="auto"/>
          <w:sz w:val="32"/>
          <w:szCs w:val="32"/>
          <w:lang w:val="en-US" w:eastAsia="zh-CN" w:bidi="ar"/>
        </w:rPr>
        <w:t>222</w:t>
      </w:r>
      <w:r>
        <w:rPr>
          <w:rFonts w:hint="eastAsia" w:ascii="仿宋" w:hAnsi="仿宋" w:eastAsia="仿宋" w:cs="仿宋"/>
          <w:color w:val="auto"/>
          <w:sz w:val="32"/>
          <w:szCs w:val="32"/>
          <w:lang w:bidi="ar"/>
        </w:rPr>
        <w:t>0米、吸油围油栏WGP600型</w:t>
      </w:r>
      <w:r>
        <w:rPr>
          <w:rFonts w:hint="eastAsia" w:ascii="仿宋" w:hAnsi="仿宋" w:eastAsia="仿宋" w:cs="仿宋"/>
          <w:color w:val="auto"/>
          <w:sz w:val="32"/>
          <w:szCs w:val="32"/>
          <w:lang w:val="en-US" w:eastAsia="zh-CN" w:bidi="ar"/>
        </w:rPr>
        <w:t>458</w:t>
      </w:r>
      <w:r>
        <w:rPr>
          <w:rFonts w:hint="eastAsia" w:ascii="仿宋" w:hAnsi="仿宋" w:eastAsia="仿宋" w:cs="仿宋"/>
          <w:color w:val="auto"/>
          <w:sz w:val="32"/>
          <w:szCs w:val="32"/>
          <w:lang w:bidi="ar"/>
        </w:rPr>
        <w:t>0米、防火围油栏</w:t>
      </w:r>
      <w:r>
        <w:rPr>
          <w:rFonts w:hint="eastAsia" w:ascii="仿宋" w:hAnsi="仿宋" w:eastAsia="仿宋" w:cs="仿宋"/>
          <w:color w:val="auto"/>
          <w:sz w:val="32"/>
          <w:szCs w:val="32"/>
          <w:lang w:val="en-US" w:eastAsia="zh-CN" w:bidi="ar"/>
        </w:rPr>
        <w:t>7</w:t>
      </w:r>
      <w:r>
        <w:rPr>
          <w:rFonts w:hint="eastAsia" w:ascii="仿宋" w:hAnsi="仿宋" w:eastAsia="仿宋" w:cs="仿宋"/>
          <w:color w:val="auto"/>
          <w:sz w:val="32"/>
          <w:szCs w:val="32"/>
          <w:lang w:bidi="ar"/>
        </w:rPr>
        <w:t>00米。</w:t>
      </w:r>
    </w:p>
    <w:p w14:paraId="3BFF055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侧装内嵌式溢油回收设备</w:t>
      </w:r>
      <w:r>
        <w:rPr>
          <w:rFonts w:hint="eastAsia" w:ascii="仿宋" w:hAnsi="仿宋" w:eastAsia="仿宋" w:cs="仿宋"/>
          <w:color w:val="auto"/>
          <w:sz w:val="32"/>
          <w:szCs w:val="32"/>
          <w:lang w:val="en-US" w:eastAsia="zh-CN" w:bidi="ar"/>
        </w:rPr>
        <w:t>1套、</w:t>
      </w:r>
      <w:r>
        <w:rPr>
          <w:rFonts w:hint="eastAsia" w:ascii="仿宋" w:hAnsi="仿宋" w:eastAsia="仿宋" w:cs="仿宋"/>
          <w:color w:val="auto"/>
          <w:sz w:val="32"/>
          <w:szCs w:val="32"/>
          <w:lang w:bidi="ar"/>
        </w:rPr>
        <w:t>两栖收油车</w:t>
      </w:r>
      <w:r>
        <w:rPr>
          <w:rFonts w:hint="eastAsia" w:ascii="仿宋" w:hAnsi="仿宋" w:eastAsia="仿宋" w:cs="仿宋"/>
          <w:color w:val="auto"/>
          <w:sz w:val="32"/>
          <w:szCs w:val="32"/>
          <w:lang w:val="en-US" w:eastAsia="zh-CN" w:bidi="ar"/>
        </w:rPr>
        <w:t>1台</w:t>
      </w:r>
      <w:r>
        <w:rPr>
          <w:rFonts w:hint="eastAsia" w:ascii="仿宋" w:hAnsi="仿宋" w:eastAsia="仿宋" w:cs="仿宋"/>
          <w:color w:val="auto"/>
          <w:sz w:val="32"/>
          <w:szCs w:val="32"/>
          <w:lang w:eastAsia="zh-CN" w:bidi="ar"/>
        </w:rPr>
        <w:t>、外海收油机</w:t>
      </w:r>
      <w:r>
        <w:rPr>
          <w:rFonts w:hint="eastAsia" w:ascii="仿宋" w:hAnsi="仿宋" w:eastAsia="仿宋" w:cs="仿宋"/>
          <w:color w:val="auto"/>
          <w:sz w:val="32"/>
          <w:szCs w:val="32"/>
          <w:lang w:val="en-US" w:eastAsia="zh-CN" w:bidi="ar"/>
        </w:rPr>
        <w:t>1套、动态斜面侧挂式收油机1套、转盘刷式收油机2台、</w:t>
      </w:r>
      <w:r>
        <w:rPr>
          <w:rFonts w:hint="eastAsia" w:ascii="仿宋" w:hAnsi="仿宋" w:eastAsia="仿宋" w:cs="仿宋"/>
          <w:color w:val="auto"/>
          <w:sz w:val="32"/>
          <w:szCs w:val="32"/>
          <w:lang w:bidi="ar"/>
        </w:rPr>
        <w:t>多功能收油机</w:t>
      </w:r>
      <w:r>
        <w:rPr>
          <w:rFonts w:hint="eastAsia" w:ascii="仿宋" w:hAnsi="仿宋" w:eastAsia="仿宋" w:cs="仿宋"/>
          <w:color w:val="auto"/>
          <w:sz w:val="32"/>
          <w:szCs w:val="32"/>
          <w:lang w:val="en-US" w:eastAsia="zh-CN" w:bidi="ar"/>
        </w:rPr>
        <w:t>1</w:t>
      </w:r>
      <w:r>
        <w:rPr>
          <w:rFonts w:hint="eastAsia" w:ascii="仿宋" w:hAnsi="仿宋" w:eastAsia="仿宋" w:cs="仿宋"/>
          <w:color w:val="auto"/>
          <w:sz w:val="32"/>
          <w:szCs w:val="32"/>
          <w:lang w:bidi="ar"/>
        </w:rPr>
        <w:t>套</w:t>
      </w:r>
      <w:r>
        <w:rPr>
          <w:rFonts w:hint="eastAsia" w:ascii="仿宋" w:hAnsi="仿宋" w:eastAsia="仿宋" w:cs="仿宋"/>
          <w:color w:val="auto"/>
          <w:sz w:val="32"/>
          <w:szCs w:val="32"/>
          <w:lang w:val="en-US" w:eastAsia="zh-CN" w:bidi="ar"/>
        </w:rPr>
        <w:t>、</w:t>
      </w:r>
      <w:r>
        <w:rPr>
          <w:rFonts w:hint="eastAsia" w:ascii="仿宋" w:hAnsi="仿宋" w:eastAsia="仿宋" w:cs="仿宋"/>
          <w:color w:val="auto"/>
          <w:sz w:val="32"/>
          <w:szCs w:val="32"/>
          <w:lang w:bidi="ar"/>
        </w:rPr>
        <w:t>海洋鬼怪盘式收油机1套、</w:t>
      </w:r>
      <w:r>
        <w:rPr>
          <w:rFonts w:hint="eastAsia" w:ascii="仿宋" w:hAnsi="仿宋" w:eastAsia="仿宋" w:cs="仿宋"/>
          <w:color w:val="auto"/>
          <w:sz w:val="32"/>
          <w:szCs w:val="32"/>
          <w:lang w:eastAsia="zh-CN" w:bidi="ar"/>
        </w:rPr>
        <w:t>中</w:t>
      </w:r>
      <w:r>
        <w:rPr>
          <w:rFonts w:hint="eastAsia" w:ascii="仿宋" w:hAnsi="仿宋" w:eastAsia="仿宋" w:cs="仿宋"/>
          <w:color w:val="auto"/>
          <w:sz w:val="32"/>
          <w:szCs w:val="32"/>
          <w:lang w:bidi="ar"/>
        </w:rPr>
        <w:t>型堰式收油机1套、大型真空收油机</w:t>
      </w:r>
      <w:r>
        <w:rPr>
          <w:rFonts w:hint="eastAsia" w:ascii="仿宋" w:hAnsi="仿宋" w:eastAsia="仿宋" w:cs="仿宋"/>
          <w:color w:val="auto"/>
          <w:sz w:val="32"/>
          <w:szCs w:val="32"/>
          <w:lang w:val="en-US" w:eastAsia="zh-CN" w:bidi="ar"/>
        </w:rPr>
        <w:t>1套、</w:t>
      </w:r>
      <w:r>
        <w:rPr>
          <w:rFonts w:hint="eastAsia" w:ascii="仿宋" w:hAnsi="仿宋" w:eastAsia="仿宋" w:cs="仿宋"/>
          <w:color w:val="auto"/>
          <w:sz w:val="32"/>
          <w:szCs w:val="32"/>
          <w:lang w:bidi="ar"/>
        </w:rPr>
        <w:t>小型真空收油机</w:t>
      </w:r>
      <w:r>
        <w:rPr>
          <w:rFonts w:hint="eastAsia" w:ascii="仿宋" w:hAnsi="仿宋" w:eastAsia="仿宋" w:cs="仿宋"/>
          <w:color w:val="auto"/>
          <w:sz w:val="32"/>
          <w:szCs w:val="32"/>
          <w:lang w:val="en-US" w:eastAsia="zh-CN" w:bidi="ar"/>
        </w:rPr>
        <w:t>3套、</w:t>
      </w:r>
      <w:r>
        <w:rPr>
          <w:rFonts w:hint="eastAsia" w:ascii="仿宋" w:hAnsi="仿宋" w:eastAsia="仿宋" w:cs="仿宋"/>
          <w:color w:val="auto"/>
          <w:sz w:val="32"/>
          <w:szCs w:val="32"/>
          <w:lang w:bidi="ar"/>
        </w:rPr>
        <w:t>岩石收油机</w:t>
      </w:r>
      <w:r>
        <w:rPr>
          <w:rFonts w:hint="eastAsia" w:ascii="仿宋" w:hAnsi="仿宋" w:eastAsia="仿宋" w:cs="仿宋"/>
          <w:color w:val="auto"/>
          <w:sz w:val="32"/>
          <w:szCs w:val="32"/>
          <w:lang w:val="en-US" w:eastAsia="zh-CN" w:bidi="ar"/>
        </w:rPr>
        <w:t>3</w:t>
      </w:r>
      <w:r>
        <w:rPr>
          <w:rFonts w:hint="eastAsia" w:ascii="仿宋" w:hAnsi="仿宋" w:eastAsia="仿宋" w:cs="仿宋"/>
          <w:color w:val="auto"/>
          <w:sz w:val="32"/>
          <w:szCs w:val="32"/>
          <w:lang w:bidi="ar"/>
        </w:rPr>
        <w:t>套、微型真空系统收油机</w:t>
      </w:r>
      <w:r>
        <w:rPr>
          <w:rFonts w:hint="eastAsia" w:ascii="仿宋" w:hAnsi="仿宋" w:eastAsia="仿宋" w:cs="仿宋"/>
          <w:color w:val="auto"/>
          <w:sz w:val="32"/>
          <w:szCs w:val="32"/>
          <w:lang w:val="en-US" w:eastAsia="zh-CN" w:bidi="ar"/>
        </w:rPr>
        <w:t>3套</w:t>
      </w:r>
      <w:r>
        <w:rPr>
          <w:rFonts w:hint="eastAsia" w:ascii="仿宋" w:hAnsi="仿宋" w:eastAsia="仿宋" w:cs="仿宋"/>
          <w:color w:val="auto"/>
          <w:sz w:val="32"/>
          <w:szCs w:val="32"/>
          <w:lang w:eastAsia="zh-CN" w:bidi="ar"/>
        </w:rPr>
        <w:t>、</w:t>
      </w:r>
      <w:r>
        <w:rPr>
          <w:rFonts w:hint="eastAsia" w:ascii="仿宋" w:hAnsi="仿宋" w:eastAsia="仿宋" w:cs="仿宋"/>
          <w:color w:val="auto"/>
          <w:sz w:val="32"/>
          <w:szCs w:val="32"/>
          <w:lang w:bidi="ar"/>
        </w:rPr>
        <w:t>船用喷洒装置4套、手持喷洒装置8台、冷热水高压清洗装置6套、应急卸载泵1套。</w:t>
      </w:r>
    </w:p>
    <w:p w14:paraId="0C28D0E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吸油拖栏</w:t>
      </w:r>
      <w:r>
        <w:rPr>
          <w:rFonts w:hint="eastAsia" w:ascii="仿宋" w:hAnsi="仿宋" w:eastAsia="仿宋" w:cs="仿宋"/>
          <w:color w:val="auto"/>
          <w:sz w:val="32"/>
          <w:szCs w:val="32"/>
          <w:lang w:val="en-US" w:eastAsia="zh-CN" w:bidi="ar"/>
        </w:rPr>
        <w:t>1266</w:t>
      </w:r>
      <w:r>
        <w:rPr>
          <w:rFonts w:hint="eastAsia" w:ascii="仿宋" w:hAnsi="仿宋" w:eastAsia="仿宋" w:cs="仿宋"/>
          <w:color w:val="auto"/>
          <w:sz w:val="32"/>
          <w:szCs w:val="32"/>
          <w:lang w:bidi="ar"/>
        </w:rPr>
        <w:t>0米、吸油毡</w:t>
      </w:r>
      <w:r>
        <w:rPr>
          <w:rFonts w:hint="eastAsia" w:ascii="仿宋" w:hAnsi="仿宋" w:eastAsia="仿宋" w:cs="仿宋"/>
          <w:color w:val="auto"/>
          <w:sz w:val="32"/>
          <w:szCs w:val="32"/>
          <w:lang w:val="en-US" w:eastAsia="zh-CN" w:bidi="ar"/>
        </w:rPr>
        <w:t>11.48</w:t>
      </w:r>
      <w:r>
        <w:rPr>
          <w:rFonts w:hint="eastAsia" w:ascii="仿宋" w:hAnsi="仿宋" w:eastAsia="仿宋" w:cs="仿宋"/>
          <w:color w:val="auto"/>
          <w:sz w:val="32"/>
          <w:szCs w:val="32"/>
          <w:lang w:bidi="ar"/>
        </w:rPr>
        <w:t>吨、溢油分散剂8</w:t>
      </w:r>
      <w:r>
        <w:rPr>
          <w:rFonts w:hint="eastAsia" w:ascii="仿宋" w:hAnsi="仿宋" w:eastAsia="仿宋" w:cs="仿宋"/>
          <w:color w:val="auto"/>
          <w:sz w:val="32"/>
          <w:szCs w:val="32"/>
          <w:lang w:val="en-US" w:eastAsia="zh-CN" w:bidi="ar"/>
        </w:rPr>
        <w:t>.8</w:t>
      </w:r>
      <w:r>
        <w:rPr>
          <w:rFonts w:hint="eastAsia" w:ascii="仿宋" w:hAnsi="仿宋" w:eastAsia="仿宋" w:cs="仿宋"/>
          <w:color w:val="auto"/>
          <w:sz w:val="32"/>
          <w:szCs w:val="32"/>
          <w:lang w:bidi="ar"/>
        </w:rPr>
        <w:t>吨。</w:t>
      </w:r>
    </w:p>
    <w:p w14:paraId="2D30ECD9">
      <w:pPr>
        <w:spacing w:line="500" w:lineRule="exact"/>
        <w:rPr>
          <w:rFonts w:hint="eastAsia"/>
        </w:rPr>
      </w:pPr>
      <w:r>
        <w:rPr>
          <w:rFonts w:hint="eastAsia"/>
        </w:rPr>
        <w:t>3.3.2应急程序</w:t>
      </w:r>
      <w:bookmarkEnd w:id="77"/>
    </w:p>
    <w:p w14:paraId="7AD9B33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船舶发生起火、爆炸事故，事故船舶首先应启动消防预案进行灭火，无法控制时可启动弃船逃生预案，需及时向海事行政主管部门报告、求援。可能导致溢油事故的，必须近可能采取有效措施控制和减轻油类的溢出和污染。</w:t>
      </w:r>
    </w:p>
    <w:p w14:paraId="7E9EE5DF">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船舶发生起火、爆炸事故首先向相距最近的海事行政主管机构报告，事故报告来自以下各个方面：</w:t>
      </w:r>
    </w:p>
    <w:p w14:paraId="206047E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a）事故责任方的负责人(如船长)和其他人员；</w:t>
      </w:r>
    </w:p>
    <w:p w14:paraId="2F0737A7">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b）海上巡视船舶和飞机；</w:t>
      </w:r>
    </w:p>
    <w:p w14:paraId="3BF050D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c）事故周围的船舶；</w:t>
      </w:r>
    </w:p>
    <w:p w14:paraId="674A3CA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d）在海上或岸边发现船舶起火、爆炸的任何单位和个人；成员单位和其他单位的转报。</w:t>
      </w:r>
    </w:p>
    <w:p w14:paraId="47F5C7AD">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2）当船舶发生起火、爆炸事故时，责任者或目击者应立即向海事行政主管机构报告一下内容：</w:t>
      </w:r>
    </w:p>
    <w:p w14:paraId="5B6A63B7">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a）事故船舶状况、起火、爆炸部位，初步判断起火、爆炸原因，是否得到有效控制，是否已经弃船，船上人员状况，是否发生溢油；</w:t>
      </w:r>
    </w:p>
    <w:p w14:paraId="316528F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b）若发生溢油，需汇报溢油类型、溢油海区位置，现场海流方向，流速，浪高和溢油量，以及风速、风向等气象情况；</w:t>
      </w:r>
    </w:p>
    <w:p w14:paraId="1A80A30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c）采取的控制溢油措施，溢油的控制情况，被污染海区面积；</w:t>
      </w:r>
    </w:p>
    <w:p w14:paraId="30CA31C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d）溢油的物理性质。</w:t>
      </w:r>
    </w:p>
    <w:p w14:paraId="7FFA092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清污行动总指挥部根据起火/爆炸控制情况、溢油源的类型、溢出油的种类、事故的地点、事故原因、气象、水流等，评估溢油的可能规模，初步预测溢油的扩展趋向；对事故船舶、溢油再次发生火灾、爆炸的可能性进行评估；评估溢油对自然环境、人身安全、公众健康构成的威胁；评估溢油对周围环境敏感区和易受损害资源可能造成的影响。</w:t>
      </w:r>
    </w:p>
    <w:p w14:paraId="2D5AF92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清污行动总指挥部根据船舶起火/爆炸情况、油污的溢出量、可能造成的环境影响和所需要的应急反应的规模，确定事故应急等级，安排适当的应急指挥人员。现场指挥负责现场落实清污行动总指挥部的指令，及时反馈现场处置信息至总指挥部，做好消防、清污应急反应行动的全过程的现场指挥工作。</w:t>
      </w:r>
    </w:p>
    <w:p w14:paraId="3568686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成立消防、清污行动咨询专家组，包括海事、环保、溢油防治、救捞、消防、航运、水文、气象、抢险等方面专家组成的专家组。咨询专家组对消防行动、溢油应急反应行动及时提供专业咨询，对消防、清污行动处理提供参考意见，对未来的海上清污应急行动提出改进措施和方案。</w:t>
      </w:r>
    </w:p>
    <w:p w14:paraId="3FF5EC72">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6）消防、清污应急反应组由海洋应急中心、应急船舶、消防船舶等单位组成。船舶起火/爆炸、溢油事故发生后根据总指挥部的决策，具体组织应急反应行动。</w:t>
      </w:r>
    </w:p>
    <w:p w14:paraId="7EF1091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应急后勤保障组由生产指挥中心、技术管理中心、船员服务中心、胜利社区卫生服务站、车辆管理中心船舶分部等单位组成。船舶溢油事故发生后根据总指挥部的要求，安排好清污行动的通信技术支持、物资供应、车辆服务、医疗救助、食住供应等事项。</w:t>
      </w:r>
    </w:p>
    <w:p w14:paraId="0C675298">
      <w:pPr>
        <w:pStyle w:val="10"/>
        <w:snapToGrid w:val="0"/>
        <w:spacing w:line="500" w:lineRule="exact"/>
        <w:ind w:firstLine="640" w:firstLineChars="200"/>
        <w:jc w:val="both"/>
        <w:rPr>
          <w:rFonts w:ascii="仿宋" w:hAnsi="仿宋" w:eastAsia="仿宋" w:cs="仿宋"/>
          <w:color w:val="auto"/>
          <w:sz w:val="32"/>
          <w:szCs w:val="32"/>
          <w:lang w:bidi="ar"/>
        </w:rPr>
      </w:pPr>
      <w:r>
        <w:rPr>
          <w:rFonts w:hint="eastAsia" w:ascii="仿宋" w:hAnsi="仿宋" w:eastAsia="仿宋" w:cs="仿宋"/>
          <w:color w:val="auto"/>
          <w:sz w:val="32"/>
          <w:szCs w:val="32"/>
          <w:lang w:bidi="ar"/>
        </w:rPr>
        <w:t>3.3.3应急响应</w:t>
      </w:r>
    </w:p>
    <w:p w14:paraId="5DB990DE">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1）海洋应急中心值班室接到通知后，立即向清污应急现场指挥部办公室汇报，同时通知溢油回收站进入应急状态，做好出海清污行动准备；船舶调度室通知相关船舶备车，做好出海准备。</w:t>
      </w:r>
    </w:p>
    <w:p w14:paraId="2878B2A5">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溢油回收站接到通知后，值班干部拉警铃，迅速集合队伍下达任务，紧急准备所需器材、设备；出海人员迅速穿上救生衣、安全帽、工衣、工鞋等劳保装备，将收油机、围油栏、吸油毡、溢油分散剂等设备、装备、材料、工具装船，携带岗位工具，经点名排队登船，赶赴事故现场。</w:t>
      </w:r>
    </w:p>
    <w:p w14:paraId="70E17064">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3）根据现场需要向海事管理机构申请对事故海域施行警戒或交通管制、停止渔业作业等活动。</w:t>
      </w:r>
    </w:p>
    <w:p w14:paraId="1C18FE9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4）通会地方政府海上消防力量，共同进行火情扑救。所属3艘消防船到达现场根据实际情况启动船载消防炮，对起火/爆炸船舶进行消防灭火，确保火灾扑灭。</w:t>
      </w:r>
    </w:p>
    <w:p w14:paraId="4A3E9C7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5）通知可能受油污损害的自然保护区、水产养殖区、旅游区域，并采取预防和控制措施。</w:t>
      </w:r>
    </w:p>
    <w:p w14:paraId="363353EF">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6）通知地方海事、环保监测、水文、气象等单位，及时、全面地监测事故所在区域水体、底质、大气、生态等环境状况。</w:t>
      </w:r>
    </w:p>
    <w:p w14:paraId="0B27CCF2">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7）现场指挥到达事故现场后应立即采取以下应急行动：</w:t>
      </w:r>
    </w:p>
    <w:p w14:paraId="3649D1B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a）确定事故船舶起火/爆炸情况、判定起火部位、原因，及时指挥消防船舶灭火。</w:t>
      </w:r>
    </w:p>
    <w:p w14:paraId="57CAD002">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b）确定是否发生油类泄漏，若发生确定溢油事故现场的准确地点和溢油原因（包括船名、船型、起火/爆炸、船东/货主），及时向清污行动总指挥部报告，同时组织紧急处置。</w:t>
      </w:r>
    </w:p>
    <w:p w14:paraId="4C9D4FAC">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c）及时报告火灾控制扑救情况、溢油种类、溢油事故的规模（包括油迹的长、宽、形状、颜色），现场风速、水流状况及浮油漂流动向，组织必要的监视监测，并定时（一般为10分钟）向清污行动总指挥部报告溢油漂流动向。</w:t>
      </w:r>
    </w:p>
    <w:p w14:paraId="47C49D4E">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及时根据现场情况预测并报告进一步溢油的可能性，判断溢油应急反应等级，责令责任方采取可能做到的一切防溢油措施，要求相应应急队伍及物资、装备迅速到位。</w:t>
      </w:r>
    </w:p>
    <w:p w14:paraId="644CC6C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d）溢油应急队伍及装备到达现场后，组织指挥现场溢油围控和清除，并根据溢出油种类、规模、地点、扩散方向采取相应的防治措施。</w:t>
      </w:r>
    </w:p>
    <w:p w14:paraId="0461BDF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e）采取任何应急反应行动，均应根据溢油规模和可能造成的危害，确定相应的应急等级，并及时报告清污行动总指挥部。</w:t>
      </w:r>
    </w:p>
    <w:p w14:paraId="4308FCC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8）特大规模应急反应时，请求海关、边防、国检等部门简化境外支援设备的进口手续，加急办理设备关税与边境许可证，办理护照、签证等方面予以方便。</w:t>
      </w:r>
    </w:p>
    <w:p w14:paraId="38D0DF7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9）根据现场情况由现场应急领导小组迅速制定清污应急处理指导方案，清污作业单位据此展开工作，及时对溢油进行控制与清除。</w:t>
      </w:r>
    </w:p>
    <w:p w14:paraId="6C0D50DC">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选择适宜对策在条件允许的情况下，应尽量围控、回收或清除水面溢油，防止其漂及岸边，污染岸线。根据不同的环境条件（风、浪、流、温度、环境敏感资源）和溢油特性（黏度、挥发性、溶解度、油膜厚度、风化程度等），选择适当的水面和岸上清除对策。选择清污对策时，必须考虑是否具有专门或替代的设备、器材和材料，同时还要考虑相应的辅助设施及配套设备，如：</w:t>
      </w:r>
    </w:p>
    <w:p w14:paraId="36D33ED1">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a）围油栏拖带船及指挥船。</w:t>
      </w:r>
    </w:p>
    <w:p w14:paraId="35E83D6B">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b）回收油接收设施。</w:t>
      </w:r>
    </w:p>
    <w:p w14:paraId="341DEB8E">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c）溢油分散剂喷洒设备和载带船舶。</w:t>
      </w:r>
    </w:p>
    <w:p w14:paraId="49B6463A">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d）回收废油及污染物的处置设施等。</w:t>
      </w:r>
    </w:p>
    <w:p w14:paraId="1BA5B655">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3.3.4清污行动</w:t>
      </w:r>
    </w:p>
    <w:p w14:paraId="5B6EE779">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立即组织现场警戒，对海域水深、船舶结构、舱内液位、当前倾角、搁浅位置等情况进行核实，分析事故船舶险情发展状态，存在下沉、侧翻及其他危险的，应立即发出指令，采取辅助船舶侧顶、拖带等固定方式，防止事故船舶漂移。事故船舶关闭非必要油阀，具备堵漏条件的进行堵漏，控制溢油源。围绕事故船舶布设防火围油栏围控溢油。</w:t>
      </w:r>
    </w:p>
    <w:p w14:paraId="2E84DB62">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2）在事故区域主流向两侧布设防火围油栏600米，拦截溢油带防止其继续扩散。</w:t>
      </w:r>
    </w:p>
    <w:p w14:paraId="47E2E19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3）若油舱发生破损导致油类泄漏，根据现场情况可考虑利用大功率驳油泵进行过驳，驳至溢油应急船舶或其他辅助船舶。</w:t>
      </w:r>
    </w:p>
    <w:p w14:paraId="200694A1">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4）当火势得到控制后，在事故区域下流施放充气式围油栏400米，用两条船舶牵引成“U”形或“J”形逆流行驶扫油。</w:t>
      </w:r>
    </w:p>
    <w:p w14:paraId="156621B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5）利用围油栏围控完毕后，可利用各类收油机、收油机对围控住的溢油进行回收。溢油集中到围油栏底部后，使用胜利</w:t>
      </w:r>
      <w:r>
        <w:rPr>
          <w:rFonts w:hint="eastAsia" w:ascii="仿宋" w:hAnsi="仿宋" w:eastAsia="仿宋" w:cs="仿宋"/>
          <w:color w:val="auto"/>
          <w:sz w:val="32"/>
          <w:szCs w:val="32"/>
          <w:lang w:val="en-US" w:eastAsia="zh-CN" w:bidi="ar"/>
        </w:rPr>
        <w:t>241</w:t>
      </w:r>
      <w:r>
        <w:rPr>
          <w:rFonts w:hint="eastAsia" w:ascii="仿宋" w:hAnsi="仿宋" w:eastAsia="仿宋" w:cs="仿宋"/>
          <w:color w:val="auto"/>
          <w:sz w:val="32"/>
          <w:szCs w:val="32"/>
          <w:lang w:bidi="ar"/>
        </w:rPr>
        <w:t>船侧挂收油机、多功能收油机进行收油，胜利</w:t>
      </w:r>
      <w:r>
        <w:rPr>
          <w:rFonts w:hint="eastAsia" w:ascii="仿宋" w:hAnsi="仿宋" w:eastAsia="仿宋" w:cs="仿宋"/>
          <w:color w:val="auto"/>
          <w:sz w:val="32"/>
          <w:szCs w:val="32"/>
          <w:lang w:val="en-US" w:eastAsia="zh-CN" w:bidi="ar"/>
        </w:rPr>
        <w:t>505</w:t>
      </w:r>
      <w:r>
        <w:rPr>
          <w:rFonts w:hint="eastAsia" w:ascii="仿宋" w:hAnsi="仿宋" w:eastAsia="仿宋" w:cs="仿宋"/>
          <w:color w:val="auto"/>
          <w:sz w:val="32"/>
          <w:szCs w:val="32"/>
          <w:lang w:bidi="ar"/>
        </w:rPr>
        <w:t>船启动船载侧挂式收油机沿溢油带顶流收油，并将回收的污油及时存放到快装罐或污油舱内。</w:t>
      </w:r>
    </w:p>
    <w:p w14:paraId="4A468EE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6）使用吸附材料处理残油。少量零星残油利用喷洒机喷洒溢油分散剂进行清除。</w:t>
      </w:r>
    </w:p>
    <w:p w14:paraId="2215FFC0">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7）确认油污水接收设施及废水处理设备随时运转良好。</w:t>
      </w:r>
    </w:p>
    <w:p w14:paraId="3388F2D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8）根据现场的溢油量多少，清污行动往往会持续一段时间，在此期间要时刻做好溢油情况监测防止再次发生起火/爆炸事故，通过模拟软件、监测船舶、船载溢油雷达监测系统等做好对溢油源和溢油的监测、监视工作；及时掌握气象信息及近期气象预报趋势；根据溢油应急工作的需要，随时保证通信联络畅通；及时掌握事故现场和溢油可能漂移水域的航道、水文气象情况。</w:t>
      </w:r>
    </w:p>
    <w:p w14:paraId="5FC03347">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9）发生重（特）大溢油事故时，要及时向上一级溢油应急指挥部请求应急援助，并通知有关政府部门、企业、附近居民开展预防溢油污染的应急反应行动。</w:t>
      </w:r>
    </w:p>
    <w:p w14:paraId="7494EEF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10）清污行动总指挥部根据溢油应急反应进展情况宣布应急反应结束，总指挥部根据职责分工进行调查，有关污染损害材料尽快汇总上报。</w:t>
      </w:r>
    </w:p>
    <w:p w14:paraId="0FE044F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11）应急工作结束，回收设备，清理甲板，清点人员，返航，进行战评总结。总结报告应包括以下几方面的内容：</w:t>
      </w:r>
    </w:p>
    <w:p w14:paraId="46C4773B">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·检查参加单位出动及配合情况；</w:t>
      </w:r>
    </w:p>
    <w:p w14:paraId="79C959C5">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·清点动用的器材、设备及回收情况，将设备和器材进行清洗和维修；</w:t>
      </w:r>
    </w:p>
    <w:p w14:paraId="43862F83">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·清点、归还临时调用的设备、器材；</w:t>
      </w:r>
    </w:p>
    <w:p w14:paraId="44F1BA94">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·对清除效果进行评估；</w:t>
      </w:r>
    </w:p>
    <w:p w14:paraId="4AB22EC4">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·总结经验，提出对应急反应的修改意见；</w:t>
      </w:r>
    </w:p>
    <w:p w14:paraId="185C391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·书写清污处理报告，上报有关部门存档。</w:t>
      </w:r>
    </w:p>
    <w:p w14:paraId="7185253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12）环境污染状况监测由具有环境监测资质的监测中心检测，并出具监测报告，作为索赔依据。</w:t>
      </w:r>
    </w:p>
    <w:p w14:paraId="087186B3">
      <w:pPr>
        <w:spacing w:line="500" w:lineRule="exact"/>
        <w:rPr>
          <w:rFonts w:hint="eastAsia"/>
        </w:rPr>
      </w:pPr>
      <w:r>
        <w:rPr>
          <w:rFonts w:hint="eastAsia"/>
        </w:rPr>
        <w:t xml:space="preserve">    </w:t>
      </w:r>
      <w:bookmarkStart w:id="78" w:name="_Toc31203"/>
      <w:r>
        <w:rPr>
          <w:rFonts w:hint="eastAsia"/>
        </w:rPr>
        <w:t>3.3.5注意事项</w:t>
      </w:r>
      <w:bookmarkEnd w:id="78"/>
    </w:p>
    <w:p w14:paraId="7EC0CEDF">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    1）作业开展前，要做好作业区域有毒有害气体如硫化氢等及易燃气体的检测，确保安全后，方可实施作业。</w:t>
      </w:r>
    </w:p>
    <w:p w14:paraId="2BCAFAC7">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2）参与清污行动的设备、器材均应满足防火、防爆要求，人员均不许在作业现场使用明火。</w:t>
      </w:r>
    </w:p>
    <w:p w14:paraId="60E37C92">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3）处理出海作业人员要按照作业规定正确穿戴劳动保护用品，包括：安全帽、救生衣、防护服、防滑防砸鞋、劳保手套等。作业过程中，要安排专人做好安全监督工作，防止意外伤亡事件发生。</w:t>
      </w:r>
    </w:p>
    <w:p w14:paraId="0B45661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4）溢油清除的原则</w:t>
      </w:r>
    </w:p>
    <w:p w14:paraId="1FCFE43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对于非持久性油类，如：汽油、轻质柴油、航空煤油、轻质原油等：</w:t>
      </w:r>
    </w:p>
    <w:p w14:paraId="5931291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·一般不采取回收方式，让其挥发。</w:t>
      </w:r>
    </w:p>
    <w:p w14:paraId="35D768F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·当有可能向附近敏感区域扩大时，可使用围油栏拦截和导向。</w:t>
      </w:r>
    </w:p>
    <w:p w14:paraId="3423D83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·在有可能引起火灾的情况下，可使用化学溢油分散剂，使其乳化分散，但应按程序严格控制用量。</w:t>
      </w:r>
    </w:p>
    <w:p w14:paraId="524B02B8">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对持久性油类，如柴油、中、重质原油、船舶燃料油、重油：</w:t>
      </w:r>
    </w:p>
    <w:p w14:paraId="422E624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·在可能的情况下，采取浮油回收船、收油机、油拖把、油拖网、吸油材料以及人工捞取等方式，尽量进行回收。</w:t>
      </w:r>
    </w:p>
    <w:p w14:paraId="396F531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以下情况可暂不采取清除行动：</w:t>
      </w:r>
    </w:p>
    <w:p w14:paraId="442E5A4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·溢出量较少，岸线或资源不受威胁。</w:t>
      </w:r>
    </w:p>
    <w:p w14:paraId="0A79E67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·溢油为挥发性（非持久性）油类。</w:t>
      </w:r>
    </w:p>
    <w:p w14:paraId="32CBFB8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可暂不采取清除行动的原则：</w:t>
      </w:r>
    </w:p>
    <w:p w14:paraId="4A2E7F0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·进行清除比自然清除更有害。</w:t>
      </w:r>
    </w:p>
    <w:p w14:paraId="4E27CE8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·不能确定清除方法的有效性。</w:t>
      </w:r>
    </w:p>
    <w:p w14:paraId="5950F977">
      <w:pPr>
        <w:pStyle w:val="3"/>
        <w:spacing w:line="500" w:lineRule="exact"/>
        <w:ind w:firstLine="641" w:firstLineChars="200"/>
        <w:jc w:val="both"/>
        <w:rPr>
          <w:rFonts w:hint="eastAsia"/>
          <w:b/>
          <w:bCs w:val="0"/>
          <w:lang w:val="en-US" w:eastAsia="zh-CN"/>
        </w:rPr>
      </w:pPr>
      <w:bookmarkStart w:id="79" w:name="_Toc23693"/>
      <w:bookmarkStart w:id="80" w:name="_Toc12635"/>
      <w:bookmarkStart w:id="81" w:name="_Toc13979"/>
      <w:bookmarkStart w:id="82" w:name="_Toc30974"/>
      <w:r>
        <w:rPr>
          <w:rFonts w:hint="eastAsia"/>
          <w:b/>
          <w:bCs w:val="0"/>
          <w:lang w:val="en-US" w:eastAsia="zh-CN"/>
        </w:rPr>
        <w:t>4.主要敏感资源的围护方案</w:t>
      </w:r>
      <w:bookmarkEnd w:id="79"/>
      <w:bookmarkEnd w:id="80"/>
      <w:bookmarkEnd w:id="81"/>
      <w:bookmarkEnd w:id="82"/>
      <w:bookmarkStart w:id="83" w:name="_Toc297910038"/>
      <w:bookmarkStart w:id="84" w:name="_Toc298434802"/>
      <w:bookmarkStart w:id="85" w:name="_Toc298434469"/>
      <w:bookmarkStart w:id="86" w:name="_Toc298434801"/>
      <w:bookmarkStart w:id="87" w:name="_Toc297910037"/>
      <w:bookmarkStart w:id="88" w:name="_Toc298434468"/>
    </w:p>
    <w:p w14:paraId="652ED578">
      <w:pPr>
        <w:spacing w:line="500" w:lineRule="exact"/>
        <w:ind w:firstLine="640" w:firstLineChars="200"/>
        <w:rPr>
          <w:rFonts w:hint="eastAsia"/>
        </w:rPr>
      </w:pPr>
      <w:bookmarkStart w:id="89" w:name="_Toc4022"/>
      <w:bookmarkStart w:id="90" w:name="_Toc15695"/>
      <w:bookmarkStart w:id="91" w:name="_Toc9090"/>
      <w:r>
        <w:rPr>
          <w:rFonts w:hint="eastAsia"/>
        </w:rPr>
        <w:t>4.1保护服务区域内的主要敏感资源概述</w:t>
      </w:r>
      <w:bookmarkEnd w:id="83"/>
      <w:bookmarkEnd w:id="84"/>
      <w:bookmarkEnd w:id="85"/>
      <w:bookmarkEnd w:id="89"/>
      <w:bookmarkEnd w:id="90"/>
      <w:bookmarkEnd w:id="91"/>
    </w:p>
    <w:p w14:paraId="50173DA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东营海域及周边环境敏感资源分布图</w:t>
      </w:r>
    </w:p>
    <w:p w14:paraId="342F7227">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东营海域主要有胜利油田海上勘探开发生产作业区，位于我国渤海海域莱州湾西北、渤海湾以东海域，陆地与山东省东营地区北部沿海相邻，周边地区经济发达、资源丰富、环境敏感资源区域众多，其中，黄河口生态保护区属于国家级自然保护区，距离埕岛油田最近只有20KM,另外沿岸养殖区位于5m等深线以内，距离胜利油田生产作业区最近距离不超过10KM，因此，必须加以重视，避免或最大程度的减少溢油对周围各个环境敏感资源区域的污染危害，主要环境敏感资源区分布如下表：</w:t>
      </w:r>
    </w:p>
    <w:p w14:paraId="560D7B20">
      <w:pPr>
        <w:pStyle w:val="10"/>
        <w:snapToGrid w:val="0"/>
        <w:spacing w:line="500" w:lineRule="exact"/>
        <w:ind w:firstLine="640" w:firstLineChars="200"/>
        <w:jc w:val="both"/>
        <w:rPr>
          <w:rFonts w:hint="eastAsia" w:ascii="仿宋" w:hAnsi="仿宋" w:eastAsia="仿宋" w:cs="仿宋"/>
          <w:color w:val="auto"/>
          <w:sz w:val="32"/>
          <w:szCs w:val="32"/>
          <w:lang w:bidi="ar"/>
        </w:rPr>
      </w:pP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6"/>
        <w:gridCol w:w="3588"/>
      </w:tblGrid>
      <w:tr w14:paraId="6DCD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616" w:type="dxa"/>
            <w:noWrap w:val="0"/>
            <w:vAlign w:val="center"/>
          </w:tcPr>
          <w:p w14:paraId="3A69C41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环境敏感区域名称</w:t>
            </w:r>
          </w:p>
        </w:tc>
        <w:tc>
          <w:tcPr>
            <w:tcW w:w="3588" w:type="dxa"/>
            <w:noWrap w:val="0"/>
            <w:vAlign w:val="center"/>
          </w:tcPr>
          <w:p w14:paraId="2A2235D5">
            <w:pPr>
              <w:pStyle w:val="10"/>
              <w:snapToGrid w:val="0"/>
              <w:spacing w:line="500" w:lineRule="exact"/>
              <w:ind w:firstLine="1600" w:firstLineChars="5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中心位置</w:t>
            </w:r>
          </w:p>
        </w:tc>
      </w:tr>
      <w:tr w14:paraId="66B9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616" w:type="dxa"/>
            <w:noWrap w:val="0"/>
            <w:vAlign w:val="center"/>
          </w:tcPr>
          <w:p w14:paraId="627ECC5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黄河口自然保护区</w:t>
            </w:r>
          </w:p>
        </w:tc>
        <w:tc>
          <w:tcPr>
            <w:tcW w:w="3588" w:type="dxa"/>
            <w:noWrap w:val="0"/>
            <w:vAlign w:val="center"/>
          </w:tcPr>
          <w:p w14:paraId="51E712E3">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位于黄河新、老入海口及其沿岸区域</w:t>
            </w:r>
          </w:p>
        </w:tc>
      </w:tr>
      <w:tr w14:paraId="1FAD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616" w:type="dxa"/>
            <w:noWrap w:val="0"/>
            <w:vAlign w:val="center"/>
          </w:tcPr>
          <w:p w14:paraId="2208880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黄河口对虾产卵区</w:t>
            </w:r>
          </w:p>
        </w:tc>
        <w:tc>
          <w:tcPr>
            <w:tcW w:w="3588" w:type="dxa"/>
            <w:noWrap w:val="0"/>
            <w:vAlign w:val="center"/>
          </w:tcPr>
          <w:p w14:paraId="7E69F48A">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北纬38度5分；东经118度55分</w:t>
            </w:r>
          </w:p>
        </w:tc>
      </w:tr>
      <w:tr w14:paraId="3219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616" w:type="dxa"/>
            <w:noWrap w:val="0"/>
            <w:vAlign w:val="center"/>
          </w:tcPr>
          <w:p w14:paraId="01A61D02">
            <w:pPr>
              <w:pStyle w:val="10"/>
              <w:snapToGrid w:val="0"/>
              <w:spacing w:line="500" w:lineRule="exact"/>
              <w:ind w:firstLine="320" w:firstLineChars="1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大连斑海豹自然保护区</w:t>
            </w:r>
          </w:p>
        </w:tc>
        <w:tc>
          <w:tcPr>
            <w:tcW w:w="3588" w:type="dxa"/>
            <w:noWrap w:val="0"/>
            <w:vAlign w:val="center"/>
          </w:tcPr>
          <w:p w14:paraId="417BF6E3">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北纬38度50分-39度30分；东经120度30分</w:t>
            </w:r>
          </w:p>
        </w:tc>
      </w:tr>
      <w:tr w14:paraId="4F67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616" w:type="dxa"/>
            <w:noWrap w:val="0"/>
            <w:vAlign w:val="center"/>
          </w:tcPr>
          <w:p w14:paraId="3ED11FA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庙西带鱼越冬场</w:t>
            </w:r>
          </w:p>
        </w:tc>
        <w:tc>
          <w:tcPr>
            <w:tcW w:w="3588" w:type="dxa"/>
            <w:noWrap w:val="0"/>
            <w:vAlign w:val="center"/>
          </w:tcPr>
          <w:p w14:paraId="1A89ED77">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北纬38度55分-39度；东经121度</w:t>
            </w:r>
          </w:p>
        </w:tc>
      </w:tr>
      <w:tr w14:paraId="26319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616" w:type="dxa"/>
            <w:noWrap w:val="0"/>
            <w:vAlign w:val="center"/>
          </w:tcPr>
          <w:p w14:paraId="6D0449A0">
            <w:pPr>
              <w:pStyle w:val="10"/>
              <w:snapToGrid w:val="0"/>
              <w:spacing w:line="500" w:lineRule="exact"/>
              <w:jc w:val="center"/>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蛇岛-老铁山自然保护区</w:t>
            </w:r>
          </w:p>
        </w:tc>
        <w:tc>
          <w:tcPr>
            <w:tcW w:w="3588" w:type="dxa"/>
            <w:noWrap w:val="0"/>
            <w:vAlign w:val="center"/>
          </w:tcPr>
          <w:p w14:paraId="5D5D8C10">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北纬39度15分；东经120度40分-120度50分</w:t>
            </w:r>
          </w:p>
        </w:tc>
      </w:tr>
      <w:tr w14:paraId="4931A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616" w:type="dxa"/>
            <w:noWrap w:val="0"/>
            <w:vAlign w:val="center"/>
          </w:tcPr>
          <w:p w14:paraId="2B53441B">
            <w:pPr>
              <w:pStyle w:val="10"/>
              <w:snapToGrid w:val="0"/>
              <w:spacing w:line="500" w:lineRule="exact"/>
              <w:jc w:val="center"/>
              <w:rPr>
                <w:rFonts w:hint="eastAsia" w:ascii="仿宋" w:hAnsi="仿宋" w:eastAsia="仿宋" w:cs="仿宋"/>
                <w:color w:val="auto"/>
                <w:sz w:val="32"/>
                <w:szCs w:val="32"/>
                <w:lang w:bidi="ar"/>
              </w:rPr>
            </w:pPr>
            <w:bookmarkStart w:id="205" w:name="_GoBack"/>
            <w:bookmarkEnd w:id="205"/>
            <w:r>
              <w:rPr>
                <w:rFonts w:hint="eastAsia" w:ascii="仿宋" w:hAnsi="仿宋" w:eastAsia="仿宋" w:cs="仿宋"/>
                <w:color w:val="auto"/>
                <w:sz w:val="32"/>
                <w:szCs w:val="32"/>
                <w:lang w:bidi="ar"/>
              </w:rPr>
              <w:t>沿岸养殖区及渔业资源增养区</w:t>
            </w:r>
          </w:p>
        </w:tc>
        <w:tc>
          <w:tcPr>
            <w:tcW w:w="3588" w:type="dxa"/>
            <w:noWrap w:val="0"/>
            <w:vAlign w:val="center"/>
          </w:tcPr>
          <w:p w14:paraId="666F9106">
            <w:pPr>
              <w:pStyle w:val="10"/>
              <w:snapToGrid w:val="0"/>
              <w:spacing w:line="500" w:lineRule="exact"/>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沿岸-5m水深等深线以内</w:t>
            </w:r>
          </w:p>
        </w:tc>
      </w:tr>
      <w:bookmarkEnd w:id="86"/>
      <w:bookmarkEnd w:id="87"/>
      <w:bookmarkEnd w:id="88"/>
    </w:tbl>
    <w:p w14:paraId="59D7A12B">
      <w:pPr>
        <w:spacing w:line="500" w:lineRule="exact"/>
        <w:ind w:firstLine="640" w:firstLineChars="200"/>
        <w:rPr>
          <w:rFonts w:hint="eastAsia" w:cs="仿宋"/>
          <w:kern w:val="0"/>
          <w:szCs w:val="32"/>
          <w:lang w:bidi="ar"/>
        </w:rPr>
      </w:pPr>
      <w:bookmarkStart w:id="92" w:name="_Toc25844"/>
      <w:bookmarkStart w:id="93" w:name="_Toc3161"/>
      <w:bookmarkStart w:id="94" w:name="_Toc16621"/>
      <w:r>
        <w:rPr>
          <w:rFonts w:hint="eastAsia" w:cs="仿宋"/>
          <w:kern w:val="0"/>
          <w:szCs w:val="32"/>
          <w:lang w:bidi="ar"/>
        </w:rPr>
        <w:t>4.2围护方案</w:t>
      </w:r>
      <w:bookmarkEnd w:id="92"/>
      <w:bookmarkEnd w:id="93"/>
      <w:bookmarkEnd w:id="94"/>
    </w:p>
    <w:p w14:paraId="21F02044">
      <w:pPr>
        <w:spacing w:line="500" w:lineRule="exact"/>
        <w:ind w:firstLine="640" w:firstLineChars="200"/>
        <w:rPr>
          <w:rFonts w:hint="eastAsia" w:ascii="Times New Roman" w:hAnsi="Times New Roman" w:eastAsia="宋体"/>
          <w:kern w:val="0"/>
          <w:sz w:val="24"/>
          <w:lang w:bidi="ar"/>
        </w:rPr>
      </w:pPr>
      <w:r>
        <w:rPr>
          <w:rFonts w:hint="eastAsia" w:cs="仿宋"/>
          <w:kern w:val="0"/>
          <w:szCs w:val="32"/>
          <w:lang w:bidi="ar"/>
        </w:rPr>
        <w:t>当发生溢油事故，预测油带漂移有可能威胁敏感区时，在溢油漂移路径上布设固体式围油栏拦截溢油，防止溢油进入敏感区。并派溢油回收船担任守护，随时回收被拦截溢油，溢油堆积过多跨越栏体。</w:t>
      </w:r>
      <w:bookmarkStart w:id="95" w:name="_Toc297910040"/>
      <w:bookmarkStart w:id="96" w:name="_Toc298434804"/>
      <w:bookmarkStart w:id="97" w:name="_Toc298434471"/>
    </w:p>
    <w:p w14:paraId="4E83747B">
      <w:pPr>
        <w:pStyle w:val="3"/>
        <w:spacing w:line="500" w:lineRule="exact"/>
        <w:ind w:firstLine="643" w:firstLineChars="200"/>
        <w:jc w:val="both"/>
        <w:rPr>
          <w:rFonts w:hint="eastAsia" w:ascii="仿宋" w:hAnsi="仿宋" w:eastAsia="仿宋" w:cs="仿宋"/>
          <w:b/>
          <w:bCs w:val="0"/>
          <w:szCs w:val="32"/>
          <w:lang w:val="en-US" w:eastAsia="zh-CN"/>
        </w:rPr>
      </w:pPr>
      <w:bookmarkStart w:id="98" w:name="_Toc9070"/>
      <w:bookmarkStart w:id="99" w:name="_Toc17376"/>
      <w:bookmarkStart w:id="100" w:name="_Toc28348"/>
      <w:bookmarkStart w:id="101" w:name="_Toc18214"/>
      <w:r>
        <w:rPr>
          <w:rFonts w:hint="eastAsia" w:ascii="仿宋" w:hAnsi="仿宋" w:eastAsia="仿宋" w:cs="仿宋"/>
          <w:b/>
          <w:bCs w:val="0"/>
          <w:szCs w:val="32"/>
          <w:lang w:val="en-US" w:eastAsia="zh-CN"/>
        </w:rPr>
        <w:t>5.海上污染物回收和清除方案</w:t>
      </w:r>
      <w:bookmarkEnd w:id="95"/>
      <w:bookmarkEnd w:id="96"/>
      <w:bookmarkEnd w:id="97"/>
      <w:bookmarkEnd w:id="98"/>
      <w:bookmarkEnd w:id="99"/>
      <w:bookmarkEnd w:id="100"/>
      <w:bookmarkEnd w:id="101"/>
    </w:p>
    <w:p w14:paraId="105B88E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就海上污染物回收和清除方面工作而言，海上清污技术的内涵是对突发的灾难性溢油的防治，包括四个基本方面：溢油监视技术和装备；溢油围栏、引导技术和装备；溢油回收或处理技术和装备；收回油的应急储存技术和装备。</w:t>
      </w:r>
      <w:bookmarkStart w:id="102" w:name="_Toc297910041"/>
      <w:bookmarkStart w:id="103" w:name="_Toc298434472"/>
      <w:bookmarkStart w:id="104" w:name="_Toc298434805"/>
    </w:p>
    <w:p w14:paraId="6A080DB8">
      <w:pPr>
        <w:spacing w:line="500" w:lineRule="exact"/>
        <w:ind w:firstLine="640" w:firstLineChars="200"/>
        <w:rPr>
          <w:rFonts w:hint="eastAsia"/>
        </w:rPr>
      </w:pPr>
      <w:bookmarkStart w:id="105" w:name="_Toc30544"/>
      <w:bookmarkStart w:id="106" w:name="_Toc2881"/>
      <w:bookmarkStart w:id="107" w:name="_Toc29642"/>
      <w:r>
        <w:rPr>
          <w:rFonts w:hint="eastAsia"/>
        </w:rPr>
        <w:t>5.1溢油监视与油迹预报</w:t>
      </w:r>
      <w:bookmarkEnd w:id="102"/>
      <w:bookmarkEnd w:id="103"/>
      <w:bookmarkEnd w:id="104"/>
      <w:bookmarkEnd w:id="105"/>
      <w:bookmarkEnd w:id="106"/>
      <w:bookmarkEnd w:id="107"/>
    </w:p>
    <w:p w14:paraId="7C6E77C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为了能及时地发现溢油，尽早采取行动，扼制溢油继续溢出和扩散，为下一步清理污染提供决策依据，在海洋溢油事故中，油膜不停地漂移、扩散，应急人员必须随时掌握油膜的位置、动向、范围以及溢油数量，以便选用合适的装备，组织必要的人员，以适宜的方法并能在适当的时刻，赶赴到最佳的地点实施回收治理。发现和采取行动越早，成功率越高，紧急效果也越好。油迹预报是提供决策的重要资料。</w:t>
      </w:r>
    </w:p>
    <w:p w14:paraId="2E57F97C">
      <w:pPr>
        <w:spacing w:line="500" w:lineRule="exact"/>
        <w:ind w:firstLine="640" w:firstLineChars="200"/>
        <w:rPr>
          <w:rFonts w:hint="eastAsia"/>
        </w:rPr>
      </w:pPr>
      <w:r>
        <w:rPr>
          <w:rFonts w:hint="eastAsia"/>
        </w:rPr>
        <w:t xml:space="preserve"> </w:t>
      </w:r>
      <w:bookmarkStart w:id="108" w:name="_Toc27509"/>
      <w:r>
        <w:rPr>
          <w:rFonts w:hint="eastAsia"/>
        </w:rPr>
        <w:t>5.1.1大范围的监视</w:t>
      </w:r>
      <w:bookmarkEnd w:id="108"/>
    </w:p>
    <w:p w14:paraId="740B9D6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 xml:space="preserve">由于各种油的性质差异极大，气象、水文、海况也差异很大，单一的仪器常不能达到各种条件下的监视目的。通过飞机等航空遥感技术、卫星全天候监视等。     </w:t>
      </w:r>
    </w:p>
    <w:p w14:paraId="0EBB3E9C">
      <w:pPr>
        <w:spacing w:line="500" w:lineRule="exact"/>
        <w:ind w:firstLine="640" w:firstLineChars="200"/>
        <w:rPr>
          <w:rFonts w:hint="eastAsia"/>
        </w:rPr>
      </w:pPr>
      <w:bookmarkStart w:id="109" w:name="_Toc29373"/>
      <w:r>
        <w:rPr>
          <w:rFonts w:hint="eastAsia"/>
        </w:rPr>
        <w:t>5.1.2局部监视</w:t>
      </w:r>
      <w:bookmarkEnd w:id="109"/>
    </w:p>
    <w:p w14:paraId="00BEA3D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是利用油—水理化性质的差异，识别溢油并报警。可以用船上安装的溢油雷达监测系统和便携式溢油浮漂跟踪系统进行跟踪、监测。</w:t>
      </w:r>
    </w:p>
    <w:p w14:paraId="5EBD9509">
      <w:pPr>
        <w:spacing w:line="500" w:lineRule="exact"/>
        <w:ind w:firstLine="640" w:firstLineChars="200"/>
        <w:rPr>
          <w:rFonts w:hint="eastAsia"/>
        </w:rPr>
      </w:pPr>
      <w:bookmarkStart w:id="110" w:name="_Toc22636"/>
      <w:r>
        <w:rPr>
          <w:rFonts w:hint="eastAsia"/>
        </w:rPr>
        <w:t>5.1.3油种类的鉴定</w:t>
      </w:r>
      <w:bookmarkEnd w:id="110"/>
    </w:p>
    <w:p w14:paraId="0756690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在溢油现场采来的油样进行处理后得到的各项理化参数与计算机指纹识别系统参数相对照就可准确地判断是什么油。通过采样分析、鉴定，再查核过往船只油品记录，可以追查责任者。</w:t>
      </w:r>
    </w:p>
    <w:p w14:paraId="277CB03E">
      <w:pPr>
        <w:spacing w:line="500" w:lineRule="exact"/>
        <w:ind w:firstLine="640" w:firstLineChars="200"/>
        <w:rPr>
          <w:rFonts w:hint="eastAsia"/>
        </w:rPr>
      </w:pPr>
      <w:bookmarkStart w:id="111" w:name="_Toc6971"/>
      <w:r>
        <w:rPr>
          <w:rFonts w:hint="eastAsia"/>
        </w:rPr>
        <w:t>5.1.4油迹预报</w:t>
      </w:r>
      <w:bookmarkEnd w:id="111"/>
    </w:p>
    <w:p w14:paraId="107A6010">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由于溢油在潮流、风等作用下不断漂移、扩散、为给回收行动和防油污染行动选择适当的时刻、地点，有必要提供油迹预报，预报内容主要包括下述内容：油膜厚度和溢油量的估计、扩散面积、范围的估计、油膜形心轨迹的估计。可利用油迹预报软件进行预测。</w:t>
      </w:r>
      <w:bookmarkStart w:id="112" w:name="_Toc298434473"/>
      <w:bookmarkStart w:id="113" w:name="_Toc298434806"/>
      <w:bookmarkStart w:id="114" w:name="_Toc297910042"/>
    </w:p>
    <w:p w14:paraId="42B6CCF7">
      <w:pPr>
        <w:spacing w:line="500" w:lineRule="exact"/>
        <w:ind w:firstLine="640" w:firstLineChars="200"/>
        <w:rPr>
          <w:rFonts w:hint="eastAsia"/>
        </w:rPr>
      </w:pPr>
      <w:bookmarkStart w:id="115" w:name="_Toc156"/>
      <w:bookmarkStart w:id="116" w:name="_Toc32354"/>
      <w:bookmarkStart w:id="117" w:name="_Toc1002"/>
      <w:r>
        <w:rPr>
          <w:rFonts w:hint="eastAsia"/>
        </w:rPr>
        <w:t>5.2溢油围栏、引导</w:t>
      </w:r>
      <w:bookmarkEnd w:id="112"/>
      <w:bookmarkEnd w:id="113"/>
      <w:bookmarkEnd w:id="114"/>
      <w:bookmarkEnd w:id="115"/>
      <w:bookmarkEnd w:id="116"/>
      <w:bookmarkEnd w:id="117"/>
    </w:p>
    <w:p w14:paraId="74DAACA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溢油事故发生时应首先使用围油栏围控溢油，避免污染进一步扩散，并收拢溢油，增加油膜厚度，为下一步的回收工作做好准备。</w:t>
      </w:r>
    </w:p>
    <w:p w14:paraId="7D8CBFC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难以拦截的情况下要对溢油进行引导，以防止重要的敏感区受污染。利用各式围油栏根据实际情况采取围控措施，防止海面上的油污在自身重力和风、流以及其他因素的作用下迅速的扩散和漂移，将其控制在较小的范围内，以减少对水域的污染范围，减轻污染损害程度，同时还具有溢油的围控集中、导流和防止潜在的溢油等作用。溢油到水面后，在自身重力和风、流以及其它因素的作用下会迅速扩散和漂移。要根据实际情况采取围控措施和使用围控设备、器材，布放围油栏保护敏感资源区域。选用围油栏时，应首先考虑水域环境对围油栏的性能要求和围油栏的基本性能参数，然后在考虑现场环境和围油栏的操作性能。</w:t>
      </w:r>
      <w:bookmarkStart w:id="118" w:name="_Toc297910043"/>
      <w:bookmarkStart w:id="119" w:name="_Toc298434474"/>
      <w:bookmarkStart w:id="120" w:name="_Toc298434807"/>
    </w:p>
    <w:p w14:paraId="030ABAC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围油栏围控要注意以下几个方面：</w:t>
      </w:r>
    </w:p>
    <w:p w14:paraId="679BCA0B">
      <w:pPr>
        <w:spacing w:line="500" w:lineRule="exact"/>
        <w:ind w:firstLine="640" w:firstLineChars="200"/>
        <w:rPr>
          <w:rFonts w:hint="eastAsia"/>
        </w:rPr>
      </w:pPr>
      <w:bookmarkStart w:id="121" w:name="_Toc20598"/>
      <w:r>
        <w:rPr>
          <w:rFonts w:hint="eastAsia"/>
        </w:rPr>
        <w:t>1）在浪高水域，溢油可能会溅过围油栏，发生溅油的条件如下：</w:t>
      </w:r>
      <w:bookmarkEnd w:id="121"/>
    </w:p>
    <w:p w14:paraId="3CB2467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①波浪高度高于围油栏的水上部分。</w:t>
      </w:r>
    </w:p>
    <w:p w14:paraId="4D209312">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②波浪波长与波高之比小于5-10∶1。</w:t>
      </w:r>
    </w:p>
    <w:p w14:paraId="700CCE2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2）水流流速较大时会影响围油栏的滞油性能，流速对围油栏的垂直分量达到0.7节时为临界流速，必须采用减少垂直分量的办法才能提高围油栏的滞油性能，包括：</w:t>
      </w:r>
    </w:p>
    <w:p w14:paraId="0CABA07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①避免使围油栏沿与水流流向垂直的方向布放，以降低作用于围油栏的垂直流速分量。</w:t>
      </w:r>
    </w:p>
    <w:p w14:paraId="1785B61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②在使围油栏与水流之间形成一定角度的同时要考虑各阶段围油栏连接后的整体刚性。</w:t>
      </w:r>
    </w:p>
    <w:p w14:paraId="5E534433">
      <w:pPr>
        <w:spacing w:line="500" w:lineRule="exact"/>
        <w:ind w:firstLine="640" w:firstLineChars="200"/>
        <w:rPr>
          <w:rFonts w:hint="eastAsia"/>
        </w:rPr>
      </w:pPr>
      <w:bookmarkStart w:id="122" w:name="_Toc18749"/>
      <w:bookmarkStart w:id="123" w:name="_Toc14011"/>
      <w:bookmarkStart w:id="124" w:name="_Toc15526"/>
      <w:r>
        <w:rPr>
          <w:rFonts w:hint="eastAsia"/>
        </w:rPr>
        <w:t>5.3溢油回收或处理</w:t>
      </w:r>
      <w:bookmarkEnd w:id="118"/>
      <w:bookmarkEnd w:id="119"/>
      <w:bookmarkEnd w:id="120"/>
      <w:bookmarkEnd w:id="122"/>
      <w:bookmarkEnd w:id="123"/>
      <w:bookmarkEnd w:id="124"/>
    </w:p>
    <w:p w14:paraId="0C85EF46">
      <w:pPr>
        <w:spacing w:line="500" w:lineRule="exact"/>
        <w:ind w:firstLine="640" w:firstLineChars="200"/>
        <w:rPr>
          <w:rFonts w:hint="eastAsia"/>
        </w:rPr>
      </w:pPr>
      <w:bookmarkStart w:id="125" w:name="_Toc11540"/>
      <w:r>
        <w:rPr>
          <w:rFonts w:hint="eastAsia"/>
        </w:rPr>
        <w:t>5.3.1机械回收</w:t>
      </w:r>
      <w:bookmarkEnd w:id="125"/>
    </w:p>
    <w:p w14:paraId="1E7D9E9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当围油工作完成后，就要对溢油进行回收和清除，利用胜利2</w:t>
      </w:r>
      <w:r>
        <w:rPr>
          <w:rFonts w:hint="eastAsia" w:ascii="仿宋" w:hAnsi="仿宋" w:eastAsia="仿宋" w:cs="仿宋"/>
          <w:color w:val="auto"/>
          <w:sz w:val="32"/>
          <w:szCs w:val="32"/>
          <w:lang w:val="en-US" w:eastAsia="zh-CN" w:bidi="ar"/>
        </w:rPr>
        <w:t>41</w:t>
      </w:r>
      <w:r>
        <w:rPr>
          <w:rFonts w:hint="eastAsia" w:ascii="仿宋" w:hAnsi="仿宋" w:eastAsia="仿宋" w:cs="仿宋"/>
          <w:color w:val="auto"/>
          <w:sz w:val="32"/>
          <w:szCs w:val="32"/>
          <w:lang w:bidi="ar"/>
        </w:rPr>
        <w:t>船、胜利</w:t>
      </w:r>
      <w:r>
        <w:rPr>
          <w:rFonts w:hint="eastAsia" w:ascii="仿宋" w:hAnsi="仿宋" w:eastAsia="仿宋" w:cs="仿宋"/>
          <w:color w:val="auto"/>
          <w:sz w:val="32"/>
          <w:szCs w:val="32"/>
          <w:lang w:val="en-US" w:eastAsia="zh-CN" w:bidi="ar"/>
        </w:rPr>
        <w:t>505</w:t>
      </w:r>
      <w:r>
        <w:rPr>
          <w:rFonts w:hint="eastAsia" w:ascii="仿宋" w:hAnsi="仿宋" w:eastAsia="仿宋" w:cs="仿宋"/>
          <w:color w:val="auto"/>
          <w:sz w:val="32"/>
          <w:szCs w:val="32"/>
          <w:lang w:bidi="ar"/>
        </w:rPr>
        <w:t>船载收油机、辅助船舶吊放收油机进行溢油回收作业，可以有效回收溢油，使其对环境的影响降到最低。收油机基本工作原理是利用油和油水混合物的流动性、油水的密度差以及材料对油/油水混合物的吸附性，将油从水面上分离出来。</w:t>
      </w:r>
    </w:p>
    <w:p w14:paraId="2AA2A02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机械回收要注意以下几个方面：</w:t>
      </w:r>
    </w:p>
    <w:p w14:paraId="3ECA4227">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1）水面比较平静时撇油回收效果较好，但在风浪大情况下一般不能使用，具体限制如下：</w:t>
      </w:r>
    </w:p>
    <w:p w14:paraId="7742414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·风可以卷起轻质油，使其离开水面。</w:t>
      </w:r>
    </w:p>
    <w:p w14:paraId="50AFE32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·波浪较大、特别是出现短波和骇浪时，收油机不能跟随波浪，使其性能受到影响。或使收油机的集油机构移动，离开水面油膜，影响回收。</w:t>
      </w:r>
    </w:p>
    <w:p w14:paraId="2F6F7E6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·急流使溢油在围油栏下面逃逸，高流速使水面溢油太快地移过收油机的集油机构，不能有效回收。</w:t>
      </w:r>
    </w:p>
    <w:p w14:paraId="03F48000">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2）溢油粘度是影响收油机回收效果的主要因素，具体限制为。</w:t>
      </w:r>
    </w:p>
    <w:p w14:paraId="59937BC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·溢油粘度大于2，000 cst时，一般收油机不能正常工作。</w:t>
      </w:r>
    </w:p>
    <w:p w14:paraId="583E2FA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·溢油在风蚀过程中粘度会显著上升，严重乳化的原油粘度甚至高达130，000-170，000 cst，影响收油机的有效性。</w:t>
      </w:r>
    </w:p>
    <w:p w14:paraId="5020BDC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·对于高倾点的原油和沥青球，可采取油拖网作为撇油装置替代一般收油机。</w:t>
      </w:r>
    </w:p>
    <w:p w14:paraId="0F41CFF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油膜厚度是决定撇油系统有效性的另一重要因素，只要油膜有足够的厚度，则几乎任何一种撇油装置都是有效的，而当积聚的溢油减少时，收油机的回收效率都会下降，简单的撇油装置（如抽吸型收油机）受油膜厚度影响最为明显。</w:t>
      </w:r>
    </w:p>
    <w:p w14:paraId="6108A9A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4）在收油机工作环境中如果有杂物，则可能使收油机的运行发生障碍，某些收油机如亲油型收油机，对杂物很敏感。</w:t>
      </w:r>
    </w:p>
    <w:p w14:paraId="1BED844E">
      <w:pPr>
        <w:spacing w:line="500" w:lineRule="exact"/>
        <w:ind w:firstLine="640" w:firstLineChars="200"/>
        <w:rPr>
          <w:rFonts w:hint="eastAsia"/>
        </w:rPr>
      </w:pPr>
      <w:r>
        <w:rPr>
          <w:rFonts w:hint="eastAsia"/>
        </w:rPr>
        <w:t xml:space="preserve"> </w:t>
      </w:r>
      <w:bookmarkStart w:id="126" w:name="_Toc6840"/>
      <w:r>
        <w:rPr>
          <w:rFonts w:hint="eastAsia"/>
        </w:rPr>
        <w:t>5.3.2化学分解</w:t>
      </w:r>
      <w:bookmarkEnd w:id="126"/>
    </w:p>
    <w:p w14:paraId="765C8D9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主要是使用溢油分散剂。它可以减少油水界面的表面张力，使溢油分散成细小的油滴，并在水中被稀释和被微生物降解。溢油分散剂对环境也有影响，大量使用会造成二次污染，因此国家环保部门对它的用量有严格限制。溢油分散剂作为最后的手段，只有当在溢油预计漂向岸边或环境敏感水域。由于天气和海况的原因，机械回收失败或机械回收完毕后还有剩余残油的情况下才使用。且首先应征得国家有关部门的批准。</w:t>
      </w:r>
    </w:p>
    <w:p w14:paraId="6EC83497">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化学溢油分散剂要注意以下几个方面：</w:t>
      </w:r>
    </w:p>
    <w:p w14:paraId="037E0A02">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1）任何情况下使用化学溢油分散剂，均应经溢油应急指挥部批准。并且喷洒化学溢油分散剂最好使用专用的喷洒设备，如无专用喷洒设备，也可使用船上的消防泵代替。</w:t>
      </w:r>
    </w:p>
    <w:p w14:paraId="3179307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2）决定是否使用化学溢油分散剂，应考虑下列因素：</w:t>
      </w:r>
    </w:p>
    <w:p w14:paraId="6D46389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·在已经发生或可能发生有火灾、爆炸等危险，以及危及人命或设施安全的不可抗拒的情况下。</w:t>
      </w:r>
    </w:p>
    <w:p w14:paraId="3AEC1DD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·对于物理、机械的方法难于处理的溢油，采取化学溢油分散剂促使其向水体分散所造成总的损害比把溢油留在水面上不处理的损害小。</w:t>
      </w:r>
    </w:p>
    <w:p w14:paraId="797F764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·溢油可能向水产养殖区、环境敏感区移动，威胁着商业利益或对环境有损害，并且在到达上述区域之前不能通过自然蒸发，或风浪流的作用而自行消散，也不能用物理方法围控和处理。</w:t>
      </w:r>
    </w:p>
    <w:p w14:paraId="4ABB422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·溢油的类型及水温适合于化学分散（一般来说，水温需高于拟处理油的倾点5℃以上），气象等条件宜于分散溢油扩散。</w:t>
      </w:r>
    </w:p>
    <w:p w14:paraId="4E0FC39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3）限制使用化学溢油分散剂的原则下述情况不宜使用化学溢油分散剂，但发生或可能发生有火灾、爆炸等危险，以及危及人命或设施安全的不可抗拒的情况除外：</w:t>
      </w:r>
    </w:p>
    <w:p w14:paraId="0D5C636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·溢油为汽油、煤油等易挥发的轻质油，或呈现彩虹特征的薄油膜。</w:t>
      </w:r>
    </w:p>
    <w:p w14:paraId="2F5AA74C">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·溢油为难于化学分散的油，例如有高蜡含量、高倾点的大庆原油、华北原油等。</w:t>
      </w:r>
    </w:p>
    <w:p w14:paraId="291706A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·溢出油为在环境水温下不呈流态或经过几天风蚀后形成有清晰边缘的“巧克力奶油冻”样的厚碎片。</w:t>
      </w:r>
    </w:p>
    <w:p w14:paraId="0DD8367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·溢油发生在封闭的浅水或平静的水域。</w:t>
      </w:r>
    </w:p>
    <w:p w14:paraId="5991EF7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·溢油发生在环境敏感区或电厂冷却系统的吸水口。</w:t>
      </w:r>
    </w:p>
    <w:p w14:paraId="6F0F4D8F">
      <w:pPr>
        <w:spacing w:line="500" w:lineRule="exact"/>
        <w:ind w:firstLine="640" w:firstLineChars="200"/>
        <w:rPr>
          <w:rFonts w:hint="eastAsia"/>
        </w:rPr>
      </w:pPr>
      <w:bookmarkStart w:id="127" w:name="_Toc15171"/>
      <w:r>
        <w:rPr>
          <w:rFonts w:hint="eastAsia"/>
        </w:rPr>
        <w:t>5.3.3吸附材料</w:t>
      </w:r>
      <w:bookmarkEnd w:id="127"/>
    </w:p>
    <w:p w14:paraId="5C4125F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对于积液很浅以及低地的低含油量污染区，以及如潮间带、沼泽地和泥沼地中的贴地污油，可以用如稻草席之类的吸附物加以有效回收。这类用吸附材料作成的编织物，还可用来保护潮间带的海滩，免受溢油的污染。在一定条件下，如稻草席之类的吸附物也可用于水面吸附漂浮的溢油。</w:t>
      </w:r>
    </w:p>
    <w:p w14:paraId="456E2DB2">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除天然吸附材料之外，还有多种人工合成材料。它们多用聚乙烯、聚丙烯、聚氨脂等制成，可以作成条状、巻状、膨松状以及块状等多种形式，以适应不同的清污作业需要。还可利用毡状吸附材料清除地面污油，用拖网和块状吸附材料清除水面溢油等。目前使用的以用聚丙烯熔喷纤维制成的为主。</w:t>
      </w:r>
    </w:p>
    <w:p w14:paraId="2BE9253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可利用人工方式对吸油后的吸油毡进行回收。</w:t>
      </w:r>
    </w:p>
    <w:p w14:paraId="5857461C">
      <w:pPr>
        <w:spacing w:line="500" w:lineRule="exact"/>
        <w:ind w:firstLine="640" w:firstLineChars="200"/>
        <w:rPr>
          <w:rFonts w:hint="eastAsia"/>
        </w:rPr>
      </w:pPr>
      <w:bookmarkStart w:id="128" w:name="_Toc15983"/>
      <w:r>
        <w:rPr>
          <w:rFonts w:hint="eastAsia"/>
        </w:rPr>
        <w:t>5.3.4溢油燃烧处理</w:t>
      </w:r>
      <w:bookmarkEnd w:id="128"/>
    </w:p>
    <w:p w14:paraId="1DE3F2F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在开阔水域或冰雪层上，在难以回收处理而又允许燃烧处理时，烧掉溢油免其污染重要的水域也是可行的。但是并非都很易引燃，引燃技术性很强。通常引燃要有电的、导火索的延时装置，以便人员撤离，也有的是空中点火后抛下引燃，以确保安全。引燃物可以采用气体、液体和固化的高发热量的燃料。</w:t>
      </w:r>
      <w:bookmarkStart w:id="129" w:name="_Toc298434808"/>
      <w:bookmarkStart w:id="130" w:name="_Toc298434475"/>
      <w:bookmarkStart w:id="131" w:name="_Toc297910044"/>
    </w:p>
    <w:p w14:paraId="53F4FCF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现场焚烧现场焚烧可在短时间内烧掉水面大量的溢油，作业简单，所需后勤支援少。但应做到注意避免以下问题：</w:t>
      </w:r>
    </w:p>
    <w:p w14:paraId="47257A4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·焚烧地点应远离码头、岸边设施、环境敏感区，且应防止诱发二次燃烧。</w:t>
      </w:r>
    </w:p>
    <w:p w14:paraId="05F6B12E">
      <w:pPr>
        <w:pStyle w:val="10"/>
        <w:snapToGrid w:val="0"/>
        <w:spacing w:line="500" w:lineRule="exact"/>
        <w:ind w:firstLine="640" w:firstLineChars="200"/>
        <w:jc w:val="both"/>
        <w:rPr>
          <w:rFonts w:hint="eastAsia" w:ascii="仿宋" w:hAnsi="仿宋" w:eastAsia="仿宋" w:cs="仿宋"/>
          <w:sz w:val="32"/>
          <w:szCs w:val="32"/>
        </w:rPr>
      </w:pPr>
      <w:r>
        <w:rPr>
          <w:rFonts w:hint="eastAsia" w:ascii="仿宋" w:hAnsi="仿宋" w:eastAsia="仿宋" w:cs="仿宋"/>
          <w:color w:val="auto"/>
          <w:sz w:val="32"/>
          <w:szCs w:val="32"/>
          <w:lang w:bidi="ar"/>
        </w:rPr>
        <w:t>·如采取现场焚烧，则要在溢出后1-2天内（油包水乳状液中含水量不小于30%），且风、浪较小时进行。</w:t>
      </w:r>
    </w:p>
    <w:p w14:paraId="638C5BE0">
      <w:pPr>
        <w:pStyle w:val="3"/>
        <w:spacing w:line="500" w:lineRule="exact"/>
        <w:ind w:firstLine="641" w:firstLineChars="200"/>
        <w:jc w:val="both"/>
        <w:rPr>
          <w:rFonts w:hint="eastAsia" w:ascii="仿宋" w:hAnsi="仿宋" w:eastAsia="仿宋" w:cs="仿宋"/>
          <w:b/>
          <w:bCs w:val="0"/>
          <w:color w:val="auto"/>
          <w:szCs w:val="32"/>
          <w:lang w:val="en-US" w:eastAsia="zh-CN" w:bidi="ar"/>
        </w:rPr>
      </w:pPr>
      <w:bookmarkStart w:id="132" w:name="_Toc20470"/>
      <w:bookmarkStart w:id="133" w:name="_Toc32186"/>
      <w:bookmarkStart w:id="134" w:name="_Toc25333"/>
      <w:bookmarkStart w:id="135" w:name="_Toc14371"/>
      <w:r>
        <w:rPr>
          <w:rFonts w:hint="eastAsia"/>
          <w:b/>
          <w:bCs w:val="0"/>
          <w:lang w:val="en-US" w:eastAsia="zh-CN"/>
        </w:rPr>
        <w:t>6.岸线清污方案</w:t>
      </w:r>
      <w:bookmarkEnd w:id="129"/>
      <w:bookmarkEnd w:id="130"/>
      <w:bookmarkEnd w:id="131"/>
      <w:bookmarkEnd w:id="132"/>
      <w:bookmarkEnd w:id="133"/>
      <w:bookmarkEnd w:id="134"/>
      <w:bookmarkEnd w:id="135"/>
    </w:p>
    <w:p w14:paraId="673848DF">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岸线清除岸线溢油的清除一般可直接进行，正常情况下不需要专用设备。根据油品的种类和数量、污染的地理范围、受到影响的岸线长度和自然状况制定岸线清除方案。岸线清除通常有以下三个阶段：</w:t>
      </w:r>
    </w:p>
    <w:p w14:paraId="07478DF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1）清除重污染物及浮油。</w:t>
      </w:r>
    </w:p>
    <w:p w14:paraId="7031A612">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2）清除中度污染物、搁浅于岸线的油及被油污染的岸边泥沙。</w:t>
      </w:r>
    </w:p>
    <w:p w14:paraId="47B97CA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3）清除轻度污染岸线污染物及油迹。</w:t>
      </w:r>
    </w:p>
    <w:p w14:paraId="6B493E3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大区域的污染清除的方法由岸线类型决定，漂到岸边的浮油应尽快地围拢与收集，以防止流到未被污染的岸线。可使用泵、真空罐车或油罐拖车收集浮油，若车辆无法到达，可使用桶、勺、或其他容器捞起溢油，再将装油的容器用船运走。此外，还可使用适量的吸油材料。待流动的溢油清除后，对于沙滩可用铲车收集被油污染的砂石；对其他类型的岸线，通常可用高压水或分散剂清除污油，用凉水或热水冲洗取决于设备性能及油的种类，一般情况下水温大约加热到60℃并以10-20升/分钟的水流喷射冲洗，同时必须将冲洗下来的油污水收集起来。</w:t>
      </w:r>
    </w:p>
    <w:p w14:paraId="5685505A">
      <w:pPr>
        <w:pStyle w:val="10"/>
        <w:widowControl/>
        <w:autoSpaceDE/>
        <w:autoSpaceDN/>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岸线大致包括岩石和人造结构圆石、小鹅卵石、鹅卵石、沙滩和有沉积物的岸线几类，有些岸线在特定的时间内野生物会在该区域觅食或在该区域筑巢孵卵，或聚集着成千上万的迁息鸟类；有些作为浴场、旅游区等有很高的经济价值和社会价值，因此进行岸线溢油的清除应对多方面的因素进行考虑。</w:t>
      </w:r>
      <w:bookmarkStart w:id="136" w:name="_Toc298434476"/>
      <w:bookmarkStart w:id="137" w:name="_Toc297910045"/>
      <w:bookmarkStart w:id="138" w:name="_Toc298434809"/>
    </w:p>
    <w:p w14:paraId="115DF3F9">
      <w:pPr>
        <w:spacing w:line="500" w:lineRule="exact"/>
        <w:ind w:firstLine="640" w:firstLineChars="200"/>
        <w:rPr>
          <w:rFonts w:hint="eastAsia"/>
        </w:rPr>
      </w:pPr>
      <w:r>
        <w:rPr>
          <w:rFonts w:hint="eastAsia"/>
        </w:rPr>
        <w:t xml:space="preserve"> </w:t>
      </w:r>
      <w:bookmarkStart w:id="139" w:name="_Toc31906"/>
      <w:bookmarkStart w:id="140" w:name="_Toc17624"/>
      <w:bookmarkStart w:id="141" w:name="_Toc5618"/>
      <w:r>
        <w:rPr>
          <w:rFonts w:hint="eastAsia"/>
        </w:rPr>
        <w:t>6.1岸线溢油清除步骤</w:t>
      </w:r>
      <w:bookmarkEnd w:id="136"/>
      <w:bookmarkEnd w:id="137"/>
      <w:bookmarkEnd w:id="138"/>
      <w:bookmarkEnd w:id="139"/>
      <w:bookmarkEnd w:id="140"/>
      <w:bookmarkEnd w:id="141"/>
    </w:p>
    <w:p w14:paraId="61D9ACF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典型的岸线清除分三个阶段进行：清除大片溢油、清除滩涂溢油、最后清洁。</w:t>
      </w:r>
    </w:p>
    <w:p w14:paraId="69C6A531">
      <w:pPr>
        <w:spacing w:line="500" w:lineRule="exact"/>
        <w:ind w:firstLine="640" w:firstLineChars="200"/>
        <w:rPr>
          <w:rFonts w:hint="eastAsia"/>
        </w:rPr>
      </w:pPr>
      <w:bookmarkStart w:id="142" w:name="_Toc23357"/>
      <w:r>
        <w:rPr>
          <w:rFonts w:hint="eastAsia"/>
        </w:rPr>
        <w:t>6.1.1清除大片溢油</w:t>
      </w:r>
      <w:bookmarkEnd w:id="142"/>
    </w:p>
    <w:p w14:paraId="301F03B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回收岸线水边的漂浮溢油和清除岸线上厚的油层。清除作业需要使用收油机、泵、真空罐车、铁锹和桶等机械设备和工具。选择使用真空罐车吸取岸线溢油是最适宜的方法。</w:t>
      </w:r>
    </w:p>
    <w:p w14:paraId="3290E6A7">
      <w:pPr>
        <w:spacing w:line="500" w:lineRule="exact"/>
        <w:ind w:firstLine="640" w:firstLineChars="200"/>
        <w:rPr>
          <w:rFonts w:hint="eastAsia"/>
        </w:rPr>
      </w:pPr>
      <w:bookmarkStart w:id="143" w:name="_Toc28870"/>
      <w:r>
        <w:rPr>
          <w:rFonts w:hint="eastAsia"/>
        </w:rPr>
        <w:t>6.1.2清除滩涂溢油</w:t>
      </w:r>
      <w:bookmarkEnd w:id="143"/>
    </w:p>
    <w:p w14:paraId="7F4A097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清除渗入沙滩的溢油和被溢油污染的沙滩。如果溢油量很少或溢油在岸线上已有一段时间并且已经渗透到沙滩上层，清除操作经常从这时开始，需要投入收油机、泵、真空罐车和桶等设备。</w:t>
      </w:r>
    </w:p>
    <w:p w14:paraId="1D163529">
      <w:pPr>
        <w:spacing w:line="500" w:lineRule="exact"/>
        <w:ind w:firstLine="640" w:firstLineChars="200"/>
        <w:rPr>
          <w:rFonts w:hint="eastAsia"/>
        </w:rPr>
      </w:pPr>
      <w:bookmarkStart w:id="144" w:name="_Toc16223"/>
      <w:r>
        <w:rPr>
          <w:rFonts w:hint="eastAsia"/>
        </w:rPr>
        <w:t>6.1.3最后清洁</w:t>
      </w:r>
      <w:bookmarkEnd w:id="144"/>
    </w:p>
    <w:p w14:paraId="07BB927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将残存的各种油污比较彻底地清除掉，这一阶段的作业需要使用吸油材料，如果当地主管部门许可，也可使用分散剂。</w:t>
      </w:r>
      <w:bookmarkStart w:id="145" w:name="_Toc297910046"/>
      <w:bookmarkStart w:id="146" w:name="_Toc298434477"/>
      <w:bookmarkStart w:id="147" w:name="_Toc298434810"/>
    </w:p>
    <w:p w14:paraId="618035EC">
      <w:pPr>
        <w:spacing w:line="500" w:lineRule="exact"/>
        <w:ind w:firstLine="640" w:firstLineChars="200"/>
        <w:rPr>
          <w:rFonts w:hint="eastAsia"/>
        </w:rPr>
      </w:pPr>
      <w:bookmarkStart w:id="148" w:name="_Toc10149"/>
      <w:bookmarkStart w:id="149" w:name="_Toc4085"/>
      <w:bookmarkStart w:id="150" w:name="_Toc21150"/>
      <w:r>
        <w:rPr>
          <w:rFonts w:hint="eastAsia"/>
        </w:rPr>
        <w:t>6.2岸线溢油清除技术</w:t>
      </w:r>
      <w:bookmarkEnd w:id="145"/>
      <w:bookmarkEnd w:id="146"/>
      <w:bookmarkEnd w:id="147"/>
      <w:bookmarkEnd w:id="148"/>
      <w:bookmarkEnd w:id="149"/>
      <w:bookmarkEnd w:id="150"/>
    </w:p>
    <w:p w14:paraId="514F928C">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岸线溢油的清除主要使用泵、机械设备、人工回收或岸线清洁机等特殊设备，有时也可使岸线自然恢复。</w:t>
      </w:r>
    </w:p>
    <w:p w14:paraId="4B3173BD">
      <w:pPr>
        <w:spacing w:line="500" w:lineRule="exact"/>
        <w:ind w:firstLine="640" w:firstLineChars="200"/>
        <w:rPr>
          <w:rFonts w:hint="eastAsia"/>
        </w:rPr>
      </w:pPr>
      <w:bookmarkStart w:id="151" w:name="_Toc11663"/>
      <w:r>
        <w:rPr>
          <w:rFonts w:hint="eastAsia"/>
        </w:rPr>
        <w:t>6.2.1利用收油机回收</w:t>
      </w:r>
      <w:bookmarkEnd w:id="151"/>
    </w:p>
    <w:p w14:paraId="6413E60C">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利用泵/收油机回收岸线上的溢油是最简便的方法。由于岸线上的溢油含有一些沙粒和垃圾，应使用对垃圾沙粒不敏感的真空泵、真空罐车或真空式收油机回收溢油，并将溢油泵送到储油设施。</w:t>
      </w:r>
    </w:p>
    <w:p w14:paraId="23405F19">
      <w:pPr>
        <w:spacing w:line="500" w:lineRule="exact"/>
        <w:ind w:firstLine="640" w:firstLineChars="200"/>
        <w:rPr>
          <w:rFonts w:hint="eastAsia"/>
        </w:rPr>
      </w:pPr>
      <w:bookmarkStart w:id="152" w:name="_Toc28371"/>
      <w:r>
        <w:rPr>
          <w:rFonts w:hint="eastAsia"/>
        </w:rPr>
        <w:t>6.2.2使用推土机等机械设备回收溢油和油污染的沙子</w:t>
      </w:r>
      <w:bookmarkEnd w:id="152"/>
    </w:p>
    <w:p w14:paraId="1CB1A826">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使用平地机、推土机、铲土机和装载机等机械设备回收溢油和油污染的沙子。这种回收技术适用于沙滩渗透程度和敏感程度低的岸线。作业时，机械设备应沿着岸线方向自岸上向水边逐步工作，将受油污染的沙子集中起来统一处理。使用附着机粘附溢油，用推土机将溢油污染的沙层推到一起，还可利用扶梯式挖斗机清除溢油。这些设备适用于回收刚着岸的油和重油。</w:t>
      </w:r>
    </w:p>
    <w:p w14:paraId="6F6DE4A0">
      <w:pPr>
        <w:spacing w:line="500" w:lineRule="exact"/>
        <w:ind w:firstLine="640" w:firstLineChars="200"/>
        <w:rPr>
          <w:rFonts w:hint="eastAsia"/>
        </w:rPr>
      </w:pPr>
      <w:bookmarkStart w:id="153" w:name="_Toc17520"/>
      <w:r>
        <w:rPr>
          <w:rFonts w:hint="eastAsia"/>
        </w:rPr>
        <w:t>6.2.3人工清除溢油</w:t>
      </w:r>
      <w:bookmarkEnd w:id="153"/>
    </w:p>
    <w:p w14:paraId="42776AD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人工使用铲、镐、筐和塑料袋清除溢油，适用于任何类型的岸线，特别适用于敏感性高的岸线和机械设备不能进入的岸线。虽然这种清除方式效率低，但清洁后的岸线资源恢复快。</w:t>
      </w:r>
    </w:p>
    <w:p w14:paraId="0C9469A2">
      <w:pPr>
        <w:spacing w:line="500" w:lineRule="exact"/>
        <w:ind w:firstLine="640" w:firstLineChars="200"/>
        <w:rPr>
          <w:rFonts w:hint="eastAsia"/>
        </w:rPr>
      </w:pPr>
      <w:bookmarkStart w:id="154" w:name="_Toc11"/>
      <w:r>
        <w:rPr>
          <w:rFonts w:hint="eastAsia"/>
        </w:rPr>
        <w:t>6.2.4冲刷</w:t>
      </w:r>
      <w:bookmarkEnd w:id="154"/>
    </w:p>
    <w:p w14:paraId="023DA00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冲刷污染岸线的表面。这种措施适用于清洁污染轻微的大圆石、鹅卵石、沙砾、码头、岸壁等类型的岸线。</w:t>
      </w:r>
    </w:p>
    <w:p w14:paraId="76DCB24E">
      <w:pPr>
        <w:spacing w:line="500" w:lineRule="exact"/>
        <w:ind w:firstLine="640" w:firstLineChars="200"/>
        <w:rPr>
          <w:rFonts w:hint="eastAsia"/>
        </w:rPr>
      </w:pPr>
      <w:bookmarkStart w:id="155" w:name="_Toc15831"/>
      <w:r>
        <w:rPr>
          <w:rFonts w:hint="eastAsia"/>
        </w:rPr>
        <w:t>6.2.5自然恢复</w:t>
      </w:r>
      <w:bookmarkEnd w:id="155"/>
    </w:p>
    <w:p w14:paraId="185B902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适用于敏感程度比较高和进入非常困难的岸线或偏远地区岸线。有时进行岸线清除会造成比不清除更大的损害。若这些岸线经常暴露在汹涌的波浪中，自然清洁则更加快速有效。对采取自然恢复的岸线应进行定期监视监测，确定自然恢复程度。</w:t>
      </w:r>
    </w:p>
    <w:p w14:paraId="5FF14BDD">
      <w:pPr>
        <w:spacing w:line="500" w:lineRule="exact"/>
        <w:ind w:firstLine="640" w:firstLineChars="200"/>
        <w:rPr>
          <w:rFonts w:hint="eastAsia"/>
        </w:rPr>
      </w:pPr>
      <w:bookmarkStart w:id="156" w:name="_Toc200"/>
      <w:r>
        <w:rPr>
          <w:rFonts w:hint="eastAsia"/>
        </w:rPr>
        <w:t>6.2.6使用岸线清洁机清洁岸线</w:t>
      </w:r>
      <w:bookmarkEnd w:id="156"/>
    </w:p>
    <w:p w14:paraId="025CCCD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1）岸线清洁有时需要使用沙滩清洁机，沙滩清洁机是通过筛子回收沙滩油球块和污染的石块的机械装置。使用时，应沿着岸线方向自岸上向水边一排一排逐步进行，最后清洁到水边。设备运行速度3~10km/h，每小时可清洁5000~1500m2。</w:t>
      </w:r>
    </w:p>
    <w:p w14:paraId="76C3A06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2）使用低压清洁装置清洁岸线溢油。低压清洁装置是用周围水源来冲洗岸线油污，这种装置适用于清洁高敏感性的岸线，并用围油栏和收油机配合作业。操作时应先从污染严重的区域开始，最后清洁到水边。</w:t>
      </w:r>
    </w:p>
    <w:p w14:paraId="215FFEF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3）使用高压热水清洁装置清洁岸线溢油。高压热水清洁装置是用来从坚硬表面上清洗风化的溢油的装置。使用装置时，应提供足够的淡水，不能使用海水。清洁作业时应自上而下进行，并配合围油栏和收油机一起工作。这种清洁方法容易损害海洋表面的微生物。</w:t>
      </w:r>
    </w:p>
    <w:p w14:paraId="354CCCBC">
      <w:pPr>
        <w:spacing w:line="500" w:lineRule="exact"/>
        <w:ind w:firstLine="640" w:firstLineChars="200"/>
        <w:rPr>
          <w:rFonts w:hint="eastAsia"/>
        </w:rPr>
      </w:pPr>
      <w:bookmarkStart w:id="157" w:name="_Toc6242"/>
      <w:r>
        <w:rPr>
          <w:rFonts w:hint="eastAsia"/>
        </w:rPr>
        <w:t>6.2.7喷洒分散剂</w:t>
      </w:r>
      <w:bookmarkEnd w:id="157"/>
    </w:p>
    <w:p w14:paraId="09D23FFA">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清除岸线表面余油。在岸线上使用分散剂需要得到许可，喷洒后应用海水冲洗或等待潮汐的冲刷。使用吸附材料吸附被冲入水边 的溢油，以避免进一步污染岸线。</w:t>
      </w:r>
    </w:p>
    <w:p w14:paraId="58554F35">
      <w:pPr>
        <w:spacing w:line="500" w:lineRule="exact"/>
        <w:ind w:firstLine="640" w:firstLineChars="200"/>
        <w:rPr>
          <w:rFonts w:hint="eastAsia"/>
        </w:rPr>
      </w:pPr>
      <w:bookmarkStart w:id="158" w:name="_Toc28673"/>
      <w:r>
        <w:rPr>
          <w:rFonts w:hint="eastAsia"/>
        </w:rPr>
        <w:t>6.6.8犁耙岸滩</w:t>
      </w:r>
      <w:bookmarkEnd w:id="158"/>
    </w:p>
    <w:p w14:paraId="508716A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犁耙岸滩这种技术适用于轻微污染。没有旅游娱乐价值的岸线，将沙砾犁耙起来使其充分通风，加快溢油风化。岸线清除是伴随着开阔水域发生溢油的处理一起进行的，不属于应急反应，这种作业可能持续几周时间或更长。清除作业时可能会发生意外情况 ，例如有大量迁徙的动物到来，或旅游季节即将开始，或正处于旅游旺季。</w:t>
      </w:r>
      <w:bookmarkStart w:id="159" w:name="_Toc298434812"/>
      <w:bookmarkStart w:id="160" w:name="_Toc298434479"/>
      <w:bookmarkStart w:id="161" w:name="_Toc297910048"/>
    </w:p>
    <w:p w14:paraId="0DAA1462">
      <w:pPr>
        <w:pStyle w:val="3"/>
        <w:spacing w:line="500" w:lineRule="exact"/>
        <w:ind w:firstLine="641" w:firstLineChars="200"/>
        <w:jc w:val="both"/>
        <w:rPr>
          <w:rFonts w:hint="eastAsia" w:ascii="仿宋" w:hAnsi="仿宋" w:eastAsia="仿宋" w:cs="仿宋"/>
          <w:b/>
          <w:bCs w:val="0"/>
          <w:color w:val="auto"/>
          <w:szCs w:val="32"/>
          <w:lang w:val="en-US" w:eastAsia="zh-CN" w:bidi="ar"/>
        </w:rPr>
      </w:pPr>
      <w:bookmarkStart w:id="162" w:name="_Toc17998"/>
      <w:bookmarkStart w:id="163" w:name="_Toc3792"/>
      <w:bookmarkStart w:id="164" w:name="_Toc14684"/>
      <w:bookmarkStart w:id="165" w:name="_Toc17064"/>
      <w:r>
        <w:rPr>
          <w:rFonts w:hint="eastAsia"/>
          <w:b/>
          <w:bCs w:val="0"/>
          <w:lang w:val="en-US" w:eastAsia="zh-CN"/>
        </w:rPr>
        <w:t>7.污染清除作业安全方案</w:t>
      </w:r>
      <w:bookmarkEnd w:id="159"/>
      <w:bookmarkEnd w:id="160"/>
      <w:bookmarkEnd w:id="161"/>
      <w:bookmarkEnd w:id="162"/>
      <w:bookmarkEnd w:id="163"/>
      <w:bookmarkEnd w:id="164"/>
      <w:bookmarkEnd w:id="165"/>
      <w:bookmarkStart w:id="166" w:name="_Toc298434480"/>
      <w:bookmarkStart w:id="167" w:name="_Toc297910049"/>
      <w:bookmarkStart w:id="168" w:name="_Toc298434813"/>
    </w:p>
    <w:p w14:paraId="0CEF39EB">
      <w:pPr>
        <w:spacing w:line="500" w:lineRule="exact"/>
        <w:ind w:firstLine="640" w:firstLineChars="200"/>
        <w:rPr>
          <w:rFonts w:hint="eastAsia"/>
        </w:rPr>
      </w:pPr>
      <w:bookmarkStart w:id="169" w:name="_Toc31354"/>
      <w:bookmarkStart w:id="170" w:name="_Toc32395"/>
      <w:bookmarkStart w:id="171" w:name="_Toc26784"/>
      <w:r>
        <w:rPr>
          <w:rFonts w:hint="eastAsia"/>
        </w:rPr>
        <w:t>7.1布放充气式围油栏</w:t>
      </w:r>
      <w:bookmarkEnd w:id="166"/>
      <w:bookmarkEnd w:id="167"/>
      <w:bookmarkEnd w:id="168"/>
      <w:bookmarkEnd w:id="169"/>
      <w:bookmarkEnd w:id="170"/>
      <w:bookmarkEnd w:id="171"/>
    </w:p>
    <w:p w14:paraId="7A00313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7.1.1吸气机的放置若靠船尾过近，会有危险，易使围油栏在收放过程中因左右摇摆而使充气机操作员落水。充气机操作人员启动机器后要离开，站在安全处看守待命；</w:t>
      </w:r>
    </w:p>
    <w:p w14:paraId="459B1D7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7.1.2在充气时，由于充气人员随围油栏的下行而移动，在移动过程中会碰到脚下的固定钢丝，易摔倒；充气人员要看清脚底，动作迅速；</w:t>
      </w:r>
    </w:p>
    <w:p w14:paraId="7628572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7.1.3充气时，若围油栏施放过快，充气人员又因只顾充气，不看前方而随之落水。应使围油栏施放人员时刻注意，配合充气人员。尽量在离船尾五米处充气结束；</w:t>
      </w:r>
    </w:p>
    <w:p w14:paraId="79B4F61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7.1.4施放固体式围油栏时船上空间较为拥挤，又有多量缆绳，操作人员有可能被绳索缠住落海。投放时除投锚人员外其他人都应离开危险区域，投锚人员要注意脚底，切忌站在绳圈内；</w:t>
      </w:r>
    </w:p>
    <w:p w14:paraId="07CDD05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7.1.5风浪较大时，人员容易晕船呕吐，可能失足落水。因此大于6级风时不能作业。作业人员应互相看护。必要时拴保险绳；</w:t>
      </w:r>
    </w:p>
    <w:p w14:paraId="739C246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7.1.6人员监督不到位，导致意外事故的发生。要加强监督人员责任心、认真履行职责；</w:t>
      </w:r>
    </w:p>
    <w:p w14:paraId="432AE215">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7.1.7管理上船舶配合不好，造成围油栏撕裂。要统一指挥，加强配合。</w:t>
      </w:r>
      <w:bookmarkStart w:id="172" w:name="_Toc298434814"/>
      <w:bookmarkStart w:id="173" w:name="_Toc298434481"/>
      <w:bookmarkStart w:id="174" w:name="_Toc297910050"/>
    </w:p>
    <w:p w14:paraId="2EFF2223">
      <w:pPr>
        <w:spacing w:line="500" w:lineRule="exact"/>
        <w:ind w:firstLine="640" w:firstLineChars="200"/>
        <w:rPr>
          <w:rFonts w:hint="eastAsia"/>
        </w:rPr>
      </w:pPr>
      <w:bookmarkStart w:id="175" w:name="_Toc13645"/>
      <w:bookmarkStart w:id="176" w:name="_Toc21332"/>
      <w:bookmarkStart w:id="177" w:name="_Toc24950"/>
      <w:r>
        <w:rPr>
          <w:rFonts w:hint="eastAsia"/>
        </w:rPr>
        <w:t>7.2船载收油机的操作</w:t>
      </w:r>
      <w:bookmarkEnd w:id="172"/>
      <w:bookmarkEnd w:id="173"/>
      <w:bookmarkEnd w:id="174"/>
      <w:bookmarkEnd w:id="175"/>
      <w:bookmarkEnd w:id="176"/>
      <w:bookmarkEnd w:id="177"/>
    </w:p>
    <w:p w14:paraId="4E3D3C9E">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7.2.1巡查液压动力站有无异响、渗漏，压力表是否正常，各部件是否松动。</w:t>
      </w:r>
    </w:p>
    <w:p w14:paraId="0D2C2F74">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7.2.2垃圾回收带及浮油回收带升降时，禁止超过限位开关。</w:t>
      </w:r>
    </w:p>
    <w:p w14:paraId="27597771">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7.2.3如垃圾回收带卡死，立即停机，清理垃圾回收带的杂物。</w:t>
      </w:r>
    </w:p>
    <w:p w14:paraId="14155AD9">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7.2.4巡查抽油泵有无异响，发现异常及时停机检查。</w:t>
      </w:r>
    </w:p>
    <w:p w14:paraId="76C45FE8">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7.2.5如动力站冷却水供应不足，会造成设备过热甚至烧毁，发生事故。操控台人员在启动设备前要确认冷却水泵已经正常运转，在操作中经常检查液压油温是否过高，一旦发现立即停机检查。</w:t>
      </w:r>
      <w:bookmarkStart w:id="178" w:name="_Toc298434482"/>
      <w:bookmarkStart w:id="179" w:name="_Toc297910051"/>
      <w:bookmarkStart w:id="180" w:name="_Toc298434815"/>
    </w:p>
    <w:p w14:paraId="741315DC">
      <w:pPr>
        <w:spacing w:line="500" w:lineRule="exact"/>
        <w:ind w:firstLine="640" w:firstLineChars="200"/>
        <w:rPr>
          <w:rFonts w:hint="eastAsia"/>
        </w:rPr>
      </w:pPr>
      <w:bookmarkStart w:id="181" w:name="_Toc28934"/>
      <w:bookmarkStart w:id="182" w:name="_Toc4027"/>
      <w:bookmarkStart w:id="183" w:name="_Toc18075"/>
      <w:r>
        <w:rPr>
          <w:rFonts w:hint="eastAsia"/>
        </w:rPr>
        <w:t>7.3吊放设备</w:t>
      </w:r>
      <w:bookmarkEnd w:id="178"/>
      <w:bookmarkEnd w:id="179"/>
      <w:bookmarkEnd w:id="180"/>
      <w:bookmarkEnd w:id="181"/>
      <w:bookmarkEnd w:id="182"/>
      <w:bookmarkEnd w:id="183"/>
    </w:p>
    <w:p w14:paraId="5FF6BBBD">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负重钢丝绳、索具断开，吊重失衡，脱落，砸伤附近人员或设备。起吊前，要慎重选择和检查索具，务使索具超过本身负荷，严禁起吊物下站人，不要使重物从员工或重要设施上方通过。</w:t>
      </w:r>
      <w:bookmarkStart w:id="184" w:name="_Toc298434816"/>
      <w:bookmarkStart w:id="185" w:name="_Toc298434483"/>
      <w:bookmarkStart w:id="186" w:name="_Toc297910052"/>
    </w:p>
    <w:p w14:paraId="09B0A1B9">
      <w:pPr>
        <w:spacing w:line="500" w:lineRule="exact"/>
        <w:ind w:firstLine="640" w:firstLineChars="200"/>
        <w:rPr>
          <w:rFonts w:hint="eastAsia"/>
        </w:rPr>
      </w:pPr>
      <w:bookmarkStart w:id="187" w:name="_Toc1292"/>
      <w:bookmarkStart w:id="188" w:name="_Toc30255"/>
      <w:bookmarkStart w:id="189" w:name="_Toc14481"/>
      <w:r>
        <w:rPr>
          <w:rFonts w:hint="eastAsia"/>
        </w:rPr>
        <w:t>7.4喷洒</w:t>
      </w:r>
      <w:bookmarkEnd w:id="184"/>
      <w:bookmarkEnd w:id="185"/>
      <w:bookmarkEnd w:id="186"/>
      <w:r>
        <w:rPr>
          <w:rFonts w:hint="eastAsia"/>
        </w:rPr>
        <w:t>溢油分散剂</w:t>
      </w:r>
      <w:bookmarkEnd w:id="187"/>
      <w:bookmarkEnd w:id="188"/>
      <w:bookmarkEnd w:id="189"/>
    </w:p>
    <w:p w14:paraId="777B0CAB">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溢油分散剂落到甲板上后，会使甲板变得极滑，易使人员滑倒落水。喷洒溢油分散剂时必须穿防滑鞋，溢油分散剂洒落到甲板上后应及时擦干。</w:t>
      </w:r>
      <w:bookmarkStart w:id="190" w:name="_Toc298434817"/>
      <w:bookmarkStart w:id="191" w:name="_Toc298434484"/>
      <w:bookmarkStart w:id="192" w:name="_Toc297910053"/>
    </w:p>
    <w:p w14:paraId="0EB7A642">
      <w:pPr>
        <w:spacing w:line="500" w:lineRule="exact"/>
        <w:ind w:firstLine="640" w:firstLineChars="200"/>
        <w:rPr>
          <w:rFonts w:hint="eastAsia"/>
        </w:rPr>
      </w:pPr>
      <w:bookmarkStart w:id="193" w:name="_Toc11805"/>
      <w:bookmarkStart w:id="194" w:name="_Toc19465"/>
      <w:bookmarkStart w:id="195" w:name="_Toc28521"/>
      <w:r>
        <w:rPr>
          <w:rFonts w:hint="eastAsia"/>
        </w:rPr>
        <w:t>7.5有毒有害及易燃气体检测</w:t>
      </w:r>
      <w:bookmarkEnd w:id="190"/>
      <w:bookmarkEnd w:id="191"/>
      <w:bookmarkEnd w:id="192"/>
      <w:bookmarkEnd w:id="193"/>
      <w:bookmarkEnd w:id="194"/>
      <w:bookmarkEnd w:id="195"/>
      <w:bookmarkStart w:id="196" w:name="_Toc297910054"/>
      <w:bookmarkStart w:id="197" w:name="_Toc298434818"/>
      <w:bookmarkStart w:id="198" w:name="_Toc298434485"/>
    </w:p>
    <w:p w14:paraId="2E446B23">
      <w:pPr>
        <w:pStyle w:val="10"/>
        <w:snapToGrid w:val="0"/>
        <w:spacing w:line="500" w:lineRule="exact"/>
        <w:ind w:firstLine="640" w:firstLineChars="200"/>
        <w:jc w:val="both"/>
        <w:rPr>
          <w:rFonts w:hint="eastAsia" w:ascii="仿宋" w:hAnsi="仿宋" w:eastAsia="仿宋" w:cs="仿宋"/>
          <w:color w:val="auto"/>
          <w:sz w:val="32"/>
          <w:szCs w:val="32"/>
          <w:lang w:bidi="ar"/>
        </w:rPr>
      </w:pPr>
      <w:r>
        <w:rPr>
          <w:rFonts w:hint="eastAsia" w:ascii="仿宋" w:hAnsi="仿宋" w:eastAsia="仿宋" w:cs="仿宋"/>
          <w:color w:val="auto"/>
          <w:sz w:val="32"/>
          <w:szCs w:val="32"/>
          <w:lang w:bidi="ar"/>
        </w:rPr>
        <w:t>作业开展前，要做好作业区域有毒有害气体如硫化氢等及易燃气体的检测，确保安全后，方可实施作业。</w:t>
      </w:r>
      <w:bookmarkEnd w:id="196"/>
      <w:bookmarkEnd w:id="197"/>
      <w:bookmarkEnd w:id="198"/>
      <w:bookmarkStart w:id="199" w:name="_Toc298434819"/>
      <w:bookmarkStart w:id="200" w:name="_Toc297910055"/>
      <w:bookmarkStart w:id="201" w:name="_Toc298434486"/>
    </w:p>
    <w:p w14:paraId="40643097">
      <w:pPr>
        <w:spacing w:line="500" w:lineRule="exact"/>
        <w:ind w:firstLine="640" w:firstLineChars="200"/>
        <w:rPr>
          <w:rFonts w:hint="eastAsia"/>
        </w:rPr>
      </w:pPr>
      <w:bookmarkStart w:id="202" w:name="_Toc4976"/>
      <w:bookmarkStart w:id="203" w:name="_Toc23117"/>
      <w:bookmarkStart w:id="204" w:name="_Toc4581"/>
      <w:r>
        <w:rPr>
          <w:rFonts w:hint="eastAsia"/>
        </w:rPr>
        <w:t>7.6劳动保护</w:t>
      </w:r>
      <w:bookmarkEnd w:id="199"/>
      <w:bookmarkEnd w:id="200"/>
      <w:bookmarkEnd w:id="201"/>
      <w:bookmarkEnd w:id="202"/>
      <w:bookmarkEnd w:id="203"/>
      <w:bookmarkEnd w:id="204"/>
    </w:p>
    <w:p w14:paraId="59BF6481">
      <w:pPr>
        <w:tabs>
          <w:tab w:val="left" w:pos="594"/>
        </w:tabs>
        <w:adjustRightInd w:val="0"/>
        <w:snapToGrid w:val="0"/>
        <w:spacing w:line="500" w:lineRule="exact"/>
        <w:ind w:firstLine="640" w:firstLineChars="200"/>
        <w:rPr>
          <w:rFonts w:hint="eastAsia" w:cs="仿宋"/>
          <w:kern w:val="0"/>
          <w:szCs w:val="32"/>
          <w:lang w:bidi="ar"/>
        </w:rPr>
      </w:pPr>
      <w:r>
        <w:rPr>
          <w:rFonts w:hint="eastAsia" w:cs="仿宋"/>
          <w:kern w:val="0"/>
          <w:szCs w:val="32"/>
          <w:lang w:bidi="ar"/>
        </w:rPr>
        <w:t>出海作业人员要按照作业规定正确穿戴劳动保护用品，包括：安全帽、救生衣、防护服、防滑防砸鞋、劳保手套等。作业过程中，要安排专人做好安全监督工作，防止意外伤亡事件发生。</w:t>
      </w:r>
    </w:p>
    <w:p w14:paraId="488C84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CC6BC0"/>
    <w:rsid w:val="3FF63550"/>
    <w:rsid w:val="6090527F"/>
    <w:rsid w:val="62470FD9"/>
    <w:rsid w:val="66784A9E"/>
    <w:rsid w:val="6CD0396B"/>
    <w:rsid w:val="7F676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Times New Roman"/>
      <w:kern w:val="2"/>
      <w:sz w:val="32"/>
      <w:szCs w:val="24"/>
      <w:lang w:val="en-US" w:eastAsia="zh-CN" w:bidi="ar-SA"/>
    </w:rPr>
  </w:style>
  <w:style w:type="paragraph" w:styleId="2">
    <w:name w:val="heading 1"/>
    <w:basedOn w:val="1"/>
    <w:next w:val="1"/>
    <w:qFormat/>
    <w:uiPriority w:val="0"/>
    <w:pPr>
      <w:keepNext/>
      <w:keepLines/>
      <w:spacing w:line="560" w:lineRule="exact"/>
      <w:jc w:val="center"/>
      <w:outlineLvl w:val="0"/>
    </w:pPr>
    <w:rPr>
      <w:rFonts w:ascii="Times New Roman" w:hAnsi="Times New Roman" w:eastAsia="仿宋"/>
      <w:b/>
      <w:bCs/>
      <w:kern w:val="44"/>
      <w:sz w:val="32"/>
      <w:szCs w:val="44"/>
    </w:rPr>
  </w:style>
  <w:style w:type="paragraph" w:styleId="3">
    <w:name w:val="heading 2"/>
    <w:basedOn w:val="1"/>
    <w:next w:val="1"/>
    <w:link w:val="9"/>
    <w:qFormat/>
    <w:uiPriority w:val="0"/>
    <w:pPr>
      <w:keepNext/>
      <w:keepLines/>
      <w:spacing w:line="560" w:lineRule="exact"/>
      <w:jc w:val="left"/>
      <w:outlineLvl w:val="1"/>
    </w:pPr>
    <w:rPr>
      <w:rFonts w:ascii="宋体" w:hAnsi="宋体" w:eastAsia="华文仿宋"/>
      <w:bCs/>
      <w:color w:val="000000"/>
      <w:kern w:val="0"/>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semiHidden/>
    <w:qFormat/>
    <w:uiPriority w:val="0"/>
    <w:rPr>
      <w:rFonts w:ascii="宋体" w:hAnsi="Courier New" w:cs="Courier New"/>
      <w:szCs w:val="21"/>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Hyperlink"/>
    <w:basedOn w:val="7"/>
    <w:unhideWhenUsed/>
    <w:qFormat/>
    <w:uiPriority w:val="99"/>
    <w:rPr>
      <w:color w:val="0000FF"/>
      <w:u w:val="single"/>
    </w:rPr>
  </w:style>
  <w:style w:type="character" w:customStyle="1" w:styleId="9">
    <w:name w:val="标题 2 Char"/>
    <w:link w:val="3"/>
    <w:qFormat/>
    <w:uiPriority w:val="0"/>
    <w:rPr>
      <w:rFonts w:ascii="宋体" w:hAnsi="宋体" w:eastAsia="华文仿宋"/>
      <w:bCs/>
      <w:color w:val="000000"/>
      <w:kern w:val="0"/>
      <w:szCs w:val="20"/>
    </w:rPr>
  </w:style>
  <w:style w:type="paragraph" w:customStyle="1" w:styleId="1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17414</Words>
  <Characters>18178</Characters>
  <Lines>0</Lines>
  <Paragraphs>0</Paragraphs>
  <TotalTime>6</TotalTime>
  <ScaleCrop>false</ScaleCrop>
  <LinksUpToDate>false</LinksUpToDate>
  <CharactersWithSpaces>18574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2025-05-19T08:08:00Z</dcterms:created>
  <dc:creator>Administrator</dc:creator>
  <cp:lastModifiedBy>白云外</cp:lastModifiedBy>
  <dcterms:modified xsi:type="dcterms:W3CDTF">2025-05-23T07:41:07Z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2E95A254FEA740ABA2DE9BA9BC6BFC0E_12</vt:lpwstr>
  </property>
  <property fmtid="{D5CDD505-2E9C-101B-9397-08002B2CF9AE}" pid="4" name="KSOTemplateDocerSaveRecord">
    <vt:lpwstr>eyJoZGlkIjoiNjdlYWE1Yjg0MWExNTM2MWYxMTVmYzJlZjc0ZmQ0N2UiLCJ1c2VySWQiOiIyOTYyNTY0MjQifQ==</vt:lpwstr>
  </property>
</Properties>
</file>