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56DA59F8">
      <w:pPr>
        <w:ind w:firstLine="88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胜利采油厂原三采大院等区域分布式</w:t>
      </w:r>
    </w:p>
    <w:p w14:paraId="348809B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光伏发电站节能验收报告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rPr>
          <w:rFonts w:hint="eastAsia"/>
          <w:lang w:val="en-US" w:eastAsia="zh-CN"/>
        </w:rPr>
        <w:t>胜利采油厂原三采大院等区域分布式光伏发电站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4B6691FE">
      <w:pPr>
        <w:ind w:firstLine="0" w:firstLineChars="0"/>
        <w:rPr>
          <w:rFonts w:hint="eastAsia" w:eastAsia="华文仿宋"/>
          <w:lang w:eastAsia="zh-CN"/>
        </w:rPr>
      </w:pPr>
      <w:r>
        <w:rPr>
          <w:rFonts w:hint="eastAsia"/>
        </w:rPr>
        <w:t>项目建设单位负责人：</w:t>
      </w:r>
      <w:r>
        <w:rPr>
          <w:rFonts w:hint="eastAsia"/>
          <w:lang w:val="en-US" w:eastAsia="zh-CN"/>
        </w:rPr>
        <w:t>周薪</w:t>
      </w:r>
    </w:p>
    <w:p w14:paraId="38FB8CD9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0" w:name="_Toc11250"/>
      <w:r>
        <w:rPr>
          <w:rFonts w:hint="eastAsia"/>
        </w:rPr>
        <w:t>资料筹备和验收组组成情况</w:t>
      </w:r>
      <w:bookmarkEnd w:id="0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hint="eastAsia" w:ascii="华文仿宋" w:hAnsi="华文仿宋" w:cs="华文仿宋"/>
          <w:lang w:val="en-US" w:eastAsia="zh-CN"/>
        </w:rPr>
        <w:t>胜利采油厂原三采大院等区域分布式光伏发电工程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</w:t>
      </w:r>
      <w:r>
        <w:rPr>
          <w:rFonts w:hint="eastAsia" w:ascii="华文仿宋" w:hAnsi="华文仿宋" w:cs="华文仿宋"/>
          <w:lang w:val="en-US" w:eastAsia="zh-CN"/>
        </w:rPr>
        <w:t>原油建九分公司电柱厂等区域分布式光伏发电工程等8个项目</w:t>
      </w:r>
      <w:r>
        <w:rPr>
          <w:rFonts w:hint="eastAsia" w:ascii="华文仿宋" w:hAnsi="华文仿宋" w:cs="华文仿宋"/>
        </w:rPr>
        <w:t>可行性研究报告备案的批复》</w:t>
      </w:r>
      <w:r>
        <w:rPr>
          <w:rFonts w:hint="eastAsia" w:ascii="华文仿宋" w:hAnsi="华文仿宋" w:cs="华文仿宋"/>
          <w:lang w:eastAsia="zh-CN"/>
        </w:rPr>
        <w:t>（</w:t>
      </w:r>
      <w:r>
        <w:rPr>
          <w:rFonts w:hint="eastAsia" w:ascii="华文仿宋" w:hAnsi="华文仿宋" w:cs="华文仿宋"/>
          <w:lang w:val="en-US" w:eastAsia="zh-CN"/>
        </w:rPr>
        <w:t>胜油局工单[2022]35号</w:t>
      </w:r>
      <w:r>
        <w:rPr>
          <w:rFonts w:hint="eastAsia" w:ascii="华文仿宋" w:hAnsi="华文仿宋" w:cs="华文仿宋"/>
          <w:lang w:eastAsia="zh-CN"/>
        </w:rPr>
        <w:t>）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067"/>
        <w:gridCol w:w="2681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067" w:type="dxa"/>
            <w:vAlign w:val="center"/>
          </w:tcPr>
          <w:p w14:paraId="031A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2681" w:type="dxa"/>
            <w:vAlign w:val="center"/>
          </w:tcPr>
          <w:p w14:paraId="2F44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0049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067" w:type="dxa"/>
            <w:vAlign w:val="center"/>
          </w:tcPr>
          <w:p w14:paraId="78EF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2681" w:type="dxa"/>
            <w:vAlign w:val="center"/>
          </w:tcPr>
          <w:p w14:paraId="2458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66FE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  薪</w:t>
            </w:r>
          </w:p>
        </w:tc>
        <w:tc>
          <w:tcPr>
            <w:tcW w:w="1935" w:type="dxa"/>
            <w:vAlign w:val="center"/>
          </w:tcPr>
          <w:p w14:paraId="57B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067" w:type="dxa"/>
            <w:vAlign w:val="center"/>
          </w:tcPr>
          <w:p w14:paraId="786B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2681" w:type="dxa"/>
            <w:vAlign w:val="center"/>
          </w:tcPr>
          <w:p w14:paraId="4809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4C5C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徐雪峰</w:t>
            </w:r>
          </w:p>
        </w:tc>
        <w:tc>
          <w:tcPr>
            <w:tcW w:w="1935" w:type="dxa"/>
            <w:vAlign w:val="center"/>
          </w:tcPr>
          <w:p w14:paraId="7165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6C20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2681" w:type="dxa"/>
            <w:vAlign w:val="center"/>
          </w:tcPr>
          <w:p w14:paraId="3A41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5A93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  勇</w:t>
            </w:r>
          </w:p>
        </w:tc>
        <w:tc>
          <w:tcPr>
            <w:tcW w:w="1935" w:type="dxa"/>
            <w:vAlign w:val="center"/>
          </w:tcPr>
          <w:p w14:paraId="23B0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45C9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2681" w:type="dxa"/>
            <w:vAlign w:val="center"/>
          </w:tcPr>
          <w:p w14:paraId="59E4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6313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王艺晓</w:t>
            </w:r>
          </w:p>
        </w:tc>
        <w:tc>
          <w:tcPr>
            <w:tcW w:w="1935" w:type="dxa"/>
            <w:vAlign w:val="center"/>
          </w:tcPr>
          <w:p w14:paraId="28C6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5504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C7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3295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孙睿哲</w:t>
            </w:r>
          </w:p>
        </w:tc>
        <w:tc>
          <w:tcPr>
            <w:tcW w:w="1935" w:type="dxa"/>
            <w:vAlign w:val="center"/>
          </w:tcPr>
          <w:p w14:paraId="0BDF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1F0B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71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471A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  正</w:t>
            </w:r>
          </w:p>
        </w:tc>
        <w:tc>
          <w:tcPr>
            <w:tcW w:w="1935" w:type="dxa"/>
            <w:vAlign w:val="center"/>
          </w:tcPr>
          <w:p w14:paraId="02C9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01E5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61B2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9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日开始进行资料筹集，于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日筹集完毕。</w:t>
      </w:r>
      <w:r>
        <w:t>202</w:t>
      </w:r>
      <w:r>
        <w:rPr>
          <w:rFonts w:hint="eastAsia"/>
          <w:lang w:val="en-US" w:eastAsia="zh-CN"/>
        </w:rPr>
        <w:t>5</w:t>
      </w:r>
      <w:r>
        <w:t xml:space="preserve">年 </w:t>
      </w:r>
      <w:r>
        <w:rPr>
          <w:rFonts w:hint="eastAsia"/>
          <w:lang w:val="en-US" w:eastAsia="zh-CN"/>
        </w:rPr>
        <w:t>6</w:t>
      </w:r>
      <w:r>
        <w:t xml:space="preserve">月 </w:t>
      </w:r>
      <w:r>
        <w:rPr>
          <w:rFonts w:hint="eastAsia"/>
          <w:lang w:val="en-US" w:eastAsia="zh-CN"/>
        </w:rPr>
        <w:t>13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16</w:t>
      </w:r>
      <w:r>
        <w:t>日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对</w:t>
      </w:r>
      <w:r>
        <w:rPr>
          <w:rFonts w:hint="eastAsia" w:ascii="华文仿宋" w:hAnsi="华文仿宋" w:cs="华文仿宋"/>
          <w:lang w:val="en-US" w:eastAsia="zh-CN"/>
        </w:rPr>
        <w:t>胜利采油厂原三采大院等区域分布式</w:t>
      </w:r>
      <w:r>
        <w:rPr>
          <w:rFonts w:hint="eastAsia"/>
          <w:lang w:val="en-US" w:eastAsia="zh-CN"/>
        </w:rPr>
        <w:t>光伏发电站</w:t>
      </w:r>
      <w:r>
        <w:t>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rPr>
          <w:rFonts w:hint="eastAsia" w:ascii="华文仿宋" w:hAnsi="华文仿宋" w:cs="华文仿宋"/>
          <w:lang w:val="en-US" w:eastAsia="zh-CN"/>
        </w:rPr>
        <w:t>胜利采油厂原三采大院等区域分布式光伏发电</w:t>
      </w:r>
      <w:r>
        <w:rPr>
          <w:rFonts w:hint="eastAsia"/>
          <w:lang w:val="en-US" w:eastAsia="zh-CN"/>
        </w:rPr>
        <w:t>站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3296"/>
      <w:r>
        <w:rPr>
          <w:rFonts w:hint="eastAsia"/>
        </w:rPr>
        <w:t>项目建设单位概况</w:t>
      </w:r>
      <w:bookmarkEnd w:id="1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45E424E2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周  薪</w:t>
      </w:r>
    </w:p>
    <w:p w14:paraId="5C67D84D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18954626051</w:t>
      </w:r>
    </w:p>
    <w:p w14:paraId="54A03BC0">
      <w:pPr>
        <w:ind w:firstLine="640"/>
        <w:rPr>
          <w:rFonts w:hint="eastAsia"/>
          <w:lang w:eastAsia="zh-CN"/>
        </w:rPr>
      </w:pPr>
      <w:r>
        <w:rPr>
          <w:rFonts w:hint="eastAsia"/>
        </w:rPr>
        <w:t>单位简介</w:t>
      </w:r>
      <w:r>
        <w:rPr>
          <w:rFonts w:hint="eastAsia"/>
          <w:lang w:eastAsia="zh-CN"/>
        </w:rPr>
        <w:t>：新能源开发中心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21016"/>
      <w:r>
        <w:rPr>
          <w:rFonts w:hint="eastAsia"/>
        </w:rPr>
        <w:t>项目建设进展</w:t>
      </w:r>
      <w:bookmarkEnd w:id="2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胜利采油厂原三采大院等区域分布式光伏发电站</w:t>
      </w:r>
    </w:p>
    <w:p w14:paraId="1BF2BE8E">
      <w:pPr>
        <w:ind w:firstLine="640"/>
        <w:rPr>
          <w:rFonts w:hint="default"/>
          <w:lang w:val="en-US"/>
        </w:rPr>
      </w:pPr>
      <w:r>
        <w:rPr>
          <w:rFonts w:hint="eastAsia"/>
        </w:rPr>
        <w:t>建设地点：</w:t>
      </w:r>
      <w:r>
        <w:rPr>
          <w:rFonts w:hint="eastAsia"/>
          <w:lang w:val="en-US" w:eastAsia="zh-CN"/>
        </w:rPr>
        <w:t>东营市垦利县胜坨镇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30F4D873">
      <w:pPr>
        <w:rPr>
          <w:rFonts w:hint="eastAsia"/>
          <w:lang w:val="en-US" w:eastAsia="zh-CN"/>
        </w:rPr>
      </w:pPr>
      <w:r>
        <w:rPr>
          <w:rFonts w:hint="eastAsia"/>
        </w:rPr>
        <w:t>建设规模及内容：该工程利用</w:t>
      </w:r>
      <w:r>
        <w:rPr>
          <w:rFonts w:hint="eastAsia"/>
          <w:lang w:val="en-US" w:eastAsia="zh-CN"/>
        </w:rPr>
        <w:t>胜利采油厂采油管理二区、管理七区闲置场地2.93万平方米，建设地点分别是原三采大院、注采702站、注采704站、ST1-2-67井场、ST1-2-65井场、35944井场等6个场地。总装机容量为2406.24kWp。项目选用540Wp 单晶硅光伏组件4456块，选用组串式逆变器14台，其中196kW逆变器9台、110kW逆变器1台、100kW逆变器2台、60kW逆变器1台、40kW逆变器1台。光伏支架倾角31°，逆变器将直流电转化为400V或800V交流电，后经变压器升压后接至附近6kV油田线路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34100EC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胜利采油厂原三采大院等区域分布式光伏发电</w:t>
      </w:r>
      <w:r>
        <w:rPr>
          <w:rFonts w:hint="eastAsia"/>
        </w:rPr>
        <w:t>工程可研批复。</w:t>
      </w:r>
    </w:p>
    <w:p w14:paraId="7998C03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日工程开工建设。</w:t>
      </w:r>
    </w:p>
    <w:p w14:paraId="7412E76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工程并网发电</w:t>
      </w:r>
      <w:r>
        <w:rPr>
          <w:rFonts w:hint="eastAsia"/>
        </w:rPr>
        <w:t>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3" w:name="_Toc17752"/>
      <w:r>
        <w:rPr>
          <w:rFonts w:hint="eastAsia"/>
        </w:rPr>
        <w:t>项目建设方案</w:t>
      </w:r>
      <w:bookmarkEnd w:id="3"/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980"/>
        <w:gridCol w:w="3050"/>
        <w:gridCol w:w="1560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90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工艺方案/用能系统名称</w:t>
            </w:r>
          </w:p>
        </w:tc>
        <w:tc>
          <w:tcPr>
            <w:tcW w:w="2980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可研方案要求</w:t>
            </w:r>
          </w:p>
        </w:tc>
        <w:tc>
          <w:tcPr>
            <w:tcW w:w="3050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实际实施情况</w:t>
            </w:r>
          </w:p>
        </w:tc>
        <w:tc>
          <w:tcPr>
            <w:tcW w:w="1560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光伏组件</w:t>
            </w:r>
          </w:p>
        </w:tc>
        <w:tc>
          <w:tcPr>
            <w:tcW w:w="2980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Wp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单晶硅光伏组件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4238块</w:t>
            </w:r>
          </w:p>
        </w:tc>
        <w:tc>
          <w:tcPr>
            <w:tcW w:w="3050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540Wp 单晶硅光伏组件4456块</w:t>
            </w:r>
          </w:p>
        </w:tc>
        <w:tc>
          <w:tcPr>
            <w:tcW w:w="1560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高于可研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组串直流缆</w:t>
            </w:r>
          </w:p>
        </w:tc>
        <w:tc>
          <w:tcPr>
            <w:tcW w:w="2980" w:type="dxa"/>
            <w:vAlign w:val="center"/>
          </w:tcPr>
          <w:p w14:paraId="6BAE59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3050" w:type="dxa"/>
            <w:vAlign w:val="center"/>
          </w:tcPr>
          <w:p w14:paraId="7533DEB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1560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</w:t>
            </w:r>
          </w:p>
        </w:tc>
        <w:tc>
          <w:tcPr>
            <w:tcW w:w="2980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其中10台196kW；1台110kW）</w:t>
            </w:r>
          </w:p>
        </w:tc>
        <w:tc>
          <w:tcPr>
            <w:tcW w:w="3050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sz w:val="21"/>
                <w:szCs w:val="21"/>
              </w:rPr>
              <w:t>台组串式逆变器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（其中9台196kW；1台110kW；2台100kW；1台60kW；1台40kW）</w:t>
            </w:r>
          </w:p>
        </w:tc>
        <w:tc>
          <w:tcPr>
            <w:tcW w:w="1560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高于可研</w:t>
            </w:r>
          </w:p>
        </w:tc>
      </w:tr>
      <w:tr w14:paraId="3BF1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4D7D327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交流缆</w:t>
            </w:r>
          </w:p>
        </w:tc>
        <w:tc>
          <w:tcPr>
            <w:tcW w:w="2980" w:type="dxa"/>
            <w:vAlign w:val="center"/>
          </w:tcPr>
          <w:p w14:paraId="78C21CE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3050" w:type="dxa"/>
            <w:vAlign w:val="center"/>
          </w:tcPr>
          <w:p w14:paraId="06E7243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1560" w:type="dxa"/>
            <w:vAlign w:val="center"/>
          </w:tcPr>
          <w:p w14:paraId="6620B9F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升压变</w:t>
            </w:r>
          </w:p>
        </w:tc>
        <w:tc>
          <w:tcPr>
            <w:tcW w:w="2980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原三采大院1台1250kVA；注采702站1台400kVA；注采704站1台400kVA；其他接入属地单位变压器低压侧</w:t>
            </w:r>
          </w:p>
        </w:tc>
        <w:tc>
          <w:tcPr>
            <w:tcW w:w="3050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原三采大院1台1250kVA；注采702站1台400kVA；注采704站1台400kVA；其他接入属地单位变压器低压侧</w:t>
            </w:r>
          </w:p>
        </w:tc>
        <w:tc>
          <w:tcPr>
            <w:tcW w:w="1560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4" w:name="_Toc29195"/>
      <w:r>
        <w:rPr>
          <w:rFonts w:hint="eastAsia"/>
        </w:rPr>
        <w:t>主要用能设备及其用能水平</w:t>
      </w:r>
      <w:bookmarkEnd w:id="4"/>
    </w:p>
    <w:p w14:paraId="232C2487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</w:t>
      </w:r>
      <w:r>
        <w:rPr>
          <w:rFonts w:hint="eastAsia"/>
          <w:lang w:eastAsia="zh-CN"/>
        </w:rPr>
        <w:t>。</w:t>
      </w:r>
    </w:p>
    <w:p w14:paraId="058AF14F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277"/>
        <w:gridCol w:w="2218"/>
        <w:gridCol w:w="253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277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748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53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3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E8189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4A7FE6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</w:t>
            </w:r>
          </w:p>
        </w:tc>
        <w:tc>
          <w:tcPr>
            <w:tcW w:w="1277" w:type="dxa"/>
            <w:vAlign w:val="center"/>
          </w:tcPr>
          <w:p w14:paraId="27BB2A1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</w:t>
            </w:r>
          </w:p>
        </w:tc>
        <w:tc>
          <w:tcPr>
            <w:tcW w:w="2218" w:type="dxa"/>
            <w:vAlign w:val="center"/>
          </w:tcPr>
          <w:p w14:paraId="524ADA3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原三采大院1台1250kVA；注采702站1台400kVA；注采704站1台400kVA；其他接入属地单位变压器低压侧</w:t>
            </w:r>
          </w:p>
        </w:tc>
        <w:tc>
          <w:tcPr>
            <w:tcW w:w="2530" w:type="dxa"/>
            <w:vAlign w:val="center"/>
          </w:tcPr>
          <w:p w14:paraId="1CA3829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D4F32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原三采大院1台1250kVA；注采702站1台400kVA；注采704站1台400kVA；其他接入属地单位变压器低压侧</w:t>
            </w:r>
          </w:p>
        </w:tc>
        <w:tc>
          <w:tcPr>
            <w:tcW w:w="2142" w:type="dxa"/>
            <w:vAlign w:val="center"/>
          </w:tcPr>
          <w:p w14:paraId="4F8110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1551" w:type="dxa"/>
            <w:vAlign w:val="center"/>
          </w:tcPr>
          <w:p w14:paraId="255E6B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277" w:type="dxa"/>
            <w:vAlign w:val="center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</w:t>
            </w:r>
          </w:p>
        </w:tc>
        <w:tc>
          <w:tcPr>
            <w:tcW w:w="2218" w:type="dxa"/>
            <w:vAlign w:val="center"/>
          </w:tcPr>
          <w:p w14:paraId="7251348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其中10台196kW；1台110kW）</w:t>
            </w:r>
          </w:p>
        </w:tc>
        <w:tc>
          <w:tcPr>
            <w:tcW w:w="2530" w:type="dxa"/>
            <w:vAlign w:val="center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25" w:type="dxa"/>
            <w:vAlign w:val="center"/>
          </w:tcPr>
          <w:p w14:paraId="0084D4F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sz w:val="21"/>
                <w:szCs w:val="21"/>
              </w:rPr>
              <w:t>台组串式逆变器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（其中9台196kW；1台110kW；2台100kW；1台60kW；1台40kW）</w:t>
            </w:r>
          </w:p>
        </w:tc>
        <w:tc>
          <w:tcPr>
            <w:tcW w:w="2142" w:type="dxa"/>
            <w:vAlign w:val="center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高于可研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13EF3F95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5" w:name="_Toc11022"/>
      <w:r>
        <w:rPr>
          <w:rFonts w:hint="eastAsia"/>
        </w:rPr>
        <w:t>节能措施</w:t>
      </w:r>
      <w:bookmarkEnd w:id="5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2835" w:type="dxa"/>
          </w:tcPr>
          <w:p w14:paraId="10A84A8D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2835" w:type="dxa"/>
          </w:tcPr>
          <w:p w14:paraId="6F3AE69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1824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3BE4BB1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66A8DC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40CD17C1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2835" w:type="dxa"/>
          </w:tcPr>
          <w:p w14:paraId="17151D8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1515" w:type="dxa"/>
            <w:vAlign w:val="center"/>
          </w:tcPr>
          <w:p w14:paraId="2019C84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796A13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55061AF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2835" w:type="dxa"/>
          </w:tcPr>
          <w:p w14:paraId="025667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6" w:name="_Toc2916"/>
      <w:r>
        <w:rPr>
          <w:rFonts w:hint="eastAsia"/>
        </w:rPr>
        <w:t>计量器具配备</w:t>
      </w:r>
      <w:bookmarkEnd w:id="6"/>
    </w:p>
    <w:p w14:paraId="349B1A7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项目进出用能计量器具按照《用能单位能源计量器具配备和管理通则》（GB17167-2006）和《电力装置电测量仪表装置设计规范》（</w:t>
      </w:r>
      <w:r>
        <w:rPr>
          <w:rFonts w:hint="default"/>
          <w:lang w:val="en-US" w:eastAsia="zh-CN"/>
        </w:rPr>
        <w:t>GB/T 50063</w:t>
      </w:r>
      <w:r>
        <w:rPr>
          <w:rFonts w:hint="eastAsia"/>
          <w:lang w:val="en-US" w:eastAsia="zh-CN"/>
        </w:rPr>
        <w:t>-2017）标准要求已配置能源计量器具。电能表精度要求不低于0.2S级，数量6台。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11824"/>
      <w:r>
        <w:rPr>
          <w:rFonts w:hint="eastAsia"/>
        </w:rPr>
        <w:t>项目年综合能源消耗量</w:t>
      </w:r>
      <w:bookmarkEnd w:id="7"/>
    </w:p>
    <w:p w14:paraId="48A796CA">
      <w:pPr>
        <w:pStyle w:val="5"/>
        <w:ind w:firstLine="641"/>
        <w:rPr>
          <w:rFonts w:hint="eastAsia"/>
        </w:rPr>
      </w:pPr>
      <w:r>
        <w:rPr>
          <w:rFonts w:hint="eastAsia"/>
        </w:rPr>
        <w:t>项目在发电时段，能耗来自自发电，无碳排放。</w:t>
      </w:r>
    </w:p>
    <w:p w14:paraId="62B5FF13">
      <w:pPr>
        <w:pStyle w:val="5"/>
        <w:ind w:firstLine="641"/>
        <w:rPr>
          <w:rFonts w:hint="eastAsia"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项目年综合能源消费量完全落实能耗规划和节能承诺。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2196"/>
      <w:r>
        <w:rPr>
          <w:rFonts w:hint="eastAsia"/>
        </w:rPr>
        <w:t>项目能效水平</w:t>
      </w:r>
      <w:bookmarkEnd w:id="8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70C91DC9">
      <w:pPr>
        <w:ind w:firstLine="641"/>
        <w:rPr>
          <w:rFonts w:hint="eastAsia" w:ascii="华文仿宋" w:hAnsi="华文仿宋" w:cs="华文仿宋"/>
          <w:lang w:val="en-US" w:eastAsia="zh-CN"/>
        </w:rPr>
      </w:pPr>
      <w:r>
        <w:rPr>
          <w:rFonts w:hint="eastAsia" w:ascii="华文仿宋" w:hAnsi="华文仿宋" w:cs="华文仿宋"/>
          <w:lang w:val="en-US" w:eastAsia="zh-CN"/>
        </w:rPr>
        <w:t>项目实际装机容量</w:t>
      </w:r>
      <w:r>
        <w:rPr>
          <w:rFonts w:hint="eastAsia"/>
          <w:lang w:val="en-US" w:eastAsia="zh-CN"/>
        </w:rPr>
        <w:t>2406.24k</w:t>
      </w:r>
      <w:r>
        <w:rPr>
          <w:rFonts w:hint="eastAsia" w:ascii="华文仿宋" w:hAnsi="华文仿宋" w:cs="华文仿宋"/>
          <w:lang w:val="en-US" w:eastAsia="zh-CN"/>
        </w:rPr>
        <w:t>Wp，首年理论发电量434.17万kWh。调取电能表数据，项目首年上网电量362.97万kWh。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  <w:vAlign w:val="center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  <w:vAlign w:val="center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  <w:vAlign w:val="center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  <w:vAlign w:val="center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  <w:vAlign w:val="center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  <w:vAlign w:val="center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2187" w:type="dxa"/>
            <w:vAlign w:val="center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83.6</w:t>
            </w:r>
          </w:p>
        </w:tc>
        <w:tc>
          <w:tcPr>
            <w:tcW w:w="2177" w:type="dxa"/>
            <w:vAlign w:val="center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18051"/>
      <w:r>
        <w:rPr>
          <w:rFonts w:hint="eastAsia"/>
        </w:rPr>
        <w:t>结论和问题</w:t>
      </w:r>
      <w:bookmarkEnd w:id="9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hint="eastAsia" w:ascii="华文仿宋" w:hAnsi="华文仿宋" w:cs="华文仿宋"/>
          <w:lang w:val="en-US" w:eastAsia="zh-CN"/>
        </w:rPr>
        <w:t>胜利采油厂原三采大院等区域分布式光伏发电工程</w:t>
      </w:r>
      <w:r>
        <w:rPr>
          <w:rFonts w:hint="eastAsia" w:ascii="华文仿宋" w:hAnsi="华文仿宋" w:cs="华文仿宋"/>
        </w:rPr>
        <w:t>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</w:t>
      </w:r>
      <w:r>
        <w:rPr>
          <w:rFonts w:hint="eastAsia" w:ascii="华文仿宋" w:hAnsi="华文仿宋" w:cs="华文仿宋"/>
          <w:lang w:val="en-US" w:eastAsia="zh-CN"/>
        </w:rPr>
        <w:t>胜利采油厂原三采大院等区域分布式光伏发电工程</w:t>
      </w:r>
      <w:r>
        <w:t>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</w:t>
      </w:r>
      <w:r>
        <w:rPr>
          <w:rFonts w:hint="eastAsia"/>
          <w:lang w:val="en-US" w:eastAsia="zh-CN"/>
        </w:rPr>
        <w:t>全部</w:t>
      </w:r>
      <w:r>
        <w:t>落实</w:t>
      </w:r>
    </w:p>
    <w:p w14:paraId="36432706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</w:t>
      </w:r>
      <w:r>
        <w:rPr>
          <w:rFonts w:hint="eastAsia"/>
          <w:lang w:val="en-US" w:eastAsia="zh-CN"/>
        </w:rPr>
        <w:t>全部</w:t>
      </w:r>
      <w:r>
        <w:t>落实。</w:t>
      </w:r>
    </w:p>
    <w:p w14:paraId="493CE3C0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rPr>
          <w:rFonts w:hint="eastAsia"/>
        </w:rPr>
        <w:t>项目系统能效比</w:t>
      </w:r>
      <w:r>
        <w:rPr>
          <w:rFonts w:hint="eastAsia"/>
          <w:lang w:val="en-US" w:eastAsia="zh-CN"/>
        </w:rPr>
        <w:t>83.6</w:t>
      </w:r>
      <w:bookmarkStart w:id="10" w:name="_GoBack"/>
      <w:bookmarkEnd w:id="10"/>
      <w:r>
        <w:rPr>
          <w:rFonts w:hint="eastAsia"/>
        </w:rPr>
        <w:t>，超出行业优秀水平。</w:t>
      </w:r>
    </w:p>
    <w:p w14:paraId="0C26EC8D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82B77"/>
    <w:rsid w:val="009C69CD"/>
    <w:rsid w:val="00A42A0E"/>
    <w:rsid w:val="00A95A9A"/>
    <w:rsid w:val="00AD2882"/>
    <w:rsid w:val="00CA3FEB"/>
    <w:rsid w:val="00D73606"/>
    <w:rsid w:val="00E9147C"/>
    <w:rsid w:val="00EC0B6A"/>
    <w:rsid w:val="00F31950"/>
    <w:rsid w:val="01442511"/>
    <w:rsid w:val="01463C70"/>
    <w:rsid w:val="01700269"/>
    <w:rsid w:val="036C2840"/>
    <w:rsid w:val="04174981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6047E0"/>
    <w:rsid w:val="0DB5640A"/>
    <w:rsid w:val="0E010A88"/>
    <w:rsid w:val="0EC8358F"/>
    <w:rsid w:val="0F274759"/>
    <w:rsid w:val="0F5612A1"/>
    <w:rsid w:val="0F5A453C"/>
    <w:rsid w:val="10807BA2"/>
    <w:rsid w:val="11913DFC"/>
    <w:rsid w:val="12E96D17"/>
    <w:rsid w:val="13797989"/>
    <w:rsid w:val="13CD08F0"/>
    <w:rsid w:val="15BB5BFB"/>
    <w:rsid w:val="15F64E85"/>
    <w:rsid w:val="163B0AEA"/>
    <w:rsid w:val="16864F84"/>
    <w:rsid w:val="1698250D"/>
    <w:rsid w:val="16A9014A"/>
    <w:rsid w:val="16D85C88"/>
    <w:rsid w:val="17DB1E48"/>
    <w:rsid w:val="18647436"/>
    <w:rsid w:val="18810F44"/>
    <w:rsid w:val="19091420"/>
    <w:rsid w:val="1954174D"/>
    <w:rsid w:val="195C29B4"/>
    <w:rsid w:val="19840D69"/>
    <w:rsid w:val="1B356531"/>
    <w:rsid w:val="1B60171F"/>
    <w:rsid w:val="1C085913"/>
    <w:rsid w:val="1D4C4073"/>
    <w:rsid w:val="1DA0685C"/>
    <w:rsid w:val="1DBD6EEA"/>
    <w:rsid w:val="1DC97EE6"/>
    <w:rsid w:val="1E182E21"/>
    <w:rsid w:val="1E3F19AC"/>
    <w:rsid w:val="20E307AD"/>
    <w:rsid w:val="210341EA"/>
    <w:rsid w:val="21060EBB"/>
    <w:rsid w:val="21DE144D"/>
    <w:rsid w:val="223D47BB"/>
    <w:rsid w:val="22BD5826"/>
    <w:rsid w:val="237F064A"/>
    <w:rsid w:val="24D07D01"/>
    <w:rsid w:val="24EA2059"/>
    <w:rsid w:val="25BA5D33"/>
    <w:rsid w:val="25DD396C"/>
    <w:rsid w:val="26B07208"/>
    <w:rsid w:val="26F50BF6"/>
    <w:rsid w:val="2777374E"/>
    <w:rsid w:val="27B23302"/>
    <w:rsid w:val="28275AF0"/>
    <w:rsid w:val="287F3F80"/>
    <w:rsid w:val="28CC471E"/>
    <w:rsid w:val="296E1870"/>
    <w:rsid w:val="29894432"/>
    <w:rsid w:val="29DD60BB"/>
    <w:rsid w:val="2B324CAE"/>
    <w:rsid w:val="2C9F6F43"/>
    <w:rsid w:val="2CDD2E2A"/>
    <w:rsid w:val="2D8F19F0"/>
    <w:rsid w:val="2EA30912"/>
    <w:rsid w:val="2EDB0A6C"/>
    <w:rsid w:val="2F3476F1"/>
    <w:rsid w:val="2F652BCF"/>
    <w:rsid w:val="2FC254E7"/>
    <w:rsid w:val="30E965CE"/>
    <w:rsid w:val="313A132E"/>
    <w:rsid w:val="31801FC4"/>
    <w:rsid w:val="33A132C4"/>
    <w:rsid w:val="33D90E9F"/>
    <w:rsid w:val="34FA0F76"/>
    <w:rsid w:val="35021C06"/>
    <w:rsid w:val="355E0C9B"/>
    <w:rsid w:val="35831E3A"/>
    <w:rsid w:val="365442FF"/>
    <w:rsid w:val="3691198F"/>
    <w:rsid w:val="36D34080"/>
    <w:rsid w:val="36EE26AB"/>
    <w:rsid w:val="37F0752F"/>
    <w:rsid w:val="38407F09"/>
    <w:rsid w:val="38960554"/>
    <w:rsid w:val="38D70B59"/>
    <w:rsid w:val="39D513A8"/>
    <w:rsid w:val="3BB064FC"/>
    <w:rsid w:val="3BF04D81"/>
    <w:rsid w:val="3CA32232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943621"/>
    <w:rsid w:val="41D5622D"/>
    <w:rsid w:val="41E8453E"/>
    <w:rsid w:val="41FF758B"/>
    <w:rsid w:val="420662CD"/>
    <w:rsid w:val="42117470"/>
    <w:rsid w:val="428247E7"/>
    <w:rsid w:val="43C348B8"/>
    <w:rsid w:val="43FF251E"/>
    <w:rsid w:val="454E5E7D"/>
    <w:rsid w:val="464C70B6"/>
    <w:rsid w:val="46DA3180"/>
    <w:rsid w:val="471C7BB7"/>
    <w:rsid w:val="480D3F42"/>
    <w:rsid w:val="484165E2"/>
    <w:rsid w:val="48D94910"/>
    <w:rsid w:val="48E87129"/>
    <w:rsid w:val="499B0F04"/>
    <w:rsid w:val="49C81E6F"/>
    <w:rsid w:val="4A1B4023"/>
    <w:rsid w:val="4A1C41B3"/>
    <w:rsid w:val="4A267E35"/>
    <w:rsid w:val="4A5C030F"/>
    <w:rsid w:val="4B7D03E7"/>
    <w:rsid w:val="4B816DED"/>
    <w:rsid w:val="4BAB7C31"/>
    <w:rsid w:val="4C103BE6"/>
    <w:rsid w:val="4C816990"/>
    <w:rsid w:val="4CDA23BA"/>
    <w:rsid w:val="4D8E53C8"/>
    <w:rsid w:val="4E6B55B6"/>
    <w:rsid w:val="4EE01C53"/>
    <w:rsid w:val="4EEE7D8E"/>
    <w:rsid w:val="4F545534"/>
    <w:rsid w:val="4F5A4EBF"/>
    <w:rsid w:val="4FA03191"/>
    <w:rsid w:val="51192224"/>
    <w:rsid w:val="52A122EE"/>
    <w:rsid w:val="52EA734A"/>
    <w:rsid w:val="52F84E89"/>
    <w:rsid w:val="536E65EE"/>
    <w:rsid w:val="5445084F"/>
    <w:rsid w:val="54A808F4"/>
    <w:rsid w:val="54EC75A4"/>
    <w:rsid w:val="551A792E"/>
    <w:rsid w:val="55727FBD"/>
    <w:rsid w:val="55A61710"/>
    <w:rsid w:val="561220C4"/>
    <w:rsid w:val="56EB73E7"/>
    <w:rsid w:val="57AF2DEA"/>
    <w:rsid w:val="580B56D2"/>
    <w:rsid w:val="58553578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504E32"/>
    <w:rsid w:val="60F1769A"/>
    <w:rsid w:val="61D06D08"/>
    <w:rsid w:val="65907AD8"/>
    <w:rsid w:val="65C14135"/>
    <w:rsid w:val="65EC10C6"/>
    <w:rsid w:val="6788375E"/>
    <w:rsid w:val="6A2C5CCF"/>
    <w:rsid w:val="6A3377CC"/>
    <w:rsid w:val="6B2B0B08"/>
    <w:rsid w:val="6BA42B26"/>
    <w:rsid w:val="6D390E9C"/>
    <w:rsid w:val="6DA86A73"/>
    <w:rsid w:val="6E135E00"/>
    <w:rsid w:val="6E147427"/>
    <w:rsid w:val="6ED074FA"/>
    <w:rsid w:val="6F9B5FA9"/>
    <w:rsid w:val="6FE02B0A"/>
    <w:rsid w:val="71A74D85"/>
    <w:rsid w:val="71DD11C4"/>
    <w:rsid w:val="736175D9"/>
    <w:rsid w:val="738F4C25"/>
    <w:rsid w:val="73C93B06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753CD1"/>
    <w:rsid w:val="799A6D1F"/>
    <w:rsid w:val="7AE53672"/>
    <w:rsid w:val="7B1F1B0E"/>
    <w:rsid w:val="7B825CBD"/>
    <w:rsid w:val="7C00467F"/>
    <w:rsid w:val="7C4E5B9F"/>
    <w:rsid w:val="7C904D16"/>
    <w:rsid w:val="7CDD469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07B45-30B0-44A9-9B3D-E93FD37DAAEC}"/>
</file>

<file path=customXml/itemProps2.xml><?xml version="1.0" encoding="utf-8"?>
<ds:datastoreItem xmlns:ds="http://schemas.openxmlformats.org/officeDocument/2006/customXml" ds:itemID="{B62B397F-398D-431C-A769-20C96A56FA0C}"/>
</file>

<file path=customXml/itemProps3.xml><?xml version="1.0" encoding="utf-8"?>
<ds:datastoreItem xmlns:ds="http://schemas.openxmlformats.org/officeDocument/2006/customXml" ds:itemID="{FCAEC46B-DC99-4017-A65D-04C25BFE6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1281</Words>
  <Characters>7307</Characters>
  <Lines>60</Lines>
  <Paragraphs>17</Paragraphs>
  <TotalTime>4</TotalTime>
  <ScaleCrop>false</ScaleCrop>
  <LinksUpToDate>false</LinksUpToDate>
  <CharactersWithSpaces>8571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Administrator</cp:lastModifiedBy>
  <cp:revision>4</cp:revision>
  <dcterms:created xsi:type="dcterms:W3CDTF">2025-07-07T09:26:00Z</dcterms:created>
  <dcterms:modified xsi:type="dcterms:W3CDTF">2025-07-09T09:38:13Z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BF62E1639A664F0BB3F542919B92F8A5_13</vt:lpwstr>
  </property>
  <property fmtid="{D5CDD505-2E9C-101B-9397-08002B2CF9AE}" pid="4" name="ContentTypeId">
    <vt:lpwstr>0x010100313989E510CC474A862876A387D6F14A</vt:lpwstr>
  </property>
</Properties>
</file>