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AA4D7">
      <w:pPr>
        <w:pStyle w:val="9"/>
        <w:ind w:firstLine="0" w:firstLineChars="0"/>
        <w:outlineLvl w:val="9"/>
        <w:rPr>
          <w:rFonts w:hint="eastAsia"/>
        </w:rPr>
      </w:pPr>
    </w:p>
    <w:p w14:paraId="3D32B9A7">
      <w:pPr>
        <w:pStyle w:val="9"/>
        <w:ind w:firstLine="0" w:firstLineChars="0"/>
        <w:outlineLvl w:val="9"/>
        <w:rPr>
          <w:rFonts w:hint="eastAsia"/>
        </w:rPr>
      </w:pPr>
    </w:p>
    <w:p w14:paraId="5E0904B9">
      <w:pPr>
        <w:pStyle w:val="9"/>
        <w:ind w:firstLine="0" w:firstLineChars="0"/>
        <w:outlineLvl w:val="9"/>
        <w:rPr>
          <w:rFonts w:hint="eastAsia"/>
        </w:rPr>
      </w:pPr>
    </w:p>
    <w:p w14:paraId="56DA59F8">
      <w:pPr>
        <w:ind w:firstLine="88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Hlk202802459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现河采油厂王岗管理区通61-X191等区域</w:t>
      </w:r>
      <w:bookmarkEnd w:id="0"/>
    </w:p>
    <w:p w14:paraId="348809B8">
      <w:pPr>
        <w:ind w:firstLine="88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光伏发电站节能验收报告</w:t>
      </w:r>
    </w:p>
    <w:p w14:paraId="61E9B92D">
      <w:pPr>
        <w:ind w:firstLine="640"/>
        <w:rPr>
          <w:rFonts w:hint="eastAsia"/>
        </w:rPr>
      </w:pPr>
    </w:p>
    <w:p w14:paraId="5E71CB50">
      <w:pPr>
        <w:ind w:firstLine="640"/>
        <w:rPr>
          <w:rFonts w:hint="eastAsia"/>
        </w:rPr>
      </w:pPr>
    </w:p>
    <w:p w14:paraId="4E919F58">
      <w:pPr>
        <w:ind w:firstLine="640"/>
        <w:rPr>
          <w:rFonts w:hint="eastAsia"/>
        </w:rPr>
      </w:pPr>
    </w:p>
    <w:p w14:paraId="439AC04B">
      <w:pPr>
        <w:ind w:firstLine="640"/>
        <w:rPr>
          <w:rFonts w:hint="eastAsia"/>
        </w:rPr>
      </w:pPr>
    </w:p>
    <w:p w14:paraId="22CFE878">
      <w:pPr>
        <w:ind w:firstLine="640"/>
        <w:rPr>
          <w:rFonts w:hint="eastAsia"/>
        </w:rPr>
      </w:pPr>
    </w:p>
    <w:p w14:paraId="1D161AAA">
      <w:pPr>
        <w:ind w:firstLine="640"/>
        <w:rPr>
          <w:rFonts w:hint="eastAsia"/>
        </w:rPr>
      </w:pPr>
    </w:p>
    <w:p w14:paraId="7409A1C7">
      <w:pPr>
        <w:ind w:firstLine="640"/>
        <w:rPr>
          <w:rFonts w:hint="eastAsia"/>
        </w:rPr>
      </w:pPr>
    </w:p>
    <w:p w14:paraId="30904E13">
      <w:pPr>
        <w:ind w:firstLine="640"/>
        <w:rPr>
          <w:rFonts w:hint="eastAsia"/>
        </w:rPr>
      </w:pPr>
    </w:p>
    <w:p w14:paraId="2B0FEF44">
      <w:pPr>
        <w:ind w:firstLine="640"/>
        <w:rPr>
          <w:rFonts w:hint="eastAsia"/>
        </w:rPr>
      </w:pPr>
    </w:p>
    <w:p w14:paraId="1D5ADEAB">
      <w:pPr>
        <w:ind w:firstLine="640"/>
        <w:rPr>
          <w:rFonts w:hint="eastAsia"/>
        </w:rPr>
      </w:pPr>
    </w:p>
    <w:p w14:paraId="421D0D3A">
      <w:pPr>
        <w:ind w:firstLine="640"/>
        <w:rPr>
          <w:rFonts w:hint="eastAsia"/>
        </w:rPr>
      </w:pPr>
    </w:p>
    <w:p w14:paraId="6F91525E">
      <w:pPr>
        <w:ind w:firstLine="640"/>
        <w:rPr>
          <w:rFonts w:hint="eastAsia"/>
        </w:rPr>
      </w:pPr>
    </w:p>
    <w:p w14:paraId="3511DA5C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项目建设单位：胜利石油管理局有限公司新能源开发中心</w:t>
      </w:r>
    </w:p>
    <w:p w14:paraId="08F2B8CB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</w:p>
    <w:p w14:paraId="62A7EE27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2025年7月</w:t>
      </w:r>
    </w:p>
    <w:p w14:paraId="5F684707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p w14:paraId="3E79B0DC">
      <w:pPr>
        <w:ind w:firstLine="0" w:firstLineChars="0"/>
        <w:jc w:val="center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t>承  诺  书</w:t>
      </w:r>
    </w:p>
    <w:p w14:paraId="5D82AF2D">
      <w:pPr>
        <w:ind w:firstLine="640"/>
        <w:rPr>
          <w:rFonts w:hint="eastAsia"/>
        </w:rPr>
      </w:pPr>
      <w:r>
        <w:rPr>
          <w:rFonts w:hint="eastAsia"/>
        </w:rPr>
        <w:t>我单位承诺《</w:t>
      </w:r>
      <w:r>
        <w:rPr>
          <w:rFonts w:hint="eastAsia"/>
          <w:lang w:val="en-US" w:eastAsia="zh-CN"/>
        </w:rPr>
        <w:t>现河采油厂王岗管理区通61-X191等区域光伏发电站</w:t>
      </w:r>
      <w:r>
        <w:rPr>
          <w:rFonts w:hint="eastAsia"/>
        </w:rPr>
        <w:t>节能验收报告》中所有内容均与本项目实际建设及运营情况相符，若有不符或隐瞒，我单位愿承担全部法律责任。</w:t>
      </w:r>
    </w:p>
    <w:p w14:paraId="79874795">
      <w:pPr>
        <w:ind w:firstLine="640"/>
        <w:rPr>
          <w:rFonts w:hint="eastAsia"/>
        </w:rPr>
      </w:pPr>
      <w:r>
        <w:rPr>
          <w:rFonts w:hint="eastAsia"/>
        </w:rPr>
        <w:t>特此承诺。</w:t>
      </w:r>
    </w:p>
    <w:p w14:paraId="55D21118">
      <w:pPr>
        <w:ind w:firstLine="640"/>
        <w:rPr>
          <w:rFonts w:hint="eastAsia"/>
        </w:rPr>
      </w:pPr>
    </w:p>
    <w:p w14:paraId="76E6AA32">
      <w:pPr>
        <w:ind w:firstLine="640"/>
        <w:rPr>
          <w:rFonts w:hint="eastAsia"/>
        </w:rPr>
      </w:pPr>
    </w:p>
    <w:p w14:paraId="0A1C3043">
      <w:pPr>
        <w:ind w:firstLine="640"/>
        <w:rPr>
          <w:rFonts w:hint="eastAsia"/>
        </w:rPr>
      </w:pPr>
    </w:p>
    <w:p w14:paraId="7674239F">
      <w:pPr>
        <w:ind w:firstLine="0" w:firstLineChars="0"/>
        <w:rPr>
          <w:rFonts w:hint="eastAsia"/>
        </w:rPr>
      </w:pPr>
      <w:r>
        <w:rPr>
          <w:rFonts w:hint="eastAsia"/>
        </w:rPr>
        <w:t>项目建设单位：胜利石油管理局有限公司新能源开发中心</w:t>
      </w:r>
    </w:p>
    <w:p w14:paraId="60878E2F">
      <w:pPr>
        <w:ind w:firstLine="0" w:firstLineChars="0"/>
        <w:rPr>
          <w:rFonts w:hint="eastAsia"/>
        </w:rPr>
      </w:pPr>
    </w:p>
    <w:p w14:paraId="4B6691FE">
      <w:pPr>
        <w:ind w:firstLine="0" w:firstLineChars="0"/>
        <w:rPr>
          <w:rFonts w:hint="eastAsia" w:eastAsia="华文仿宋"/>
          <w:lang w:eastAsia="zh-CN"/>
        </w:rPr>
      </w:pPr>
      <w:r>
        <w:rPr>
          <w:rFonts w:hint="eastAsia"/>
        </w:rPr>
        <w:t>项目建设单位负责人：</w:t>
      </w:r>
      <w:r>
        <w:rPr>
          <w:rFonts w:hint="eastAsia"/>
          <w:lang w:val="en-US" w:eastAsia="zh-CN"/>
        </w:rPr>
        <w:t>周薪</w:t>
      </w:r>
    </w:p>
    <w:p w14:paraId="38FB8CD9">
      <w:pPr>
        <w:ind w:firstLine="0" w:firstLineChars="0"/>
        <w:rPr>
          <w:rFonts w:hint="eastAsia"/>
        </w:rPr>
      </w:pPr>
    </w:p>
    <w:p w14:paraId="255736ED">
      <w:pPr>
        <w:ind w:firstLine="0" w:firstLineChars="0"/>
        <w:rPr>
          <w:rFonts w:hint="eastAsia"/>
        </w:rPr>
      </w:pPr>
      <w:r>
        <w:rPr>
          <w:rFonts w:hint="eastAsia"/>
        </w:rPr>
        <w:t>日期：2025年7月7日</w:t>
      </w:r>
    </w:p>
    <w:p w14:paraId="1DE2F0A0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sdt>
      <w:sdtPr>
        <w:rPr>
          <w:rFonts w:ascii="宋体" w:hAnsi="宋体" w:eastAsia="宋体"/>
          <w:sz w:val="21"/>
        </w:rPr>
        <w:id w:val="147474068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/>
          <w:sz w:val="21"/>
        </w:rPr>
      </w:sdtEndPr>
      <w:sdtContent>
        <w:p w14:paraId="2635EB64">
          <w:pPr>
            <w:spacing w:line="240" w:lineRule="auto"/>
            <w:ind w:firstLine="0" w:firstLineChars="0"/>
            <w:jc w:val="center"/>
            <w:rPr>
              <w:rFonts w:hint="eastAsia" w:ascii="黑体" w:hAnsi="黑体" w:eastAsia="黑体" w:cs="黑体"/>
              <w:szCs w:val="32"/>
            </w:rPr>
          </w:pPr>
          <w:r>
            <w:rPr>
              <w:rFonts w:hint="eastAsia" w:ascii="黑体" w:hAnsi="黑体" w:eastAsia="黑体" w:cs="黑体"/>
              <w:szCs w:val="32"/>
            </w:rPr>
            <w:t>目  录</w:t>
          </w:r>
        </w:p>
        <w:p w14:paraId="7D9416D1">
          <w:pPr>
            <w:spacing w:line="240" w:lineRule="auto"/>
            <w:ind w:firstLine="0" w:firstLineChars="0"/>
            <w:jc w:val="center"/>
            <w:rPr>
              <w:rFonts w:hint="eastAsia" w:ascii="黑体" w:hAnsi="黑体" w:eastAsia="黑体" w:cs="黑体"/>
              <w:szCs w:val="32"/>
            </w:rPr>
          </w:pPr>
        </w:p>
        <w:p w14:paraId="353C58AC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"_Toc11250"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一、 资料筹备和验收组组成情况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_Toc11250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672284FD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"_Toc3296"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二、 项目建设单位概况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_Toc3296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3254DB31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"_Toc21016"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三、 项目建设进展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_Toc21016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7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C69B53F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"_Toc17752"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四、 项目建设方案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_Toc17752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8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E5B38E7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"_Toc29195"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五、 主要用能设备及其用能水平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_Toc29195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0CA30269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"_Toc11022"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六、 节能措施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_Toc11022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19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64A03FCC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"_Toc2916"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七、 计量器具配备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_Toc2916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2BC6426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"_Toc11824"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八、 项目年综合能源消耗量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_Toc11824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405B0D5A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"_Toc2196"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九、 项目能效水平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_Toc2196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001BFFCE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"_Toc18051"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十、 结论和问题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_Toc18051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4D312799">
          <w:pPr>
            <w:spacing w:line="360" w:lineRule="auto"/>
            <w:ind w:firstLine="560"/>
            <w:rPr>
              <w:rFonts w:hint="eastAsia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</w:sdtContent>
    </w:sdt>
    <w:p w14:paraId="71C90766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p w14:paraId="482DD515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1" w:name="_Toc11250"/>
      <w:r>
        <w:rPr>
          <w:rFonts w:hint="eastAsia"/>
        </w:rPr>
        <w:t>资料筹备和验收组组成情况</w:t>
      </w:r>
      <w:bookmarkEnd w:id="1"/>
    </w:p>
    <w:p w14:paraId="21545861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验收依据</w:t>
      </w:r>
    </w:p>
    <w:p w14:paraId="3BCF3B3C">
      <w:pPr>
        <w:numPr>
          <w:ilvl w:val="0"/>
          <w:numId w:val="3"/>
        </w:numPr>
        <w:ind w:firstLine="640"/>
        <w:rPr>
          <w:rFonts w:hint="eastAsia"/>
        </w:rPr>
      </w:pPr>
      <w:r>
        <w:t>法律、法规、规范性文件</w:t>
      </w:r>
    </w:p>
    <w:p w14:paraId="182036E7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《固定资产投资项目节能审查办法》国家发改委令2023 年第2号</w:t>
      </w:r>
    </w:p>
    <w:p w14:paraId="26E7080C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《企业投资项目事中事后监管办法》国家发改委令2018年第 14号</w:t>
      </w:r>
    </w:p>
    <w:p w14:paraId="082C7CD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《固定资产投资项目节能验收工作指南》2018年版</w:t>
      </w:r>
    </w:p>
    <w:p w14:paraId="2DBD2A3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《山东省固定资产投资项目节能验收管理办法（试行）》【2024】657号</w:t>
      </w:r>
    </w:p>
    <w:p w14:paraId="4D08E348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《重点用能产品设备能效先进水平、节能水平和准入水平 （2022年版）》发改环资规【2022】1719号</w:t>
      </w:r>
    </w:p>
    <w:p w14:paraId="69042B8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《国家工业和信息化领域节能技术装备推荐目录（2022年版）》</w:t>
      </w:r>
    </w:p>
    <w:p w14:paraId="6007BDBA">
      <w:pPr>
        <w:numPr>
          <w:ilvl w:val="0"/>
          <w:numId w:val="3"/>
        </w:numPr>
        <w:ind w:firstLine="640"/>
        <w:rPr>
          <w:rFonts w:hint="eastAsia"/>
        </w:rPr>
      </w:pPr>
      <w:r>
        <w:t>相关标准和规范</w:t>
      </w:r>
    </w:p>
    <w:p w14:paraId="24066BE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GB17167-2006 用能单位能源计量器具配备和管理通则</w:t>
      </w:r>
    </w:p>
    <w:p w14:paraId="25673765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 xml:space="preserve">GB19577-2015 冷水机组能效限定值及能效等级 </w:t>
      </w:r>
    </w:p>
    <w:p w14:paraId="03C4DE6F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GB19761-2020 通风机能效限定值及能效等级</w:t>
      </w:r>
    </w:p>
    <w:p w14:paraId="3295F967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GB20052-2020 电力变压器能效限定值及能效等级</w:t>
      </w:r>
    </w:p>
    <w:p w14:paraId="3E8DBD49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GB21455- 2019 房间空气调节器能效限定值及能效等级</w:t>
      </w:r>
    </w:p>
    <w:p w14:paraId="5EA35D5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GB30255-2019 室内照明用 LED 产品能效限定值及能效等级</w:t>
      </w:r>
    </w:p>
    <w:p w14:paraId="3C40481E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GB55015- 2021建筑节能与可再生能源利用通用规范</w:t>
      </w:r>
    </w:p>
    <w:p w14:paraId="091B704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GB/T 2589-2020 综合能耗计算通则</w:t>
      </w:r>
    </w:p>
    <w:p w14:paraId="7CAE40C8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GB/T 23331-2020 能源管理体系要求和使用指南</w:t>
      </w:r>
    </w:p>
    <w:p w14:paraId="43F82A53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t>GB/T 50063</w:t>
      </w:r>
      <w:r>
        <w:rPr>
          <w:rFonts w:hint="eastAsia"/>
        </w:rPr>
        <w:t>-2017电力装置电测量仪表装置设计规范</w:t>
      </w:r>
    </w:p>
    <w:p w14:paraId="227C7AC3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NB/T 10394-2020 光伏发电系统效能规范</w:t>
      </w:r>
    </w:p>
    <w:p w14:paraId="1C7E3EB1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 xml:space="preserve">TCEEIA 258-2016 6kV~35kV 变压器能效限定值及能效等级 </w:t>
      </w:r>
    </w:p>
    <w:p w14:paraId="3237DA7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T/SARI 0002-2019 组合式空调机组能效限额及能源效率等级</w:t>
      </w:r>
    </w:p>
    <w:p w14:paraId="23C458ED">
      <w:pPr>
        <w:numPr>
          <w:ilvl w:val="0"/>
          <w:numId w:val="3"/>
        </w:numPr>
        <w:ind w:firstLine="640"/>
        <w:rPr>
          <w:rFonts w:hint="eastAsia"/>
        </w:rPr>
      </w:pPr>
      <w:r>
        <w:t>其他相关资料</w:t>
      </w:r>
    </w:p>
    <w:p w14:paraId="3E944C3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</w:t>
      </w:r>
      <w:r>
        <w:rPr>
          <w:rFonts w:hint="eastAsia" w:ascii="华文仿宋" w:hAnsi="华文仿宋" w:cs="华文仿宋"/>
          <w:lang w:val="en-US" w:eastAsia="zh-CN"/>
        </w:rPr>
        <w:t>现河采油厂王岗管理区通61-X191等区域光伏发电工程</w:t>
      </w:r>
      <w:r>
        <w:rPr>
          <w:rFonts w:hint="eastAsia" w:ascii="华文仿宋" w:hAnsi="华文仿宋" w:cs="华文仿宋"/>
        </w:rPr>
        <w:t>可行性研究报告》</w:t>
      </w:r>
    </w:p>
    <w:p w14:paraId="5A3BFAAC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《关于油气集输总厂原孤岛汽车队等区域分布式光伏发电工程等5个项目可行性研究报告备案的批复》</w:t>
      </w:r>
      <w:r>
        <w:rPr>
          <w:rFonts w:hint="eastAsia" w:ascii="华文仿宋" w:hAnsi="华文仿宋" w:cs="华文仿宋"/>
          <w:lang w:eastAsia="zh-CN"/>
        </w:rPr>
        <w:t>（</w:t>
      </w:r>
      <w:r>
        <w:rPr>
          <w:rFonts w:hint="eastAsia" w:ascii="华文仿宋" w:hAnsi="华文仿宋" w:cs="华文仿宋"/>
          <w:lang w:val="en-US" w:eastAsia="zh-CN"/>
        </w:rPr>
        <w:t>胜油局工单[2022]59号</w:t>
      </w:r>
      <w:r>
        <w:rPr>
          <w:rFonts w:hint="eastAsia" w:ascii="华文仿宋" w:hAnsi="华文仿宋" w:cs="华文仿宋"/>
          <w:lang w:eastAsia="zh-CN"/>
        </w:rPr>
        <w:t>）</w:t>
      </w:r>
    </w:p>
    <w:p w14:paraId="4A0C7086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项目设计资料、竣工资料、设备台账资料。</w:t>
      </w:r>
    </w:p>
    <w:p w14:paraId="5A45AEE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生产台账等其他相关有效资料。</w:t>
      </w:r>
    </w:p>
    <w:p w14:paraId="3E54A9AB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</w:t>
      </w:r>
      <w:r>
        <w:rPr>
          <w:rFonts w:hint="eastAsia"/>
          <w:b/>
          <w:bCs/>
        </w:rPr>
        <w:t>人员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85"/>
        <w:gridCol w:w="1935"/>
        <w:gridCol w:w="2067"/>
        <w:gridCol w:w="2681"/>
      </w:tblGrid>
      <w:tr w14:paraId="037A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tblHeader/>
          <w:jc w:val="center"/>
        </w:trPr>
        <w:tc>
          <w:tcPr>
            <w:tcW w:w="654" w:type="dxa"/>
            <w:vAlign w:val="center"/>
          </w:tcPr>
          <w:p w14:paraId="50FDC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85" w:type="dxa"/>
            <w:vAlign w:val="center"/>
          </w:tcPr>
          <w:p w14:paraId="3348D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935" w:type="dxa"/>
            <w:vAlign w:val="center"/>
          </w:tcPr>
          <w:p w14:paraId="0CAA7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节能验收分工</w:t>
            </w:r>
          </w:p>
        </w:tc>
        <w:tc>
          <w:tcPr>
            <w:tcW w:w="2067" w:type="dxa"/>
            <w:vAlign w:val="center"/>
          </w:tcPr>
          <w:p w14:paraId="031A9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职务/职称</w:t>
            </w:r>
          </w:p>
        </w:tc>
        <w:tc>
          <w:tcPr>
            <w:tcW w:w="2681" w:type="dxa"/>
            <w:vAlign w:val="center"/>
          </w:tcPr>
          <w:p w14:paraId="2F44F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所在单位</w:t>
            </w:r>
          </w:p>
        </w:tc>
      </w:tr>
      <w:tr w14:paraId="62B57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 w14:paraId="00495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 w14:paraId="192D1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邵江华</w:t>
            </w:r>
          </w:p>
        </w:tc>
        <w:tc>
          <w:tcPr>
            <w:tcW w:w="1935" w:type="dxa"/>
            <w:vAlign w:val="center"/>
          </w:tcPr>
          <w:p w14:paraId="71FFA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2067" w:type="dxa"/>
            <w:vAlign w:val="center"/>
          </w:tcPr>
          <w:p w14:paraId="78EFD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专家</w:t>
            </w:r>
          </w:p>
        </w:tc>
        <w:tc>
          <w:tcPr>
            <w:tcW w:w="2681" w:type="dxa"/>
            <w:vAlign w:val="center"/>
          </w:tcPr>
          <w:p w14:paraId="24581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207F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 w14:paraId="66FE7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85" w:type="dxa"/>
            <w:vAlign w:val="center"/>
          </w:tcPr>
          <w:p w14:paraId="4AC73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  薪</w:t>
            </w:r>
          </w:p>
        </w:tc>
        <w:tc>
          <w:tcPr>
            <w:tcW w:w="1935" w:type="dxa"/>
            <w:vAlign w:val="center"/>
          </w:tcPr>
          <w:p w14:paraId="57B93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副组长</w:t>
            </w:r>
          </w:p>
        </w:tc>
        <w:tc>
          <w:tcPr>
            <w:tcW w:w="2067" w:type="dxa"/>
            <w:vAlign w:val="center"/>
          </w:tcPr>
          <w:p w14:paraId="786B5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经理</w:t>
            </w:r>
          </w:p>
        </w:tc>
        <w:tc>
          <w:tcPr>
            <w:tcW w:w="2681" w:type="dxa"/>
            <w:vAlign w:val="center"/>
          </w:tcPr>
          <w:p w14:paraId="48091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05604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 w14:paraId="4C5C1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85" w:type="dxa"/>
            <w:vAlign w:val="center"/>
          </w:tcPr>
          <w:p w14:paraId="04BD6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徐雪峰</w:t>
            </w:r>
          </w:p>
        </w:tc>
        <w:tc>
          <w:tcPr>
            <w:tcW w:w="1935" w:type="dxa"/>
            <w:vAlign w:val="center"/>
          </w:tcPr>
          <w:p w14:paraId="7165D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6C209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副经理</w:t>
            </w:r>
          </w:p>
        </w:tc>
        <w:tc>
          <w:tcPr>
            <w:tcW w:w="2681" w:type="dxa"/>
            <w:vAlign w:val="center"/>
          </w:tcPr>
          <w:p w14:paraId="3A41B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31F6C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 w14:paraId="5A93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85" w:type="dxa"/>
            <w:vAlign w:val="center"/>
          </w:tcPr>
          <w:p w14:paraId="5D626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郑  勇</w:t>
            </w:r>
          </w:p>
        </w:tc>
        <w:tc>
          <w:tcPr>
            <w:tcW w:w="1935" w:type="dxa"/>
            <w:vAlign w:val="center"/>
          </w:tcPr>
          <w:p w14:paraId="23B08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45C96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安全主任监督</w:t>
            </w:r>
          </w:p>
        </w:tc>
        <w:tc>
          <w:tcPr>
            <w:tcW w:w="2681" w:type="dxa"/>
            <w:vAlign w:val="center"/>
          </w:tcPr>
          <w:p w14:paraId="59E49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430F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 w14:paraId="63131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85" w:type="dxa"/>
            <w:vAlign w:val="center"/>
          </w:tcPr>
          <w:p w14:paraId="6FA50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王艺晓</w:t>
            </w:r>
          </w:p>
        </w:tc>
        <w:tc>
          <w:tcPr>
            <w:tcW w:w="1935" w:type="dxa"/>
            <w:vAlign w:val="center"/>
          </w:tcPr>
          <w:p w14:paraId="28C62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55044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2681" w:type="dxa"/>
            <w:vAlign w:val="center"/>
          </w:tcPr>
          <w:p w14:paraId="1FC77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4E77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 w14:paraId="32951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85" w:type="dxa"/>
            <w:vAlign w:val="center"/>
          </w:tcPr>
          <w:p w14:paraId="1BE3C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孙睿哲</w:t>
            </w:r>
          </w:p>
        </w:tc>
        <w:tc>
          <w:tcPr>
            <w:tcW w:w="1935" w:type="dxa"/>
            <w:vAlign w:val="center"/>
          </w:tcPr>
          <w:p w14:paraId="0BDFA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1F0BB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2681" w:type="dxa"/>
            <w:vAlign w:val="center"/>
          </w:tcPr>
          <w:p w14:paraId="1F710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2026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 w14:paraId="471A3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85" w:type="dxa"/>
            <w:vAlign w:val="center"/>
          </w:tcPr>
          <w:p w14:paraId="534E6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任  正</w:t>
            </w:r>
          </w:p>
        </w:tc>
        <w:tc>
          <w:tcPr>
            <w:tcW w:w="1935" w:type="dxa"/>
            <w:vAlign w:val="center"/>
          </w:tcPr>
          <w:p w14:paraId="02C95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01E5A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2681" w:type="dxa"/>
            <w:vAlign w:val="center"/>
          </w:tcPr>
          <w:p w14:paraId="61B2B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</w:tbl>
    <w:p w14:paraId="1D81804D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</w:t>
      </w:r>
      <w:r>
        <w:rPr>
          <w:rFonts w:hint="eastAsia"/>
          <w:b/>
          <w:bCs/>
        </w:rPr>
        <w:t>范围</w:t>
      </w:r>
    </w:p>
    <w:p w14:paraId="0C23C16C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项目工程建设规模及建设内容、工艺方案、总平面布置、主要用能工艺以及辅助和附属生产工序落实情况；</w:t>
      </w:r>
    </w:p>
    <w:p w14:paraId="52C00F98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项目工程主要耗能设备的型式、容量、能效等落实情况；</w:t>
      </w:r>
    </w:p>
    <w:p w14:paraId="2D231F60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项目工程建筑、工艺、设备和管理计量等方面的节能措施落实情况等；</w:t>
      </w:r>
    </w:p>
    <w:p w14:paraId="37776198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项目工程能源计量器具配备情况；</w:t>
      </w:r>
    </w:p>
    <w:p w14:paraId="79E7D523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项目工程能源消费种类、消费量、能耗水平、设备能效等级情况</w:t>
      </w:r>
    </w:p>
    <w:p w14:paraId="4DE8A683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项目工程是否采用国家明令禁止和淘汰的设备、 工艺和材料等。</w:t>
      </w:r>
    </w:p>
    <w:p w14:paraId="7148C0BC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工作过程</w:t>
      </w:r>
    </w:p>
    <w:p w14:paraId="0F16E1A3">
      <w:pPr>
        <w:numPr>
          <w:ilvl w:val="0"/>
          <w:numId w:val="6"/>
        </w:numPr>
        <w:ind w:firstLine="640"/>
        <w:rPr>
          <w:rFonts w:hint="eastAsia"/>
        </w:rPr>
      </w:pPr>
      <w:r>
        <w:rPr>
          <w:rFonts w:hint="eastAsia"/>
        </w:rPr>
        <w:t>小组成立，分工安排。中心</w:t>
      </w:r>
      <w:r>
        <w:t>于202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val="en-US" w:eastAsia="zh-CN"/>
        </w:rPr>
        <w:t>9</w:t>
      </w:r>
      <w:r>
        <w:t>日</w:t>
      </w:r>
      <w:r>
        <w:rPr>
          <w:rFonts w:hint="eastAsia"/>
        </w:rPr>
        <w:t>组织成立了项目节能验收工作小组，进行了分工安排，并制定了验收计划。</w:t>
      </w:r>
    </w:p>
    <w:p w14:paraId="7BDAEF12">
      <w:pPr>
        <w:numPr>
          <w:ilvl w:val="0"/>
          <w:numId w:val="6"/>
        </w:numPr>
        <w:ind w:firstLine="640"/>
        <w:rPr>
          <w:rFonts w:hint="eastAsia"/>
        </w:rPr>
      </w:pPr>
      <w:r>
        <w:rPr>
          <w:rFonts w:hint="eastAsia"/>
        </w:rPr>
        <w:t>资料筹集及查验。验收组于202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日开始进行资料筹集，于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日筹集完毕。</w:t>
      </w:r>
      <w:r>
        <w:t>202</w:t>
      </w:r>
      <w:r>
        <w:rPr>
          <w:rFonts w:hint="eastAsia"/>
          <w:lang w:val="en-US" w:eastAsia="zh-CN"/>
        </w:rPr>
        <w:t>5</w:t>
      </w:r>
      <w:r>
        <w:t xml:space="preserve">年 </w:t>
      </w:r>
      <w:r>
        <w:rPr>
          <w:rFonts w:hint="eastAsia"/>
          <w:lang w:val="en-US" w:eastAsia="zh-CN"/>
        </w:rPr>
        <w:t>6</w:t>
      </w:r>
      <w:r>
        <w:t xml:space="preserve">月 </w:t>
      </w:r>
      <w:r>
        <w:rPr>
          <w:rFonts w:hint="eastAsia"/>
          <w:lang w:val="en-US" w:eastAsia="zh-CN"/>
        </w:rPr>
        <w:t>13</w:t>
      </w:r>
      <w:r>
        <w:t xml:space="preserve"> 日对相关资料进行了</w:t>
      </w:r>
      <w:r>
        <w:rPr>
          <w:rFonts w:hint="eastAsia"/>
        </w:rPr>
        <w:t>查验</w:t>
      </w:r>
      <w:r>
        <w:t>。在</w:t>
      </w:r>
      <w:r>
        <w:rPr>
          <w:rFonts w:hint="eastAsia"/>
        </w:rPr>
        <w:t>资料查验</w:t>
      </w:r>
      <w:r>
        <w:t>中确认</w:t>
      </w:r>
      <w:r>
        <w:rPr>
          <w:rFonts w:hint="eastAsia"/>
        </w:rPr>
        <w:t>筹集的</w:t>
      </w:r>
      <w:r>
        <w:t>材料基本完整，并提取出在现场</w:t>
      </w:r>
      <w:r>
        <w:rPr>
          <w:rFonts w:hint="eastAsia"/>
        </w:rPr>
        <w:t>核验</w:t>
      </w:r>
      <w:r>
        <w:t>中需特别关注的重点。</w:t>
      </w:r>
    </w:p>
    <w:p w14:paraId="191282F9">
      <w:pPr>
        <w:numPr>
          <w:ilvl w:val="0"/>
          <w:numId w:val="6"/>
        </w:numPr>
        <w:tabs>
          <w:tab w:val="left" w:pos="0"/>
        </w:tabs>
        <w:ind w:firstLine="640"/>
        <w:rPr>
          <w:rFonts w:hint="eastAsia"/>
        </w:rPr>
      </w:pPr>
      <w:r>
        <w:t>现场</w:t>
      </w:r>
      <w:r>
        <w:rPr>
          <w:rFonts w:hint="eastAsia"/>
        </w:rPr>
        <w:t>核验。</w:t>
      </w:r>
      <w:r>
        <w:t>验收组于202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val="en-US" w:eastAsia="zh-CN"/>
        </w:rPr>
        <w:t>16</w:t>
      </w:r>
      <w:r>
        <w:t>日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对</w:t>
      </w:r>
      <w:r>
        <w:rPr>
          <w:rFonts w:hint="eastAsia" w:ascii="华文仿宋" w:hAnsi="华文仿宋" w:cs="华文仿宋"/>
          <w:lang w:val="en-US" w:eastAsia="zh-CN"/>
        </w:rPr>
        <w:t>现河采油厂王岗管理区通61-X191等区域</w:t>
      </w:r>
      <w:r>
        <w:rPr>
          <w:rFonts w:hint="eastAsia"/>
          <w:lang w:val="en-US" w:eastAsia="zh-CN"/>
        </w:rPr>
        <w:t>光伏发电站</w:t>
      </w:r>
      <w:r>
        <w:t>现场</w:t>
      </w:r>
      <w:r>
        <w:rPr>
          <w:rFonts w:hint="eastAsia"/>
        </w:rPr>
        <w:t>核验</w:t>
      </w:r>
      <w:r>
        <w:t>，形成</w:t>
      </w:r>
      <w:r>
        <w:rPr>
          <w:rFonts w:hint="eastAsia"/>
        </w:rPr>
        <w:t>了</w:t>
      </w:r>
      <w:r>
        <w:t>节能验收意见。</w:t>
      </w:r>
    </w:p>
    <w:p w14:paraId="763740A1">
      <w:pPr>
        <w:numPr>
          <w:ilvl w:val="0"/>
          <w:numId w:val="6"/>
        </w:numPr>
        <w:tabs>
          <w:tab w:val="left" w:pos="0"/>
        </w:tabs>
        <w:ind w:firstLine="640"/>
        <w:rPr>
          <w:rFonts w:hint="eastAsia"/>
        </w:rPr>
      </w:pPr>
      <w:r>
        <w:t>出具节能验收报告</w:t>
      </w:r>
      <w:r>
        <w:rPr>
          <w:rFonts w:hint="eastAsia"/>
        </w:rPr>
        <w:t>。</w:t>
      </w:r>
      <w:r>
        <w:t>根据项</w:t>
      </w:r>
      <w:r>
        <w:rPr>
          <w:rFonts w:hint="eastAsia"/>
        </w:rPr>
        <w:t>目</w:t>
      </w:r>
      <w:r>
        <w:t>节能验收情况及意见，确定节能验收结果并编</w:t>
      </w:r>
      <w:r>
        <w:rPr>
          <w:rFonts w:hint="eastAsia"/>
        </w:rPr>
        <w:t>制了《</w:t>
      </w:r>
      <w:r>
        <w:rPr>
          <w:rFonts w:hint="eastAsia" w:ascii="华文仿宋" w:hAnsi="华文仿宋" w:cs="华文仿宋"/>
          <w:lang w:val="en-US" w:eastAsia="zh-CN"/>
        </w:rPr>
        <w:t>现河采油厂王岗管理区通61-X191等区域光伏发电</w:t>
      </w:r>
      <w:r>
        <w:rPr>
          <w:rFonts w:hint="eastAsia"/>
          <w:lang w:val="en-US" w:eastAsia="zh-CN"/>
        </w:rPr>
        <w:t>站</w:t>
      </w:r>
      <w:r>
        <w:rPr>
          <w:rFonts w:hint="eastAsia"/>
        </w:rPr>
        <w:t>节能验收报告》</w:t>
      </w:r>
      <w:r>
        <w:t>。</w:t>
      </w:r>
    </w:p>
    <w:p w14:paraId="40B746D7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2" w:name="_Toc3296"/>
      <w:r>
        <w:rPr>
          <w:rFonts w:hint="eastAsia"/>
        </w:rPr>
        <w:t>项目建设单位概况</w:t>
      </w:r>
      <w:bookmarkEnd w:id="2"/>
    </w:p>
    <w:p w14:paraId="522584BD">
      <w:pPr>
        <w:ind w:firstLine="640"/>
        <w:rPr>
          <w:rFonts w:hint="eastAsia"/>
        </w:rPr>
      </w:pPr>
      <w:r>
        <w:rPr>
          <w:rFonts w:hint="eastAsia"/>
        </w:rPr>
        <w:t>单位名称：中国石化集团胜利石油管理局有限公司新能源开发中心</w:t>
      </w:r>
    </w:p>
    <w:p w14:paraId="04623050">
      <w:pPr>
        <w:ind w:firstLine="640"/>
        <w:rPr>
          <w:rFonts w:hint="eastAsia"/>
        </w:rPr>
      </w:pPr>
      <w:r>
        <w:rPr>
          <w:rFonts w:hint="eastAsia"/>
        </w:rPr>
        <w:t>法定代表人：张维进</w:t>
      </w:r>
    </w:p>
    <w:p w14:paraId="45E424E2">
      <w:pPr>
        <w:ind w:firstLine="640"/>
        <w:rPr>
          <w:rFonts w:hint="eastAsia" w:eastAsia="华文仿宋"/>
          <w:lang w:eastAsia="zh-CN"/>
        </w:rPr>
      </w:pPr>
      <w:r>
        <w:rPr>
          <w:rFonts w:hint="eastAsia"/>
        </w:rPr>
        <w:t>项目联系人：</w:t>
      </w:r>
      <w:r>
        <w:rPr>
          <w:rFonts w:hint="eastAsia"/>
          <w:lang w:val="en-US" w:eastAsia="zh-CN"/>
        </w:rPr>
        <w:t>周  薪</w:t>
      </w:r>
    </w:p>
    <w:p w14:paraId="5C67D84D">
      <w:pPr>
        <w:ind w:firstLine="640"/>
        <w:rPr>
          <w:rFonts w:hint="default" w:eastAsia="华文仿宋"/>
          <w:lang w:val="en-US" w:eastAsia="zh-CN"/>
        </w:rPr>
      </w:pPr>
      <w:r>
        <w:rPr>
          <w:rFonts w:hint="eastAsia"/>
        </w:rPr>
        <w:t>联系方式：</w:t>
      </w:r>
      <w:r>
        <w:rPr>
          <w:rFonts w:hint="eastAsia"/>
          <w:lang w:val="en-US" w:eastAsia="zh-CN"/>
        </w:rPr>
        <w:t>18954626051</w:t>
      </w:r>
    </w:p>
    <w:p w14:paraId="54A03BC0">
      <w:pPr>
        <w:ind w:firstLine="640"/>
        <w:rPr>
          <w:rFonts w:hint="eastAsia"/>
          <w:lang w:eastAsia="zh-CN"/>
        </w:rPr>
      </w:pPr>
      <w:r>
        <w:rPr>
          <w:rFonts w:hint="eastAsia"/>
        </w:rPr>
        <w:t>单位简介</w:t>
      </w:r>
      <w:r>
        <w:rPr>
          <w:rFonts w:hint="eastAsia"/>
          <w:lang w:eastAsia="zh-CN"/>
        </w:rPr>
        <w:t>：新能源开发中心</w:t>
      </w:r>
      <w:r>
        <w:rPr>
          <w:rFonts w:hint="eastAsia"/>
          <w:lang w:val="en-US" w:eastAsia="zh-CN"/>
        </w:rPr>
        <w:t>成立于</w:t>
      </w:r>
      <w:r>
        <w:rPr>
          <w:rFonts w:hint="eastAsia"/>
          <w:lang w:eastAsia="zh-CN"/>
        </w:rPr>
        <w:t>2017年5月，</w:t>
      </w:r>
      <w:r>
        <w:rPr>
          <w:rFonts w:hint="eastAsia"/>
          <w:lang w:val="en-US" w:eastAsia="zh-CN"/>
        </w:rPr>
        <w:t>是</w:t>
      </w:r>
      <w:r>
        <w:rPr>
          <w:rFonts w:hint="eastAsia"/>
          <w:lang w:eastAsia="zh-CN"/>
        </w:rPr>
        <w:t>油田新能源开发利用专业化单位。经营范围包括：地热、余热（压）、太阳能、风能、氢能、储能等清洁能源业务；节能减排业务；技术研发、设计咨询、工程施工、运营管理与技术服务；能源互联网；碳资产运营管理等。截至</w:t>
      </w:r>
      <w:r>
        <w:rPr>
          <w:rFonts w:hint="eastAsia"/>
          <w:lang w:val="en-US" w:eastAsia="zh-CN"/>
        </w:rPr>
        <w:t>2024年</w:t>
      </w:r>
      <w:r>
        <w:rPr>
          <w:rFonts w:hint="eastAsia"/>
          <w:lang w:eastAsia="zh-CN"/>
        </w:rPr>
        <w:t>，油田累计投产各类新能源项目174个，年代油9260吨，年代气4400万方，地热余热年供热能力245万吉焦，年发用绿电5亿千瓦时，年节标煤14万吨，碳减排60万吨。胜利油田成为集团公司上游板块新能源规模最大企业。</w:t>
      </w:r>
    </w:p>
    <w:p w14:paraId="7615DA0E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3" w:name="_Toc21016"/>
      <w:r>
        <w:rPr>
          <w:rFonts w:hint="eastAsia"/>
        </w:rPr>
        <w:t>项目建设进展</w:t>
      </w:r>
      <w:bookmarkEnd w:id="3"/>
    </w:p>
    <w:p w14:paraId="3F5B30C4">
      <w:pPr>
        <w:ind w:firstLine="640"/>
        <w:rPr>
          <w:rFonts w:hint="eastAsia"/>
        </w:rPr>
      </w:pPr>
      <w:r>
        <w:rPr>
          <w:rFonts w:hint="eastAsia"/>
        </w:rPr>
        <w:t>（一）项目概况</w:t>
      </w:r>
    </w:p>
    <w:p w14:paraId="286A956A">
      <w:pPr>
        <w:ind w:firstLine="640"/>
        <w:rPr>
          <w:rFonts w:hint="default" w:eastAsia="华文仿宋"/>
          <w:lang w:val="en-US" w:eastAsia="zh-CN"/>
        </w:rPr>
      </w:pPr>
      <w:r>
        <w:rPr>
          <w:rFonts w:hint="eastAsia"/>
        </w:rPr>
        <w:t>项目名称：</w:t>
      </w:r>
      <w:r>
        <w:rPr>
          <w:rFonts w:hint="eastAsia"/>
          <w:lang w:val="en-US" w:eastAsia="zh-CN"/>
        </w:rPr>
        <w:t>现河采油厂王岗管理区通61-X191等区域光伏发电站</w:t>
      </w:r>
    </w:p>
    <w:p w14:paraId="1BF2BE8E">
      <w:pPr>
        <w:ind w:firstLine="640"/>
        <w:rPr>
          <w:rFonts w:hint="eastAsia"/>
        </w:rPr>
      </w:pPr>
      <w:r>
        <w:rPr>
          <w:rFonts w:hint="eastAsia"/>
        </w:rPr>
        <w:t>建设地点：</w:t>
      </w:r>
      <w:r>
        <w:rPr>
          <w:rFonts w:hint="eastAsia"/>
          <w:lang w:val="en-US" w:eastAsia="zh-CN"/>
        </w:rPr>
        <w:t>东营市东营区六户镇</w:t>
      </w:r>
    </w:p>
    <w:p w14:paraId="4A850628">
      <w:pPr>
        <w:ind w:firstLine="640"/>
        <w:rPr>
          <w:rFonts w:hint="eastAsia"/>
        </w:rPr>
      </w:pPr>
      <w:r>
        <w:rPr>
          <w:rFonts w:hint="eastAsia"/>
        </w:rPr>
        <w:t>项目性质：新建</w:t>
      </w:r>
    </w:p>
    <w:p w14:paraId="30F4D873">
      <w:pPr>
        <w:rPr>
          <w:rFonts w:hint="eastAsia"/>
          <w:lang w:val="en-US" w:eastAsia="zh-CN"/>
        </w:rPr>
      </w:pPr>
      <w:r>
        <w:rPr>
          <w:rFonts w:hint="eastAsia"/>
        </w:rPr>
        <w:t>建设规模及内容：该工程利用</w:t>
      </w:r>
      <w:r>
        <w:rPr>
          <w:rFonts w:hint="eastAsia"/>
          <w:lang w:val="en-US" w:eastAsia="zh-CN"/>
        </w:rPr>
        <w:t>王岗管理区废弃井场、在用井场闲置场地1.3万平方米，建设地点分别是通61-113井场、王4井场、王102-60井场、王102-66井场、王102C54井场、史2-15井场、史6-2井场等7个场地。总装机容量为1008.68kWp。项目选用550Wp 单晶硅光伏组件496块；535Wp单晶硅光伏组件 544块；545Wp 单晶硅光伏组件1375块。选用组串式逆变器10台，其中110kW逆变器6台；60kW逆变器3台；40kW逆变器1台。光伏支架倾角31°，逆变器将直流电转化为400V交流电，后经变压器升压后接至附近6kV油田线路。</w:t>
      </w:r>
    </w:p>
    <w:p w14:paraId="6FAF5300">
      <w:pPr>
        <w:ind w:firstLine="640"/>
        <w:rPr>
          <w:rFonts w:hint="eastAsia"/>
        </w:rPr>
      </w:pPr>
      <w:r>
        <w:rPr>
          <w:rFonts w:hint="eastAsia"/>
        </w:rPr>
        <w:t>（二）建设历程</w:t>
      </w:r>
    </w:p>
    <w:p w14:paraId="34100EC7">
      <w:pPr>
        <w:ind w:firstLine="64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现河采油厂王岗管理区通61-X191等区域光伏发电</w:t>
      </w:r>
      <w:r>
        <w:rPr>
          <w:rFonts w:hint="eastAsia"/>
        </w:rPr>
        <w:t>工程可研批复。</w:t>
      </w:r>
    </w:p>
    <w:p w14:paraId="7998C037">
      <w:pPr>
        <w:ind w:firstLine="64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日工程开工建设。</w:t>
      </w:r>
    </w:p>
    <w:p w14:paraId="7412E767">
      <w:pPr>
        <w:ind w:firstLine="64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工程并网发电</w:t>
      </w:r>
      <w:r>
        <w:rPr>
          <w:rFonts w:hint="eastAsia"/>
        </w:rPr>
        <w:t>。</w:t>
      </w:r>
    </w:p>
    <w:p w14:paraId="1ADCF3F6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4" w:name="_Toc17752"/>
      <w:r>
        <w:rPr>
          <w:rFonts w:hint="eastAsia"/>
        </w:rPr>
        <w:t>项目建设方案</w:t>
      </w:r>
      <w:bookmarkEnd w:id="4"/>
    </w:p>
    <w:p w14:paraId="1901F629">
      <w:pPr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表1  项目建设方案对比表</w:t>
      </w:r>
    </w:p>
    <w:tbl>
      <w:tblPr>
        <w:tblStyle w:val="11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921"/>
        <w:gridCol w:w="2998"/>
        <w:gridCol w:w="1489"/>
      </w:tblGrid>
      <w:tr w14:paraId="681B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511" w:type="dxa"/>
            <w:vAlign w:val="center"/>
          </w:tcPr>
          <w:p w14:paraId="7B4D32B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工艺方案/用能系统名称</w:t>
            </w:r>
          </w:p>
        </w:tc>
        <w:tc>
          <w:tcPr>
            <w:tcW w:w="2921" w:type="dxa"/>
            <w:vAlign w:val="center"/>
          </w:tcPr>
          <w:p w14:paraId="5B9ED285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可研方案要求</w:t>
            </w:r>
          </w:p>
        </w:tc>
        <w:tc>
          <w:tcPr>
            <w:tcW w:w="2998" w:type="dxa"/>
            <w:vAlign w:val="center"/>
          </w:tcPr>
          <w:p w14:paraId="76FF1BE5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实际实施情况</w:t>
            </w:r>
          </w:p>
        </w:tc>
        <w:tc>
          <w:tcPr>
            <w:tcW w:w="1489" w:type="dxa"/>
            <w:vAlign w:val="center"/>
          </w:tcPr>
          <w:p w14:paraId="33DE0964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落实情况自评</w:t>
            </w:r>
          </w:p>
        </w:tc>
      </w:tr>
      <w:tr w14:paraId="5BB3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1" w:type="dxa"/>
            <w:vAlign w:val="center"/>
          </w:tcPr>
          <w:p w14:paraId="731090B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光伏组件</w:t>
            </w:r>
          </w:p>
        </w:tc>
        <w:tc>
          <w:tcPr>
            <w:tcW w:w="2921" w:type="dxa"/>
            <w:vAlign w:val="center"/>
          </w:tcPr>
          <w:p w14:paraId="5D8D975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Wp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单晶硅光伏组件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2828块</w:t>
            </w:r>
          </w:p>
        </w:tc>
        <w:tc>
          <w:tcPr>
            <w:tcW w:w="2998" w:type="dxa"/>
            <w:vAlign w:val="center"/>
          </w:tcPr>
          <w:p w14:paraId="1BF31DF3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550Wp 单晶硅光伏组件496块；535Wp单晶硅光伏组件 544块；545Wp 单晶硅光伏组件1375块</w:t>
            </w:r>
          </w:p>
        </w:tc>
        <w:tc>
          <w:tcPr>
            <w:tcW w:w="1489" w:type="dxa"/>
            <w:vAlign w:val="center"/>
          </w:tcPr>
          <w:p w14:paraId="58D0C21A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低于可研</w:t>
            </w:r>
          </w:p>
        </w:tc>
      </w:tr>
      <w:tr w14:paraId="4A8B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1" w:type="dxa"/>
            <w:vAlign w:val="center"/>
          </w:tcPr>
          <w:p w14:paraId="0627F181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组串直流缆</w:t>
            </w:r>
          </w:p>
        </w:tc>
        <w:tc>
          <w:tcPr>
            <w:tcW w:w="2921" w:type="dxa"/>
            <w:vAlign w:val="center"/>
          </w:tcPr>
          <w:p w14:paraId="6BAE598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H1Z2Z2-K 1×4mm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²</w:t>
            </w:r>
          </w:p>
          <w:p w14:paraId="45689F6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光伏专用电缆</w:t>
            </w:r>
          </w:p>
        </w:tc>
        <w:tc>
          <w:tcPr>
            <w:tcW w:w="2998" w:type="dxa"/>
            <w:vAlign w:val="center"/>
          </w:tcPr>
          <w:p w14:paraId="7533DEB8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H1Z2Z2-K 1×4mm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²</w:t>
            </w:r>
          </w:p>
          <w:p w14:paraId="59B72AF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光伏专用电缆</w:t>
            </w:r>
          </w:p>
        </w:tc>
        <w:tc>
          <w:tcPr>
            <w:tcW w:w="1489" w:type="dxa"/>
            <w:vAlign w:val="center"/>
          </w:tcPr>
          <w:p w14:paraId="62F77688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  <w:tr w14:paraId="043A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1" w:type="dxa"/>
            <w:vAlign w:val="center"/>
          </w:tcPr>
          <w:p w14:paraId="01D4BE3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</w:t>
            </w:r>
          </w:p>
        </w:tc>
        <w:tc>
          <w:tcPr>
            <w:tcW w:w="2921" w:type="dxa"/>
            <w:vAlign w:val="center"/>
          </w:tcPr>
          <w:p w14:paraId="599122C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16台</w:t>
            </w:r>
            <w:r>
              <w:rPr>
                <w:rFonts w:ascii="宋体" w:hAnsi="宋体" w:eastAsia="宋体" w:cs="宋体"/>
                <w:sz w:val="21"/>
                <w:szCs w:val="21"/>
              </w:rPr>
              <w:t>组串式逆变器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其中9台110kW；1台100kW；4台60kW；2台40kW）</w:t>
            </w:r>
          </w:p>
        </w:tc>
        <w:tc>
          <w:tcPr>
            <w:tcW w:w="2998" w:type="dxa"/>
            <w:vAlign w:val="center"/>
          </w:tcPr>
          <w:p w14:paraId="2FF14435">
            <w:pPr>
              <w:pStyle w:val="5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sz w:val="21"/>
                <w:szCs w:val="21"/>
              </w:rPr>
              <w:t>台组串式逆变器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（其中6台110kW；3台60kW；1台40kW）</w:t>
            </w:r>
          </w:p>
        </w:tc>
        <w:tc>
          <w:tcPr>
            <w:tcW w:w="1489" w:type="dxa"/>
            <w:vAlign w:val="center"/>
          </w:tcPr>
          <w:p w14:paraId="55D26A09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低于可研</w:t>
            </w:r>
          </w:p>
        </w:tc>
      </w:tr>
      <w:tr w14:paraId="3BF1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1" w:type="dxa"/>
            <w:vAlign w:val="center"/>
          </w:tcPr>
          <w:p w14:paraId="4D7D327E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交流缆</w:t>
            </w:r>
          </w:p>
        </w:tc>
        <w:tc>
          <w:tcPr>
            <w:tcW w:w="2921" w:type="dxa"/>
            <w:vAlign w:val="center"/>
          </w:tcPr>
          <w:p w14:paraId="78C21CE4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交联聚乙烯绝缘铠装电缆</w:t>
            </w:r>
          </w:p>
        </w:tc>
        <w:tc>
          <w:tcPr>
            <w:tcW w:w="2998" w:type="dxa"/>
            <w:vAlign w:val="center"/>
          </w:tcPr>
          <w:p w14:paraId="06E7243C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交联聚乙烯绝缘铠装电缆</w:t>
            </w:r>
          </w:p>
        </w:tc>
        <w:tc>
          <w:tcPr>
            <w:tcW w:w="1489" w:type="dxa"/>
            <w:vAlign w:val="center"/>
          </w:tcPr>
          <w:p w14:paraId="6620B9F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  <w:tr w14:paraId="2256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1" w:type="dxa"/>
            <w:vAlign w:val="center"/>
          </w:tcPr>
          <w:p w14:paraId="5F8CD371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升压变</w:t>
            </w:r>
          </w:p>
        </w:tc>
        <w:tc>
          <w:tcPr>
            <w:tcW w:w="2921" w:type="dxa"/>
            <w:vAlign w:val="center"/>
          </w:tcPr>
          <w:p w14:paraId="38986E18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采用低压并网接入属地单位变压器</w:t>
            </w:r>
          </w:p>
        </w:tc>
        <w:tc>
          <w:tcPr>
            <w:tcW w:w="2998" w:type="dxa"/>
            <w:vAlign w:val="center"/>
          </w:tcPr>
          <w:p w14:paraId="4AC4529A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采用低压并网接入属地单位变压器</w:t>
            </w:r>
          </w:p>
        </w:tc>
        <w:tc>
          <w:tcPr>
            <w:tcW w:w="1489" w:type="dxa"/>
            <w:vAlign w:val="center"/>
          </w:tcPr>
          <w:p w14:paraId="68A1CD83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</w:tbl>
    <w:p w14:paraId="65E43217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验收结论：项目建成规模与可行性研究报告基本一致，项目节能承诺基本落实。</w:t>
      </w:r>
    </w:p>
    <w:p w14:paraId="7E627B96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5" w:name="_Toc29195"/>
      <w:r>
        <w:rPr>
          <w:rFonts w:hint="eastAsia"/>
        </w:rPr>
        <w:t>主要用能设备及其用能水平</w:t>
      </w:r>
      <w:bookmarkEnd w:id="5"/>
    </w:p>
    <w:p w14:paraId="232C2487">
      <w:pPr>
        <w:ind w:firstLine="640"/>
        <w:rPr>
          <w:rFonts w:hint="eastAsia" w:eastAsia="华文仿宋"/>
          <w:lang w:eastAsia="zh-CN"/>
        </w:rPr>
      </w:pPr>
      <w:r>
        <w:rPr>
          <w:rFonts w:hint="eastAsia"/>
        </w:rPr>
        <w:t>主要工艺用能设备主要有</w:t>
      </w:r>
      <w:r>
        <w:rPr>
          <w:rFonts w:hint="eastAsia"/>
          <w:lang w:val="en-US" w:eastAsia="zh-CN"/>
        </w:rPr>
        <w:t>组串式逆变器</w:t>
      </w:r>
      <w:r>
        <w:rPr>
          <w:rFonts w:hint="eastAsia"/>
        </w:rPr>
        <w:t>、升压变压器等设备</w:t>
      </w:r>
      <w:r>
        <w:rPr>
          <w:rFonts w:hint="eastAsia"/>
          <w:lang w:eastAsia="zh-CN"/>
        </w:rPr>
        <w:t>。</w:t>
      </w:r>
    </w:p>
    <w:p w14:paraId="6EC9576B">
      <w:pPr>
        <w:ind w:firstLine="640"/>
        <w:rPr>
          <w:rFonts w:hint="eastAsia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7" w:right="1417" w:bottom="1417" w:left="1417" w:header="851" w:footer="992" w:gutter="0"/>
          <w:cols w:space="0" w:num="1"/>
          <w:docGrid w:type="lines" w:linePitch="312" w:charSpace="0"/>
        </w:sectPr>
      </w:pPr>
      <w:r>
        <w:rPr>
          <w:rFonts w:hint="eastAsia"/>
        </w:rPr>
        <w:t>经现场核验，与设备招标要求相比，项目主要工艺设备表如下：</w:t>
      </w:r>
    </w:p>
    <w:p w14:paraId="6B22E8EA">
      <w:pPr>
        <w:spacing w:line="240" w:lineRule="auto"/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表2  主要用能设备能效水平对比表</w:t>
      </w:r>
    </w:p>
    <w:tbl>
      <w:tblPr>
        <w:tblStyle w:val="11"/>
        <w:tblpPr w:leftFromText="181" w:rightFromText="181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04"/>
        <w:gridCol w:w="1277"/>
        <w:gridCol w:w="2218"/>
        <w:gridCol w:w="2530"/>
        <w:gridCol w:w="2125"/>
        <w:gridCol w:w="2142"/>
        <w:gridCol w:w="1551"/>
      </w:tblGrid>
      <w:tr w14:paraId="0AA1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vMerge w:val="restart"/>
            <w:vAlign w:val="center"/>
          </w:tcPr>
          <w:p w14:paraId="354E520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用能系统</w:t>
            </w:r>
          </w:p>
        </w:tc>
        <w:tc>
          <w:tcPr>
            <w:tcW w:w="1204" w:type="dxa"/>
            <w:vMerge w:val="restart"/>
            <w:vAlign w:val="center"/>
          </w:tcPr>
          <w:p w14:paraId="18AD4AC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</w:t>
            </w:r>
          </w:p>
        </w:tc>
        <w:tc>
          <w:tcPr>
            <w:tcW w:w="1277" w:type="dxa"/>
            <w:vMerge w:val="restart"/>
            <w:vAlign w:val="center"/>
          </w:tcPr>
          <w:p w14:paraId="4B1AA0A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安装地点</w:t>
            </w:r>
          </w:p>
        </w:tc>
        <w:tc>
          <w:tcPr>
            <w:tcW w:w="4748" w:type="dxa"/>
            <w:gridSpan w:val="2"/>
            <w:vAlign w:val="center"/>
          </w:tcPr>
          <w:p w14:paraId="5791801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设计要求</w:t>
            </w:r>
          </w:p>
        </w:tc>
        <w:tc>
          <w:tcPr>
            <w:tcW w:w="4267" w:type="dxa"/>
            <w:gridSpan w:val="2"/>
            <w:vAlign w:val="center"/>
          </w:tcPr>
          <w:p w14:paraId="03EB6A9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实施情况</w:t>
            </w:r>
          </w:p>
        </w:tc>
        <w:tc>
          <w:tcPr>
            <w:tcW w:w="1551" w:type="dxa"/>
            <w:vMerge w:val="restart"/>
            <w:vAlign w:val="center"/>
          </w:tcPr>
          <w:p w14:paraId="7963F45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落实情况自评</w:t>
            </w:r>
          </w:p>
        </w:tc>
      </w:tr>
      <w:tr w14:paraId="3901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vMerge w:val="continue"/>
            <w:vAlign w:val="center"/>
          </w:tcPr>
          <w:p w14:paraId="7D19108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</w:tcPr>
          <w:p w14:paraId="459BAF7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</w:tcPr>
          <w:p w14:paraId="00A7002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8" w:type="dxa"/>
            <w:vAlign w:val="center"/>
          </w:tcPr>
          <w:p w14:paraId="21BCF00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2530" w:type="dxa"/>
            <w:vAlign w:val="center"/>
          </w:tcPr>
          <w:p w14:paraId="6850B73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能效值/能效等级</w:t>
            </w:r>
          </w:p>
        </w:tc>
        <w:tc>
          <w:tcPr>
            <w:tcW w:w="2125" w:type="dxa"/>
            <w:vAlign w:val="center"/>
          </w:tcPr>
          <w:p w14:paraId="7B91EF0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2142" w:type="dxa"/>
            <w:vAlign w:val="center"/>
          </w:tcPr>
          <w:p w14:paraId="288B64C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能效值/能效等级</w:t>
            </w:r>
          </w:p>
        </w:tc>
        <w:tc>
          <w:tcPr>
            <w:tcW w:w="1551" w:type="dxa"/>
            <w:vMerge w:val="continue"/>
            <w:vAlign w:val="center"/>
          </w:tcPr>
          <w:p w14:paraId="06A66870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3D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7" w:type="dxa"/>
            <w:vAlign w:val="center"/>
          </w:tcPr>
          <w:p w14:paraId="7E81895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工艺设备</w:t>
            </w:r>
          </w:p>
        </w:tc>
        <w:tc>
          <w:tcPr>
            <w:tcW w:w="1204" w:type="dxa"/>
            <w:vAlign w:val="center"/>
          </w:tcPr>
          <w:p w14:paraId="4A7FE68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升压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变</w:t>
            </w:r>
          </w:p>
        </w:tc>
        <w:tc>
          <w:tcPr>
            <w:tcW w:w="1277" w:type="dxa"/>
            <w:vAlign w:val="center"/>
          </w:tcPr>
          <w:p w14:paraId="27BB2A1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光伏发电站</w:t>
            </w:r>
          </w:p>
        </w:tc>
        <w:tc>
          <w:tcPr>
            <w:tcW w:w="2218" w:type="dxa"/>
            <w:vAlign w:val="center"/>
          </w:tcPr>
          <w:p w14:paraId="524ADA3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采用低压并网接入属地单位变压器</w:t>
            </w:r>
          </w:p>
        </w:tc>
        <w:tc>
          <w:tcPr>
            <w:tcW w:w="2530" w:type="dxa"/>
            <w:vAlign w:val="center"/>
          </w:tcPr>
          <w:p w14:paraId="1CA3829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二级能耗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7D4F32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采用低压并网接入属地单位变压器</w:t>
            </w:r>
          </w:p>
        </w:tc>
        <w:tc>
          <w:tcPr>
            <w:tcW w:w="2142" w:type="dxa"/>
            <w:vAlign w:val="center"/>
          </w:tcPr>
          <w:p w14:paraId="4F81106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二级能耗</w:t>
            </w:r>
          </w:p>
        </w:tc>
        <w:tc>
          <w:tcPr>
            <w:tcW w:w="1551" w:type="dxa"/>
            <w:vAlign w:val="center"/>
          </w:tcPr>
          <w:p w14:paraId="255E6B0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一致</w:t>
            </w:r>
          </w:p>
        </w:tc>
      </w:tr>
      <w:tr w14:paraId="6793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7" w:type="dxa"/>
            <w:vAlign w:val="center"/>
          </w:tcPr>
          <w:p w14:paraId="7C0934C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工艺设备</w:t>
            </w:r>
          </w:p>
        </w:tc>
        <w:tc>
          <w:tcPr>
            <w:tcW w:w="1204" w:type="dxa"/>
            <w:vAlign w:val="center"/>
          </w:tcPr>
          <w:p w14:paraId="083B8E3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逆变器</w:t>
            </w:r>
          </w:p>
        </w:tc>
        <w:tc>
          <w:tcPr>
            <w:tcW w:w="1277" w:type="dxa"/>
            <w:vAlign w:val="center"/>
          </w:tcPr>
          <w:p w14:paraId="6FCBA3A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光伏发电站</w:t>
            </w:r>
          </w:p>
        </w:tc>
        <w:tc>
          <w:tcPr>
            <w:tcW w:w="2218" w:type="dxa"/>
            <w:vAlign w:val="center"/>
          </w:tcPr>
          <w:p w14:paraId="7251348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16台</w:t>
            </w:r>
            <w:r>
              <w:rPr>
                <w:rFonts w:ascii="宋体" w:hAnsi="宋体" w:eastAsia="宋体" w:cs="宋体"/>
                <w:sz w:val="21"/>
                <w:szCs w:val="21"/>
              </w:rPr>
              <w:t>组串式逆变器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其中9台110kW；1台100kW；4台60kW；2台40kW）</w:t>
            </w:r>
          </w:p>
        </w:tc>
        <w:tc>
          <w:tcPr>
            <w:tcW w:w="2530" w:type="dxa"/>
            <w:vAlign w:val="center"/>
          </w:tcPr>
          <w:p w14:paraId="3059CFC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125" w:type="dxa"/>
            <w:vAlign w:val="center"/>
          </w:tcPr>
          <w:p w14:paraId="0084D4F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sz w:val="21"/>
                <w:szCs w:val="21"/>
              </w:rPr>
              <w:t>台组串式逆变器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（其中6台110kW；3台60kW；1台40kW）</w:t>
            </w:r>
          </w:p>
        </w:tc>
        <w:tc>
          <w:tcPr>
            <w:tcW w:w="2142" w:type="dxa"/>
            <w:vAlign w:val="center"/>
          </w:tcPr>
          <w:p w14:paraId="02E9FE9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551" w:type="dxa"/>
            <w:vAlign w:val="center"/>
          </w:tcPr>
          <w:p w14:paraId="65D9977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低于可研</w:t>
            </w:r>
          </w:p>
        </w:tc>
      </w:tr>
    </w:tbl>
    <w:p w14:paraId="241BE275">
      <w:pPr>
        <w:ind w:firstLine="641"/>
        <w:rPr>
          <w:rFonts w:hint="eastAsia"/>
        </w:rPr>
      </w:pPr>
      <w:r>
        <w:rPr>
          <w:rFonts w:hint="eastAsia"/>
          <w:b/>
          <w:bCs/>
        </w:rPr>
        <w:t>验收结论：项目主要工艺设备、供电系统及用能设备与设计要求及承诺基本一致，未发生较大变更，基本落实。</w:t>
      </w:r>
      <w:r>
        <w:br w:type="page"/>
      </w:r>
    </w:p>
    <w:p w14:paraId="1C89F444">
      <w:pPr>
        <w:ind w:firstLine="0" w:firstLineChars="0"/>
        <w:jc w:val="center"/>
        <w:rPr>
          <w:rFonts w:hint="eastAsia"/>
        </w:rPr>
        <w:sectPr>
          <w:pgSz w:w="16838" w:h="11906" w:orient="landscape"/>
          <w:pgMar w:top="1417" w:right="1417" w:bottom="1417" w:left="1417" w:header="851" w:footer="992" w:gutter="0"/>
          <w:cols w:space="0" w:num="1"/>
          <w:docGrid w:type="lines" w:linePitch="453" w:charSpace="0"/>
        </w:sectPr>
      </w:pPr>
    </w:p>
    <w:p w14:paraId="02B0AD33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6" w:name="_Toc11022"/>
      <w:r>
        <w:rPr>
          <w:rFonts w:hint="eastAsia"/>
        </w:rPr>
        <w:t>节能措施</w:t>
      </w:r>
      <w:bookmarkEnd w:id="6"/>
    </w:p>
    <w:p w14:paraId="4EF138A5">
      <w:pPr>
        <w:ind w:firstLine="640"/>
        <w:rPr>
          <w:rFonts w:hint="eastAsia"/>
        </w:rPr>
      </w:pPr>
      <w:r>
        <w:rPr>
          <w:rFonts w:hint="eastAsia"/>
        </w:rPr>
        <w:t>以可行性研究报告为依据，对照项目设计、施工和竣工技术资料，各项节能措施落实情况如下：</w:t>
      </w:r>
    </w:p>
    <w:p w14:paraId="1716F7D9">
      <w:pPr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表3 节能措施落实情况对比表</w:t>
      </w:r>
    </w:p>
    <w:tbl>
      <w:tblPr>
        <w:tblStyle w:val="11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20"/>
        <w:gridCol w:w="2805"/>
        <w:gridCol w:w="2835"/>
        <w:gridCol w:w="1515"/>
      </w:tblGrid>
      <w:tr w14:paraId="2639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56" w:type="dxa"/>
            <w:vAlign w:val="center"/>
          </w:tcPr>
          <w:p w14:paraId="672F0B8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</w:t>
            </w:r>
          </w:p>
        </w:tc>
        <w:tc>
          <w:tcPr>
            <w:tcW w:w="720" w:type="dxa"/>
            <w:vAlign w:val="center"/>
          </w:tcPr>
          <w:p w14:paraId="12D9659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05" w:type="dxa"/>
          </w:tcPr>
          <w:p w14:paraId="391B8396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可研要求</w:t>
            </w:r>
          </w:p>
        </w:tc>
        <w:tc>
          <w:tcPr>
            <w:tcW w:w="2835" w:type="dxa"/>
          </w:tcPr>
          <w:p w14:paraId="6F93E5A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实际实施情况</w:t>
            </w:r>
          </w:p>
        </w:tc>
        <w:tc>
          <w:tcPr>
            <w:tcW w:w="1515" w:type="dxa"/>
            <w:vAlign w:val="center"/>
          </w:tcPr>
          <w:p w14:paraId="17DD776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落实情况自评</w:t>
            </w:r>
          </w:p>
        </w:tc>
      </w:tr>
      <w:tr w14:paraId="0814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restart"/>
            <w:vAlign w:val="center"/>
          </w:tcPr>
          <w:p w14:paraId="0C582C9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节</w:t>
            </w:r>
          </w:p>
          <w:p w14:paraId="2DB385D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</w:t>
            </w:r>
          </w:p>
          <w:p w14:paraId="5B220236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</w:t>
            </w:r>
          </w:p>
          <w:p w14:paraId="42BBB68C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术</w:t>
            </w:r>
          </w:p>
          <w:p w14:paraId="3656E609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措</w:t>
            </w:r>
          </w:p>
          <w:p w14:paraId="3EC3C48E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</w:t>
            </w:r>
          </w:p>
        </w:tc>
        <w:tc>
          <w:tcPr>
            <w:tcW w:w="720" w:type="dxa"/>
            <w:vAlign w:val="center"/>
          </w:tcPr>
          <w:p w14:paraId="77585AE4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5" w:type="dxa"/>
          </w:tcPr>
          <w:p w14:paraId="13A3DED5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发电组件：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单晶硅光伏组件，5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Wp</w:t>
            </w:r>
          </w:p>
        </w:tc>
        <w:tc>
          <w:tcPr>
            <w:tcW w:w="2835" w:type="dxa"/>
          </w:tcPr>
          <w:p w14:paraId="10A84A8D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发电组件：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单晶硅光伏组件，5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Wp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Wp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Wp</w:t>
            </w:r>
          </w:p>
        </w:tc>
        <w:tc>
          <w:tcPr>
            <w:tcW w:w="1515" w:type="dxa"/>
            <w:vAlign w:val="center"/>
          </w:tcPr>
          <w:p w14:paraId="2340CD6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  <w:tr w14:paraId="0A8E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1E6A7B4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608928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5" w:type="dxa"/>
          </w:tcPr>
          <w:p w14:paraId="41EA64A4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21台组串式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逆变器，效率98.5%</w:t>
            </w:r>
          </w:p>
        </w:tc>
        <w:tc>
          <w:tcPr>
            <w:tcW w:w="2835" w:type="dxa"/>
          </w:tcPr>
          <w:p w14:paraId="6F3AE692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23台组串式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逆变器，效率98.5%</w:t>
            </w:r>
          </w:p>
        </w:tc>
        <w:tc>
          <w:tcPr>
            <w:tcW w:w="1515" w:type="dxa"/>
            <w:vAlign w:val="center"/>
          </w:tcPr>
          <w:p w14:paraId="41AC5039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18248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13BE4BB1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66A8DC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5" w:type="dxa"/>
          </w:tcPr>
          <w:p w14:paraId="40CD17C1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降低线路损耗：光伏阵列尽量集中布置，采用逆变器后汇流至并网柜</w:t>
            </w:r>
          </w:p>
        </w:tc>
        <w:tc>
          <w:tcPr>
            <w:tcW w:w="2835" w:type="dxa"/>
          </w:tcPr>
          <w:p w14:paraId="17151D82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降低线路损耗：光伏阵列尽量集中布置，采用逆变器后汇流至并网柜</w:t>
            </w:r>
          </w:p>
        </w:tc>
        <w:tc>
          <w:tcPr>
            <w:tcW w:w="1515" w:type="dxa"/>
            <w:vAlign w:val="center"/>
          </w:tcPr>
          <w:p w14:paraId="2019C844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02FD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4CBB170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06FAEED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5" w:type="dxa"/>
          </w:tcPr>
          <w:p w14:paraId="1796A134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变压器能耗执行《电力变压器能效限定值及能效等级》</w:t>
            </w:r>
            <w:r>
              <w:rPr>
                <w:rFonts w:ascii="宋体" w:hAnsi="宋体" w:eastAsia="宋体" w:cs="宋体"/>
                <w:sz w:val="21"/>
                <w:szCs w:val="21"/>
              </w:rPr>
              <w:t>GB 20052-2020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，满足规范要求二级能效标准。</w:t>
            </w:r>
          </w:p>
        </w:tc>
        <w:tc>
          <w:tcPr>
            <w:tcW w:w="2835" w:type="dxa"/>
          </w:tcPr>
          <w:p w14:paraId="55061AF5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变压器能耗执行《电力变压器能效限定值及能效等级》</w:t>
            </w:r>
            <w:r>
              <w:rPr>
                <w:rFonts w:ascii="宋体" w:hAnsi="宋体" w:eastAsia="宋体" w:cs="宋体"/>
                <w:sz w:val="21"/>
                <w:szCs w:val="21"/>
              </w:rPr>
              <w:t>GB 20052-2020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，满足规范要求二级能效标准。</w:t>
            </w:r>
          </w:p>
        </w:tc>
        <w:tc>
          <w:tcPr>
            <w:tcW w:w="1515" w:type="dxa"/>
            <w:vAlign w:val="center"/>
          </w:tcPr>
          <w:p w14:paraId="6645132D">
            <w:pPr>
              <w:overflowPunct w:val="0"/>
              <w:autoSpaceDE w:val="0"/>
              <w:autoSpaceDN w:val="0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2588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7E1B058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DB030CF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05" w:type="dxa"/>
          </w:tcPr>
          <w:p w14:paraId="1B4D5F86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组件清洁：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定期对光伏组件的沙尘进行清洗，提高电站的发电效率</w:t>
            </w:r>
          </w:p>
        </w:tc>
        <w:tc>
          <w:tcPr>
            <w:tcW w:w="2835" w:type="dxa"/>
          </w:tcPr>
          <w:p w14:paraId="025667E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组件清洁：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定期对光伏组件的沙尘进行清洗，提高电站的发电效率</w:t>
            </w:r>
          </w:p>
        </w:tc>
        <w:tc>
          <w:tcPr>
            <w:tcW w:w="1515" w:type="dxa"/>
            <w:vAlign w:val="center"/>
          </w:tcPr>
          <w:p w14:paraId="47DDDD8B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  <w:tr w14:paraId="7AE60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restart"/>
            <w:vAlign w:val="center"/>
          </w:tcPr>
          <w:p w14:paraId="11045840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节能管理措施</w:t>
            </w:r>
          </w:p>
        </w:tc>
        <w:tc>
          <w:tcPr>
            <w:tcW w:w="720" w:type="dxa"/>
            <w:vAlign w:val="center"/>
          </w:tcPr>
          <w:p w14:paraId="6EBA485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5" w:type="dxa"/>
          </w:tcPr>
          <w:p w14:paraId="7B76418A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能源管理机构</w:t>
            </w:r>
          </w:p>
        </w:tc>
        <w:tc>
          <w:tcPr>
            <w:tcW w:w="2835" w:type="dxa"/>
          </w:tcPr>
          <w:p w14:paraId="02BD48CB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已建立</w:t>
            </w:r>
          </w:p>
        </w:tc>
        <w:tc>
          <w:tcPr>
            <w:tcW w:w="1515" w:type="dxa"/>
            <w:vAlign w:val="center"/>
          </w:tcPr>
          <w:p w14:paraId="329E386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682A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64C0BE4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150980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5" w:type="dxa"/>
          </w:tcPr>
          <w:p w14:paraId="1BE48C59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能源管理制度</w:t>
            </w:r>
          </w:p>
        </w:tc>
        <w:tc>
          <w:tcPr>
            <w:tcW w:w="2835" w:type="dxa"/>
          </w:tcPr>
          <w:p w14:paraId="29E90355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已制定</w:t>
            </w:r>
          </w:p>
        </w:tc>
        <w:tc>
          <w:tcPr>
            <w:tcW w:w="1515" w:type="dxa"/>
            <w:vAlign w:val="center"/>
          </w:tcPr>
          <w:p w14:paraId="6B3194E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08C0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4C53E09C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8DC8CF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5" w:type="dxa"/>
          </w:tcPr>
          <w:p w14:paraId="50181CAB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能源计量管理制度</w:t>
            </w:r>
          </w:p>
        </w:tc>
        <w:tc>
          <w:tcPr>
            <w:tcW w:w="2835" w:type="dxa"/>
          </w:tcPr>
          <w:p w14:paraId="4810B685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已制定</w:t>
            </w:r>
          </w:p>
        </w:tc>
        <w:tc>
          <w:tcPr>
            <w:tcW w:w="1515" w:type="dxa"/>
            <w:vAlign w:val="center"/>
          </w:tcPr>
          <w:p w14:paraId="4436E37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5143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6ACBE63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B4BB31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5" w:type="dxa"/>
          </w:tcPr>
          <w:p w14:paraId="12220413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能耗监测系统</w:t>
            </w:r>
          </w:p>
        </w:tc>
        <w:tc>
          <w:tcPr>
            <w:tcW w:w="2835" w:type="dxa"/>
          </w:tcPr>
          <w:p w14:paraId="3E02FF68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已运行</w:t>
            </w:r>
          </w:p>
        </w:tc>
        <w:tc>
          <w:tcPr>
            <w:tcW w:w="1515" w:type="dxa"/>
            <w:vAlign w:val="center"/>
          </w:tcPr>
          <w:p w14:paraId="140CFC9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</w:tbl>
    <w:p w14:paraId="159AF2DD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验收结论：项目工程工艺节能措施与可行性研究报告及节能承诺基本一致，基本落实。</w:t>
      </w:r>
    </w:p>
    <w:p w14:paraId="7463B517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7" w:name="_Toc2916"/>
      <w:r>
        <w:rPr>
          <w:rFonts w:hint="eastAsia"/>
        </w:rPr>
        <w:t>计量器具配备</w:t>
      </w:r>
      <w:bookmarkEnd w:id="7"/>
    </w:p>
    <w:p w14:paraId="349B1A72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项目进出用能计量器具按照《用能单位能源计量器具配备和管理通则》（GB17167-2006）和《电力装置电测量仪表装置设计规范》（</w:t>
      </w:r>
      <w:r>
        <w:rPr>
          <w:rFonts w:hint="default"/>
          <w:lang w:val="en-US" w:eastAsia="zh-CN"/>
        </w:rPr>
        <w:t>GB/T 50063</w:t>
      </w:r>
      <w:r>
        <w:rPr>
          <w:rFonts w:hint="eastAsia"/>
          <w:lang w:val="en-US" w:eastAsia="zh-CN"/>
        </w:rPr>
        <w:t>-2017）标准要求已配置能源计量器具。电能表精度要求不低于0.2S级，数量7台。</w:t>
      </w:r>
    </w:p>
    <w:p w14:paraId="4D51EDC5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8" w:name="_Toc11824"/>
      <w:r>
        <w:rPr>
          <w:rFonts w:hint="eastAsia"/>
        </w:rPr>
        <w:t>项目年综合能源消耗量</w:t>
      </w:r>
      <w:bookmarkEnd w:id="8"/>
    </w:p>
    <w:p w14:paraId="48A796CA">
      <w:pPr>
        <w:pStyle w:val="5"/>
        <w:ind w:firstLine="641"/>
        <w:rPr>
          <w:rFonts w:hint="eastAsia"/>
        </w:rPr>
      </w:pPr>
      <w:r>
        <w:rPr>
          <w:rFonts w:hint="eastAsia"/>
        </w:rPr>
        <w:t>项目在发电时段，能耗来自自发电，无碳排放。</w:t>
      </w:r>
    </w:p>
    <w:p w14:paraId="62B5FF13">
      <w:pPr>
        <w:pStyle w:val="5"/>
        <w:ind w:firstLine="641"/>
        <w:rPr>
          <w:rFonts w:hint="eastAsia"/>
        </w:rPr>
      </w:pPr>
      <w:r>
        <w:rPr>
          <w:rFonts w:hint="eastAsia"/>
          <w:b/>
          <w:bCs/>
        </w:rPr>
        <w:t>验收结论：</w:t>
      </w:r>
      <w:r>
        <w:rPr>
          <w:rFonts w:hint="eastAsia"/>
        </w:rPr>
        <w:t>项目年综合能源消费量完全落实能耗规划和节能承诺。</w:t>
      </w:r>
    </w:p>
    <w:p w14:paraId="7B076540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9" w:name="_Toc2196"/>
      <w:r>
        <w:rPr>
          <w:rFonts w:hint="eastAsia"/>
        </w:rPr>
        <w:t>项目能效水平</w:t>
      </w:r>
      <w:bookmarkEnd w:id="9"/>
    </w:p>
    <w:p w14:paraId="65C430EC">
      <w:p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根据《光伏发电系统效能规范》NB/T 10394-2020规定，系统能效比指光伏发电系统上网电量与理论发电量的比值，用于衡量光伏发电系统发电效率。</w:t>
      </w:r>
    </w:p>
    <w:p w14:paraId="70C91DC9">
      <w:pPr>
        <w:ind w:firstLine="641"/>
        <w:rPr>
          <w:rFonts w:hint="eastAsia" w:ascii="华文仿宋" w:hAnsi="华文仿宋" w:cs="华文仿宋"/>
          <w:lang w:val="en-US" w:eastAsia="zh-CN"/>
        </w:rPr>
      </w:pPr>
      <w:r>
        <w:rPr>
          <w:rFonts w:hint="eastAsia" w:ascii="华文仿宋" w:hAnsi="华文仿宋" w:cs="华文仿宋"/>
          <w:lang w:val="en-US" w:eastAsia="zh-CN"/>
        </w:rPr>
        <w:t>项目实际装机容量</w:t>
      </w:r>
      <w:r>
        <w:rPr>
          <w:rFonts w:hint="eastAsia"/>
          <w:lang w:val="en-US" w:eastAsia="zh-CN"/>
        </w:rPr>
        <w:t>1008.68k</w:t>
      </w:r>
      <w:r>
        <w:rPr>
          <w:rFonts w:hint="eastAsia" w:ascii="华文仿宋" w:hAnsi="华文仿宋" w:cs="华文仿宋"/>
          <w:lang w:val="en-US" w:eastAsia="zh-CN"/>
        </w:rPr>
        <w:t>Wp，首年理论发电量213.49</w:t>
      </w:r>
      <w:bookmarkStart w:id="11" w:name="_GoBack"/>
      <w:bookmarkEnd w:id="11"/>
      <w:r>
        <w:rPr>
          <w:rFonts w:hint="eastAsia" w:ascii="华文仿宋" w:hAnsi="华文仿宋" w:cs="华文仿宋"/>
          <w:lang w:val="en-US" w:eastAsia="zh-CN"/>
        </w:rPr>
        <w:t>万kWh。调取电能表数据，项目首年上网电量176.99万kWh。</w:t>
      </w:r>
    </w:p>
    <w:p w14:paraId="35E55017">
      <w:pPr>
        <w:pStyle w:val="5"/>
        <w:ind w:firstLine="422"/>
        <w:jc w:val="center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>表7  项目系统能效比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749"/>
        <w:gridCol w:w="1700"/>
        <w:gridCol w:w="2187"/>
        <w:gridCol w:w="2177"/>
      </w:tblGrid>
      <w:tr w14:paraId="4EBD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vAlign w:val="center"/>
          </w:tcPr>
          <w:p w14:paraId="393E47B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能效指标</w:t>
            </w:r>
          </w:p>
        </w:tc>
        <w:tc>
          <w:tcPr>
            <w:tcW w:w="749" w:type="dxa"/>
            <w:vAlign w:val="center"/>
          </w:tcPr>
          <w:p w14:paraId="2552FF2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700" w:type="dxa"/>
            <w:vAlign w:val="center"/>
          </w:tcPr>
          <w:p w14:paraId="7C12EDF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可研报告值</w:t>
            </w:r>
          </w:p>
        </w:tc>
        <w:tc>
          <w:tcPr>
            <w:tcW w:w="2187" w:type="dxa"/>
            <w:vAlign w:val="center"/>
          </w:tcPr>
          <w:p w14:paraId="7D40913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首年运行值</w:t>
            </w:r>
          </w:p>
        </w:tc>
        <w:tc>
          <w:tcPr>
            <w:tcW w:w="2177" w:type="dxa"/>
            <w:vAlign w:val="center"/>
          </w:tcPr>
          <w:p w14:paraId="311005D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标准先进值</w:t>
            </w:r>
          </w:p>
        </w:tc>
      </w:tr>
      <w:tr w14:paraId="4533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vAlign w:val="center"/>
          </w:tcPr>
          <w:p w14:paraId="58F508B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系统能效比（PR)</w:t>
            </w:r>
          </w:p>
        </w:tc>
        <w:tc>
          <w:tcPr>
            <w:tcW w:w="749" w:type="dxa"/>
            <w:vAlign w:val="center"/>
          </w:tcPr>
          <w:p w14:paraId="4B5C7D9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700" w:type="dxa"/>
            <w:vAlign w:val="center"/>
          </w:tcPr>
          <w:p w14:paraId="364B08A3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82.1</w:t>
            </w:r>
          </w:p>
        </w:tc>
        <w:tc>
          <w:tcPr>
            <w:tcW w:w="2187" w:type="dxa"/>
            <w:vAlign w:val="center"/>
          </w:tcPr>
          <w:p w14:paraId="77971593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82.9</w:t>
            </w:r>
          </w:p>
        </w:tc>
        <w:tc>
          <w:tcPr>
            <w:tcW w:w="2177" w:type="dxa"/>
            <w:vAlign w:val="center"/>
          </w:tcPr>
          <w:p w14:paraId="7A23A9B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</w:t>
            </w:r>
          </w:p>
        </w:tc>
      </w:tr>
    </w:tbl>
    <w:p w14:paraId="5E620552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验收结论：项目能效水平达到行业领先水平。</w:t>
      </w:r>
    </w:p>
    <w:p w14:paraId="7172FB12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10" w:name="_Toc18051"/>
      <w:r>
        <w:rPr>
          <w:rFonts w:hint="eastAsia"/>
        </w:rPr>
        <w:t>结论和问题</w:t>
      </w:r>
      <w:bookmarkEnd w:id="10"/>
    </w:p>
    <w:p w14:paraId="6316CB09">
      <w:pPr>
        <w:ind w:firstLine="640"/>
        <w:rPr>
          <w:rFonts w:hint="eastAsia"/>
          <w:b/>
          <w:bCs/>
        </w:rPr>
      </w:pPr>
      <w:r>
        <w:rPr>
          <w:rFonts w:hint="eastAsia" w:ascii="华文仿宋" w:hAnsi="华文仿宋" w:cs="华文仿宋"/>
        </w:rPr>
        <w:t>根据《固定资产投资项目节能审查办法》（国家发展改革委令2023年第2号）、《山东省固定资产投资项目节能验收管理办法（试行）》[2024]657号等政策文件，参考《</w:t>
      </w:r>
      <w:r>
        <w:rPr>
          <w:rFonts w:hint="eastAsia" w:ascii="华文仿宋" w:hAnsi="华文仿宋" w:cs="华文仿宋"/>
          <w:lang w:val="en-US" w:eastAsia="zh-CN"/>
        </w:rPr>
        <w:t>现河采油厂王岗管理区通61-X191等区域光伏发电工程</w:t>
      </w:r>
      <w:r>
        <w:rPr>
          <w:rFonts w:hint="eastAsia" w:ascii="华文仿宋" w:hAnsi="华文仿宋" w:cs="华文仿宋"/>
        </w:rPr>
        <w:t>可行性研究报告》</w:t>
      </w:r>
      <w:r>
        <w:t>，依据《固定资产投资项目节能审查系列工作指南》（2018年</w:t>
      </w:r>
      <w:r>
        <w:rPr>
          <w:rFonts w:hint="eastAsia"/>
        </w:rPr>
        <w:t>版</w:t>
      </w:r>
      <w:r>
        <w:t>），基于</w:t>
      </w:r>
      <w:r>
        <w:rPr>
          <w:rFonts w:hint="eastAsia"/>
        </w:rPr>
        <w:t>项目可行性研究报告中的节能分析和相关承诺，</w:t>
      </w:r>
      <w:r>
        <w:t>对</w:t>
      </w:r>
      <w:r>
        <w:rPr>
          <w:rFonts w:hint="eastAsia" w:ascii="华文仿宋" w:hAnsi="华文仿宋" w:cs="华文仿宋"/>
          <w:lang w:val="en-US" w:eastAsia="zh-CN"/>
        </w:rPr>
        <w:t>现河采油厂王岗管理区通61-X191等区域光伏发电工程</w:t>
      </w:r>
      <w:r>
        <w:t>实际建成内容和规模、建设方案、用能设备、节能技术和管理措施、能源计量器具的落实情况以及能效水平、能源消费量等情况进行节能验收，得出结论如下：</w:t>
      </w:r>
    </w:p>
    <w:p w14:paraId="7C780EE1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t>项目已建成的建设工艺、建设规模、总平面布置未发生变更，与</w:t>
      </w:r>
      <w:r>
        <w:rPr>
          <w:rFonts w:hint="eastAsia"/>
        </w:rPr>
        <w:t>可行性研究报告</w:t>
      </w:r>
      <w:r>
        <w:t>基本一致，全部落实。</w:t>
      </w:r>
    </w:p>
    <w:p w14:paraId="24DFBC2F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t>项目主要生产</w:t>
      </w:r>
      <w:r>
        <w:rPr>
          <w:rFonts w:hint="eastAsia"/>
        </w:rPr>
        <w:t>工艺</w:t>
      </w:r>
      <w:r>
        <w:t>设备以及主要公辅设备等设备均满足</w:t>
      </w:r>
      <w:r>
        <w:rPr>
          <w:rFonts w:hint="eastAsia"/>
        </w:rPr>
        <w:t>可行性研究报告</w:t>
      </w:r>
      <w:r>
        <w:t>能效等级要求，能效等级</w:t>
      </w:r>
      <w:r>
        <w:rPr>
          <w:rFonts w:hint="eastAsia"/>
          <w:lang w:val="en-US" w:eastAsia="zh-CN"/>
        </w:rPr>
        <w:t>全部</w:t>
      </w:r>
      <w:r>
        <w:t>落实</w:t>
      </w:r>
    </w:p>
    <w:p w14:paraId="36432706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t>项目基本按照</w:t>
      </w:r>
      <w:r>
        <w:rPr>
          <w:rFonts w:hint="eastAsia"/>
        </w:rPr>
        <w:t>可行性研究</w:t>
      </w:r>
      <w:r>
        <w:t>报告提出的节能措施进行建设，采用的节能措施切实可行，</w:t>
      </w:r>
      <w:r>
        <w:rPr>
          <w:rFonts w:hint="eastAsia"/>
          <w:lang w:val="en-US" w:eastAsia="zh-CN"/>
        </w:rPr>
        <w:t>全部</w:t>
      </w:r>
      <w:r>
        <w:t>落实。</w:t>
      </w:r>
    </w:p>
    <w:p w14:paraId="493CE3C0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t>项目进出用能计量器具基本按照《用能单位能源计量器具配备和管理通则》（GB17167-2006）的要求配置能源计量器具。</w:t>
      </w:r>
    </w:p>
    <w:p w14:paraId="3FFA1D08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rPr>
          <w:rFonts w:hint="eastAsia"/>
        </w:rPr>
        <w:t>项目系统能效比</w:t>
      </w:r>
      <w:r>
        <w:rPr>
          <w:rFonts w:hint="eastAsia"/>
          <w:lang w:val="en-US" w:eastAsia="zh-CN"/>
        </w:rPr>
        <w:t>82.9</w:t>
      </w:r>
      <w:r>
        <w:rPr>
          <w:rFonts w:hint="eastAsia"/>
        </w:rPr>
        <w:t>，超出行业优秀水平。</w:t>
      </w:r>
    </w:p>
    <w:p w14:paraId="0C26EC8D">
      <w:pPr>
        <w:ind w:firstLine="641"/>
        <w:rPr>
          <w:rFonts w:hint="eastAsia"/>
          <w:b/>
          <w:bCs/>
        </w:rPr>
      </w:pPr>
      <w:r>
        <w:rPr>
          <w:b/>
          <w:bCs/>
        </w:rPr>
        <w:t>综上所述，基于</w:t>
      </w:r>
      <w:r>
        <w:rPr>
          <w:rFonts w:hint="eastAsia"/>
          <w:b/>
          <w:bCs/>
        </w:rPr>
        <w:t>可行性研究报告及节能承诺，</w:t>
      </w:r>
      <w:r>
        <w:rPr>
          <w:b/>
          <w:bCs/>
        </w:rPr>
        <w:t>针对项目已建成的内容</w:t>
      </w:r>
      <w:r>
        <w:rPr>
          <w:rFonts w:hint="eastAsia"/>
          <w:b/>
          <w:bCs/>
        </w:rPr>
        <w:t>、</w:t>
      </w:r>
      <w:r>
        <w:rPr>
          <w:b/>
          <w:bCs/>
        </w:rPr>
        <w:t>规模</w:t>
      </w:r>
      <w:r>
        <w:rPr>
          <w:rFonts w:hint="eastAsia"/>
          <w:b/>
          <w:bCs/>
        </w:rPr>
        <w:t>和首年运行情况</w:t>
      </w:r>
      <w:r>
        <w:rPr>
          <w:b/>
          <w:bCs/>
        </w:rPr>
        <w:t>，建议通过节能验收</w:t>
      </w:r>
      <w:r>
        <w:rPr>
          <w:rFonts w:hint="eastAsia"/>
          <w:b/>
          <w:bCs/>
        </w:rPr>
        <w:t>。</w:t>
      </w:r>
    </w:p>
    <w:sectPr>
      <w:headerReference r:id="rId11" w:type="default"/>
      <w:footerReference r:id="rId12" w:type="default"/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E3B03">
    <w:pPr>
      <w:pStyle w:val="6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D26DA">
    <w:pPr>
      <w:pStyle w:val="6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7D1B3">
    <w:pPr>
      <w:pStyle w:val="6"/>
      <w:ind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A626A">
    <w:pPr>
      <w:pStyle w:val="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6AFCC">
    <w:pPr>
      <w:pStyle w:val="7"/>
      <w:pBdr>
        <w:bottom w:val="none" w:color="auto" w:sz="0" w:space="1"/>
      </w:pBdr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A4035">
    <w:pPr>
      <w:pStyle w:val="7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3E037">
    <w:pPr>
      <w:pStyle w:val="7"/>
      <w:ind w:firstLine="360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E9CCF">
    <w:pPr>
      <w:pStyle w:val="7"/>
      <w:pBdr>
        <w:bottom w:val="none" w:color="auto" w:sz="0" w:space="1"/>
      </w:pBdr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1301C"/>
    <w:multiLevelType w:val="singleLevel"/>
    <w:tmpl w:val="9591301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2C8DA81"/>
    <w:multiLevelType w:val="singleLevel"/>
    <w:tmpl w:val="A2C8DA8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6D9241F"/>
    <w:multiLevelType w:val="singleLevel"/>
    <w:tmpl w:val="B6D924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98DD57D"/>
    <w:multiLevelType w:val="singleLevel"/>
    <w:tmpl w:val="E98DD5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1F4CF72"/>
    <w:multiLevelType w:val="singleLevel"/>
    <w:tmpl w:val="01F4CF7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2CFBD018"/>
    <w:multiLevelType w:val="singleLevel"/>
    <w:tmpl w:val="2CFBD018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4EA7218D"/>
    <w:multiLevelType w:val="singleLevel"/>
    <w:tmpl w:val="4EA7218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documentProtection w:enforcement="0"/>
  <w:defaultTabStop w:val="420"/>
  <w:drawingGridVerticalSpacing w:val="22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89"/>
    <w:rsid w:val="000E4289"/>
    <w:rsid w:val="001B407A"/>
    <w:rsid w:val="001F7C0E"/>
    <w:rsid w:val="00460567"/>
    <w:rsid w:val="004D1DCE"/>
    <w:rsid w:val="006E5C31"/>
    <w:rsid w:val="007E1C10"/>
    <w:rsid w:val="008104F3"/>
    <w:rsid w:val="0082303E"/>
    <w:rsid w:val="00847EBB"/>
    <w:rsid w:val="00982B77"/>
    <w:rsid w:val="009C69CD"/>
    <w:rsid w:val="00A42A0E"/>
    <w:rsid w:val="00A95A9A"/>
    <w:rsid w:val="00AD2882"/>
    <w:rsid w:val="00CA3FEB"/>
    <w:rsid w:val="00D73606"/>
    <w:rsid w:val="00E9147C"/>
    <w:rsid w:val="00EC0B6A"/>
    <w:rsid w:val="00F31950"/>
    <w:rsid w:val="01442511"/>
    <w:rsid w:val="01463C70"/>
    <w:rsid w:val="01700269"/>
    <w:rsid w:val="036C2840"/>
    <w:rsid w:val="041B14CC"/>
    <w:rsid w:val="0457222B"/>
    <w:rsid w:val="05191440"/>
    <w:rsid w:val="052C30CD"/>
    <w:rsid w:val="056F5F17"/>
    <w:rsid w:val="05847419"/>
    <w:rsid w:val="05BF3F24"/>
    <w:rsid w:val="06443FD4"/>
    <w:rsid w:val="07807FC3"/>
    <w:rsid w:val="08130D4D"/>
    <w:rsid w:val="0847222C"/>
    <w:rsid w:val="0865202A"/>
    <w:rsid w:val="09152EA8"/>
    <w:rsid w:val="09C000DC"/>
    <w:rsid w:val="09D07DA9"/>
    <w:rsid w:val="0AF05C82"/>
    <w:rsid w:val="0CE473B7"/>
    <w:rsid w:val="0CF12E49"/>
    <w:rsid w:val="0D224C0A"/>
    <w:rsid w:val="0D3D54C7"/>
    <w:rsid w:val="0D6047E0"/>
    <w:rsid w:val="0DB5640A"/>
    <w:rsid w:val="0E010A88"/>
    <w:rsid w:val="0EC8358F"/>
    <w:rsid w:val="0F274759"/>
    <w:rsid w:val="0F5612A1"/>
    <w:rsid w:val="0F5A453C"/>
    <w:rsid w:val="10807BA2"/>
    <w:rsid w:val="12E96D17"/>
    <w:rsid w:val="13797989"/>
    <w:rsid w:val="15BB5BFB"/>
    <w:rsid w:val="15F64E85"/>
    <w:rsid w:val="163B0AEA"/>
    <w:rsid w:val="16864F84"/>
    <w:rsid w:val="1698250D"/>
    <w:rsid w:val="16A9014A"/>
    <w:rsid w:val="16D85C88"/>
    <w:rsid w:val="17DB1E48"/>
    <w:rsid w:val="18647436"/>
    <w:rsid w:val="18810F44"/>
    <w:rsid w:val="19091420"/>
    <w:rsid w:val="1954174D"/>
    <w:rsid w:val="195C29B4"/>
    <w:rsid w:val="19840D69"/>
    <w:rsid w:val="1B356531"/>
    <w:rsid w:val="1B60171F"/>
    <w:rsid w:val="1C085913"/>
    <w:rsid w:val="1D4C4073"/>
    <w:rsid w:val="1DA0685C"/>
    <w:rsid w:val="1DBD6EEA"/>
    <w:rsid w:val="1DC34067"/>
    <w:rsid w:val="1DC97EE6"/>
    <w:rsid w:val="1E182E21"/>
    <w:rsid w:val="1E3F19AC"/>
    <w:rsid w:val="20E307AD"/>
    <w:rsid w:val="210341EA"/>
    <w:rsid w:val="21060EBB"/>
    <w:rsid w:val="21DE144D"/>
    <w:rsid w:val="223D47BB"/>
    <w:rsid w:val="22BD5826"/>
    <w:rsid w:val="237F064A"/>
    <w:rsid w:val="24D07D01"/>
    <w:rsid w:val="24EA2059"/>
    <w:rsid w:val="25BA5D33"/>
    <w:rsid w:val="25DD396C"/>
    <w:rsid w:val="26B07208"/>
    <w:rsid w:val="26F50BF6"/>
    <w:rsid w:val="2777374E"/>
    <w:rsid w:val="27B23302"/>
    <w:rsid w:val="28275AF0"/>
    <w:rsid w:val="287F3F80"/>
    <w:rsid w:val="28CC471E"/>
    <w:rsid w:val="296E1870"/>
    <w:rsid w:val="29894432"/>
    <w:rsid w:val="29DD60BB"/>
    <w:rsid w:val="2B324CAE"/>
    <w:rsid w:val="2C9F6F43"/>
    <w:rsid w:val="2CDD2E2A"/>
    <w:rsid w:val="2D8F19F0"/>
    <w:rsid w:val="2EA30912"/>
    <w:rsid w:val="2EDB0A6C"/>
    <w:rsid w:val="2F3476F1"/>
    <w:rsid w:val="2F652BCF"/>
    <w:rsid w:val="2FC254E7"/>
    <w:rsid w:val="30E965CE"/>
    <w:rsid w:val="313A132E"/>
    <w:rsid w:val="31801FC4"/>
    <w:rsid w:val="33A132C4"/>
    <w:rsid w:val="33D90E9F"/>
    <w:rsid w:val="34FA0F76"/>
    <w:rsid w:val="35021C06"/>
    <w:rsid w:val="355E0C9B"/>
    <w:rsid w:val="35831E3A"/>
    <w:rsid w:val="364B00E7"/>
    <w:rsid w:val="365442FF"/>
    <w:rsid w:val="3691198F"/>
    <w:rsid w:val="36D34080"/>
    <w:rsid w:val="36EE26AB"/>
    <w:rsid w:val="37F0752F"/>
    <w:rsid w:val="38407F09"/>
    <w:rsid w:val="38960554"/>
    <w:rsid w:val="38D70B59"/>
    <w:rsid w:val="39D513A8"/>
    <w:rsid w:val="3BB064FC"/>
    <w:rsid w:val="3BF04D81"/>
    <w:rsid w:val="3CA32232"/>
    <w:rsid w:val="3CAB20D8"/>
    <w:rsid w:val="3CD11E57"/>
    <w:rsid w:val="3D331750"/>
    <w:rsid w:val="3DF83E38"/>
    <w:rsid w:val="3E6D50FB"/>
    <w:rsid w:val="3EE5023D"/>
    <w:rsid w:val="3EE6437D"/>
    <w:rsid w:val="3F7D74B7"/>
    <w:rsid w:val="3F903F59"/>
    <w:rsid w:val="3FDC650D"/>
    <w:rsid w:val="400745C8"/>
    <w:rsid w:val="40D62F6B"/>
    <w:rsid w:val="41943621"/>
    <w:rsid w:val="41D5622D"/>
    <w:rsid w:val="41E8453E"/>
    <w:rsid w:val="41FF758B"/>
    <w:rsid w:val="420662CD"/>
    <w:rsid w:val="42117470"/>
    <w:rsid w:val="428247E7"/>
    <w:rsid w:val="43C348B8"/>
    <w:rsid w:val="43FF251E"/>
    <w:rsid w:val="454E5E7D"/>
    <w:rsid w:val="464C70B6"/>
    <w:rsid w:val="480D3F42"/>
    <w:rsid w:val="484165E2"/>
    <w:rsid w:val="48D94910"/>
    <w:rsid w:val="48E87129"/>
    <w:rsid w:val="499B0F04"/>
    <w:rsid w:val="49C81E6F"/>
    <w:rsid w:val="4A1B4023"/>
    <w:rsid w:val="4A1C41B3"/>
    <w:rsid w:val="4A267E35"/>
    <w:rsid w:val="4A5C030F"/>
    <w:rsid w:val="4B7D03E7"/>
    <w:rsid w:val="4B816DED"/>
    <w:rsid w:val="4BAB7C31"/>
    <w:rsid w:val="4C103BE6"/>
    <w:rsid w:val="4C816990"/>
    <w:rsid w:val="4CDA23BA"/>
    <w:rsid w:val="4D8E53C8"/>
    <w:rsid w:val="4E6B55B6"/>
    <w:rsid w:val="4EE01C53"/>
    <w:rsid w:val="4EEE7D8E"/>
    <w:rsid w:val="4F545534"/>
    <w:rsid w:val="4F5A4EBF"/>
    <w:rsid w:val="4FA03191"/>
    <w:rsid w:val="51192224"/>
    <w:rsid w:val="52A122EE"/>
    <w:rsid w:val="52EA734A"/>
    <w:rsid w:val="52F84E89"/>
    <w:rsid w:val="536E65EE"/>
    <w:rsid w:val="5445084F"/>
    <w:rsid w:val="54A808F4"/>
    <w:rsid w:val="54EC75A4"/>
    <w:rsid w:val="551A792E"/>
    <w:rsid w:val="55727FBD"/>
    <w:rsid w:val="55A61710"/>
    <w:rsid w:val="561220C4"/>
    <w:rsid w:val="567E51F7"/>
    <w:rsid w:val="56EB73E7"/>
    <w:rsid w:val="57671671"/>
    <w:rsid w:val="57AF2DEA"/>
    <w:rsid w:val="580B56D2"/>
    <w:rsid w:val="58553578"/>
    <w:rsid w:val="59516618"/>
    <w:rsid w:val="59893975"/>
    <w:rsid w:val="5C3830CF"/>
    <w:rsid w:val="5C6B7CDD"/>
    <w:rsid w:val="5CCB2480"/>
    <w:rsid w:val="5D4A529A"/>
    <w:rsid w:val="5E007347"/>
    <w:rsid w:val="5EB662D8"/>
    <w:rsid w:val="5FE11A5B"/>
    <w:rsid w:val="60363DC9"/>
    <w:rsid w:val="60504E32"/>
    <w:rsid w:val="60F1769A"/>
    <w:rsid w:val="61D06D08"/>
    <w:rsid w:val="65907AD8"/>
    <w:rsid w:val="65C14135"/>
    <w:rsid w:val="65EC10C6"/>
    <w:rsid w:val="6788375E"/>
    <w:rsid w:val="6A2C5CCF"/>
    <w:rsid w:val="6A3377CC"/>
    <w:rsid w:val="6B2B0B08"/>
    <w:rsid w:val="6BA42B26"/>
    <w:rsid w:val="6D390E9C"/>
    <w:rsid w:val="6DA86A73"/>
    <w:rsid w:val="6E147427"/>
    <w:rsid w:val="6ED074FA"/>
    <w:rsid w:val="6F9B5FA9"/>
    <w:rsid w:val="6FE02B0A"/>
    <w:rsid w:val="71A74D85"/>
    <w:rsid w:val="71DD11C4"/>
    <w:rsid w:val="736175D9"/>
    <w:rsid w:val="738F4C25"/>
    <w:rsid w:val="73C93B06"/>
    <w:rsid w:val="743B72F2"/>
    <w:rsid w:val="746A588D"/>
    <w:rsid w:val="74A76BEC"/>
    <w:rsid w:val="76A806FC"/>
    <w:rsid w:val="76B15747"/>
    <w:rsid w:val="76F93003"/>
    <w:rsid w:val="77040D55"/>
    <w:rsid w:val="77D82FAB"/>
    <w:rsid w:val="790B20A3"/>
    <w:rsid w:val="79753CD1"/>
    <w:rsid w:val="799A6D1F"/>
    <w:rsid w:val="7AE53672"/>
    <w:rsid w:val="7B1F1B0E"/>
    <w:rsid w:val="7B825CBD"/>
    <w:rsid w:val="7C00467F"/>
    <w:rsid w:val="7C4E5B9F"/>
    <w:rsid w:val="7C904D16"/>
    <w:rsid w:val="7CDD4696"/>
    <w:rsid w:val="7CE86B7B"/>
    <w:rsid w:val="7D5A5BB5"/>
    <w:rsid w:val="7D944A96"/>
    <w:rsid w:val="7DAF30C1"/>
    <w:rsid w:val="7E267FB6"/>
    <w:rsid w:val="7E381D20"/>
    <w:rsid w:val="7ED3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eastAsia="华文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100" w:beforeLines="100" w:line="360" w:lineRule="auto"/>
      <w:ind w:firstLine="883"/>
      <w:outlineLvl w:val="0"/>
    </w:pPr>
    <w:rPr>
      <w:rFonts w:eastAsia="楷体"/>
      <w:b/>
      <w:bCs/>
      <w:kern w:val="44"/>
      <w:szCs w:val="44"/>
    </w:rPr>
  </w:style>
  <w:style w:type="paragraph" w:styleId="3">
    <w:name w:val="heading 2"/>
    <w:basedOn w:val="1"/>
    <w:next w:val="4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/>
    </w:pPr>
  </w:style>
  <w:style w:type="paragraph" w:styleId="5">
    <w:name w:val="Body Text"/>
    <w:basedOn w:val="1"/>
    <w:next w:val="1"/>
    <w:qFormat/>
    <w:uiPriority w:val="99"/>
    <w:pPr>
      <w:overflowPunct w:val="0"/>
      <w:autoSpaceDE w:val="0"/>
      <w:autoSpaceDN w:val="0"/>
    </w:pPr>
    <w:rPr>
      <w:color w:val="000000"/>
      <w:kern w:val="28"/>
      <w:szCs w:val="21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  <w:pPr>
      <w:tabs>
        <w:tab w:val="left" w:pos="1680"/>
        <w:tab w:val="right" w:leader="dot" w:pos="8296"/>
      </w:tabs>
      <w:spacing w:line="240" w:lineRule="auto"/>
      <w:ind w:firstLine="0" w:firstLineChars="0"/>
    </w:pPr>
    <w:rPr>
      <w:rFonts w:ascii="Courier New" w:hAnsi="Courier New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 w:val="44"/>
      <w:szCs w:val="3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basedOn w:val="12"/>
    <w:link w:val="2"/>
    <w:qFormat/>
    <w:uiPriority w:val="9"/>
    <w:rPr>
      <w:rFonts w:eastAsia="楷体"/>
      <w:b/>
      <w:bCs/>
      <w:kern w:val="44"/>
      <w:sz w:val="32"/>
      <w:szCs w:val="44"/>
    </w:rPr>
  </w:style>
  <w:style w:type="character" w:customStyle="1" w:styleId="14">
    <w:name w:val="标题 字符"/>
    <w:basedOn w:val="12"/>
    <w:link w:val="9"/>
    <w:qFormat/>
    <w:uiPriority w:val="10"/>
    <w:rPr>
      <w:rFonts w:eastAsia="黑体" w:asciiTheme="majorHAnsi" w:hAnsiTheme="majorHAnsi" w:cstheme="majorBidi"/>
      <w:b/>
      <w:bCs/>
      <w:sz w:val="44"/>
      <w:szCs w:val="32"/>
    </w:rPr>
  </w:style>
  <w:style w:type="paragraph" w:styleId="15">
    <w:name w:val="List Paragraph"/>
    <w:basedOn w:val="1"/>
    <w:next w:val="1"/>
    <w:qFormat/>
    <w:uiPriority w:val="34"/>
    <w:pPr>
      <w:ind w:firstLine="420"/>
    </w:pPr>
  </w:style>
  <w:style w:type="character" w:customStyle="1" w:styleId="16">
    <w:name w:val="页眉 字符"/>
    <w:basedOn w:val="12"/>
    <w:link w:val="7"/>
    <w:qFormat/>
    <w:uiPriority w:val="99"/>
    <w:rPr>
      <w:rFonts w:eastAsia="华文仿宋"/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rFonts w:eastAsia="华文仿宋"/>
      <w:sz w:val="18"/>
      <w:szCs w:val="18"/>
    </w:rPr>
  </w:style>
  <w:style w:type="character" w:customStyle="1" w:styleId="18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1级"/>
    <w:basedOn w:val="2"/>
    <w:qFormat/>
    <w:uiPriority w:val="0"/>
    <w:pPr>
      <w:spacing w:before="340" w:beforeLines="0" w:after="330"/>
      <w:jc w:val="center"/>
    </w:pPr>
    <w:rPr>
      <w:rFonts w:eastAsia="宋体"/>
      <w:sz w:val="28"/>
      <w:szCs w:val="28"/>
    </w:rPr>
  </w:style>
  <w:style w:type="paragraph" w:customStyle="1" w:styleId="20">
    <w:name w:val="2级"/>
    <w:basedOn w:val="3"/>
    <w:qFormat/>
    <w:uiPriority w:val="0"/>
    <w:pPr>
      <w:spacing w:before="100" w:beforeAutospacing="1" w:line="415" w:lineRule="auto"/>
      <w:jc w:val="center"/>
    </w:pPr>
    <w:rPr>
      <w:rFonts w:ascii="Times New Roman" w:hAnsi="Times New Roman" w:eastAsia="宋体"/>
      <w:sz w:val="24"/>
      <w:szCs w:val="24"/>
    </w:rPr>
  </w:style>
  <w:style w:type="character" w:customStyle="1" w:styleId="21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01"/>
    <w:basedOn w:val="1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2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openxmlformats.org/officeDocument/2006/relationships/customXml" Target="../customXml/item3.xml"/><Relationship Id="rId3" Type="http://schemas.openxmlformats.org/officeDocument/2006/relationships/footnotes" Target="footnotes.xml"/><Relationship Id="rId7" Type="http://schemas.openxmlformats.org/officeDocument/2006/relationships/header" Target="header3.xml"/><Relationship Id="rId12" Type="http://schemas.openxmlformats.org/officeDocument/2006/relationships/footer" Target="footer4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1" Type="http://schemas.openxmlformats.org/officeDocument/2006/relationships/styles" Target="styles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4" Type="http://schemas.openxmlformats.org/officeDocument/2006/relationships/endnotes" Target="endnotes.xml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29132F-D8B9-49B1-A4B6-358251CAE491}"/>
</file>

<file path=customXml/itemProps2.xml><?xml version="1.0" encoding="utf-8"?>
<ds:datastoreItem xmlns:ds="http://schemas.openxmlformats.org/officeDocument/2006/customXml" ds:itemID="{F0B5AF5E-983C-4D84-AFA1-62DFC9594E24}"/>
</file>

<file path=customXml/itemProps3.xml><?xml version="1.0" encoding="utf-8"?>
<ds:datastoreItem xmlns:ds="http://schemas.openxmlformats.org/officeDocument/2006/customXml" ds:itemID="{2BF67300-3393-4806-99ED-EA13563747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1281</Words>
  <Characters>7307</Characters>
  <Lines>60</Lines>
  <Paragraphs>17</Paragraphs>
  <TotalTime>0</TotalTime>
  <ScaleCrop>false</ScaleCrop>
  <LinksUpToDate>false</LinksUpToDate>
  <CharactersWithSpaces>8571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邵江华</dc:creator>
  <cp:lastModifiedBy>Administrator</cp:lastModifiedBy>
  <cp:revision>4</cp:revision>
  <dcterms:created xsi:type="dcterms:W3CDTF">2025-07-07T09:26:00Z</dcterms:created>
  <dcterms:modified xsi:type="dcterms:W3CDTF">2025-07-09T09:40:04Z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BF62E1639A664F0BB3F542919B92F8A5_13</vt:lpwstr>
  </property>
  <property fmtid="{D5CDD505-2E9C-101B-9397-08002B2CF9AE}" pid="4" name="ContentTypeId">
    <vt:lpwstr>0x010100313989E510CC474A862876A387D6F14A</vt:lpwstr>
  </property>
</Properties>
</file>